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79310" w14:textId="77777777" w:rsidR="00FA06CA" w:rsidRPr="005F1388" w:rsidRDefault="00FA06CA" w:rsidP="00FA06CA">
      <w:pPr>
        <w:rPr>
          <w:sz w:val="28"/>
        </w:rPr>
      </w:pPr>
      <w:r>
        <w:rPr>
          <w:noProof/>
          <w:lang w:eastAsia="en-AU"/>
        </w:rPr>
        <w:drawing>
          <wp:inline distT="0" distB="0" distL="0" distR="0" wp14:anchorId="391766FD" wp14:editId="1463E3D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C118E73" w14:textId="77777777" w:rsidR="00FA06CA" w:rsidRPr="00E500D4" w:rsidRDefault="00FA06CA" w:rsidP="00FA06CA">
      <w:pPr>
        <w:rPr>
          <w:sz w:val="19"/>
        </w:rPr>
      </w:pPr>
    </w:p>
    <w:p w14:paraId="5892B01D" w14:textId="177F7BB4" w:rsidR="00FA06CA" w:rsidRPr="00E500D4" w:rsidRDefault="00FB767F" w:rsidP="00FA06CA">
      <w:pPr>
        <w:pStyle w:val="ShortT"/>
      </w:pPr>
      <w:r w:rsidRPr="00FB767F">
        <w:t xml:space="preserve">Competition and Consumer (Australian Consumer Law—Country of Origin Information for </w:t>
      </w:r>
      <w:r>
        <w:t>Seafood</w:t>
      </w:r>
      <w:r w:rsidRPr="00FB767F">
        <w:t xml:space="preserve"> for Immediate Consumption) Information Standard 2025</w:t>
      </w:r>
    </w:p>
    <w:p w14:paraId="0E7B21C7" w14:textId="78E3D2EC" w:rsidR="00FA06CA" w:rsidRPr="00BC5754" w:rsidRDefault="00FA06CA" w:rsidP="00FA06CA">
      <w:pPr>
        <w:pStyle w:val="SignCoverPageStart"/>
        <w:spacing w:before="240"/>
        <w:rPr>
          <w:szCs w:val="22"/>
        </w:rPr>
      </w:pPr>
      <w:r w:rsidRPr="00BC5754">
        <w:rPr>
          <w:szCs w:val="22"/>
        </w:rPr>
        <w:t xml:space="preserve">I, </w:t>
      </w:r>
      <w:r w:rsidR="00FE3966">
        <w:rPr>
          <w:szCs w:val="22"/>
        </w:rPr>
        <w:t>Tim Ayres</w:t>
      </w:r>
      <w:r w:rsidR="00713FDE" w:rsidRPr="00713FDE">
        <w:rPr>
          <w:szCs w:val="22"/>
        </w:rPr>
        <w:t xml:space="preserve">, </w:t>
      </w:r>
      <w:r w:rsidR="00FE3966">
        <w:rPr>
          <w:szCs w:val="22"/>
        </w:rPr>
        <w:t>Minister for Industry and Innovation, and Minister for Science</w:t>
      </w:r>
      <w:r w:rsidR="008668A6">
        <w:rPr>
          <w:szCs w:val="22"/>
        </w:rPr>
        <w:t xml:space="preserve">, </w:t>
      </w:r>
      <w:r w:rsidRPr="00BC5754">
        <w:rPr>
          <w:szCs w:val="22"/>
        </w:rPr>
        <w:t xml:space="preserve">make the following </w:t>
      </w:r>
      <w:r w:rsidR="00713FDE">
        <w:rPr>
          <w:szCs w:val="22"/>
        </w:rPr>
        <w:t>information standard</w:t>
      </w:r>
      <w:r w:rsidRPr="00BC5754">
        <w:rPr>
          <w:szCs w:val="22"/>
        </w:rPr>
        <w:t>.</w:t>
      </w:r>
    </w:p>
    <w:p w14:paraId="24CB8F95" w14:textId="6E314475" w:rsidR="00FA06CA" w:rsidRPr="00BC5754" w:rsidRDefault="000417CB" w:rsidP="00FA06CA">
      <w:pPr>
        <w:keepNext/>
        <w:spacing w:before="720" w:line="240" w:lineRule="atLeast"/>
        <w:ind w:right="397"/>
        <w:jc w:val="both"/>
        <w:rPr>
          <w:szCs w:val="22"/>
        </w:rPr>
      </w:pPr>
      <w:r>
        <w:rPr>
          <w:szCs w:val="22"/>
        </w:rPr>
        <w:t xml:space="preserve">24 June </w:t>
      </w:r>
      <w:r w:rsidR="00FB767F">
        <w:rPr>
          <w:szCs w:val="22"/>
        </w:rPr>
        <w:t>2025</w:t>
      </w:r>
    </w:p>
    <w:p w14:paraId="44A9441F" w14:textId="172F2B4D" w:rsidR="00FA06CA" w:rsidRPr="00BC5754" w:rsidRDefault="00FA06CA" w:rsidP="00FA06CA">
      <w:pPr>
        <w:keepNext/>
        <w:tabs>
          <w:tab w:val="left" w:pos="3402"/>
        </w:tabs>
        <w:spacing w:before="840" w:after="1080" w:line="300" w:lineRule="atLeast"/>
        <w:ind w:right="397"/>
        <w:rPr>
          <w:szCs w:val="22"/>
        </w:rPr>
      </w:pPr>
    </w:p>
    <w:p w14:paraId="2CA730A1" w14:textId="21C3A18A" w:rsidR="00FA06CA" w:rsidRPr="00BC5754" w:rsidRDefault="008668A6" w:rsidP="00FA06CA">
      <w:pPr>
        <w:keepNext/>
        <w:tabs>
          <w:tab w:val="left" w:pos="3402"/>
        </w:tabs>
        <w:spacing w:before="480" w:line="300" w:lineRule="atLeast"/>
        <w:ind w:right="397"/>
        <w:rPr>
          <w:szCs w:val="22"/>
        </w:rPr>
      </w:pPr>
      <w:r>
        <w:rPr>
          <w:szCs w:val="22"/>
        </w:rPr>
        <w:t>Tim Ayres</w:t>
      </w:r>
    </w:p>
    <w:p w14:paraId="3FAE5E42" w14:textId="0708DD37" w:rsidR="008668A6" w:rsidRPr="008668A6" w:rsidRDefault="00FA06CA" w:rsidP="008668A6">
      <w:pPr>
        <w:pStyle w:val="SignCoverPageEnd"/>
        <w:rPr>
          <w:szCs w:val="22"/>
        </w:rPr>
      </w:pPr>
      <w:r w:rsidRPr="00D30E37">
        <w:rPr>
          <w:szCs w:val="22"/>
        </w:rPr>
        <w:t xml:space="preserve">Minister for </w:t>
      </w:r>
      <w:r w:rsidR="008668A6">
        <w:rPr>
          <w:szCs w:val="22"/>
        </w:rPr>
        <w:t>Industry and Innovation</w:t>
      </w:r>
      <w:r w:rsidR="008668A6">
        <w:rPr>
          <w:szCs w:val="22"/>
        </w:rPr>
        <w:br/>
      </w:r>
      <w:r w:rsidR="00C722CB">
        <w:rPr>
          <w:szCs w:val="22"/>
        </w:rPr>
        <w:t>Minister for Science</w:t>
      </w:r>
      <w:r w:rsidR="00C722CB">
        <w:rPr>
          <w:szCs w:val="22"/>
        </w:rPr>
        <w:br/>
        <w:t xml:space="preserve">for the </w:t>
      </w:r>
      <w:r w:rsidR="00C722CB" w:rsidRPr="00C722CB">
        <w:rPr>
          <w:szCs w:val="22"/>
        </w:rPr>
        <w:t>Assistant Minister for Productivity, Competition, Charities and Treasu</w:t>
      </w:r>
      <w:r w:rsidR="00C722CB">
        <w:rPr>
          <w:szCs w:val="22"/>
        </w:rPr>
        <w:t>ry</w:t>
      </w:r>
    </w:p>
    <w:p w14:paraId="412837E5" w14:textId="77777777" w:rsidR="00FA06CA" w:rsidRPr="00BC5754" w:rsidRDefault="00FA06CA" w:rsidP="00FA06CA">
      <w:pPr>
        <w:rPr>
          <w:rStyle w:val="CharAmSchNo"/>
        </w:rPr>
      </w:pPr>
    </w:p>
    <w:p w14:paraId="3EF5346B" w14:textId="77777777" w:rsidR="00FA06CA" w:rsidRPr="00ED79B6" w:rsidRDefault="00FA06CA" w:rsidP="00FA06CA">
      <w:pPr>
        <w:pStyle w:val="Header"/>
        <w:tabs>
          <w:tab w:val="clear" w:pos="4150"/>
          <w:tab w:val="clear" w:pos="8307"/>
        </w:tabs>
      </w:pPr>
      <w:r w:rsidRPr="00ED79B6">
        <w:rPr>
          <w:rStyle w:val="CharChapNo"/>
        </w:rPr>
        <w:t xml:space="preserve"> </w:t>
      </w:r>
      <w:r w:rsidRPr="00ED79B6">
        <w:rPr>
          <w:rStyle w:val="CharChapText"/>
        </w:rPr>
        <w:t xml:space="preserve"> </w:t>
      </w:r>
    </w:p>
    <w:p w14:paraId="5FE8B9BF" w14:textId="77777777" w:rsidR="00FA06CA" w:rsidRPr="00ED79B6" w:rsidRDefault="00FA06CA" w:rsidP="00FA06CA">
      <w:pPr>
        <w:pStyle w:val="Header"/>
        <w:tabs>
          <w:tab w:val="clear" w:pos="4150"/>
          <w:tab w:val="clear" w:pos="8307"/>
        </w:tabs>
      </w:pPr>
      <w:r w:rsidRPr="00ED79B6">
        <w:rPr>
          <w:rStyle w:val="CharPartNo"/>
        </w:rPr>
        <w:t xml:space="preserve"> </w:t>
      </w:r>
      <w:r w:rsidRPr="00ED79B6">
        <w:rPr>
          <w:rStyle w:val="CharPartText"/>
        </w:rPr>
        <w:t xml:space="preserve"> </w:t>
      </w:r>
    </w:p>
    <w:p w14:paraId="7E2ABC29" w14:textId="77777777" w:rsidR="00FA06CA" w:rsidRPr="00ED79B6" w:rsidRDefault="00FA06CA" w:rsidP="00FA06CA">
      <w:pPr>
        <w:pStyle w:val="Header"/>
        <w:tabs>
          <w:tab w:val="clear" w:pos="4150"/>
          <w:tab w:val="clear" w:pos="8307"/>
        </w:tabs>
      </w:pPr>
      <w:r w:rsidRPr="00ED79B6">
        <w:rPr>
          <w:rStyle w:val="CharDivNo"/>
        </w:rPr>
        <w:t xml:space="preserve"> </w:t>
      </w:r>
      <w:r w:rsidRPr="00ED79B6">
        <w:rPr>
          <w:rStyle w:val="CharDivText"/>
        </w:rPr>
        <w:t xml:space="preserve"> </w:t>
      </w:r>
    </w:p>
    <w:p w14:paraId="488160B0" w14:textId="77777777" w:rsidR="00FA06CA" w:rsidRDefault="00FA06CA" w:rsidP="00FA06CA">
      <w:pPr>
        <w:sectPr w:rsidR="00FA06CA" w:rsidSect="005A6950">
          <w:headerReference w:type="even" r:id="rId9"/>
          <w:headerReference w:type="default"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26671A14" w14:textId="77777777" w:rsidR="00FA06CA" w:rsidRDefault="00FA06CA" w:rsidP="00FA06CA">
      <w:pPr>
        <w:outlineLvl w:val="0"/>
        <w:rPr>
          <w:sz w:val="36"/>
        </w:rPr>
      </w:pPr>
      <w:r w:rsidRPr="007A1328">
        <w:rPr>
          <w:sz w:val="36"/>
        </w:rPr>
        <w:lastRenderedPageBreak/>
        <w:t>Contents</w:t>
      </w:r>
    </w:p>
    <w:p w14:paraId="3F694BD8" w14:textId="688BEEF1" w:rsidR="00644095" w:rsidRDefault="00644095">
      <w:pPr>
        <w:pStyle w:val="TOC2"/>
        <w:rPr>
          <w:rFonts w:asciiTheme="minorHAnsi" w:eastAsiaTheme="minorEastAsia" w:hAnsiTheme="minorHAnsi" w:cstheme="minorBidi"/>
          <w:b w:val="0"/>
          <w:noProof/>
          <w:kern w:val="2"/>
          <w:szCs w:val="24"/>
          <w14:ligatures w14:val="standardContextual"/>
        </w:rPr>
      </w:pPr>
      <w:r>
        <w:fldChar w:fldCharType="begin"/>
      </w:r>
      <w:r>
        <w:instrText xml:space="preserve"> TOC \o "1-9" </w:instrText>
      </w:r>
      <w:r>
        <w:fldChar w:fldCharType="separate"/>
      </w:r>
      <w:r>
        <w:rPr>
          <w:noProof/>
        </w:rPr>
        <w:t>Part 1—Preliminary</w:t>
      </w:r>
      <w:r w:rsidRPr="00644095">
        <w:rPr>
          <w:b w:val="0"/>
          <w:noProof/>
          <w:sz w:val="18"/>
        </w:rPr>
        <w:tab/>
      </w:r>
      <w:r w:rsidRPr="00644095">
        <w:rPr>
          <w:b w:val="0"/>
          <w:noProof/>
          <w:sz w:val="18"/>
        </w:rPr>
        <w:fldChar w:fldCharType="begin"/>
      </w:r>
      <w:r w:rsidRPr="00644095">
        <w:rPr>
          <w:b w:val="0"/>
          <w:noProof/>
          <w:sz w:val="18"/>
        </w:rPr>
        <w:instrText xml:space="preserve"> PAGEREF _Toc200528065 \h </w:instrText>
      </w:r>
      <w:r w:rsidRPr="00644095">
        <w:rPr>
          <w:b w:val="0"/>
          <w:noProof/>
          <w:sz w:val="18"/>
        </w:rPr>
      </w:r>
      <w:r w:rsidRPr="00644095">
        <w:rPr>
          <w:b w:val="0"/>
          <w:noProof/>
          <w:sz w:val="18"/>
        </w:rPr>
        <w:fldChar w:fldCharType="separate"/>
      </w:r>
      <w:r w:rsidR="00875FBF">
        <w:rPr>
          <w:b w:val="0"/>
          <w:noProof/>
          <w:sz w:val="18"/>
        </w:rPr>
        <w:t>1</w:t>
      </w:r>
      <w:r w:rsidRPr="00644095">
        <w:rPr>
          <w:b w:val="0"/>
          <w:noProof/>
          <w:sz w:val="18"/>
        </w:rPr>
        <w:fldChar w:fldCharType="end"/>
      </w:r>
    </w:p>
    <w:p w14:paraId="458F82D9" w14:textId="3859D909" w:rsidR="00644095" w:rsidRDefault="00644095">
      <w:pPr>
        <w:pStyle w:val="TOC5"/>
        <w:rPr>
          <w:rFonts w:asciiTheme="minorHAnsi" w:eastAsiaTheme="minorEastAsia" w:hAnsiTheme="minorHAnsi" w:cstheme="minorBidi"/>
          <w:noProof/>
          <w:kern w:val="2"/>
          <w:sz w:val="24"/>
          <w:szCs w:val="24"/>
          <w14:ligatures w14:val="standardContextual"/>
        </w:rPr>
      </w:pPr>
      <w:r>
        <w:rPr>
          <w:noProof/>
        </w:rPr>
        <w:t>1</w:t>
      </w:r>
      <w:r>
        <w:rPr>
          <w:noProof/>
        </w:rPr>
        <w:tab/>
        <w:t>Name</w:t>
      </w:r>
      <w:r w:rsidRPr="00644095">
        <w:rPr>
          <w:noProof/>
        </w:rPr>
        <w:tab/>
      </w:r>
      <w:r w:rsidRPr="00644095">
        <w:rPr>
          <w:noProof/>
        </w:rPr>
        <w:fldChar w:fldCharType="begin"/>
      </w:r>
      <w:r w:rsidRPr="00644095">
        <w:rPr>
          <w:noProof/>
        </w:rPr>
        <w:instrText xml:space="preserve"> PAGEREF _Toc200528066 \h </w:instrText>
      </w:r>
      <w:r w:rsidRPr="00644095">
        <w:rPr>
          <w:noProof/>
        </w:rPr>
      </w:r>
      <w:r w:rsidRPr="00644095">
        <w:rPr>
          <w:noProof/>
        </w:rPr>
        <w:fldChar w:fldCharType="separate"/>
      </w:r>
      <w:r w:rsidR="00875FBF">
        <w:rPr>
          <w:noProof/>
        </w:rPr>
        <w:t>1</w:t>
      </w:r>
      <w:r w:rsidRPr="00644095">
        <w:rPr>
          <w:noProof/>
        </w:rPr>
        <w:fldChar w:fldCharType="end"/>
      </w:r>
    </w:p>
    <w:p w14:paraId="2D9B8F75" w14:textId="02055475" w:rsidR="00644095" w:rsidRDefault="00644095">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644095">
        <w:rPr>
          <w:noProof/>
        </w:rPr>
        <w:tab/>
      </w:r>
      <w:r w:rsidRPr="00644095">
        <w:rPr>
          <w:noProof/>
        </w:rPr>
        <w:fldChar w:fldCharType="begin"/>
      </w:r>
      <w:r w:rsidRPr="00644095">
        <w:rPr>
          <w:noProof/>
        </w:rPr>
        <w:instrText xml:space="preserve"> PAGEREF _Toc200528067 \h </w:instrText>
      </w:r>
      <w:r w:rsidRPr="00644095">
        <w:rPr>
          <w:noProof/>
        </w:rPr>
      </w:r>
      <w:r w:rsidRPr="00644095">
        <w:rPr>
          <w:noProof/>
        </w:rPr>
        <w:fldChar w:fldCharType="separate"/>
      </w:r>
      <w:r w:rsidR="00875FBF">
        <w:rPr>
          <w:noProof/>
        </w:rPr>
        <w:t>1</w:t>
      </w:r>
      <w:r w:rsidRPr="00644095">
        <w:rPr>
          <w:noProof/>
        </w:rPr>
        <w:fldChar w:fldCharType="end"/>
      </w:r>
    </w:p>
    <w:p w14:paraId="43DB4010" w14:textId="2184E47C" w:rsidR="00644095" w:rsidRDefault="00644095">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644095">
        <w:rPr>
          <w:noProof/>
        </w:rPr>
        <w:tab/>
      </w:r>
      <w:r w:rsidRPr="00644095">
        <w:rPr>
          <w:noProof/>
        </w:rPr>
        <w:fldChar w:fldCharType="begin"/>
      </w:r>
      <w:r w:rsidRPr="00644095">
        <w:rPr>
          <w:noProof/>
        </w:rPr>
        <w:instrText xml:space="preserve"> PAGEREF _Toc200528068 \h </w:instrText>
      </w:r>
      <w:r w:rsidRPr="00644095">
        <w:rPr>
          <w:noProof/>
        </w:rPr>
      </w:r>
      <w:r w:rsidRPr="00644095">
        <w:rPr>
          <w:noProof/>
        </w:rPr>
        <w:fldChar w:fldCharType="separate"/>
      </w:r>
      <w:r w:rsidR="00875FBF">
        <w:rPr>
          <w:noProof/>
        </w:rPr>
        <w:t>1</w:t>
      </w:r>
      <w:r w:rsidRPr="00644095">
        <w:rPr>
          <w:noProof/>
        </w:rPr>
        <w:fldChar w:fldCharType="end"/>
      </w:r>
    </w:p>
    <w:p w14:paraId="4D35875E" w14:textId="242C6E9A" w:rsidR="00644095" w:rsidRDefault="00644095">
      <w:pPr>
        <w:pStyle w:val="TOC5"/>
        <w:rPr>
          <w:rFonts w:asciiTheme="minorHAnsi" w:eastAsiaTheme="minorEastAsia" w:hAnsiTheme="minorHAnsi" w:cstheme="minorBidi"/>
          <w:noProof/>
          <w:kern w:val="2"/>
          <w:sz w:val="24"/>
          <w:szCs w:val="24"/>
          <w14:ligatures w14:val="standardContextual"/>
        </w:rPr>
      </w:pPr>
      <w:r>
        <w:rPr>
          <w:noProof/>
        </w:rPr>
        <w:t>4</w:t>
      </w:r>
      <w:r>
        <w:rPr>
          <w:noProof/>
        </w:rPr>
        <w:tab/>
        <w:t>Definitions</w:t>
      </w:r>
      <w:r w:rsidRPr="00644095">
        <w:rPr>
          <w:noProof/>
        </w:rPr>
        <w:tab/>
      </w:r>
      <w:r w:rsidRPr="00644095">
        <w:rPr>
          <w:noProof/>
        </w:rPr>
        <w:fldChar w:fldCharType="begin"/>
      </w:r>
      <w:r w:rsidRPr="00644095">
        <w:rPr>
          <w:noProof/>
        </w:rPr>
        <w:instrText xml:space="preserve"> PAGEREF _Toc200528069 \h </w:instrText>
      </w:r>
      <w:r w:rsidRPr="00644095">
        <w:rPr>
          <w:noProof/>
        </w:rPr>
      </w:r>
      <w:r w:rsidRPr="00644095">
        <w:rPr>
          <w:noProof/>
        </w:rPr>
        <w:fldChar w:fldCharType="separate"/>
      </w:r>
      <w:r w:rsidR="00875FBF">
        <w:rPr>
          <w:noProof/>
        </w:rPr>
        <w:t>1</w:t>
      </w:r>
      <w:r w:rsidRPr="00644095">
        <w:rPr>
          <w:noProof/>
        </w:rPr>
        <w:fldChar w:fldCharType="end"/>
      </w:r>
    </w:p>
    <w:p w14:paraId="19970E06" w14:textId="11C3A71B" w:rsidR="00644095" w:rsidRDefault="00644095">
      <w:pPr>
        <w:pStyle w:val="TOC2"/>
        <w:rPr>
          <w:rFonts w:asciiTheme="minorHAnsi" w:eastAsiaTheme="minorEastAsia" w:hAnsiTheme="minorHAnsi" w:cstheme="minorBidi"/>
          <w:b w:val="0"/>
          <w:noProof/>
          <w:kern w:val="2"/>
          <w:szCs w:val="24"/>
          <w14:ligatures w14:val="standardContextual"/>
        </w:rPr>
      </w:pPr>
      <w:r>
        <w:rPr>
          <w:noProof/>
        </w:rPr>
        <w:t>Part 2—Information requirements</w:t>
      </w:r>
      <w:r w:rsidRPr="00644095">
        <w:rPr>
          <w:b w:val="0"/>
          <w:noProof/>
          <w:sz w:val="18"/>
        </w:rPr>
        <w:tab/>
      </w:r>
      <w:r w:rsidRPr="00644095">
        <w:rPr>
          <w:b w:val="0"/>
          <w:noProof/>
          <w:sz w:val="18"/>
        </w:rPr>
        <w:fldChar w:fldCharType="begin"/>
      </w:r>
      <w:r w:rsidRPr="00644095">
        <w:rPr>
          <w:b w:val="0"/>
          <w:noProof/>
          <w:sz w:val="18"/>
        </w:rPr>
        <w:instrText xml:space="preserve"> PAGEREF _Toc200528070 \h </w:instrText>
      </w:r>
      <w:r w:rsidRPr="00644095">
        <w:rPr>
          <w:b w:val="0"/>
          <w:noProof/>
          <w:sz w:val="18"/>
        </w:rPr>
      </w:r>
      <w:r w:rsidRPr="00644095">
        <w:rPr>
          <w:b w:val="0"/>
          <w:noProof/>
          <w:sz w:val="18"/>
        </w:rPr>
        <w:fldChar w:fldCharType="separate"/>
      </w:r>
      <w:r w:rsidR="00875FBF">
        <w:rPr>
          <w:b w:val="0"/>
          <w:noProof/>
          <w:sz w:val="18"/>
        </w:rPr>
        <w:t>3</w:t>
      </w:r>
      <w:r w:rsidRPr="00644095">
        <w:rPr>
          <w:b w:val="0"/>
          <w:noProof/>
          <w:sz w:val="18"/>
        </w:rPr>
        <w:fldChar w:fldCharType="end"/>
      </w:r>
    </w:p>
    <w:p w14:paraId="5301ACBB" w14:textId="68E955C7" w:rsidR="00644095" w:rsidRDefault="00644095">
      <w:pPr>
        <w:pStyle w:val="TOC5"/>
        <w:rPr>
          <w:rFonts w:asciiTheme="minorHAnsi" w:eastAsiaTheme="minorEastAsia" w:hAnsiTheme="minorHAnsi" w:cstheme="minorBidi"/>
          <w:noProof/>
          <w:kern w:val="2"/>
          <w:sz w:val="24"/>
          <w:szCs w:val="24"/>
          <w14:ligatures w14:val="standardContextual"/>
        </w:rPr>
      </w:pPr>
      <w:r>
        <w:rPr>
          <w:noProof/>
        </w:rPr>
        <w:t>5</w:t>
      </w:r>
      <w:r>
        <w:rPr>
          <w:noProof/>
        </w:rPr>
        <w:tab/>
        <w:t>Information requirement for supplies of seafood for immediate consumption</w:t>
      </w:r>
      <w:r w:rsidRPr="00644095">
        <w:rPr>
          <w:noProof/>
        </w:rPr>
        <w:tab/>
      </w:r>
      <w:r w:rsidRPr="00644095">
        <w:rPr>
          <w:noProof/>
        </w:rPr>
        <w:fldChar w:fldCharType="begin"/>
      </w:r>
      <w:r w:rsidRPr="00644095">
        <w:rPr>
          <w:noProof/>
        </w:rPr>
        <w:instrText xml:space="preserve"> PAGEREF _Toc200528071 \h </w:instrText>
      </w:r>
      <w:r w:rsidRPr="00644095">
        <w:rPr>
          <w:noProof/>
        </w:rPr>
      </w:r>
      <w:r w:rsidRPr="00644095">
        <w:rPr>
          <w:noProof/>
        </w:rPr>
        <w:fldChar w:fldCharType="separate"/>
      </w:r>
      <w:r w:rsidR="00875FBF">
        <w:rPr>
          <w:noProof/>
        </w:rPr>
        <w:t>3</w:t>
      </w:r>
      <w:r w:rsidRPr="00644095">
        <w:rPr>
          <w:noProof/>
        </w:rPr>
        <w:fldChar w:fldCharType="end"/>
      </w:r>
    </w:p>
    <w:p w14:paraId="024C76C0" w14:textId="607EBB73" w:rsidR="00644095" w:rsidRDefault="00644095">
      <w:pPr>
        <w:pStyle w:val="TOC5"/>
        <w:rPr>
          <w:rFonts w:asciiTheme="minorHAnsi" w:eastAsiaTheme="minorEastAsia" w:hAnsiTheme="minorHAnsi" w:cstheme="minorBidi"/>
          <w:noProof/>
          <w:kern w:val="2"/>
          <w:sz w:val="24"/>
          <w:szCs w:val="24"/>
          <w14:ligatures w14:val="standardContextual"/>
        </w:rPr>
      </w:pPr>
      <w:r>
        <w:rPr>
          <w:noProof/>
        </w:rPr>
        <w:t>6</w:t>
      </w:r>
      <w:r>
        <w:rPr>
          <w:noProof/>
        </w:rPr>
        <w:tab/>
        <w:t>Certain information must be made available on request</w:t>
      </w:r>
      <w:r w:rsidRPr="00644095">
        <w:rPr>
          <w:noProof/>
        </w:rPr>
        <w:tab/>
      </w:r>
      <w:r w:rsidRPr="00644095">
        <w:rPr>
          <w:noProof/>
        </w:rPr>
        <w:fldChar w:fldCharType="begin"/>
      </w:r>
      <w:r w:rsidRPr="00644095">
        <w:rPr>
          <w:noProof/>
        </w:rPr>
        <w:instrText xml:space="preserve"> PAGEREF _Toc200528072 \h </w:instrText>
      </w:r>
      <w:r w:rsidRPr="00644095">
        <w:rPr>
          <w:noProof/>
        </w:rPr>
      </w:r>
      <w:r w:rsidRPr="00644095">
        <w:rPr>
          <w:noProof/>
        </w:rPr>
        <w:fldChar w:fldCharType="separate"/>
      </w:r>
      <w:r w:rsidR="00875FBF">
        <w:rPr>
          <w:noProof/>
        </w:rPr>
        <w:t>4</w:t>
      </w:r>
      <w:r w:rsidRPr="00644095">
        <w:rPr>
          <w:noProof/>
        </w:rPr>
        <w:fldChar w:fldCharType="end"/>
      </w:r>
    </w:p>
    <w:p w14:paraId="4A745E0B" w14:textId="456C6B50" w:rsidR="00644095" w:rsidRDefault="00644095">
      <w:pPr>
        <w:pStyle w:val="TOC5"/>
        <w:rPr>
          <w:rFonts w:asciiTheme="minorHAnsi" w:eastAsiaTheme="minorEastAsia" w:hAnsiTheme="minorHAnsi" w:cstheme="minorBidi"/>
          <w:noProof/>
          <w:kern w:val="2"/>
          <w:sz w:val="24"/>
          <w:szCs w:val="24"/>
          <w14:ligatures w14:val="standardContextual"/>
        </w:rPr>
      </w:pPr>
      <w:r>
        <w:rPr>
          <w:noProof/>
        </w:rPr>
        <w:t>7</w:t>
      </w:r>
      <w:r>
        <w:rPr>
          <w:noProof/>
        </w:rPr>
        <w:tab/>
        <w:t>Record keeping</w:t>
      </w:r>
      <w:r w:rsidRPr="00644095">
        <w:rPr>
          <w:noProof/>
        </w:rPr>
        <w:tab/>
      </w:r>
      <w:r w:rsidRPr="00644095">
        <w:rPr>
          <w:noProof/>
        </w:rPr>
        <w:fldChar w:fldCharType="begin"/>
      </w:r>
      <w:r w:rsidRPr="00644095">
        <w:rPr>
          <w:noProof/>
        </w:rPr>
        <w:instrText xml:space="preserve"> PAGEREF _Toc200528073 \h </w:instrText>
      </w:r>
      <w:r w:rsidRPr="00644095">
        <w:rPr>
          <w:noProof/>
        </w:rPr>
      </w:r>
      <w:r w:rsidRPr="00644095">
        <w:rPr>
          <w:noProof/>
        </w:rPr>
        <w:fldChar w:fldCharType="separate"/>
      </w:r>
      <w:r w:rsidR="00875FBF">
        <w:rPr>
          <w:noProof/>
        </w:rPr>
        <w:t>5</w:t>
      </w:r>
      <w:r w:rsidRPr="00644095">
        <w:rPr>
          <w:noProof/>
        </w:rPr>
        <w:fldChar w:fldCharType="end"/>
      </w:r>
    </w:p>
    <w:p w14:paraId="158C3D4D" w14:textId="6D48B1F9" w:rsidR="00FA06CA" w:rsidRDefault="00644095" w:rsidP="00FA06CA">
      <w:r>
        <w:fldChar w:fldCharType="end"/>
      </w:r>
    </w:p>
    <w:p w14:paraId="4018676C" w14:textId="77777777" w:rsidR="00FA06CA" w:rsidRDefault="00FA06CA" w:rsidP="00FA06CA">
      <w:pPr>
        <w:sectPr w:rsidR="00FA06CA" w:rsidSect="005A6950">
          <w:headerReference w:type="even" r:id="rId14"/>
          <w:headerReference w:type="default" r:id="rId15"/>
          <w:footerReference w:type="even" r:id="rId16"/>
          <w:footerReference w:type="default" r:id="rId17"/>
          <w:headerReference w:type="first" r:id="rId18"/>
          <w:footerReference w:type="first" r:id="rId19"/>
          <w:pgSz w:w="11907" w:h="16839"/>
          <w:pgMar w:top="2099" w:right="1797" w:bottom="1440" w:left="1797" w:header="720" w:footer="709" w:gutter="0"/>
          <w:pgNumType w:fmt="lowerRoman" w:start="1"/>
          <w:cols w:space="708"/>
          <w:docGrid w:linePitch="360"/>
        </w:sectPr>
      </w:pPr>
    </w:p>
    <w:p w14:paraId="40792087" w14:textId="076A7E4F" w:rsidR="00C90BC6" w:rsidRPr="00C90BC6" w:rsidRDefault="00C90BC6" w:rsidP="00C90BC6">
      <w:pPr>
        <w:pStyle w:val="ActHead2"/>
        <w:pageBreakBefore/>
        <w:rPr>
          <w:lang w:eastAsia="en-US"/>
        </w:rPr>
      </w:pPr>
      <w:bookmarkStart w:id="8" w:name="_Toc200528065"/>
      <w:r w:rsidRPr="00C90BC6">
        <w:rPr>
          <w:rStyle w:val="CharPartNo"/>
        </w:rPr>
        <w:lastRenderedPageBreak/>
        <w:t>Part 1</w:t>
      </w:r>
      <w:r>
        <w:t>—</w:t>
      </w:r>
      <w:r w:rsidRPr="00C90BC6">
        <w:rPr>
          <w:rStyle w:val="CharPartText"/>
        </w:rPr>
        <w:t>Preliminary</w:t>
      </w:r>
      <w:bookmarkEnd w:id="8"/>
    </w:p>
    <w:p w14:paraId="750044BE" w14:textId="77777777" w:rsidR="00FA06CA" w:rsidRDefault="00FA06CA" w:rsidP="00FA06CA">
      <w:pPr>
        <w:pStyle w:val="Header"/>
      </w:pPr>
      <w:r>
        <w:t xml:space="preserve">  </w:t>
      </w:r>
    </w:p>
    <w:p w14:paraId="265A267D" w14:textId="77777777" w:rsidR="00FA06CA" w:rsidRDefault="00FA06CA" w:rsidP="00FA06CA">
      <w:pPr>
        <w:pStyle w:val="ActHead5"/>
      </w:pPr>
      <w:bookmarkStart w:id="9" w:name="_Toc200528066"/>
      <w:r w:rsidRPr="00C2746F">
        <w:rPr>
          <w:rStyle w:val="CharSectno"/>
        </w:rPr>
        <w:t>1</w:t>
      </w:r>
      <w:r>
        <w:t xml:space="preserve">  Name</w:t>
      </w:r>
      <w:bookmarkEnd w:id="9"/>
    </w:p>
    <w:p w14:paraId="6B833E62" w14:textId="09BFC7B9" w:rsidR="00FA06CA" w:rsidRPr="009A038B" w:rsidRDefault="00FA06CA" w:rsidP="00FA06CA">
      <w:pPr>
        <w:pStyle w:val="subsection"/>
      </w:pPr>
      <w:r w:rsidRPr="009A038B">
        <w:tab/>
      </w:r>
      <w:r w:rsidRPr="009A038B">
        <w:tab/>
      </w:r>
      <w:r>
        <w:t xml:space="preserve">This instrument is the </w:t>
      </w:r>
      <w:r w:rsidR="005100D3" w:rsidRPr="005100D3">
        <w:rPr>
          <w:i/>
          <w:noProof/>
        </w:rPr>
        <w:t>Competition and Consumer (Australian Consumer Law—Country of Origin Information for Seafood for Immediate Consumption) Information Standard 2025</w:t>
      </w:r>
      <w:r w:rsidRPr="009A038B">
        <w:t>.</w:t>
      </w:r>
    </w:p>
    <w:p w14:paraId="24FD1F8D" w14:textId="77777777" w:rsidR="00FA06CA" w:rsidRDefault="00FA06CA" w:rsidP="00FA06CA">
      <w:pPr>
        <w:pStyle w:val="ActHead5"/>
      </w:pPr>
      <w:bookmarkStart w:id="10" w:name="_Toc200528067"/>
      <w:r w:rsidRPr="009A038B">
        <w:rPr>
          <w:rStyle w:val="CharSectno"/>
        </w:rPr>
        <w:t>2</w:t>
      </w:r>
      <w:r w:rsidRPr="009A038B">
        <w:t xml:space="preserve">  Commencement</w:t>
      </w:r>
      <w:bookmarkEnd w:id="10"/>
    </w:p>
    <w:p w14:paraId="1DB03812" w14:textId="49EA0495" w:rsidR="00FA06CA" w:rsidRDefault="00FA06CA" w:rsidP="00FA06CA">
      <w:pPr>
        <w:pStyle w:val="subsection"/>
      </w:pPr>
      <w:r>
        <w:tab/>
        <w:t>(1)</w:t>
      </w:r>
      <w:r>
        <w:tab/>
        <w:t xml:space="preserve">Each provision of </w:t>
      </w:r>
      <w:r w:rsidR="00363786">
        <w:t xml:space="preserve">this </w:t>
      </w:r>
      <w:r>
        <w:t>instrument specified in column 1 of the table commences, or is taken to have commenced, in accordance with column 2 of the table. Any other statement in column 2 has effect according to its terms.</w:t>
      </w:r>
    </w:p>
    <w:p w14:paraId="0C63C7D5" w14:textId="77777777" w:rsidR="00FA06CA" w:rsidRDefault="00FA06CA" w:rsidP="00FA06CA">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FA06CA" w14:paraId="7A71E1B0" w14:textId="77777777" w:rsidTr="00261699">
        <w:trPr>
          <w:tblHeader/>
        </w:trPr>
        <w:tc>
          <w:tcPr>
            <w:tcW w:w="8364" w:type="dxa"/>
            <w:gridSpan w:val="3"/>
            <w:tcBorders>
              <w:top w:val="single" w:sz="12" w:space="0" w:color="auto"/>
              <w:bottom w:val="single" w:sz="6" w:space="0" w:color="auto"/>
            </w:tcBorders>
            <w:hideMark/>
          </w:tcPr>
          <w:p w14:paraId="6AF6002E" w14:textId="77777777" w:rsidR="00FA06CA" w:rsidRPr="00416235" w:rsidRDefault="00FA06CA" w:rsidP="005A6950">
            <w:pPr>
              <w:pStyle w:val="TableHeading"/>
            </w:pPr>
            <w:r w:rsidRPr="00416235">
              <w:t>Commencement information</w:t>
            </w:r>
          </w:p>
        </w:tc>
      </w:tr>
      <w:tr w:rsidR="00FA06CA" w:rsidRPr="00416235" w14:paraId="3DEF74A2" w14:textId="77777777" w:rsidTr="00261699">
        <w:trPr>
          <w:tblHeader/>
        </w:trPr>
        <w:tc>
          <w:tcPr>
            <w:tcW w:w="2127" w:type="dxa"/>
            <w:tcBorders>
              <w:top w:val="single" w:sz="6" w:space="0" w:color="auto"/>
              <w:bottom w:val="single" w:sz="6" w:space="0" w:color="auto"/>
            </w:tcBorders>
            <w:hideMark/>
          </w:tcPr>
          <w:p w14:paraId="7DEC1C3D" w14:textId="77777777" w:rsidR="00FA06CA" w:rsidRPr="00416235" w:rsidRDefault="00FA06CA" w:rsidP="005A6950">
            <w:pPr>
              <w:pStyle w:val="TableHeading"/>
            </w:pPr>
            <w:r w:rsidRPr="00416235">
              <w:t>Column 1</w:t>
            </w:r>
          </w:p>
        </w:tc>
        <w:tc>
          <w:tcPr>
            <w:tcW w:w="4394" w:type="dxa"/>
            <w:tcBorders>
              <w:top w:val="single" w:sz="6" w:space="0" w:color="auto"/>
              <w:bottom w:val="single" w:sz="6" w:space="0" w:color="auto"/>
            </w:tcBorders>
            <w:hideMark/>
          </w:tcPr>
          <w:p w14:paraId="66044160" w14:textId="77777777" w:rsidR="00FA06CA" w:rsidRPr="00416235" w:rsidRDefault="00FA06CA" w:rsidP="005A6950">
            <w:pPr>
              <w:pStyle w:val="TableHeading"/>
            </w:pPr>
            <w:r w:rsidRPr="00416235">
              <w:t>Column 2</w:t>
            </w:r>
          </w:p>
        </w:tc>
        <w:tc>
          <w:tcPr>
            <w:tcW w:w="1843" w:type="dxa"/>
            <w:tcBorders>
              <w:top w:val="single" w:sz="6" w:space="0" w:color="auto"/>
              <w:bottom w:val="single" w:sz="6" w:space="0" w:color="auto"/>
            </w:tcBorders>
            <w:hideMark/>
          </w:tcPr>
          <w:p w14:paraId="4C4CEB66" w14:textId="77777777" w:rsidR="00FA06CA" w:rsidRPr="00416235" w:rsidRDefault="00FA06CA" w:rsidP="005A6950">
            <w:pPr>
              <w:pStyle w:val="TableHeading"/>
            </w:pPr>
            <w:r w:rsidRPr="00416235">
              <w:t>Column 3</w:t>
            </w:r>
          </w:p>
        </w:tc>
      </w:tr>
      <w:tr w:rsidR="00FA06CA" w14:paraId="200B956B" w14:textId="77777777" w:rsidTr="00261699">
        <w:trPr>
          <w:tblHeader/>
        </w:trPr>
        <w:tc>
          <w:tcPr>
            <w:tcW w:w="2127" w:type="dxa"/>
            <w:tcBorders>
              <w:top w:val="single" w:sz="6" w:space="0" w:color="auto"/>
              <w:bottom w:val="single" w:sz="12" w:space="0" w:color="auto"/>
            </w:tcBorders>
            <w:hideMark/>
          </w:tcPr>
          <w:p w14:paraId="265A36C1" w14:textId="77777777" w:rsidR="00FA06CA" w:rsidRPr="00416235" w:rsidRDefault="00FA06CA" w:rsidP="005A6950">
            <w:pPr>
              <w:pStyle w:val="TableHeading"/>
            </w:pPr>
            <w:r w:rsidRPr="00416235">
              <w:t>Provisions</w:t>
            </w:r>
          </w:p>
        </w:tc>
        <w:tc>
          <w:tcPr>
            <w:tcW w:w="4394" w:type="dxa"/>
            <w:tcBorders>
              <w:top w:val="single" w:sz="6" w:space="0" w:color="auto"/>
              <w:bottom w:val="single" w:sz="12" w:space="0" w:color="auto"/>
            </w:tcBorders>
            <w:hideMark/>
          </w:tcPr>
          <w:p w14:paraId="6DF36406" w14:textId="77777777" w:rsidR="00FA06CA" w:rsidRPr="00416235" w:rsidRDefault="00FA06CA" w:rsidP="005A6950">
            <w:pPr>
              <w:pStyle w:val="TableHeading"/>
            </w:pPr>
            <w:r w:rsidRPr="00416235">
              <w:t>Commencement</w:t>
            </w:r>
          </w:p>
        </w:tc>
        <w:tc>
          <w:tcPr>
            <w:tcW w:w="1843" w:type="dxa"/>
            <w:tcBorders>
              <w:top w:val="single" w:sz="6" w:space="0" w:color="auto"/>
              <w:bottom w:val="single" w:sz="12" w:space="0" w:color="auto"/>
            </w:tcBorders>
            <w:hideMark/>
          </w:tcPr>
          <w:p w14:paraId="2D51392F" w14:textId="77777777" w:rsidR="00FA06CA" w:rsidRPr="00416235" w:rsidRDefault="00FA06CA" w:rsidP="005A6950">
            <w:pPr>
              <w:pStyle w:val="TableHeading"/>
            </w:pPr>
            <w:r w:rsidRPr="00416235">
              <w:t>Date/Details</w:t>
            </w:r>
          </w:p>
        </w:tc>
      </w:tr>
      <w:tr w:rsidR="00FA06CA" w14:paraId="094A8279" w14:textId="77777777" w:rsidTr="00261699">
        <w:tc>
          <w:tcPr>
            <w:tcW w:w="2127" w:type="dxa"/>
            <w:tcBorders>
              <w:top w:val="single" w:sz="12" w:space="0" w:color="auto"/>
              <w:bottom w:val="single" w:sz="12" w:space="0" w:color="auto"/>
            </w:tcBorders>
            <w:hideMark/>
          </w:tcPr>
          <w:p w14:paraId="776FFF70" w14:textId="0C355614" w:rsidR="00FA06CA" w:rsidRDefault="00FA06CA" w:rsidP="005A6950">
            <w:pPr>
              <w:pStyle w:val="Tabletext"/>
            </w:pPr>
            <w:r>
              <w:t xml:space="preserve">1.  </w:t>
            </w:r>
            <w:r w:rsidR="00DC7BF6">
              <w:t>The whole of this instrument</w:t>
            </w:r>
          </w:p>
        </w:tc>
        <w:tc>
          <w:tcPr>
            <w:tcW w:w="4394" w:type="dxa"/>
            <w:tcBorders>
              <w:top w:val="single" w:sz="12" w:space="0" w:color="auto"/>
              <w:bottom w:val="single" w:sz="12" w:space="0" w:color="auto"/>
            </w:tcBorders>
            <w:hideMark/>
          </w:tcPr>
          <w:p w14:paraId="25A2B681" w14:textId="03608757" w:rsidR="00363786" w:rsidRDefault="00363786" w:rsidP="005A6950">
            <w:pPr>
              <w:pStyle w:val="Tabletext"/>
            </w:pPr>
            <w:r>
              <w:t>The later of:</w:t>
            </w:r>
          </w:p>
          <w:p w14:paraId="0A9DE01F" w14:textId="126ACBDA" w:rsidR="00363786" w:rsidRPr="00363786" w:rsidRDefault="00363786" w:rsidP="00D54AE1">
            <w:pPr>
              <w:pStyle w:val="Tablea"/>
            </w:pPr>
            <w:r w:rsidRPr="00363786">
              <w:t>(a) the day after this instrument is registered; and</w:t>
            </w:r>
          </w:p>
          <w:p w14:paraId="1EA7562A" w14:textId="5D278CA3" w:rsidR="00FA06CA" w:rsidRDefault="00363786" w:rsidP="00D54AE1">
            <w:pPr>
              <w:pStyle w:val="Tablea"/>
            </w:pPr>
            <w:r w:rsidRPr="00363786">
              <w:t xml:space="preserve">(b) </w:t>
            </w:r>
            <w:r w:rsidR="00A74FE3" w:rsidRPr="00363786">
              <w:t xml:space="preserve">1 July </w:t>
            </w:r>
            <w:r w:rsidR="00A74FE3" w:rsidRPr="00A74FE3">
              <w:t>2026.</w:t>
            </w:r>
          </w:p>
        </w:tc>
        <w:tc>
          <w:tcPr>
            <w:tcW w:w="1843" w:type="dxa"/>
            <w:tcBorders>
              <w:top w:val="single" w:sz="12" w:space="0" w:color="auto"/>
              <w:bottom w:val="single" w:sz="12" w:space="0" w:color="auto"/>
            </w:tcBorders>
          </w:tcPr>
          <w:p w14:paraId="14A14115" w14:textId="3C70DE1B" w:rsidR="00FA06CA" w:rsidRDefault="00FA06CA" w:rsidP="005A6950">
            <w:pPr>
              <w:pStyle w:val="Tabletext"/>
            </w:pPr>
          </w:p>
        </w:tc>
      </w:tr>
    </w:tbl>
    <w:p w14:paraId="07391841" w14:textId="77777777" w:rsidR="00FA06CA" w:rsidRPr="001E6DD6" w:rsidRDefault="00FA06CA" w:rsidP="00FA06CA">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rPr>
          <w:snapToGrid w:val="0"/>
          <w:lang w:eastAsia="en-US"/>
        </w:rPr>
        <w:t>instrument</w:t>
      </w:r>
      <w:r w:rsidRPr="005F477A">
        <w:rPr>
          <w:snapToGrid w:val="0"/>
          <w:lang w:eastAsia="en-US"/>
        </w:rPr>
        <w:t>.</w:t>
      </w:r>
    </w:p>
    <w:p w14:paraId="34642FFC" w14:textId="77777777" w:rsidR="00FA06CA" w:rsidRDefault="00FA06CA" w:rsidP="00FA06CA">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02919D22" w14:textId="77777777" w:rsidR="00FA06CA" w:rsidRDefault="00FA06CA" w:rsidP="00FA06CA">
      <w:pPr>
        <w:pStyle w:val="ActHead5"/>
      </w:pPr>
      <w:bookmarkStart w:id="11" w:name="_Toc200528068"/>
      <w:r w:rsidRPr="00C2746F">
        <w:rPr>
          <w:rStyle w:val="CharSectno"/>
        </w:rPr>
        <w:t>3</w:t>
      </w:r>
      <w:r>
        <w:t xml:space="preserve">  Authority</w:t>
      </w:r>
      <w:bookmarkEnd w:id="11"/>
    </w:p>
    <w:p w14:paraId="2745D8E0" w14:textId="32EC4C59" w:rsidR="00FA06CA" w:rsidRDefault="00FA06CA" w:rsidP="00FA06CA">
      <w:pPr>
        <w:pStyle w:val="subsection"/>
      </w:pPr>
      <w:r>
        <w:tab/>
      </w:r>
      <w:r>
        <w:tab/>
        <w:t>This instrument is made under</w:t>
      </w:r>
      <w:r w:rsidR="00E33E9F">
        <w:t xml:space="preserve"> </w:t>
      </w:r>
      <w:r w:rsidR="00363786">
        <w:t xml:space="preserve">the </w:t>
      </w:r>
      <w:r w:rsidR="00363786" w:rsidRPr="009718B7">
        <w:rPr>
          <w:i/>
          <w:iCs/>
        </w:rPr>
        <w:t>Competition and Consumer Act 2010</w:t>
      </w:r>
      <w:r w:rsidRPr="00DD61F1">
        <w:t>.</w:t>
      </w:r>
    </w:p>
    <w:p w14:paraId="0F40E533" w14:textId="31708D89" w:rsidR="005B4858" w:rsidRDefault="005B4858" w:rsidP="009718B7">
      <w:pPr>
        <w:pStyle w:val="notetext"/>
      </w:pPr>
      <w:r>
        <w:t>Note:</w:t>
      </w:r>
      <w:r>
        <w:tab/>
      </w:r>
      <w:r w:rsidR="006D1F88">
        <w:t xml:space="preserve">Under </w:t>
      </w:r>
      <w:r w:rsidR="006D1F88" w:rsidRPr="00363786">
        <w:t>subsection 134(1) of Schedule 2 to the Act</w:t>
      </w:r>
      <w:r w:rsidR="006D1F88">
        <w:t xml:space="preserve">, the Minister </w:t>
      </w:r>
      <w:r w:rsidR="00B12F78">
        <w:t>may</w:t>
      </w:r>
      <w:r w:rsidR="006D1F88">
        <w:t xml:space="preserve"> make an information standard </w:t>
      </w:r>
      <w:r w:rsidR="002F6E6E">
        <w:t>in relation to the provision of information for goods or services (or both) of a particular kind.</w:t>
      </w:r>
    </w:p>
    <w:p w14:paraId="6ACF986C" w14:textId="2EB5DF7F" w:rsidR="00FA06CA" w:rsidRPr="00FB3624" w:rsidRDefault="00FB3624" w:rsidP="00FB3624">
      <w:pPr>
        <w:pStyle w:val="ActHead5"/>
      </w:pPr>
      <w:bookmarkStart w:id="12" w:name="_Toc200528069"/>
      <w:r w:rsidRPr="00FB3624">
        <w:rPr>
          <w:rStyle w:val="CharSectno"/>
        </w:rPr>
        <w:t>4</w:t>
      </w:r>
      <w:r w:rsidRPr="00FB3624">
        <w:t xml:space="preserve">  Definitions</w:t>
      </w:r>
      <w:bookmarkEnd w:id="12"/>
    </w:p>
    <w:p w14:paraId="772DA2AD" w14:textId="77777777" w:rsidR="00BD6D96" w:rsidRDefault="00BD6D96" w:rsidP="00D87BD7">
      <w:pPr>
        <w:pStyle w:val="notemargin"/>
      </w:pPr>
      <w:r w:rsidRPr="00BD6D96">
        <w:t>Note</w:t>
      </w:r>
      <w:r>
        <w:t>:</w:t>
      </w:r>
      <w:r>
        <w:tab/>
      </w:r>
      <w:r w:rsidRPr="00BD6D96">
        <w:t xml:space="preserve">Expressions have the same </w:t>
      </w:r>
      <w:r w:rsidRPr="00363786">
        <w:t>meaning</w:t>
      </w:r>
      <w:r w:rsidRPr="00BD6D96">
        <w:t xml:space="preserve"> in this instrument as in the </w:t>
      </w:r>
      <w:r w:rsidRPr="00E81897">
        <w:rPr>
          <w:i/>
          <w:iCs/>
        </w:rPr>
        <w:t>Competition and Consumer Act 2010</w:t>
      </w:r>
      <w:r w:rsidRPr="00BD6D96">
        <w:t xml:space="preserve"> as in force from time to time—see paragraph 13(1)(b) of the </w:t>
      </w:r>
      <w:r w:rsidRPr="00E81897">
        <w:rPr>
          <w:i/>
          <w:iCs/>
        </w:rPr>
        <w:t>Legislation Act 2003</w:t>
      </w:r>
      <w:r w:rsidRPr="00BD6D96">
        <w:t>.</w:t>
      </w:r>
    </w:p>
    <w:p w14:paraId="3298D005" w14:textId="64F8F49E" w:rsidR="00D80BDE" w:rsidRDefault="00E81897" w:rsidP="00BD6D96">
      <w:pPr>
        <w:pStyle w:val="subsection"/>
      </w:pPr>
      <w:r>
        <w:tab/>
        <w:t>(1)</w:t>
      </w:r>
      <w:r>
        <w:tab/>
      </w:r>
      <w:r w:rsidR="00D80BDE">
        <w:t>In this instrument:</w:t>
      </w:r>
    </w:p>
    <w:p w14:paraId="5FC552B9" w14:textId="4760CB59" w:rsidR="00D52769" w:rsidRDefault="00D52769" w:rsidP="00C80125">
      <w:pPr>
        <w:pStyle w:val="Definition"/>
      </w:pPr>
      <w:r w:rsidRPr="00D52769">
        <w:rPr>
          <w:b/>
          <w:bCs/>
          <w:i/>
          <w:iCs/>
        </w:rPr>
        <w:t>food</w:t>
      </w:r>
      <w:r w:rsidRPr="00D52769">
        <w:t xml:space="preserve"> has the same meaning as in the </w:t>
      </w:r>
      <w:r w:rsidRPr="00B46C1C">
        <w:rPr>
          <w:i/>
          <w:iCs/>
        </w:rPr>
        <w:t xml:space="preserve">Food Standards Australia New Zealand </w:t>
      </w:r>
      <w:r w:rsidRPr="00B46C1C" w:rsidDel="00363786">
        <w:rPr>
          <w:i/>
          <w:iCs/>
        </w:rPr>
        <w:t>Act</w:t>
      </w:r>
      <w:r w:rsidR="00363786">
        <w:rPr>
          <w:i/>
          <w:iCs/>
        </w:rPr>
        <w:t> </w:t>
      </w:r>
      <w:r w:rsidRPr="00B46C1C">
        <w:rPr>
          <w:i/>
          <w:iCs/>
        </w:rPr>
        <w:t>1991</w:t>
      </w:r>
      <w:r w:rsidRPr="00D52769">
        <w:t>.</w:t>
      </w:r>
    </w:p>
    <w:p w14:paraId="002BC076" w14:textId="4343BF22" w:rsidR="00FA5B54" w:rsidRDefault="00FA5B54" w:rsidP="00D87BD7">
      <w:pPr>
        <w:pStyle w:val="Definition"/>
      </w:pPr>
      <w:r w:rsidRPr="00D87BD7">
        <w:rPr>
          <w:b/>
          <w:i/>
          <w:iCs/>
        </w:rPr>
        <w:t>food for special medical purposes</w:t>
      </w:r>
      <w:r w:rsidRPr="00FA5B54">
        <w:t xml:space="preserve"> has the same meaning as in</w:t>
      </w:r>
      <w:r w:rsidR="00706DBF">
        <w:t xml:space="preserve"> the </w:t>
      </w:r>
      <w:r w:rsidR="00706DBF" w:rsidRPr="0095130F">
        <w:rPr>
          <w:i/>
          <w:iCs/>
        </w:rPr>
        <w:t>Australia New Zealand Food Standards Code – Standard 2.9.5 – Food for special medical purposes</w:t>
      </w:r>
      <w:r w:rsidR="00706DBF">
        <w:t xml:space="preserve"> </w:t>
      </w:r>
      <w:r w:rsidR="006D35E3">
        <w:t>as in force from time to time</w:t>
      </w:r>
      <w:r w:rsidRPr="00FA5B54">
        <w:t>.</w:t>
      </w:r>
    </w:p>
    <w:p w14:paraId="227DFCCC" w14:textId="7D2F3705" w:rsidR="00CA796A" w:rsidRDefault="00DF25A8" w:rsidP="005E3D5D">
      <w:pPr>
        <w:pStyle w:val="notetext"/>
      </w:pPr>
      <w:r>
        <w:lastRenderedPageBreak/>
        <w:t>Note:</w:t>
      </w:r>
      <w:r>
        <w:tab/>
      </w:r>
      <w:r w:rsidR="00266935">
        <w:t>In</w:t>
      </w:r>
      <w:r w:rsidR="00E10718">
        <w:t xml:space="preserve"> 2025, </w:t>
      </w:r>
      <w:r w:rsidR="0081424C">
        <w:t xml:space="preserve">the </w:t>
      </w:r>
      <w:r w:rsidR="0081424C" w:rsidRPr="0095130F">
        <w:rPr>
          <w:i/>
          <w:iCs/>
        </w:rPr>
        <w:t>Australia New Zealand Food Standards Code – Standard 2.9.5 – Food for special medical purposes</w:t>
      </w:r>
      <w:r w:rsidR="0081424C">
        <w:t xml:space="preserve"> </w:t>
      </w:r>
      <w:r w:rsidR="003B2607">
        <w:t>[</w:t>
      </w:r>
      <w:r w:rsidR="00CD6EC5" w:rsidRPr="00CD6EC5">
        <w:t>F2024C00915</w:t>
      </w:r>
      <w:r w:rsidR="00CD6EC5">
        <w:t xml:space="preserve">] could be </w:t>
      </w:r>
      <w:r w:rsidR="00037AEA">
        <w:t>viewed</w:t>
      </w:r>
      <w:r w:rsidR="00CD6EC5">
        <w:t xml:space="preserve"> on the Federal Register of Legislation</w:t>
      </w:r>
      <w:r w:rsidR="00266935">
        <w:t xml:space="preserve"> </w:t>
      </w:r>
      <w:r w:rsidR="00037AEA">
        <w:t>(</w:t>
      </w:r>
      <w:r w:rsidR="00636B83" w:rsidRPr="00636B83">
        <w:t>www.legislation.gov.au</w:t>
      </w:r>
      <w:r w:rsidR="00037AEA">
        <w:t>)</w:t>
      </w:r>
      <w:r w:rsidR="00F07577">
        <w:t>.</w:t>
      </w:r>
    </w:p>
    <w:p w14:paraId="3941241D" w14:textId="61508E77" w:rsidR="00900390" w:rsidRDefault="007122C1" w:rsidP="00D87BD7">
      <w:pPr>
        <w:pStyle w:val="Definition"/>
        <w:rPr>
          <w:b/>
          <w:i/>
        </w:rPr>
      </w:pPr>
      <w:r>
        <w:rPr>
          <w:b/>
          <w:i/>
        </w:rPr>
        <w:t>f</w:t>
      </w:r>
      <w:r w:rsidR="00900390" w:rsidRPr="00900390">
        <w:rPr>
          <w:b/>
          <w:i/>
        </w:rPr>
        <w:t>und</w:t>
      </w:r>
      <w:r w:rsidR="00782CCC">
        <w:rPr>
          <w:b/>
          <w:i/>
        </w:rPr>
        <w:t xml:space="preserve"> </w:t>
      </w:r>
      <w:r w:rsidR="00900390" w:rsidRPr="00900390">
        <w:rPr>
          <w:b/>
          <w:i/>
        </w:rPr>
        <w:t>raising</w:t>
      </w:r>
      <w:r w:rsidR="00900390" w:rsidRPr="00FF2E82">
        <w:rPr>
          <w:bCs/>
          <w:iCs/>
        </w:rPr>
        <w:t xml:space="preserve"> </w:t>
      </w:r>
      <w:r w:rsidR="00900390" w:rsidRPr="007D70E2">
        <w:rPr>
          <w:b/>
          <w:i/>
        </w:rPr>
        <w:t>event</w:t>
      </w:r>
      <w:r w:rsidR="00900390" w:rsidRPr="00FF2E82">
        <w:rPr>
          <w:bCs/>
          <w:iCs/>
        </w:rPr>
        <w:t xml:space="preserve"> </w:t>
      </w:r>
      <w:r w:rsidR="00462368" w:rsidRPr="00462368">
        <w:rPr>
          <w:bCs/>
          <w:iCs/>
        </w:rPr>
        <w:t xml:space="preserve">has the same meaning as in the </w:t>
      </w:r>
      <w:r w:rsidR="00462368" w:rsidRPr="006210BA">
        <w:rPr>
          <w:i/>
        </w:rPr>
        <w:t xml:space="preserve">Country of Origin Food Labelling Information Standard </w:t>
      </w:r>
      <w:r w:rsidR="00462368" w:rsidRPr="006210BA">
        <w:rPr>
          <w:bCs/>
          <w:i/>
        </w:rPr>
        <w:t>2016</w:t>
      </w:r>
      <w:r w:rsidR="00900390" w:rsidRPr="00FF2E82">
        <w:rPr>
          <w:bCs/>
          <w:iCs/>
        </w:rPr>
        <w:t>.</w:t>
      </w:r>
    </w:p>
    <w:p w14:paraId="0A9E3697" w14:textId="27D759E7" w:rsidR="00253E3E" w:rsidRPr="00253E3E" w:rsidRDefault="00253E3E" w:rsidP="00D87BD7">
      <w:pPr>
        <w:pStyle w:val="Definition"/>
      </w:pPr>
      <w:r w:rsidRPr="00253E3E">
        <w:rPr>
          <w:b/>
          <w:i/>
        </w:rPr>
        <w:t>harvested in Australia</w:t>
      </w:r>
      <w:r w:rsidRPr="00253E3E">
        <w:t xml:space="preserve">: </w:t>
      </w:r>
      <w:r w:rsidR="005C59E9">
        <w:t>seafood</w:t>
      </w:r>
      <w:r w:rsidRPr="00253E3E">
        <w:t xml:space="preserve"> is </w:t>
      </w:r>
      <w:r w:rsidRPr="00253E3E">
        <w:rPr>
          <w:b/>
          <w:i/>
        </w:rPr>
        <w:t>harvested in Australia</w:t>
      </w:r>
      <w:r w:rsidRPr="00253E3E">
        <w:t xml:space="preserve"> if the </w:t>
      </w:r>
      <w:r w:rsidR="005C59E9">
        <w:t>seafood</w:t>
      </w:r>
      <w:r w:rsidRPr="00253E3E">
        <w:t xml:space="preserve"> has been harvested:</w:t>
      </w:r>
    </w:p>
    <w:p w14:paraId="72A0E464" w14:textId="0928DAEC" w:rsidR="00253E3E" w:rsidRPr="00363786" w:rsidRDefault="00253E3E" w:rsidP="00DF4DDE">
      <w:pPr>
        <w:pStyle w:val="paragraph"/>
      </w:pPr>
      <w:r w:rsidRPr="00253E3E">
        <w:tab/>
        <w:t>(a)</w:t>
      </w:r>
      <w:r w:rsidRPr="00253E3E">
        <w:tab/>
      </w:r>
      <w:r w:rsidRPr="00363786">
        <w:t>within Australia; or</w:t>
      </w:r>
    </w:p>
    <w:p w14:paraId="2166D09C" w14:textId="04D68BDF" w:rsidR="00253E3E" w:rsidRPr="00363786" w:rsidRDefault="00253E3E" w:rsidP="00DF4DDE">
      <w:pPr>
        <w:pStyle w:val="paragraph"/>
      </w:pPr>
      <w:r w:rsidRPr="00363786">
        <w:tab/>
        <w:t>(b)</w:t>
      </w:r>
      <w:r w:rsidRPr="00363786">
        <w:tab/>
      </w:r>
      <w:r w:rsidR="00CD688E">
        <w:t xml:space="preserve">from </w:t>
      </w:r>
      <w:r w:rsidRPr="00363786">
        <w:t xml:space="preserve">the territorial sea of Australia; or </w:t>
      </w:r>
    </w:p>
    <w:p w14:paraId="46A2D04E" w14:textId="0507F937" w:rsidR="00253E3E" w:rsidRDefault="00253E3E" w:rsidP="00DF4DDE">
      <w:pPr>
        <w:pStyle w:val="paragraph"/>
      </w:pPr>
      <w:r w:rsidRPr="00363786">
        <w:tab/>
        <w:t>(c)</w:t>
      </w:r>
      <w:r w:rsidRPr="00363786">
        <w:tab/>
      </w:r>
      <w:r w:rsidR="00CD688E">
        <w:t xml:space="preserve">from </w:t>
      </w:r>
      <w:r w:rsidRPr="00363786">
        <w:t>the exclusive economic</w:t>
      </w:r>
      <w:r w:rsidRPr="00253E3E">
        <w:t xml:space="preserve"> zone of Australia.</w:t>
      </w:r>
    </w:p>
    <w:p w14:paraId="53EBA2B2" w14:textId="13A15291" w:rsidR="006568CF" w:rsidRDefault="006568CF" w:rsidP="00C83C0D">
      <w:pPr>
        <w:pStyle w:val="Definition"/>
      </w:pPr>
      <w:r w:rsidRPr="006568CF">
        <w:rPr>
          <w:b/>
          <w:i/>
        </w:rPr>
        <w:t>harvested outside Australia</w:t>
      </w:r>
      <w:r w:rsidRPr="006568CF">
        <w:t xml:space="preserve">: </w:t>
      </w:r>
      <w:r w:rsidR="005C59E9">
        <w:t>seafood</w:t>
      </w:r>
      <w:r w:rsidRPr="006568CF">
        <w:t xml:space="preserve"> is</w:t>
      </w:r>
      <w:r w:rsidRPr="006568CF">
        <w:rPr>
          <w:b/>
          <w:i/>
        </w:rPr>
        <w:t xml:space="preserve"> harvested outside Australia</w:t>
      </w:r>
      <w:r w:rsidRPr="006568CF">
        <w:t xml:space="preserve"> if the </w:t>
      </w:r>
      <w:r w:rsidR="005C59E9">
        <w:t>seafood</w:t>
      </w:r>
      <w:r w:rsidRPr="006568CF">
        <w:t xml:space="preserve"> is </w:t>
      </w:r>
      <w:r w:rsidRPr="000C5866">
        <w:rPr>
          <w:i/>
          <w:iCs/>
        </w:rPr>
        <w:t>not</w:t>
      </w:r>
      <w:r w:rsidRPr="006568CF">
        <w:t xml:space="preserve"> harvested in </w:t>
      </w:r>
      <w:r w:rsidRPr="00363786">
        <w:t>Australia</w:t>
      </w:r>
      <w:r w:rsidRPr="006568CF">
        <w:t>.</w:t>
      </w:r>
    </w:p>
    <w:p w14:paraId="1CBEC8CC" w14:textId="07F4377F" w:rsidR="00EA439E" w:rsidRDefault="00B46C1C" w:rsidP="00C83C0D">
      <w:pPr>
        <w:pStyle w:val="Definition"/>
      </w:pPr>
      <w:r w:rsidRPr="000C5866">
        <w:rPr>
          <w:b/>
          <w:bCs/>
          <w:i/>
          <w:iCs/>
        </w:rPr>
        <w:t>medical institution</w:t>
      </w:r>
      <w:r w:rsidRPr="00B46C1C">
        <w:t xml:space="preserve"> </w:t>
      </w:r>
      <w:r>
        <w:t xml:space="preserve">has the </w:t>
      </w:r>
      <w:r w:rsidRPr="00363786">
        <w:t>same</w:t>
      </w:r>
      <w:r>
        <w:t xml:space="preserve"> meaning as in the </w:t>
      </w:r>
      <w:r w:rsidR="00EA439E" w:rsidRPr="000C5866">
        <w:rPr>
          <w:i/>
          <w:iCs/>
        </w:rPr>
        <w:t>Country of Origin Food Labelling Information Standard 2016</w:t>
      </w:r>
      <w:r w:rsidRPr="000C5866">
        <w:rPr>
          <w:i/>
          <w:iCs/>
        </w:rPr>
        <w:t>.</w:t>
      </w:r>
    </w:p>
    <w:p w14:paraId="53E7C313" w14:textId="77777777" w:rsidR="009718B7" w:rsidRDefault="009718B7" w:rsidP="009718B7">
      <w:pPr>
        <w:pStyle w:val="Definition"/>
      </w:pPr>
      <w:r>
        <w:rPr>
          <w:b/>
          <w:bCs/>
          <w:i/>
          <w:iCs/>
        </w:rPr>
        <w:t>seafood</w:t>
      </w:r>
      <w:r>
        <w:t xml:space="preserve"> </w:t>
      </w:r>
      <w:r w:rsidRPr="00507F18">
        <w:t>means</w:t>
      </w:r>
      <w:r>
        <w:t>:</w:t>
      </w:r>
    </w:p>
    <w:p w14:paraId="7D3380F9" w14:textId="5BF12EC9" w:rsidR="009718B7" w:rsidRDefault="009718B7" w:rsidP="009718B7">
      <w:pPr>
        <w:pStyle w:val="paragraph"/>
      </w:pPr>
      <w:r>
        <w:tab/>
        <w:t>(a)</w:t>
      </w:r>
      <w:r>
        <w:tab/>
        <w:t xml:space="preserve">aquatic vertebrate or aquatic invertebrate animals, including shellfish, but excluding </w:t>
      </w:r>
      <w:r w:rsidR="009B345A">
        <w:t>mammal</w:t>
      </w:r>
      <w:r w:rsidR="001035DF">
        <w:t>s</w:t>
      </w:r>
      <w:r w:rsidR="00D86E83">
        <w:t>,</w:t>
      </w:r>
      <w:r w:rsidR="009B345A">
        <w:t xml:space="preserve"> </w:t>
      </w:r>
      <w:r>
        <w:t>amphibians or reptiles; or</w:t>
      </w:r>
    </w:p>
    <w:p w14:paraId="3BE7BED4" w14:textId="68D4311A" w:rsidR="009718B7" w:rsidRDefault="009718B7" w:rsidP="009718B7">
      <w:pPr>
        <w:pStyle w:val="paragraph"/>
      </w:pPr>
      <w:r>
        <w:tab/>
        <w:t>(b)</w:t>
      </w:r>
      <w:r>
        <w:tab/>
        <w:t>the eggs, larvae or spat of animals</w:t>
      </w:r>
      <w:r w:rsidR="00363786">
        <w:t xml:space="preserve"> covered by paragraph (a)</w:t>
      </w:r>
      <w:r>
        <w:t>.</w:t>
      </w:r>
    </w:p>
    <w:p w14:paraId="449093EC" w14:textId="77777777" w:rsidR="009718B7" w:rsidRDefault="009718B7" w:rsidP="009718B7">
      <w:pPr>
        <w:pStyle w:val="notetext"/>
      </w:pPr>
      <w:r>
        <w:t>Note 1:</w:t>
      </w:r>
      <w:r>
        <w:tab/>
        <w:t>This definition includes fish, molluscs, crustaceans, jellyfishes, sea urchins, sea cucumbers, eels and other aquatic animals.</w:t>
      </w:r>
    </w:p>
    <w:p w14:paraId="79879474" w14:textId="77777777" w:rsidR="009718B7" w:rsidRDefault="009718B7" w:rsidP="009718B7">
      <w:pPr>
        <w:pStyle w:val="notetext"/>
      </w:pPr>
      <w:r>
        <w:t>Note 2:</w:t>
      </w:r>
      <w:r>
        <w:tab/>
        <w:t>See also subsection (2).</w:t>
      </w:r>
    </w:p>
    <w:p w14:paraId="1BF31DD6" w14:textId="5E61622A" w:rsidR="00A215AE" w:rsidRDefault="00C80125" w:rsidP="00C80125">
      <w:pPr>
        <w:pStyle w:val="Definition"/>
      </w:pPr>
      <w:r w:rsidRPr="00C80125">
        <w:rPr>
          <w:b/>
          <w:bCs/>
          <w:i/>
          <w:iCs/>
        </w:rPr>
        <w:t>seafood product</w:t>
      </w:r>
      <w:r>
        <w:t xml:space="preserve"> mean</w:t>
      </w:r>
      <w:r w:rsidRPr="00A215AE">
        <w:t>s</w:t>
      </w:r>
      <w:r w:rsidRPr="00A567B5">
        <w:t xml:space="preserve"> </w:t>
      </w:r>
      <w:r w:rsidR="004E3B5D" w:rsidRPr="000312BE">
        <w:t>a good that is</w:t>
      </w:r>
      <w:r w:rsidR="00A215AE" w:rsidRPr="00A215AE">
        <w:t>:</w:t>
      </w:r>
    </w:p>
    <w:p w14:paraId="47A3F4AB" w14:textId="0B20B648" w:rsidR="00A215AE" w:rsidRDefault="00A215AE" w:rsidP="00A215AE">
      <w:pPr>
        <w:pStyle w:val="paragraph"/>
      </w:pPr>
      <w:r>
        <w:tab/>
        <w:t>(a)</w:t>
      </w:r>
      <w:r>
        <w:tab/>
      </w:r>
      <w:r w:rsidR="00C80125">
        <w:t xml:space="preserve">food that is or contains </w:t>
      </w:r>
      <w:r w:rsidR="000546FF">
        <w:t>seafood</w:t>
      </w:r>
      <w:r w:rsidR="004151DE">
        <w:t>;</w:t>
      </w:r>
    </w:p>
    <w:p w14:paraId="25952DBA" w14:textId="2A4DA897" w:rsidR="00C80125" w:rsidRDefault="00C80125" w:rsidP="00A215AE">
      <w:pPr>
        <w:pStyle w:val="subsection2"/>
      </w:pPr>
      <w:r>
        <w:t xml:space="preserve">but does </w:t>
      </w:r>
      <w:r w:rsidRPr="000C5866">
        <w:rPr>
          <w:i/>
          <w:iCs/>
        </w:rPr>
        <w:t>not</w:t>
      </w:r>
      <w:r>
        <w:t xml:space="preserve"> include:</w:t>
      </w:r>
    </w:p>
    <w:p w14:paraId="67080C7D" w14:textId="729C28AC" w:rsidR="00C80125" w:rsidRDefault="00C80125" w:rsidP="00C80125">
      <w:pPr>
        <w:pStyle w:val="paragraph"/>
      </w:pPr>
      <w:r>
        <w:tab/>
        <w:t>(</w:t>
      </w:r>
      <w:r w:rsidR="00A215AE">
        <w:t>b</w:t>
      </w:r>
      <w:r>
        <w:t>)</w:t>
      </w:r>
      <w:r>
        <w:tab/>
        <w:t xml:space="preserve">food in which no portion of the </w:t>
      </w:r>
      <w:r w:rsidR="00F62361">
        <w:t>seafood</w:t>
      </w:r>
      <w:r>
        <w:t xml:space="preserve"> remains solid, including condiments, flavourings, sauces, oils, marinades, and stocks;</w:t>
      </w:r>
      <w:r w:rsidR="0004297D">
        <w:t xml:space="preserve"> or</w:t>
      </w:r>
    </w:p>
    <w:p w14:paraId="3AD40209" w14:textId="29AE97F0" w:rsidR="00C80125" w:rsidRDefault="00C80125" w:rsidP="00C80125">
      <w:pPr>
        <w:pStyle w:val="paragraph"/>
      </w:pPr>
      <w:r>
        <w:tab/>
        <w:t>(</w:t>
      </w:r>
      <w:r w:rsidR="00A215AE">
        <w:t>c</w:t>
      </w:r>
      <w:r>
        <w:t>)</w:t>
      </w:r>
      <w:r>
        <w:tab/>
        <w:t xml:space="preserve">shelf stable food that consists of </w:t>
      </w:r>
      <w:r w:rsidR="00363786">
        <w:t>chopped, diced, minced</w:t>
      </w:r>
      <w:r>
        <w:t>, pureed or shaved</w:t>
      </w:r>
      <w:r w:rsidR="00F62361">
        <w:t xml:space="preserve"> seafood</w:t>
      </w:r>
      <w:r>
        <w:t xml:space="preserve">, or which contains </w:t>
      </w:r>
      <w:r w:rsidR="00363786">
        <w:t>chopped, diced, minced</w:t>
      </w:r>
      <w:r>
        <w:t xml:space="preserve">, pureed or shaved </w:t>
      </w:r>
      <w:r w:rsidR="00F62361">
        <w:t>seafood</w:t>
      </w:r>
      <w:r>
        <w:t xml:space="preserve"> as an ingredient;</w:t>
      </w:r>
      <w:r w:rsidR="0004297D">
        <w:t xml:space="preserve"> or</w:t>
      </w:r>
    </w:p>
    <w:p w14:paraId="4DA08106" w14:textId="330CA533" w:rsidR="00F619F5" w:rsidRDefault="00C80125" w:rsidP="00575350">
      <w:pPr>
        <w:pStyle w:val="paragraph"/>
      </w:pPr>
      <w:r>
        <w:tab/>
        <w:t>(</w:t>
      </w:r>
      <w:r w:rsidR="00A215AE">
        <w:t>d</w:t>
      </w:r>
      <w:r>
        <w:t>)</w:t>
      </w:r>
      <w:r>
        <w:tab/>
        <w:t xml:space="preserve">food that contains </w:t>
      </w:r>
      <w:r w:rsidR="00F62361">
        <w:t>seafood</w:t>
      </w:r>
      <w:r>
        <w:t xml:space="preserve"> only because of the use of an ingredient that is a food referred to in paragraph (</w:t>
      </w:r>
      <w:r w:rsidR="00A215AE">
        <w:t>b</w:t>
      </w:r>
      <w:r>
        <w:t>) or (</w:t>
      </w:r>
      <w:r w:rsidR="00A215AE">
        <w:t>c</w:t>
      </w:r>
      <w:r>
        <w:t>)</w:t>
      </w:r>
      <w:r w:rsidR="00E52BCE">
        <w:t>; or</w:t>
      </w:r>
    </w:p>
    <w:p w14:paraId="13A5F084" w14:textId="3CEBDEF0" w:rsidR="00E52BCE" w:rsidRDefault="00E52BCE" w:rsidP="00575350">
      <w:pPr>
        <w:pStyle w:val="paragraph"/>
      </w:pPr>
      <w:r w:rsidRPr="00E52BCE">
        <w:tab/>
        <w:t>(</w:t>
      </w:r>
      <w:r w:rsidR="00A215AE">
        <w:t>e</w:t>
      </w:r>
      <w:r w:rsidRPr="00E52BCE">
        <w:t>)</w:t>
      </w:r>
      <w:r w:rsidRPr="00E52BCE">
        <w:tab/>
        <w:t>food for special medical purposes.</w:t>
      </w:r>
    </w:p>
    <w:p w14:paraId="40C0B702" w14:textId="65CA1A8A" w:rsidR="0057020D" w:rsidRDefault="0057020D" w:rsidP="005D292B">
      <w:pPr>
        <w:pStyle w:val="Definition"/>
      </w:pPr>
      <w:r w:rsidRPr="005D292B">
        <w:rPr>
          <w:b/>
          <w:bCs/>
          <w:i/>
          <w:iCs/>
        </w:rPr>
        <w:t>the Act</w:t>
      </w:r>
      <w:r w:rsidRPr="0057020D">
        <w:t xml:space="preserve"> means the </w:t>
      </w:r>
      <w:r w:rsidRPr="0065036B">
        <w:rPr>
          <w:i/>
          <w:iCs/>
        </w:rPr>
        <w:t>Competition and Consumer Act 2010</w:t>
      </w:r>
      <w:r w:rsidRPr="0057020D">
        <w:t>.</w:t>
      </w:r>
    </w:p>
    <w:p w14:paraId="19B28D61" w14:textId="6BBAA9C2" w:rsidR="00A54581" w:rsidRDefault="00A54581" w:rsidP="00A54581">
      <w:pPr>
        <w:pStyle w:val="SubsectionHead"/>
      </w:pPr>
      <w:r>
        <w:t xml:space="preserve">Extent of the definition of </w:t>
      </w:r>
      <w:r w:rsidR="00015E20">
        <w:t>seafood</w:t>
      </w:r>
    </w:p>
    <w:p w14:paraId="71E678EF" w14:textId="37173B18" w:rsidR="00A54581" w:rsidRDefault="00A54581" w:rsidP="00A54581">
      <w:pPr>
        <w:pStyle w:val="subsection"/>
      </w:pPr>
      <w:r>
        <w:tab/>
        <w:t>(2)</w:t>
      </w:r>
      <w:r>
        <w:tab/>
        <w:t>To avoid doubt, for the purposes of the definition of seafood in subsection</w:t>
      </w:r>
      <w:r w:rsidR="00C61E96">
        <w:t> </w:t>
      </w:r>
      <w:r>
        <w:t>(1), an animal is seafood regardless of whether:</w:t>
      </w:r>
    </w:p>
    <w:p w14:paraId="31BA5998" w14:textId="77777777" w:rsidR="00A54581" w:rsidRDefault="00A54581" w:rsidP="00A54581">
      <w:pPr>
        <w:pStyle w:val="paragraph"/>
      </w:pPr>
      <w:r>
        <w:tab/>
        <w:t>(a)</w:t>
      </w:r>
      <w:r>
        <w:tab/>
        <w:t>it is a saltwater animal or a freshwater animal; or</w:t>
      </w:r>
    </w:p>
    <w:p w14:paraId="550BDDEE" w14:textId="77777777" w:rsidR="00A54581" w:rsidRDefault="00A54581" w:rsidP="00A54581">
      <w:pPr>
        <w:pStyle w:val="paragraph"/>
      </w:pPr>
      <w:r>
        <w:tab/>
        <w:t>(b)</w:t>
      </w:r>
      <w:r>
        <w:tab/>
        <w:t>it is dead or alive; or</w:t>
      </w:r>
    </w:p>
    <w:p w14:paraId="4FEBAD75" w14:textId="434DD8C4" w:rsidR="00A54581" w:rsidRDefault="00A54581" w:rsidP="00A54581">
      <w:pPr>
        <w:pStyle w:val="paragraph"/>
      </w:pPr>
      <w:r>
        <w:tab/>
        <w:t>(c)</w:t>
      </w:r>
      <w:r>
        <w:tab/>
        <w:t>it was harvested from the wild or as part of an aquaculture process.</w:t>
      </w:r>
    </w:p>
    <w:p w14:paraId="64B14706" w14:textId="707CFF7E" w:rsidR="001A20E3" w:rsidRPr="001A20E3" w:rsidRDefault="001A20E3" w:rsidP="001A20E3">
      <w:pPr>
        <w:pStyle w:val="ActHead2"/>
        <w:pageBreakBefore/>
        <w:rPr>
          <w:lang w:eastAsia="en-US"/>
        </w:rPr>
      </w:pPr>
      <w:bookmarkStart w:id="13" w:name="_Toc200528070"/>
      <w:r w:rsidRPr="001A20E3">
        <w:rPr>
          <w:rStyle w:val="CharPartNo"/>
        </w:rPr>
        <w:lastRenderedPageBreak/>
        <w:t>Part 2</w:t>
      </w:r>
      <w:r>
        <w:t>—</w:t>
      </w:r>
      <w:r w:rsidRPr="001A20E3">
        <w:rPr>
          <w:rStyle w:val="CharPartText"/>
        </w:rPr>
        <w:t>Information requirements</w:t>
      </w:r>
      <w:bookmarkEnd w:id="13"/>
    </w:p>
    <w:p w14:paraId="67F7253F" w14:textId="77777777" w:rsidR="001A20E3" w:rsidRDefault="001A20E3" w:rsidP="001A20E3">
      <w:pPr>
        <w:pStyle w:val="Header"/>
      </w:pPr>
      <w:r>
        <w:t xml:space="preserve">  </w:t>
      </w:r>
    </w:p>
    <w:p w14:paraId="1387FEE7" w14:textId="2BCA16D5" w:rsidR="001A20E3" w:rsidRDefault="00727993" w:rsidP="009E156C">
      <w:pPr>
        <w:pStyle w:val="ActHead5"/>
      </w:pPr>
      <w:bookmarkStart w:id="14" w:name="_Toc200528071"/>
      <w:r>
        <w:rPr>
          <w:rStyle w:val="CharSectno"/>
        </w:rPr>
        <w:t>5</w:t>
      </w:r>
      <w:r>
        <w:t xml:space="preserve">  </w:t>
      </w:r>
      <w:r w:rsidR="009E156C">
        <w:t>Information requirement for supplies of seafood for immediate consumption</w:t>
      </w:r>
      <w:bookmarkEnd w:id="14"/>
    </w:p>
    <w:p w14:paraId="1629411D" w14:textId="09FD5EFC" w:rsidR="00847D54" w:rsidRDefault="00847D54" w:rsidP="00847D54">
      <w:pPr>
        <w:pStyle w:val="subsection"/>
      </w:pPr>
      <w:r>
        <w:tab/>
        <w:t>(1)</w:t>
      </w:r>
      <w:r>
        <w:tab/>
      </w:r>
      <w:r w:rsidR="00363786" w:rsidRPr="00363786">
        <w:t xml:space="preserve">Under subsection 134(1) of Schedule 2 to the Act, this section sets out an information standard for a </w:t>
      </w:r>
      <w:r w:rsidR="00F4478A">
        <w:t>seafood product</w:t>
      </w:r>
      <w:r w:rsidR="00F4478A" w:rsidRPr="00363786">
        <w:t xml:space="preserve"> </w:t>
      </w:r>
      <w:r w:rsidR="00363786" w:rsidRPr="00363786">
        <w:t>that:</w:t>
      </w:r>
    </w:p>
    <w:p w14:paraId="47B3BC31" w14:textId="33FF833C" w:rsidR="00847D54" w:rsidRDefault="00847D54" w:rsidP="00847D54">
      <w:pPr>
        <w:pStyle w:val="paragraph"/>
      </w:pPr>
      <w:r>
        <w:tab/>
        <w:t>(</w:t>
      </w:r>
      <w:r w:rsidR="00FD2F0A">
        <w:t>a</w:t>
      </w:r>
      <w:r>
        <w:t>)</w:t>
      </w:r>
      <w:r>
        <w:tab/>
      </w:r>
      <w:r w:rsidR="00133C45">
        <w:t xml:space="preserve">is </w:t>
      </w:r>
      <w:r>
        <w:t xml:space="preserve">intended for </w:t>
      </w:r>
      <w:r w:rsidR="00672339">
        <w:t xml:space="preserve">immediate </w:t>
      </w:r>
      <w:r>
        <w:t xml:space="preserve">consumption after </w:t>
      </w:r>
      <w:r w:rsidR="00E93075">
        <w:t>it</w:t>
      </w:r>
      <w:r>
        <w:t xml:space="preserve"> is supplied;</w:t>
      </w:r>
      <w:r w:rsidR="0033212C">
        <w:t xml:space="preserve"> and</w:t>
      </w:r>
    </w:p>
    <w:p w14:paraId="0F4A292B" w14:textId="4DED7777" w:rsidR="00133C45" w:rsidRDefault="00847D54" w:rsidP="00847D54">
      <w:pPr>
        <w:pStyle w:val="paragraph"/>
        <w:tabs>
          <w:tab w:val="left" w:pos="2160"/>
          <w:tab w:val="left" w:pos="2880"/>
          <w:tab w:val="left" w:pos="3600"/>
          <w:tab w:val="left" w:pos="4320"/>
          <w:tab w:val="left" w:pos="5040"/>
          <w:tab w:val="left" w:pos="5810"/>
        </w:tabs>
      </w:pPr>
      <w:r>
        <w:tab/>
        <w:t>(</w:t>
      </w:r>
      <w:r w:rsidR="00FD2F0A">
        <w:t>b</w:t>
      </w:r>
      <w:r>
        <w:t>)</w:t>
      </w:r>
      <w:r>
        <w:tab/>
      </w:r>
      <w:r w:rsidR="00133C45">
        <w:t xml:space="preserve">is </w:t>
      </w:r>
      <w:r w:rsidR="00521C6B">
        <w:t>marketed</w:t>
      </w:r>
      <w:r w:rsidR="00521C6B" w:rsidRPr="00416CDF">
        <w:t xml:space="preserve"> </w:t>
      </w:r>
      <w:r w:rsidRPr="00416CDF">
        <w:t xml:space="preserve">as </w:t>
      </w:r>
      <w:r>
        <w:t xml:space="preserve">being </w:t>
      </w:r>
      <w:r w:rsidRPr="00416CDF">
        <w:t xml:space="preserve">or containing </w:t>
      </w:r>
      <w:r>
        <w:t>seafood</w:t>
      </w:r>
      <w:r w:rsidR="00133C45">
        <w:t>;</w:t>
      </w:r>
      <w:r w:rsidR="0033212C">
        <w:t xml:space="preserve"> and</w:t>
      </w:r>
    </w:p>
    <w:p w14:paraId="4E744947" w14:textId="696BEDF7" w:rsidR="00EA152E" w:rsidRDefault="00EA152E" w:rsidP="00847D54">
      <w:pPr>
        <w:pStyle w:val="paragraph"/>
        <w:tabs>
          <w:tab w:val="left" w:pos="2160"/>
          <w:tab w:val="left" w:pos="2880"/>
          <w:tab w:val="left" w:pos="3600"/>
          <w:tab w:val="left" w:pos="4320"/>
          <w:tab w:val="left" w:pos="5040"/>
          <w:tab w:val="left" w:pos="5810"/>
        </w:tabs>
      </w:pPr>
      <w:r>
        <w:tab/>
        <w:t>(</w:t>
      </w:r>
      <w:r w:rsidR="00EA4488">
        <w:t>c</w:t>
      </w:r>
      <w:r>
        <w:t>)</w:t>
      </w:r>
      <w:r>
        <w:tab/>
        <w:t xml:space="preserve">is supplied within 24 hours </w:t>
      </w:r>
      <w:r w:rsidR="004720D9">
        <w:t>after</w:t>
      </w:r>
      <w:r>
        <w:t xml:space="preserve"> purchase;</w:t>
      </w:r>
      <w:r w:rsidR="0033212C">
        <w:t xml:space="preserve"> and</w:t>
      </w:r>
    </w:p>
    <w:p w14:paraId="7BAC84D7" w14:textId="53336D76" w:rsidR="00133C45" w:rsidRDefault="00133C45" w:rsidP="00133C45">
      <w:pPr>
        <w:pStyle w:val="paragraph"/>
        <w:tabs>
          <w:tab w:val="left" w:pos="2160"/>
          <w:tab w:val="left" w:pos="2880"/>
          <w:tab w:val="left" w:pos="3600"/>
          <w:tab w:val="left" w:pos="4320"/>
          <w:tab w:val="left" w:pos="5040"/>
          <w:tab w:val="left" w:pos="5810"/>
        </w:tabs>
      </w:pPr>
      <w:r>
        <w:tab/>
        <w:t>(</w:t>
      </w:r>
      <w:r w:rsidR="00EA4488">
        <w:t>d</w:t>
      </w:r>
      <w:r>
        <w:t>)</w:t>
      </w:r>
      <w:r>
        <w:tab/>
        <w:t xml:space="preserve">is </w:t>
      </w:r>
      <w:r w:rsidRPr="00D94541">
        <w:rPr>
          <w:i/>
          <w:iCs/>
        </w:rPr>
        <w:t>not</w:t>
      </w:r>
      <w:r>
        <w:t xml:space="preserve"> supplied:</w:t>
      </w:r>
    </w:p>
    <w:p w14:paraId="247119E1" w14:textId="0D741552" w:rsidR="00133C45" w:rsidRPr="00133C45" w:rsidRDefault="00133C45" w:rsidP="00D94541">
      <w:pPr>
        <w:pStyle w:val="paragraphsub"/>
      </w:pPr>
      <w:r>
        <w:tab/>
        <w:t>(i)</w:t>
      </w:r>
      <w:r>
        <w:tab/>
      </w:r>
      <w:r w:rsidR="00F03D64">
        <w:t xml:space="preserve">by </w:t>
      </w:r>
      <w:r>
        <w:t xml:space="preserve">a </w:t>
      </w:r>
      <w:r w:rsidRPr="00133C45">
        <w:t>canteen</w:t>
      </w:r>
      <w:r w:rsidR="00F03D64">
        <w:t>, school, prison, hospital or medical institution</w:t>
      </w:r>
      <w:r w:rsidRPr="00133C45">
        <w:t>; or</w:t>
      </w:r>
    </w:p>
    <w:p w14:paraId="27AA9FA0" w14:textId="37CFF168" w:rsidR="00133C45" w:rsidRDefault="00133C45" w:rsidP="00D94541">
      <w:pPr>
        <w:pStyle w:val="paragraphsub"/>
      </w:pPr>
      <w:r>
        <w:tab/>
        <w:t>(</w:t>
      </w:r>
      <w:r w:rsidR="00F03D64">
        <w:t>ii</w:t>
      </w:r>
      <w:r>
        <w:t>)</w:t>
      </w:r>
      <w:r>
        <w:tab/>
        <w:t>at a fund</w:t>
      </w:r>
      <w:r w:rsidR="000437B3">
        <w:t xml:space="preserve"> </w:t>
      </w:r>
      <w:r>
        <w:t>raising event;</w:t>
      </w:r>
      <w:r w:rsidR="0033212C">
        <w:t xml:space="preserve"> and</w:t>
      </w:r>
    </w:p>
    <w:p w14:paraId="554788A7" w14:textId="0ADF42F3" w:rsidR="00847D54" w:rsidRDefault="00133C45" w:rsidP="00133C45">
      <w:pPr>
        <w:pStyle w:val="paragraph"/>
        <w:tabs>
          <w:tab w:val="left" w:pos="2160"/>
          <w:tab w:val="left" w:pos="2880"/>
          <w:tab w:val="left" w:pos="3600"/>
          <w:tab w:val="left" w:pos="4320"/>
          <w:tab w:val="left" w:pos="5040"/>
          <w:tab w:val="left" w:pos="5810"/>
        </w:tabs>
      </w:pPr>
      <w:r>
        <w:tab/>
        <w:t>(</w:t>
      </w:r>
      <w:r w:rsidR="00EA4488">
        <w:t>e</w:t>
      </w:r>
      <w:r>
        <w:t>)</w:t>
      </w:r>
      <w:r>
        <w:tab/>
        <w:t xml:space="preserve">is </w:t>
      </w:r>
      <w:r w:rsidR="00F03D64" w:rsidRPr="000F2365">
        <w:rPr>
          <w:i/>
          <w:iCs/>
        </w:rPr>
        <w:t>not</w:t>
      </w:r>
      <w:r w:rsidR="00F03D64">
        <w:t xml:space="preserve"> s</w:t>
      </w:r>
      <w:r>
        <w:t xml:space="preserve">upplied in circumstances where labelling is required by the </w:t>
      </w:r>
      <w:r w:rsidRPr="000F2365">
        <w:rPr>
          <w:i/>
          <w:iCs/>
        </w:rPr>
        <w:t>Country of Origin Food Labelling Information Standard 2016</w:t>
      </w:r>
      <w:r>
        <w:t>.</w:t>
      </w:r>
    </w:p>
    <w:p w14:paraId="716D7FD1" w14:textId="639B91B6" w:rsidR="00A011AF" w:rsidRDefault="006D0E51" w:rsidP="00A05B04">
      <w:pPr>
        <w:pStyle w:val="notetext"/>
      </w:pPr>
      <w:r>
        <w:t>Note:</w:t>
      </w:r>
      <w:r>
        <w:tab/>
      </w:r>
      <w:r w:rsidR="00DC0EF3">
        <w:t>A</w:t>
      </w:r>
      <w:r>
        <w:t xml:space="preserve"> product may be </w:t>
      </w:r>
      <w:r w:rsidR="00521C6B">
        <w:t xml:space="preserve">marketed </w:t>
      </w:r>
      <w:r w:rsidR="00DC0EF3">
        <w:t>as containing seafood in a range of ways, including</w:t>
      </w:r>
      <w:r w:rsidR="00917538">
        <w:t xml:space="preserve"> where</w:t>
      </w:r>
      <w:r w:rsidR="00A05B04">
        <w:t xml:space="preserve"> </w:t>
      </w:r>
      <w:r w:rsidR="00D77B1D">
        <w:t>the product is listed on a menu</w:t>
      </w:r>
      <w:r w:rsidR="00E176AF">
        <w:t>,</w:t>
      </w:r>
      <w:r w:rsidR="00D77B1D">
        <w:t xml:space="preserve"> </w:t>
      </w:r>
      <w:r w:rsidR="007E7E9E">
        <w:t>or displayed</w:t>
      </w:r>
      <w:r w:rsidR="00A05B04">
        <w:t xml:space="preserve"> </w:t>
      </w:r>
      <w:r w:rsidR="00E176AF">
        <w:t>for sale, and:</w:t>
      </w:r>
    </w:p>
    <w:p w14:paraId="5CE03C53" w14:textId="48F68F5F" w:rsidR="006D0E51" w:rsidRPr="00DC0EF3" w:rsidRDefault="006D0E51" w:rsidP="00DC0EF3">
      <w:pPr>
        <w:pStyle w:val="notepara"/>
      </w:pPr>
      <w:r>
        <w:t>(a</w:t>
      </w:r>
      <w:r w:rsidR="00F930A6">
        <w:t>)</w:t>
      </w:r>
      <w:r w:rsidR="00F930A6">
        <w:tab/>
      </w:r>
      <w:r>
        <w:t>the name of the product</w:t>
      </w:r>
      <w:r w:rsidR="00E176AF">
        <w:t xml:space="preserve"> </w:t>
      </w:r>
      <w:r>
        <w:t>refers to seafood;</w:t>
      </w:r>
      <w:r w:rsidR="00E176AF">
        <w:t xml:space="preserve"> or</w:t>
      </w:r>
    </w:p>
    <w:p w14:paraId="6713198B" w14:textId="61EFDF26" w:rsidR="004543FD" w:rsidRPr="006D0E51" w:rsidRDefault="006D0E51" w:rsidP="00F12F79">
      <w:pPr>
        <w:pStyle w:val="notepara"/>
      </w:pPr>
      <w:r w:rsidRPr="00DC0EF3">
        <w:t>(b</w:t>
      </w:r>
      <w:r w:rsidR="00F930A6" w:rsidRPr="00DC0EF3">
        <w:t>)</w:t>
      </w:r>
      <w:r w:rsidR="00F930A6">
        <w:tab/>
      </w:r>
      <w:r w:rsidRPr="00DC0EF3">
        <w:t>the name of the product is commonly asso</w:t>
      </w:r>
      <w:r>
        <w:t>ciated with food that is, or contains, seafood</w:t>
      </w:r>
      <w:r w:rsidR="00F12F79">
        <w:t xml:space="preserve"> (f</w:t>
      </w:r>
      <w:r>
        <w:t>or example, surf ‘n’ turf is commonly associated with a serving of steak and prawns</w:t>
      </w:r>
      <w:r w:rsidR="00F12F79">
        <w:t>)</w:t>
      </w:r>
      <w:r>
        <w:t>.</w:t>
      </w:r>
    </w:p>
    <w:p w14:paraId="34525B3D" w14:textId="362A71CD" w:rsidR="00847D54" w:rsidRDefault="00847D54" w:rsidP="00847D54">
      <w:pPr>
        <w:pStyle w:val="subsection"/>
      </w:pPr>
      <w:r>
        <w:tab/>
        <w:t>(2)</w:t>
      </w:r>
      <w:r>
        <w:tab/>
      </w:r>
      <w:r w:rsidR="00363786">
        <w:t xml:space="preserve">Where the seafood product is of a kind specified in an item of the following table, the </w:t>
      </w:r>
      <w:r>
        <w:t xml:space="preserve">information set out in </w:t>
      </w:r>
      <w:r w:rsidR="00363786">
        <w:t xml:space="preserve">that item </w:t>
      </w:r>
      <w:r>
        <w:t>must be provided in relation to the seafood product, and must be:</w:t>
      </w:r>
    </w:p>
    <w:p w14:paraId="56831491" w14:textId="77777777" w:rsidR="00847D54" w:rsidRDefault="00847D54" w:rsidP="00847D54">
      <w:pPr>
        <w:pStyle w:val="paragraph"/>
      </w:pPr>
      <w:r>
        <w:tab/>
        <w:t>(a)</w:t>
      </w:r>
      <w:r>
        <w:tab/>
        <w:t>in writing; and</w:t>
      </w:r>
    </w:p>
    <w:p w14:paraId="7DB8DD9B" w14:textId="77777777" w:rsidR="00847D54" w:rsidRDefault="00847D54" w:rsidP="00847D54">
      <w:pPr>
        <w:pStyle w:val="paragraph"/>
        <w:tabs>
          <w:tab w:val="left" w:pos="2160"/>
          <w:tab w:val="left" w:pos="2880"/>
          <w:tab w:val="left" w:pos="3600"/>
          <w:tab w:val="left" w:pos="4320"/>
          <w:tab w:val="left" w:pos="5040"/>
          <w:tab w:val="left" w:pos="5810"/>
        </w:tabs>
      </w:pPr>
      <w:r>
        <w:tab/>
        <w:t>(b)</w:t>
      </w:r>
      <w:r>
        <w:tab/>
      </w:r>
      <w:r w:rsidRPr="005476D3">
        <w:t>clearly visible, prominent and legible</w:t>
      </w:r>
      <w:r>
        <w:t>; and</w:t>
      </w:r>
    </w:p>
    <w:p w14:paraId="381A88D5" w14:textId="77777777" w:rsidR="00847D54" w:rsidRDefault="00847D54" w:rsidP="00847D54">
      <w:pPr>
        <w:pStyle w:val="paragraph"/>
        <w:tabs>
          <w:tab w:val="left" w:pos="2160"/>
          <w:tab w:val="left" w:pos="2880"/>
          <w:tab w:val="left" w:pos="3600"/>
          <w:tab w:val="left" w:pos="4320"/>
          <w:tab w:val="left" w:pos="5040"/>
          <w:tab w:val="left" w:pos="5810"/>
        </w:tabs>
      </w:pPr>
      <w:r>
        <w:tab/>
        <w:t>(c)</w:t>
      </w:r>
      <w:r>
        <w:tab/>
        <w:t>in English.</w:t>
      </w:r>
    </w:p>
    <w:p w14:paraId="6D00213A" w14:textId="77777777" w:rsidR="00847D54" w:rsidRDefault="00847D54" w:rsidP="00847D54">
      <w:pPr>
        <w:pStyle w:val="Tabletext"/>
      </w:pPr>
    </w:p>
    <w:tbl>
      <w:tblPr>
        <w:tblW w:w="5000" w:type="pct"/>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617"/>
        <w:gridCol w:w="1368"/>
        <w:gridCol w:w="6328"/>
      </w:tblGrid>
      <w:tr w:rsidR="00847D54" w:rsidRPr="00363786" w14:paraId="7520377C" w14:textId="77777777" w:rsidTr="005A6950">
        <w:trPr>
          <w:tblHeader/>
        </w:trPr>
        <w:tc>
          <w:tcPr>
            <w:tcW w:w="5000" w:type="pct"/>
            <w:gridSpan w:val="3"/>
            <w:tcBorders>
              <w:top w:val="single" w:sz="12" w:space="0" w:color="auto"/>
              <w:left w:val="nil"/>
              <w:bottom w:val="single" w:sz="6" w:space="0" w:color="auto"/>
              <w:right w:val="nil"/>
            </w:tcBorders>
            <w:hideMark/>
          </w:tcPr>
          <w:p w14:paraId="3907A3B5" w14:textId="28DFD3B6" w:rsidR="00847D54" w:rsidRPr="00363786" w:rsidRDefault="00847D54" w:rsidP="00F33F58">
            <w:pPr>
              <w:pStyle w:val="TableHeading"/>
            </w:pPr>
            <w:r w:rsidRPr="00363786">
              <w:t xml:space="preserve">Information that must be provided in relation to </w:t>
            </w:r>
            <w:r w:rsidR="008220D2">
              <w:t>seafood for immediate con</w:t>
            </w:r>
            <w:r w:rsidR="00832B9C">
              <w:t>sumption</w:t>
            </w:r>
          </w:p>
        </w:tc>
      </w:tr>
      <w:tr w:rsidR="00847D54" w:rsidRPr="00892B05" w14:paraId="10863C65" w14:textId="77777777" w:rsidTr="00D5301E">
        <w:trPr>
          <w:tblHeader/>
        </w:trPr>
        <w:tc>
          <w:tcPr>
            <w:tcW w:w="371" w:type="pct"/>
            <w:tcBorders>
              <w:top w:val="single" w:sz="6" w:space="0" w:color="auto"/>
              <w:left w:val="nil"/>
              <w:bottom w:val="single" w:sz="6" w:space="0" w:color="auto"/>
              <w:right w:val="nil"/>
            </w:tcBorders>
            <w:hideMark/>
          </w:tcPr>
          <w:p w14:paraId="6FFD7CFD" w14:textId="77777777" w:rsidR="00847D54" w:rsidRPr="00363786" w:rsidRDefault="00847D54" w:rsidP="00D5301E">
            <w:pPr>
              <w:pStyle w:val="TableHeading"/>
            </w:pPr>
            <w:r w:rsidRPr="00363786">
              <w:t>Item</w:t>
            </w:r>
          </w:p>
        </w:tc>
        <w:tc>
          <w:tcPr>
            <w:tcW w:w="823" w:type="pct"/>
            <w:tcBorders>
              <w:top w:val="single" w:sz="6" w:space="0" w:color="auto"/>
              <w:left w:val="nil"/>
              <w:bottom w:val="single" w:sz="6" w:space="0" w:color="auto"/>
              <w:right w:val="nil"/>
            </w:tcBorders>
            <w:hideMark/>
          </w:tcPr>
          <w:p w14:paraId="6AB0FA4E" w14:textId="5D6FFC19" w:rsidR="00847D54" w:rsidRPr="00363786" w:rsidRDefault="00847D54" w:rsidP="00D5301E">
            <w:pPr>
              <w:pStyle w:val="TableHeading"/>
            </w:pPr>
            <w:r w:rsidRPr="00363786">
              <w:t>If the seafood product is, or contains,</w:t>
            </w:r>
            <w:r w:rsidR="00E538DC">
              <w:t xml:space="preserve"> </w:t>
            </w:r>
            <w:r w:rsidRPr="00363786">
              <w:t>…</w:t>
            </w:r>
          </w:p>
        </w:tc>
        <w:tc>
          <w:tcPr>
            <w:tcW w:w="3806" w:type="pct"/>
            <w:tcBorders>
              <w:top w:val="single" w:sz="6" w:space="0" w:color="auto"/>
              <w:left w:val="nil"/>
              <w:bottom w:val="single" w:sz="6" w:space="0" w:color="auto"/>
              <w:right w:val="nil"/>
            </w:tcBorders>
            <w:hideMark/>
          </w:tcPr>
          <w:p w14:paraId="227F810B" w14:textId="77777777" w:rsidR="00847D54" w:rsidRPr="00363786" w:rsidRDefault="00847D54" w:rsidP="00D5301E">
            <w:pPr>
              <w:pStyle w:val="TableHeading"/>
            </w:pPr>
            <w:r w:rsidRPr="00363786">
              <w:t>the information must include…</w:t>
            </w:r>
          </w:p>
        </w:tc>
      </w:tr>
      <w:tr w:rsidR="00847D54" w:rsidRPr="00E255A8" w14:paraId="32C5DFEC" w14:textId="77777777" w:rsidTr="00D5301E">
        <w:tc>
          <w:tcPr>
            <w:tcW w:w="371" w:type="pct"/>
            <w:tcBorders>
              <w:top w:val="single" w:sz="6" w:space="0" w:color="auto"/>
              <w:left w:val="nil"/>
              <w:bottom w:val="single" w:sz="2" w:space="0" w:color="auto"/>
              <w:right w:val="nil"/>
            </w:tcBorders>
            <w:hideMark/>
          </w:tcPr>
          <w:p w14:paraId="08C7A76A" w14:textId="77777777" w:rsidR="00847D54" w:rsidRPr="00363786" w:rsidRDefault="00847D54" w:rsidP="00D5301E">
            <w:pPr>
              <w:pStyle w:val="Tabletext"/>
            </w:pPr>
            <w:r w:rsidRPr="00363786">
              <w:t>1</w:t>
            </w:r>
          </w:p>
        </w:tc>
        <w:tc>
          <w:tcPr>
            <w:tcW w:w="823" w:type="pct"/>
            <w:tcBorders>
              <w:top w:val="single" w:sz="6" w:space="0" w:color="auto"/>
              <w:left w:val="nil"/>
              <w:bottom w:val="single" w:sz="2" w:space="0" w:color="auto"/>
              <w:right w:val="nil"/>
            </w:tcBorders>
            <w:hideMark/>
          </w:tcPr>
          <w:p w14:paraId="6E6E543D" w14:textId="77777777" w:rsidR="00847D54" w:rsidRPr="00363786" w:rsidRDefault="00847D54" w:rsidP="00363786">
            <w:pPr>
              <w:pStyle w:val="Tabletext"/>
            </w:pPr>
            <w:r w:rsidRPr="00363786">
              <w:t>seafood harvested in Australia only</w:t>
            </w:r>
          </w:p>
        </w:tc>
        <w:tc>
          <w:tcPr>
            <w:tcW w:w="3806" w:type="pct"/>
            <w:tcBorders>
              <w:top w:val="single" w:sz="6" w:space="0" w:color="auto"/>
              <w:left w:val="nil"/>
              <w:bottom w:val="single" w:sz="2" w:space="0" w:color="auto"/>
              <w:right w:val="nil"/>
            </w:tcBorders>
            <w:hideMark/>
          </w:tcPr>
          <w:p w14:paraId="19A293FC" w14:textId="4961D2D0" w:rsidR="00847D54" w:rsidRPr="00E255A8" w:rsidRDefault="00847D54" w:rsidP="00E255A8">
            <w:pPr>
              <w:pStyle w:val="Tablea"/>
            </w:pPr>
            <w:r w:rsidRPr="00E255A8">
              <w:t>(a)</w:t>
            </w:r>
            <w:r w:rsidR="00363786" w:rsidRPr="00E255A8">
              <w:t xml:space="preserve"> </w:t>
            </w:r>
            <w:r w:rsidRPr="00E255A8">
              <w:t>the word ‘Australian’ in relation to the product; or</w:t>
            </w:r>
          </w:p>
          <w:p w14:paraId="0D13ECB6" w14:textId="6F4F3952" w:rsidR="00847D54" w:rsidRPr="00E255A8" w:rsidRDefault="00847D54" w:rsidP="00E255A8">
            <w:pPr>
              <w:pStyle w:val="Tablea"/>
            </w:pPr>
            <w:r w:rsidRPr="00E255A8">
              <w:t>(b)</w:t>
            </w:r>
            <w:r w:rsidR="00363786" w:rsidRPr="00E255A8">
              <w:t xml:space="preserve"> </w:t>
            </w:r>
            <w:r w:rsidRPr="00E255A8">
              <w:t>an abbreviation (such as ‘A’) in relation to the product, with additional information making it clear that the seafood is being described as:</w:t>
            </w:r>
          </w:p>
          <w:p w14:paraId="506CC481" w14:textId="77777777" w:rsidR="00847D54" w:rsidRPr="00E255A8" w:rsidRDefault="00847D54" w:rsidP="00E255A8">
            <w:pPr>
              <w:pStyle w:val="Tablei"/>
            </w:pPr>
            <w:r w:rsidRPr="00E255A8">
              <w:t>(i) Australian; or</w:t>
            </w:r>
          </w:p>
          <w:p w14:paraId="6A64A975" w14:textId="125C9AC8" w:rsidR="00847D54" w:rsidRPr="00E255A8" w:rsidRDefault="00847D54" w:rsidP="00665463">
            <w:pPr>
              <w:pStyle w:val="Tablei"/>
            </w:pPr>
            <w:r w:rsidRPr="00E255A8">
              <w:t>(ii) harvested in Australia</w:t>
            </w:r>
            <w:r w:rsidR="00883B99">
              <w:t>.</w:t>
            </w:r>
          </w:p>
        </w:tc>
      </w:tr>
      <w:tr w:rsidR="00847D54" w:rsidRPr="00E255A8" w14:paraId="29D7A4D4" w14:textId="77777777" w:rsidTr="00D5301E">
        <w:tc>
          <w:tcPr>
            <w:tcW w:w="371" w:type="pct"/>
            <w:tcBorders>
              <w:top w:val="single" w:sz="2" w:space="0" w:color="auto"/>
              <w:left w:val="nil"/>
              <w:bottom w:val="single" w:sz="2" w:space="0" w:color="auto"/>
              <w:right w:val="nil"/>
            </w:tcBorders>
            <w:hideMark/>
          </w:tcPr>
          <w:p w14:paraId="6C2C2238" w14:textId="77777777" w:rsidR="00847D54" w:rsidRPr="00E255A8" w:rsidRDefault="00847D54" w:rsidP="00A00A29">
            <w:pPr>
              <w:pStyle w:val="Tabletext"/>
            </w:pPr>
            <w:r w:rsidRPr="00E255A8">
              <w:t>2</w:t>
            </w:r>
          </w:p>
        </w:tc>
        <w:tc>
          <w:tcPr>
            <w:tcW w:w="823" w:type="pct"/>
            <w:tcBorders>
              <w:top w:val="single" w:sz="2" w:space="0" w:color="auto"/>
              <w:left w:val="nil"/>
              <w:bottom w:val="single" w:sz="2" w:space="0" w:color="auto"/>
              <w:right w:val="nil"/>
            </w:tcBorders>
            <w:hideMark/>
          </w:tcPr>
          <w:p w14:paraId="7429B51A" w14:textId="77777777" w:rsidR="00847D54" w:rsidRPr="00E255A8" w:rsidRDefault="00847D54" w:rsidP="00363786">
            <w:pPr>
              <w:pStyle w:val="Tabletext"/>
            </w:pPr>
            <w:r w:rsidRPr="00E255A8">
              <w:t>seafood harvested outside Australia only</w:t>
            </w:r>
          </w:p>
        </w:tc>
        <w:tc>
          <w:tcPr>
            <w:tcW w:w="3806" w:type="pct"/>
            <w:tcBorders>
              <w:top w:val="single" w:sz="2" w:space="0" w:color="auto"/>
              <w:left w:val="nil"/>
              <w:bottom w:val="single" w:sz="2" w:space="0" w:color="auto"/>
              <w:right w:val="nil"/>
            </w:tcBorders>
            <w:hideMark/>
          </w:tcPr>
          <w:p w14:paraId="7F15A2E6" w14:textId="057BF3D9" w:rsidR="00847D54" w:rsidRPr="00E255A8" w:rsidRDefault="00847D54" w:rsidP="00E255A8">
            <w:pPr>
              <w:pStyle w:val="Tablea"/>
            </w:pPr>
            <w:r w:rsidRPr="00E255A8">
              <w:t>(a)</w:t>
            </w:r>
            <w:r w:rsidR="00363786" w:rsidRPr="00E255A8">
              <w:t xml:space="preserve"> </w:t>
            </w:r>
            <w:r w:rsidRPr="00E255A8">
              <w:t>the word ‘imported’ in relation to the product; or</w:t>
            </w:r>
          </w:p>
          <w:p w14:paraId="7C174684" w14:textId="38833AC0" w:rsidR="00847D54" w:rsidRPr="00E255A8" w:rsidRDefault="00847D54" w:rsidP="00E255A8">
            <w:pPr>
              <w:pStyle w:val="Tablea"/>
            </w:pPr>
            <w:r w:rsidRPr="00E255A8">
              <w:t>(b)</w:t>
            </w:r>
            <w:r w:rsidR="00363786" w:rsidRPr="00E255A8">
              <w:t xml:space="preserve"> </w:t>
            </w:r>
            <w:r w:rsidRPr="00E255A8">
              <w:t>an abbreviation (such as ‘I’) in relation to the product, with additional information making it clear the seafood is being described as:</w:t>
            </w:r>
          </w:p>
          <w:p w14:paraId="23F924A0" w14:textId="5D6D04AE" w:rsidR="00847D54" w:rsidRPr="00E255A8" w:rsidRDefault="00847D54" w:rsidP="00E255A8">
            <w:pPr>
              <w:pStyle w:val="Tablei"/>
            </w:pPr>
            <w:r w:rsidRPr="00E255A8">
              <w:t>(i) imported; or</w:t>
            </w:r>
          </w:p>
          <w:p w14:paraId="74F9AFBC" w14:textId="12051546" w:rsidR="00847D54" w:rsidRPr="00E255A8" w:rsidRDefault="00847D54" w:rsidP="00665463">
            <w:pPr>
              <w:pStyle w:val="Tablei"/>
            </w:pPr>
            <w:r w:rsidRPr="00E255A8">
              <w:t>(ii) harvested outside Australia</w:t>
            </w:r>
            <w:r w:rsidR="00883B99">
              <w:t>.</w:t>
            </w:r>
          </w:p>
        </w:tc>
      </w:tr>
      <w:tr w:rsidR="00847D54" w:rsidRPr="00892B05" w14:paraId="20701CC8" w14:textId="77777777" w:rsidTr="00D5301E">
        <w:tc>
          <w:tcPr>
            <w:tcW w:w="371" w:type="pct"/>
            <w:tcBorders>
              <w:top w:val="single" w:sz="2" w:space="0" w:color="auto"/>
              <w:left w:val="nil"/>
              <w:bottom w:val="single" w:sz="12" w:space="0" w:color="auto"/>
              <w:right w:val="nil"/>
            </w:tcBorders>
            <w:hideMark/>
          </w:tcPr>
          <w:p w14:paraId="50DB1149" w14:textId="77777777" w:rsidR="00847D54" w:rsidRPr="00E255A8" w:rsidRDefault="00847D54" w:rsidP="00A00A29">
            <w:pPr>
              <w:pStyle w:val="Tabletext"/>
            </w:pPr>
            <w:r w:rsidRPr="00E255A8">
              <w:t>3</w:t>
            </w:r>
          </w:p>
        </w:tc>
        <w:tc>
          <w:tcPr>
            <w:tcW w:w="823" w:type="pct"/>
            <w:tcBorders>
              <w:top w:val="single" w:sz="2" w:space="0" w:color="auto"/>
              <w:left w:val="nil"/>
              <w:bottom w:val="single" w:sz="12" w:space="0" w:color="auto"/>
              <w:right w:val="nil"/>
            </w:tcBorders>
            <w:hideMark/>
          </w:tcPr>
          <w:p w14:paraId="7F33072A" w14:textId="77777777" w:rsidR="00847D54" w:rsidRPr="00E255A8" w:rsidRDefault="00847D54" w:rsidP="00363786">
            <w:pPr>
              <w:pStyle w:val="Tabletext"/>
            </w:pPr>
            <w:r w:rsidRPr="00E255A8">
              <w:t xml:space="preserve">seafood harvested in Australia and seafood harvested </w:t>
            </w:r>
            <w:r w:rsidRPr="00E255A8">
              <w:lastRenderedPageBreak/>
              <w:t>outside Australia</w:t>
            </w:r>
          </w:p>
        </w:tc>
        <w:tc>
          <w:tcPr>
            <w:tcW w:w="3806" w:type="pct"/>
            <w:tcBorders>
              <w:top w:val="single" w:sz="2" w:space="0" w:color="auto"/>
              <w:left w:val="nil"/>
              <w:bottom w:val="single" w:sz="12" w:space="0" w:color="auto"/>
              <w:right w:val="nil"/>
            </w:tcBorders>
            <w:hideMark/>
          </w:tcPr>
          <w:p w14:paraId="63A6DACE" w14:textId="1CB79D0C" w:rsidR="00847D54" w:rsidRPr="00E255A8" w:rsidRDefault="00847D54" w:rsidP="00E255A8">
            <w:pPr>
              <w:pStyle w:val="Tablea"/>
            </w:pPr>
            <w:r w:rsidRPr="00E255A8">
              <w:lastRenderedPageBreak/>
              <w:t>(a)</w:t>
            </w:r>
            <w:r w:rsidR="00363786" w:rsidRPr="00E255A8">
              <w:t xml:space="preserve"> </w:t>
            </w:r>
            <w:r w:rsidRPr="00E255A8">
              <w:t>the word ‘mixed’ in relation to the product; or</w:t>
            </w:r>
          </w:p>
          <w:p w14:paraId="1324F71E" w14:textId="7461F4B1" w:rsidR="00847D54" w:rsidRPr="00E255A8" w:rsidRDefault="00847D54" w:rsidP="00E255A8">
            <w:pPr>
              <w:pStyle w:val="Tablea"/>
            </w:pPr>
            <w:r w:rsidRPr="00E255A8">
              <w:t>(b)</w:t>
            </w:r>
            <w:r w:rsidR="00363786" w:rsidRPr="00E255A8">
              <w:t xml:space="preserve"> </w:t>
            </w:r>
            <w:r w:rsidRPr="00E255A8">
              <w:t>an abbreviation (such as ‘M’) in relation to the product, with additional information making it clear the product is being described as:</w:t>
            </w:r>
          </w:p>
          <w:p w14:paraId="0C28EB0E" w14:textId="055CA4DC" w:rsidR="00847D54" w:rsidRPr="00E255A8" w:rsidRDefault="00847D54" w:rsidP="00E255A8">
            <w:pPr>
              <w:pStyle w:val="Tablei"/>
            </w:pPr>
            <w:r w:rsidRPr="00E255A8">
              <w:t>(i</w:t>
            </w:r>
            <w:r w:rsidRPr="00E255A8" w:rsidDel="00E255A8">
              <w:t xml:space="preserve">) </w:t>
            </w:r>
            <w:r w:rsidRPr="00E255A8">
              <w:t>mixed; or</w:t>
            </w:r>
          </w:p>
          <w:p w14:paraId="394FFAA4" w14:textId="48602C15" w:rsidR="00847D54" w:rsidRPr="00E255A8" w:rsidRDefault="00847D54" w:rsidP="00665463">
            <w:pPr>
              <w:pStyle w:val="Tablei"/>
            </w:pPr>
            <w:r w:rsidRPr="00E255A8">
              <w:lastRenderedPageBreak/>
              <w:t>(ii</w:t>
            </w:r>
            <w:r w:rsidR="00E255A8" w:rsidRPr="00E255A8">
              <w:t>)</w:t>
            </w:r>
            <w:r w:rsidR="00E255A8">
              <w:t xml:space="preserve"> </w:t>
            </w:r>
            <w:r w:rsidRPr="00E255A8">
              <w:t>containing seafood harvested in Australia and harvested outside Australia; or</w:t>
            </w:r>
          </w:p>
          <w:p w14:paraId="4C4F2830" w14:textId="19CDF147" w:rsidR="00847D54" w:rsidRPr="00E255A8" w:rsidRDefault="00847D54" w:rsidP="00E255A8">
            <w:pPr>
              <w:pStyle w:val="Tablea"/>
            </w:pPr>
            <w:r w:rsidRPr="00E255A8">
              <w:t>(</w:t>
            </w:r>
            <w:r w:rsidR="001F1774">
              <w:t>c</w:t>
            </w:r>
            <w:r w:rsidRPr="00E255A8">
              <w:t>)</w:t>
            </w:r>
            <w:r w:rsidR="00363786" w:rsidRPr="00E255A8">
              <w:t xml:space="preserve"> </w:t>
            </w:r>
            <w:r w:rsidRPr="00E255A8">
              <w:t>words (such as ‘Australian’ or ‘Imported’) which separately identify the seafood that was harvested in Australia and the seafood that was harvested outside Australia; or</w:t>
            </w:r>
          </w:p>
          <w:p w14:paraId="13C5A5A3" w14:textId="5275D62D" w:rsidR="00847D54" w:rsidRPr="00E255A8" w:rsidRDefault="00847D54" w:rsidP="00E255A8">
            <w:pPr>
              <w:pStyle w:val="Tablea"/>
            </w:pPr>
            <w:r w:rsidRPr="00E255A8">
              <w:t>(</w:t>
            </w:r>
            <w:r w:rsidR="001F1774">
              <w:t>d</w:t>
            </w:r>
            <w:r w:rsidRPr="00E255A8">
              <w:t>)</w:t>
            </w:r>
            <w:r w:rsidR="00363786" w:rsidRPr="00E255A8">
              <w:t xml:space="preserve"> </w:t>
            </w:r>
            <w:r w:rsidRPr="00E255A8">
              <w:t>abbreviations (such as ‘A’ or ‘I’) which separately identify the seafood that was</w:t>
            </w:r>
            <w:r w:rsidRPr="00E255A8" w:rsidDel="006D149A">
              <w:t xml:space="preserve"> </w:t>
            </w:r>
            <w:r w:rsidRPr="00E255A8">
              <w:t>harvested in Australia and the seafood harvested outside Australia, with additional information making it clear the seafood is being described by the seller as seafood harvested in Australia or seafood harvested outside Australia (as the case may be).</w:t>
            </w:r>
          </w:p>
        </w:tc>
      </w:tr>
    </w:tbl>
    <w:p w14:paraId="080CF1D6" w14:textId="1D661B3F" w:rsidR="00847D54" w:rsidRDefault="00847D54" w:rsidP="00847D54">
      <w:pPr>
        <w:pStyle w:val="notetext"/>
      </w:pPr>
      <w:r>
        <w:lastRenderedPageBreak/>
        <w:t>Note 1:</w:t>
      </w:r>
      <w:r>
        <w:tab/>
        <w:t xml:space="preserve">The statement may be in a digital or physical form and can be included (for example) </w:t>
      </w:r>
      <w:r w:rsidR="00201B11">
        <w:t>o</w:t>
      </w:r>
      <w:r>
        <w:t>n a menu.</w:t>
      </w:r>
    </w:p>
    <w:p w14:paraId="73A655A9" w14:textId="61BF6459" w:rsidR="00847D54" w:rsidRDefault="00847D54" w:rsidP="00847D54">
      <w:pPr>
        <w:pStyle w:val="notetext"/>
      </w:pPr>
      <w:r>
        <w:t>Note 2:</w:t>
      </w:r>
      <w:r>
        <w:tab/>
      </w:r>
      <w:r w:rsidR="001F1774" w:rsidRPr="001F1774">
        <w:t xml:space="preserve">Additional labelling about the location the seafood is harvested from may </w:t>
      </w:r>
      <w:r w:rsidR="00B4030E">
        <w:t xml:space="preserve">also </w:t>
      </w:r>
      <w:r w:rsidR="0067087B">
        <w:t xml:space="preserve">be </w:t>
      </w:r>
      <w:r w:rsidR="001F1774" w:rsidRPr="001F1774">
        <w:t>used. It can be broad (for example, State or Territory in Australia, or the country from which the seafood is harvested) or specific (for example the town, the city or region), but the information must include the relevant A (Australian), I (Imported) or M (Mixed) origin label.</w:t>
      </w:r>
    </w:p>
    <w:p w14:paraId="44CC190E" w14:textId="716BDC2E" w:rsidR="00A40D65" w:rsidRDefault="00727993" w:rsidP="00A40D65">
      <w:pPr>
        <w:pStyle w:val="ActHead5"/>
      </w:pPr>
      <w:bookmarkStart w:id="15" w:name="_Toc200528072"/>
      <w:r>
        <w:t xml:space="preserve">6  </w:t>
      </w:r>
      <w:r w:rsidR="00A40D65">
        <w:t>Certain information must be made available on request</w:t>
      </w:r>
      <w:bookmarkEnd w:id="15"/>
    </w:p>
    <w:p w14:paraId="0023A7C9" w14:textId="6236DE50" w:rsidR="00834119" w:rsidRDefault="00834119" w:rsidP="006210BA">
      <w:pPr>
        <w:pStyle w:val="subsection"/>
      </w:pPr>
      <w:r>
        <w:tab/>
        <w:t>(1)</w:t>
      </w:r>
      <w:r>
        <w:tab/>
      </w:r>
      <w:r w:rsidRPr="00363786">
        <w:t xml:space="preserve">Under subsection 134(1) of Schedule 2 to the Act, this section sets out an information standard for a </w:t>
      </w:r>
      <w:r w:rsidR="00F97AD1">
        <w:t>seafood product</w:t>
      </w:r>
      <w:r w:rsidRPr="00363786">
        <w:t xml:space="preserve"> that meets all of the following:</w:t>
      </w:r>
    </w:p>
    <w:p w14:paraId="143D52D6" w14:textId="3FEFC79D" w:rsidR="00A61438" w:rsidRDefault="00A61438" w:rsidP="00A61438">
      <w:pPr>
        <w:pStyle w:val="paragraph"/>
      </w:pPr>
      <w:r w:rsidDel="00834119">
        <w:tab/>
        <w:t>(</w:t>
      </w:r>
      <w:r w:rsidR="00AA3D33">
        <w:t>a</w:t>
      </w:r>
      <w:r>
        <w:t>)</w:t>
      </w:r>
      <w:r>
        <w:tab/>
      </w:r>
      <w:r w:rsidR="00990EC4" w:rsidRPr="00990EC4">
        <w:t xml:space="preserve">the product </w:t>
      </w:r>
      <w:r>
        <w:t xml:space="preserve">is supplied </w:t>
      </w:r>
      <w:r w:rsidR="00F61D2A">
        <w:t>by a person</w:t>
      </w:r>
      <w:r w:rsidR="00287E62">
        <w:t xml:space="preserve"> (the </w:t>
      </w:r>
      <w:r w:rsidR="00287E62" w:rsidRPr="00964DCC">
        <w:rPr>
          <w:b/>
          <w:bCs/>
          <w:i/>
          <w:iCs/>
        </w:rPr>
        <w:t>supplier</w:t>
      </w:r>
      <w:r w:rsidR="00287E62">
        <w:t>)</w:t>
      </w:r>
      <w:r w:rsidR="00F61D2A">
        <w:t xml:space="preserve"> to another </w:t>
      </w:r>
      <w:r>
        <w:t xml:space="preserve">person </w:t>
      </w:r>
      <w:r w:rsidR="00287E62">
        <w:t xml:space="preserve">(the </w:t>
      </w:r>
      <w:r w:rsidR="00287E62" w:rsidRPr="00964DCC">
        <w:rPr>
          <w:b/>
          <w:bCs/>
          <w:i/>
          <w:iCs/>
        </w:rPr>
        <w:t>purchaser</w:t>
      </w:r>
      <w:r w:rsidR="00287E62">
        <w:t xml:space="preserve">) </w:t>
      </w:r>
      <w:r w:rsidR="007C43E0">
        <w:t>in Australia</w:t>
      </w:r>
      <w:r>
        <w:t>;</w:t>
      </w:r>
    </w:p>
    <w:p w14:paraId="220471B7" w14:textId="7731CCF0" w:rsidR="00D23B9F" w:rsidRDefault="00D23B9F" w:rsidP="00A61438">
      <w:pPr>
        <w:pStyle w:val="paragraph"/>
      </w:pPr>
      <w:r w:rsidRPr="00D23B9F">
        <w:tab/>
        <w:t>(</w:t>
      </w:r>
      <w:r w:rsidR="00AA3D33">
        <w:t>b</w:t>
      </w:r>
      <w:r w:rsidRPr="00D23B9F">
        <w:t>)</w:t>
      </w:r>
      <w:r w:rsidRPr="00D23B9F">
        <w:tab/>
        <w:t xml:space="preserve">section 5 does </w:t>
      </w:r>
      <w:r w:rsidRPr="00E73F27">
        <w:rPr>
          <w:i/>
          <w:iCs/>
        </w:rPr>
        <w:t>not</w:t>
      </w:r>
      <w:r w:rsidRPr="00D23B9F">
        <w:t xml:space="preserve"> apply in relation to the product;</w:t>
      </w:r>
    </w:p>
    <w:p w14:paraId="68C5A963" w14:textId="61204057" w:rsidR="00B318A4" w:rsidRDefault="00B318A4" w:rsidP="00B318A4">
      <w:pPr>
        <w:pStyle w:val="paragraph"/>
      </w:pPr>
      <w:r>
        <w:tab/>
        <w:t>(</w:t>
      </w:r>
      <w:r w:rsidR="00AA3D33">
        <w:t>c</w:t>
      </w:r>
      <w:r>
        <w:t>)</w:t>
      </w:r>
      <w:r>
        <w:tab/>
      </w:r>
      <w:r w:rsidR="00990EC4" w:rsidRPr="00990EC4">
        <w:t xml:space="preserve">the product </w:t>
      </w:r>
      <w:r>
        <w:t xml:space="preserve">is </w:t>
      </w:r>
      <w:r w:rsidRPr="00E73F27">
        <w:rPr>
          <w:i/>
          <w:iCs/>
        </w:rPr>
        <w:t>not</w:t>
      </w:r>
      <w:r>
        <w:t xml:space="preserve"> supplied:</w:t>
      </w:r>
    </w:p>
    <w:p w14:paraId="02003B05" w14:textId="77777777" w:rsidR="00B318A4" w:rsidRDefault="00B318A4" w:rsidP="009969A7">
      <w:pPr>
        <w:pStyle w:val="paragraphsub"/>
      </w:pPr>
      <w:r>
        <w:tab/>
        <w:t>(i)</w:t>
      </w:r>
      <w:r>
        <w:tab/>
        <w:t>by a canteen, school, prison, hospital or medical institution; or</w:t>
      </w:r>
    </w:p>
    <w:p w14:paraId="67AD091C" w14:textId="5332E149" w:rsidR="00B318A4" w:rsidRDefault="00B318A4" w:rsidP="009969A7">
      <w:pPr>
        <w:pStyle w:val="paragraphsub"/>
      </w:pPr>
      <w:r>
        <w:tab/>
        <w:t>(ii)</w:t>
      </w:r>
      <w:r>
        <w:tab/>
        <w:t>at a fund</w:t>
      </w:r>
      <w:r w:rsidR="000437B3">
        <w:t xml:space="preserve"> </w:t>
      </w:r>
      <w:r>
        <w:t>raising event;</w:t>
      </w:r>
    </w:p>
    <w:p w14:paraId="7AB8A14F" w14:textId="7A290E01" w:rsidR="00A61438" w:rsidRDefault="003F5259" w:rsidP="00A61438">
      <w:pPr>
        <w:pStyle w:val="paragraph"/>
      </w:pPr>
      <w:r>
        <w:tab/>
        <w:t>(</w:t>
      </w:r>
      <w:r w:rsidR="00AA3D33">
        <w:t>d</w:t>
      </w:r>
      <w:r>
        <w:t>)</w:t>
      </w:r>
      <w:r>
        <w:tab/>
      </w:r>
      <w:r w:rsidR="007F5406">
        <w:t xml:space="preserve">the product </w:t>
      </w:r>
      <w:r>
        <w:t xml:space="preserve">is </w:t>
      </w:r>
      <w:r w:rsidRPr="00932B28">
        <w:rPr>
          <w:i/>
          <w:iCs/>
        </w:rPr>
        <w:t>not</w:t>
      </w:r>
      <w:r>
        <w:t xml:space="preserve"> supplied in circumstances where labelling </w:t>
      </w:r>
      <w:r w:rsidRPr="008847FA">
        <w:t>is required</w:t>
      </w:r>
      <w:r>
        <w:t xml:space="preserve"> by the </w:t>
      </w:r>
      <w:r w:rsidRPr="00932B28">
        <w:rPr>
          <w:i/>
          <w:iCs/>
        </w:rPr>
        <w:t>Country of Origin Food Labelling Information Standard 2016</w:t>
      </w:r>
      <w:r w:rsidR="00A61438" w:rsidDel="003F5259">
        <w:t>.</w:t>
      </w:r>
    </w:p>
    <w:p w14:paraId="11B3A75F" w14:textId="20D793C9" w:rsidR="0091230C" w:rsidRDefault="0091230C" w:rsidP="0091230C">
      <w:pPr>
        <w:pStyle w:val="subsection"/>
      </w:pPr>
      <w:r>
        <w:tab/>
        <w:t>(2)</w:t>
      </w:r>
      <w:r>
        <w:tab/>
      </w:r>
      <w:r w:rsidR="0039146A" w:rsidRPr="0039146A">
        <w:t xml:space="preserve">If the purchaser requests information about the origin of the product </w:t>
      </w:r>
      <w:r w:rsidR="00166206">
        <w:t>for the purpose of</w:t>
      </w:r>
      <w:r w:rsidR="0039146A" w:rsidRPr="0039146A">
        <w:t xml:space="preserve"> enabl</w:t>
      </w:r>
      <w:r w:rsidR="00166206">
        <w:t>ing</w:t>
      </w:r>
      <w:r w:rsidR="0039146A" w:rsidRPr="0039146A">
        <w:t xml:space="preserve"> the purchaser</w:t>
      </w:r>
      <w:r w:rsidR="00B965B7">
        <w:t xml:space="preserve">, </w:t>
      </w:r>
      <w:r w:rsidR="00B965B7" w:rsidRPr="00FA42D5">
        <w:t>or</w:t>
      </w:r>
      <w:r w:rsidR="00B965B7" w:rsidRPr="004A16C3">
        <w:t xml:space="preserve"> </w:t>
      </w:r>
      <w:r w:rsidR="00B965B7" w:rsidRPr="004A16C3">
        <w:rPr>
          <w:iCs/>
        </w:rPr>
        <w:t>a</w:t>
      </w:r>
      <w:r w:rsidR="00B16CCA" w:rsidRPr="004A16C3">
        <w:rPr>
          <w:iCs/>
        </w:rPr>
        <w:t>n</w:t>
      </w:r>
      <w:r w:rsidR="00C91B0B" w:rsidRPr="004803C8">
        <w:rPr>
          <w:iCs/>
        </w:rPr>
        <w:t>other</w:t>
      </w:r>
      <w:r w:rsidR="00B965B7" w:rsidRPr="004A16C3">
        <w:t xml:space="preserve"> person</w:t>
      </w:r>
      <w:r w:rsidR="007A7626" w:rsidRPr="004A16C3">
        <w:t xml:space="preserve"> to whom the product is subsequently supplied</w:t>
      </w:r>
      <w:r w:rsidR="00B965B7">
        <w:t>,</w:t>
      </w:r>
      <w:r w:rsidR="0039146A" w:rsidRPr="0039146A">
        <w:t xml:space="preserve"> to comply with section 5 in relation to:</w:t>
      </w:r>
    </w:p>
    <w:p w14:paraId="15168A5A" w14:textId="0D0497BB" w:rsidR="0091230C" w:rsidRDefault="0091230C" w:rsidP="001C2BA9">
      <w:pPr>
        <w:pStyle w:val="paragraph"/>
      </w:pPr>
      <w:r>
        <w:tab/>
        <w:t>(</w:t>
      </w:r>
      <w:r w:rsidR="00E110EB">
        <w:t>a</w:t>
      </w:r>
      <w:r>
        <w:t>)</w:t>
      </w:r>
      <w:r>
        <w:tab/>
        <w:t>supplying the product to another person; or</w:t>
      </w:r>
    </w:p>
    <w:p w14:paraId="1CC65DCA" w14:textId="2F7788E2" w:rsidR="0091230C" w:rsidRDefault="0091230C" w:rsidP="001C2BA9">
      <w:pPr>
        <w:pStyle w:val="paragraph"/>
      </w:pPr>
      <w:r>
        <w:tab/>
        <w:t>(</w:t>
      </w:r>
      <w:r w:rsidR="00E110EB">
        <w:t>b</w:t>
      </w:r>
      <w:r>
        <w:t>)</w:t>
      </w:r>
      <w:r>
        <w:tab/>
        <w:t>supplying food that uses the product as an ingredient to another person;</w:t>
      </w:r>
    </w:p>
    <w:p w14:paraId="54D6F4DF" w14:textId="14EE25A9" w:rsidR="00F41B68" w:rsidRDefault="0091230C" w:rsidP="00AD5A21">
      <w:pPr>
        <w:pStyle w:val="subsection2"/>
      </w:pPr>
      <w:r>
        <w:t>the supplier must</w:t>
      </w:r>
      <w:r w:rsidR="0014779D">
        <w:t xml:space="preserve"> provide the information to</w:t>
      </w:r>
      <w:r>
        <w:t xml:space="preserve"> the purchaser</w:t>
      </w:r>
      <w:r w:rsidR="0014779D">
        <w:t xml:space="preserve"> in writing</w:t>
      </w:r>
      <w:r>
        <w:t>.</w:t>
      </w:r>
    </w:p>
    <w:p w14:paraId="1A723630" w14:textId="06765609" w:rsidR="00A61438" w:rsidRDefault="00A61438" w:rsidP="00BC7E62">
      <w:pPr>
        <w:pStyle w:val="subsection"/>
      </w:pPr>
      <w:r w:rsidRPr="00EA5EB5">
        <w:tab/>
        <w:t>(</w:t>
      </w:r>
      <w:r w:rsidR="00B965B7">
        <w:t>3</w:t>
      </w:r>
      <w:r w:rsidRPr="00EA5EB5">
        <w:t>)</w:t>
      </w:r>
      <w:r w:rsidRPr="00EA5EB5">
        <w:tab/>
        <w:t xml:space="preserve">Section 137AA of </w:t>
      </w:r>
      <w:r w:rsidR="006F66BE" w:rsidRPr="00363786">
        <w:t>Schedule 2 to the Act</w:t>
      </w:r>
      <w:r w:rsidRPr="00EA5EB5">
        <w:t xml:space="preserve"> applies to this section.</w:t>
      </w:r>
    </w:p>
    <w:p w14:paraId="39BE43F8" w14:textId="3CFAEADC" w:rsidR="001B6C2B" w:rsidRPr="00867DC3" w:rsidRDefault="00197864" w:rsidP="006210BA">
      <w:pPr>
        <w:pStyle w:val="notetext"/>
      </w:pPr>
      <w:r w:rsidRPr="00197864">
        <w:t>Note:</w:t>
      </w:r>
      <w:r>
        <w:tab/>
      </w:r>
      <w:r w:rsidRPr="00197864">
        <w:t xml:space="preserve">A pecuniary penalty may be imposed for a contravention of a requirement </w:t>
      </w:r>
      <w:r w:rsidR="000D4D0B">
        <w:t>of</w:t>
      </w:r>
      <w:r w:rsidRPr="00197864">
        <w:t xml:space="preserve"> this section: see section 137AA of Schedule 2 to the Act.</w:t>
      </w:r>
    </w:p>
    <w:p w14:paraId="34409400" w14:textId="24FB4D0D" w:rsidR="00732CC9" w:rsidRPr="00867DC3" w:rsidRDefault="00727993" w:rsidP="00C7005E">
      <w:pPr>
        <w:pStyle w:val="ActHead5"/>
      </w:pPr>
      <w:bookmarkStart w:id="16" w:name="_Toc200528073"/>
      <w:r w:rsidRPr="006A36BE">
        <w:rPr>
          <w:rStyle w:val="CharSectno"/>
        </w:rPr>
        <w:t>7</w:t>
      </w:r>
      <w:r w:rsidRPr="00867DC3">
        <w:t xml:space="preserve">  </w:t>
      </w:r>
      <w:r w:rsidR="00732CC9" w:rsidRPr="00867DC3">
        <w:t>Record keeping</w:t>
      </w:r>
      <w:bookmarkEnd w:id="16"/>
    </w:p>
    <w:p w14:paraId="3FD39437" w14:textId="77777777" w:rsidR="00732CC9" w:rsidRPr="00207711" w:rsidRDefault="00732CC9" w:rsidP="00C7005E">
      <w:pPr>
        <w:pStyle w:val="subsection"/>
        <w:keepNext/>
        <w:keepLines/>
      </w:pPr>
      <w:r>
        <w:tab/>
        <w:t>(1)</w:t>
      </w:r>
      <w:r>
        <w:tab/>
        <w:t>If:</w:t>
      </w:r>
    </w:p>
    <w:p w14:paraId="32E9D5AD" w14:textId="2773CB93" w:rsidR="00732CC9" w:rsidRPr="00207711" w:rsidRDefault="00732CC9" w:rsidP="00C7005E">
      <w:pPr>
        <w:pStyle w:val="paragraph"/>
        <w:keepNext/>
        <w:keepLines/>
      </w:pPr>
      <w:r w:rsidRPr="00207711">
        <w:tab/>
        <w:t>(a)</w:t>
      </w:r>
      <w:r w:rsidRPr="00207711">
        <w:tab/>
        <w:t xml:space="preserve">a person offers to </w:t>
      </w:r>
      <w:r w:rsidR="00B71ED6" w:rsidRPr="00207711">
        <w:t>supply a seafood product to w</w:t>
      </w:r>
      <w:r w:rsidRPr="00207711">
        <w:t xml:space="preserve">hich section </w:t>
      </w:r>
      <w:r w:rsidR="00231117">
        <w:t>5</w:t>
      </w:r>
      <w:r w:rsidRPr="00207711">
        <w:t xml:space="preserve"> applies; and</w:t>
      </w:r>
    </w:p>
    <w:p w14:paraId="4FB72391" w14:textId="0541CB71" w:rsidR="00732CC9" w:rsidRDefault="00732CC9" w:rsidP="00207711">
      <w:pPr>
        <w:pStyle w:val="paragraph"/>
      </w:pPr>
      <w:r w:rsidRPr="00207711">
        <w:tab/>
        <w:t>(b)</w:t>
      </w:r>
      <w:r w:rsidRPr="00207711">
        <w:tab/>
        <w:t>the p</w:t>
      </w:r>
      <w:r>
        <w:t xml:space="preserve">erson, in making that offer, has provided a written statement that includes the information required by the table in subsection </w:t>
      </w:r>
      <w:r w:rsidR="00B56E02">
        <w:t>5</w:t>
      </w:r>
      <w:r>
        <w:t>(</w:t>
      </w:r>
      <w:r w:rsidR="00E0103E">
        <w:t>2</w:t>
      </w:r>
      <w:r>
        <w:t>);</w:t>
      </w:r>
    </w:p>
    <w:p w14:paraId="3FDC43B9" w14:textId="77777777" w:rsidR="00732CC9" w:rsidRDefault="00732CC9" w:rsidP="000326F9">
      <w:pPr>
        <w:pStyle w:val="subsection2"/>
      </w:pPr>
      <w:r>
        <w:t>the person must keep the records that the person relied on for that information.</w:t>
      </w:r>
    </w:p>
    <w:p w14:paraId="001EE614" w14:textId="0219B41E" w:rsidR="00732CC9" w:rsidRDefault="00732CC9" w:rsidP="000326F9">
      <w:pPr>
        <w:pStyle w:val="subsection"/>
      </w:pPr>
      <w:r>
        <w:tab/>
        <w:t>(2)</w:t>
      </w:r>
      <w:r>
        <w:tab/>
        <w:t xml:space="preserve">The records must be kept for 3 months after the food is </w:t>
      </w:r>
      <w:r w:rsidR="007566C3">
        <w:t xml:space="preserve">last </w:t>
      </w:r>
      <w:r>
        <w:t>offered for supply.</w:t>
      </w:r>
    </w:p>
    <w:p w14:paraId="2EB984E1" w14:textId="00AB3B79" w:rsidR="00732CC9" w:rsidRDefault="00732CC9" w:rsidP="000326F9">
      <w:pPr>
        <w:pStyle w:val="subsection"/>
      </w:pPr>
      <w:r>
        <w:tab/>
        <w:t>(3)</w:t>
      </w:r>
      <w:r>
        <w:tab/>
        <w:t xml:space="preserve">Section 137AA of </w:t>
      </w:r>
      <w:r w:rsidR="003040F5" w:rsidRPr="00363786">
        <w:t>Schedule 2 to the Act</w:t>
      </w:r>
      <w:r w:rsidR="008F1D95">
        <w:t xml:space="preserve"> </w:t>
      </w:r>
      <w:r>
        <w:t>applies to this section.</w:t>
      </w:r>
    </w:p>
    <w:p w14:paraId="00A1891E" w14:textId="4AC23BC2" w:rsidR="00055E29" w:rsidRPr="00A40D65" w:rsidRDefault="00055E29" w:rsidP="00055E29">
      <w:pPr>
        <w:pStyle w:val="notetext"/>
      </w:pPr>
      <w:r w:rsidRPr="00055E29">
        <w:t>Note:</w:t>
      </w:r>
      <w:r w:rsidRPr="00055E29">
        <w:tab/>
        <w:t xml:space="preserve">A pecuniary penalty may be imposed for a contravention of a requirement </w:t>
      </w:r>
      <w:r w:rsidR="000D4D0B">
        <w:t>of</w:t>
      </w:r>
      <w:r w:rsidRPr="00055E29">
        <w:t xml:space="preserve"> this section: see section 137AA of Schedule 2 to the Act.</w:t>
      </w:r>
    </w:p>
    <w:sectPr w:rsidR="00055E29" w:rsidRPr="00A40D65" w:rsidSect="005A6950">
      <w:headerReference w:type="even" r:id="rId20"/>
      <w:headerReference w:type="default" r:id="rId21"/>
      <w:footerReference w:type="even" r:id="rId22"/>
      <w:footerReference w:type="default" r:id="rId23"/>
      <w:headerReference w:type="first" r:id="rId24"/>
      <w:footerReference w:type="first" r:id="rId25"/>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1CF99" w14:textId="77777777" w:rsidR="00FC2050" w:rsidRDefault="00FC2050" w:rsidP="00FA06CA">
      <w:pPr>
        <w:spacing w:line="240" w:lineRule="auto"/>
      </w:pPr>
      <w:r>
        <w:separator/>
      </w:r>
    </w:p>
  </w:endnote>
  <w:endnote w:type="continuationSeparator" w:id="0">
    <w:p w14:paraId="273D3234" w14:textId="77777777" w:rsidR="00FC2050" w:rsidRDefault="00FC2050" w:rsidP="00FA06CA">
      <w:pPr>
        <w:spacing w:line="240" w:lineRule="auto"/>
      </w:pPr>
      <w:r>
        <w:continuationSeparator/>
      </w:r>
    </w:p>
  </w:endnote>
  <w:endnote w:type="continuationNotice" w:id="1">
    <w:p w14:paraId="4CDFAEA4" w14:textId="77777777" w:rsidR="00FC2050" w:rsidRDefault="00FC20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0EA8" w14:textId="6BDD6C2C" w:rsidR="00FA06CA" w:rsidRDefault="00FA06CA" w:rsidP="005A6950">
    <w:pPr>
      <w:pStyle w:val="Footer"/>
    </w:pPr>
    <w:bookmarkStart w:id="0" w:name="_Hlk26286429"/>
    <w:bookmarkStart w:id="1" w:name="_Hlk26286430"/>
    <w:bookmarkStart w:id="2" w:name="_Hlk26286433"/>
    <w:bookmarkStart w:id="3" w:name="_Hlk26286434"/>
  </w:p>
  <w:bookmarkEnd w:id="0"/>
  <w:bookmarkEnd w:id="1"/>
  <w:bookmarkEnd w:id="2"/>
  <w:bookmarkEnd w:id="3"/>
  <w:p w14:paraId="22DC4E1D" w14:textId="77777777" w:rsidR="00FA06CA" w:rsidRPr="007500C8" w:rsidRDefault="00FA06CA" w:rsidP="005A6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EA4D" w14:textId="0B03E21D" w:rsidR="00FA06CA" w:rsidRPr="00ED79B6" w:rsidRDefault="00FA06CA" w:rsidP="005A6950">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BB37" w14:textId="5684033A" w:rsidR="00FA06CA" w:rsidRPr="00E33C1C" w:rsidRDefault="00FA06CA" w:rsidP="005A6950">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FA06CA" w14:paraId="7A92DE46" w14:textId="77777777" w:rsidTr="00363786">
      <w:tc>
        <w:tcPr>
          <w:tcW w:w="709" w:type="dxa"/>
          <w:tcBorders>
            <w:top w:val="nil"/>
            <w:left w:val="nil"/>
            <w:bottom w:val="nil"/>
            <w:right w:val="nil"/>
          </w:tcBorders>
        </w:tcPr>
        <w:p w14:paraId="70C911CB" w14:textId="77777777" w:rsidR="00FA06CA" w:rsidRDefault="00FA06CA" w:rsidP="005A695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6CBC94FA" w14:textId="2C7D0D2E" w:rsidR="00FA06CA" w:rsidRDefault="00FA06CA" w:rsidP="005A6950">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875FBF">
            <w:rPr>
              <w:i/>
              <w:noProof/>
              <w:sz w:val="18"/>
            </w:rPr>
            <w:t>Competition and Consumer (Australian Consumer Law—Country of Origin Information for Seafood for Immediate Consumption) Information Standard 2025</w:t>
          </w:r>
          <w:r>
            <w:rPr>
              <w:i/>
              <w:sz w:val="18"/>
            </w:rPr>
            <w:fldChar w:fldCharType="end"/>
          </w:r>
        </w:p>
      </w:tc>
      <w:tc>
        <w:tcPr>
          <w:tcW w:w="1384" w:type="dxa"/>
          <w:tcBorders>
            <w:top w:val="nil"/>
            <w:left w:val="nil"/>
            <w:bottom w:val="nil"/>
            <w:right w:val="nil"/>
          </w:tcBorders>
        </w:tcPr>
        <w:p w14:paraId="19AC1AF5" w14:textId="77777777" w:rsidR="00FA06CA" w:rsidRDefault="00FA06CA" w:rsidP="005A6950">
          <w:pPr>
            <w:spacing w:line="0" w:lineRule="atLeast"/>
            <w:jc w:val="right"/>
            <w:rPr>
              <w:sz w:val="18"/>
            </w:rPr>
          </w:pPr>
        </w:p>
      </w:tc>
    </w:tr>
  </w:tbl>
  <w:p w14:paraId="43D9E6AF" w14:textId="77777777" w:rsidR="00FA06CA" w:rsidRPr="00ED79B6" w:rsidRDefault="00FA06CA" w:rsidP="005A6950">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B6EE" w14:textId="770AEC26" w:rsidR="00FA06CA" w:rsidRPr="00E33C1C" w:rsidRDefault="00FA06CA" w:rsidP="005A6950">
    <w:pPr>
      <w:pBdr>
        <w:top w:val="single" w:sz="6" w:space="1" w:color="auto"/>
      </w:pBdr>
      <w:spacing w:before="120" w:line="0" w:lineRule="atLeast"/>
      <w:rPr>
        <w:sz w:val="16"/>
        <w:szCs w:val="16"/>
      </w:rPr>
    </w:pPr>
    <w:bookmarkStart w:id="4" w:name="_Hlk26286441"/>
    <w:bookmarkStart w:id="5" w:name="_Hlk26286442"/>
    <w:bookmarkStart w:id="6" w:name="_Hlk26286445"/>
    <w:bookmarkStart w:id="7" w:name="_Hlk26286446"/>
  </w:p>
  <w:tbl>
    <w:tblPr>
      <w:tblStyle w:val="TableGrid"/>
      <w:tblW w:w="8472" w:type="dxa"/>
      <w:tblLayout w:type="fixed"/>
      <w:tblLook w:val="04A0" w:firstRow="1" w:lastRow="0" w:firstColumn="1" w:lastColumn="0" w:noHBand="0" w:noVBand="1"/>
    </w:tblPr>
    <w:tblGrid>
      <w:gridCol w:w="1383"/>
      <w:gridCol w:w="6380"/>
      <w:gridCol w:w="709"/>
    </w:tblGrid>
    <w:tr w:rsidR="00FA06CA" w14:paraId="61154A25" w14:textId="77777777" w:rsidTr="005A6950">
      <w:tc>
        <w:tcPr>
          <w:tcW w:w="1383" w:type="dxa"/>
          <w:tcBorders>
            <w:top w:val="nil"/>
            <w:left w:val="nil"/>
            <w:bottom w:val="nil"/>
            <w:right w:val="nil"/>
          </w:tcBorders>
        </w:tcPr>
        <w:p w14:paraId="21B582E8" w14:textId="77777777" w:rsidR="00FA06CA" w:rsidRDefault="00FA06CA" w:rsidP="005A6950">
          <w:pPr>
            <w:spacing w:line="0" w:lineRule="atLeast"/>
            <w:rPr>
              <w:sz w:val="18"/>
            </w:rPr>
          </w:pPr>
        </w:p>
      </w:tc>
      <w:tc>
        <w:tcPr>
          <w:tcW w:w="6380" w:type="dxa"/>
          <w:tcBorders>
            <w:top w:val="nil"/>
            <w:left w:val="nil"/>
            <w:bottom w:val="nil"/>
            <w:right w:val="nil"/>
          </w:tcBorders>
        </w:tcPr>
        <w:p w14:paraId="4B6BCBD5" w14:textId="3C2F7AFE" w:rsidR="00FA06CA" w:rsidRDefault="00FA06CA" w:rsidP="005A6950">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50407C">
            <w:rPr>
              <w:i/>
              <w:noProof/>
              <w:sz w:val="18"/>
            </w:rPr>
            <w:t>Competition and Consumer (Australian Consumer Law—Country of Origin Information for Seafood for Immediate Consumption) Information Standard 2025</w:t>
          </w:r>
          <w:r>
            <w:rPr>
              <w:i/>
              <w:sz w:val="18"/>
            </w:rPr>
            <w:fldChar w:fldCharType="end"/>
          </w:r>
        </w:p>
      </w:tc>
      <w:tc>
        <w:tcPr>
          <w:tcW w:w="709" w:type="dxa"/>
          <w:tcBorders>
            <w:top w:val="nil"/>
            <w:left w:val="nil"/>
            <w:bottom w:val="nil"/>
            <w:right w:val="nil"/>
          </w:tcBorders>
        </w:tcPr>
        <w:p w14:paraId="01778426" w14:textId="77777777" w:rsidR="00FA06CA" w:rsidRDefault="00FA06CA" w:rsidP="005A695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bookmarkEnd w:id="4"/>
    <w:bookmarkEnd w:id="5"/>
    <w:bookmarkEnd w:id="6"/>
    <w:bookmarkEnd w:id="7"/>
  </w:tbl>
  <w:p w14:paraId="4730BD43" w14:textId="77777777" w:rsidR="00FA06CA" w:rsidRPr="00ED79B6" w:rsidRDefault="00FA06CA" w:rsidP="005A6950">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0604E" w14:textId="5EB1177E" w:rsidR="00FB767F" w:rsidRDefault="00FB76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797F7" w14:textId="30C2ABCF" w:rsidR="003D7D81" w:rsidRPr="00E33C1C" w:rsidRDefault="003D7D81" w:rsidP="005A6950">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5A6950" w14:paraId="4654D671" w14:textId="77777777" w:rsidTr="00363786">
      <w:tc>
        <w:tcPr>
          <w:tcW w:w="709" w:type="dxa"/>
          <w:tcBorders>
            <w:top w:val="nil"/>
            <w:left w:val="nil"/>
            <w:bottom w:val="nil"/>
            <w:right w:val="nil"/>
          </w:tcBorders>
        </w:tcPr>
        <w:p w14:paraId="6CDD8AB6" w14:textId="77777777" w:rsidR="003D7D81" w:rsidRDefault="00636078" w:rsidP="005A695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A1F59DD" w14:textId="11BF2AEC" w:rsidR="003D7D81" w:rsidRDefault="00636078" w:rsidP="005A6950">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50407C">
            <w:rPr>
              <w:i/>
              <w:noProof/>
              <w:sz w:val="18"/>
            </w:rPr>
            <w:t>Competition and Consumer (Australian Consumer Law—Country of Origin Information for Seafood for Immediate Consumption) Information Standard 2025</w:t>
          </w:r>
          <w:r>
            <w:rPr>
              <w:i/>
              <w:sz w:val="18"/>
            </w:rPr>
            <w:fldChar w:fldCharType="end"/>
          </w:r>
        </w:p>
      </w:tc>
      <w:tc>
        <w:tcPr>
          <w:tcW w:w="1384" w:type="dxa"/>
          <w:tcBorders>
            <w:top w:val="nil"/>
            <w:left w:val="nil"/>
            <w:bottom w:val="nil"/>
            <w:right w:val="nil"/>
          </w:tcBorders>
        </w:tcPr>
        <w:p w14:paraId="6FC727F5" w14:textId="77777777" w:rsidR="003D7D81" w:rsidRDefault="003D7D81" w:rsidP="005A6950">
          <w:pPr>
            <w:spacing w:line="0" w:lineRule="atLeast"/>
            <w:jc w:val="right"/>
            <w:rPr>
              <w:sz w:val="18"/>
            </w:rPr>
          </w:pPr>
        </w:p>
      </w:tc>
    </w:tr>
  </w:tbl>
  <w:p w14:paraId="4AFDB295" w14:textId="77777777" w:rsidR="003D7D81" w:rsidRPr="00ED79B6" w:rsidRDefault="003D7D81" w:rsidP="005A6950">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0F280" w14:textId="1EB246B2" w:rsidR="003D7D81" w:rsidRPr="00E33C1C" w:rsidRDefault="003D7D81" w:rsidP="005A6950">
    <w:pPr>
      <w:pBdr>
        <w:top w:val="single" w:sz="6" w:space="1" w:color="auto"/>
      </w:pBdr>
      <w:spacing w:before="120" w:line="0" w:lineRule="atLeast"/>
      <w:rPr>
        <w:sz w:val="16"/>
        <w:szCs w:val="16"/>
      </w:rPr>
    </w:pPr>
    <w:bookmarkStart w:id="21" w:name="_Hlk26286453"/>
    <w:bookmarkStart w:id="22" w:name="_Hlk26286454"/>
    <w:bookmarkStart w:id="23" w:name="_Hlk26286457"/>
    <w:bookmarkStart w:id="24" w:name="_Hlk26286458"/>
  </w:p>
  <w:tbl>
    <w:tblPr>
      <w:tblStyle w:val="TableGrid"/>
      <w:tblW w:w="0" w:type="auto"/>
      <w:tblLook w:val="04A0" w:firstRow="1" w:lastRow="0" w:firstColumn="1" w:lastColumn="0" w:noHBand="0" w:noVBand="1"/>
    </w:tblPr>
    <w:tblGrid>
      <w:gridCol w:w="1357"/>
      <w:gridCol w:w="6257"/>
      <w:gridCol w:w="699"/>
    </w:tblGrid>
    <w:tr w:rsidR="005A6950" w14:paraId="0A45A1F3" w14:textId="77777777" w:rsidTr="00363786">
      <w:tc>
        <w:tcPr>
          <w:tcW w:w="1357" w:type="dxa"/>
          <w:tcBorders>
            <w:top w:val="nil"/>
            <w:left w:val="nil"/>
            <w:bottom w:val="nil"/>
            <w:right w:val="nil"/>
          </w:tcBorders>
        </w:tcPr>
        <w:p w14:paraId="5883DCFC" w14:textId="77777777" w:rsidR="003D7D81" w:rsidRDefault="003D7D81" w:rsidP="005A6950">
          <w:pPr>
            <w:spacing w:line="0" w:lineRule="atLeast"/>
            <w:rPr>
              <w:sz w:val="18"/>
            </w:rPr>
          </w:pPr>
        </w:p>
      </w:tc>
      <w:tc>
        <w:tcPr>
          <w:tcW w:w="6257" w:type="dxa"/>
          <w:tcBorders>
            <w:top w:val="nil"/>
            <w:left w:val="nil"/>
            <w:bottom w:val="nil"/>
            <w:right w:val="nil"/>
          </w:tcBorders>
        </w:tcPr>
        <w:p w14:paraId="55C1A123" w14:textId="1E57FE97" w:rsidR="003D7D81" w:rsidRDefault="00636078" w:rsidP="005A6950">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50407C">
            <w:rPr>
              <w:i/>
              <w:noProof/>
              <w:sz w:val="18"/>
            </w:rPr>
            <w:t>Competition and Consumer (Australian Consumer Law—Country of Origin Information for Seafood for Immediate Consumption) Information Standard 2025</w:t>
          </w:r>
          <w:r>
            <w:rPr>
              <w:i/>
              <w:sz w:val="18"/>
            </w:rPr>
            <w:fldChar w:fldCharType="end"/>
          </w:r>
        </w:p>
      </w:tc>
      <w:tc>
        <w:tcPr>
          <w:tcW w:w="699" w:type="dxa"/>
          <w:tcBorders>
            <w:top w:val="nil"/>
            <w:left w:val="nil"/>
            <w:bottom w:val="nil"/>
            <w:right w:val="nil"/>
          </w:tcBorders>
        </w:tcPr>
        <w:p w14:paraId="004FA3A5" w14:textId="77777777" w:rsidR="003D7D81" w:rsidRDefault="00636078" w:rsidP="005A695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21"/>
    <w:bookmarkEnd w:id="22"/>
    <w:bookmarkEnd w:id="23"/>
    <w:bookmarkEnd w:id="24"/>
  </w:tbl>
  <w:p w14:paraId="0F7F3E32" w14:textId="77777777" w:rsidR="003D7D81" w:rsidRPr="00ED79B6" w:rsidRDefault="003D7D81" w:rsidP="005A6950">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BD37" w14:textId="22C9A791" w:rsidR="003D7D81" w:rsidRPr="00E33C1C" w:rsidRDefault="003D7D81" w:rsidP="005A6950">
    <w:pPr>
      <w:pBdr>
        <w:top w:val="single" w:sz="6" w:space="1" w:color="auto"/>
      </w:pBdr>
      <w:spacing w:line="0" w:lineRule="atLeast"/>
      <w:rPr>
        <w:sz w:val="16"/>
        <w:szCs w:val="16"/>
      </w:rPr>
    </w:pPr>
    <w:bookmarkStart w:id="25" w:name="_Hlk26286455"/>
    <w:bookmarkStart w:id="26" w:name="_Hlk26286456"/>
  </w:p>
  <w:tbl>
    <w:tblPr>
      <w:tblStyle w:val="TableGrid"/>
      <w:tblW w:w="0" w:type="auto"/>
      <w:tblLook w:val="04A0" w:firstRow="1" w:lastRow="0" w:firstColumn="1" w:lastColumn="0" w:noHBand="0" w:noVBand="1"/>
    </w:tblPr>
    <w:tblGrid>
      <w:gridCol w:w="1359"/>
      <w:gridCol w:w="6254"/>
      <w:gridCol w:w="700"/>
    </w:tblGrid>
    <w:tr w:rsidR="005A6950" w14:paraId="7630C453" w14:textId="77777777" w:rsidTr="00363786">
      <w:tc>
        <w:tcPr>
          <w:tcW w:w="1359" w:type="dxa"/>
          <w:tcBorders>
            <w:top w:val="nil"/>
            <w:left w:val="nil"/>
            <w:bottom w:val="nil"/>
            <w:right w:val="nil"/>
          </w:tcBorders>
        </w:tcPr>
        <w:p w14:paraId="46B4B6B4" w14:textId="77777777" w:rsidR="003D7D81" w:rsidRDefault="003D7D81" w:rsidP="005A6950">
          <w:pPr>
            <w:spacing w:line="0" w:lineRule="atLeast"/>
            <w:rPr>
              <w:sz w:val="18"/>
            </w:rPr>
          </w:pPr>
        </w:p>
      </w:tc>
      <w:tc>
        <w:tcPr>
          <w:tcW w:w="6254" w:type="dxa"/>
          <w:tcBorders>
            <w:top w:val="nil"/>
            <w:left w:val="nil"/>
            <w:bottom w:val="nil"/>
            <w:right w:val="nil"/>
          </w:tcBorders>
        </w:tcPr>
        <w:p w14:paraId="1DD1FB6C" w14:textId="22155A81" w:rsidR="003D7D81" w:rsidRDefault="00636078" w:rsidP="005A695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75FBF">
            <w:rPr>
              <w:i/>
              <w:sz w:val="18"/>
            </w:rPr>
            <w:t>[title] 2017</w:t>
          </w:r>
          <w:r w:rsidRPr="007A1328">
            <w:rPr>
              <w:i/>
              <w:sz w:val="18"/>
            </w:rPr>
            <w:fldChar w:fldCharType="end"/>
          </w:r>
        </w:p>
      </w:tc>
      <w:tc>
        <w:tcPr>
          <w:tcW w:w="700" w:type="dxa"/>
          <w:tcBorders>
            <w:top w:val="nil"/>
            <w:left w:val="nil"/>
            <w:bottom w:val="nil"/>
            <w:right w:val="nil"/>
          </w:tcBorders>
        </w:tcPr>
        <w:p w14:paraId="1BA72485" w14:textId="77777777" w:rsidR="003D7D81" w:rsidRDefault="00636078" w:rsidP="005A695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25"/>
    <w:bookmarkEnd w:id="26"/>
  </w:tbl>
  <w:p w14:paraId="0D4D27E8" w14:textId="77777777" w:rsidR="003D7D81" w:rsidRPr="00ED79B6" w:rsidRDefault="003D7D81" w:rsidP="005A6950">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F109A" w14:textId="77777777" w:rsidR="00FC2050" w:rsidRDefault="00FC2050" w:rsidP="00FA06CA">
      <w:pPr>
        <w:spacing w:line="240" w:lineRule="auto"/>
      </w:pPr>
      <w:r>
        <w:separator/>
      </w:r>
    </w:p>
  </w:footnote>
  <w:footnote w:type="continuationSeparator" w:id="0">
    <w:p w14:paraId="0BA3937D" w14:textId="77777777" w:rsidR="00FC2050" w:rsidRDefault="00FC2050" w:rsidP="00FA06CA">
      <w:pPr>
        <w:spacing w:line="240" w:lineRule="auto"/>
      </w:pPr>
      <w:r>
        <w:continuationSeparator/>
      </w:r>
    </w:p>
  </w:footnote>
  <w:footnote w:type="continuationNotice" w:id="1">
    <w:p w14:paraId="32EC0243" w14:textId="77777777" w:rsidR="00FC2050" w:rsidRDefault="00FC20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1460" w14:textId="6F336FCD" w:rsidR="00FA06CA" w:rsidRPr="005F1388" w:rsidRDefault="00FA06CA" w:rsidP="005A6950">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26F77" w14:textId="2CE676B0" w:rsidR="00FA06CA" w:rsidRPr="005F1388" w:rsidRDefault="00FA06CA" w:rsidP="005A6950">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46DE1" w14:textId="6840F241" w:rsidR="00FA06CA" w:rsidRPr="005F1388" w:rsidRDefault="00FA06CA" w:rsidP="005A695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B07E" w14:textId="0AD14D22" w:rsidR="00FA06CA" w:rsidRPr="00ED79B6" w:rsidRDefault="00FA06CA" w:rsidP="005A6950">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3E37B" w14:textId="33C36A33" w:rsidR="00FA06CA" w:rsidRPr="00ED79B6" w:rsidRDefault="00FA06CA" w:rsidP="005A6950">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A095" w14:textId="30BE4169" w:rsidR="00FA06CA" w:rsidRPr="00ED79B6" w:rsidRDefault="00FA06CA" w:rsidP="005A6950">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4288" w14:textId="6F84DC4F" w:rsidR="003D7D81" w:rsidRDefault="00636078" w:rsidP="005A6950">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17EE2F2E" w14:textId="663EA818" w:rsidR="003D7D81" w:rsidRDefault="00636078" w:rsidP="005A695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0407C">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0407C">
      <w:rPr>
        <w:noProof/>
        <w:sz w:val="20"/>
      </w:rPr>
      <w:t>Preliminary</w:t>
    </w:r>
    <w:r>
      <w:rPr>
        <w:sz w:val="20"/>
      </w:rPr>
      <w:fldChar w:fldCharType="end"/>
    </w:r>
  </w:p>
  <w:p w14:paraId="2794AE09" w14:textId="1662AFFE" w:rsidR="003D7D81" w:rsidRPr="007A1328" w:rsidRDefault="00636078" w:rsidP="005A695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DE55D33" w14:textId="77777777" w:rsidR="003D7D81" w:rsidRPr="007A1328" w:rsidRDefault="003D7D81" w:rsidP="005A6950">
    <w:pPr>
      <w:rPr>
        <w:b/>
        <w:sz w:val="24"/>
      </w:rPr>
    </w:pPr>
  </w:p>
  <w:p w14:paraId="33351D68" w14:textId="051856FA" w:rsidR="003D7D81" w:rsidRPr="007A1328" w:rsidRDefault="00636078" w:rsidP="005A6950">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875FBF">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0407C">
      <w:rPr>
        <w:noProof/>
        <w:sz w:val="24"/>
      </w:rPr>
      <w:t>4</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 w:name="_Hlk26286447"/>
  <w:bookmarkStart w:id="18" w:name="_Hlk26286448"/>
  <w:bookmarkStart w:id="19" w:name="_Hlk26286451"/>
  <w:bookmarkStart w:id="20" w:name="_Hlk26286452"/>
  <w:p w14:paraId="3B7458E8" w14:textId="7FE6CD78" w:rsidR="003D7D81" w:rsidRPr="007A1328" w:rsidRDefault="00636078" w:rsidP="005A695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9839EE2" w14:textId="0891BBD4" w:rsidR="003D7D81" w:rsidRPr="007A1328" w:rsidRDefault="00636078" w:rsidP="005A6950">
    <w:pPr>
      <w:jc w:val="right"/>
      <w:rPr>
        <w:sz w:val="20"/>
      </w:rPr>
    </w:pPr>
    <w:r w:rsidRPr="007A1328">
      <w:rPr>
        <w:sz w:val="20"/>
      </w:rPr>
      <w:fldChar w:fldCharType="begin"/>
    </w:r>
    <w:r w:rsidRPr="007A1328">
      <w:rPr>
        <w:sz w:val="20"/>
      </w:rPr>
      <w:instrText xml:space="preserve"> STYLEREF CharPartText </w:instrText>
    </w:r>
    <w:r w:rsidR="0050407C">
      <w:rPr>
        <w:sz w:val="20"/>
      </w:rPr>
      <w:fldChar w:fldCharType="separate"/>
    </w:r>
    <w:r w:rsidR="0050407C">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0407C">
      <w:rPr>
        <w:b/>
        <w:sz w:val="20"/>
      </w:rPr>
      <w:fldChar w:fldCharType="separate"/>
    </w:r>
    <w:r w:rsidR="0050407C">
      <w:rPr>
        <w:b/>
        <w:noProof/>
        <w:sz w:val="20"/>
      </w:rPr>
      <w:t>Part 1</w:t>
    </w:r>
    <w:r>
      <w:rPr>
        <w:b/>
        <w:sz w:val="20"/>
      </w:rPr>
      <w:fldChar w:fldCharType="end"/>
    </w:r>
  </w:p>
  <w:p w14:paraId="497345CD" w14:textId="0576F44A" w:rsidR="003D7D81" w:rsidRPr="007A1328" w:rsidRDefault="00636078" w:rsidP="005A695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649B37F" w14:textId="77777777" w:rsidR="003D7D81" w:rsidRPr="007A1328" w:rsidRDefault="003D7D81" w:rsidP="005A6950">
    <w:pPr>
      <w:jc w:val="right"/>
      <w:rPr>
        <w:b/>
        <w:sz w:val="24"/>
      </w:rPr>
    </w:pPr>
  </w:p>
  <w:p w14:paraId="3477E9CD" w14:textId="25A8D58D" w:rsidR="003D7D81" w:rsidRPr="007A1328" w:rsidRDefault="00636078" w:rsidP="005A6950">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875FBF">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0407C">
      <w:rPr>
        <w:noProof/>
        <w:sz w:val="24"/>
      </w:rPr>
      <w:t>1</w:t>
    </w:r>
    <w:r w:rsidRPr="007A1328">
      <w:rPr>
        <w:sz w:val="24"/>
      </w:rPr>
      <w:fldChar w:fldCharType="end"/>
    </w:r>
    <w:bookmarkEnd w:id="17"/>
    <w:bookmarkEnd w:id="18"/>
    <w:bookmarkEnd w:id="19"/>
    <w:bookmarkEnd w:id="20"/>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1A5B" w14:textId="15DC9A3F" w:rsidR="003D7D81" w:rsidRPr="007A1328" w:rsidRDefault="003D7D81" w:rsidP="005A69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47F0721"/>
    <w:multiLevelType w:val="multilevel"/>
    <w:tmpl w:val="A0BCC78A"/>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1C60F4"/>
    <w:multiLevelType w:val="multilevel"/>
    <w:tmpl w:val="8570A5A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68742522">
    <w:abstractNumId w:val="9"/>
  </w:num>
  <w:num w:numId="2" w16cid:durableId="2123450770">
    <w:abstractNumId w:val="7"/>
  </w:num>
  <w:num w:numId="3" w16cid:durableId="62603314">
    <w:abstractNumId w:val="6"/>
  </w:num>
  <w:num w:numId="4" w16cid:durableId="243613477">
    <w:abstractNumId w:val="5"/>
  </w:num>
  <w:num w:numId="5" w16cid:durableId="964316956">
    <w:abstractNumId w:val="4"/>
  </w:num>
  <w:num w:numId="6" w16cid:durableId="1337726801">
    <w:abstractNumId w:val="8"/>
  </w:num>
  <w:num w:numId="7" w16cid:durableId="202326887">
    <w:abstractNumId w:val="3"/>
  </w:num>
  <w:num w:numId="8" w16cid:durableId="249386125">
    <w:abstractNumId w:val="2"/>
  </w:num>
  <w:num w:numId="9" w16cid:durableId="1364405254">
    <w:abstractNumId w:val="1"/>
  </w:num>
  <w:num w:numId="10" w16cid:durableId="971134110">
    <w:abstractNumId w:val="0"/>
  </w:num>
  <w:num w:numId="11" w16cid:durableId="2115320600">
    <w:abstractNumId w:val="11"/>
  </w:num>
  <w:num w:numId="12" w16cid:durableId="320040464">
    <w:abstractNumId w:val="10"/>
  </w:num>
  <w:num w:numId="13" w16cid:durableId="607126852">
    <w:abstractNumId w:val="13"/>
  </w:num>
  <w:num w:numId="14" w16cid:durableId="18799303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67F"/>
    <w:rsid w:val="00001AC5"/>
    <w:rsid w:val="000032DB"/>
    <w:rsid w:val="000037E3"/>
    <w:rsid w:val="00005F13"/>
    <w:rsid w:val="00012A5D"/>
    <w:rsid w:val="0001502A"/>
    <w:rsid w:val="00015C64"/>
    <w:rsid w:val="00015E20"/>
    <w:rsid w:val="00017EF1"/>
    <w:rsid w:val="00021FA4"/>
    <w:rsid w:val="000238CA"/>
    <w:rsid w:val="000239F2"/>
    <w:rsid w:val="0002739A"/>
    <w:rsid w:val="000312BE"/>
    <w:rsid w:val="000326F9"/>
    <w:rsid w:val="00035F3C"/>
    <w:rsid w:val="0003628D"/>
    <w:rsid w:val="00037AEA"/>
    <w:rsid w:val="00041155"/>
    <w:rsid w:val="000417CB"/>
    <w:rsid w:val="0004297D"/>
    <w:rsid w:val="000437B3"/>
    <w:rsid w:val="0004749F"/>
    <w:rsid w:val="000546FF"/>
    <w:rsid w:val="00055E29"/>
    <w:rsid w:val="000601B5"/>
    <w:rsid w:val="00061AF5"/>
    <w:rsid w:val="00061D2E"/>
    <w:rsid w:val="00061F15"/>
    <w:rsid w:val="00061FF8"/>
    <w:rsid w:val="00064831"/>
    <w:rsid w:val="0006513A"/>
    <w:rsid w:val="00065215"/>
    <w:rsid w:val="000653B6"/>
    <w:rsid w:val="00071364"/>
    <w:rsid w:val="00071E95"/>
    <w:rsid w:val="000828DC"/>
    <w:rsid w:val="0009397D"/>
    <w:rsid w:val="00093ED9"/>
    <w:rsid w:val="00094C13"/>
    <w:rsid w:val="0009561E"/>
    <w:rsid w:val="00095966"/>
    <w:rsid w:val="000A4282"/>
    <w:rsid w:val="000A43A9"/>
    <w:rsid w:val="000A4F4E"/>
    <w:rsid w:val="000B2B16"/>
    <w:rsid w:val="000B4420"/>
    <w:rsid w:val="000B5508"/>
    <w:rsid w:val="000C441C"/>
    <w:rsid w:val="000C5866"/>
    <w:rsid w:val="000D3133"/>
    <w:rsid w:val="000D3FB4"/>
    <w:rsid w:val="000D4D0B"/>
    <w:rsid w:val="000D57A6"/>
    <w:rsid w:val="000E3CC8"/>
    <w:rsid w:val="000E4D3B"/>
    <w:rsid w:val="000E5A3D"/>
    <w:rsid w:val="000F0DA5"/>
    <w:rsid w:val="000F22CE"/>
    <w:rsid w:val="000F2365"/>
    <w:rsid w:val="000F2CBE"/>
    <w:rsid w:val="000F2FEA"/>
    <w:rsid w:val="000F5066"/>
    <w:rsid w:val="00100215"/>
    <w:rsid w:val="00101274"/>
    <w:rsid w:val="0010273A"/>
    <w:rsid w:val="001034D5"/>
    <w:rsid w:val="001035DF"/>
    <w:rsid w:val="0010392D"/>
    <w:rsid w:val="00105268"/>
    <w:rsid w:val="001064A2"/>
    <w:rsid w:val="00111540"/>
    <w:rsid w:val="0011319B"/>
    <w:rsid w:val="00113BF1"/>
    <w:rsid w:val="00115050"/>
    <w:rsid w:val="0011609F"/>
    <w:rsid w:val="001168EE"/>
    <w:rsid w:val="001174F8"/>
    <w:rsid w:val="001205EE"/>
    <w:rsid w:val="00120DA1"/>
    <w:rsid w:val="001225E5"/>
    <w:rsid w:val="00124793"/>
    <w:rsid w:val="00126129"/>
    <w:rsid w:val="00131999"/>
    <w:rsid w:val="00133A50"/>
    <w:rsid w:val="00133C45"/>
    <w:rsid w:val="00133EAB"/>
    <w:rsid w:val="001366EC"/>
    <w:rsid w:val="00136795"/>
    <w:rsid w:val="001427E4"/>
    <w:rsid w:val="0014779D"/>
    <w:rsid w:val="00150D79"/>
    <w:rsid w:val="00152763"/>
    <w:rsid w:val="001548DE"/>
    <w:rsid w:val="00157AE6"/>
    <w:rsid w:val="00160D26"/>
    <w:rsid w:val="0016251F"/>
    <w:rsid w:val="00163CFE"/>
    <w:rsid w:val="00164D15"/>
    <w:rsid w:val="00166206"/>
    <w:rsid w:val="0016654B"/>
    <w:rsid w:val="00171217"/>
    <w:rsid w:val="001730F9"/>
    <w:rsid w:val="00180087"/>
    <w:rsid w:val="001812D1"/>
    <w:rsid w:val="00181867"/>
    <w:rsid w:val="00181886"/>
    <w:rsid w:val="001826D3"/>
    <w:rsid w:val="00183DE7"/>
    <w:rsid w:val="00190B64"/>
    <w:rsid w:val="0019116C"/>
    <w:rsid w:val="00194858"/>
    <w:rsid w:val="00196340"/>
    <w:rsid w:val="00196876"/>
    <w:rsid w:val="00197864"/>
    <w:rsid w:val="00197EBF"/>
    <w:rsid w:val="001A20E3"/>
    <w:rsid w:val="001A3465"/>
    <w:rsid w:val="001A6EF3"/>
    <w:rsid w:val="001B4122"/>
    <w:rsid w:val="001B585B"/>
    <w:rsid w:val="001B69CD"/>
    <w:rsid w:val="001B6C2B"/>
    <w:rsid w:val="001C2B60"/>
    <w:rsid w:val="001C2BA9"/>
    <w:rsid w:val="001C39ED"/>
    <w:rsid w:val="001C4D5A"/>
    <w:rsid w:val="001D038E"/>
    <w:rsid w:val="001D56CD"/>
    <w:rsid w:val="001D6F45"/>
    <w:rsid w:val="001E0D5C"/>
    <w:rsid w:val="001E2FF7"/>
    <w:rsid w:val="001E30D0"/>
    <w:rsid w:val="001F09F7"/>
    <w:rsid w:val="001F1774"/>
    <w:rsid w:val="001F26C4"/>
    <w:rsid w:val="001F2E6E"/>
    <w:rsid w:val="001F67FA"/>
    <w:rsid w:val="00201B11"/>
    <w:rsid w:val="00204A20"/>
    <w:rsid w:val="00205570"/>
    <w:rsid w:val="00207562"/>
    <w:rsid w:val="00207711"/>
    <w:rsid w:val="00212A1E"/>
    <w:rsid w:val="002221E0"/>
    <w:rsid w:val="002226E4"/>
    <w:rsid w:val="002230F7"/>
    <w:rsid w:val="002259B0"/>
    <w:rsid w:val="00231117"/>
    <w:rsid w:val="00232AFA"/>
    <w:rsid w:val="00236B72"/>
    <w:rsid w:val="002403D3"/>
    <w:rsid w:val="0024131E"/>
    <w:rsid w:val="0024267A"/>
    <w:rsid w:val="0024463B"/>
    <w:rsid w:val="00246178"/>
    <w:rsid w:val="00246BF1"/>
    <w:rsid w:val="00247F78"/>
    <w:rsid w:val="0025128E"/>
    <w:rsid w:val="00253E3E"/>
    <w:rsid w:val="00254CC2"/>
    <w:rsid w:val="00261527"/>
    <w:rsid w:val="00261699"/>
    <w:rsid w:val="002632D7"/>
    <w:rsid w:val="002659AD"/>
    <w:rsid w:val="002665B2"/>
    <w:rsid w:val="00266935"/>
    <w:rsid w:val="0027066F"/>
    <w:rsid w:val="00270A1E"/>
    <w:rsid w:val="00271BFB"/>
    <w:rsid w:val="00271D6A"/>
    <w:rsid w:val="00274748"/>
    <w:rsid w:val="00280B42"/>
    <w:rsid w:val="00282F26"/>
    <w:rsid w:val="002857F7"/>
    <w:rsid w:val="002862C8"/>
    <w:rsid w:val="00286374"/>
    <w:rsid w:val="00287E62"/>
    <w:rsid w:val="002900C0"/>
    <w:rsid w:val="00292C26"/>
    <w:rsid w:val="00295448"/>
    <w:rsid w:val="002A1C1B"/>
    <w:rsid w:val="002A753B"/>
    <w:rsid w:val="002B3CF0"/>
    <w:rsid w:val="002B657A"/>
    <w:rsid w:val="002C23E7"/>
    <w:rsid w:val="002C2B43"/>
    <w:rsid w:val="002C319B"/>
    <w:rsid w:val="002C4C69"/>
    <w:rsid w:val="002D14D0"/>
    <w:rsid w:val="002D1FD4"/>
    <w:rsid w:val="002D4100"/>
    <w:rsid w:val="002D5C80"/>
    <w:rsid w:val="002D7F18"/>
    <w:rsid w:val="002E1AAF"/>
    <w:rsid w:val="002E2219"/>
    <w:rsid w:val="002E6307"/>
    <w:rsid w:val="002E6E0E"/>
    <w:rsid w:val="002E7158"/>
    <w:rsid w:val="002F1E38"/>
    <w:rsid w:val="002F1EF9"/>
    <w:rsid w:val="002F3E9B"/>
    <w:rsid w:val="002F503B"/>
    <w:rsid w:val="002F6E6E"/>
    <w:rsid w:val="002F78D6"/>
    <w:rsid w:val="003015B0"/>
    <w:rsid w:val="003040F5"/>
    <w:rsid w:val="0030465A"/>
    <w:rsid w:val="00305895"/>
    <w:rsid w:val="00305914"/>
    <w:rsid w:val="003059F6"/>
    <w:rsid w:val="00310737"/>
    <w:rsid w:val="00311692"/>
    <w:rsid w:val="0031571F"/>
    <w:rsid w:val="003168BF"/>
    <w:rsid w:val="00317E64"/>
    <w:rsid w:val="0032201C"/>
    <w:rsid w:val="003226D1"/>
    <w:rsid w:val="00323DD5"/>
    <w:rsid w:val="00324839"/>
    <w:rsid w:val="00325506"/>
    <w:rsid w:val="0033212C"/>
    <w:rsid w:val="00334B89"/>
    <w:rsid w:val="00335AA5"/>
    <w:rsid w:val="00336D80"/>
    <w:rsid w:val="00337153"/>
    <w:rsid w:val="003405C3"/>
    <w:rsid w:val="00346462"/>
    <w:rsid w:val="0034749B"/>
    <w:rsid w:val="00351AB4"/>
    <w:rsid w:val="003576F3"/>
    <w:rsid w:val="00360987"/>
    <w:rsid w:val="00363786"/>
    <w:rsid w:val="00363A54"/>
    <w:rsid w:val="00364F73"/>
    <w:rsid w:val="00374780"/>
    <w:rsid w:val="00376B8D"/>
    <w:rsid w:val="0038126F"/>
    <w:rsid w:val="00382FF2"/>
    <w:rsid w:val="0039146A"/>
    <w:rsid w:val="003925B0"/>
    <w:rsid w:val="00393A1F"/>
    <w:rsid w:val="0039484F"/>
    <w:rsid w:val="00394C1B"/>
    <w:rsid w:val="003A1314"/>
    <w:rsid w:val="003A38E1"/>
    <w:rsid w:val="003A4572"/>
    <w:rsid w:val="003A5E51"/>
    <w:rsid w:val="003A68C1"/>
    <w:rsid w:val="003B0736"/>
    <w:rsid w:val="003B0E50"/>
    <w:rsid w:val="003B0F00"/>
    <w:rsid w:val="003B2607"/>
    <w:rsid w:val="003B4218"/>
    <w:rsid w:val="003B5513"/>
    <w:rsid w:val="003B6DD3"/>
    <w:rsid w:val="003B6DE6"/>
    <w:rsid w:val="003B7B47"/>
    <w:rsid w:val="003C20A5"/>
    <w:rsid w:val="003C269B"/>
    <w:rsid w:val="003C70C7"/>
    <w:rsid w:val="003D0CC5"/>
    <w:rsid w:val="003D114E"/>
    <w:rsid w:val="003D1698"/>
    <w:rsid w:val="003D35B8"/>
    <w:rsid w:val="003D571A"/>
    <w:rsid w:val="003D7D81"/>
    <w:rsid w:val="003E1423"/>
    <w:rsid w:val="003E1AF8"/>
    <w:rsid w:val="003E327F"/>
    <w:rsid w:val="003F02AD"/>
    <w:rsid w:val="003F0CE2"/>
    <w:rsid w:val="003F5259"/>
    <w:rsid w:val="00400011"/>
    <w:rsid w:val="00401BA5"/>
    <w:rsid w:val="0040375A"/>
    <w:rsid w:val="00403E99"/>
    <w:rsid w:val="00407AE3"/>
    <w:rsid w:val="00410781"/>
    <w:rsid w:val="004151DE"/>
    <w:rsid w:val="004156C1"/>
    <w:rsid w:val="004163BB"/>
    <w:rsid w:val="004170E1"/>
    <w:rsid w:val="0042067C"/>
    <w:rsid w:val="0042515E"/>
    <w:rsid w:val="00431005"/>
    <w:rsid w:val="00433BAF"/>
    <w:rsid w:val="00434F88"/>
    <w:rsid w:val="004359E7"/>
    <w:rsid w:val="00440875"/>
    <w:rsid w:val="004411E9"/>
    <w:rsid w:val="00441925"/>
    <w:rsid w:val="00443588"/>
    <w:rsid w:val="00446C9A"/>
    <w:rsid w:val="00446E41"/>
    <w:rsid w:val="00447EE0"/>
    <w:rsid w:val="00451E4D"/>
    <w:rsid w:val="004534C3"/>
    <w:rsid w:val="004543FD"/>
    <w:rsid w:val="004558FD"/>
    <w:rsid w:val="0045640F"/>
    <w:rsid w:val="004605DC"/>
    <w:rsid w:val="00462368"/>
    <w:rsid w:val="00462A99"/>
    <w:rsid w:val="00470A18"/>
    <w:rsid w:val="00471F73"/>
    <w:rsid w:val="0047204D"/>
    <w:rsid w:val="004720D9"/>
    <w:rsid w:val="00472607"/>
    <w:rsid w:val="0047443F"/>
    <w:rsid w:val="00475CCA"/>
    <w:rsid w:val="004803C8"/>
    <w:rsid w:val="00481B53"/>
    <w:rsid w:val="004853F3"/>
    <w:rsid w:val="00487C79"/>
    <w:rsid w:val="00487DE9"/>
    <w:rsid w:val="00491412"/>
    <w:rsid w:val="004919C8"/>
    <w:rsid w:val="00496241"/>
    <w:rsid w:val="004A0EAB"/>
    <w:rsid w:val="004A16C3"/>
    <w:rsid w:val="004A16E4"/>
    <w:rsid w:val="004A33CB"/>
    <w:rsid w:val="004A4AB6"/>
    <w:rsid w:val="004A7107"/>
    <w:rsid w:val="004A7601"/>
    <w:rsid w:val="004B0345"/>
    <w:rsid w:val="004B3788"/>
    <w:rsid w:val="004B42F7"/>
    <w:rsid w:val="004B5148"/>
    <w:rsid w:val="004B5D00"/>
    <w:rsid w:val="004C04D5"/>
    <w:rsid w:val="004C0C04"/>
    <w:rsid w:val="004C2152"/>
    <w:rsid w:val="004C2BA1"/>
    <w:rsid w:val="004C4EFB"/>
    <w:rsid w:val="004C5434"/>
    <w:rsid w:val="004D1C68"/>
    <w:rsid w:val="004D43DB"/>
    <w:rsid w:val="004D4C8E"/>
    <w:rsid w:val="004D73BC"/>
    <w:rsid w:val="004E13EB"/>
    <w:rsid w:val="004E1662"/>
    <w:rsid w:val="004E3B5D"/>
    <w:rsid w:val="004F077A"/>
    <w:rsid w:val="004F573C"/>
    <w:rsid w:val="005039C1"/>
    <w:rsid w:val="0050407C"/>
    <w:rsid w:val="005052F6"/>
    <w:rsid w:val="00507F18"/>
    <w:rsid w:val="005100D3"/>
    <w:rsid w:val="00510B3E"/>
    <w:rsid w:val="005120B2"/>
    <w:rsid w:val="00512100"/>
    <w:rsid w:val="005157C9"/>
    <w:rsid w:val="005164D6"/>
    <w:rsid w:val="00517DA9"/>
    <w:rsid w:val="00521C6B"/>
    <w:rsid w:val="00523DBA"/>
    <w:rsid w:val="00524992"/>
    <w:rsid w:val="00527F22"/>
    <w:rsid w:val="00536745"/>
    <w:rsid w:val="005408AC"/>
    <w:rsid w:val="00542E43"/>
    <w:rsid w:val="00543393"/>
    <w:rsid w:val="0054687A"/>
    <w:rsid w:val="005505C5"/>
    <w:rsid w:val="00551451"/>
    <w:rsid w:val="00552644"/>
    <w:rsid w:val="00553B6A"/>
    <w:rsid w:val="00556E68"/>
    <w:rsid w:val="00557686"/>
    <w:rsid w:val="00560631"/>
    <w:rsid w:val="00564AAD"/>
    <w:rsid w:val="00565DCC"/>
    <w:rsid w:val="0057020D"/>
    <w:rsid w:val="005719CC"/>
    <w:rsid w:val="00574B3E"/>
    <w:rsid w:val="00575350"/>
    <w:rsid w:val="00576DB6"/>
    <w:rsid w:val="005840E8"/>
    <w:rsid w:val="005874B9"/>
    <w:rsid w:val="0059039D"/>
    <w:rsid w:val="00592A13"/>
    <w:rsid w:val="00592F9E"/>
    <w:rsid w:val="005A21AC"/>
    <w:rsid w:val="005A5D64"/>
    <w:rsid w:val="005A67CA"/>
    <w:rsid w:val="005A6950"/>
    <w:rsid w:val="005B13DC"/>
    <w:rsid w:val="005B33B3"/>
    <w:rsid w:val="005B4858"/>
    <w:rsid w:val="005B623D"/>
    <w:rsid w:val="005C03D2"/>
    <w:rsid w:val="005C150F"/>
    <w:rsid w:val="005C2933"/>
    <w:rsid w:val="005C59E9"/>
    <w:rsid w:val="005C64F6"/>
    <w:rsid w:val="005D1091"/>
    <w:rsid w:val="005D1A67"/>
    <w:rsid w:val="005D292B"/>
    <w:rsid w:val="005D6604"/>
    <w:rsid w:val="005E0377"/>
    <w:rsid w:val="005E0950"/>
    <w:rsid w:val="005E207D"/>
    <w:rsid w:val="005E2871"/>
    <w:rsid w:val="005E335E"/>
    <w:rsid w:val="005E3D5D"/>
    <w:rsid w:val="005E53AD"/>
    <w:rsid w:val="005E6B75"/>
    <w:rsid w:val="005F2278"/>
    <w:rsid w:val="005F2289"/>
    <w:rsid w:val="005F3815"/>
    <w:rsid w:val="005F396F"/>
    <w:rsid w:val="005F71AF"/>
    <w:rsid w:val="005F7CEA"/>
    <w:rsid w:val="00600D86"/>
    <w:rsid w:val="00602BFF"/>
    <w:rsid w:val="00603861"/>
    <w:rsid w:val="006038D6"/>
    <w:rsid w:val="006069AE"/>
    <w:rsid w:val="006072B1"/>
    <w:rsid w:val="00607A65"/>
    <w:rsid w:val="00610BE9"/>
    <w:rsid w:val="006121A9"/>
    <w:rsid w:val="00612D85"/>
    <w:rsid w:val="006159E3"/>
    <w:rsid w:val="00617A28"/>
    <w:rsid w:val="00617DEC"/>
    <w:rsid w:val="006202A0"/>
    <w:rsid w:val="006210BA"/>
    <w:rsid w:val="00622FEE"/>
    <w:rsid w:val="006237D5"/>
    <w:rsid w:val="006241F7"/>
    <w:rsid w:val="00627D74"/>
    <w:rsid w:val="00633533"/>
    <w:rsid w:val="006347D3"/>
    <w:rsid w:val="00636078"/>
    <w:rsid w:val="00636B83"/>
    <w:rsid w:val="0063769B"/>
    <w:rsid w:val="00640288"/>
    <w:rsid w:val="0064282D"/>
    <w:rsid w:val="00644095"/>
    <w:rsid w:val="00644927"/>
    <w:rsid w:val="00645D28"/>
    <w:rsid w:val="00647E61"/>
    <w:rsid w:val="0065036B"/>
    <w:rsid w:val="00650F99"/>
    <w:rsid w:val="00652B02"/>
    <w:rsid w:val="00655739"/>
    <w:rsid w:val="006568CF"/>
    <w:rsid w:val="006626CC"/>
    <w:rsid w:val="0066305A"/>
    <w:rsid w:val="00664BB6"/>
    <w:rsid w:val="00665463"/>
    <w:rsid w:val="00670172"/>
    <w:rsid w:val="0067087B"/>
    <w:rsid w:val="00672105"/>
    <w:rsid w:val="00672339"/>
    <w:rsid w:val="006743AA"/>
    <w:rsid w:val="00681ECE"/>
    <w:rsid w:val="00681FE4"/>
    <w:rsid w:val="00682151"/>
    <w:rsid w:val="0068284C"/>
    <w:rsid w:val="00683A42"/>
    <w:rsid w:val="0069322B"/>
    <w:rsid w:val="006A05CF"/>
    <w:rsid w:val="006A36BE"/>
    <w:rsid w:val="006A3CB8"/>
    <w:rsid w:val="006A3CCC"/>
    <w:rsid w:val="006A48F9"/>
    <w:rsid w:val="006B3E04"/>
    <w:rsid w:val="006B4B1A"/>
    <w:rsid w:val="006B6AE3"/>
    <w:rsid w:val="006C0B18"/>
    <w:rsid w:val="006C194F"/>
    <w:rsid w:val="006C36A5"/>
    <w:rsid w:val="006C3D77"/>
    <w:rsid w:val="006C729D"/>
    <w:rsid w:val="006D0E51"/>
    <w:rsid w:val="006D1F88"/>
    <w:rsid w:val="006D28A7"/>
    <w:rsid w:val="006D35E3"/>
    <w:rsid w:val="006D496C"/>
    <w:rsid w:val="006D5413"/>
    <w:rsid w:val="006E58FB"/>
    <w:rsid w:val="006F1D6E"/>
    <w:rsid w:val="006F2ABC"/>
    <w:rsid w:val="006F4EFA"/>
    <w:rsid w:val="006F5464"/>
    <w:rsid w:val="006F66BE"/>
    <w:rsid w:val="006F7CD7"/>
    <w:rsid w:val="00702319"/>
    <w:rsid w:val="007036E4"/>
    <w:rsid w:val="0070459F"/>
    <w:rsid w:val="00705B86"/>
    <w:rsid w:val="007062E4"/>
    <w:rsid w:val="00706AC0"/>
    <w:rsid w:val="00706DBF"/>
    <w:rsid w:val="00710D4E"/>
    <w:rsid w:val="00711966"/>
    <w:rsid w:val="007122C1"/>
    <w:rsid w:val="00712611"/>
    <w:rsid w:val="00713FDE"/>
    <w:rsid w:val="00714059"/>
    <w:rsid w:val="00714338"/>
    <w:rsid w:val="0071471A"/>
    <w:rsid w:val="00714775"/>
    <w:rsid w:val="007159C0"/>
    <w:rsid w:val="00715AA8"/>
    <w:rsid w:val="0071622B"/>
    <w:rsid w:val="00722538"/>
    <w:rsid w:val="007225CE"/>
    <w:rsid w:val="00722F2E"/>
    <w:rsid w:val="0072452E"/>
    <w:rsid w:val="0072607C"/>
    <w:rsid w:val="00726955"/>
    <w:rsid w:val="0072754B"/>
    <w:rsid w:val="00727993"/>
    <w:rsid w:val="007303CC"/>
    <w:rsid w:val="00730ED6"/>
    <w:rsid w:val="00732CC9"/>
    <w:rsid w:val="00732E88"/>
    <w:rsid w:val="00733386"/>
    <w:rsid w:val="0074125A"/>
    <w:rsid w:val="00742A45"/>
    <w:rsid w:val="00742C28"/>
    <w:rsid w:val="00742C3D"/>
    <w:rsid w:val="00745E17"/>
    <w:rsid w:val="0075217C"/>
    <w:rsid w:val="007528AB"/>
    <w:rsid w:val="00752FAD"/>
    <w:rsid w:val="007566C3"/>
    <w:rsid w:val="0076279C"/>
    <w:rsid w:val="00762926"/>
    <w:rsid w:val="007632FE"/>
    <w:rsid w:val="007634B8"/>
    <w:rsid w:val="00765942"/>
    <w:rsid w:val="007712C6"/>
    <w:rsid w:val="007723AB"/>
    <w:rsid w:val="0077423F"/>
    <w:rsid w:val="00774F01"/>
    <w:rsid w:val="00776D86"/>
    <w:rsid w:val="00777836"/>
    <w:rsid w:val="00782CCC"/>
    <w:rsid w:val="00785786"/>
    <w:rsid w:val="007857EA"/>
    <w:rsid w:val="0078594F"/>
    <w:rsid w:val="0078604A"/>
    <w:rsid w:val="00786136"/>
    <w:rsid w:val="007915D5"/>
    <w:rsid w:val="00791C91"/>
    <w:rsid w:val="00794FFC"/>
    <w:rsid w:val="0079546E"/>
    <w:rsid w:val="007976D3"/>
    <w:rsid w:val="00797A01"/>
    <w:rsid w:val="007A18DA"/>
    <w:rsid w:val="007A37C6"/>
    <w:rsid w:val="007A3F14"/>
    <w:rsid w:val="007A7626"/>
    <w:rsid w:val="007A7A09"/>
    <w:rsid w:val="007A7EC7"/>
    <w:rsid w:val="007B31A1"/>
    <w:rsid w:val="007B3DB6"/>
    <w:rsid w:val="007B58D6"/>
    <w:rsid w:val="007C185D"/>
    <w:rsid w:val="007C31CA"/>
    <w:rsid w:val="007C38DC"/>
    <w:rsid w:val="007C43E0"/>
    <w:rsid w:val="007C4E40"/>
    <w:rsid w:val="007C67C0"/>
    <w:rsid w:val="007C78B1"/>
    <w:rsid w:val="007D2281"/>
    <w:rsid w:val="007D643B"/>
    <w:rsid w:val="007D70E2"/>
    <w:rsid w:val="007D7E50"/>
    <w:rsid w:val="007E0C35"/>
    <w:rsid w:val="007E0C6C"/>
    <w:rsid w:val="007E3E4B"/>
    <w:rsid w:val="007E6280"/>
    <w:rsid w:val="007E7E9E"/>
    <w:rsid w:val="007F1379"/>
    <w:rsid w:val="007F31AD"/>
    <w:rsid w:val="007F3934"/>
    <w:rsid w:val="007F5406"/>
    <w:rsid w:val="008009F5"/>
    <w:rsid w:val="008012C2"/>
    <w:rsid w:val="00802CB5"/>
    <w:rsid w:val="00803DAC"/>
    <w:rsid w:val="00804488"/>
    <w:rsid w:val="008070AA"/>
    <w:rsid w:val="00807D10"/>
    <w:rsid w:val="00810113"/>
    <w:rsid w:val="00810EAD"/>
    <w:rsid w:val="0081424C"/>
    <w:rsid w:val="00815875"/>
    <w:rsid w:val="00816FE5"/>
    <w:rsid w:val="0081703D"/>
    <w:rsid w:val="00817111"/>
    <w:rsid w:val="00817F6C"/>
    <w:rsid w:val="008220D2"/>
    <w:rsid w:val="0082289D"/>
    <w:rsid w:val="00823415"/>
    <w:rsid w:val="0082404E"/>
    <w:rsid w:val="008241C5"/>
    <w:rsid w:val="008252B4"/>
    <w:rsid w:val="00825B8B"/>
    <w:rsid w:val="00830FDB"/>
    <w:rsid w:val="008316E6"/>
    <w:rsid w:val="00832B9C"/>
    <w:rsid w:val="00834119"/>
    <w:rsid w:val="00836E95"/>
    <w:rsid w:val="0083743A"/>
    <w:rsid w:val="008455DF"/>
    <w:rsid w:val="0084569B"/>
    <w:rsid w:val="00846C05"/>
    <w:rsid w:val="00847BE0"/>
    <w:rsid w:val="00847D54"/>
    <w:rsid w:val="00851A40"/>
    <w:rsid w:val="00851CEF"/>
    <w:rsid w:val="008562C7"/>
    <w:rsid w:val="00860CD3"/>
    <w:rsid w:val="0086350C"/>
    <w:rsid w:val="00863807"/>
    <w:rsid w:val="0086476F"/>
    <w:rsid w:val="008668A6"/>
    <w:rsid w:val="008672C4"/>
    <w:rsid w:val="00867765"/>
    <w:rsid w:val="00867DC3"/>
    <w:rsid w:val="00872BC5"/>
    <w:rsid w:val="00874F84"/>
    <w:rsid w:val="00875FBF"/>
    <w:rsid w:val="00876C39"/>
    <w:rsid w:val="00877A12"/>
    <w:rsid w:val="00880F41"/>
    <w:rsid w:val="008827CB"/>
    <w:rsid w:val="00882C5C"/>
    <w:rsid w:val="00883B99"/>
    <w:rsid w:val="008847FA"/>
    <w:rsid w:val="00893652"/>
    <w:rsid w:val="0089630F"/>
    <w:rsid w:val="008A1561"/>
    <w:rsid w:val="008B2148"/>
    <w:rsid w:val="008B605B"/>
    <w:rsid w:val="008C05A4"/>
    <w:rsid w:val="008C0BD4"/>
    <w:rsid w:val="008C179A"/>
    <w:rsid w:val="008C2864"/>
    <w:rsid w:val="008C3395"/>
    <w:rsid w:val="008C4085"/>
    <w:rsid w:val="008C62C2"/>
    <w:rsid w:val="008D3375"/>
    <w:rsid w:val="008D37B8"/>
    <w:rsid w:val="008D554A"/>
    <w:rsid w:val="008D584A"/>
    <w:rsid w:val="008D61B5"/>
    <w:rsid w:val="008D71FF"/>
    <w:rsid w:val="008E2420"/>
    <w:rsid w:val="008E3042"/>
    <w:rsid w:val="008E4899"/>
    <w:rsid w:val="008F09EF"/>
    <w:rsid w:val="008F0D75"/>
    <w:rsid w:val="008F1D95"/>
    <w:rsid w:val="008F58BD"/>
    <w:rsid w:val="008F7F79"/>
    <w:rsid w:val="00900390"/>
    <w:rsid w:val="009007DF"/>
    <w:rsid w:val="00903150"/>
    <w:rsid w:val="009043B1"/>
    <w:rsid w:val="009050B3"/>
    <w:rsid w:val="00905E50"/>
    <w:rsid w:val="009110E2"/>
    <w:rsid w:val="00911CCF"/>
    <w:rsid w:val="009120BD"/>
    <w:rsid w:val="0091230C"/>
    <w:rsid w:val="00914B73"/>
    <w:rsid w:val="00915063"/>
    <w:rsid w:val="00917538"/>
    <w:rsid w:val="00920782"/>
    <w:rsid w:val="009212D5"/>
    <w:rsid w:val="00923504"/>
    <w:rsid w:val="00925870"/>
    <w:rsid w:val="0092730C"/>
    <w:rsid w:val="009274CC"/>
    <w:rsid w:val="00927834"/>
    <w:rsid w:val="009313DE"/>
    <w:rsid w:val="009323EF"/>
    <w:rsid w:val="0093523A"/>
    <w:rsid w:val="0093552E"/>
    <w:rsid w:val="00935541"/>
    <w:rsid w:val="00936CA9"/>
    <w:rsid w:val="00943549"/>
    <w:rsid w:val="00943D5B"/>
    <w:rsid w:val="0094518E"/>
    <w:rsid w:val="0094671B"/>
    <w:rsid w:val="0094727B"/>
    <w:rsid w:val="00950970"/>
    <w:rsid w:val="009511AD"/>
    <w:rsid w:val="0095130F"/>
    <w:rsid w:val="00951E7F"/>
    <w:rsid w:val="00954E21"/>
    <w:rsid w:val="00955058"/>
    <w:rsid w:val="00956863"/>
    <w:rsid w:val="00960D85"/>
    <w:rsid w:val="00961483"/>
    <w:rsid w:val="00962078"/>
    <w:rsid w:val="00964363"/>
    <w:rsid w:val="00964729"/>
    <w:rsid w:val="00964DCC"/>
    <w:rsid w:val="0096633F"/>
    <w:rsid w:val="009664DA"/>
    <w:rsid w:val="0096651F"/>
    <w:rsid w:val="00966801"/>
    <w:rsid w:val="00970B51"/>
    <w:rsid w:val="009718B7"/>
    <w:rsid w:val="00973FCB"/>
    <w:rsid w:val="009758FD"/>
    <w:rsid w:val="00976C60"/>
    <w:rsid w:val="00984AE2"/>
    <w:rsid w:val="009856A4"/>
    <w:rsid w:val="009860E1"/>
    <w:rsid w:val="00987E13"/>
    <w:rsid w:val="00990EC4"/>
    <w:rsid w:val="00992AF2"/>
    <w:rsid w:val="00993766"/>
    <w:rsid w:val="00994B41"/>
    <w:rsid w:val="00995D7A"/>
    <w:rsid w:val="0099607D"/>
    <w:rsid w:val="0099612A"/>
    <w:rsid w:val="009969A7"/>
    <w:rsid w:val="0099766F"/>
    <w:rsid w:val="00997A4C"/>
    <w:rsid w:val="009A1A94"/>
    <w:rsid w:val="009A41F4"/>
    <w:rsid w:val="009A5605"/>
    <w:rsid w:val="009A61EF"/>
    <w:rsid w:val="009B2358"/>
    <w:rsid w:val="009B2423"/>
    <w:rsid w:val="009B29C6"/>
    <w:rsid w:val="009B345A"/>
    <w:rsid w:val="009B3AE3"/>
    <w:rsid w:val="009B589A"/>
    <w:rsid w:val="009B5BB1"/>
    <w:rsid w:val="009B7AF7"/>
    <w:rsid w:val="009B7BC6"/>
    <w:rsid w:val="009C607A"/>
    <w:rsid w:val="009C68AE"/>
    <w:rsid w:val="009C71DD"/>
    <w:rsid w:val="009C7F3E"/>
    <w:rsid w:val="009D0ECE"/>
    <w:rsid w:val="009D174D"/>
    <w:rsid w:val="009D17A3"/>
    <w:rsid w:val="009D1AA5"/>
    <w:rsid w:val="009D5920"/>
    <w:rsid w:val="009D64F7"/>
    <w:rsid w:val="009D7339"/>
    <w:rsid w:val="009E156C"/>
    <w:rsid w:val="009E76DF"/>
    <w:rsid w:val="009E7E7F"/>
    <w:rsid w:val="009F0198"/>
    <w:rsid w:val="009F1421"/>
    <w:rsid w:val="009F1B79"/>
    <w:rsid w:val="009F4209"/>
    <w:rsid w:val="009F42B5"/>
    <w:rsid w:val="009F4B40"/>
    <w:rsid w:val="009F54BF"/>
    <w:rsid w:val="009F72D7"/>
    <w:rsid w:val="00A008CE"/>
    <w:rsid w:val="00A00A29"/>
    <w:rsid w:val="00A011AF"/>
    <w:rsid w:val="00A048CC"/>
    <w:rsid w:val="00A04980"/>
    <w:rsid w:val="00A05B04"/>
    <w:rsid w:val="00A05C14"/>
    <w:rsid w:val="00A10E8A"/>
    <w:rsid w:val="00A11479"/>
    <w:rsid w:val="00A127E5"/>
    <w:rsid w:val="00A1405B"/>
    <w:rsid w:val="00A20C3B"/>
    <w:rsid w:val="00A215AE"/>
    <w:rsid w:val="00A22F36"/>
    <w:rsid w:val="00A23193"/>
    <w:rsid w:val="00A24522"/>
    <w:rsid w:val="00A246C1"/>
    <w:rsid w:val="00A2514A"/>
    <w:rsid w:val="00A25EB5"/>
    <w:rsid w:val="00A2758C"/>
    <w:rsid w:val="00A31C35"/>
    <w:rsid w:val="00A338B7"/>
    <w:rsid w:val="00A33BDA"/>
    <w:rsid w:val="00A40D65"/>
    <w:rsid w:val="00A4268B"/>
    <w:rsid w:val="00A43470"/>
    <w:rsid w:val="00A43CAB"/>
    <w:rsid w:val="00A454E7"/>
    <w:rsid w:val="00A45E33"/>
    <w:rsid w:val="00A46391"/>
    <w:rsid w:val="00A5273A"/>
    <w:rsid w:val="00A5413D"/>
    <w:rsid w:val="00A54581"/>
    <w:rsid w:val="00A55FDF"/>
    <w:rsid w:val="00A5605E"/>
    <w:rsid w:val="00A566F0"/>
    <w:rsid w:val="00A567B5"/>
    <w:rsid w:val="00A56F37"/>
    <w:rsid w:val="00A57AFC"/>
    <w:rsid w:val="00A603E6"/>
    <w:rsid w:val="00A61438"/>
    <w:rsid w:val="00A63B9E"/>
    <w:rsid w:val="00A64F88"/>
    <w:rsid w:val="00A7126B"/>
    <w:rsid w:val="00A73C0C"/>
    <w:rsid w:val="00A74FE3"/>
    <w:rsid w:val="00A75221"/>
    <w:rsid w:val="00A754EB"/>
    <w:rsid w:val="00A75F4C"/>
    <w:rsid w:val="00A80ABE"/>
    <w:rsid w:val="00A80B02"/>
    <w:rsid w:val="00A81282"/>
    <w:rsid w:val="00A87075"/>
    <w:rsid w:val="00A87CF0"/>
    <w:rsid w:val="00A90FEA"/>
    <w:rsid w:val="00A927C8"/>
    <w:rsid w:val="00A94704"/>
    <w:rsid w:val="00A9540B"/>
    <w:rsid w:val="00AA1427"/>
    <w:rsid w:val="00AA1851"/>
    <w:rsid w:val="00AA2D7C"/>
    <w:rsid w:val="00AA3D33"/>
    <w:rsid w:val="00AA6213"/>
    <w:rsid w:val="00AA68DE"/>
    <w:rsid w:val="00AA7E12"/>
    <w:rsid w:val="00AB27F1"/>
    <w:rsid w:val="00AB4EF5"/>
    <w:rsid w:val="00AB6CCC"/>
    <w:rsid w:val="00AC0E8B"/>
    <w:rsid w:val="00AC1034"/>
    <w:rsid w:val="00AC3195"/>
    <w:rsid w:val="00AC3AF4"/>
    <w:rsid w:val="00AC46EA"/>
    <w:rsid w:val="00AC4BEF"/>
    <w:rsid w:val="00AC6CE4"/>
    <w:rsid w:val="00AD5A21"/>
    <w:rsid w:val="00AE34EE"/>
    <w:rsid w:val="00AE3994"/>
    <w:rsid w:val="00AE3D50"/>
    <w:rsid w:val="00AE50DB"/>
    <w:rsid w:val="00AE7F20"/>
    <w:rsid w:val="00AF2890"/>
    <w:rsid w:val="00AF2A89"/>
    <w:rsid w:val="00AF5064"/>
    <w:rsid w:val="00AF700C"/>
    <w:rsid w:val="00AF7D84"/>
    <w:rsid w:val="00B01598"/>
    <w:rsid w:val="00B03F2A"/>
    <w:rsid w:val="00B046ED"/>
    <w:rsid w:val="00B05F65"/>
    <w:rsid w:val="00B12913"/>
    <w:rsid w:val="00B12F78"/>
    <w:rsid w:val="00B144D1"/>
    <w:rsid w:val="00B16CCA"/>
    <w:rsid w:val="00B21267"/>
    <w:rsid w:val="00B2163D"/>
    <w:rsid w:val="00B21BCC"/>
    <w:rsid w:val="00B2737B"/>
    <w:rsid w:val="00B30326"/>
    <w:rsid w:val="00B30658"/>
    <w:rsid w:val="00B313EA"/>
    <w:rsid w:val="00B318A4"/>
    <w:rsid w:val="00B337EC"/>
    <w:rsid w:val="00B35752"/>
    <w:rsid w:val="00B35CC6"/>
    <w:rsid w:val="00B4030E"/>
    <w:rsid w:val="00B412FB"/>
    <w:rsid w:val="00B41C43"/>
    <w:rsid w:val="00B46C1C"/>
    <w:rsid w:val="00B517C9"/>
    <w:rsid w:val="00B518F7"/>
    <w:rsid w:val="00B5209E"/>
    <w:rsid w:val="00B5287F"/>
    <w:rsid w:val="00B5313C"/>
    <w:rsid w:val="00B5341A"/>
    <w:rsid w:val="00B56E02"/>
    <w:rsid w:val="00B6598E"/>
    <w:rsid w:val="00B65EB5"/>
    <w:rsid w:val="00B66FCA"/>
    <w:rsid w:val="00B71ED6"/>
    <w:rsid w:val="00B82F9A"/>
    <w:rsid w:val="00B83369"/>
    <w:rsid w:val="00B85016"/>
    <w:rsid w:val="00B85687"/>
    <w:rsid w:val="00B965B7"/>
    <w:rsid w:val="00BA24AE"/>
    <w:rsid w:val="00BA5953"/>
    <w:rsid w:val="00BA5DD7"/>
    <w:rsid w:val="00BA64CB"/>
    <w:rsid w:val="00BB2BC8"/>
    <w:rsid w:val="00BB3D29"/>
    <w:rsid w:val="00BB5D2A"/>
    <w:rsid w:val="00BC1FE9"/>
    <w:rsid w:val="00BC29FE"/>
    <w:rsid w:val="00BC3A2E"/>
    <w:rsid w:val="00BC4E52"/>
    <w:rsid w:val="00BC4EA9"/>
    <w:rsid w:val="00BC647F"/>
    <w:rsid w:val="00BC7E62"/>
    <w:rsid w:val="00BD040F"/>
    <w:rsid w:val="00BD0782"/>
    <w:rsid w:val="00BD429F"/>
    <w:rsid w:val="00BD6D96"/>
    <w:rsid w:val="00BE119B"/>
    <w:rsid w:val="00BE20CD"/>
    <w:rsid w:val="00BE25CE"/>
    <w:rsid w:val="00BE3FF3"/>
    <w:rsid w:val="00BE6264"/>
    <w:rsid w:val="00BF051F"/>
    <w:rsid w:val="00BF10BA"/>
    <w:rsid w:val="00BF1136"/>
    <w:rsid w:val="00BF3EBC"/>
    <w:rsid w:val="00BF6D40"/>
    <w:rsid w:val="00BF7A0A"/>
    <w:rsid w:val="00C03357"/>
    <w:rsid w:val="00C036EB"/>
    <w:rsid w:val="00C056A6"/>
    <w:rsid w:val="00C06A93"/>
    <w:rsid w:val="00C103C4"/>
    <w:rsid w:val="00C104A9"/>
    <w:rsid w:val="00C12AA4"/>
    <w:rsid w:val="00C1384D"/>
    <w:rsid w:val="00C16868"/>
    <w:rsid w:val="00C2397C"/>
    <w:rsid w:val="00C23A93"/>
    <w:rsid w:val="00C24E33"/>
    <w:rsid w:val="00C254D4"/>
    <w:rsid w:val="00C265ED"/>
    <w:rsid w:val="00C2730D"/>
    <w:rsid w:val="00C31FE8"/>
    <w:rsid w:val="00C32D8C"/>
    <w:rsid w:val="00C334E8"/>
    <w:rsid w:val="00C37BDF"/>
    <w:rsid w:val="00C407C3"/>
    <w:rsid w:val="00C41609"/>
    <w:rsid w:val="00C438EC"/>
    <w:rsid w:val="00C508CC"/>
    <w:rsid w:val="00C53081"/>
    <w:rsid w:val="00C542C3"/>
    <w:rsid w:val="00C56807"/>
    <w:rsid w:val="00C57E8E"/>
    <w:rsid w:val="00C61E96"/>
    <w:rsid w:val="00C7005E"/>
    <w:rsid w:val="00C7058F"/>
    <w:rsid w:val="00C722CB"/>
    <w:rsid w:val="00C73077"/>
    <w:rsid w:val="00C7361A"/>
    <w:rsid w:val="00C76199"/>
    <w:rsid w:val="00C7684C"/>
    <w:rsid w:val="00C76ABB"/>
    <w:rsid w:val="00C80125"/>
    <w:rsid w:val="00C8046A"/>
    <w:rsid w:val="00C83C0D"/>
    <w:rsid w:val="00C8624F"/>
    <w:rsid w:val="00C8632B"/>
    <w:rsid w:val="00C905CB"/>
    <w:rsid w:val="00C90BC6"/>
    <w:rsid w:val="00C91B0B"/>
    <w:rsid w:val="00C91F9D"/>
    <w:rsid w:val="00C9209D"/>
    <w:rsid w:val="00C93137"/>
    <w:rsid w:val="00C9500F"/>
    <w:rsid w:val="00C96A32"/>
    <w:rsid w:val="00CA796A"/>
    <w:rsid w:val="00CB2A4B"/>
    <w:rsid w:val="00CB332D"/>
    <w:rsid w:val="00CB5342"/>
    <w:rsid w:val="00CB54FC"/>
    <w:rsid w:val="00CB5527"/>
    <w:rsid w:val="00CB643E"/>
    <w:rsid w:val="00CB7190"/>
    <w:rsid w:val="00CC0E96"/>
    <w:rsid w:val="00CC2F0C"/>
    <w:rsid w:val="00CD1FAF"/>
    <w:rsid w:val="00CD2A4A"/>
    <w:rsid w:val="00CD3B92"/>
    <w:rsid w:val="00CD3C27"/>
    <w:rsid w:val="00CD5250"/>
    <w:rsid w:val="00CD5450"/>
    <w:rsid w:val="00CD6001"/>
    <w:rsid w:val="00CD67F8"/>
    <w:rsid w:val="00CD688E"/>
    <w:rsid w:val="00CD6EC5"/>
    <w:rsid w:val="00CD6FB3"/>
    <w:rsid w:val="00CE1C2B"/>
    <w:rsid w:val="00CE1F2D"/>
    <w:rsid w:val="00CE355A"/>
    <w:rsid w:val="00CE68C6"/>
    <w:rsid w:val="00CF13B9"/>
    <w:rsid w:val="00CF3A84"/>
    <w:rsid w:val="00CF4F95"/>
    <w:rsid w:val="00CF61A5"/>
    <w:rsid w:val="00D0009C"/>
    <w:rsid w:val="00D01BA6"/>
    <w:rsid w:val="00D04836"/>
    <w:rsid w:val="00D04CE9"/>
    <w:rsid w:val="00D07552"/>
    <w:rsid w:val="00D137B2"/>
    <w:rsid w:val="00D13E4F"/>
    <w:rsid w:val="00D218AF"/>
    <w:rsid w:val="00D23054"/>
    <w:rsid w:val="00D23942"/>
    <w:rsid w:val="00D23B9F"/>
    <w:rsid w:val="00D24988"/>
    <w:rsid w:val="00D26B74"/>
    <w:rsid w:val="00D30E37"/>
    <w:rsid w:val="00D33BEB"/>
    <w:rsid w:val="00D37AA6"/>
    <w:rsid w:val="00D41F5E"/>
    <w:rsid w:val="00D43A39"/>
    <w:rsid w:val="00D441B7"/>
    <w:rsid w:val="00D46161"/>
    <w:rsid w:val="00D4729A"/>
    <w:rsid w:val="00D47B54"/>
    <w:rsid w:val="00D47BBF"/>
    <w:rsid w:val="00D512AD"/>
    <w:rsid w:val="00D52769"/>
    <w:rsid w:val="00D52BCF"/>
    <w:rsid w:val="00D52F3B"/>
    <w:rsid w:val="00D5301E"/>
    <w:rsid w:val="00D54A03"/>
    <w:rsid w:val="00D54AE1"/>
    <w:rsid w:val="00D5552D"/>
    <w:rsid w:val="00D5651E"/>
    <w:rsid w:val="00D63B3E"/>
    <w:rsid w:val="00D66B8F"/>
    <w:rsid w:val="00D73C75"/>
    <w:rsid w:val="00D74D01"/>
    <w:rsid w:val="00D75156"/>
    <w:rsid w:val="00D7748F"/>
    <w:rsid w:val="00D77515"/>
    <w:rsid w:val="00D77B1D"/>
    <w:rsid w:val="00D80BDE"/>
    <w:rsid w:val="00D84A00"/>
    <w:rsid w:val="00D8630B"/>
    <w:rsid w:val="00D86DAD"/>
    <w:rsid w:val="00D86E83"/>
    <w:rsid w:val="00D877A2"/>
    <w:rsid w:val="00D87BD7"/>
    <w:rsid w:val="00D91215"/>
    <w:rsid w:val="00D93899"/>
    <w:rsid w:val="00D94541"/>
    <w:rsid w:val="00D95B4A"/>
    <w:rsid w:val="00D95E40"/>
    <w:rsid w:val="00D96531"/>
    <w:rsid w:val="00D972FD"/>
    <w:rsid w:val="00DB686E"/>
    <w:rsid w:val="00DC0EF3"/>
    <w:rsid w:val="00DC2A91"/>
    <w:rsid w:val="00DC7154"/>
    <w:rsid w:val="00DC7BF6"/>
    <w:rsid w:val="00DD2E48"/>
    <w:rsid w:val="00DD3B47"/>
    <w:rsid w:val="00DD3BE1"/>
    <w:rsid w:val="00DD435F"/>
    <w:rsid w:val="00DD5B8A"/>
    <w:rsid w:val="00DD61F1"/>
    <w:rsid w:val="00DD73C2"/>
    <w:rsid w:val="00DE16B5"/>
    <w:rsid w:val="00DE1C50"/>
    <w:rsid w:val="00DE1D44"/>
    <w:rsid w:val="00DE23A0"/>
    <w:rsid w:val="00DE527F"/>
    <w:rsid w:val="00DE7916"/>
    <w:rsid w:val="00DF25A8"/>
    <w:rsid w:val="00DF4B42"/>
    <w:rsid w:val="00DF4DDE"/>
    <w:rsid w:val="00DF52FC"/>
    <w:rsid w:val="00DF66A5"/>
    <w:rsid w:val="00DF7962"/>
    <w:rsid w:val="00E0103E"/>
    <w:rsid w:val="00E04CC3"/>
    <w:rsid w:val="00E07153"/>
    <w:rsid w:val="00E077E1"/>
    <w:rsid w:val="00E07919"/>
    <w:rsid w:val="00E10718"/>
    <w:rsid w:val="00E110EB"/>
    <w:rsid w:val="00E126EA"/>
    <w:rsid w:val="00E12B1D"/>
    <w:rsid w:val="00E13775"/>
    <w:rsid w:val="00E13F38"/>
    <w:rsid w:val="00E15192"/>
    <w:rsid w:val="00E176AF"/>
    <w:rsid w:val="00E2438E"/>
    <w:rsid w:val="00E255A8"/>
    <w:rsid w:val="00E263C2"/>
    <w:rsid w:val="00E266F7"/>
    <w:rsid w:val="00E309AF"/>
    <w:rsid w:val="00E31031"/>
    <w:rsid w:val="00E32753"/>
    <w:rsid w:val="00E32A6E"/>
    <w:rsid w:val="00E33E9F"/>
    <w:rsid w:val="00E34AA4"/>
    <w:rsid w:val="00E34C31"/>
    <w:rsid w:val="00E37D19"/>
    <w:rsid w:val="00E40B58"/>
    <w:rsid w:val="00E40CBC"/>
    <w:rsid w:val="00E4118D"/>
    <w:rsid w:val="00E413E7"/>
    <w:rsid w:val="00E41BCC"/>
    <w:rsid w:val="00E42522"/>
    <w:rsid w:val="00E45683"/>
    <w:rsid w:val="00E45957"/>
    <w:rsid w:val="00E468EE"/>
    <w:rsid w:val="00E46A3E"/>
    <w:rsid w:val="00E47B8A"/>
    <w:rsid w:val="00E5033F"/>
    <w:rsid w:val="00E52BCE"/>
    <w:rsid w:val="00E538DC"/>
    <w:rsid w:val="00E53B4A"/>
    <w:rsid w:val="00E5434E"/>
    <w:rsid w:val="00E55E77"/>
    <w:rsid w:val="00E60815"/>
    <w:rsid w:val="00E60A76"/>
    <w:rsid w:val="00E6246D"/>
    <w:rsid w:val="00E624CD"/>
    <w:rsid w:val="00E6379F"/>
    <w:rsid w:val="00E64318"/>
    <w:rsid w:val="00E645BF"/>
    <w:rsid w:val="00E661D0"/>
    <w:rsid w:val="00E668C5"/>
    <w:rsid w:val="00E7174A"/>
    <w:rsid w:val="00E725A2"/>
    <w:rsid w:val="00E73C71"/>
    <w:rsid w:val="00E73F27"/>
    <w:rsid w:val="00E768E3"/>
    <w:rsid w:val="00E81897"/>
    <w:rsid w:val="00E820EA"/>
    <w:rsid w:val="00E830F3"/>
    <w:rsid w:val="00E848B0"/>
    <w:rsid w:val="00E860A5"/>
    <w:rsid w:val="00E86215"/>
    <w:rsid w:val="00E93075"/>
    <w:rsid w:val="00E936E6"/>
    <w:rsid w:val="00E94653"/>
    <w:rsid w:val="00E95A96"/>
    <w:rsid w:val="00E96D7D"/>
    <w:rsid w:val="00EA152E"/>
    <w:rsid w:val="00EA439E"/>
    <w:rsid w:val="00EA4488"/>
    <w:rsid w:val="00EA5C57"/>
    <w:rsid w:val="00EA6154"/>
    <w:rsid w:val="00EA7081"/>
    <w:rsid w:val="00EA7E30"/>
    <w:rsid w:val="00EB230F"/>
    <w:rsid w:val="00EB303D"/>
    <w:rsid w:val="00EB41F7"/>
    <w:rsid w:val="00EB4270"/>
    <w:rsid w:val="00EC07A6"/>
    <w:rsid w:val="00EC16E5"/>
    <w:rsid w:val="00EC30E6"/>
    <w:rsid w:val="00EC42CC"/>
    <w:rsid w:val="00EC4F1B"/>
    <w:rsid w:val="00EC61D8"/>
    <w:rsid w:val="00EC7ACE"/>
    <w:rsid w:val="00ED19E7"/>
    <w:rsid w:val="00ED32FF"/>
    <w:rsid w:val="00ED351B"/>
    <w:rsid w:val="00EE38DB"/>
    <w:rsid w:val="00EE4686"/>
    <w:rsid w:val="00EE5B0B"/>
    <w:rsid w:val="00EF04F8"/>
    <w:rsid w:val="00EF15F9"/>
    <w:rsid w:val="00EF3F29"/>
    <w:rsid w:val="00F01B24"/>
    <w:rsid w:val="00F03005"/>
    <w:rsid w:val="00F03292"/>
    <w:rsid w:val="00F03B28"/>
    <w:rsid w:val="00F03D64"/>
    <w:rsid w:val="00F05C1F"/>
    <w:rsid w:val="00F07577"/>
    <w:rsid w:val="00F11A91"/>
    <w:rsid w:val="00F129FE"/>
    <w:rsid w:val="00F12F79"/>
    <w:rsid w:val="00F13CEC"/>
    <w:rsid w:val="00F14C78"/>
    <w:rsid w:val="00F200B3"/>
    <w:rsid w:val="00F20A44"/>
    <w:rsid w:val="00F21608"/>
    <w:rsid w:val="00F27077"/>
    <w:rsid w:val="00F30046"/>
    <w:rsid w:val="00F3067C"/>
    <w:rsid w:val="00F30F87"/>
    <w:rsid w:val="00F31902"/>
    <w:rsid w:val="00F33F58"/>
    <w:rsid w:val="00F35B9B"/>
    <w:rsid w:val="00F36D01"/>
    <w:rsid w:val="00F40CFE"/>
    <w:rsid w:val="00F41B68"/>
    <w:rsid w:val="00F4315D"/>
    <w:rsid w:val="00F443DE"/>
    <w:rsid w:val="00F4478A"/>
    <w:rsid w:val="00F467D9"/>
    <w:rsid w:val="00F50B05"/>
    <w:rsid w:val="00F51C36"/>
    <w:rsid w:val="00F53570"/>
    <w:rsid w:val="00F566C4"/>
    <w:rsid w:val="00F60EBE"/>
    <w:rsid w:val="00F619F5"/>
    <w:rsid w:val="00F61D2A"/>
    <w:rsid w:val="00F62361"/>
    <w:rsid w:val="00F66F39"/>
    <w:rsid w:val="00F707F3"/>
    <w:rsid w:val="00F728CE"/>
    <w:rsid w:val="00F72E3F"/>
    <w:rsid w:val="00F7304C"/>
    <w:rsid w:val="00F74ED8"/>
    <w:rsid w:val="00F76232"/>
    <w:rsid w:val="00F773EE"/>
    <w:rsid w:val="00F840FE"/>
    <w:rsid w:val="00F844FD"/>
    <w:rsid w:val="00F87ABC"/>
    <w:rsid w:val="00F907EA"/>
    <w:rsid w:val="00F91554"/>
    <w:rsid w:val="00F920E5"/>
    <w:rsid w:val="00F930A6"/>
    <w:rsid w:val="00F97490"/>
    <w:rsid w:val="00F97AD1"/>
    <w:rsid w:val="00FA06CA"/>
    <w:rsid w:val="00FA25BD"/>
    <w:rsid w:val="00FA30AC"/>
    <w:rsid w:val="00FA3589"/>
    <w:rsid w:val="00FA42D5"/>
    <w:rsid w:val="00FA48D5"/>
    <w:rsid w:val="00FA5B54"/>
    <w:rsid w:val="00FA6A55"/>
    <w:rsid w:val="00FA6A96"/>
    <w:rsid w:val="00FA6B61"/>
    <w:rsid w:val="00FB10C8"/>
    <w:rsid w:val="00FB1B32"/>
    <w:rsid w:val="00FB1F18"/>
    <w:rsid w:val="00FB2836"/>
    <w:rsid w:val="00FB28AE"/>
    <w:rsid w:val="00FB3624"/>
    <w:rsid w:val="00FB3A81"/>
    <w:rsid w:val="00FB628E"/>
    <w:rsid w:val="00FB767F"/>
    <w:rsid w:val="00FC2050"/>
    <w:rsid w:val="00FC29A2"/>
    <w:rsid w:val="00FC2A7D"/>
    <w:rsid w:val="00FC2F1E"/>
    <w:rsid w:val="00FC5D05"/>
    <w:rsid w:val="00FD2ACD"/>
    <w:rsid w:val="00FD2B26"/>
    <w:rsid w:val="00FD2F0A"/>
    <w:rsid w:val="00FD3A62"/>
    <w:rsid w:val="00FD417B"/>
    <w:rsid w:val="00FD57D0"/>
    <w:rsid w:val="00FD7592"/>
    <w:rsid w:val="00FD7DE3"/>
    <w:rsid w:val="00FD7FB7"/>
    <w:rsid w:val="00FE0A1F"/>
    <w:rsid w:val="00FE359A"/>
    <w:rsid w:val="00FE3966"/>
    <w:rsid w:val="00FE681D"/>
    <w:rsid w:val="00FF06AD"/>
    <w:rsid w:val="00FF1776"/>
    <w:rsid w:val="00FF1890"/>
    <w:rsid w:val="00FF1D2C"/>
    <w:rsid w:val="00FF2E82"/>
    <w:rsid w:val="00FF34C0"/>
    <w:rsid w:val="00FF727F"/>
    <w:rsid w:val="00FF7799"/>
    <w:rsid w:val="00FF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43D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06CA"/>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A06C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A06C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A06C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A06C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A06CA"/>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A06C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A06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06C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6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C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A06C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A06CA"/>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A06CA"/>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A06CA"/>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A06CA"/>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A06CA"/>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A06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06CA"/>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A06CA"/>
  </w:style>
  <w:style w:type="paragraph" w:customStyle="1" w:styleId="OPCParaBase">
    <w:name w:val="OPCParaBase"/>
    <w:link w:val="OPCParaBaseChar"/>
    <w:qFormat/>
    <w:rsid w:val="00FA06CA"/>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A06CA"/>
    <w:pPr>
      <w:spacing w:line="240" w:lineRule="auto"/>
    </w:pPr>
    <w:rPr>
      <w:b/>
      <w:sz w:val="40"/>
    </w:rPr>
  </w:style>
  <w:style w:type="paragraph" w:customStyle="1" w:styleId="ActHead1">
    <w:name w:val="ActHead 1"/>
    <w:aliases w:val="c"/>
    <w:basedOn w:val="OPCParaBase"/>
    <w:next w:val="Normal"/>
    <w:qFormat/>
    <w:rsid w:val="00FA06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06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06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06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A06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06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06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06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06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06CA"/>
  </w:style>
  <w:style w:type="paragraph" w:customStyle="1" w:styleId="Blocks">
    <w:name w:val="Blocks"/>
    <w:aliases w:val="bb"/>
    <w:basedOn w:val="OPCParaBase"/>
    <w:qFormat/>
    <w:rsid w:val="00FA06CA"/>
    <w:pPr>
      <w:spacing w:line="240" w:lineRule="auto"/>
    </w:pPr>
    <w:rPr>
      <w:sz w:val="24"/>
    </w:rPr>
  </w:style>
  <w:style w:type="paragraph" w:customStyle="1" w:styleId="BoxText">
    <w:name w:val="BoxText"/>
    <w:aliases w:val="bt"/>
    <w:basedOn w:val="OPCParaBase"/>
    <w:qFormat/>
    <w:rsid w:val="00FA06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06CA"/>
    <w:rPr>
      <w:b/>
    </w:rPr>
  </w:style>
  <w:style w:type="paragraph" w:customStyle="1" w:styleId="BoxHeadItalic">
    <w:name w:val="BoxHeadItalic"/>
    <w:aliases w:val="bhi"/>
    <w:basedOn w:val="BoxText"/>
    <w:next w:val="BoxStep"/>
    <w:qFormat/>
    <w:rsid w:val="00FA06CA"/>
    <w:rPr>
      <w:i/>
    </w:rPr>
  </w:style>
  <w:style w:type="paragraph" w:customStyle="1" w:styleId="BoxList">
    <w:name w:val="BoxList"/>
    <w:aliases w:val="bl"/>
    <w:basedOn w:val="BoxText"/>
    <w:qFormat/>
    <w:rsid w:val="00FA06CA"/>
    <w:pPr>
      <w:ind w:left="1559" w:hanging="425"/>
    </w:pPr>
  </w:style>
  <w:style w:type="paragraph" w:customStyle="1" w:styleId="BoxNote">
    <w:name w:val="BoxNote"/>
    <w:aliases w:val="bn"/>
    <w:basedOn w:val="BoxText"/>
    <w:qFormat/>
    <w:rsid w:val="00FA06CA"/>
    <w:pPr>
      <w:tabs>
        <w:tab w:val="left" w:pos="1985"/>
      </w:tabs>
      <w:spacing w:before="122" w:line="198" w:lineRule="exact"/>
      <w:ind w:left="2948" w:hanging="1814"/>
    </w:pPr>
    <w:rPr>
      <w:sz w:val="18"/>
    </w:rPr>
  </w:style>
  <w:style w:type="paragraph" w:customStyle="1" w:styleId="BoxPara">
    <w:name w:val="BoxPara"/>
    <w:aliases w:val="bp"/>
    <w:basedOn w:val="BoxText"/>
    <w:qFormat/>
    <w:rsid w:val="00FA06CA"/>
    <w:pPr>
      <w:tabs>
        <w:tab w:val="right" w:pos="2268"/>
      </w:tabs>
      <w:ind w:left="2552" w:hanging="1418"/>
    </w:pPr>
  </w:style>
  <w:style w:type="paragraph" w:customStyle="1" w:styleId="BoxStep">
    <w:name w:val="BoxStep"/>
    <w:aliases w:val="bs"/>
    <w:basedOn w:val="BoxText"/>
    <w:qFormat/>
    <w:rsid w:val="00FA06CA"/>
    <w:pPr>
      <w:ind w:left="1985" w:hanging="851"/>
    </w:pPr>
  </w:style>
  <w:style w:type="character" w:customStyle="1" w:styleId="CharAmPartNo">
    <w:name w:val="CharAmPartNo"/>
    <w:basedOn w:val="OPCCharBase"/>
    <w:uiPriority w:val="1"/>
    <w:qFormat/>
    <w:rsid w:val="00FA06CA"/>
  </w:style>
  <w:style w:type="character" w:customStyle="1" w:styleId="CharAmPartText">
    <w:name w:val="CharAmPartText"/>
    <w:basedOn w:val="OPCCharBase"/>
    <w:uiPriority w:val="1"/>
    <w:qFormat/>
    <w:rsid w:val="00FA06CA"/>
  </w:style>
  <w:style w:type="character" w:customStyle="1" w:styleId="CharAmSchNo">
    <w:name w:val="CharAmSchNo"/>
    <w:basedOn w:val="OPCCharBase"/>
    <w:uiPriority w:val="1"/>
    <w:qFormat/>
    <w:rsid w:val="00FA06CA"/>
  </w:style>
  <w:style w:type="character" w:customStyle="1" w:styleId="CharAmSchText">
    <w:name w:val="CharAmSchText"/>
    <w:basedOn w:val="OPCCharBase"/>
    <w:uiPriority w:val="1"/>
    <w:qFormat/>
    <w:rsid w:val="00FA06CA"/>
  </w:style>
  <w:style w:type="character" w:customStyle="1" w:styleId="CharBoldItalic">
    <w:name w:val="CharBoldItalic"/>
    <w:basedOn w:val="OPCCharBase"/>
    <w:uiPriority w:val="1"/>
    <w:qFormat/>
    <w:rsid w:val="00FA06CA"/>
    <w:rPr>
      <w:b/>
      <w:i/>
    </w:rPr>
  </w:style>
  <w:style w:type="character" w:customStyle="1" w:styleId="CharChapNo">
    <w:name w:val="CharChapNo"/>
    <w:basedOn w:val="OPCCharBase"/>
    <w:qFormat/>
    <w:rsid w:val="00FA06CA"/>
  </w:style>
  <w:style w:type="character" w:customStyle="1" w:styleId="CharChapText">
    <w:name w:val="CharChapText"/>
    <w:basedOn w:val="OPCCharBase"/>
    <w:qFormat/>
    <w:rsid w:val="00FA06CA"/>
  </w:style>
  <w:style w:type="character" w:customStyle="1" w:styleId="CharDivNo">
    <w:name w:val="CharDivNo"/>
    <w:basedOn w:val="OPCCharBase"/>
    <w:qFormat/>
    <w:rsid w:val="00FA06CA"/>
  </w:style>
  <w:style w:type="character" w:customStyle="1" w:styleId="CharDivText">
    <w:name w:val="CharDivText"/>
    <w:basedOn w:val="OPCCharBase"/>
    <w:qFormat/>
    <w:rsid w:val="00FA06CA"/>
  </w:style>
  <w:style w:type="character" w:customStyle="1" w:styleId="CharItalic">
    <w:name w:val="CharItalic"/>
    <w:basedOn w:val="OPCCharBase"/>
    <w:uiPriority w:val="1"/>
    <w:qFormat/>
    <w:rsid w:val="00FA06CA"/>
    <w:rPr>
      <w:i/>
    </w:rPr>
  </w:style>
  <w:style w:type="character" w:customStyle="1" w:styleId="CharPartNo">
    <w:name w:val="CharPartNo"/>
    <w:basedOn w:val="OPCCharBase"/>
    <w:qFormat/>
    <w:rsid w:val="00FA06CA"/>
  </w:style>
  <w:style w:type="character" w:customStyle="1" w:styleId="CharPartText">
    <w:name w:val="CharPartText"/>
    <w:basedOn w:val="OPCCharBase"/>
    <w:qFormat/>
    <w:rsid w:val="00FA06CA"/>
  </w:style>
  <w:style w:type="character" w:customStyle="1" w:styleId="CharSectno">
    <w:name w:val="CharSectno"/>
    <w:basedOn w:val="OPCCharBase"/>
    <w:qFormat/>
    <w:rsid w:val="00FA06CA"/>
  </w:style>
  <w:style w:type="character" w:customStyle="1" w:styleId="CharSubdNo">
    <w:name w:val="CharSubdNo"/>
    <w:basedOn w:val="OPCCharBase"/>
    <w:uiPriority w:val="1"/>
    <w:qFormat/>
    <w:rsid w:val="00FA06CA"/>
  </w:style>
  <w:style w:type="character" w:customStyle="1" w:styleId="CharSubdText">
    <w:name w:val="CharSubdText"/>
    <w:basedOn w:val="OPCCharBase"/>
    <w:uiPriority w:val="1"/>
    <w:qFormat/>
    <w:rsid w:val="00FA06CA"/>
  </w:style>
  <w:style w:type="paragraph" w:customStyle="1" w:styleId="CTA--">
    <w:name w:val="CTA --"/>
    <w:basedOn w:val="OPCParaBase"/>
    <w:next w:val="Normal"/>
    <w:rsid w:val="00FA06CA"/>
    <w:pPr>
      <w:spacing w:before="60" w:line="240" w:lineRule="atLeast"/>
      <w:ind w:left="142" w:hanging="142"/>
    </w:pPr>
    <w:rPr>
      <w:sz w:val="20"/>
    </w:rPr>
  </w:style>
  <w:style w:type="paragraph" w:customStyle="1" w:styleId="CTA-">
    <w:name w:val="CTA -"/>
    <w:basedOn w:val="OPCParaBase"/>
    <w:rsid w:val="00FA06CA"/>
    <w:pPr>
      <w:spacing w:before="60" w:line="240" w:lineRule="atLeast"/>
      <w:ind w:left="85" w:hanging="85"/>
    </w:pPr>
    <w:rPr>
      <w:sz w:val="20"/>
    </w:rPr>
  </w:style>
  <w:style w:type="paragraph" w:customStyle="1" w:styleId="CTA---">
    <w:name w:val="CTA ---"/>
    <w:basedOn w:val="OPCParaBase"/>
    <w:next w:val="Normal"/>
    <w:rsid w:val="00FA06CA"/>
    <w:pPr>
      <w:spacing w:before="60" w:line="240" w:lineRule="atLeast"/>
      <w:ind w:left="198" w:hanging="198"/>
    </w:pPr>
    <w:rPr>
      <w:sz w:val="20"/>
    </w:rPr>
  </w:style>
  <w:style w:type="paragraph" w:customStyle="1" w:styleId="CTA----">
    <w:name w:val="CTA ----"/>
    <w:basedOn w:val="OPCParaBase"/>
    <w:next w:val="Normal"/>
    <w:rsid w:val="00FA06CA"/>
    <w:pPr>
      <w:spacing w:before="60" w:line="240" w:lineRule="atLeast"/>
      <w:ind w:left="255" w:hanging="255"/>
    </w:pPr>
    <w:rPr>
      <w:sz w:val="20"/>
    </w:rPr>
  </w:style>
  <w:style w:type="paragraph" w:customStyle="1" w:styleId="CTA1a">
    <w:name w:val="CTA 1(a)"/>
    <w:basedOn w:val="OPCParaBase"/>
    <w:rsid w:val="00FA06CA"/>
    <w:pPr>
      <w:tabs>
        <w:tab w:val="right" w:pos="414"/>
      </w:tabs>
      <w:spacing w:before="40" w:line="240" w:lineRule="atLeast"/>
      <w:ind w:left="675" w:hanging="675"/>
    </w:pPr>
    <w:rPr>
      <w:sz w:val="20"/>
    </w:rPr>
  </w:style>
  <w:style w:type="paragraph" w:customStyle="1" w:styleId="CTA1ai">
    <w:name w:val="CTA 1(a)(i)"/>
    <w:basedOn w:val="OPCParaBase"/>
    <w:rsid w:val="00FA06CA"/>
    <w:pPr>
      <w:tabs>
        <w:tab w:val="right" w:pos="1004"/>
      </w:tabs>
      <w:spacing w:before="40" w:line="240" w:lineRule="atLeast"/>
      <w:ind w:left="1253" w:hanging="1253"/>
    </w:pPr>
    <w:rPr>
      <w:sz w:val="20"/>
    </w:rPr>
  </w:style>
  <w:style w:type="paragraph" w:customStyle="1" w:styleId="CTA2a">
    <w:name w:val="CTA 2(a)"/>
    <w:basedOn w:val="OPCParaBase"/>
    <w:rsid w:val="00FA06CA"/>
    <w:pPr>
      <w:tabs>
        <w:tab w:val="right" w:pos="482"/>
      </w:tabs>
      <w:spacing w:before="40" w:line="240" w:lineRule="atLeast"/>
      <w:ind w:left="748" w:hanging="748"/>
    </w:pPr>
    <w:rPr>
      <w:sz w:val="20"/>
    </w:rPr>
  </w:style>
  <w:style w:type="paragraph" w:customStyle="1" w:styleId="CTA2ai">
    <w:name w:val="CTA 2(a)(i)"/>
    <w:basedOn w:val="OPCParaBase"/>
    <w:rsid w:val="00FA06CA"/>
    <w:pPr>
      <w:tabs>
        <w:tab w:val="right" w:pos="1089"/>
      </w:tabs>
      <w:spacing w:before="40" w:line="240" w:lineRule="atLeast"/>
      <w:ind w:left="1327" w:hanging="1327"/>
    </w:pPr>
    <w:rPr>
      <w:sz w:val="20"/>
    </w:rPr>
  </w:style>
  <w:style w:type="paragraph" w:customStyle="1" w:styleId="CTA3a">
    <w:name w:val="CTA 3(a)"/>
    <w:basedOn w:val="OPCParaBase"/>
    <w:rsid w:val="00FA06CA"/>
    <w:pPr>
      <w:tabs>
        <w:tab w:val="right" w:pos="556"/>
      </w:tabs>
      <w:spacing w:before="40" w:line="240" w:lineRule="atLeast"/>
      <w:ind w:left="805" w:hanging="805"/>
    </w:pPr>
    <w:rPr>
      <w:sz w:val="20"/>
    </w:rPr>
  </w:style>
  <w:style w:type="paragraph" w:customStyle="1" w:styleId="CTA3ai">
    <w:name w:val="CTA 3(a)(i)"/>
    <w:basedOn w:val="OPCParaBase"/>
    <w:rsid w:val="00FA06CA"/>
    <w:pPr>
      <w:tabs>
        <w:tab w:val="right" w:pos="1140"/>
      </w:tabs>
      <w:spacing w:before="40" w:line="240" w:lineRule="atLeast"/>
      <w:ind w:left="1361" w:hanging="1361"/>
    </w:pPr>
    <w:rPr>
      <w:sz w:val="20"/>
    </w:rPr>
  </w:style>
  <w:style w:type="paragraph" w:customStyle="1" w:styleId="CTA4a">
    <w:name w:val="CTA 4(a)"/>
    <w:basedOn w:val="OPCParaBase"/>
    <w:rsid w:val="00FA06CA"/>
    <w:pPr>
      <w:tabs>
        <w:tab w:val="right" w:pos="624"/>
      </w:tabs>
      <w:spacing w:before="40" w:line="240" w:lineRule="atLeast"/>
      <w:ind w:left="873" w:hanging="873"/>
    </w:pPr>
    <w:rPr>
      <w:sz w:val="20"/>
    </w:rPr>
  </w:style>
  <w:style w:type="paragraph" w:customStyle="1" w:styleId="CTA4ai">
    <w:name w:val="CTA 4(a)(i)"/>
    <w:basedOn w:val="OPCParaBase"/>
    <w:rsid w:val="00FA06CA"/>
    <w:pPr>
      <w:tabs>
        <w:tab w:val="right" w:pos="1213"/>
      </w:tabs>
      <w:spacing w:before="40" w:line="240" w:lineRule="atLeast"/>
      <w:ind w:left="1452" w:hanging="1452"/>
    </w:pPr>
    <w:rPr>
      <w:sz w:val="20"/>
    </w:rPr>
  </w:style>
  <w:style w:type="paragraph" w:customStyle="1" w:styleId="CTACAPS">
    <w:name w:val="CTA CAPS"/>
    <w:basedOn w:val="OPCParaBase"/>
    <w:rsid w:val="00FA06CA"/>
    <w:pPr>
      <w:spacing w:before="60" w:line="240" w:lineRule="atLeast"/>
    </w:pPr>
    <w:rPr>
      <w:sz w:val="20"/>
    </w:rPr>
  </w:style>
  <w:style w:type="paragraph" w:customStyle="1" w:styleId="CTAright">
    <w:name w:val="CTA right"/>
    <w:basedOn w:val="OPCParaBase"/>
    <w:rsid w:val="00FA06CA"/>
    <w:pPr>
      <w:spacing w:before="60" w:line="240" w:lineRule="auto"/>
      <w:jc w:val="right"/>
    </w:pPr>
    <w:rPr>
      <w:sz w:val="20"/>
    </w:rPr>
  </w:style>
  <w:style w:type="paragraph" w:customStyle="1" w:styleId="subsection">
    <w:name w:val="subsection"/>
    <w:aliases w:val="ss,Subsection,t_Main"/>
    <w:basedOn w:val="OPCParaBase"/>
    <w:link w:val="subsectionChar"/>
    <w:qFormat/>
    <w:rsid w:val="00FA06CA"/>
    <w:pPr>
      <w:tabs>
        <w:tab w:val="right" w:pos="1021"/>
      </w:tabs>
      <w:spacing w:before="180" w:line="240" w:lineRule="auto"/>
      <w:ind w:left="1134" w:hanging="1134"/>
    </w:pPr>
  </w:style>
  <w:style w:type="paragraph" w:customStyle="1" w:styleId="Definition">
    <w:name w:val="Definition"/>
    <w:aliases w:val="dd,t_Defn"/>
    <w:basedOn w:val="OPCParaBase"/>
    <w:rsid w:val="00FA06CA"/>
    <w:pPr>
      <w:spacing w:before="180" w:line="240" w:lineRule="auto"/>
      <w:ind w:left="1134"/>
    </w:pPr>
  </w:style>
  <w:style w:type="paragraph" w:customStyle="1" w:styleId="EndNotespara">
    <w:name w:val="EndNotes(para)"/>
    <w:aliases w:val="eta"/>
    <w:basedOn w:val="OPCParaBase"/>
    <w:next w:val="EndNotessubpara"/>
    <w:rsid w:val="00FA06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06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06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06CA"/>
    <w:pPr>
      <w:tabs>
        <w:tab w:val="right" w:pos="1412"/>
      </w:tabs>
      <w:spacing w:before="60" w:line="240" w:lineRule="auto"/>
      <w:ind w:left="1525" w:hanging="1525"/>
    </w:pPr>
    <w:rPr>
      <w:sz w:val="20"/>
    </w:rPr>
  </w:style>
  <w:style w:type="paragraph" w:customStyle="1" w:styleId="Formula">
    <w:name w:val="Formula"/>
    <w:basedOn w:val="OPCParaBase"/>
    <w:rsid w:val="00FA06CA"/>
    <w:pPr>
      <w:spacing w:line="240" w:lineRule="auto"/>
      <w:ind w:left="1134"/>
    </w:pPr>
    <w:rPr>
      <w:sz w:val="20"/>
    </w:rPr>
  </w:style>
  <w:style w:type="paragraph" w:styleId="Header">
    <w:name w:val="header"/>
    <w:basedOn w:val="OPCParaBase"/>
    <w:link w:val="HeaderChar"/>
    <w:unhideWhenUsed/>
    <w:rsid w:val="00FA06C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A06CA"/>
    <w:rPr>
      <w:rFonts w:ascii="Times New Roman" w:eastAsia="Times New Roman" w:hAnsi="Times New Roman" w:cs="Times New Roman"/>
      <w:sz w:val="16"/>
      <w:szCs w:val="20"/>
      <w:lang w:eastAsia="en-AU"/>
    </w:rPr>
  </w:style>
  <w:style w:type="paragraph" w:customStyle="1" w:styleId="House">
    <w:name w:val="House"/>
    <w:basedOn w:val="OPCParaBase"/>
    <w:rsid w:val="00FA06CA"/>
    <w:pPr>
      <w:spacing w:line="240" w:lineRule="auto"/>
    </w:pPr>
    <w:rPr>
      <w:sz w:val="28"/>
    </w:rPr>
  </w:style>
  <w:style w:type="paragraph" w:customStyle="1" w:styleId="Item">
    <w:name w:val="Item"/>
    <w:aliases w:val="i"/>
    <w:basedOn w:val="OPCParaBase"/>
    <w:next w:val="ItemHead"/>
    <w:rsid w:val="00FA06CA"/>
    <w:pPr>
      <w:keepLines/>
      <w:spacing w:before="80" w:line="240" w:lineRule="auto"/>
      <w:ind w:left="709"/>
    </w:pPr>
  </w:style>
  <w:style w:type="paragraph" w:customStyle="1" w:styleId="ItemHead">
    <w:name w:val="ItemHead"/>
    <w:aliases w:val="ih"/>
    <w:basedOn w:val="OPCParaBase"/>
    <w:next w:val="Item"/>
    <w:rsid w:val="00FA06C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06CA"/>
    <w:pPr>
      <w:spacing w:line="240" w:lineRule="auto"/>
    </w:pPr>
    <w:rPr>
      <w:b/>
      <w:sz w:val="32"/>
    </w:rPr>
  </w:style>
  <w:style w:type="paragraph" w:customStyle="1" w:styleId="notedraft">
    <w:name w:val="note(draft)"/>
    <w:aliases w:val="nd"/>
    <w:basedOn w:val="OPCParaBase"/>
    <w:link w:val="notedraftChar"/>
    <w:rsid w:val="00FA06CA"/>
    <w:pPr>
      <w:spacing w:before="240" w:line="240" w:lineRule="auto"/>
      <w:ind w:left="284" w:hanging="284"/>
    </w:pPr>
    <w:rPr>
      <w:i/>
      <w:sz w:val="24"/>
    </w:rPr>
  </w:style>
  <w:style w:type="paragraph" w:customStyle="1" w:styleId="notemargin">
    <w:name w:val="note(margin)"/>
    <w:aliases w:val="nm"/>
    <w:basedOn w:val="OPCParaBase"/>
    <w:rsid w:val="00FA06CA"/>
    <w:pPr>
      <w:tabs>
        <w:tab w:val="left" w:pos="709"/>
      </w:tabs>
      <w:spacing w:before="122" w:line="198" w:lineRule="exact"/>
      <w:ind w:left="709" w:hanging="709"/>
    </w:pPr>
    <w:rPr>
      <w:sz w:val="18"/>
    </w:rPr>
  </w:style>
  <w:style w:type="paragraph" w:customStyle="1" w:styleId="noteToPara">
    <w:name w:val="noteToPara"/>
    <w:aliases w:val="ntp"/>
    <w:basedOn w:val="OPCParaBase"/>
    <w:rsid w:val="00FA06CA"/>
    <w:pPr>
      <w:spacing w:before="122" w:line="198" w:lineRule="exact"/>
      <w:ind w:left="2353" w:hanging="709"/>
    </w:pPr>
    <w:rPr>
      <w:sz w:val="18"/>
    </w:rPr>
  </w:style>
  <w:style w:type="paragraph" w:customStyle="1" w:styleId="noteParlAmend">
    <w:name w:val="note(ParlAmend)"/>
    <w:aliases w:val="npp"/>
    <w:basedOn w:val="OPCParaBase"/>
    <w:next w:val="ParlAmend"/>
    <w:rsid w:val="00FA06CA"/>
    <w:pPr>
      <w:spacing w:line="240" w:lineRule="auto"/>
      <w:jc w:val="right"/>
    </w:pPr>
    <w:rPr>
      <w:rFonts w:ascii="Arial" w:hAnsi="Arial"/>
      <w:b/>
      <w:i/>
    </w:rPr>
  </w:style>
  <w:style w:type="paragraph" w:customStyle="1" w:styleId="Page1">
    <w:name w:val="Page1"/>
    <w:basedOn w:val="OPCParaBase"/>
    <w:rsid w:val="00FA06CA"/>
    <w:pPr>
      <w:spacing w:before="5600" w:line="240" w:lineRule="auto"/>
    </w:pPr>
    <w:rPr>
      <w:b/>
      <w:sz w:val="32"/>
    </w:rPr>
  </w:style>
  <w:style w:type="paragraph" w:customStyle="1" w:styleId="PageBreak">
    <w:name w:val="PageBreak"/>
    <w:aliases w:val="pb"/>
    <w:basedOn w:val="OPCParaBase"/>
    <w:rsid w:val="00FA06CA"/>
    <w:pPr>
      <w:spacing w:line="240" w:lineRule="auto"/>
    </w:pPr>
    <w:rPr>
      <w:sz w:val="20"/>
    </w:rPr>
  </w:style>
  <w:style w:type="paragraph" w:customStyle="1" w:styleId="paragraphsub">
    <w:name w:val="paragraph(sub)"/>
    <w:aliases w:val="aa,t_Subpara"/>
    <w:basedOn w:val="OPCParaBase"/>
    <w:rsid w:val="00FA06CA"/>
    <w:pPr>
      <w:tabs>
        <w:tab w:val="right" w:pos="1985"/>
      </w:tabs>
      <w:spacing w:before="40" w:line="240" w:lineRule="auto"/>
      <w:ind w:left="2098" w:hanging="2098"/>
    </w:pPr>
  </w:style>
  <w:style w:type="paragraph" w:customStyle="1" w:styleId="paragraphsub-sub">
    <w:name w:val="paragraph(sub-sub)"/>
    <w:aliases w:val="aaa"/>
    <w:basedOn w:val="OPCParaBase"/>
    <w:rsid w:val="00FA06CA"/>
    <w:pPr>
      <w:tabs>
        <w:tab w:val="right" w:pos="2722"/>
      </w:tabs>
      <w:spacing w:before="40" w:line="240" w:lineRule="auto"/>
      <w:ind w:left="2835" w:hanging="2835"/>
    </w:pPr>
  </w:style>
  <w:style w:type="paragraph" w:customStyle="1" w:styleId="paragraph">
    <w:name w:val="paragraph"/>
    <w:aliases w:val="a,t_Para"/>
    <w:basedOn w:val="OPCParaBase"/>
    <w:rsid w:val="00FA06CA"/>
    <w:pPr>
      <w:tabs>
        <w:tab w:val="right" w:pos="1531"/>
      </w:tabs>
      <w:spacing w:before="40" w:line="240" w:lineRule="auto"/>
      <w:ind w:left="1644" w:hanging="1644"/>
    </w:pPr>
  </w:style>
  <w:style w:type="paragraph" w:customStyle="1" w:styleId="ParlAmend">
    <w:name w:val="ParlAmend"/>
    <w:aliases w:val="pp"/>
    <w:basedOn w:val="OPCParaBase"/>
    <w:rsid w:val="00FA06CA"/>
    <w:pPr>
      <w:spacing w:before="240" w:line="240" w:lineRule="atLeast"/>
      <w:ind w:hanging="567"/>
    </w:pPr>
    <w:rPr>
      <w:sz w:val="24"/>
    </w:rPr>
  </w:style>
  <w:style w:type="paragraph" w:customStyle="1" w:styleId="Penalty">
    <w:name w:val="Penalty"/>
    <w:basedOn w:val="OPCParaBase"/>
    <w:rsid w:val="00FA06CA"/>
    <w:pPr>
      <w:tabs>
        <w:tab w:val="left" w:pos="2977"/>
      </w:tabs>
      <w:spacing w:before="180" w:line="240" w:lineRule="auto"/>
      <w:ind w:left="1985" w:hanging="851"/>
    </w:pPr>
  </w:style>
  <w:style w:type="paragraph" w:customStyle="1" w:styleId="Portfolio">
    <w:name w:val="Portfolio"/>
    <w:basedOn w:val="OPCParaBase"/>
    <w:rsid w:val="00FA06CA"/>
    <w:pPr>
      <w:spacing w:line="240" w:lineRule="auto"/>
    </w:pPr>
    <w:rPr>
      <w:i/>
      <w:sz w:val="20"/>
    </w:rPr>
  </w:style>
  <w:style w:type="paragraph" w:customStyle="1" w:styleId="Preamble">
    <w:name w:val="Preamble"/>
    <w:basedOn w:val="OPCParaBase"/>
    <w:next w:val="Normal"/>
    <w:rsid w:val="00FA06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06CA"/>
    <w:pPr>
      <w:spacing w:line="240" w:lineRule="auto"/>
    </w:pPr>
    <w:rPr>
      <w:i/>
      <w:sz w:val="20"/>
    </w:rPr>
  </w:style>
  <w:style w:type="paragraph" w:customStyle="1" w:styleId="Session">
    <w:name w:val="Session"/>
    <w:basedOn w:val="OPCParaBase"/>
    <w:rsid w:val="00FA06CA"/>
    <w:pPr>
      <w:spacing w:line="240" w:lineRule="auto"/>
    </w:pPr>
    <w:rPr>
      <w:sz w:val="28"/>
    </w:rPr>
  </w:style>
  <w:style w:type="paragraph" w:customStyle="1" w:styleId="Sponsor">
    <w:name w:val="Sponsor"/>
    <w:basedOn w:val="OPCParaBase"/>
    <w:rsid w:val="00FA06CA"/>
    <w:pPr>
      <w:spacing w:line="240" w:lineRule="auto"/>
    </w:pPr>
    <w:rPr>
      <w:i/>
    </w:rPr>
  </w:style>
  <w:style w:type="paragraph" w:customStyle="1" w:styleId="Subitem">
    <w:name w:val="Subitem"/>
    <w:aliases w:val="iss"/>
    <w:basedOn w:val="OPCParaBase"/>
    <w:rsid w:val="00FA06CA"/>
    <w:pPr>
      <w:spacing w:before="180" w:line="240" w:lineRule="auto"/>
      <w:ind w:left="709" w:hanging="709"/>
    </w:pPr>
  </w:style>
  <w:style w:type="paragraph" w:customStyle="1" w:styleId="SubitemHead">
    <w:name w:val="SubitemHead"/>
    <w:aliases w:val="issh"/>
    <w:basedOn w:val="OPCParaBase"/>
    <w:rsid w:val="00FA06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06CA"/>
    <w:pPr>
      <w:spacing w:before="40" w:line="240" w:lineRule="auto"/>
      <w:ind w:left="1134"/>
    </w:pPr>
  </w:style>
  <w:style w:type="paragraph" w:customStyle="1" w:styleId="SubsectionHead">
    <w:name w:val="SubsectionHead"/>
    <w:aliases w:val="ssh"/>
    <w:basedOn w:val="OPCParaBase"/>
    <w:next w:val="subsection"/>
    <w:rsid w:val="00FA06CA"/>
    <w:pPr>
      <w:keepNext/>
      <w:keepLines/>
      <w:spacing w:before="240" w:line="240" w:lineRule="auto"/>
      <w:ind w:left="1134"/>
    </w:pPr>
    <w:rPr>
      <w:i/>
    </w:rPr>
  </w:style>
  <w:style w:type="paragraph" w:customStyle="1" w:styleId="Tablea">
    <w:name w:val="Table(a)"/>
    <w:aliases w:val="ta"/>
    <w:basedOn w:val="OPCParaBase"/>
    <w:rsid w:val="00FA06CA"/>
    <w:pPr>
      <w:spacing w:before="60" w:line="240" w:lineRule="auto"/>
      <w:ind w:left="284" w:hanging="284"/>
    </w:pPr>
    <w:rPr>
      <w:sz w:val="20"/>
    </w:rPr>
  </w:style>
  <w:style w:type="paragraph" w:customStyle="1" w:styleId="TableAA">
    <w:name w:val="Table(AA)"/>
    <w:aliases w:val="taaa"/>
    <w:basedOn w:val="OPCParaBase"/>
    <w:rsid w:val="00FA06C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06C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qFormat/>
    <w:rsid w:val="00FA06CA"/>
    <w:pPr>
      <w:spacing w:before="60" w:line="240" w:lineRule="atLeast"/>
    </w:pPr>
    <w:rPr>
      <w:sz w:val="20"/>
    </w:rPr>
  </w:style>
  <w:style w:type="paragraph" w:customStyle="1" w:styleId="TLPBoxTextnote">
    <w:name w:val="TLPBoxText(note"/>
    <w:aliases w:val="right)"/>
    <w:basedOn w:val="OPCParaBase"/>
    <w:rsid w:val="00FA06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06C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06CA"/>
    <w:pPr>
      <w:spacing w:before="122" w:line="198" w:lineRule="exact"/>
      <w:ind w:left="1985" w:hanging="851"/>
      <w:jc w:val="right"/>
    </w:pPr>
    <w:rPr>
      <w:sz w:val="18"/>
    </w:rPr>
  </w:style>
  <w:style w:type="paragraph" w:customStyle="1" w:styleId="TLPTableBullet">
    <w:name w:val="TLPTableBullet"/>
    <w:aliases w:val="ttb"/>
    <w:basedOn w:val="OPCParaBase"/>
    <w:rsid w:val="00FA06CA"/>
    <w:pPr>
      <w:spacing w:line="240" w:lineRule="exact"/>
      <w:ind w:left="284" w:hanging="284"/>
    </w:pPr>
    <w:rPr>
      <w:sz w:val="20"/>
    </w:rPr>
  </w:style>
  <w:style w:type="paragraph" w:styleId="TOC1">
    <w:name w:val="toc 1"/>
    <w:basedOn w:val="OPCParaBase"/>
    <w:next w:val="Normal"/>
    <w:uiPriority w:val="39"/>
    <w:semiHidden/>
    <w:unhideWhenUsed/>
    <w:rsid w:val="00FA06C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06C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A06C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A06C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A06C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A06C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A06C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06C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A06C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06CA"/>
    <w:pPr>
      <w:keepLines/>
      <w:spacing w:before="240" w:after="120" w:line="240" w:lineRule="auto"/>
      <w:ind w:left="794"/>
    </w:pPr>
    <w:rPr>
      <w:b/>
      <w:kern w:val="28"/>
      <w:sz w:val="20"/>
    </w:rPr>
  </w:style>
  <w:style w:type="paragraph" w:customStyle="1" w:styleId="TofSectsHeading">
    <w:name w:val="TofSects(Heading)"/>
    <w:basedOn w:val="OPCParaBase"/>
    <w:rsid w:val="00FA06CA"/>
    <w:pPr>
      <w:spacing w:before="240" w:after="120" w:line="240" w:lineRule="auto"/>
    </w:pPr>
    <w:rPr>
      <w:b/>
      <w:sz w:val="24"/>
    </w:rPr>
  </w:style>
  <w:style w:type="paragraph" w:customStyle="1" w:styleId="TofSectsSection">
    <w:name w:val="TofSects(Section)"/>
    <w:basedOn w:val="OPCParaBase"/>
    <w:rsid w:val="00FA06CA"/>
    <w:pPr>
      <w:keepLines/>
      <w:spacing w:before="40" w:line="240" w:lineRule="auto"/>
      <w:ind w:left="1588" w:hanging="794"/>
    </w:pPr>
    <w:rPr>
      <w:kern w:val="28"/>
      <w:sz w:val="18"/>
    </w:rPr>
  </w:style>
  <w:style w:type="paragraph" w:customStyle="1" w:styleId="TofSectsSubdiv">
    <w:name w:val="TofSects(Subdiv)"/>
    <w:basedOn w:val="OPCParaBase"/>
    <w:rsid w:val="00FA06CA"/>
    <w:pPr>
      <w:keepLines/>
      <w:spacing w:before="80" w:line="240" w:lineRule="auto"/>
      <w:ind w:left="1588" w:hanging="794"/>
    </w:pPr>
    <w:rPr>
      <w:kern w:val="28"/>
    </w:rPr>
  </w:style>
  <w:style w:type="paragraph" w:customStyle="1" w:styleId="WRStyle">
    <w:name w:val="WR Style"/>
    <w:aliases w:val="WR"/>
    <w:basedOn w:val="OPCParaBase"/>
    <w:rsid w:val="00FA06CA"/>
    <w:pPr>
      <w:spacing w:before="240" w:line="240" w:lineRule="auto"/>
      <w:ind w:left="284" w:hanging="284"/>
    </w:pPr>
    <w:rPr>
      <w:b/>
      <w:i/>
      <w:kern w:val="28"/>
      <w:sz w:val="24"/>
    </w:rPr>
  </w:style>
  <w:style w:type="paragraph" w:customStyle="1" w:styleId="notepara">
    <w:name w:val="note(para)"/>
    <w:aliases w:val="na"/>
    <w:basedOn w:val="OPCParaBase"/>
    <w:rsid w:val="00FA06CA"/>
    <w:pPr>
      <w:spacing w:before="40" w:line="198" w:lineRule="exact"/>
      <w:ind w:left="2354" w:hanging="369"/>
    </w:pPr>
    <w:rPr>
      <w:sz w:val="18"/>
    </w:rPr>
  </w:style>
  <w:style w:type="paragraph" w:styleId="Footer">
    <w:name w:val="footer"/>
    <w:link w:val="FooterChar"/>
    <w:rsid w:val="00FA06C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A06CA"/>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A06CA"/>
    <w:rPr>
      <w:sz w:val="16"/>
    </w:rPr>
  </w:style>
  <w:style w:type="table" w:customStyle="1" w:styleId="CFlag">
    <w:name w:val="CFlag"/>
    <w:basedOn w:val="TableNormal"/>
    <w:uiPriority w:val="99"/>
    <w:rsid w:val="00FA06CA"/>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A06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hAnsi="Tahoma" w:cs="Tahoma"/>
      <w:sz w:val="16"/>
      <w:szCs w:val="16"/>
    </w:rPr>
  </w:style>
  <w:style w:type="table" w:styleId="TableGrid">
    <w:name w:val="Table Grid"/>
    <w:basedOn w:val="TableNormal"/>
    <w:uiPriority w:val="59"/>
    <w:rsid w:val="00FA06C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A06CA"/>
    <w:rPr>
      <w:b/>
      <w:sz w:val="28"/>
      <w:szCs w:val="32"/>
    </w:rPr>
  </w:style>
  <w:style w:type="paragraph" w:customStyle="1" w:styleId="LegislationMadeUnder">
    <w:name w:val="LegislationMadeUnder"/>
    <w:basedOn w:val="OPCParaBase"/>
    <w:next w:val="Normal"/>
    <w:rsid w:val="00FA06CA"/>
    <w:rPr>
      <w:i/>
      <w:sz w:val="32"/>
      <w:szCs w:val="32"/>
    </w:rPr>
  </w:style>
  <w:style w:type="paragraph" w:customStyle="1" w:styleId="SignCoverPageEnd">
    <w:name w:val="SignCoverPageEnd"/>
    <w:basedOn w:val="OPCParaBase"/>
    <w:next w:val="Normal"/>
    <w:rsid w:val="00FA06C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A06CA"/>
    <w:pPr>
      <w:pBdr>
        <w:top w:val="single" w:sz="4" w:space="1" w:color="auto"/>
      </w:pBdr>
      <w:spacing w:before="360"/>
      <w:ind w:right="397"/>
      <w:jc w:val="both"/>
    </w:pPr>
  </w:style>
  <w:style w:type="paragraph" w:customStyle="1" w:styleId="NotesHeading1">
    <w:name w:val="NotesHeading 1"/>
    <w:basedOn w:val="OPCParaBase"/>
    <w:next w:val="Normal"/>
    <w:rsid w:val="00FA06CA"/>
    <w:pPr>
      <w:outlineLvl w:val="0"/>
    </w:pPr>
    <w:rPr>
      <w:b/>
      <w:sz w:val="28"/>
      <w:szCs w:val="28"/>
    </w:rPr>
  </w:style>
  <w:style w:type="paragraph" w:customStyle="1" w:styleId="NotesHeading2">
    <w:name w:val="NotesHeading 2"/>
    <w:basedOn w:val="OPCParaBase"/>
    <w:next w:val="Normal"/>
    <w:rsid w:val="00FA06CA"/>
    <w:rPr>
      <w:b/>
      <w:sz w:val="28"/>
      <w:szCs w:val="28"/>
    </w:rPr>
  </w:style>
  <w:style w:type="paragraph" w:customStyle="1" w:styleId="CompiledActNo">
    <w:name w:val="CompiledActNo"/>
    <w:basedOn w:val="OPCParaBase"/>
    <w:next w:val="Normal"/>
    <w:rsid w:val="00FA06CA"/>
    <w:rPr>
      <w:b/>
      <w:sz w:val="24"/>
      <w:szCs w:val="24"/>
    </w:rPr>
  </w:style>
  <w:style w:type="paragraph" w:customStyle="1" w:styleId="ENotesText">
    <w:name w:val="ENotesText"/>
    <w:aliases w:val="Ent"/>
    <w:basedOn w:val="OPCParaBase"/>
    <w:next w:val="Normal"/>
    <w:rsid w:val="00FA06CA"/>
    <w:pPr>
      <w:spacing w:before="120"/>
    </w:pPr>
  </w:style>
  <w:style w:type="paragraph" w:customStyle="1" w:styleId="CompiledMadeUnder">
    <w:name w:val="CompiledMadeUnder"/>
    <w:basedOn w:val="OPCParaBase"/>
    <w:next w:val="Normal"/>
    <w:rsid w:val="00FA06CA"/>
    <w:rPr>
      <w:i/>
      <w:sz w:val="24"/>
      <w:szCs w:val="24"/>
    </w:rPr>
  </w:style>
  <w:style w:type="paragraph" w:customStyle="1" w:styleId="Paragraphsub-sub-sub">
    <w:name w:val="Paragraph(sub-sub-sub)"/>
    <w:aliases w:val="aaaa"/>
    <w:basedOn w:val="OPCParaBase"/>
    <w:rsid w:val="00FA06CA"/>
    <w:pPr>
      <w:tabs>
        <w:tab w:val="right" w:pos="3402"/>
      </w:tabs>
      <w:spacing w:before="40" w:line="240" w:lineRule="auto"/>
      <w:ind w:left="3402" w:hanging="3402"/>
    </w:pPr>
  </w:style>
  <w:style w:type="paragraph" w:customStyle="1" w:styleId="TableTextEndNotes">
    <w:name w:val="TableTextEndNotes"/>
    <w:aliases w:val="Tten"/>
    <w:basedOn w:val="Normal"/>
    <w:rsid w:val="00FA06CA"/>
    <w:pPr>
      <w:spacing w:before="60" w:line="240" w:lineRule="auto"/>
    </w:pPr>
    <w:rPr>
      <w:rFonts w:cs="Arial"/>
      <w:sz w:val="20"/>
      <w:szCs w:val="22"/>
    </w:rPr>
  </w:style>
  <w:style w:type="paragraph" w:customStyle="1" w:styleId="NoteToSubpara">
    <w:name w:val="NoteToSubpara"/>
    <w:aliases w:val="nts"/>
    <w:basedOn w:val="OPCParaBase"/>
    <w:rsid w:val="00FA06CA"/>
    <w:pPr>
      <w:spacing w:before="40" w:line="198" w:lineRule="exact"/>
      <w:ind w:left="2835" w:hanging="709"/>
    </w:pPr>
    <w:rPr>
      <w:sz w:val="18"/>
    </w:rPr>
  </w:style>
  <w:style w:type="paragraph" w:customStyle="1" w:styleId="ENoteTableHeading">
    <w:name w:val="ENoteTableHeading"/>
    <w:aliases w:val="enth"/>
    <w:basedOn w:val="OPCParaBase"/>
    <w:rsid w:val="00FA06CA"/>
    <w:pPr>
      <w:keepNext/>
      <w:spacing w:before="60" w:line="240" w:lineRule="atLeast"/>
    </w:pPr>
    <w:rPr>
      <w:rFonts w:ascii="Arial" w:hAnsi="Arial"/>
      <w:b/>
      <w:sz w:val="16"/>
    </w:rPr>
  </w:style>
  <w:style w:type="paragraph" w:customStyle="1" w:styleId="ENoteTTi">
    <w:name w:val="ENoteTTi"/>
    <w:aliases w:val="entti"/>
    <w:basedOn w:val="OPCParaBase"/>
    <w:rsid w:val="00FA06CA"/>
    <w:pPr>
      <w:keepNext/>
      <w:spacing w:before="60" w:line="240" w:lineRule="atLeast"/>
      <w:ind w:left="170"/>
    </w:pPr>
    <w:rPr>
      <w:sz w:val="16"/>
    </w:rPr>
  </w:style>
  <w:style w:type="paragraph" w:customStyle="1" w:styleId="ENotesHeading1">
    <w:name w:val="ENotesHeading 1"/>
    <w:aliases w:val="Enh1"/>
    <w:basedOn w:val="OPCParaBase"/>
    <w:next w:val="Normal"/>
    <w:rsid w:val="00FA06CA"/>
    <w:pPr>
      <w:spacing w:before="120"/>
      <w:outlineLvl w:val="1"/>
    </w:pPr>
    <w:rPr>
      <w:b/>
      <w:sz w:val="28"/>
      <w:szCs w:val="28"/>
    </w:rPr>
  </w:style>
  <w:style w:type="paragraph" w:customStyle="1" w:styleId="ENotesHeading2">
    <w:name w:val="ENotesHeading 2"/>
    <w:aliases w:val="Enh2"/>
    <w:basedOn w:val="OPCParaBase"/>
    <w:next w:val="Normal"/>
    <w:rsid w:val="00FA06CA"/>
    <w:pPr>
      <w:spacing w:before="120" w:after="120"/>
      <w:outlineLvl w:val="2"/>
    </w:pPr>
    <w:rPr>
      <w:b/>
      <w:sz w:val="24"/>
      <w:szCs w:val="28"/>
    </w:rPr>
  </w:style>
  <w:style w:type="paragraph" w:customStyle="1" w:styleId="ENoteTTIndentHeading">
    <w:name w:val="ENoteTTIndentHeading"/>
    <w:aliases w:val="enTTHi"/>
    <w:basedOn w:val="OPCParaBase"/>
    <w:rsid w:val="00FA06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06CA"/>
    <w:pPr>
      <w:spacing w:before="60" w:line="240" w:lineRule="atLeast"/>
    </w:pPr>
    <w:rPr>
      <w:sz w:val="16"/>
    </w:rPr>
  </w:style>
  <w:style w:type="paragraph" w:customStyle="1" w:styleId="MadeunderText">
    <w:name w:val="MadeunderText"/>
    <w:basedOn w:val="OPCParaBase"/>
    <w:next w:val="CompiledMadeUnder"/>
    <w:rsid w:val="00FA06CA"/>
    <w:pPr>
      <w:spacing w:before="240"/>
    </w:pPr>
    <w:rPr>
      <w:sz w:val="24"/>
      <w:szCs w:val="24"/>
    </w:rPr>
  </w:style>
  <w:style w:type="paragraph" w:customStyle="1" w:styleId="ENotesHeading3">
    <w:name w:val="ENotesHeading 3"/>
    <w:aliases w:val="Enh3"/>
    <w:basedOn w:val="OPCParaBase"/>
    <w:next w:val="Normal"/>
    <w:rsid w:val="00FA06CA"/>
    <w:pPr>
      <w:keepNext/>
      <w:spacing w:before="120" w:line="240" w:lineRule="auto"/>
      <w:outlineLvl w:val="4"/>
    </w:pPr>
    <w:rPr>
      <w:b/>
      <w:szCs w:val="24"/>
    </w:rPr>
  </w:style>
  <w:style w:type="character" w:customStyle="1" w:styleId="CharSubPartTextCASA">
    <w:name w:val="CharSubPartText(CASA)"/>
    <w:basedOn w:val="OPCCharBase"/>
    <w:uiPriority w:val="1"/>
    <w:rsid w:val="00FA06CA"/>
  </w:style>
  <w:style w:type="character" w:customStyle="1" w:styleId="CharSubPartNoCASA">
    <w:name w:val="CharSubPartNo(CASA)"/>
    <w:basedOn w:val="OPCCharBase"/>
    <w:uiPriority w:val="1"/>
    <w:rsid w:val="00FA06CA"/>
  </w:style>
  <w:style w:type="paragraph" w:customStyle="1" w:styleId="ENoteTTIndentHeadingSub">
    <w:name w:val="ENoteTTIndentHeadingSub"/>
    <w:aliases w:val="enTTHis"/>
    <w:basedOn w:val="OPCParaBase"/>
    <w:rsid w:val="00FA06CA"/>
    <w:pPr>
      <w:keepNext/>
      <w:spacing w:before="60" w:line="240" w:lineRule="atLeast"/>
      <w:ind w:left="340"/>
    </w:pPr>
    <w:rPr>
      <w:b/>
      <w:sz w:val="16"/>
    </w:rPr>
  </w:style>
  <w:style w:type="paragraph" w:customStyle="1" w:styleId="ENoteTTiSub">
    <w:name w:val="ENoteTTiSub"/>
    <w:aliases w:val="enttis"/>
    <w:basedOn w:val="OPCParaBase"/>
    <w:rsid w:val="00FA06CA"/>
    <w:pPr>
      <w:keepNext/>
      <w:spacing w:before="60" w:line="240" w:lineRule="atLeast"/>
      <w:ind w:left="340"/>
    </w:pPr>
    <w:rPr>
      <w:sz w:val="16"/>
    </w:rPr>
  </w:style>
  <w:style w:type="paragraph" w:customStyle="1" w:styleId="SubDivisionMigration">
    <w:name w:val="SubDivisionMigration"/>
    <w:aliases w:val="sdm"/>
    <w:basedOn w:val="OPCParaBase"/>
    <w:rsid w:val="00FA06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06CA"/>
    <w:pPr>
      <w:keepNext/>
      <w:keepLines/>
      <w:spacing w:before="240" w:line="240" w:lineRule="auto"/>
      <w:ind w:left="1134" w:hanging="1134"/>
    </w:pPr>
    <w:rPr>
      <w:b/>
      <w:sz w:val="28"/>
    </w:rPr>
  </w:style>
  <w:style w:type="paragraph" w:customStyle="1" w:styleId="notetext">
    <w:name w:val="note(text)"/>
    <w:aliases w:val="n,n_Main"/>
    <w:basedOn w:val="OPCParaBase"/>
    <w:link w:val="notetextChar"/>
    <w:uiPriority w:val="99"/>
    <w:rsid w:val="00FA06CA"/>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FA06C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A06CA"/>
    <w:rPr>
      <w:rFonts w:ascii="Times New Roman" w:hAnsi="Times New Roman"/>
      <w:szCs w:val="20"/>
    </w:rPr>
  </w:style>
  <w:style w:type="paragraph" w:customStyle="1" w:styleId="SOTextNote">
    <w:name w:val="SO TextNote"/>
    <w:aliases w:val="sont"/>
    <w:basedOn w:val="SOText"/>
    <w:qFormat/>
    <w:rsid w:val="00FA06CA"/>
    <w:pPr>
      <w:spacing w:before="122" w:line="198" w:lineRule="exact"/>
      <w:ind w:left="1843" w:hanging="709"/>
    </w:pPr>
    <w:rPr>
      <w:sz w:val="18"/>
    </w:rPr>
  </w:style>
  <w:style w:type="paragraph" w:customStyle="1" w:styleId="SOPara">
    <w:name w:val="SO Para"/>
    <w:aliases w:val="soa"/>
    <w:basedOn w:val="SOText"/>
    <w:link w:val="SOParaChar"/>
    <w:qFormat/>
    <w:rsid w:val="00FA06CA"/>
    <w:pPr>
      <w:tabs>
        <w:tab w:val="right" w:pos="1786"/>
      </w:tabs>
      <w:spacing w:before="40"/>
      <w:ind w:left="2070" w:hanging="936"/>
    </w:pPr>
  </w:style>
  <w:style w:type="character" w:customStyle="1" w:styleId="SOParaChar">
    <w:name w:val="SO Para Char"/>
    <w:aliases w:val="soa Char"/>
    <w:basedOn w:val="DefaultParagraphFont"/>
    <w:link w:val="SOPara"/>
    <w:rsid w:val="00FA06CA"/>
    <w:rPr>
      <w:rFonts w:ascii="Times New Roman" w:hAnsi="Times New Roman"/>
      <w:szCs w:val="20"/>
    </w:rPr>
  </w:style>
  <w:style w:type="paragraph" w:customStyle="1" w:styleId="FileName">
    <w:name w:val="FileName"/>
    <w:basedOn w:val="Normal"/>
    <w:rsid w:val="00FA06CA"/>
  </w:style>
  <w:style w:type="paragraph" w:customStyle="1" w:styleId="TableHeading">
    <w:name w:val="TableHeading"/>
    <w:aliases w:val="th"/>
    <w:basedOn w:val="OPCParaBase"/>
    <w:next w:val="Tabletext"/>
    <w:rsid w:val="00FA06CA"/>
    <w:pPr>
      <w:keepNext/>
      <w:spacing w:before="60" w:line="240" w:lineRule="atLeast"/>
    </w:pPr>
    <w:rPr>
      <w:b/>
      <w:sz w:val="20"/>
    </w:rPr>
  </w:style>
  <w:style w:type="paragraph" w:customStyle="1" w:styleId="SOHeadBold">
    <w:name w:val="SO HeadBold"/>
    <w:aliases w:val="sohb"/>
    <w:basedOn w:val="SOText"/>
    <w:next w:val="SOText"/>
    <w:link w:val="SOHeadBoldChar"/>
    <w:qFormat/>
    <w:rsid w:val="00FA06CA"/>
    <w:rPr>
      <w:b/>
    </w:rPr>
  </w:style>
  <w:style w:type="character" w:customStyle="1" w:styleId="SOHeadBoldChar">
    <w:name w:val="SO HeadBold Char"/>
    <w:aliases w:val="sohb Char"/>
    <w:basedOn w:val="DefaultParagraphFont"/>
    <w:link w:val="SOHeadBold"/>
    <w:rsid w:val="00FA06CA"/>
    <w:rPr>
      <w:rFonts w:ascii="Times New Roman" w:hAnsi="Times New Roman"/>
      <w:b/>
      <w:szCs w:val="20"/>
    </w:rPr>
  </w:style>
  <w:style w:type="paragraph" w:customStyle="1" w:styleId="SOHeadItalic">
    <w:name w:val="SO HeadItalic"/>
    <w:aliases w:val="sohi"/>
    <w:basedOn w:val="SOText"/>
    <w:next w:val="SOText"/>
    <w:link w:val="SOHeadItalicChar"/>
    <w:qFormat/>
    <w:rsid w:val="00FA06CA"/>
    <w:rPr>
      <w:i/>
    </w:rPr>
  </w:style>
  <w:style w:type="character" w:customStyle="1" w:styleId="SOHeadItalicChar">
    <w:name w:val="SO HeadItalic Char"/>
    <w:aliases w:val="sohi Char"/>
    <w:basedOn w:val="DefaultParagraphFont"/>
    <w:link w:val="SOHeadItalic"/>
    <w:rsid w:val="00FA06CA"/>
    <w:rPr>
      <w:rFonts w:ascii="Times New Roman" w:hAnsi="Times New Roman"/>
      <w:i/>
      <w:szCs w:val="20"/>
    </w:rPr>
  </w:style>
  <w:style w:type="paragraph" w:customStyle="1" w:styleId="SOBullet">
    <w:name w:val="SO Bullet"/>
    <w:aliases w:val="sotb"/>
    <w:basedOn w:val="SOText"/>
    <w:link w:val="SOBulletChar"/>
    <w:qFormat/>
    <w:rsid w:val="00FA06CA"/>
    <w:pPr>
      <w:ind w:left="1559" w:hanging="425"/>
    </w:pPr>
  </w:style>
  <w:style w:type="character" w:customStyle="1" w:styleId="SOBulletChar">
    <w:name w:val="SO Bullet Char"/>
    <w:aliases w:val="sotb Char"/>
    <w:basedOn w:val="DefaultParagraphFont"/>
    <w:link w:val="SOBullet"/>
    <w:rsid w:val="00FA06CA"/>
    <w:rPr>
      <w:rFonts w:ascii="Times New Roman" w:hAnsi="Times New Roman"/>
      <w:szCs w:val="20"/>
    </w:rPr>
  </w:style>
  <w:style w:type="paragraph" w:customStyle="1" w:styleId="SOBulletNote">
    <w:name w:val="SO BulletNote"/>
    <w:aliases w:val="sonb"/>
    <w:basedOn w:val="SOTextNote"/>
    <w:link w:val="SOBulletNoteChar"/>
    <w:qFormat/>
    <w:rsid w:val="00FA06CA"/>
    <w:pPr>
      <w:tabs>
        <w:tab w:val="left" w:pos="1560"/>
      </w:tabs>
      <w:ind w:left="2268" w:hanging="1134"/>
    </w:pPr>
  </w:style>
  <w:style w:type="character" w:customStyle="1" w:styleId="SOBulletNoteChar">
    <w:name w:val="SO BulletNote Char"/>
    <w:aliases w:val="sonb Char"/>
    <w:basedOn w:val="DefaultParagraphFont"/>
    <w:link w:val="SOBulletNote"/>
    <w:rsid w:val="00FA06CA"/>
    <w:rPr>
      <w:rFonts w:ascii="Times New Roman" w:hAnsi="Times New Roman"/>
      <w:sz w:val="18"/>
      <w:szCs w:val="20"/>
    </w:rPr>
  </w:style>
  <w:style w:type="paragraph" w:customStyle="1" w:styleId="SOText2">
    <w:name w:val="SO Text2"/>
    <w:aliases w:val="sot2"/>
    <w:basedOn w:val="Normal"/>
    <w:next w:val="SOText"/>
    <w:link w:val="SOText2Char"/>
    <w:rsid w:val="00FA06C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06CA"/>
    <w:rPr>
      <w:rFonts w:ascii="Times New Roman" w:hAnsi="Times New Roman"/>
      <w:szCs w:val="20"/>
    </w:rPr>
  </w:style>
  <w:style w:type="paragraph" w:customStyle="1" w:styleId="SubPartCASA">
    <w:name w:val="SubPart(CASA)"/>
    <w:aliases w:val="csp"/>
    <w:basedOn w:val="OPCParaBase"/>
    <w:next w:val="ActHead3"/>
    <w:rsid w:val="00FA06C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A06CA"/>
    <w:rPr>
      <w:rFonts w:ascii="Times New Roman" w:eastAsia="Times New Roman" w:hAnsi="Times New Roman" w:cs="Times New Roman"/>
      <w:szCs w:val="20"/>
      <w:lang w:eastAsia="en-AU"/>
    </w:rPr>
  </w:style>
  <w:style w:type="character" w:customStyle="1" w:styleId="notetextChar">
    <w:name w:val="note(text) Char"/>
    <w:aliases w:val="n Char,n_Main Char"/>
    <w:basedOn w:val="DefaultParagraphFont"/>
    <w:link w:val="notetext"/>
    <w:uiPriority w:val="99"/>
    <w:rsid w:val="00FA06CA"/>
    <w:rPr>
      <w:rFonts w:ascii="Times New Roman" w:eastAsia="Times New Roman" w:hAnsi="Times New Roman" w:cs="Times New Roman"/>
      <w:sz w:val="18"/>
      <w:szCs w:val="20"/>
      <w:lang w:eastAsia="en-AU"/>
    </w:rPr>
  </w:style>
  <w:style w:type="paragraph" w:customStyle="1" w:styleId="dn">
    <w:name w:val="dn"/>
    <w:basedOn w:val="notetext"/>
    <w:rsid w:val="00393A1F"/>
  </w:style>
  <w:style w:type="paragraph" w:customStyle="1" w:styleId="t">
    <w:name w:val="t"/>
    <w:basedOn w:val="Normal"/>
    <w:rsid w:val="00791C91"/>
    <w:pPr>
      <w:spacing w:before="60" w:line="240" w:lineRule="atLeast"/>
    </w:pPr>
    <w:rPr>
      <w:rFonts w:eastAsia="Times New Roman" w:cs="Times New Roman"/>
      <w:sz w:val="20"/>
    </w:rPr>
  </w:style>
  <w:style w:type="paragraph" w:customStyle="1" w:styleId="Bullet">
    <w:name w:val="Bullet"/>
    <w:basedOn w:val="Normal"/>
    <w:link w:val="BulletChar"/>
    <w:rsid w:val="004C4EFB"/>
    <w:pPr>
      <w:numPr>
        <w:numId w:val="13"/>
      </w:numPr>
    </w:pPr>
    <w:rPr>
      <w:rFonts w:eastAsia="Times New Roman" w:cs="Times New Roman"/>
      <w:sz w:val="24"/>
      <w:lang w:eastAsia="en-AU"/>
    </w:rPr>
  </w:style>
  <w:style w:type="character" w:customStyle="1" w:styleId="OPCParaBaseChar">
    <w:name w:val="OPCParaBase Char"/>
    <w:basedOn w:val="DefaultParagraphFont"/>
    <w:link w:val="OPCParaBase"/>
    <w:rsid w:val="004C4EFB"/>
    <w:rPr>
      <w:rFonts w:ascii="Times New Roman" w:eastAsia="Times New Roman" w:hAnsi="Times New Roman" w:cs="Times New Roman"/>
      <w:szCs w:val="20"/>
      <w:lang w:eastAsia="en-AU"/>
    </w:rPr>
  </w:style>
  <w:style w:type="character" w:customStyle="1" w:styleId="notedraftChar">
    <w:name w:val="note(draft) Char"/>
    <w:aliases w:val="nd Char"/>
    <w:basedOn w:val="OPCParaBaseChar"/>
    <w:link w:val="notedraft"/>
    <w:rsid w:val="004C4EFB"/>
    <w:rPr>
      <w:rFonts w:ascii="Times New Roman" w:eastAsia="Times New Roman" w:hAnsi="Times New Roman" w:cs="Times New Roman"/>
      <w:i/>
      <w:sz w:val="24"/>
      <w:szCs w:val="20"/>
      <w:lang w:eastAsia="en-AU"/>
    </w:rPr>
  </w:style>
  <w:style w:type="character" w:customStyle="1" w:styleId="BulletChar">
    <w:name w:val="Bullet Char"/>
    <w:basedOn w:val="notedraftChar"/>
    <w:link w:val="Bullet"/>
    <w:rsid w:val="004C4EFB"/>
    <w:rPr>
      <w:rFonts w:ascii="Times New Roman" w:eastAsia="Times New Roman" w:hAnsi="Times New Roman" w:cs="Times New Roman"/>
      <w:i w:val="0"/>
      <w:sz w:val="24"/>
      <w:szCs w:val="20"/>
      <w:lang w:eastAsia="en-AU"/>
    </w:rPr>
  </w:style>
  <w:style w:type="paragraph" w:customStyle="1" w:styleId="Dash">
    <w:name w:val="Dash"/>
    <w:basedOn w:val="Normal"/>
    <w:link w:val="DashChar"/>
    <w:rsid w:val="004C4EFB"/>
    <w:pPr>
      <w:numPr>
        <w:ilvl w:val="1"/>
        <w:numId w:val="13"/>
      </w:numPr>
    </w:pPr>
    <w:rPr>
      <w:rFonts w:eastAsia="Times New Roman" w:cs="Times New Roman"/>
      <w:sz w:val="24"/>
      <w:lang w:eastAsia="en-AU"/>
    </w:rPr>
  </w:style>
  <w:style w:type="character" w:customStyle="1" w:styleId="DashChar">
    <w:name w:val="Dash Char"/>
    <w:basedOn w:val="notedraftChar"/>
    <w:link w:val="Dash"/>
    <w:rsid w:val="004C4EFB"/>
    <w:rPr>
      <w:rFonts w:ascii="Times New Roman" w:eastAsia="Times New Roman" w:hAnsi="Times New Roman" w:cs="Times New Roman"/>
      <w:i w:val="0"/>
      <w:sz w:val="24"/>
      <w:szCs w:val="20"/>
      <w:lang w:eastAsia="en-AU"/>
    </w:rPr>
  </w:style>
  <w:style w:type="paragraph" w:customStyle="1" w:styleId="DoubleDot">
    <w:name w:val="Double Dot"/>
    <w:basedOn w:val="Normal"/>
    <w:link w:val="DoubleDotChar"/>
    <w:rsid w:val="004C4EFB"/>
    <w:pPr>
      <w:numPr>
        <w:ilvl w:val="2"/>
        <w:numId w:val="13"/>
      </w:numPr>
    </w:pPr>
    <w:rPr>
      <w:rFonts w:eastAsia="Times New Roman" w:cs="Times New Roman"/>
      <w:sz w:val="24"/>
      <w:lang w:eastAsia="en-AU"/>
    </w:rPr>
  </w:style>
  <w:style w:type="character" w:customStyle="1" w:styleId="DoubleDotChar">
    <w:name w:val="Double Dot Char"/>
    <w:basedOn w:val="notedraftChar"/>
    <w:link w:val="DoubleDot"/>
    <w:rsid w:val="004C4EFB"/>
    <w:rPr>
      <w:rFonts w:ascii="Times New Roman" w:eastAsia="Times New Roman" w:hAnsi="Times New Roman" w:cs="Times New Roman"/>
      <w:i w:val="0"/>
      <w:sz w:val="24"/>
      <w:szCs w:val="20"/>
      <w:lang w:eastAsia="en-AU"/>
    </w:rPr>
  </w:style>
  <w:style w:type="paragraph" w:styleId="Revision">
    <w:name w:val="Revision"/>
    <w:hidden/>
    <w:uiPriority w:val="99"/>
    <w:semiHidden/>
    <w:rsid w:val="00363786"/>
    <w:pPr>
      <w:spacing w:after="0" w:line="240" w:lineRule="auto"/>
    </w:pPr>
    <w:rPr>
      <w:rFonts w:ascii="Times New Roman" w:hAnsi="Times New Roman"/>
      <w:szCs w:val="20"/>
    </w:rPr>
  </w:style>
  <w:style w:type="character" w:styleId="CommentReference">
    <w:name w:val="annotation reference"/>
    <w:basedOn w:val="DefaultParagraphFont"/>
    <w:uiPriority w:val="99"/>
    <w:semiHidden/>
    <w:unhideWhenUsed/>
    <w:rsid w:val="00363786"/>
    <w:rPr>
      <w:sz w:val="16"/>
      <w:szCs w:val="16"/>
    </w:rPr>
  </w:style>
  <w:style w:type="paragraph" w:styleId="CommentText">
    <w:name w:val="annotation text"/>
    <w:basedOn w:val="Normal"/>
    <w:link w:val="CommentTextChar"/>
    <w:uiPriority w:val="99"/>
    <w:unhideWhenUsed/>
    <w:rsid w:val="00363786"/>
    <w:pPr>
      <w:spacing w:line="240" w:lineRule="auto"/>
    </w:pPr>
    <w:rPr>
      <w:sz w:val="20"/>
    </w:rPr>
  </w:style>
  <w:style w:type="character" w:customStyle="1" w:styleId="CommentTextChar">
    <w:name w:val="Comment Text Char"/>
    <w:basedOn w:val="DefaultParagraphFont"/>
    <w:link w:val="CommentText"/>
    <w:uiPriority w:val="99"/>
    <w:rsid w:val="0036378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63786"/>
    <w:rPr>
      <w:b/>
      <w:bCs/>
    </w:rPr>
  </w:style>
  <w:style w:type="character" w:customStyle="1" w:styleId="CommentSubjectChar">
    <w:name w:val="Comment Subject Char"/>
    <w:basedOn w:val="CommentTextChar"/>
    <w:link w:val="CommentSubject"/>
    <w:uiPriority w:val="99"/>
    <w:semiHidden/>
    <w:rsid w:val="00363786"/>
    <w:rPr>
      <w:rFonts w:ascii="Times New Roman" w:hAnsi="Times New Roman"/>
      <w:b/>
      <w:bCs/>
      <w:sz w:val="20"/>
      <w:szCs w:val="20"/>
    </w:rPr>
  </w:style>
  <w:style w:type="paragraph" w:customStyle="1" w:styleId="OutlineNumbered1">
    <w:name w:val="Outline Numbered 1"/>
    <w:basedOn w:val="Normal"/>
    <w:link w:val="OutlineNumbered1Char"/>
    <w:rsid w:val="00D66B8F"/>
    <w:pPr>
      <w:numPr>
        <w:numId w:val="14"/>
      </w:numPr>
    </w:pPr>
    <w:rPr>
      <w:rFonts w:eastAsia="Times New Roman" w:cs="Times New Roman"/>
      <w:lang w:eastAsia="en-AU"/>
    </w:rPr>
  </w:style>
  <w:style w:type="character" w:customStyle="1" w:styleId="OutlineNumbered1Char">
    <w:name w:val="Outline Numbered 1 Char"/>
    <w:basedOn w:val="subsectionChar"/>
    <w:link w:val="OutlineNumbered1"/>
    <w:rsid w:val="00D66B8F"/>
    <w:rPr>
      <w:rFonts w:ascii="Times New Roman" w:eastAsia="Times New Roman" w:hAnsi="Times New Roman" w:cs="Times New Roman"/>
      <w:szCs w:val="20"/>
      <w:lang w:eastAsia="en-AU"/>
    </w:rPr>
  </w:style>
  <w:style w:type="paragraph" w:customStyle="1" w:styleId="OutlineNumbered2">
    <w:name w:val="Outline Numbered 2"/>
    <w:basedOn w:val="Normal"/>
    <w:link w:val="OutlineNumbered2Char"/>
    <w:rsid w:val="00D66B8F"/>
    <w:pPr>
      <w:numPr>
        <w:ilvl w:val="1"/>
        <w:numId w:val="14"/>
      </w:numPr>
    </w:pPr>
    <w:rPr>
      <w:rFonts w:eastAsia="Times New Roman" w:cs="Times New Roman"/>
      <w:lang w:eastAsia="en-AU"/>
    </w:rPr>
  </w:style>
  <w:style w:type="character" w:customStyle="1" w:styleId="OutlineNumbered2Char">
    <w:name w:val="Outline Numbered 2 Char"/>
    <w:basedOn w:val="subsectionChar"/>
    <w:link w:val="OutlineNumbered2"/>
    <w:rsid w:val="00D66B8F"/>
    <w:rPr>
      <w:rFonts w:ascii="Times New Roman" w:eastAsia="Times New Roman" w:hAnsi="Times New Roman" w:cs="Times New Roman"/>
      <w:szCs w:val="20"/>
      <w:lang w:eastAsia="en-AU"/>
    </w:rPr>
  </w:style>
  <w:style w:type="paragraph" w:customStyle="1" w:styleId="OutlineNumbered3">
    <w:name w:val="Outline Numbered 3"/>
    <w:basedOn w:val="Normal"/>
    <w:link w:val="OutlineNumbered3Char"/>
    <w:rsid w:val="00D66B8F"/>
    <w:pPr>
      <w:numPr>
        <w:ilvl w:val="2"/>
        <w:numId w:val="14"/>
      </w:numPr>
    </w:pPr>
    <w:rPr>
      <w:rFonts w:eastAsia="Times New Roman" w:cs="Times New Roman"/>
      <w:lang w:eastAsia="en-AU"/>
    </w:rPr>
  </w:style>
  <w:style w:type="character" w:customStyle="1" w:styleId="OutlineNumbered3Char">
    <w:name w:val="Outline Numbered 3 Char"/>
    <w:basedOn w:val="subsectionChar"/>
    <w:link w:val="OutlineNumbered3"/>
    <w:rsid w:val="00D66B8F"/>
    <w:rPr>
      <w:rFonts w:ascii="Times New Roman" w:eastAsia="Times New Roman" w:hAnsi="Times New Roman" w:cs="Times New Roman"/>
      <w:szCs w:val="20"/>
      <w:lang w:eastAsia="en-AU"/>
    </w:rPr>
  </w:style>
  <w:style w:type="character" w:styleId="Mention">
    <w:name w:val="Mention"/>
    <w:basedOn w:val="DefaultParagraphFont"/>
    <w:uiPriority w:val="99"/>
    <w:unhideWhenUsed/>
    <w:rsid w:val="0015276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95457">
      <w:bodyDiv w:val="1"/>
      <w:marLeft w:val="0"/>
      <w:marRight w:val="0"/>
      <w:marTop w:val="0"/>
      <w:marBottom w:val="0"/>
      <w:divBdr>
        <w:top w:val="none" w:sz="0" w:space="0" w:color="auto"/>
        <w:left w:val="none" w:sz="0" w:space="0" w:color="auto"/>
        <w:bottom w:val="none" w:sz="0" w:space="0" w:color="auto"/>
        <w:right w:val="none" w:sz="0" w:space="0" w:color="auto"/>
      </w:divBdr>
    </w:div>
    <w:div w:id="145879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96223-32D1-49EA-AA1C-BF373F3A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Template>
  <TotalTime>0</TotalTime>
  <Pages>8</Pages>
  <Words>1599</Words>
  <Characters>8651</Characters>
  <Application>Microsoft Office Word</Application>
  <DocSecurity>4</DocSecurity>
  <Lines>141</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2025-06-20T02:24:00Z</cp:lastPrinted>
  <dcterms:created xsi:type="dcterms:W3CDTF">2025-06-25T02:14:00Z</dcterms:created>
  <dcterms:modified xsi:type="dcterms:W3CDTF">2025-06-25T02:14:00Z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[title] 2017</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 </vt:lpwstr>
  </property>
  <property fmtid="{D5CDD505-2E9C-101B-9397-08002B2CF9AE}" pid="13" name="DLM">
    <vt:lpwstr> </vt:lpwstr>
  </property>
  <property fmtid="{D5CDD505-2E9C-101B-9397-08002B2CF9AE}" pid="14" name="ContentTypeId">
    <vt:lpwstr>0x0101003ECC5A3B3DB5EC46B1D76B9A37FC8269004AAC2CB5661758458C45B4EC4A303080</vt:lpwstr>
  </property>
  <property fmtid="{D5CDD505-2E9C-101B-9397-08002B2CF9AE}" pid="15" name="TSYRecordClass">
    <vt:lpwstr>1;#AE-20260-Destroy 7 years after action completed|623f5ec9-ec5d-4824-8e13-9c9bfc51fe7e</vt:lpwstr>
  </property>
  <property fmtid="{D5CDD505-2E9C-101B-9397-08002B2CF9AE}" pid="16" name="_dlc_DocIdItemGuid">
    <vt:lpwstr>ab02d9e9-e4f4-40a4-ad44-77f8461bc417</vt:lpwstr>
  </property>
  <property fmtid="{D5CDD505-2E9C-101B-9397-08002B2CF9AE}" pid="17" name="MSIP_Label_221efc91-5b9b-47f7-b46d-2bd3ec97b786_Enabled">
    <vt:lpwstr>true</vt:lpwstr>
  </property>
  <property fmtid="{D5CDD505-2E9C-101B-9397-08002B2CF9AE}" pid="18" name="MSIP_Label_221efc91-5b9b-47f7-b46d-2bd3ec97b786_SetDate">
    <vt:lpwstr>2025-03-05T20:31:58Z</vt:lpwstr>
  </property>
  <property fmtid="{D5CDD505-2E9C-101B-9397-08002B2CF9AE}" pid="19" name="MSIP_Label_221efc91-5b9b-47f7-b46d-2bd3ec97b786_Method">
    <vt:lpwstr>Privileged</vt:lpwstr>
  </property>
  <property fmtid="{D5CDD505-2E9C-101B-9397-08002B2CF9AE}" pid="20" name="MSIP_Label_221efc91-5b9b-47f7-b46d-2bd3ec97b786_Name">
    <vt:lpwstr>OS LP AM</vt:lpwstr>
  </property>
  <property fmtid="{D5CDD505-2E9C-101B-9397-08002B2CF9AE}" pid="21" name="MSIP_Label_221efc91-5b9b-47f7-b46d-2bd3ec97b786_SiteId">
    <vt:lpwstr>214f1646-2021-47cc-8397-e3d3a7ba7d9d</vt:lpwstr>
  </property>
  <property fmtid="{D5CDD505-2E9C-101B-9397-08002B2CF9AE}" pid="22" name="MSIP_Label_221efc91-5b9b-47f7-b46d-2bd3ec97b786_ActionId">
    <vt:lpwstr>4c240548-2f12-49d0-a4a1-12497e6d471f</vt:lpwstr>
  </property>
  <property fmtid="{D5CDD505-2E9C-101B-9397-08002B2CF9AE}" pid="23" name="MSIP_Label_221efc91-5b9b-47f7-b46d-2bd3ec97b786_ContentBits">
    <vt:lpwstr>0</vt:lpwstr>
  </property>
  <property fmtid="{D5CDD505-2E9C-101B-9397-08002B2CF9AE}" pid="24" name="eTheme">
    <vt:lpwstr>1</vt:lpwstr>
  </property>
  <property fmtid="{D5CDD505-2E9C-101B-9397-08002B2CF9AE}" pid="25" name="eTopic">
    <vt:lpwstr>95;#Consumer|061f16b5-21de-40bb-a136-07b896bfb829</vt:lpwstr>
  </property>
  <property fmtid="{D5CDD505-2E9C-101B-9397-08002B2CF9AE}" pid="26" name="eActivity">
    <vt:lpwstr>28</vt:lpwstr>
  </property>
  <property fmtid="{D5CDD505-2E9C-101B-9397-08002B2CF9AE}" pid="27" name="TSYStatus">
    <vt:lpwstr/>
  </property>
  <property fmtid="{D5CDD505-2E9C-101B-9397-08002B2CF9AE}" pid="28" name="eDocumentType">
    <vt:lpwstr>68;#Legislation|bc5c492f-641e-4b74-8651-322acd553d0f</vt:lpwstr>
  </property>
</Properties>
</file>