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BF09" w14:textId="77777777" w:rsidR="0047677F" w:rsidRDefault="00CA23E1" w:rsidP="00744E6B">
      <w:pPr>
        <w:pStyle w:val="Heading"/>
        <w:jc w:val="center"/>
        <w:rPr>
          <w:rFonts w:ascii="Arial" w:hAnsi="Arial"/>
          <w:sz w:val="24"/>
          <w:szCs w:val="24"/>
        </w:rPr>
      </w:pPr>
      <w:bookmarkStart w:id="0" w:name="bkInstrumentTitle"/>
      <w:bookmarkEnd w:id="0"/>
      <w:r w:rsidRPr="009A569B">
        <w:rPr>
          <w:rFonts w:ascii="Arial" w:hAnsi="Arial"/>
          <w:sz w:val="24"/>
          <w:szCs w:val="24"/>
        </w:rPr>
        <w:t xml:space="preserve">Australian Prudential Regulation Authority instrument fixing charges </w:t>
      </w:r>
    </w:p>
    <w:p w14:paraId="26D01926" w14:textId="6E880E8C" w:rsidR="00634FF0" w:rsidRPr="009C1793" w:rsidRDefault="00CA23E1" w:rsidP="00744E6B">
      <w:pPr>
        <w:pStyle w:val="Heading"/>
        <w:jc w:val="center"/>
        <w:rPr>
          <w:rFonts w:ascii="Arial" w:hAnsi="Arial"/>
          <w:sz w:val="24"/>
          <w:szCs w:val="24"/>
        </w:rPr>
      </w:pPr>
      <w:r w:rsidRPr="009C1793">
        <w:rPr>
          <w:rFonts w:ascii="Arial" w:hAnsi="Arial"/>
          <w:sz w:val="24"/>
          <w:szCs w:val="24"/>
        </w:rPr>
        <w:t xml:space="preserve">No. </w:t>
      </w:r>
      <w:r w:rsidR="00A11CE0">
        <w:rPr>
          <w:rFonts w:ascii="Arial" w:hAnsi="Arial"/>
          <w:sz w:val="24"/>
          <w:szCs w:val="24"/>
        </w:rPr>
        <w:t>1</w:t>
      </w:r>
      <w:r w:rsidR="0086772C" w:rsidRPr="009C1793">
        <w:rPr>
          <w:rFonts w:ascii="Arial" w:hAnsi="Arial"/>
          <w:sz w:val="24"/>
          <w:szCs w:val="24"/>
        </w:rPr>
        <w:t xml:space="preserve"> </w:t>
      </w:r>
      <w:r w:rsidR="00F54687" w:rsidRPr="009C1793">
        <w:rPr>
          <w:rFonts w:ascii="Arial" w:hAnsi="Arial"/>
          <w:sz w:val="24"/>
          <w:szCs w:val="24"/>
        </w:rPr>
        <w:t>of 20</w:t>
      </w:r>
      <w:r w:rsidR="00F7405E" w:rsidRPr="009C1793">
        <w:rPr>
          <w:rFonts w:ascii="Arial" w:hAnsi="Arial"/>
          <w:sz w:val="24"/>
          <w:szCs w:val="24"/>
        </w:rPr>
        <w:t>2</w:t>
      </w:r>
      <w:r w:rsidR="00F41F06">
        <w:rPr>
          <w:rFonts w:ascii="Arial" w:hAnsi="Arial"/>
          <w:sz w:val="24"/>
          <w:szCs w:val="24"/>
        </w:rPr>
        <w:t>5</w:t>
      </w:r>
    </w:p>
    <w:p w14:paraId="18618FDD" w14:textId="471839C9" w:rsidR="008C228A" w:rsidRPr="009A569B" w:rsidRDefault="00CA23E1" w:rsidP="00C00F7F">
      <w:pPr>
        <w:pStyle w:val="Heading"/>
        <w:jc w:val="center"/>
        <w:rPr>
          <w:rFonts w:ascii="Arial" w:hAnsi="Arial"/>
          <w:sz w:val="24"/>
          <w:szCs w:val="24"/>
        </w:rPr>
      </w:pPr>
      <w:bookmarkStart w:id="1" w:name="bkInstrumentSubTitle"/>
      <w:bookmarkEnd w:id="1"/>
      <w:r w:rsidRPr="009A569B">
        <w:rPr>
          <w:rFonts w:ascii="Arial" w:hAnsi="Arial"/>
          <w:sz w:val="24"/>
          <w:szCs w:val="24"/>
        </w:rPr>
        <w:t>Provision of statistical information about financial sector entities to the Reserve Bank of Australia and the Australian Bureau of Statistics</w:t>
      </w:r>
      <w:r w:rsidR="000F50AA" w:rsidRPr="009A569B">
        <w:rPr>
          <w:rFonts w:ascii="Arial" w:hAnsi="Arial"/>
          <w:sz w:val="24"/>
          <w:szCs w:val="24"/>
        </w:rPr>
        <w:t xml:space="preserve"> during the </w:t>
      </w:r>
      <w:r w:rsidR="00845C9F" w:rsidRPr="009A569B">
        <w:rPr>
          <w:rFonts w:ascii="Arial" w:hAnsi="Arial"/>
          <w:sz w:val="24"/>
          <w:szCs w:val="24"/>
        </w:rPr>
        <w:t>20</w:t>
      </w:r>
      <w:r w:rsidR="00791CB9">
        <w:rPr>
          <w:rFonts w:ascii="Arial" w:hAnsi="Arial"/>
          <w:sz w:val="24"/>
          <w:szCs w:val="24"/>
        </w:rPr>
        <w:t>2</w:t>
      </w:r>
      <w:r w:rsidR="00F41F06">
        <w:rPr>
          <w:rFonts w:ascii="Arial" w:hAnsi="Arial"/>
          <w:sz w:val="24"/>
          <w:szCs w:val="24"/>
        </w:rPr>
        <w:t>4</w:t>
      </w:r>
      <w:r w:rsidR="00845C9F" w:rsidRPr="009A569B">
        <w:rPr>
          <w:rFonts w:ascii="Arial" w:hAnsi="Arial"/>
          <w:sz w:val="24"/>
          <w:szCs w:val="24"/>
        </w:rPr>
        <w:t>-</w:t>
      </w:r>
      <w:r w:rsidR="00F7405E">
        <w:rPr>
          <w:rFonts w:ascii="Arial" w:hAnsi="Arial"/>
          <w:sz w:val="24"/>
          <w:szCs w:val="24"/>
        </w:rPr>
        <w:t>2</w:t>
      </w:r>
      <w:r w:rsidR="00F41F06">
        <w:rPr>
          <w:rFonts w:ascii="Arial" w:hAnsi="Arial"/>
          <w:sz w:val="24"/>
          <w:szCs w:val="24"/>
        </w:rPr>
        <w:t>5</w:t>
      </w:r>
      <w:r w:rsidR="000F50AA" w:rsidRPr="009A569B">
        <w:rPr>
          <w:rFonts w:ascii="Arial" w:hAnsi="Arial"/>
          <w:sz w:val="24"/>
          <w:szCs w:val="24"/>
        </w:rPr>
        <w:t xml:space="preserve"> financial year</w:t>
      </w:r>
      <w:r w:rsidR="005960A8" w:rsidRPr="009A569B">
        <w:rPr>
          <w:rFonts w:ascii="Arial" w:hAnsi="Arial"/>
          <w:sz w:val="24"/>
          <w:szCs w:val="24"/>
        </w:rPr>
        <w:t>.</w:t>
      </w:r>
    </w:p>
    <w:p w14:paraId="71D8C894" w14:textId="77777777" w:rsidR="005941E1" w:rsidRPr="009A569B" w:rsidRDefault="005941E1" w:rsidP="00EA6BF0">
      <w:pPr>
        <w:pStyle w:val="Heading"/>
        <w:tabs>
          <w:tab w:val="left" w:pos="360"/>
        </w:tabs>
        <w:ind w:left="-360"/>
        <w:jc w:val="center"/>
        <w:rPr>
          <w:rFonts w:ascii="Arial" w:hAnsi="Arial"/>
          <w:sz w:val="24"/>
          <w:szCs w:val="24"/>
          <w:u w:val="single"/>
        </w:rPr>
      </w:pPr>
      <w:bookmarkStart w:id="2" w:name="bkStart"/>
      <w:bookmarkEnd w:id="2"/>
      <w:r w:rsidRPr="009A569B">
        <w:rPr>
          <w:rFonts w:ascii="Arial" w:hAnsi="Arial"/>
          <w:sz w:val="24"/>
          <w:szCs w:val="24"/>
          <w:u w:val="single"/>
        </w:rPr>
        <w:t>EXPLANATORY STATEMENT</w:t>
      </w:r>
    </w:p>
    <w:p w14:paraId="2493D7EB" w14:textId="1B8718F5" w:rsidR="00102F9E" w:rsidRPr="009A569B" w:rsidRDefault="005941E1" w:rsidP="005941E1">
      <w:pPr>
        <w:pStyle w:val="Heading"/>
        <w:jc w:val="center"/>
        <w:rPr>
          <w:rFonts w:ascii="Arial" w:hAnsi="Arial"/>
          <w:sz w:val="24"/>
          <w:szCs w:val="24"/>
        </w:rPr>
      </w:pPr>
      <w:r w:rsidRPr="009A569B">
        <w:rPr>
          <w:rFonts w:ascii="Arial" w:hAnsi="Arial"/>
          <w:sz w:val="24"/>
          <w:szCs w:val="24"/>
        </w:rPr>
        <w:t>Prepared by the Australian Prudential Regulation Authority</w:t>
      </w:r>
      <w:r w:rsidR="0000163E">
        <w:rPr>
          <w:rFonts w:ascii="Arial" w:hAnsi="Arial"/>
          <w:sz w:val="24"/>
          <w:szCs w:val="24"/>
        </w:rPr>
        <w:t xml:space="preserve"> (APRA)</w:t>
      </w:r>
    </w:p>
    <w:p w14:paraId="56CF197A" w14:textId="77777777" w:rsidR="00CA23E1" w:rsidRPr="009A569B" w:rsidRDefault="00CA23E1" w:rsidP="00BD4475">
      <w:pPr>
        <w:pStyle w:val="Heading"/>
        <w:jc w:val="center"/>
        <w:rPr>
          <w:rFonts w:ascii="Arial" w:hAnsi="Arial"/>
          <w:b w:val="0"/>
          <w:i/>
          <w:color w:val="000000"/>
          <w:sz w:val="24"/>
          <w:szCs w:val="24"/>
        </w:rPr>
      </w:pPr>
      <w:r w:rsidRPr="009A569B">
        <w:rPr>
          <w:rFonts w:ascii="Arial" w:hAnsi="Arial"/>
          <w:b w:val="0"/>
          <w:i/>
          <w:color w:val="000000"/>
          <w:sz w:val="24"/>
          <w:szCs w:val="24"/>
        </w:rPr>
        <w:t>Australian Prudential Regulation Authority Act 1998</w:t>
      </w:r>
      <w:r w:rsidR="00625A22" w:rsidRPr="009A569B">
        <w:rPr>
          <w:rFonts w:ascii="Arial" w:hAnsi="Arial"/>
          <w:b w:val="0"/>
          <w:i/>
          <w:color w:val="000000"/>
          <w:sz w:val="24"/>
          <w:szCs w:val="24"/>
        </w:rPr>
        <w:t>,</w:t>
      </w:r>
      <w:r w:rsidRPr="009A569B">
        <w:rPr>
          <w:rFonts w:ascii="Arial" w:hAnsi="Arial"/>
          <w:b w:val="0"/>
          <w:i/>
          <w:color w:val="000000"/>
          <w:sz w:val="24"/>
          <w:szCs w:val="24"/>
        </w:rPr>
        <w:t xml:space="preserve"> paragraph 51(1)(a)</w:t>
      </w:r>
    </w:p>
    <w:p w14:paraId="6211459E" w14:textId="77777777" w:rsidR="000F50AA" w:rsidRPr="009A569B" w:rsidRDefault="000F50AA" w:rsidP="000F50AA">
      <w:pPr>
        <w:jc w:val="both"/>
        <w:rPr>
          <w:rFonts w:ascii="Arial" w:hAnsi="Arial" w:cs="Arial"/>
          <w:sz w:val="23"/>
        </w:rPr>
      </w:pPr>
      <w:bookmarkStart w:id="3" w:name="bkAct"/>
      <w:bookmarkStart w:id="4" w:name="bkExplanatory"/>
      <w:bookmarkEnd w:id="3"/>
      <w:bookmarkEnd w:id="4"/>
    </w:p>
    <w:p w14:paraId="4BA8B89B" w14:textId="7F3A3AAB" w:rsidR="000F50AA" w:rsidRPr="009A569B" w:rsidRDefault="000F50AA" w:rsidP="00BD4475">
      <w:pPr>
        <w:pStyle w:val="Heading"/>
        <w:jc w:val="both"/>
        <w:rPr>
          <w:rFonts w:ascii="Arial" w:hAnsi="Arial"/>
          <w:b w:val="0"/>
          <w:sz w:val="24"/>
          <w:szCs w:val="24"/>
        </w:rPr>
      </w:pPr>
      <w:r w:rsidRPr="009A569B">
        <w:rPr>
          <w:rFonts w:ascii="Arial" w:hAnsi="Arial"/>
          <w:b w:val="0"/>
          <w:sz w:val="24"/>
          <w:szCs w:val="24"/>
        </w:rPr>
        <w:t xml:space="preserve">This explanatory statement relates to the instrument fixing charges which is made under paragraph 51(1)(a) of the </w:t>
      </w:r>
      <w:r w:rsidRPr="009A569B">
        <w:rPr>
          <w:rFonts w:ascii="Arial" w:hAnsi="Arial"/>
          <w:b w:val="0"/>
          <w:i/>
          <w:sz w:val="24"/>
          <w:szCs w:val="24"/>
        </w:rPr>
        <w:t xml:space="preserve">Australian Prudential Regulation Authority Act 1998 </w:t>
      </w:r>
      <w:r w:rsidRPr="009A569B">
        <w:rPr>
          <w:rFonts w:ascii="Arial" w:hAnsi="Arial"/>
          <w:b w:val="0"/>
          <w:sz w:val="24"/>
          <w:szCs w:val="24"/>
        </w:rPr>
        <w:t xml:space="preserve">(the </w:t>
      </w:r>
      <w:r w:rsidRPr="009A569B">
        <w:rPr>
          <w:rFonts w:ascii="Arial" w:hAnsi="Arial"/>
          <w:i/>
          <w:sz w:val="24"/>
          <w:szCs w:val="24"/>
        </w:rPr>
        <w:t>APRA Act</w:t>
      </w:r>
      <w:proofErr w:type="gramStart"/>
      <w:r w:rsidRPr="009A569B">
        <w:rPr>
          <w:rFonts w:ascii="Arial" w:hAnsi="Arial"/>
          <w:b w:val="0"/>
          <w:sz w:val="24"/>
          <w:szCs w:val="24"/>
        </w:rPr>
        <w:t>)</w:t>
      </w:r>
      <w:proofErr w:type="gramEnd"/>
      <w:r w:rsidRPr="009A569B">
        <w:rPr>
          <w:rFonts w:ascii="Arial" w:hAnsi="Arial"/>
          <w:b w:val="0"/>
          <w:sz w:val="24"/>
          <w:szCs w:val="24"/>
        </w:rPr>
        <w:t xml:space="preserve"> and which </w:t>
      </w:r>
      <w:r w:rsidRPr="00E3730C">
        <w:rPr>
          <w:rFonts w:ascii="Arial" w:hAnsi="Arial"/>
          <w:b w:val="0"/>
          <w:sz w:val="24"/>
          <w:szCs w:val="24"/>
        </w:rPr>
        <w:t xml:space="preserve">is </w:t>
      </w:r>
      <w:r w:rsidRPr="002102C1">
        <w:rPr>
          <w:rFonts w:ascii="Arial" w:hAnsi="Arial"/>
          <w:b w:val="0"/>
          <w:sz w:val="24"/>
          <w:szCs w:val="24"/>
        </w:rPr>
        <w:t xml:space="preserve">dated </w:t>
      </w:r>
      <w:r w:rsidR="007533ED">
        <w:rPr>
          <w:rFonts w:ascii="Arial" w:hAnsi="Arial"/>
          <w:b w:val="0"/>
          <w:sz w:val="24"/>
          <w:szCs w:val="24"/>
        </w:rPr>
        <w:t>23</w:t>
      </w:r>
      <w:r w:rsidR="00E3730C" w:rsidRPr="00037E76">
        <w:rPr>
          <w:rFonts w:ascii="Arial" w:hAnsi="Arial"/>
          <w:b w:val="0"/>
          <w:sz w:val="24"/>
          <w:szCs w:val="24"/>
        </w:rPr>
        <w:t xml:space="preserve"> </w:t>
      </w:r>
      <w:r w:rsidR="00997E93" w:rsidRPr="00167A99">
        <w:rPr>
          <w:rFonts w:ascii="Arial" w:hAnsi="Arial"/>
          <w:b w:val="0"/>
          <w:sz w:val="24"/>
          <w:szCs w:val="24"/>
        </w:rPr>
        <w:t>June</w:t>
      </w:r>
      <w:r w:rsidR="00E3730C" w:rsidRPr="00167A99">
        <w:rPr>
          <w:rFonts w:ascii="Arial" w:hAnsi="Arial"/>
          <w:b w:val="0"/>
          <w:sz w:val="24"/>
          <w:szCs w:val="24"/>
        </w:rPr>
        <w:t xml:space="preserve"> </w:t>
      </w:r>
      <w:r w:rsidR="00D97E75" w:rsidRPr="00167A99">
        <w:rPr>
          <w:rFonts w:ascii="Arial" w:hAnsi="Arial"/>
          <w:b w:val="0"/>
          <w:sz w:val="24"/>
          <w:szCs w:val="24"/>
        </w:rPr>
        <w:t>202</w:t>
      </w:r>
      <w:r w:rsidR="00764CA6" w:rsidRPr="00167A99">
        <w:rPr>
          <w:rFonts w:ascii="Arial" w:hAnsi="Arial"/>
          <w:b w:val="0"/>
          <w:sz w:val="24"/>
          <w:szCs w:val="24"/>
        </w:rPr>
        <w:t>5</w:t>
      </w:r>
      <w:r w:rsidR="00004C43" w:rsidRPr="00167A99">
        <w:rPr>
          <w:rFonts w:ascii="Arial" w:hAnsi="Arial"/>
          <w:b w:val="0"/>
          <w:sz w:val="24"/>
          <w:szCs w:val="24"/>
        </w:rPr>
        <w:t xml:space="preserve"> </w:t>
      </w:r>
      <w:r w:rsidRPr="009A569B">
        <w:rPr>
          <w:rFonts w:ascii="Arial" w:hAnsi="Arial"/>
          <w:b w:val="0"/>
          <w:sz w:val="24"/>
          <w:szCs w:val="24"/>
        </w:rPr>
        <w:t xml:space="preserve">(the </w:t>
      </w:r>
      <w:r w:rsidRPr="009A569B">
        <w:rPr>
          <w:rFonts w:ascii="Arial" w:hAnsi="Arial"/>
          <w:i/>
          <w:sz w:val="24"/>
          <w:szCs w:val="24"/>
        </w:rPr>
        <w:t>instrument</w:t>
      </w:r>
      <w:r w:rsidRPr="009A569B">
        <w:rPr>
          <w:rFonts w:ascii="Arial" w:hAnsi="Arial"/>
          <w:b w:val="0"/>
          <w:sz w:val="24"/>
          <w:szCs w:val="24"/>
        </w:rPr>
        <w:t>). Th</w:t>
      </w:r>
      <w:r w:rsidR="0067105C" w:rsidRPr="009A569B">
        <w:rPr>
          <w:rFonts w:ascii="Arial" w:hAnsi="Arial"/>
          <w:b w:val="0"/>
          <w:sz w:val="24"/>
          <w:szCs w:val="24"/>
        </w:rPr>
        <w:t>e</w:t>
      </w:r>
      <w:r w:rsidRPr="009A569B">
        <w:rPr>
          <w:rFonts w:ascii="Arial" w:hAnsi="Arial"/>
          <w:b w:val="0"/>
          <w:sz w:val="24"/>
          <w:szCs w:val="24"/>
        </w:rPr>
        <w:t xml:space="preserve"> instrument</w:t>
      </w:r>
      <w:r w:rsidR="0000163E">
        <w:rPr>
          <w:rFonts w:ascii="Arial" w:hAnsi="Arial"/>
          <w:b w:val="0"/>
          <w:sz w:val="24"/>
          <w:szCs w:val="24"/>
        </w:rPr>
        <w:t xml:space="preserve"> </w:t>
      </w:r>
      <w:r w:rsidRPr="009A569B">
        <w:rPr>
          <w:rFonts w:ascii="Arial" w:hAnsi="Arial"/>
          <w:b w:val="0"/>
          <w:sz w:val="24"/>
          <w:szCs w:val="24"/>
        </w:rPr>
        <w:t>imposes a charge for certain services provided by APRA to the Reserve Bank of Australia (</w:t>
      </w:r>
      <w:smartTag w:uri="urn:schemas-microsoft-com:office:smarttags" w:element="stockticker">
        <w:r w:rsidRPr="009A569B">
          <w:rPr>
            <w:rFonts w:ascii="Arial" w:hAnsi="Arial"/>
            <w:i/>
            <w:sz w:val="24"/>
            <w:szCs w:val="24"/>
          </w:rPr>
          <w:t>RBA</w:t>
        </w:r>
      </w:smartTag>
      <w:r w:rsidRPr="009A569B">
        <w:rPr>
          <w:rFonts w:ascii="Arial" w:hAnsi="Arial"/>
          <w:b w:val="0"/>
          <w:sz w:val="24"/>
          <w:szCs w:val="24"/>
        </w:rPr>
        <w:t>) and the Australian Bureau of Statistics (</w:t>
      </w:r>
      <w:smartTag w:uri="urn:schemas-microsoft-com:office:smarttags" w:element="stockticker">
        <w:r w:rsidRPr="009A569B">
          <w:rPr>
            <w:rFonts w:ascii="Arial" w:hAnsi="Arial"/>
            <w:i/>
            <w:sz w:val="24"/>
            <w:szCs w:val="24"/>
          </w:rPr>
          <w:t>ABS</w:t>
        </w:r>
      </w:smartTag>
      <w:r w:rsidRPr="009A569B">
        <w:rPr>
          <w:rFonts w:ascii="Arial" w:hAnsi="Arial"/>
          <w:b w:val="0"/>
          <w:sz w:val="24"/>
          <w:szCs w:val="24"/>
        </w:rPr>
        <w:t xml:space="preserve">). </w:t>
      </w:r>
    </w:p>
    <w:p w14:paraId="22BEF5F7" w14:textId="77777777" w:rsidR="005941E1" w:rsidRPr="009A569B" w:rsidRDefault="005941E1" w:rsidP="00BD4475">
      <w:pPr>
        <w:pStyle w:val="Heading"/>
        <w:numPr>
          <w:ilvl w:val="0"/>
          <w:numId w:val="1"/>
        </w:numPr>
        <w:tabs>
          <w:tab w:val="clear" w:pos="360"/>
        </w:tabs>
        <w:ind w:left="540" w:hanging="540"/>
        <w:jc w:val="both"/>
        <w:rPr>
          <w:rFonts w:ascii="Arial" w:hAnsi="Arial"/>
          <w:sz w:val="24"/>
          <w:szCs w:val="24"/>
        </w:rPr>
      </w:pPr>
      <w:r w:rsidRPr="009A569B">
        <w:rPr>
          <w:rFonts w:ascii="Arial" w:hAnsi="Arial"/>
          <w:sz w:val="24"/>
          <w:szCs w:val="24"/>
        </w:rPr>
        <w:t>Background</w:t>
      </w:r>
    </w:p>
    <w:p w14:paraId="12EECE8A" w14:textId="77777777" w:rsidR="003A551B" w:rsidRPr="00D358C2" w:rsidRDefault="000F50AA" w:rsidP="00BD4475">
      <w:pPr>
        <w:pStyle w:val="Heading"/>
        <w:rPr>
          <w:rFonts w:ascii="Arial" w:hAnsi="Arial"/>
          <w:b w:val="0"/>
          <w:sz w:val="24"/>
          <w:szCs w:val="24"/>
        </w:rPr>
      </w:pPr>
      <w:r w:rsidRPr="009A569B">
        <w:rPr>
          <w:rFonts w:ascii="Arial" w:hAnsi="Arial"/>
          <w:b w:val="0"/>
          <w:i/>
          <w:sz w:val="24"/>
          <w:szCs w:val="24"/>
        </w:rPr>
        <w:t xml:space="preserve">Legislative framework </w:t>
      </w:r>
    </w:p>
    <w:p w14:paraId="6E763462" w14:textId="2A027AF2" w:rsidR="000F50AA" w:rsidRPr="009A569B" w:rsidRDefault="000F50AA" w:rsidP="00BD4475">
      <w:pPr>
        <w:pStyle w:val="Heading"/>
        <w:jc w:val="both"/>
        <w:rPr>
          <w:rFonts w:ascii="Arial" w:hAnsi="Arial"/>
          <w:b w:val="0"/>
          <w:sz w:val="24"/>
          <w:szCs w:val="24"/>
        </w:rPr>
      </w:pPr>
      <w:r w:rsidRPr="009A569B">
        <w:rPr>
          <w:rFonts w:ascii="Arial" w:hAnsi="Arial"/>
          <w:b w:val="0"/>
          <w:sz w:val="24"/>
          <w:szCs w:val="24"/>
        </w:rPr>
        <w:t xml:space="preserve">The APRA Act is administered by </w:t>
      </w:r>
      <w:r w:rsidR="001F3826">
        <w:rPr>
          <w:rFonts w:ascii="Arial" w:hAnsi="Arial"/>
          <w:b w:val="0"/>
          <w:sz w:val="24"/>
          <w:szCs w:val="24"/>
        </w:rPr>
        <w:t>the Department of Treasury</w:t>
      </w:r>
      <w:r w:rsidRPr="009A569B">
        <w:rPr>
          <w:rFonts w:ascii="Arial" w:hAnsi="Arial"/>
          <w:b w:val="0"/>
          <w:sz w:val="24"/>
          <w:szCs w:val="24"/>
        </w:rPr>
        <w:t>. APRA is the prudential regulator of the superannuation, general insurance, life insurance</w:t>
      </w:r>
      <w:r w:rsidR="007C451A">
        <w:rPr>
          <w:rFonts w:ascii="Arial" w:hAnsi="Arial"/>
          <w:b w:val="0"/>
          <w:sz w:val="24"/>
          <w:szCs w:val="24"/>
        </w:rPr>
        <w:t>, private health insurance</w:t>
      </w:r>
      <w:r w:rsidRPr="009A569B">
        <w:rPr>
          <w:rFonts w:ascii="Arial" w:hAnsi="Arial"/>
          <w:b w:val="0"/>
          <w:sz w:val="24"/>
          <w:szCs w:val="24"/>
        </w:rPr>
        <w:t xml:space="preserve"> and </w:t>
      </w:r>
      <w:r w:rsidR="00817A81" w:rsidRPr="009A569B">
        <w:rPr>
          <w:rFonts w:ascii="Arial" w:hAnsi="Arial"/>
          <w:b w:val="0"/>
          <w:sz w:val="24"/>
          <w:szCs w:val="24"/>
        </w:rPr>
        <w:t>a</w:t>
      </w:r>
      <w:r w:rsidR="007C451A">
        <w:rPr>
          <w:rFonts w:ascii="Arial" w:hAnsi="Arial"/>
          <w:b w:val="0"/>
          <w:sz w:val="24"/>
          <w:szCs w:val="24"/>
        </w:rPr>
        <w:t>uthorised</w:t>
      </w:r>
      <w:r w:rsidR="00817A81" w:rsidRPr="009A569B">
        <w:rPr>
          <w:rFonts w:ascii="Arial" w:hAnsi="Arial"/>
          <w:b w:val="0"/>
          <w:sz w:val="24"/>
          <w:szCs w:val="24"/>
        </w:rPr>
        <w:t xml:space="preserve"> deposit</w:t>
      </w:r>
      <w:r w:rsidR="007C451A">
        <w:rPr>
          <w:rFonts w:ascii="Arial" w:hAnsi="Arial"/>
          <w:b w:val="0"/>
          <w:sz w:val="24"/>
          <w:szCs w:val="24"/>
        </w:rPr>
        <w:t>-</w:t>
      </w:r>
      <w:r w:rsidR="00817A81" w:rsidRPr="009A569B">
        <w:rPr>
          <w:rFonts w:ascii="Arial" w:hAnsi="Arial"/>
          <w:b w:val="0"/>
          <w:sz w:val="24"/>
          <w:szCs w:val="24"/>
        </w:rPr>
        <w:t xml:space="preserve">taking </w:t>
      </w:r>
      <w:r w:rsidRPr="009A569B">
        <w:rPr>
          <w:rFonts w:ascii="Arial" w:hAnsi="Arial"/>
          <w:b w:val="0"/>
          <w:sz w:val="24"/>
          <w:szCs w:val="24"/>
        </w:rPr>
        <w:t>industries.</w:t>
      </w:r>
    </w:p>
    <w:p w14:paraId="47C492E8" w14:textId="77777777" w:rsidR="000F50AA" w:rsidRPr="009A569B" w:rsidRDefault="000F50AA" w:rsidP="00BD4475">
      <w:pPr>
        <w:pStyle w:val="Heading"/>
        <w:jc w:val="both"/>
        <w:rPr>
          <w:rFonts w:ascii="Arial" w:hAnsi="Arial"/>
          <w:b w:val="0"/>
          <w:sz w:val="24"/>
          <w:szCs w:val="24"/>
        </w:rPr>
      </w:pPr>
      <w:r w:rsidRPr="009A569B">
        <w:rPr>
          <w:rFonts w:ascii="Arial" w:hAnsi="Arial"/>
          <w:b w:val="0"/>
          <w:sz w:val="24"/>
          <w:szCs w:val="24"/>
        </w:rPr>
        <w:t xml:space="preserve">Subsection 51(1) of the APRA Act provides that APRA may, by </w:t>
      </w:r>
      <w:r w:rsidR="00875BA7" w:rsidRPr="009A569B">
        <w:rPr>
          <w:rFonts w:ascii="Arial" w:hAnsi="Arial"/>
          <w:b w:val="0"/>
          <w:sz w:val="24"/>
          <w:szCs w:val="24"/>
        </w:rPr>
        <w:t>legislative instrument</w:t>
      </w:r>
      <w:r w:rsidRPr="009A569B">
        <w:rPr>
          <w:rFonts w:ascii="Arial" w:hAnsi="Arial"/>
          <w:b w:val="0"/>
          <w:sz w:val="24"/>
          <w:szCs w:val="24"/>
        </w:rPr>
        <w:t>, fix charges to be paid to it by persons in respect of:</w:t>
      </w:r>
    </w:p>
    <w:p w14:paraId="5B449922" w14:textId="0D022E6E" w:rsidR="000F50AA" w:rsidRPr="009A569B" w:rsidRDefault="000F50AA" w:rsidP="00BD4475">
      <w:pPr>
        <w:pStyle w:val="Heading"/>
        <w:jc w:val="both"/>
        <w:rPr>
          <w:rFonts w:ascii="Arial" w:hAnsi="Arial"/>
          <w:b w:val="0"/>
          <w:sz w:val="24"/>
          <w:szCs w:val="24"/>
        </w:rPr>
      </w:pPr>
      <w:r w:rsidRPr="009A569B">
        <w:rPr>
          <w:rFonts w:ascii="Arial" w:hAnsi="Arial"/>
          <w:b w:val="0"/>
          <w:sz w:val="24"/>
          <w:szCs w:val="24"/>
        </w:rPr>
        <w:t>(a)</w:t>
      </w:r>
      <w:r w:rsidRPr="009A569B">
        <w:rPr>
          <w:rFonts w:ascii="Arial" w:hAnsi="Arial"/>
          <w:b w:val="0"/>
          <w:sz w:val="24"/>
          <w:szCs w:val="24"/>
        </w:rPr>
        <w:tab/>
        <w:t xml:space="preserve">services and facilities which APRA provides to </w:t>
      </w:r>
      <w:r w:rsidR="00B055D4">
        <w:rPr>
          <w:rFonts w:ascii="Arial" w:hAnsi="Arial"/>
          <w:b w:val="0"/>
          <w:sz w:val="24"/>
          <w:szCs w:val="24"/>
        </w:rPr>
        <w:t>the</w:t>
      </w:r>
      <w:r w:rsidR="00B055D4" w:rsidRPr="009A569B">
        <w:rPr>
          <w:rFonts w:ascii="Arial" w:hAnsi="Arial"/>
          <w:b w:val="0"/>
          <w:sz w:val="24"/>
          <w:szCs w:val="24"/>
        </w:rPr>
        <w:t xml:space="preserve"> </w:t>
      </w:r>
      <w:r w:rsidRPr="009A569B">
        <w:rPr>
          <w:rFonts w:ascii="Arial" w:hAnsi="Arial"/>
          <w:b w:val="0"/>
          <w:sz w:val="24"/>
          <w:szCs w:val="24"/>
        </w:rPr>
        <w:t>person; and</w:t>
      </w:r>
    </w:p>
    <w:p w14:paraId="71B398CC" w14:textId="65F67F94" w:rsidR="000F50AA" w:rsidRPr="009A569B" w:rsidRDefault="000F50AA" w:rsidP="00B055D4">
      <w:pPr>
        <w:pStyle w:val="Heading"/>
        <w:ind w:left="709" w:hanging="709"/>
        <w:jc w:val="both"/>
        <w:rPr>
          <w:rFonts w:ascii="Arial" w:hAnsi="Arial"/>
          <w:b w:val="0"/>
          <w:sz w:val="24"/>
          <w:szCs w:val="24"/>
        </w:rPr>
      </w:pPr>
      <w:r w:rsidRPr="009A569B">
        <w:rPr>
          <w:rFonts w:ascii="Arial" w:hAnsi="Arial"/>
          <w:b w:val="0"/>
          <w:sz w:val="24"/>
          <w:szCs w:val="24"/>
        </w:rPr>
        <w:t>(b)</w:t>
      </w:r>
      <w:r w:rsidRPr="009A569B">
        <w:rPr>
          <w:rFonts w:ascii="Arial" w:hAnsi="Arial"/>
          <w:b w:val="0"/>
          <w:sz w:val="24"/>
          <w:szCs w:val="24"/>
        </w:rPr>
        <w:tab/>
        <w:t xml:space="preserve">applications or requests </w:t>
      </w:r>
      <w:r w:rsidR="00B055D4">
        <w:rPr>
          <w:rFonts w:ascii="Arial" w:hAnsi="Arial"/>
          <w:b w:val="0"/>
          <w:sz w:val="24"/>
          <w:szCs w:val="24"/>
        </w:rPr>
        <w:t xml:space="preserve">(however described) </w:t>
      </w:r>
      <w:r w:rsidRPr="009A569B">
        <w:rPr>
          <w:rFonts w:ascii="Arial" w:hAnsi="Arial"/>
          <w:b w:val="0"/>
          <w:sz w:val="24"/>
          <w:szCs w:val="24"/>
        </w:rPr>
        <w:t>made to APRA under</w:t>
      </w:r>
      <w:r w:rsidR="00875BA7" w:rsidRPr="009A569B">
        <w:rPr>
          <w:rFonts w:ascii="Arial" w:hAnsi="Arial"/>
          <w:b w:val="0"/>
          <w:sz w:val="24"/>
          <w:szCs w:val="24"/>
        </w:rPr>
        <w:t xml:space="preserve"> any</w:t>
      </w:r>
      <w:r w:rsidRPr="009A569B">
        <w:rPr>
          <w:rFonts w:ascii="Arial" w:hAnsi="Arial"/>
          <w:b w:val="0"/>
          <w:sz w:val="24"/>
          <w:szCs w:val="24"/>
        </w:rPr>
        <w:t xml:space="preserve"> law of the Commonwealth.</w:t>
      </w:r>
    </w:p>
    <w:p w14:paraId="33CB13BA" w14:textId="13D6BD34" w:rsidR="000F50AA" w:rsidRDefault="00FF5051" w:rsidP="00D42566">
      <w:pPr>
        <w:pStyle w:val="Heading"/>
        <w:spacing w:before="0" w:after="0"/>
        <w:jc w:val="both"/>
        <w:outlineLvl w:val="9"/>
        <w:rPr>
          <w:rFonts w:ascii="Arial" w:hAnsi="Arial"/>
          <w:b w:val="0"/>
          <w:sz w:val="24"/>
          <w:szCs w:val="24"/>
        </w:rPr>
      </w:pPr>
      <w:r>
        <w:rPr>
          <w:rFonts w:ascii="Arial" w:hAnsi="Arial"/>
          <w:b w:val="0"/>
          <w:sz w:val="24"/>
          <w:szCs w:val="24"/>
        </w:rPr>
        <w:br/>
      </w:r>
      <w:r w:rsidR="000F50AA" w:rsidRPr="009A569B">
        <w:rPr>
          <w:rFonts w:ascii="Arial" w:hAnsi="Arial"/>
          <w:b w:val="0"/>
          <w:sz w:val="24"/>
          <w:szCs w:val="24"/>
        </w:rPr>
        <w:t>Subsection 51(2) of the APRA Act provides that a charge fixed under subsection 51(1)</w:t>
      </w:r>
      <w:r w:rsidR="004B7D58">
        <w:rPr>
          <w:rFonts w:ascii="Arial" w:hAnsi="Arial"/>
          <w:b w:val="0"/>
          <w:sz w:val="24"/>
          <w:szCs w:val="24"/>
        </w:rPr>
        <w:t xml:space="preserve"> of the APRA Act</w:t>
      </w:r>
      <w:r w:rsidR="000F50AA" w:rsidRPr="009A569B">
        <w:rPr>
          <w:rFonts w:ascii="Arial" w:hAnsi="Arial"/>
          <w:b w:val="0"/>
          <w:sz w:val="24"/>
          <w:szCs w:val="24"/>
        </w:rPr>
        <w:t xml:space="preserve"> must be reasonably related to the costs and expenses incurred or to be incurred in </w:t>
      </w:r>
      <w:r w:rsidR="00D42566">
        <w:rPr>
          <w:rFonts w:ascii="Arial" w:hAnsi="Arial"/>
          <w:b w:val="0"/>
          <w:sz w:val="24"/>
          <w:szCs w:val="24"/>
        </w:rPr>
        <w:t>r</w:t>
      </w:r>
      <w:r w:rsidR="000F50AA" w:rsidRPr="009A569B">
        <w:rPr>
          <w:rFonts w:ascii="Arial" w:hAnsi="Arial"/>
          <w:b w:val="0"/>
          <w:sz w:val="24"/>
          <w:szCs w:val="24"/>
        </w:rPr>
        <w:t>elation to the matters to which the charge relates and must not be such as to amount to taxation.</w:t>
      </w:r>
    </w:p>
    <w:p w14:paraId="5C8568EE" w14:textId="77777777" w:rsidR="00FF5051" w:rsidRPr="009A569B" w:rsidRDefault="00FF5051" w:rsidP="00D42566">
      <w:pPr>
        <w:pStyle w:val="Heading"/>
        <w:spacing w:before="0" w:after="0"/>
        <w:jc w:val="both"/>
        <w:rPr>
          <w:rFonts w:ascii="Arial" w:hAnsi="Arial"/>
          <w:b w:val="0"/>
          <w:sz w:val="24"/>
          <w:szCs w:val="24"/>
        </w:rPr>
      </w:pPr>
    </w:p>
    <w:p w14:paraId="26CC73A9" w14:textId="1DC5F200" w:rsidR="00D77DCD" w:rsidRPr="0018454A" w:rsidRDefault="00580EB9" w:rsidP="0018454A">
      <w:pPr>
        <w:pStyle w:val="Heading"/>
        <w:spacing w:before="0" w:after="240" w:line="276" w:lineRule="auto"/>
        <w:jc w:val="both"/>
        <w:rPr>
          <w:rFonts w:ascii="Arial" w:hAnsi="Arial"/>
          <w:b w:val="0"/>
          <w:sz w:val="24"/>
          <w:szCs w:val="24"/>
        </w:rPr>
      </w:pPr>
      <w:r w:rsidRPr="009A569B">
        <w:rPr>
          <w:rFonts w:ascii="Arial" w:hAnsi="Arial"/>
          <w:b w:val="0"/>
          <w:i/>
          <w:sz w:val="24"/>
          <w:szCs w:val="24"/>
        </w:rPr>
        <w:t>Factual background</w:t>
      </w:r>
    </w:p>
    <w:p w14:paraId="008607A3" w14:textId="77777777" w:rsidR="003D361D" w:rsidRDefault="00785721" w:rsidP="003D361D">
      <w:pPr>
        <w:pStyle w:val="Heading"/>
        <w:keepNext w:val="0"/>
        <w:spacing w:before="0" w:after="120"/>
        <w:jc w:val="both"/>
        <w:rPr>
          <w:rFonts w:ascii="Arial" w:hAnsi="Arial"/>
          <w:b w:val="0"/>
          <w:sz w:val="24"/>
          <w:szCs w:val="24"/>
        </w:rPr>
      </w:pPr>
      <w:r w:rsidRPr="009A569B">
        <w:rPr>
          <w:rFonts w:ascii="Arial" w:hAnsi="Arial"/>
          <w:b w:val="0"/>
          <w:sz w:val="24"/>
          <w:szCs w:val="24"/>
        </w:rPr>
        <w:t xml:space="preserve">APRA has been providing statistical information to the </w:t>
      </w:r>
      <w:smartTag w:uri="urn:schemas-microsoft-com:office:smarttags" w:element="stockticker">
        <w:r w:rsidRPr="009A569B">
          <w:rPr>
            <w:rFonts w:ascii="Arial" w:hAnsi="Arial"/>
            <w:b w:val="0"/>
            <w:sz w:val="24"/>
            <w:szCs w:val="24"/>
          </w:rPr>
          <w:t>RBA</w:t>
        </w:r>
      </w:smartTag>
      <w:r w:rsidRPr="009A569B">
        <w:rPr>
          <w:rFonts w:ascii="Arial" w:hAnsi="Arial"/>
          <w:b w:val="0"/>
          <w:sz w:val="24"/>
          <w:szCs w:val="24"/>
        </w:rPr>
        <w:t xml:space="preserve"> and ABS</w:t>
      </w:r>
      <w:r w:rsidR="0010646F">
        <w:rPr>
          <w:rFonts w:ascii="Arial" w:hAnsi="Arial"/>
          <w:b w:val="0"/>
          <w:sz w:val="24"/>
          <w:szCs w:val="24"/>
        </w:rPr>
        <w:t xml:space="preserve"> since</w:t>
      </w:r>
      <w:r w:rsidR="00E5534F" w:rsidRPr="009A569B">
        <w:rPr>
          <w:rFonts w:ascii="Arial" w:hAnsi="Arial"/>
          <w:b w:val="0"/>
          <w:sz w:val="24"/>
          <w:szCs w:val="24"/>
        </w:rPr>
        <w:t xml:space="preserve"> 2002</w:t>
      </w:r>
      <w:r w:rsidR="00D3039D">
        <w:rPr>
          <w:rFonts w:ascii="Arial" w:hAnsi="Arial"/>
          <w:b w:val="0"/>
          <w:sz w:val="24"/>
          <w:szCs w:val="24"/>
        </w:rPr>
        <w:t xml:space="preserve"> and</w:t>
      </w:r>
      <w:r w:rsidR="000E7DBD">
        <w:rPr>
          <w:rFonts w:ascii="Arial" w:hAnsi="Arial"/>
          <w:b w:val="0"/>
          <w:sz w:val="24"/>
          <w:szCs w:val="24"/>
        </w:rPr>
        <w:t xml:space="preserve"> </w:t>
      </w:r>
      <w:r w:rsidR="00D3039D">
        <w:rPr>
          <w:rFonts w:ascii="Arial" w:hAnsi="Arial"/>
          <w:b w:val="0"/>
          <w:sz w:val="24"/>
          <w:szCs w:val="24"/>
        </w:rPr>
        <w:t xml:space="preserve">has been </w:t>
      </w:r>
      <w:r w:rsidR="00886B47" w:rsidRPr="009A569B">
        <w:rPr>
          <w:rFonts w:ascii="Arial" w:hAnsi="Arial"/>
          <w:b w:val="0"/>
          <w:sz w:val="24"/>
          <w:szCs w:val="24"/>
        </w:rPr>
        <w:t>impos</w:t>
      </w:r>
      <w:r w:rsidR="00D3039D">
        <w:rPr>
          <w:rFonts w:ascii="Arial" w:hAnsi="Arial"/>
          <w:b w:val="0"/>
          <w:sz w:val="24"/>
          <w:szCs w:val="24"/>
        </w:rPr>
        <w:t>ing</w:t>
      </w:r>
      <w:r w:rsidR="00886B47" w:rsidRPr="009A569B">
        <w:rPr>
          <w:rFonts w:ascii="Arial" w:hAnsi="Arial"/>
          <w:b w:val="0"/>
          <w:sz w:val="24"/>
          <w:szCs w:val="24"/>
        </w:rPr>
        <w:t xml:space="preserve"> charges for providing this information</w:t>
      </w:r>
      <w:r w:rsidRPr="009A569B">
        <w:rPr>
          <w:rFonts w:ascii="Arial" w:hAnsi="Arial"/>
          <w:b w:val="0"/>
          <w:sz w:val="24"/>
          <w:szCs w:val="24"/>
        </w:rPr>
        <w:t xml:space="preserve"> under paragraph 51(1)(a) of</w:t>
      </w:r>
      <w:r w:rsidR="00DA165C">
        <w:rPr>
          <w:rFonts w:ascii="Arial" w:hAnsi="Arial"/>
          <w:b w:val="0"/>
          <w:sz w:val="24"/>
          <w:szCs w:val="24"/>
        </w:rPr>
        <w:t xml:space="preserve"> the APRA Act.</w:t>
      </w:r>
    </w:p>
    <w:p w14:paraId="4551D496" w14:textId="5EC72FFB" w:rsidR="00785721" w:rsidRPr="009A569B" w:rsidRDefault="00785721" w:rsidP="003D361D">
      <w:pPr>
        <w:pStyle w:val="Heading"/>
        <w:keepNext w:val="0"/>
        <w:spacing w:before="0" w:after="120"/>
        <w:jc w:val="both"/>
        <w:rPr>
          <w:rFonts w:ascii="Arial" w:hAnsi="Arial"/>
          <w:b w:val="0"/>
          <w:sz w:val="24"/>
          <w:szCs w:val="24"/>
        </w:rPr>
      </w:pPr>
      <w:r w:rsidRPr="009A569B">
        <w:rPr>
          <w:rFonts w:ascii="Arial" w:hAnsi="Arial"/>
          <w:b w:val="0"/>
          <w:sz w:val="24"/>
          <w:szCs w:val="24"/>
        </w:rPr>
        <w:lastRenderedPageBreak/>
        <w:t xml:space="preserve">Under the </w:t>
      </w:r>
      <w:r w:rsidRPr="009A569B">
        <w:rPr>
          <w:rFonts w:ascii="Arial" w:hAnsi="Arial"/>
          <w:b w:val="0"/>
          <w:i/>
          <w:sz w:val="24"/>
          <w:szCs w:val="24"/>
        </w:rPr>
        <w:t>Financial Sector (Collection of Data) Act 2001</w:t>
      </w:r>
      <w:r w:rsidRPr="009A569B">
        <w:rPr>
          <w:rFonts w:ascii="Arial" w:hAnsi="Arial"/>
          <w:b w:val="0"/>
          <w:sz w:val="24"/>
          <w:szCs w:val="24"/>
        </w:rPr>
        <w:t xml:space="preserve"> (the </w:t>
      </w:r>
      <w:r w:rsidRPr="009A569B">
        <w:rPr>
          <w:rFonts w:ascii="Arial" w:hAnsi="Arial"/>
          <w:i/>
          <w:sz w:val="24"/>
          <w:szCs w:val="24"/>
        </w:rPr>
        <w:t>Collection of Data Act</w:t>
      </w:r>
      <w:r w:rsidRPr="009A569B">
        <w:rPr>
          <w:rFonts w:ascii="Arial" w:hAnsi="Arial"/>
          <w:b w:val="0"/>
          <w:sz w:val="24"/>
          <w:szCs w:val="24"/>
        </w:rPr>
        <w:t>), APRA collects financial and other statistical information (</w:t>
      </w:r>
      <w:r w:rsidRPr="009A569B">
        <w:rPr>
          <w:rFonts w:ascii="Arial" w:hAnsi="Arial"/>
          <w:i/>
          <w:sz w:val="24"/>
          <w:szCs w:val="24"/>
        </w:rPr>
        <w:t>statistical information</w:t>
      </w:r>
      <w:r w:rsidRPr="009A569B">
        <w:rPr>
          <w:rFonts w:ascii="Arial" w:hAnsi="Arial"/>
          <w:b w:val="0"/>
          <w:sz w:val="24"/>
          <w:szCs w:val="24"/>
        </w:rPr>
        <w:t xml:space="preserve">) from superannuation entities, general insurers, life insurers, </w:t>
      </w:r>
      <w:r w:rsidR="00004C43">
        <w:rPr>
          <w:rFonts w:ascii="Arial" w:hAnsi="Arial"/>
          <w:b w:val="0"/>
          <w:sz w:val="24"/>
          <w:szCs w:val="24"/>
        </w:rPr>
        <w:t xml:space="preserve">private health insurers, </w:t>
      </w:r>
      <w:r w:rsidRPr="009A569B">
        <w:rPr>
          <w:rFonts w:ascii="Arial" w:hAnsi="Arial"/>
          <w:b w:val="0"/>
          <w:sz w:val="24"/>
          <w:szCs w:val="24"/>
        </w:rPr>
        <w:t>authorised deposit-taking institutions and registered finance corporation</w:t>
      </w:r>
      <w:r w:rsidR="00A13C4A" w:rsidRPr="009A569B">
        <w:rPr>
          <w:rFonts w:ascii="Arial" w:hAnsi="Arial"/>
          <w:b w:val="0"/>
          <w:sz w:val="24"/>
          <w:szCs w:val="24"/>
        </w:rPr>
        <w:t>s</w:t>
      </w:r>
      <w:r w:rsidRPr="009A569B">
        <w:rPr>
          <w:rFonts w:ascii="Arial" w:hAnsi="Arial"/>
          <w:b w:val="0"/>
          <w:sz w:val="24"/>
          <w:szCs w:val="24"/>
        </w:rPr>
        <w:t xml:space="preserve"> (collectively </w:t>
      </w:r>
      <w:r w:rsidRPr="009A569B">
        <w:rPr>
          <w:rFonts w:ascii="Arial" w:hAnsi="Arial"/>
          <w:i/>
          <w:sz w:val="24"/>
          <w:szCs w:val="24"/>
        </w:rPr>
        <w:t>financial sector entities</w:t>
      </w:r>
      <w:r w:rsidRPr="009A569B">
        <w:rPr>
          <w:rFonts w:ascii="Arial" w:hAnsi="Arial"/>
          <w:b w:val="0"/>
          <w:sz w:val="24"/>
          <w:szCs w:val="24"/>
        </w:rPr>
        <w:t>).</w:t>
      </w:r>
    </w:p>
    <w:p w14:paraId="6F5547B2" w14:textId="5F72DE70" w:rsidR="00785721" w:rsidRDefault="00785721" w:rsidP="00167A99">
      <w:pPr>
        <w:pStyle w:val="Heading"/>
        <w:rPr>
          <w:rFonts w:ascii="Arial" w:hAnsi="Arial"/>
          <w:b w:val="0"/>
          <w:sz w:val="24"/>
          <w:szCs w:val="24"/>
        </w:rPr>
      </w:pPr>
      <w:r w:rsidRPr="009A569B">
        <w:rPr>
          <w:rFonts w:ascii="Arial" w:hAnsi="Arial"/>
          <w:b w:val="0"/>
          <w:sz w:val="24"/>
          <w:szCs w:val="24"/>
        </w:rPr>
        <w:t xml:space="preserve">The statistical information that financial sector entities are required to lodge with APRA is prescribed by reporting standards that are made by APRA pursuant to the Collection of Data Act. The reporting standards detail the information required and are accompanied by forms into which the information </w:t>
      </w:r>
      <w:r w:rsidR="0023426D" w:rsidRPr="009A569B">
        <w:rPr>
          <w:rFonts w:ascii="Arial" w:hAnsi="Arial"/>
          <w:b w:val="0"/>
          <w:sz w:val="24"/>
          <w:szCs w:val="24"/>
        </w:rPr>
        <w:t>must</w:t>
      </w:r>
      <w:r w:rsidRPr="009A569B">
        <w:rPr>
          <w:rFonts w:ascii="Arial" w:hAnsi="Arial"/>
          <w:b w:val="0"/>
          <w:sz w:val="24"/>
          <w:szCs w:val="24"/>
        </w:rPr>
        <w:t xml:space="preserve"> be inserted.</w:t>
      </w:r>
    </w:p>
    <w:p w14:paraId="752FED20" w14:textId="5AF7BCB5" w:rsidR="00383D53" w:rsidRPr="003D361D" w:rsidRDefault="00383D53" w:rsidP="00BD4475">
      <w:pPr>
        <w:pStyle w:val="Heading"/>
        <w:jc w:val="both"/>
        <w:rPr>
          <w:rFonts w:ascii="Arial" w:hAnsi="Arial"/>
          <w:b w:val="0"/>
          <w:sz w:val="24"/>
          <w:szCs w:val="24"/>
        </w:rPr>
      </w:pPr>
      <w:r w:rsidRPr="00383D53">
        <w:rPr>
          <w:rFonts w:ascii="Arial" w:hAnsi="Arial"/>
          <w:b w:val="0"/>
          <w:i/>
          <w:sz w:val="24"/>
          <w:szCs w:val="24"/>
        </w:rPr>
        <w:t>Economic and Financial Statistics (EFS) collection</w:t>
      </w:r>
    </w:p>
    <w:p w14:paraId="35AC6343" w14:textId="54CC4B73" w:rsidR="00785721" w:rsidRPr="009A569B" w:rsidRDefault="00B56D08" w:rsidP="00BD4475">
      <w:pPr>
        <w:pStyle w:val="Heading"/>
        <w:jc w:val="both"/>
        <w:rPr>
          <w:rFonts w:ascii="Arial" w:hAnsi="Arial"/>
          <w:b w:val="0"/>
          <w:sz w:val="24"/>
          <w:szCs w:val="24"/>
        </w:rPr>
      </w:pPr>
      <w:r>
        <w:rPr>
          <w:rFonts w:ascii="Arial" w:hAnsi="Arial"/>
          <w:b w:val="0"/>
          <w:sz w:val="24"/>
          <w:szCs w:val="24"/>
        </w:rPr>
        <w:t>Between</w:t>
      </w:r>
      <w:r w:rsidR="00785721" w:rsidRPr="009A569B">
        <w:rPr>
          <w:rFonts w:ascii="Arial" w:hAnsi="Arial"/>
          <w:b w:val="0"/>
          <w:sz w:val="24"/>
          <w:szCs w:val="24"/>
        </w:rPr>
        <w:t xml:space="preserve"> 2000 and 2001, APRA </w:t>
      </w:r>
      <w:r w:rsidR="00BB6B6E" w:rsidRPr="009A569B">
        <w:rPr>
          <w:rFonts w:ascii="Arial" w:hAnsi="Arial"/>
          <w:b w:val="0"/>
          <w:sz w:val="24"/>
          <w:szCs w:val="24"/>
        </w:rPr>
        <w:t>implemented</w:t>
      </w:r>
      <w:r w:rsidR="00785721" w:rsidRPr="009A569B">
        <w:rPr>
          <w:rFonts w:ascii="Arial" w:hAnsi="Arial"/>
          <w:b w:val="0"/>
          <w:sz w:val="24"/>
          <w:szCs w:val="24"/>
        </w:rPr>
        <w:t xml:space="preserve"> a computer system designed and constructed to collect, store, and report the statistical information from financial sector entities. It is called @APRA. The @APRA system enables financial sector entities to lodge statistical information with APRA electronically, and it includes software which can be used to analyse and compile reports from the statistical information collected.</w:t>
      </w:r>
    </w:p>
    <w:p w14:paraId="3168D4E3" w14:textId="3C335A40" w:rsidR="00785721" w:rsidRPr="009A569B" w:rsidRDefault="00785721" w:rsidP="00BD4475">
      <w:pPr>
        <w:pStyle w:val="Heading"/>
        <w:jc w:val="both"/>
        <w:rPr>
          <w:rFonts w:ascii="Arial" w:hAnsi="Arial"/>
          <w:b w:val="0"/>
          <w:sz w:val="24"/>
          <w:szCs w:val="24"/>
        </w:rPr>
      </w:pPr>
      <w:r w:rsidRPr="009A569B">
        <w:rPr>
          <w:rFonts w:ascii="Arial" w:hAnsi="Arial"/>
          <w:b w:val="0"/>
          <w:sz w:val="24"/>
          <w:szCs w:val="24"/>
        </w:rPr>
        <w:t xml:space="preserve">Subsection 3(1) of the Collection of Data Act </w:t>
      </w:r>
      <w:r w:rsidR="00B055D4">
        <w:rPr>
          <w:rFonts w:ascii="Arial" w:hAnsi="Arial"/>
          <w:b w:val="0"/>
          <w:sz w:val="24"/>
          <w:szCs w:val="24"/>
        </w:rPr>
        <w:t xml:space="preserve">sets out </w:t>
      </w:r>
      <w:r w:rsidRPr="009A569B">
        <w:rPr>
          <w:rFonts w:ascii="Arial" w:hAnsi="Arial"/>
          <w:b w:val="0"/>
          <w:sz w:val="24"/>
          <w:szCs w:val="24"/>
        </w:rPr>
        <w:t>the purpose</w:t>
      </w:r>
      <w:r w:rsidR="00B055D4">
        <w:rPr>
          <w:rFonts w:ascii="Arial" w:hAnsi="Arial"/>
          <w:b w:val="0"/>
          <w:sz w:val="24"/>
          <w:szCs w:val="24"/>
        </w:rPr>
        <w:t>s</w:t>
      </w:r>
      <w:r w:rsidRPr="009A569B">
        <w:rPr>
          <w:rFonts w:ascii="Arial" w:hAnsi="Arial"/>
          <w:b w:val="0"/>
          <w:sz w:val="24"/>
          <w:szCs w:val="24"/>
        </w:rPr>
        <w:t xml:space="preserve"> for which statistical information is collected under that Act</w:t>
      </w:r>
      <w:r w:rsidR="00B055D4">
        <w:rPr>
          <w:rFonts w:ascii="Arial" w:hAnsi="Arial"/>
          <w:b w:val="0"/>
          <w:sz w:val="24"/>
          <w:szCs w:val="24"/>
        </w:rPr>
        <w:t>. Those purposes include</w:t>
      </w:r>
      <w:r w:rsidRPr="009A569B">
        <w:rPr>
          <w:rFonts w:ascii="Arial" w:hAnsi="Arial"/>
          <w:b w:val="0"/>
          <w:sz w:val="24"/>
          <w:szCs w:val="24"/>
        </w:rPr>
        <w:t xml:space="preserve"> to assist APRA in the prudential regulation of financial sector entities and to assist </w:t>
      </w:r>
      <w:r w:rsidR="00B72753">
        <w:rPr>
          <w:rFonts w:ascii="Arial" w:hAnsi="Arial"/>
          <w:b w:val="0"/>
          <w:sz w:val="24"/>
          <w:szCs w:val="24"/>
        </w:rPr>
        <w:t xml:space="preserve">other financial </w:t>
      </w:r>
      <w:r w:rsidR="000A6A53">
        <w:rPr>
          <w:rFonts w:ascii="Arial" w:hAnsi="Arial"/>
          <w:b w:val="0"/>
          <w:sz w:val="24"/>
          <w:szCs w:val="24"/>
        </w:rPr>
        <w:t xml:space="preserve">sector agencies (including the </w:t>
      </w:r>
      <w:r w:rsidR="007B1118">
        <w:rPr>
          <w:rFonts w:ascii="Arial" w:hAnsi="Arial"/>
          <w:b w:val="0"/>
          <w:sz w:val="24"/>
          <w:szCs w:val="24"/>
        </w:rPr>
        <w:t>Reserve Bank of Australia)</w:t>
      </w:r>
      <w:r w:rsidR="004C1C1D">
        <w:rPr>
          <w:rFonts w:ascii="Arial" w:hAnsi="Arial"/>
          <w:b w:val="0"/>
          <w:sz w:val="24"/>
          <w:szCs w:val="24"/>
        </w:rPr>
        <w:t xml:space="preserve"> to perform their functions or exercise their powers. </w:t>
      </w:r>
      <w:r w:rsidRPr="009A569B">
        <w:rPr>
          <w:rFonts w:ascii="Arial" w:hAnsi="Arial"/>
          <w:b w:val="0"/>
          <w:sz w:val="24"/>
          <w:szCs w:val="24"/>
        </w:rPr>
        <w:t xml:space="preserve">Also, as is implicitly acknowledged by subsection 56(5A) of the APRA Act, some of the statistical information will be relevant to the ABS’s function under the </w:t>
      </w:r>
      <w:r w:rsidRPr="009A569B">
        <w:rPr>
          <w:rFonts w:ascii="Arial" w:hAnsi="Arial"/>
          <w:b w:val="0"/>
          <w:i/>
          <w:sz w:val="24"/>
          <w:szCs w:val="24"/>
        </w:rPr>
        <w:t>Census and Statistics Act 1905</w:t>
      </w:r>
      <w:r w:rsidRPr="009A569B">
        <w:rPr>
          <w:rFonts w:ascii="Arial" w:hAnsi="Arial"/>
          <w:b w:val="0"/>
          <w:sz w:val="24"/>
          <w:szCs w:val="24"/>
        </w:rPr>
        <w:t xml:space="preserve"> of maintaining and disseminating statistics relating to the financial industry and the wider economy.</w:t>
      </w:r>
    </w:p>
    <w:p w14:paraId="4930DB2D" w14:textId="5C4E260D" w:rsidR="00785721" w:rsidRPr="009A569B" w:rsidRDefault="00785721" w:rsidP="00D77DCD">
      <w:pPr>
        <w:pStyle w:val="Heading"/>
        <w:jc w:val="both"/>
        <w:rPr>
          <w:rFonts w:ascii="Arial" w:hAnsi="Arial"/>
          <w:b w:val="0"/>
          <w:sz w:val="24"/>
          <w:szCs w:val="24"/>
        </w:rPr>
      </w:pPr>
      <w:r w:rsidRPr="009A569B">
        <w:rPr>
          <w:rFonts w:ascii="Arial" w:hAnsi="Arial"/>
          <w:b w:val="0"/>
          <w:sz w:val="24"/>
          <w:szCs w:val="24"/>
        </w:rPr>
        <w:t>Thus, as envisaged by the legislation, APRA shares the statistical information it collects with both the RBA and the ABS. The RBA and the ABS need specific kinds of statistical information from financial sector entities which APRA does not need and which it therefore would not otherwise collect for itself.  To enable such information to be obtained by the RBA and the ABS, APRA draws up reporting standards and accompanying forms which require financial sector entities to provide the information, collects it from them, and then supplies it to whichever of the two agencies has requested it, either in the form of standard statistics or customised reports.</w:t>
      </w:r>
    </w:p>
    <w:p w14:paraId="47181642" w14:textId="530ECA52" w:rsidR="00785721" w:rsidRDefault="00785721" w:rsidP="00BD4475">
      <w:pPr>
        <w:pStyle w:val="Heading"/>
        <w:jc w:val="both"/>
        <w:rPr>
          <w:rFonts w:ascii="Arial" w:hAnsi="Arial"/>
          <w:b w:val="0"/>
          <w:sz w:val="24"/>
          <w:szCs w:val="24"/>
        </w:rPr>
      </w:pPr>
      <w:r w:rsidRPr="009A569B">
        <w:rPr>
          <w:rFonts w:ascii="Arial" w:hAnsi="Arial"/>
          <w:b w:val="0"/>
          <w:sz w:val="24"/>
          <w:szCs w:val="24"/>
        </w:rPr>
        <w:t>This arrangement, under which APRA in effect collects statistical information from the whole financial sector and disseminates to the RBA and the ABS such of that information as each of them needs, is more efficient and cost-effective for all concerned than if the three agencies each individually collected their own information.  Financial sector entities save time and money by only having to provide one set of statistical information to one agency (APRA).  The RBA and the ABS also save considerable resources by not having to collect the statistical information themselves.</w:t>
      </w:r>
      <w:r w:rsidR="00280853">
        <w:rPr>
          <w:rFonts w:ascii="Arial" w:hAnsi="Arial"/>
          <w:b w:val="0"/>
          <w:sz w:val="24"/>
          <w:szCs w:val="24"/>
        </w:rPr>
        <w:br/>
      </w:r>
      <w:r w:rsidR="00280853">
        <w:rPr>
          <w:rFonts w:ascii="Arial" w:hAnsi="Arial"/>
          <w:b w:val="0"/>
          <w:sz w:val="24"/>
          <w:szCs w:val="24"/>
        </w:rPr>
        <w:br/>
      </w:r>
      <w:r w:rsidRPr="009A569B">
        <w:rPr>
          <w:rFonts w:ascii="Arial" w:hAnsi="Arial"/>
          <w:b w:val="0"/>
          <w:sz w:val="24"/>
          <w:szCs w:val="24"/>
        </w:rPr>
        <w:t xml:space="preserve">The statistical information that APRA is providing to the </w:t>
      </w:r>
      <w:smartTag w:uri="urn:schemas-microsoft-com:office:smarttags" w:element="stockticker">
        <w:r w:rsidRPr="009A569B">
          <w:rPr>
            <w:rFonts w:ascii="Arial" w:hAnsi="Arial"/>
            <w:b w:val="0"/>
            <w:sz w:val="24"/>
            <w:szCs w:val="24"/>
          </w:rPr>
          <w:t>RBA</w:t>
        </w:r>
      </w:smartTag>
      <w:r w:rsidRPr="009A569B">
        <w:rPr>
          <w:rFonts w:ascii="Arial" w:hAnsi="Arial"/>
          <w:b w:val="0"/>
          <w:sz w:val="24"/>
          <w:szCs w:val="24"/>
        </w:rPr>
        <w:t xml:space="preserve"> and the </w:t>
      </w:r>
      <w:smartTag w:uri="urn:schemas-microsoft-com:office:smarttags" w:element="stockticker">
        <w:r w:rsidRPr="009A569B">
          <w:rPr>
            <w:rFonts w:ascii="Arial" w:hAnsi="Arial"/>
            <w:b w:val="0"/>
            <w:sz w:val="24"/>
            <w:szCs w:val="24"/>
          </w:rPr>
          <w:t>ABS</w:t>
        </w:r>
      </w:smartTag>
      <w:r w:rsidRPr="009A569B">
        <w:rPr>
          <w:rFonts w:ascii="Arial" w:hAnsi="Arial"/>
          <w:b w:val="0"/>
          <w:sz w:val="24"/>
          <w:szCs w:val="24"/>
        </w:rPr>
        <w:t xml:space="preserve"> during the </w:t>
      </w:r>
      <w:r w:rsidR="00845C9F" w:rsidRPr="009A569B">
        <w:rPr>
          <w:rFonts w:ascii="Arial" w:hAnsi="Arial"/>
          <w:b w:val="0"/>
          <w:sz w:val="24"/>
          <w:szCs w:val="24"/>
        </w:rPr>
        <w:t>20</w:t>
      </w:r>
      <w:r w:rsidR="002F600D">
        <w:rPr>
          <w:rFonts w:ascii="Arial" w:hAnsi="Arial"/>
          <w:b w:val="0"/>
          <w:sz w:val="24"/>
          <w:szCs w:val="24"/>
        </w:rPr>
        <w:t>2</w:t>
      </w:r>
      <w:r w:rsidR="00764CA6">
        <w:rPr>
          <w:rFonts w:ascii="Arial" w:hAnsi="Arial"/>
          <w:b w:val="0"/>
          <w:sz w:val="24"/>
          <w:szCs w:val="24"/>
        </w:rPr>
        <w:t>4</w:t>
      </w:r>
      <w:r w:rsidR="00845C9F" w:rsidRPr="009A569B">
        <w:rPr>
          <w:rFonts w:ascii="Arial" w:hAnsi="Arial"/>
          <w:b w:val="0"/>
          <w:sz w:val="24"/>
          <w:szCs w:val="24"/>
        </w:rPr>
        <w:t>-</w:t>
      </w:r>
      <w:r w:rsidR="00290CD3">
        <w:rPr>
          <w:rFonts w:ascii="Arial" w:hAnsi="Arial"/>
          <w:b w:val="0"/>
          <w:sz w:val="24"/>
          <w:szCs w:val="24"/>
        </w:rPr>
        <w:t>2</w:t>
      </w:r>
      <w:r w:rsidR="00764CA6">
        <w:rPr>
          <w:rFonts w:ascii="Arial" w:hAnsi="Arial"/>
          <w:b w:val="0"/>
          <w:sz w:val="24"/>
          <w:szCs w:val="24"/>
        </w:rPr>
        <w:t>5</w:t>
      </w:r>
      <w:r w:rsidRPr="009A569B">
        <w:rPr>
          <w:rFonts w:ascii="Arial" w:hAnsi="Arial"/>
          <w:b w:val="0"/>
          <w:sz w:val="24"/>
          <w:szCs w:val="24"/>
        </w:rPr>
        <w:t xml:space="preserve"> financial year is described in </w:t>
      </w:r>
      <w:r w:rsidR="00A90308" w:rsidRPr="009A569B">
        <w:rPr>
          <w:rFonts w:ascii="Arial" w:hAnsi="Arial"/>
          <w:b w:val="0"/>
          <w:sz w:val="24"/>
          <w:szCs w:val="24"/>
        </w:rPr>
        <w:t xml:space="preserve">the </w:t>
      </w:r>
      <w:r w:rsidRPr="009A569B">
        <w:rPr>
          <w:rFonts w:ascii="Arial" w:hAnsi="Arial"/>
          <w:b w:val="0"/>
          <w:sz w:val="24"/>
          <w:szCs w:val="24"/>
        </w:rPr>
        <w:t xml:space="preserve">Schedules </w:t>
      </w:r>
      <w:r w:rsidR="00A90308" w:rsidRPr="009A569B">
        <w:rPr>
          <w:rFonts w:ascii="Arial" w:hAnsi="Arial"/>
          <w:b w:val="0"/>
          <w:sz w:val="24"/>
          <w:szCs w:val="24"/>
        </w:rPr>
        <w:t>attached to</w:t>
      </w:r>
      <w:r w:rsidRPr="009A569B">
        <w:rPr>
          <w:rFonts w:ascii="Arial" w:hAnsi="Arial"/>
          <w:b w:val="0"/>
          <w:sz w:val="24"/>
          <w:szCs w:val="24"/>
        </w:rPr>
        <w:t xml:space="preserve"> the instrument.</w:t>
      </w:r>
      <w:r w:rsidR="00540E72" w:rsidRPr="00540E72">
        <w:rPr>
          <w:rFonts w:ascii="Arial" w:hAnsi="Arial"/>
          <w:b w:val="0"/>
          <w:sz w:val="24"/>
          <w:szCs w:val="24"/>
        </w:rPr>
        <w:t xml:space="preserve"> </w:t>
      </w:r>
      <w:r w:rsidR="00540E72" w:rsidRPr="009A569B">
        <w:rPr>
          <w:rFonts w:ascii="Arial" w:hAnsi="Arial"/>
          <w:b w:val="0"/>
          <w:sz w:val="24"/>
          <w:szCs w:val="24"/>
        </w:rPr>
        <w:t xml:space="preserve">The </w:t>
      </w:r>
      <w:r w:rsidR="00540E72" w:rsidRPr="009A569B">
        <w:rPr>
          <w:rFonts w:ascii="Arial" w:hAnsi="Arial"/>
          <w:b w:val="0"/>
          <w:sz w:val="24"/>
          <w:szCs w:val="24"/>
        </w:rPr>
        <w:lastRenderedPageBreak/>
        <w:t>statistical information is provided to the two agencies at their request, and they have agreed to pay the charges for it that are fixed by the instrument.</w:t>
      </w:r>
    </w:p>
    <w:p w14:paraId="020EE1AB" w14:textId="21EADFFF" w:rsidR="00383D53" w:rsidRPr="00FF5051" w:rsidRDefault="00F244DD" w:rsidP="00383D53">
      <w:pPr>
        <w:pStyle w:val="Heading"/>
        <w:jc w:val="both"/>
        <w:rPr>
          <w:rFonts w:ascii="Arial" w:hAnsi="Arial"/>
          <w:b w:val="0"/>
          <w:sz w:val="24"/>
          <w:szCs w:val="24"/>
        </w:rPr>
      </w:pPr>
      <w:r w:rsidRPr="00FF5051">
        <w:rPr>
          <w:rFonts w:ascii="Arial" w:hAnsi="Arial"/>
          <w:b w:val="0"/>
          <w:i/>
          <w:sz w:val="24"/>
          <w:szCs w:val="24"/>
        </w:rPr>
        <w:t xml:space="preserve">APRA and </w:t>
      </w:r>
      <w:r w:rsidR="006465E4" w:rsidRPr="00FF5051">
        <w:rPr>
          <w:rFonts w:ascii="Arial" w:hAnsi="Arial"/>
          <w:b w:val="0"/>
          <w:i/>
          <w:sz w:val="24"/>
          <w:szCs w:val="24"/>
        </w:rPr>
        <w:t xml:space="preserve">the </w:t>
      </w:r>
      <w:r w:rsidRPr="00FF5051">
        <w:rPr>
          <w:rFonts w:ascii="Arial" w:hAnsi="Arial"/>
          <w:b w:val="0"/>
          <w:i/>
          <w:sz w:val="24"/>
          <w:szCs w:val="24"/>
        </w:rPr>
        <w:t>RBA</w:t>
      </w:r>
      <w:r w:rsidR="004F4A60" w:rsidRPr="00FF5051">
        <w:rPr>
          <w:rFonts w:ascii="Arial" w:hAnsi="Arial"/>
          <w:b w:val="0"/>
          <w:i/>
          <w:sz w:val="24"/>
          <w:szCs w:val="24"/>
        </w:rPr>
        <w:t xml:space="preserve"> Application Programming Interfaces (APIs) </w:t>
      </w:r>
    </w:p>
    <w:p w14:paraId="407CD9EA" w14:textId="571AB294" w:rsidR="00231875" w:rsidRPr="00FF5051" w:rsidRDefault="00F80D98" w:rsidP="00BD4475">
      <w:pPr>
        <w:pStyle w:val="Heading"/>
        <w:jc w:val="both"/>
        <w:rPr>
          <w:rFonts w:ascii="Arial" w:hAnsi="Arial"/>
          <w:b w:val="0"/>
          <w:sz w:val="24"/>
          <w:szCs w:val="24"/>
        </w:rPr>
      </w:pPr>
      <w:r w:rsidRPr="00FF5051">
        <w:rPr>
          <w:rFonts w:ascii="Arial" w:hAnsi="Arial"/>
          <w:b w:val="0"/>
          <w:sz w:val="24"/>
          <w:szCs w:val="24"/>
        </w:rPr>
        <w:t xml:space="preserve">Since </w:t>
      </w:r>
      <w:r w:rsidR="00391576" w:rsidRPr="00FF5051">
        <w:rPr>
          <w:rFonts w:ascii="Arial" w:hAnsi="Arial"/>
          <w:b w:val="0"/>
          <w:sz w:val="24"/>
          <w:szCs w:val="24"/>
        </w:rPr>
        <w:t>202</w:t>
      </w:r>
      <w:r w:rsidR="00D077F4" w:rsidRPr="00FF5051">
        <w:rPr>
          <w:rFonts w:ascii="Arial" w:hAnsi="Arial"/>
          <w:b w:val="0"/>
          <w:sz w:val="24"/>
          <w:szCs w:val="24"/>
        </w:rPr>
        <w:t xml:space="preserve">0, APRA </w:t>
      </w:r>
      <w:r w:rsidR="0041076D" w:rsidRPr="00FF5051">
        <w:rPr>
          <w:rFonts w:ascii="Arial" w:hAnsi="Arial"/>
          <w:b w:val="0"/>
          <w:sz w:val="24"/>
          <w:szCs w:val="24"/>
        </w:rPr>
        <w:t>built</w:t>
      </w:r>
      <w:r w:rsidR="00DA2056" w:rsidRPr="00FF5051">
        <w:rPr>
          <w:rFonts w:ascii="Arial" w:hAnsi="Arial"/>
          <w:b w:val="0"/>
          <w:sz w:val="24"/>
          <w:szCs w:val="24"/>
        </w:rPr>
        <w:t xml:space="preserve"> </w:t>
      </w:r>
      <w:r w:rsidR="00383D53" w:rsidRPr="00FF5051">
        <w:rPr>
          <w:rFonts w:ascii="Arial" w:hAnsi="Arial"/>
          <w:b w:val="0"/>
          <w:sz w:val="24"/>
          <w:szCs w:val="24"/>
        </w:rPr>
        <w:t xml:space="preserve">several </w:t>
      </w:r>
      <w:r w:rsidR="00D077F4" w:rsidRPr="00FF5051">
        <w:rPr>
          <w:rFonts w:ascii="Arial" w:hAnsi="Arial"/>
          <w:b w:val="0"/>
          <w:sz w:val="24"/>
          <w:szCs w:val="24"/>
        </w:rPr>
        <w:t>application programming interfaces (APIs)</w:t>
      </w:r>
      <w:r w:rsidR="00383D53" w:rsidRPr="00FF5051">
        <w:rPr>
          <w:rFonts w:ascii="Arial" w:hAnsi="Arial"/>
          <w:b w:val="0"/>
          <w:sz w:val="24"/>
          <w:szCs w:val="24"/>
        </w:rPr>
        <w:t xml:space="preserve"> </w:t>
      </w:r>
      <w:r w:rsidR="004F4A60" w:rsidRPr="00FF5051">
        <w:rPr>
          <w:rFonts w:ascii="Arial" w:hAnsi="Arial"/>
          <w:b w:val="0"/>
          <w:sz w:val="24"/>
          <w:szCs w:val="24"/>
        </w:rPr>
        <w:t xml:space="preserve">to </w:t>
      </w:r>
      <w:r w:rsidR="00231875" w:rsidRPr="00FF5051">
        <w:rPr>
          <w:rFonts w:ascii="Arial" w:hAnsi="Arial"/>
          <w:b w:val="0"/>
          <w:sz w:val="24"/>
          <w:szCs w:val="24"/>
        </w:rPr>
        <w:t xml:space="preserve">enable the </w:t>
      </w:r>
      <w:r w:rsidR="0041076D" w:rsidRPr="00FF5051">
        <w:rPr>
          <w:rFonts w:ascii="Arial" w:hAnsi="Arial"/>
          <w:b w:val="0"/>
          <w:sz w:val="24"/>
          <w:szCs w:val="24"/>
        </w:rPr>
        <w:t>compatibility</w:t>
      </w:r>
      <w:r w:rsidR="00231875" w:rsidRPr="00FF5051">
        <w:rPr>
          <w:rFonts w:ascii="Arial" w:hAnsi="Arial"/>
          <w:b w:val="0"/>
          <w:sz w:val="24"/>
          <w:szCs w:val="24"/>
        </w:rPr>
        <w:t xml:space="preserve"> of </w:t>
      </w:r>
      <w:r w:rsidR="00D545F4" w:rsidRPr="00FF5051">
        <w:rPr>
          <w:rFonts w:ascii="Arial" w:hAnsi="Arial"/>
          <w:b w:val="0"/>
          <w:sz w:val="24"/>
          <w:szCs w:val="24"/>
        </w:rPr>
        <w:t>the RBA’s</w:t>
      </w:r>
      <w:r w:rsidR="00231875" w:rsidRPr="00FF5051">
        <w:rPr>
          <w:rFonts w:ascii="Arial" w:hAnsi="Arial"/>
          <w:b w:val="0"/>
          <w:sz w:val="24"/>
          <w:szCs w:val="24"/>
        </w:rPr>
        <w:t xml:space="preserve"> data warehousing system with APRA</w:t>
      </w:r>
      <w:r w:rsidR="00D545F4" w:rsidRPr="00FF5051">
        <w:rPr>
          <w:rFonts w:ascii="Arial" w:hAnsi="Arial"/>
          <w:b w:val="0"/>
          <w:sz w:val="24"/>
          <w:szCs w:val="24"/>
        </w:rPr>
        <w:t>’</w:t>
      </w:r>
      <w:r w:rsidR="00231875" w:rsidRPr="00FF5051">
        <w:rPr>
          <w:rFonts w:ascii="Arial" w:hAnsi="Arial"/>
          <w:b w:val="0"/>
          <w:sz w:val="24"/>
          <w:szCs w:val="24"/>
        </w:rPr>
        <w:t xml:space="preserve">s new Data </w:t>
      </w:r>
      <w:r w:rsidR="0041076D" w:rsidRPr="00FF5051">
        <w:rPr>
          <w:rFonts w:ascii="Arial" w:hAnsi="Arial"/>
          <w:b w:val="0"/>
          <w:sz w:val="24"/>
          <w:szCs w:val="24"/>
        </w:rPr>
        <w:t xml:space="preserve">collection </w:t>
      </w:r>
      <w:r w:rsidR="00D545F4" w:rsidRPr="00FF5051">
        <w:rPr>
          <w:rFonts w:ascii="Arial" w:hAnsi="Arial"/>
          <w:b w:val="0"/>
          <w:sz w:val="24"/>
          <w:szCs w:val="24"/>
        </w:rPr>
        <w:t>platform</w:t>
      </w:r>
      <w:r w:rsidR="00231875" w:rsidRPr="00FF5051">
        <w:rPr>
          <w:rFonts w:ascii="Arial" w:hAnsi="Arial"/>
          <w:b w:val="0"/>
          <w:sz w:val="24"/>
          <w:szCs w:val="24"/>
        </w:rPr>
        <w:t xml:space="preserve"> and associated taxonomy, while also ensuring an appropriate level of coupling between</w:t>
      </w:r>
      <w:r w:rsidR="00157603" w:rsidRPr="00FF5051">
        <w:rPr>
          <w:rFonts w:ascii="Arial" w:hAnsi="Arial"/>
          <w:b w:val="0"/>
          <w:sz w:val="24"/>
          <w:szCs w:val="24"/>
        </w:rPr>
        <w:t xml:space="preserve"> the RBA and APRA </w:t>
      </w:r>
      <w:r w:rsidR="00231875" w:rsidRPr="00FF5051">
        <w:rPr>
          <w:rFonts w:ascii="Arial" w:hAnsi="Arial"/>
          <w:b w:val="0"/>
          <w:sz w:val="24"/>
          <w:szCs w:val="24"/>
        </w:rPr>
        <w:t xml:space="preserve">systems. </w:t>
      </w:r>
    </w:p>
    <w:p w14:paraId="4CB3B731" w14:textId="7792B973" w:rsidR="00391576" w:rsidRPr="00FF5051" w:rsidRDefault="00D545F4" w:rsidP="00231875">
      <w:pPr>
        <w:pStyle w:val="Heading"/>
        <w:jc w:val="both"/>
        <w:rPr>
          <w:rFonts w:ascii="Arial" w:hAnsi="Arial"/>
          <w:b w:val="0"/>
          <w:sz w:val="24"/>
          <w:szCs w:val="24"/>
        </w:rPr>
      </w:pPr>
      <w:r w:rsidRPr="00FF5051">
        <w:rPr>
          <w:rFonts w:ascii="Arial" w:hAnsi="Arial"/>
          <w:b w:val="0"/>
          <w:sz w:val="24"/>
          <w:szCs w:val="24"/>
        </w:rPr>
        <w:t xml:space="preserve">The </w:t>
      </w:r>
      <w:r w:rsidR="0041076D" w:rsidRPr="00FF5051">
        <w:rPr>
          <w:rFonts w:ascii="Arial" w:hAnsi="Arial"/>
          <w:b w:val="0"/>
          <w:sz w:val="24"/>
          <w:szCs w:val="24"/>
        </w:rPr>
        <w:t>main objectives</w:t>
      </w:r>
      <w:r w:rsidRPr="00FF5051">
        <w:rPr>
          <w:rFonts w:ascii="Arial" w:hAnsi="Arial"/>
          <w:b w:val="0"/>
          <w:sz w:val="24"/>
          <w:szCs w:val="24"/>
        </w:rPr>
        <w:t xml:space="preserve"> of these APIs </w:t>
      </w:r>
      <w:r w:rsidR="0041076D" w:rsidRPr="00FF5051">
        <w:rPr>
          <w:rFonts w:ascii="Arial" w:hAnsi="Arial"/>
          <w:b w:val="0"/>
          <w:sz w:val="24"/>
          <w:szCs w:val="24"/>
        </w:rPr>
        <w:t>are to mi</w:t>
      </w:r>
      <w:r w:rsidRPr="00FF5051">
        <w:rPr>
          <w:rFonts w:ascii="Arial" w:hAnsi="Arial"/>
          <w:b w:val="0"/>
          <w:sz w:val="24"/>
          <w:szCs w:val="24"/>
        </w:rPr>
        <w:t>nimi</w:t>
      </w:r>
      <w:r w:rsidR="0041076D" w:rsidRPr="00FF5051">
        <w:rPr>
          <w:rFonts w:ascii="Arial" w:hAnsi="Arial"/>
          <w:b w:val="0"/>
          <w:sz w:val="24"/>
          <w:szCs w:val="24"/>
        </w:rPr>
        <w:t>s</w:t>
      </w:r>
      <w:r w:rsidRPr="00FF5051">
        <w:rPr>
          <w:rFonts w:ascii="Arial" w:hAnsi="Arial"/>
          <w:b w:val="0"/>
          <w:sz w:val="24"/>
          <w:szCs w:val="24"/>
        </w:rPr>
        <w:t xml:space="preserve">e the volume of load </w:t>
      </w:r>
      <w:r w:rsidR="0041076D" w:rsidRPr="00FF5051">
        <w:rPr>
          <w:rFonts w:ascii="Arial" w:hAnsi="Arial"/>
          <w:b w:val="0"/>
          <w:sz w:val="24"/>
          <w:szCs w:val="24"/>
        </w:rPr>
        <w:t xml:space="preserve">time data transformations required to enable the RBA’s analytical </w:t>
      </w:r>
      <w:r w:rsidR="00566B3C" w:rsidRPr="00FF5051">
        <w:rPr>
          <w:rFonts w:ascii="Arial" w:hAnsi="Arial"/>
          <w:b w:val="0"/>
          <w:sz w:val="24"/>
          <w:szCs w:val="24"/>
        </w:rPr>
        <w:t>capabilities, and to meet the current and future analytical and reporting needs of the RBA.</w:t>
      </w:r>
    </w:p>
    <w:p w14:paraId="62D40BC8" w14:textId="2B9C37F0" w:rsidR="00391576" w:rsidRPr="00FF5051" w:rsidRDefault="009506E9" w:rsidP="00BD4475">
      <w:pPr>
        <w:pStyle w:val="Heading"/>
        <w:jc w:val="both"/>
        <w:rPr>
          <w:rFonts w:ascii="Arial" w:hAnsi="Arial"/>
          <w:b w:val="0"/>
          <w:sz w:val="24"/>
          <w:szCs w:val="24"/>
        </w:rPr>
      </w:pPr>
      <w:r w:rsidRPr="00FF5051">
        <w:rPr>
          <w:rFonts w:ascii="Arial" w:hAnsi="Arial"/>
          <w:b w:val="0"/>
          <w:sz w:val="24"/>
          <w:szCs w:val="24"/>
        </w:rPr>
        <w:t xml:space="preserve">APRA </w:t>
      </w:r>
      <w:r w:rsidR="00357301" w:rsidRPr="00FF5051">
        <w:rPr>
          <w:rFonts w:ascii="Arial" w:hAnsi="Arial"/>
          <w:b w:val="0"/>
          <w:sz w:val="24"/>
          <w:szCs w:val="24"/>
        </w:rPr>
        <w:t xml:space="preserve">maintains and provides support </w:t>
      </w:r>
      <w:r w:rsidR="002C07E7" w:rsidRPr="00FF5051">
        <w:rPr>
          <w:rFonts w:ascii="Arial" w:hAnsi="Arial"/>
          <w:b w:val="0"/>
          <w:sz w:val="24"/>
          <w:szCs w:val="24"/>
        </w:rPr>
        <w:t>for the APIs</w:t>
      </w:r>
      <w:r w:rsidR="00E96947" w:rsidRPr="00FF5051">
        <w:rPr>
          <w:rFonts w:ascii="Arial" w:hAnsi="Arial"/>
          <w:b w:val="0"/>
          <w:sz w:val="24"/>
          <w:szCs w:val="24"/>
        </w:rPr>
        <w:t>, includi</w:t>
      </w:r>
      <w:r w:rsidR="0096549C" w:rsidRPr="00FF5051">
        <w:rPr>
          <w:rFonts w:ascii="Arial" w:hAnsi="Arial"/>
          <w:b w:val="0"/>
          <w:sz w:val="24"/>
          <w:szCs w:val="24"/>
        </w:rPr>
        <w:t>ng</w:t>
      </w:r>
      <w:r w:rsidR="00E96947" w:rsidRPr="00FF5051">
        <w:rPr>
          <w:rFonts w:ascii="Arial" w:hAnsi="Arial"/>
          <w:b w:val="0"/>
          <w:sz w:val="24"/>
          <w:szCs w:val="24"/>
        </w:rPr>
        <w:t xml:space="preserve"> </w:t>
      </w:r>
      <w:r w:rsidR="007D3CD2" w:rsidRPr="00FF5051">
        <w:rPr>
          <w:rFonts w:ascii="Arial" w:hAnsi="Arial"/>
          <w:b w:val="0"/>
          <w:sz w:val="24"/>
          <w:szCs w:val="24"/>
        </w:rPr>
        <w:t>enhancement</w:t>
      </w:r>
      <w:r w:rsidR="00E96947" w:rsidRPr="00FF5051">
        <w:rPr>
          <w:rFonts w:ascii="Arial" w:hAnsi="Arial"/>
          <w:b w:val="0"/>
          <w:sz w:val="24"/>
          <w:szCs w:val="24"/>
        </w:rPr>
        <w:t xml:space="preserve"> and remediation work</w:t>
      </w:r>
      <w:r w:rsidR="008765BE" w:rsidRPr="00FF5051">
        <w:rPr>
          <w:rFonts w:ascii="Arial" w:hAnsi="Arial"/>
          <w:b w:val="0"/>
          <w:sz w:val="24"/>
          <w:szCs w:val="24"/>
        </w:rPr>
        <w:t xml:space="preserve">, </w:t>
      </w:r>
      <w:r w:rsidR="007D3CD2" w:rsidRPr="00FF5051">
        <w:rPr>
          <w:rFonts w:ascii="Arial" w:hAnsi="Arial"/>
          <w:b w:val="0"/>
          <w:sz w:val="24"/>
          <w:szCs w:val="24"/>
        </w:rPr>
        <w:t>on</w:t>
      </w:r>
      <w:r w:rsidR="008765BE" w:rsidRPr="00FF5051">
        <w:rPr>
          <w:rFonts w:ascii="Arial" w:hAnsi="Arial"/>
          <w:b w:val="0"/>
          <w:sz w:val="24"/>
          <w:szCs w:val="24"/>
        </w:rPr>
        <w:t xml:space="preserve"> an ongoing basis.</w:t>
      </w:r>
    </w:p>
    <w:p w14:paraId="054F0689" w14:textId="191A15E8" w:rsidR="00785721" w:rsidRPr="009A569B" w:rsidRDefault="00785721" w:rsidP="00BD4475">
      <w:pPr>
        <w:pStyle w:val="Heading"/>
        <w:ind w:left="540" w:hanging="540"/>
        <w:rPr>
          <w:rFonts w:ascii="Arial" w:hAnsi="Arial"/>
          <w:sz w:val="24"/>
          <w:szCs w:val="24"/>
        </w:rPr>
      </w:pPr>
      <w:bookmarkStart w:id="5" w:name="bk3Operation"/>
      <w:r w:rsidRPr="009A569B">
        <w:rPr>
          <w:rFonts w:ascii="Arial" w:hAnsi="Arial"/>
          <w:sz w:val="24"/>
          <w:szCs w:val="24"/>
        </w:rPr>
        <w:t>2.</w:t>
      </w:r>
      <w:r w:rsidR="0083482E" w:rsidRPr="009A569B">
        <w:rPr>
          <w:rFonts w:ascii="Arial" w:hAnsi="Arial"/>
          <w:sz w:val="24"/>
          <w:szCs w:val="24"/>
        </w:rPr>
        <w:t xml:space="preserve">     </w:t>
      </w:r>
      <w:r w:rsidR="00C62FA1" w:rsidRPr="009A569B">
        <w:rPr>
          <w:rFonts w:ascii="Arial" w:hAnsi="Arial"/>
          <w:sz w:val="24"/>
          <w:szCs w:val="24"/>
        </w:rPr>
        <w:t xml:space="preserve"> </w:t>
      </w:r>
      <w:r w:rsidR="00781871">
        <w:rPr>
          <w:rFonts w:ascii="Arial" w:hAnsi="Arial"/>
          <w:sz w:val="24"/>
          <w:szCs w:val="24"/>
        </w:rPr>
        <w:t>Purpose and o</w:t>
      </w:r>
      <w:r w:rsidR="008B7528" w:rsidRPr="009A569B">
        <w:rPr>
          <w:rFonts w:ascii="Arial" w:hAnsi="Arial"/>
          <w:sz w:val="24"/>
          <w:szCs w:val="24"/>
        </w:rPr>
        <w:t>peration of the instrument</w:t>
      </w:r>
      <w:bookmarkStart w:id="6" w:name="bkoperation"/>
      <w:bookmarkStart w:id="7" w:name="bkRISNO"/>
      <w:bookmarkEnd w:id="5"/>
      <w:bookmarkEnd w:id="6"/>
      <w:bookmarkEnd w:id="7"/>
    </w:p>
    <w:p w14:paraId="37FB01F1" w14:textId="6A1D1F82" w:rsidR="00781871" w:rsidRDefault="00CE3498" w:rsidP="00EA764F">
      <w:pPr>
        <w:pStyle w:val="Heading"/>
        <w:jc w:val="both"/>
        <w:rPr>
          <w:rFonts w:ascii="Arial" w:hAnsi="Arial"/>
          <w:b w:val="0"/>
          <w:sz w:val="24"/>
          <w:szCs w:val="24"/>
        </w:rPr>
      </w:pPr>
      <w:r>
        <w:rPr>
          <w:rFonts w:ascii="Arial" w:hAnsi="Arial"/>
          <w:b w:val="0"/>
          <w:sz w:val="24"/>
          <w:szCs w:val="24"/>
        </w:rPr>
        <w:t>The</w:t>
      </w:r>
      <w:r w:rsidR="00781871">
        <w:rPr>
          <w:rFonts w:ascii="Arial" w:hAnsi="Arial"/>
          <w:b w:val="0"/>
          <w:sz w:val="24"/>
          <w:szCs w:val="24"/>
        </w:rPr>
        <w:t xml:space="preserve"> instrument </w:t>
      </w:r>
      <w:r w:rsidR="009E11C5">
        <w:rPr>
          <w:rFonts w:ascii="Arial" w:hAnsi="Arial"/>
          <w:b w:val="0"/>
          <w:sz w:val="24"/>
          <w:szCs w:val="24"/>
        </w:rPr>
        <w:t>fixes</w:t>
      </w:r>
      <w:r w:rsidR="00DD6BA9">
        <w:rPr>
          <w:rFonts w:ascii="Arial" w:hAnsi="Arial"/>
          <w:b w:val="0"/>
          <w:sz w:val="24"/>
          <w:szCs w:val="24"/>
        </w:rPr>
        <w:t xml:space="preserve"> </w:t>
      </w:r>
      <w:r w:rsidR="003E4087">
        <w:rPr>
          <w:rFonts w:ascii="Arial" w:hAnsi="Arial"/>
          <w:b w:val="0"/>
          <w:sz w:val="24"/>
          <w:szCs w:val="24"/>
        </w:rPr>
        <w:t xml:space="preserve">the </w:t>
      </w:r>
      <w:r w:rsidR="00CE571F">
        <w:rPr>
          <w:rFonts w:ascii="Arial" w:hAnsi="Arial"/>
          <w:b w:val="0"/>
          <w:sz w:val="24"/>
          <w:szCs w:val="24"/>
        </w:rPr>
        <w:t xml:space="preserve">charges </w:t>
      </w:r>
      <w:r w:rsidR="00DD6BA9">
        <w:rPr>
          <w:rFonts w:ascii="Arial" w:hAnsi="Arial"/>
          <w:b w:val="0"/>
          <w:sz w:val="24"/>
          <w:szCs w:val="24"/>
        </w:rPr>
        <w:t xml:space="preserve">set out in the Schedule of charges </w:t>
      </w:r>
      <w:r w:rsidR="00425FD0">
        <w:rPr>
          <w:rFonts w:ascii="Arial" w:hAnsi="Arial"/>
          <w:b w:val="0"/>
          <w:sz w:val="24"/>
          <w:szCs w:val="24"/>
        </w:rPr>
        <w:t xml:space="preserve">in respect </w:t>
      </w:r>
      <w:r w:rsidR="00151B66">
        <w:rPr>
          <w:rFonts w:ascii="Arial" w:hAnsi="Arial"/>
          <w:b w:val="0"/>
          <w:sz w:val="24"/>
          <w:szCs w:val="24"/>
        </w:rPr>
        <w:t>of</w:t>
      </w:r>
      <w:r w:rsidR="00117514">
        <w:rPr>
          <w:rFonts w:ascii="Arial" w:hAnsi="Arial"/>
          <w:b w:val="0"/>
          <w:sz w:val="24"/>
          <w:szCs w:val="24"/>
        </w:rPr>
        <w:t xml:space="preserve"> the provision of</w:t>
      </w:r>
      <w:r w:rsidR="00151B66">
        <w:rPr>
          <w:rFonts w:ascii="Arial" w:hAnsi="Arial"/>
          <w:b w:val="0"/>
          <w:sz w:val="24"/>
          <w:szCs w:val="24"/>
        </w:rPr>
        <w:t xml:space="preserve"> </w:t>
      </w:r>
      <w:r w:rsidR="00217327">
        <w:rPr>
          <w:rFonts w:ascii="Arial" w:hAnsi="Arial"/>
          <w:b w:val="0"/>
          <w:sz w:val="24"/>
          <w:szCs w:val="24"/>
        </w:rPr>
        <w:t xml:space="preserve">statistical information about financial sector entities </w:t>
      </w:r>
      <w:r w:rsidR="00F86ABF">
        <w:rPr>
          <w:rFonts w:ascii="Arial" w:hAnsi="Arial"/>
          <w:b w:val="0"/>
          <w:sz w:val="24"/>
          <w:szCs w:val="24"/>
        </w:rPr>
        <w:t>to</w:t>
      </w:r>
      <w:r w:rsidR="00117514">
        <w:rPr>
          <w:rFonts w:ascii="Arial" w:hAnsi="Arial"/>
          <w:b w:val="0"/>
          <w:sz w:val="24"/>
          <w:szCs w:val="24"/>
        </w:rPr>
        <w:t xml:space="preserve"> the RBA and the ABS during the 202</w:t>
      </w:r>
      <w:r w:rsidR="001F29F1">
        <w:rPr>
          <w:rFonts w:ascii="Arial" w:hAnsi="Arial"/>
          <w:b w:val="0"/>
          <w:sz w:val="24"/>
          <w:szCs w:val="24"/>
        </w:rPr>
        <w:t>4</w:t>
      </w:r>
      <w:r w:rsidR="00117514">
        <w:rPr>
          <w:rFonts w:ascii="Arial" w:hAnsi="Arial"/>
          <w:b w:val="0"/>
          <w:sz w:val="24"/>
          <w:szCs w:val="24"/>
        </w:rPr>
        <w:t xml:space="preserve">-25 financial year. </w:t>
      </w:r>
    </w:p>
    <w:p w14:paraId="65FAF336" w14:textId="46754E44" w:rsidR="00217327" w:rsidRDefault="00117514" w:rsidP="00167A99">
      <w:pPr>
        <w:pStyle w:val="Heading"/>
        <w:rPr>
          <w:rFonts w:ascii="Arial" w:hAnsi="Arial"/>
          <w:b w:val="0"/>
          <w:sz w:val="24"/>
          <w:szCs w:val="24"/>
        </w:rPr>
      </w:pPr>
      <w:r w:rsidRPr="009A569B">
        <w:rPr>
          <w:rFonts w:ascii="Arial" w:hAnsi="Arial"/>
          <w:b w:val="0"/>
          <w:i/>
          <w:sz w:val="24"/>
          <w:szCs w:val="24"/>
        </w:rPr>
        <w:t>Description of the charges</w:t>
      </w:r>
    </w:p>
    <w:p w14:paraId="61E2E1DE" w14:textId="415726C8" w:rsidR="00785721" w:rsidRDefault="00785721" w:rsidP="00EA764F">
      <w:pPr>
        <w:pStyle w:val="Heading"/>
        <w:jc w:val="both"/>
        <w:rPr>
          <w:rFonts w:ascii="Arial" w:hAnsi="Arial"/>
          <w:b w:val="0"/>
          <w:sz w:val="24"/>
          <w:szCs w:val="24"/>
        </w:rPr>
      </w:pPr>
      <w:r w:rsidRPr="00822A70">
        <w:rPr>
          <w:rFonts w:ascii="Arial" w:hAnsi="Arial"/>
          <w:b w:val="0"/>
          <w:sz w:val="24"/>
          <w:szCs w:val="24"/>
        </w:rPr>
        <w:t xml:space="preserve">A </w:t>
      </w:r>
      <w:r w:rsidR="00454124">
        <w:rPr>
          <w:rFonts w:ascii="Arial" w:hAnsi="Arial"/>
          <w:b w:val="0"/>
          <w:sz w:val="24"/>
          <w:szCs w:val="24"/>
        </w:rPr>
        <w:t>charge</w:t>
      </w:r>
      <w:r w:rsidRPr="00822A70">
        <w:rPr>
          <w:rFonts w:ascii="Arial" w:hAnsi="Arial"/>
          <w:b w:val="0"/>
          <w:sz w:val="24"/>
          <w:szCs w:val="24"/>
        </w:rPr>
        <w:t xml:space="preserve"> of </w:t>
      </w:r>
      <w:r w:rsidR="00574F71" w:rsidRPr="00167A99">
        <w:rPr>
          <w:rFonts w:ascii="Arial" w:hAnsi="Arial"/>
          <w:b w:val="0"/>
          <w:color w:val="000000" w:themeColor="text1"/>
          <w:sz w:val="24"/>
          <w:szCs w:val="24"/>
        </w:rPr>
        <w:t>$</w:t>
      </w:r>
      <w:r w:rsidR="00117E53" w:rsidRPr="00167A99">
        <w:rPr>
          <w:rFonts w:ascii="Arial" w:hAnsi="Arial"/>
          <w:b w:val="0"/>
          <w:color w:val="000000" w:themeColor="text1"/>
          <w:sz w:val="24"/>
          <w:szCs w:val="24"/>
        </w:rPr>
        <w:t xml:space="preserve">536,101 </w:t>
      </w:r>
      <w:r w:rsidRPr="00822A70">
        <w:rPr>
          <w:rFonts w:ascii="Arial" w:hAnsi="Arial"/>
          <w:b w:val="0"/>
          <w:sz w:val="24"/>
          <w:szCs w:val="24"/>
        </w:rPr>
        <w:t xml:space="preserve">is imposed on the </w:t>
      </w:r>
      <w:smartTag w:uri="urn:schemas-microsoft-com:office:smarttags" w:element="stockticker">
        <w:r w:rsidRPr="00822A70">
          <w:rPr>
            <w:rFonts w:ascii="Arial" w:hAnsi="Arial"/>
            <w:b w:val="0"/>
            <w:sz w:val="24"/>
            <w:szCs w:val="24"/>
          </w:rPr>
          <w:t>RBA</w:t>
        </w:r>
      </w:smartTag>
      <w:r w:rsidRPr="00822A70">
        <w:rPr>
          <w:rFonts w:ascii="Arial" w:hAnsi="Arial"/>
          <w:b w:val="0"/>
          <w:sz w:val="24"/>
          <w:szCs w:val="24"/>
        </w:rPr>
        <w:t xml:space="preserve"> and a </w:t>
      </w:r>
      <w:r w:rsidR="00030205">
        <w:rPr>
          <w:rFonts w:ascii="Arial" w:hAnsi="Arial"/>
          <w:b w:val="0"/>
          <w:sz w:val="24"/>
          <w:szCs w:val="24"/>
        </w:rPr>
        <w:t>charge</w:t>
      </w:r>
      <w:r w:rsidRPr="00822A70">
        <w:rPr>
          <w:rFonts w:ascii="Arial" w:hAnsi="Arial"/>
          <w:b w:val="0"/>
          <w:sz w:val="24"/>
          <w:szCs w:val="24"/>
        </w:rPr>
        <w:t xml:space="preserve"> of </w:t>
      </w:r>
      <w:r w:rsidR="000C7A3A" w:rsidRPr="00167A99">
        <w:rPr>
          <w:rFonts w:ascii="Arial" w:hAnsi="Arial"/>
          <w:b w:val="0"/>
          <w:color w:val="000000" w:themeColor="text1"/>
          <w:sz w:val="24"/>
          <w:szCs w:val="24"/>
        </w:rPr>
        <w:t>$</w:t>
      </w:r>
      <w:r w:rsidR="00801087" w:rsidRPr="00167A99">
        <w:rPr>
          <w:rFonts w:ascii="Arial" w:hAnsi="Arial"/>
          <w:b w:val="0"/>
          <w:color w:val="000000" w:themeColor="text1"/>
          <w:sz w:val="24"/>
          <w:szCs w:val="24"/>
        </w:rPr>
        <w:t>257,783</w:t>
      </w:r>
      <w:r w:rsidR="000C7A3A" w:rsidRPr="00167A99">
        <w:rPr>
          <w:rFonts w:ascii="Arial" w:hAnsi="Arial"/>
          <w:b w:val="0"/>
          <w:color w:val="000000" w:themeColor="text1"/>
          <w:sz w:val="24"/>
          <w:szCs w:val="24"/>
        </w:rPr>
        <w:t xml:space="preserve"> </w:t>
      </w:r>
      <w:r w:rsidRPr="00822A70">
        <w:rPr>
          <w:rFonts w:ascii="Arial" w:hAnsi="Arial"/>
          <w:b w:val="0"/>
          <w:sz w:val="24"/>
          <w:szCs w:val="24"/>
        </w:rPr>
        <w:t xml:space="preserve">is imposed on the </w:t>
      </w:r>
      <w:smartTag w:uri="urn:schemas-microsoft-com:office:smarttags" w:element="stockticker">
        <w:r w:rsidRPr="00822A70">
          <w:rPr>
            <w:rFonts w:ascii="Arial" w:hAnsi="Arial"/>
            <w:b w:val="0"/>
            <w:sz w:val="24"/>
            <w:szCs w:val="24"/>
          </w:rPr>
          <w:t>ABS</w:t>
        </w:r>
      </w:smartTag>
      <w:r w:rsidRPr="00822A70">
        <w:rPr>
          <w:rFonts w:ascii="Arial" w:hAnsi="Arial"/>
          <w:b w:val="0"/>
          <w:sz w:val="24"/>
          <w:szCs w:val="24"/>
        </w:rPr>
        <w:t xml:space="preserve"> for the statistical information provide</w:t>
      </w:r>
      <w:r w:rsidR="00A13C4A" w:rsidRPr="00822A70">
        <w:rPr>
          <w:rFonts w:ascii="Arial" w:hAnsi="Arial"/>
          <w:b w:val="0"/>
          <w:sz w:val="24"/>
          <w:szCs w:val="24"/>
        </w:rPr>
        <w:t>d</w:t>
      </w:r>
      <w:r w:rsidRPr="00822A70">
        <w:rPr>
          <w:rFonts w:ascii="Arial" w:hAnsi="Arial"/>
          <w:b w:val="0"/>
          <w:sz w:val="24"/>
          <w:szCs w:val="24"/>
        </w:rPr>
        <w:t xml:space="preserve"> to each of them from the @APRA system </w:t>
      </w:r>
      <w:r w:rsidR="00AA7D85" w:rsidRPr="00822A70">
        <w:rPr>
          <w:rFonts w:ascii="Arial" w:hAnsi="Arial"/>
          <w:b w:val="0"/>
          <w:sz w:val="24"/>
          <w:szCs w:val="24"/>
        </w:rPr>
        <w:t>during the 20</w:t>
      </w:r>
      <w:r w:rsidR="00D329CA">
        <w:rPr>
          <w:rFonts w:ascii="Arial" w:hAnsi="Arial"/>
          <w:b w:val="0"/>
          <w:sz w:val="24"/>
          <w:szCs w:val="24"/>
        </w:rPr>
        <w:t>2</w:t>
      </w:r>
      <w:r w:rsidR="005510DA">
        <w:rPr>
          <w:rFonts w:ascii="Arial" w:hAnsi="Arial"/>
          <w:b w:val="0"/>
          <w:sz w:val="24"/>
          <w:szCs w:val="24"/>
        </w:rPr>
        <w:t>4</w:t>
      </w:r>
      <w:r w:rsidR="00AA7D85" w:rsidRPr="00822A70">
        <w:rPr>
          <w:rFonts w:ascii="Arial" w:hAnsi="Arial"/>
          <w:b w:val="0"/>
          <w:sz w:val="24"/>
          <w:szCs w:val="24"/>
        </w:rPr>
        <w:t>-2</w:t>
      </w:r>
      <w:r w:rsidR="005510DA">
        <w:rPr>
          <w:rFonts w:ascii="Arial" w:hAnsi="Arial"/>
          <w:b w:val="0"/>
          <w:sz w:val="24"/>
          <w:szCs w:val="24"/>
        </w:rPr>
        <w:t>5</w:t>
      </w:r>
      <w:r w:rsidR="00AA7D85" w:rsidRPr="00822A70">
        <w:rPr>
          <w:rFonts w:ascii="Arial" w:hAnsi="Arial"/>
          <w:b w:val="0"/>
          <w:sz w:val="24"/>
          <w:szCs w:val="24"/>
        </w:rPr>
        <w:t xml:space="preserve"> financial year </w:t>
      </w:r>
      <w:r w:rsidR="00323B35" w:rsidRPr="00822A70">
        <w:rPr>
          <w:rFonts w:ascii="Arial" w:hAnsi="Arial"/>
          <w:b w:val="0"/>
          <w:sz w:val="24"/>
          <w:szCs w:val="24"/>
        </w:rPr>
        <w:t xml:space="preserve">and the development </w:t>
      </w:r>
      <w:r w:rsidR="00AA7D85" w:rsidRPr="00822A70">
        <w:rPr>
          <w:rFonts w:ascii="Arial" w:hAnsi="Arial"/>
          <w:b w:val="0"/>
          <w:sz w:val="24"/>
          <w:szCs w:val="24"/>
        </w:rPr>
        <w:t xml:space="preserve">cost </w:t>
      </w:r>
      <w:r w:rsidR="00323B35" w:rsidRPr="00822A70">
        <w:rPr>
          <w:rFonts w:ascii="Arial" w:hAnsi="Arial"/>
          <w:b w:val="0"/>
          <w:sz w:val="24"/>
          <w:szCs w:val="24"/>
        </w:rPr>
        <w:t>of the system</w:t>
      </w:r>
      <w:r w:rsidRPr="00822A70">
        <w:rPr>
          <w:rFonts w:ascii="Arial" w:hAnsi="Arial"/>
          <w:b w:val="0"/>
          <w:sz w:val="24"/>
          <w:szCs w:val="24"/>
        </w:rPr>
        <w:t>.</w:t>
      </w:r>
      <w:r w:rsidR="003C45B2">
        <w:rPr>
          <w:rFonts w:ascii="Arial" w:hAnsi="Arial"/>
          <w:b w:val="0"/>
          <w:sz w:val="24"/>
          <w:szCs w:val="24"/>
        </w:rPr>
        <w:t xml:space="preserve"> </w:t>
      </w:r>
      <w:r w:rsidR="00A87A32">
        <w:rPr>
          <w:rFonts w:ascii="Arial" w:hAnsi="Arial"/>
          <w:b w:val="0"/>
          <w:sz w:val="24"/>
          <w:szCs w:val="24"/>
        </w:rPr>
        <w:t>Each of the</w:t>
      </w:r>
      <w:r w:rsidR="00D57C1E">
        <w:rPr>
          <w:rFonts w:ascii="Arial" w:hAnsi="Arial"/>
          <w:b w:val="0"/>
          <w:sz w:val="24"/>
          <w:szCs w:val="24"/>
        </w:rPr>
        <w:t>se</w:t>
      </w:r>
      <w:r w:rsidR="00A87A32">
        <w:rPr>
          <w:rFonts w:ascii="Arial" w:hAnsi="Arial"/>
          <w:b w:val="0"/>
          <w:sz w:val="24"/>
          <w:szCs w:val="24"/>
        </w:rPr>
        <w:t xml:space="preserve"> charges </w:t>
      </w:r>
      <w:r w:rsidR="004C4B1C">
        <w:rPr>
          <w:rFonts w:ascii="Arial" w:hAnsi="Arial"/>
          <w:b w:val="0"/>
          <w:sz w:val="24"/>
          <w:szCs w:val="24"/>
        </w:rPr>
        <w:t>are</w:t>
      </w:r>
      <w:r w:rsidR="00A87A32">
        <w:rPr>
          <w:rFonts w:ascii="Arial" w:hAnsi="Arial"/>
          <w:b w:val="0"/>
          <w:sz w:val="24"/>
          <w:szCs w:val="24"/>
        </w:rPr>
        <w:t xml:space="preserve"> </w:t>
      </w:r>
      <w:r w:rsidR="00DB6F47">
        <w:rPr>
          <w:rFonts w:ascii="Arial" w:hAnsi="Arial"/>
          <w:b w:val="0"/>
          <w:sz w:val="24"/>
          <w:szCs w:val="24"/>
        </w:rPr>
        <w:t>not subject to</w:t>
      </w:r>
      <w:r w:rsidR="00A87A32">
        <w:rPr>
          <w:rFonts w:ascii="Arial" w:hAnsi="Arial"/>
          <w:b w:val="0"/>
          <w:sz w:val="24"/>
          <w:szCs w:val="24"/>
        </w:rPr>
        <w:t xml:space="preserve"> GST </w:t>
      </w:r>
      <w:r w:rsidR="007A0604">
        <w:rPr>
          <w:rFonts w:ascii="Arial" w:hAnsi="Arial"/>
          <w:b w:val="0"/>
          <w:sz w:val="24"/>
          <w:szCs w:val="24"/>
        </w:rPr>
        <w:t>under</w:t>
      </w:r>
      <w:r w:rsidR="00A87A32">
        <w:rPr>
          <w:rFonts w:ascii="Arial" w:hAnsi="Arial"/>
          <w:b w:val="0"/>
          <w:sz w:val="24"/>
          <w:szCs w:val="24"/>
        </w:rPr>
        <w:t xml:space="preserve"> the </w:t>
      </w:r>
      <w:r w:rsidR="00A87A32" w:rsidRPr="00167A99">
        <w:rPr>
          <w:rFonts w:ascii="Arial" w:hAnsi="Arial"/>
          <w:b w:val="0"/>
          <w:i/>
          <w:sz w:val="24"/>
          <w:szCs w:val="24"/>
        </w:rPr>
        <w:t>A New Tax System (Goods and Services Tax) Act 1999</w:t>
      </w:r>
      <w:r w:rsidR="00A87A32">
        <w:rPr>
          <w:rFonts w:ascii="Arial" w:hAnsi="Arial"/>
          <w:b w:val="0"/>
          <w:sz w:val="24"/>
          <w:szCs w:val="24"/>
        </w:rPr>
        <w:t xml:space="preserve">. </w:t>
      </w:r>
    </w:p>
    <w:p w14:paraId="60B3FDC6" w14:textId="6E723E12" w:rsidR="00957C19" w:rsidRDefault="00957C19" w:rsidP="00167A99">
      <w:pPr>
        <w:pStyle w:val="Heading"/>
        <w:rPr>
          <w:rFonts w:ascii="Arial" w:hAnsi="Arial"/>
          <w:b w:val="0"/>
          <w:i/>
          <w:sz w:val="24"/>
          <w:szCs w:val="24"/>
        </w:rPr>
      </w:pPr>
      <w:r w:rsidRPr="00167A99">
        <w:rPr>
          <w:rFonts w:ascii="Arial" w:hAnsi="Arial"/>
          <w:b w:val="0"/>
          <w:i/>
          <w:sz w:val="24"/>
          <w:szCs w:val="24"/>
        </w:rPr>
        <w:t>How the charges have been calculated</w:t>
      </w:r>
      <w:r w:rsidR="001112C3">
        <w:rPr>
          <w:rFonts w:ascii="Arial" w:hAnsi="Arial"/>
          <w:b w:val="0"/>
          <w:i/>
          <w:sz w:val="24"/>
          <w:szCs w:val="24"/>
        </w:rPr>
        <w:br/>
      </w:r>
    </w:p>
    <w:p w14:paraId="557C1D53" w14:textId="7A969FD4" w:rsidR="001B56AB" w:rsidRDefault="00957C19" w:rsidP="00167A99">
      <w:r w:rsidRPr="00167A99">
        <w:rPr>
          <w:rFonts w:ascii="Arial" w:hAnsi="Arial" w:cs="Arial"/>
          <w:kern w:val="32"/>
          <w:sz w:val="24"/>
          <w:szCs w:val="24"/>
        </w:rPr>
        <w:t xml:space="preserve">The charges are based on the need to recover APRA’s costs of providing statistical information and the development costs of the @APRA </w:t>
      </w:r>
      <w:r w:rsidR="002C6E22" w:rsidRPr="00167A99">
        <w:rPr>
          <w:rFonts w:ascii="Arial" w:hAnsi="Arial" w:cs="Arial"/>
          <w:kern w:val="32"/>
          <w:sz w:val="24"/>
          <w:szCs w:val="24"/>
        </w:rPr>
        <w:t>system</w:t>
      </w:r>
      <w:r w:rsidR="6AFF43DF" w:rsidRPr="2B0A9BB1">
        <w:rPr>
          <w:rFonts w:ascii="Arial" w:hAnsi="Arial"/>
          <w:sz w:val="24"/>
          <w:szCs w:val="24"/>
        </w:rPr>
        <w:t>.</w:t>
      </w:r>
      <w:r w:rsidR="003D1AE8" w:rsidRPr="00167A99">
        <w:rPr>
          <w:rFonts w:ascii="Arial" w:hAnsi="Arial"/>
          <w:sz w:val="24"/>
          <w:szCs w:val="24"/>
        </w:rPr>
        <w:t xml:space="preserve"> </w:t>
      </w:r>
      <w:r w:rsidR="7DBCCD7D" w:rsidRPr="2B0A9BB1">
        <w:rPr>
          <w:rFonts w:ascii="Arial" w:hAnsi="Arial"/>
          <w:sz w:val="24"/>
          <w:szCs w:val="24"/>
        </w:rPr>
        <w:t xml:space="preserve"> </w:t>
      </w:r>
    </w:p>
    <w:p w14:paraId="420DFACF" w14:textId="77777777" w:rsidR="002800C6" w:rsidRPr="009A569B" w:rsidRDefault="002800C6" w:rsidP="002800C6">
      <w:pPr>
        <w:pStyle w:val="Heading"/>
        <w:rPr>
          <w:rFonts w:ascii="Arial" w:hAnsi="Arial"/>
          <w:b w:val="0"/>
          <w:sz w:val="24"/>
          <w:szCs w:val="24"/>
        </w:rPr>
      </w:pPr>
      <w:r w:rsidRPr="009A569B">
        <w:rPr>
          <w:rFonts w:ascii="Arial" w:hAnsi="Arial"/>
          <w:b w:val="0"/>
          <w:sz w:val="24"/>
          <w:szCs w:val="24"/>
        </w:rPr>
        <w:t xml:space="preserve">Those costs have been worked out </w:t>
      </w:r>
      <w:r>
        <w:rPr>
          <w:rFonts w:ascii="Arial" w:hAnsi="Arial"/>
          <w:b w:val="0"/>
          <w:sz w:val="24"/>
          <w:szCs w:val="24"/>
        </w:rPr>
        <w:t>as follows</w:t>
      </w:r>
      <w:r w:rsidRPr="009A569B">
        <w:rPr>
          <w:rFonts w:ascii="Arial" w:hAnsi="Arial"/>
          <w:b w:val="0"/>
          <w:sz w:val="24"/>
          <w:szCs w:val="24"/>
        </w:rPr>
        <w:t>:</w:t>
      </w:r>
    </w:p>
    <w:p w14:paraId="2D5BB589" w14:textId="1A0B5EDA" w:rsidR="002800C6" w:rsidRPr="009A569B" w:rsidRDefault="002800C6" w:rsidP="002800C6">
      <w:pPr>
        <w:pStyle w:val="Heading"/>
        <w:ind w:left="540" w:hanging="540"/>
        <w:jc w:val="both"/>
        <w:rPr>
          <w:rFonts w:ascii="Arial" w:hAnsi="Arial"/>
          <w:b w:val="0"/>
          <w:sz w:val="24"/>
          <w:szCs w:val="24"/>
        </w:rPr>
      </w:pPr>
      <w:r w:rsidRPr="009A569B">
        <w:rPr>
          <w:rFonts w:ascii="Arial" w:hAnsi="Arial"/>
          <w:b w:val="0"/>
          <w:sz w:val="24"/>
          <w:szCs w:val="24"/>
        </w:rPr>
        <w:t>-</w:t>
      </w:r>
      <w:r w:rsidRPr="009A569B">
        <w:rPr>
          <w:rFonts w:ascii="Arial" w:hAnsi="Arial"/>
          <w:b w:val="0"/>
          <w:sz w:val="24"/>
          <w:szCs w:val="24"/>
        </w:rPr>
        <w:tab/>
        <w:t xml:space="preserve">The costs of maintenance and operation of the @APRA system during </w:t>
      </w:r>
      <w:r>
        <w:rPr>
          <w:rFonts w:ascii="Arial" w:hAnsi="Arial"/>
          <w:b w:val="0"/>
          <w:sz w:val="24"/>
          <w:szCs w:val="24"/>
        </w:rPr>
        <w:t>2024/25</w:t>
      </w:r>
      <w:r w:rsidRPr="009A569B">
        <w:rPr>
          <w:rFonts w:ascii="Arial" w:hAnsi="Arial"/>
          <w:b w:val="0"/>
          <w:sz w:val="24"/>
          <w:szCs w:val="24"/>
        </w:rPr>
        <w:t xml:space="preserve"> is based </w:t>
      </w:r>
      <w:r w:rsidRPr="00A948C1">
        <w:rPr>
          <w:rFonts w:ascii="Arial" w:hAnsi="Arial"/>
          <w:b w:val="0"/>
          <w:sz w:val="24"/>
          <w:szCs w:val="24"/>
        </w:rPr>
        <w:t>on the forecast cost for the full financial year</w:t>
      </w:r>
      <w:r w:rsidRPr="009A569B">
        <w:rPr>
          <w:rFonts w:ascii="Arial" w:hAnsi="Arial"/>
          <w:b w:val="0"/>
          <w:sz w:val="24"/>
          <w:szCs w:val="24"/>
        </w:rPr>
        <w:t xml:space="preserve">. These costs represent the </w:t>
      </w:r>
      <w:r>
        <w:rPr>
          <w:rFonts w:ascii="Arial" w:hAnsi="Arial"/>
          <w:b w:val="0"/>
          <w:sz w:val="24"/>
          <w:szCs w:val="24"/>
        </w:rPr>
        <w:t xml:space="preserve">estimated </w:t>
      </w:r>
      <w:r w:rsidRPr="009A569B">
        <w:rPr>
          <w:rFonts w:ascii="Arial" w:hAnsi="Arial"/>
          <w:b w:val="0"/>
          <w:sz w:val="24"/>
          <w:szCs w:val="24"/>
        </w:rPr>
        <w:t xml:space="preserve">costs of staff time expended in performing ongoing maintenance (including enhancement) of the system and in operating the system (which includes collecting, managing, analysing and distributing the statistical information collected by the system). </w:t>
      </w:r>
    </w:p>
    <w:p w14:paraId="3250168C" w14:textId="71FC4F19" w:rsidR="002800C6" w:rsidRPr="00226D27" w:rsidRDefault="002800C6" w:rsidP="002800C6">
      <w:pPr>
        <w:pStyle w:val="Heading"/>
        <w:ind w:left="540" w:hanging="540"/>
        <w:jc w:val="both"/>
        <w:rPr>
          <w:rFonts w:ascii="Arial" w:hAnsi="Arial"/>
          <w:b w:val="0"/>
          <w:sz w:val="24"/>
          <w:szCs w:val="24"/>
        </w:rPr>
      </w:pPr>
      <w:r w:rsidRPr="009A569B">
        <w:rPr>
          <w:rFonts w:ascii="Arial" w:hAnsi="Arial"/>
          <w:b w:val="0"/>
          <w:sz w:val="24"/>
          <w:szCs w:val="24"/>
        </w:rPr>
        <w:t>-</w:t>
      </w:r>
      <w:r w:rsidRPr="009A569B">
        <w:rPr>
          <w:rFonts w:ascii="Arial" w:hAnsi="Arial"/>
          <w:b w:val="0"/>
          <w:sz w:val="24"/>
          <w:szCs w:val="24"/>
        </w:rPr>
        <w:tab/>
        <w:t xml:space="preserve">During the </w:t>
      </w:r>
      <w:r w:rsidR="00437B24">
        <w:rPr>
          <w:rFonts w:ascii="Arial" w:hAnsi="Arial"/>
          <w:b w:val="0"/>
          <w:sz w:val="24"/>
          <w:szCs w:val="24"/>
        </w:rPr>
        <w:t xml:space="preserve">2024/25 </w:t>
      </w:r>
      <w:r w:rsidRPr="009A569B">
        <w:rPr>
          <w:rFonts w:ascii="Arial" w:hAnsi="Arial"/>
          <w:b w:val="0"/>
          <w:sz w:val="24"/>
          <w:szCs w:val="24"/>
        </w:rPr>
        <w:t>financial year, the @APRA system serviced statistical information</w:t>
      </w:r>
      <w:r>
        <w:rPr>
          <w:rFonts w:ascii="Arial" w:hAnsi="Arial"/>
          <w:b w:val="0"/>
          <w:sz w:val="24"/>
          <w:szCs w:val="24"/>
        </w:rPr>
        <w:t xml:space="preserve"> for APRA, the RBA and the ABS. </w:t>
      </w:r>
      <w:r w:rsidRPr="009A569B">
        <w:rPr>
          <w:rFonts w:ascii="Arial" w:hAnsi="Arial"/>
          <w:b w:val="0"/>
          <w:sz w:val="24"/>
          <w:szCs w:val="24"/>
        </w:rPr>
        <w:t xml:space="preserve">A proportion of the above-mentioned </w:t>
      </w:r>
      <w:r w:rsidRPr="009A569B">
        <w:rPr>
          <w:rFonts w:ascii="Arial" w:hAnsi="Arial"/>
          <w:b w:val="0"/>
          <w:sz w:val="24"/>
          <w:szCs w:val="24"/>
        </w:rPr>
        <w:lastRenderedPageBreak/>
        <w:t xml:space="preserve">costs have been allocated to the </w:t>
      </w:r>
      <w:smartTag w:uri="urn:schemas-microsoft-com:office:smarttags" w:element="stockticker">
        <w:r w:rsidRPr="009A569B">
          <w:rPr>
            <w:rFonts w:ascii="Arial" w:hAnsi="Arial"/>
            <w:b w:val="0"/>
            <w:sz w:val="24"/>
            <w:szCs w:val="24"/>
          </w:rPr>
          <w:t>RBA</w:t>
        </w:r>
      </w:smartTag>
      <w:r w:rsidRPr="009A569B">
        <w:rPr>
          <w:rFonts w:ascii="Arial" w:hAnsi="Arial"/>
          <w:b w:val="0"/>
          <w:sz w:val="24"/>
          <w:szCs w:val="24"/>
        </w:rPr>
        <w:t xml:space="preserve"> and the </w:t>
      </w:r>
      <w:smartTag w:uri="urn:schemas-microsoft-com:office:smarttags" w:element="stockticker">
        <w:r w:rsidRPr="009A569B">
          <w:rPr>
            <w:rFonts w:ascii="Arial" w:hAnsi="Arial"/>
            <w:b w:val="0"/>
            <w:sz w:val="24"/>
            <w:szCs w:val="24"/>
          </w:rPr>
          <w:t>ABS</w:t>
        </w:r>
      </w:smartTag>
      <w:r w:rsidRPr="009A569B">
        <w:rPr>
          <w:rFonts w:ascii="Arial" w:hAnsi="Arial"/>
          <w:b w:val="0"/>
          <w:sz w:val="24"/>
          <w:szCs w:val="24"/>
        </w:rPr>
        <w:t>, based on their usag</w:t>
      </w:r>
      <w:r>
        <w:rPr>
          <w:rFonts w:ascii="Arial" w:hAnsi="Arial"/>
          <w:b w:val="0"/>
          <w:sz w:val="24"/>
          <w:szCs w:val="24"/>
        </w:rPr>
        <w:t>e of the @APRA system during</w:t>
      </w:r>
      <w:r w:rsidR="00437B24">
        <w:rPr>
          <w:rFonts w:ascii="Arial" w:hAnsi="Arial"/>
          <w:b w:val="0"/>
          <w:sz w:val="24"/>
          <w:szCs w:val="24"/>
        </w:rPr>
        <w:t xml:space="preserve"> 2024/25</w:t>
      </w:r>
      <w:r>
        <w:rPr>
          <w:rFonts w:ascii="Arial" w:hAnsi="Arial"/>
          <w:b w:val="0"/>
          <w:sz w:val="24"/>
          <w:szCs w:val="24"/>
        </w:rPr>
        <w:t xml:space="preserve">. </w:t>
      </w:r>
    </w:p>
    <w:p w14:paraId="457DC12A" w14:textId="6EA1238A" w:rsidR="002800C6" w:rsidRPr="00FF5051" w:rsidRDefault="002800C6" w:rsidP="002800C6">
      <w:pPr>
        <w:pStyle w:val="Heading"/>
        <w:ind w:left="540" w:hanging="540"/>
        <w:jc w:val="both"/>
        <w:rPr>
          <w:rFonts w:ascii="Arial" w:hAnsi="Arial"/>
          <w:b w:val="0"/>
          <w:sz w:val="24"/>
          <w:szCs w:val="24"/>
        </w:rPr>
      </w:pPr>
      <w:r w:rsidRPr="00226D27">
        <w:rPr>
          <w:rFonts w:ascii="Arial" w:hAnsi="Arial"/>
          <w:b w:val="0"/>
          <w:sz w:val="24"/>
          <w:szCs w:val="24"/>
        </w:rPr>
        <w:t>-</w:t>
      </w:r>
      <w:r w:rsidRPr="00226D27">
        <w:rPr>
          <w:rFonts w:ascii="Arial" w:hAnsi="Arial"/>
          <w:b w:val="0"/>
          <w:sz w:val="24"/>
          <w:szCs w:val="24"/>
        </w:rPr>
        <w:tab/>
      </w:r>
      <w:r w:rsidRPr="00FF5051">
        <w:rPr>
          <w:rFonts w:ascii="Arial" w:hAnsi="Arial"/>
          <w:b w:val="0"/>
          <w:sz w:val="24"/>
          <w:szCs w:val="24"/>
        </w:rPr>
        <w:t xml:space="preserve">The cost of shared services was then worked out based on the number of forms processed for each organisation as a proportion of the total number of forms processed. As expected, these costs are predominantly borne by APRA </w:t>
      </w:r>
      <w:proofErr w:type="gramStart"/>
      <w:r w:rsidRPr="00FF5051">
        <w:rPr>
          <w:rFonts w:ascii="Arial" w:hAnsi="Arial"/>
          <w:b w:val="0"/>
          <w:sz w:val="24"/>
          <w:szCs w:val="24"/>
        </w:rPr>
        <w:t>due to the fact that</w:t>
      </w:r>
      <w:proofErr w:type="gramEnd"/>
      <w:r w:rsidRPr="00FF5051">
        <w:rPr>
          <w:rFonts w:ascii="Arial" w:hAnsi="Arial"/>
          <w:b w:val="0"/>
          <w:sz w:val="24"/>
          <w:szCs w:val="24"/>
        </w:rPr>
        <w:t xml:space="preserve"> most of the usage is dictated by APRA requirements. The proportion relating to the </w:t>
      </w:r>
      <w:smartTag w:uri="urn:schemas-microsoft-com:office:smarttags" w:element="stockticker">
        <w:r w:rsidRPr="00FF5051">
          <w:rPr>
            <w:rFonts w:ascii="Arial" w:hAnsi="Arial"/>
            <w:b w:val="0"/>
            <w:sz w:val="24"/>
            <w:szCs w:val="24"/>
          </w:rPr>
          <w:t>RBA</w:t>
        </w:r>
      </w:smartTag>
      <w:r w:rsidRPr="00FF5051">
        <w:rPr>
          <w:rFonts w:ascii="Arial" w:hAnsi="Arial"/>
          <w:b w:val="0"/>
          <w:sz w:val="24"/>
          <w:szCs w:val="24"/>
        </w:rPr>
        <w:t xml:space="preserve"> and </w:t>
      </w:r>
      <w:smartTag w:uri="urn:schemas-microsoft-com:office:smarttags" w:element="stockticker">
        <w:r w:rsidRPr="00FF5051">
          <w:rPr>
            <w:rFonts w:ascii="Arial" w:hAnsi="Arial"/>
            <w:b w:val="0"/>
            <w:sz w:val="24"/>
            <w:szCs w:val="24"/>
          </w:rPr>
          <w:t>ABS</w:t>
        </w:r>
      </w:smartTag>
      <w:r w:rsidRPr="00FF5051">
        <w:rPr>
          <w:rFonts w:ascii="Arial" w:hAnsi="Arial"/>
          <w:b w:val="0"/>
          <w:sz w:val="24"/>
          <w:szCs w:val="24"/>
        </w:rPr>
        <w:t xml:space="preserve"> was arrived at by extracting the cost per form by considering all costs relating to shared services for the </w:t>
      </w:r>
      <w:r w:rsidR="00437B24">
        <w:rPr>
          <w:rFonts w:ascii="Arial" w:hAnsi="Arial"/>
          <w:b w:val="0"/>
          <w:sz w:val="24"/>
          <w:szCs w:val="24"/>
        </w:rPr>
        <w:t>2024/25</w:t>
      </w:r>
      <w:r w:rsidR="00EC3C46">
        <w:rPr>
          <w:rFonts w:ascii="Arial" w:hAnsi="Arial"/>
          <w:b w:val="0"/>
          <w:sz w:val="24"/>
          <w:szCs w:val="24"/>
        </w:rPr>
        <w:t xml:space="preserve"> financial year</w:t>
      </w:r>
      <w:r w:rsidRPr="00FF5051">
        <w:rPr>
          <w:rFonts w:ascii="Arial" w:hAnsi="Arial"/>
          <w:b w:val="0"/>
          <w:sz w:val="24"/>
          <w:szCs w:val="24"/>
        </w:rPr>
        <w:t>. The operating cost of the @APRA system was shared by the agencies (</w:t>
      </w:r>
      <w:smartTag w:uri="urn:schemas-microsoft-com:office:smarttags" w:element="stockticker">
        <w:r w:rsidRPr="00FF5051">
          <w:rPr>
            <w:rFonts w:ascii="Arial" w:hAnsi="Arial"/>
            <w:b w:val="0"/>
            <w:sz w:val="24"/>
            <w:szCs w:val="24"/>
          </w:rPr>
          <w:t>RBA</w:t>
        </w:r>
      </w:smartTag>
      <w:r w:rsidRPr="00FF5051">
        <w:rPr>
          <w:rFonts w:ascii="Arial" w:hAnsi="Arial"/>
          <w:b w:val="0"/>
          <w:sz w:val="24"/>
          <w:szCs w:val="24"/>
        </w:rPr>
        <w:t>/</w:t>
      </w:r>
      <w:smartTag w:uri="urn:schemas-microsoft-com:office:smarttags" w:element="stockticker">
        <w:r w:rsidRPr="00FF5051">
          <w:rPr>
            <w:rFonts w:ascii="Arial" w:hAnsi="Arial"/>
            <w:b w:val="0"/>
            <w:sz w:val="24"/>
            <w:szCs w:val="24"/>
          </w:rPr>
          <w:t>ABS</w:t>
        </w:r>
      </w:smartTag>
      <w:r w:rsidRPr="00FF5051">
        <w:rPr>
          <w:rFonts w:ascii="Arial" w:hAnsi="Arial"/>
          <w:b w:val="0"/>
          <w:sz w:val="24"/>
          <w:szCs w:val="24"/>
        </w:rPr>
        <w:t xml:space="preserve">/APRA) in the following respective proportions: </w:t>
      </w:r>
      <w:r w:rsidR="0076082B">
        <w:rPr>
          <w:rFonts w:ascii="Arial" w:hAnsi="Arial"/>
          <w:b w:val="0"/>
          <w:sz w:val="24"/>
          <w:szCs w:val="24"/>
        </w:rPr>
        <w:t>17</w:t>
      </w:r>
      <w:r w:rsidRPr="0076082B">
        <w:rPr>
          <w:rFonts w:ascii="Arial" w:hAnsi="Arial"/>
          <w:b w:val="0"/>
          <w:sz w:val="24"/>
          <w:szCs w:val="24"/>
        </w:rPr>
        <w:t>%:</w:t>
      </w:r>
      <w:r w:rsidR="0076082B">
        <w:rPr>
          <w:rFonts w:ascii="Arial" w:hAnsi="Arial"/>
          <w:b w:val="0"/>
          <w:sz w:val="24"/>
          <w:szCs w:val="24"/>
        </w:rPr>
        <w:t>10</w:t>
      </w:r>
      <w:r w:rsidRPr="0076082B">
        <w:rPr>
          <w:rFonts w:ascii="Arial" w:hAnsi="Arial"/>
          <w:b w:val="0"/>
          <w:sz w:val="24"/>
          <w:szCs w:val="24"/>
        </w:rPr>
        <w:t>%:7</w:t>
      </w:r>
      <w:r w:rsidR="0076082B">
        <w:rPr>
          <w:rFonts w:ascii="Arial" w:hAnsi="Arial"/>
          <w:b w:val="0"/>
          <w:sz w:val="24"/>
          <w:szCs w:val="24"/>
        </w:rPr>
        <w:t>3</w:t>
      </w:r>
      <w:r w:rsidRPr="0076082B">
        <w:rPr>
          <w:rFonts w:ascii="Arial" w:hAnsi="Arial"/>
          <w:b w:val="0"/>
          <w:sz w:val="24"/>
          <w:szCs w:val="24"/>
        </w:rPr>
        <w:t>%.</w:t>
      </w:r>
    </w:p>
    <w:p w14:paraId="04684CF7" w14:textId="36DD5680" w:rsidR="002800C6" w:rsidRPr="00FF5051" w:rsidRDefault="002800C6" w:rsidP="002800C6">
      <w:pPr>
        <w:pStyle w:val="Heading"/>
        <w:ind w:left="540" w:hanging="540"/>
        <w:jc w:val="both"/>
        <w:rPr>
          <w:rFonts w:ascii="Arial" w:hAnsi="Arial"/>
          <w:b w:val="0"/>
          <w:sz w:val="24"/>
          <w:szCs w:val="24"/>
        </w:rPr>
      </w:pPr>
      <w:r w:rsidRPr="00FF5051">
        <w:rPr>
          <w:rFonts w:ascii="Arial" w:hAnsi="Arial"/>
          <w:b w:val="0"/>
          <w:sz w:val="24"/>
          <w:szCs w:val="24"/>
        </w:rPr>
        <w:t>-</w:t>
      </w:r>
      <w:r w:rsidRPr="00FF5051">
        <w:rPr>
          <w:rFonts w:ascii="Arial" w:hAnsi="Arial"/>
          <w:b w:val="0"/>
          <w:sz w:val="24"/>
          <w:szCs w:val="24"/>
        </w:rPr>
        <w:tab/>
        <w:t xml:space="preserve">The development costs of the @APRA system to be recovered for </w:t>
      </w:r>
      <w:r w:rsidR="0076082B">
        <w:rPr>
          <w:rFonts w:ascii="Arial" w:hAnsi="Arial"/>
          <w:b w:val="0"/>
          <w:sz w:val="24"/>
          <w:szCs w:val="24"/>
        </w:rPr>
        <w:t xml:space="preserve">2024/25 </w:t>
      </w:r>
      <w:r w:rsidRPr="00FF5051">
        <w:rPr>
          <w:rFonts w:ascii="Arial" w:hAnsi="Arial"/>
          <w:b w:val="0"/>
          <w:sz w:val="24"/>
          <w:szCs w:val="24"/>
        </w:rPr>
        <w:t xml:space="preserve">is based on the quantum of staffing resources consumed on delivering </w:t>
      </w:r>
      <w:r w:rsidR="00D026DD">
        <w:rPr>
          <w:rFonts w:ascii="Arial" w:hAnsi="Arial"/>
          <w:b w:val="0"/>
          <w:sz w:val="24"/>
          <w:szCs w:val="24"/>
        </w:rPr>
        <w:t>t</w:t>
      </w:r>
      <w:r w:rsidRPr="00FF5051">
        <w:rPr>
          <w:rFonts w:ascii="Arial" w:hAnsi="Arial"/>
          <w:b w:val="0"/>
          <w:sz w:val="24"/>
          <w:szCs w:val="24"/>
        </w:rPr>
        <w:t>he Economic and Financial Statistics (EFS) collection, informed by APRA’s time management system. This cost is amortised over a 5-year period based on an agreed proportion of 56% and 44% for the RBA and the ABS respectively. Prior to the development of the system, it was agreed that these costs would be recovered from the agencies over a 5-year period.</w:t>
      </w:r>
      <w:r w:rsidR="0017332D">
        <w:rPr>
          <w:rFonts w:ascii="Arial" w:hAnsi="Arial"/>
          <w:b w:val="0"/>
          <w:sz w:val="24"/>
          <w:szCs w:val="24"/>
        </w:rPr>
        <w:t xml:space="preserve"> Phase 1 costs were fully amortised by 30 Jun</w:t>
      </w:r>
      <w:r w:rsidR="005F1AC6">
        <w:rPr>
          <w:rFonts w:ascii="Arial" w:hAnsi="Arial"/>
          <w:b w:val="0"/>
          <w:sz w:val="24"/>
          <w:szCs w:val="24"/>
        </w:rPr>
        <w:t>e</w:t>
      </w:r>
      <w:r w:rsidR="005D7266">
        <w:rPr>
          <w:rFonts w:ascii="Arial" w:hAnsi="Arial"/>
          <w:b w:val="0"/>
          <w:sz w:val="24"/>
          <w:szCs w:val="24"/>
        </w:rPr>
        <w:t xml:space="preserve"> 2024. Phase 2 will fully amortise </w:t>
      </w:r>
      <w:r w:rsidR="00EB35FC">
        <w:rPr>
          <w:rFonts w:ascii="Arial" w:hAnsi="Arial"/>
          <w:b w:val="0"/>
          <w:sz w:val="24"/>
          <w:szCs w:val="24"/>
        </w:rPr>
        <w:t>on 30 Jun</w:t>
      </w:r>
      <w:r w:rsidR="00747769">
        <w:rPr>
          <w:rFonts w:ascii="Arial" w:hAnsi="Arial"/>
          <w:b w:val="0"/>
          <w:sz w:val="24"/>
          <w:szCs w:val="24"/>
        </w:rPr>
        <w:t>e</w:t>
      </w:r>
      <w:r w:rsidR="00EB35FC">
        <w:rPr>
          <w:rFonts w:ascii="Arial" w:hAnsi="Arial"/>
          <w:b w:val="0"/>
          <w:sz w:val="24"/>
          <w:szCs w:val="24"/>
        </w:rPr>
        <w:t xml:space="preserve"> 2026.</w:t>
      </w:r>
    </w:p>
    <w:p w14:paraId="5524A162" w14:textId="4FECEC72" w:rsidR="00B36485" w:rsidRDefault="002800C6" w:rsidP="00167A99">
      <w:pPr>
        <w:pStyle w:val="Heading"/>
        <w:ind w:left="540" w:hanging="540"/>
        <w:jc w:val="both"/>
        <w:rPr>
          <w:rFonts w:ascii="Arial" w:hAnsi="Arial"/>
          <w:b w:val="0"/>
          <w:sz w:val="24"/>
          <w:szCs w:val="24"/>
        </w:rPr>
      </w:pPr>
      <w:r w:rsidRPr="00FF5051">
        <w:rPr>
          <w:rFonts w:ascii="Arial" w:hAnsi="Arial"/>
          <w:b w:val="0"/>
          <w:sz w:val="24"/>
          <w:szCs w:val="24"/>
        </w:rPr>
        <w:t>-</w:t>
      </w:r>
      <w:r w:rsidRPr="00FF5051">
        <w:rPr>
          <w:rFonts w:ascii="Arial" w:hAnsi="Arial"/>
          <w:b w:val="0"/>
          <w:sz w:val="24"/>
          <w:szCs w:val="24"/>
        </w:rPr>
        <w:tab/>
        <w:t xml:space="preserve">The cost of maintenance and operation of the APIs during </w:t>
      </w:r>
      <w:r w:rsidR="005F4295">
        <w:rPr>
          <w:rFonts w:ascii="Arial" w:hAnsi="Arial"/>
          <w:b w:val="0"/>
          <w:sz w:val="24"/>
          <w:szCs w:val="24"/>
        </w:rPr>
        <w:t>2024/25</w:t>
      </w:r>
      <w:r w:rsidRPr="00FF5051">
        <w:rPr>
          <w:rFonts w:ascii="Arial" w:hAnsi="Arial"/>
          <w:b w:val="0"/>
          <w:sz w:val="24"/>
          <w:szCs w:val="24"/>
        </w:rPr>
        <w:t xml:space="preserve"> was calculated based on the quantum of staffing resources consumed. These resources were costed based on the time spent on the API related activities, the average yearly staffing costs of the resources involved and an indirect overhead cost allocation. These costs are borne by the RBA </w:t>
      </w:r>
      <w:proofErr w:type="gramStart"/>
      <w:r w:rsidRPr="00FF5051">
        <w:rPr>
          <w:rFonts w:ascii="Arial" w:hAnsi="Arial"/>
          <w:b w:val="0"/>
          <w:sz w:val="24"/>
          <w:szCs w:val="24"/>
        </w:rPr>
        <w:t>due to the fact that</w:t>
      </w:r>
      <w:proofErr w:type="gramEnd"/>
      <w:r w:rsidRPr="00FF5051">
        <w:rPr>
          <w:rFonts w:ascii="Arial" w:hAnsi="Arial"/>
          <w:b w:val="0"/>
          <w:sz w:val="24"/>
          <w:szCs w:val="24"/>
        </w:rPr>
        <w:t xml:space="preserve"> the APIs were implemented to meet the needs of the RBA. </w:t>
      </w:r>
    </w:p>
    <w:p w14:paraId="6D706E09" w14:textId="63B7B9B0" w:rsidR="00B36485" w:rsidRPr="00167A99" w:rsidRDefault="00785721" w:rsidP="00167A99">
      <w:pPr>
        <w:pStyle w:val="Heading"/>
        <w:numPr>
          <w:ilvl w:val="0"/>
          <w:numId w:val="12"/>
        </w:numPr>
        <w:jc w:val="both"/>
        <w:rPr>
          <w:rFonts w:ascii="Arial" w:hAnsi="Arial"/>
          <w:b w:val="0"/>
          <w:color w:val="000000" w:themeColor="text1"/>
          <w:sz w:val="24"/>
          <w:szCs w:val="24"/>
        </w:rPr>
      </w:pPr>
      <w:r w:rsidRPr="0030070E">
        <w:rPr>
          <w:rFonts w:ascii="Arial" w:hAnsi="Arial"/>
          <w:b w:val="0"/>
          <w:sz w:val="24"/>
          <w:szCs w:val="24"/>
        </w:rPr>
        <w:t>On the above basis</w:t>
      </w:r>
      <w:r w:rsidR="00FE1798" w:rsidRPr="0030070E">
        <w:rPr>
          <w:rFonts w:ascii="Arial" w:hAnsi="Arial"/>
          <w:b w:val="0"/>
          <w:sz w:val="24"/>
          <w:szCs w:val="24"/>
        </w:rPr>
        <w:t>,</w:t>
      </w:r>
      <w:r w:rsidRPr="0030070E">
        <w:rPr>
          <w:rFonts w:ascii="Arial" w:hAnsi="Arial"/>
          <w:b w:val="0"/>
          <w:sz w:val="24"/>
          <w:szCs w:val="24"/>
        </w:rPr>
        <w:t xml:space="preserve"> it </w:t>
      </w:r>
      <w:r w:rsidR="00854FAA" w:rsidRPr="0030070E">
        <w:rPr>
          <w:rFonts w:ascii="Arial" w:hAnsi="Arial"/>
          <w:b w:val="0"/>
          <w:sz w:val="24"/>
          <w:szCs w:val="24"/>
        </w:rPr>
        <w:t>was</w:t>
      </w:r>
      <w:r w:rsidRPr="0030070E">
        <w:rPr>
          <w:rFonts w:ascii="Arial" w:hAnsi="Arial"/>
          <w:b w:val="0"/>
          <w:sz w:val="24"/>
          <w:szCs w:val="24"/>
        </w:rPr>
        <w:t xml:space="preserve"> determined that the total cost of </w:t>
      </w:r>
      <w:r w:rsidR="00FE1798" w:rsidRPr="0030070E">
        <w:rPr>
          <w:rFonts w:ascii="Arial" w:hAnsi="Arial"/>
          <w:b w:val="0"/>
          <w:sz w:val="24"/>
          <w:szCs w:val="24"/>
        </w:rPr>
        <w:t xml:space="preserve">the </w:t>
      </w:r>
      <w:r w:rsidRPr="0030070E">
        <w:rPr>
          <w:rFonts w:ascii="Arial" w:hAnsi="Arial"/>
          <w:b w:val="0"/>
          <w:sz w:val="24"/>
          <w:szCs w:val="24"/>
        </w:rPr>
        <w:t xml:space="preserve">services </w:t>
      </w:r>
      <w:r w:rsidR="00FE1798" w:rsidRPr="0030070E">
        <w:rPr>
          <w:rFonts w:ascii="Arial" w:hAnsi="Arial"/>
          <w:b w:val="0"/>
          <w:sz w:val="24"/>
          <w:szCs w:val="24"/>
        </w:rPr>
        <w:t xml:space="preserve">provided </w:t>
      </w:r>
      <w:r w:rsidRPr="0030070E">
        <w:rPr>
          <w:rFonts w:ascii="Arial" w:hAnsi="Arial"/>
          <w:b w:val="0"/>
          <w:sz w:val="24"/>
          <w:szCs w:val="24"/>
        </w:rPr>
        <w:t>to</w:t>
      </w:r>
      <w:r w:rsidR="00FE1798" w:rsidRPr="0030070E">
        <w:rPr>
          <w:rFonts w:ascii="Arial" w:hAnsi="Arial"/>
          <w:b w:val="0"/>
          <w:sz w:val="24"/>
          <w:szCs w:val="24"/>
        </w:rPr>
        <w:t xml:space="preserve"> the</w:t>
      </w:r>
      <w:r w:rsidRPr="0030070E">
        <w:rPr>
          <w:rFonts w:ascii="Arial" w:hAnsi="Arial"/>
          <w:b w:val="0"/>
          <w:sz w:val="24"/>
          <w:szCs w:val="24"/>
        </w:rPr>
        <w:t xml:space="preserve"> </w:t>
      </w:r>
      <w:smartTag w:uri="urn:schemas-microsoft-com:office:smarttags" w:element="stockticker">
        <w:r w:rsidRPr="0030070E">
          <w:rPr>
            <w:rFonts w:ascii="Arial" w:hAnsi="Arial"/>
            <w:b w:val="0"/>
            <w:sz w:val="24"/>
            <w:szCs w:val="24"/>
          </w:rPr>
          <w:t>RBA</w:t>
        </w:r>
      </w:smartTag>
      <w:r w:rsidRPr="0030070E">
        <w:rPr>
          <w:rFonts w:ascii="Arial" w:hAnsi="Arial"/>
          <w:b w:val="0"/>
          <w:sz w:val="24"/>
          <w:szCs w:val="24"/>
        </w:rPr>
        <w:t xml:space="preserve"> amounts to </w:t>
      </w:r>
      <w:r w:rsidRPr="00167A99">
        <w:rPr>
          <w:rFonts w:ascii="Arial" w:hAnsi="Arial"/>
          <w:b w:val="0"/>
          <w:color w:val="000000" w:themeColor="text1"/>
          <w:sz w:val="24"/>
          <w:szCs w:val="24"/>
        </w:rPr>
        <w:t>$</w:t>
      </w:r>
      <w:r w:rsidR="00765D1F" w:rsidRPr="00167A99">
        <w:rPr>
          <w:rFonts w:ascii="Arial" w:hAnsi="Arial"/>
          <w:b w:val="0"/>
          <w:color w:val="000000" w:themeColor="text1"/>
          <w:sz w:val="24"/>
          <w:szCs w:val="24"/>
        </w:rPr>
        <w:t>536,101</w:t>
      </w:r>
      <w:r w:rsidR="001A58B3" w:rsidRPr="00167A99">
        <w:rPr>
          <w:rFonts w:ascii="Arial" w:hAnsi="Arial"/>
          <w:b w:val="0"/>
          <w:color w:val="000000" w:themeColor="text1"/>
          <w:sz w:val="24"/>
          <w:szCs w:val="24"/>
        </w:rPr>
        <w:t>.</w:t>
      </w:r>
      <w:r w:rsidR="00782621" w:rsidRPr="00167A99">
        <w:rPr>
          <w:rFonts w:ascii="Arial" w:hAnsi="Arial"/>
          <w:b w:val="0"/>
          <w:color w:val="000000" w:themeColor="text1"/>
          <w:sz w:val="24"/>
          <w:szCs w:val="24"/>
        </w:rPr>
        <w:t xml:space="preserve"> This amount consists of </w:t>
      </w:r>
      <w:r w:rsidR="001A58B3" w:rsidRPr="00167A99">
        <w:rPr>
          <w:rFonts w:ascii="Arial" w:hAnsi="Arial"/>
          <w:b w:val="0"/>
          <w:color w:val="000000" w:themeColor="text1"/>
          <w:sz w:val="24"/>
          <w:szCs w:val="24"/>
        </w:rPr>
        <w:t>$</w:t>
      </w:r>
      <w:r w:rsidR="00765D1F" w:rsidRPr="00167A99">
        <w:rPr>
          <w:rFonts w:ascii="Arial" w:hAnsi="Arial"/>
          <w:b w:val="0"/>
          <w:color w:val="000000" w:themeColor="text1"/>
          <w:sz w:val="24"/>
          <w:szCs w:val="24"/>
        </w:rPr>
        <w:t>420,486</w:t>
      </w:r>
      <w:r w:rsidR="00782621" w:rsidRPr="00167A99">
        <w:rPr>
          <w:rFonts w:ascii="Arial" w:hAnsi="Arial"/>
          <w:b w:val="0"/>
          <w:color w:val="000000" w:themeColor="text1"/>
          <w:sz w:val="24"/>
          <w:szCs w:val="24"/>
        </w:rPr>
        <w:t xml:space="preserve"> </w:t>
      </w:r>
      <w:r w:rsidR="33701521" w:rsidRPr="00167A99">
        <w:rPr>
          <w:rFonts w:ascii="Arial" w:hAnsi="Arial"/>
          <w:b w:val="0"/>
          <w:color w:val="000000" w:themeColor="text1"/>
          <w:sz w:val="24"/>
          <w:szCs w:val="24"/>
        </w:rPr>
        <w:t xml:space="preserve">for </w:t>
      </w:r>
      <w:r w:rsidR="00FC1C49" w:rsidRPr="00167A99">
        <w:rPr>
          <w:rFonts w:ascii="Arial" w:hAnsi="Arial"/>
          <w:b w:val="0"/>
          <w:color w:val="000000" w:themeColor="text1"/>
          <w:sz w:val="24"/>
          <w:szCs w:val="24"/>
        </w:rPr>
        <w:t xml:space="preserve">the </w:t>
      </w:r>
      <w:r w:rsidR="33701521" w:rsidRPr="00167A99">
        <w:rPr>
          <w:rFonts w:ascii="Arial" w:hAnsi="Arial"/>
          <w:b w:val="0"/>
          <w:color w:val="000000" w:themeColor="text1"/>
          <w:sz w:val="24"/>
          <w:szCs w:val="24"/>
        </w:rPr>
        <w:t>provision of statistical information</w:t>
      </w:r>
      <w:r w:rsidR="006F38AC" w:rsidRPr="00167A99">
        <w:rPr>
          <w:rFonts w:ascii="Arial" w:hAnsi="Arial"/>
          <w:b w:val="0"/>
          <w:color w:val="000000" w:themeColor="text1"/>
          <w:sz w:val="24"/>
          <w:szCs w:val="24"/>
        </w:rPr>
        <w:t xml:space="preserve">, </w:t>
      </w:r>
      <w:r w:rsidR="001A58B3" w:rsidRPr="00167A99">
        <w:rPr>
          <w:rFonts w:ascii="Arial" w:hAnsi="Arial"/>
          <w:b w:val="0"/>
          <w:color w:val="000000" w:themeColor="text1"/>
          <w:sz w:val="24"/>
          <w:szCs w:val="24"/>
        </w:rPr>
        <w:t>$</w:t>
      </w:r>
      <w:r w:rsidR="00F50114" w:rsidRPr="00167A99">
        <w:rPr>
          <w:rFonts w:ascii="Arial" w:hAnsi="Arial"/>
          <w:b w:val="0"/>
          <w:color w:val="000000" w:themeColor="text1"/>
          <w:sz w:val="24"/>
          <w:szCs w:val="24"/>
        </w:rPr>
        <w:t>18,189</w:t>
      </w:r>
      <w:r w:rsidR="00782621" w:rsidRPr="00167A99">
        <w:rPr>
          <w:rFonts w:ascii="Arial" w:hAnsi="Arial"/>
          <w:b w:val="0"/>
          <w:color w:val="000000" w:themeColor="text1"/>
          <w:sz w:val="24"/>
          <w:szCs w:val="24"/>
        </w:rPr>
        <w:t xml:space="preserve"> </w:t>
      </w:r>
      <w:r w:rsidR="00ED0462" w:rsidRPr="00167A99">
        <w:rPr>
          <w:rFonts w:ascii="Arial" w:hAnsi="Arial"/>
          <w:b w:val="0"/>
          <w:color w:val="000000" w:themeColor="text1"/>
          <w:sz w:val="24"/>
          <w:szCs w:val="24"/>
        </w:rPr>
        <w:t>for the</w:t>
      </w:r>
      <w:r w:rsidR="00ED0462" w:rsidRPr="00167A99">
        <w:rPr>
          <w:rFonts w:ascii="Arial" w:hAnsi="Arial"/>
          <w:color w:val="000000" w:themeColor="text1"/>
          <w:sz w:val="24"/>
          <w:szCs w:val="24"/>
        </w:rPr>
        <w:t xml:space="preserve"> </w:t>
      </w:r>
      <w:r w:rsidR="00ED0462" w:rsidRPr="00167A99">
        <w:rPr>
          <w:rFonts w:ascii="Arial" w:hAnsi="Arial"/>
          <w:b w:val="0"/>
          <w:color w:val="000000" w:themeColor="text1"/>
          <w:sz w:val="24"/>
          <w:szCs w:val="24"/>
        </w:rPr>
        <w:t>development cost of the EFS collection system</w:t>
      </w:r>
      <w:r w:rsidR="00ED0462" w:rsidRPr="00167A99">
        <w:rPr>
          <w:rFonts w:ascii="Arial" w:hAnsi="Arial"/>
          <w:color w:val="000000" w:themeColor="text1"/>
          <w:sz w:val="22"/>
          <w:szCs w:val="22"/>
        </w:rPr>
        <w:t xml:space="preserve"> </w:t>
      </w:r>
      <w:r w:rsidR="006F38AC" w:rsidRPr="00167A99">
        <w:rPr>
          <w:rFonts w:ascii="Arial" w:hAnsi="Arial"/>
          <w:b w:val="0"/>
          <w:color w:val="000000" w:themeColor="text1"/>
          <w:sz w:val="24"/>
          <w:szCs w:val="24"/>
        </w:rPr>
        <w:t>and $</w:t>
      </w:r>
      <w:r w:rsidR="00BC0F8C" w:rsidRPr="00167A99">
        <w:rPr>
          <w:rFonts w:ascii="Arial" w:hAnsi="Arial"/>
          <w:b w:val="0"/>
          <w:color w:val="000000" w:themeColor="text1"/>
          <w:sz w:val="24"/>
          <w:szCs w:val="24"/>
        </w:rPr>
        <w:t>97,426</w:t>
      </w:r>
      <w:r w:rsidR="006F38AC" w:rsidRPr="00167A99">
        <w:rPr>
          <w:rFonts w:ascii="Arial" w:hAnsi="Arial"/>
          <w:b w:val="0"/>
          <w:color w:val="000000" w:themeColor="text1"/>
          <w:sz w:val="24"/>
          <w:szCs w:val="24"/>
        </w:rPr>
        <w:t xml:space="preserve"> </w:t>
      </w:r>
      <w:r w:rsidR="006A38CC" w:rsidRPr="00167A99">
        <w:rPr>
          <w:rFonts w:ascii="Arial" w:hAnsi="Arial"/>
          <w:b w:val="0"/>
          <w:color w:val="000000" w:themeColor="text1"/>
          <w:sz w:val="24"/>
          <w:szCs w:val="24"/>
        </w:rPr>
        <w:t>for the</w:t>
      </w:r>
      <w:r w:rsidR="006A38CC" w:rsidRPr="00167A99">
        <w:rPr>
          <w:rFonts w:ascii="Arial" w:hAnsi="Arial"/>
          <w:color w:val="000000" w:themeColor="text1"/>
          <w:sz w:val="24"/>
          <w:szCs w:val="24"/>
        </w:rPr>
        <w:t xml:space="preserve"> </w:t>
      </w:r>
      <w:r w:rsidR="006A38CC" w:rsidRPr="00167A99">
        <w:rPr>
          <w:rFonts w:ascii="Arial" w:hAnsi="Arial"/>
          <w:b w:val="0"/>
          <w:color w:val="000000" w:themeColor="text1"/>
          <w:sz w:val="24"/>
          <w:szCs w:val="24"/>
        </w:rPr>
        <w:t>maintenance and support costs of the data sharing APIs used by the RBA</w:t>
      </w:r>
      <w:r w:rsidR="00782621" w:rsidRPr="00167A99">
        <w:rPr>
          <w:rFonts w:ascii="Arial" w:hAnsi="Arial"/>
          <w:b w:val="0"/>
          <w:color w:val="000000" w:themeColor="text1"/>
          <w:sz w:val="24"/>
          <w:szCs w:val="24"/>
        </w:rPr>
        <w:t xml:space="preserve">.  </w:t>
      </w:r>
    </w:p>
    <w:p w14:paraId="52874D5F" w14:textId="6B57CF09" w:rsidR="00C550A4" w:rsidRDefault="00785721" w:rsidP="00167A99">
      <w:pPr>
        <w:pStyle w:val="Heading"/>
        <w:numPr>
          <w:ilvl w:val="0"/>
          <w:numId w:val="12"/>
        </w:numPr>
        <w:rPr>
          <w:rFonts w:ascii="Arial" w:hAnsi="Arial"/>
          <w:b w:val="0"/>
          <w:i/>
          <w:sz w:val="24"/>
          <w:szCs w:val="24"/>
        </w:rPr>
      </w:pPr>
      <w:r w:rsidRPr="00167A99">
        <w:rPr>
          <w:rFonts w:ascii="Arial" w:hAnsi="Arial"/>
          <w:b w:val="0"/>
          <w:color w:val="000000" w:themeColor="text1"/>
          <w:sz w:val="24"/>
          <w:szCs w:val="24"/>
        </w:rPr>
        <w:t xml:space="preserve">The total costs of services to the </w:t>
      </w:r>
      <w:smartTag w:uri="urn:schemas-microsoft-com:office:smarttags" w:element="stockticker">
        <w:r w:rsidRPr="00167A99">
          <w:rPr>
            <w:rFonts w:ascii="Arial" w:hAnsi="Arial"/>
            <w:b w:val="0"/>
            <w:color w:val="000000" w:themeColor="text1"/>
            <w:sz w:val="24"/>
            <w:szCs w:val="24"/>
          </w:rPr>
          <w:t>ABS</w:t>
        </w:r>
      </w:smartTag>
      <w:r w:rsidRPr="00167A99">
        <w:rPr>
          <w:rFonts w:ascii="Arial" w:hAnsi="Arial"/>
          <w:b w:val="0"/>
          <w:color w:val="000000" w:themeColor="text1"/>
          <w:sz w:val="24"/>
          <w:szCs w:val="24"/>
        </w:rPr>
        <w:t xml:space="preserve"> have been determined to be $</w:t>
      </w:r>
      <w:r w:rsidR="005827E8" w:rsidRPr="00167A99">
        <w:rPr>
          <w:rFonts w:ascii="Arial" w:hAnsi="Arial"/>
          <w:b w:val="0"/>
          <w:color w:val="000000" w:themeColor="text1"/>
          <w:sz w:val="24"/>
          <w:szCs w:val="24"/>
        </w:rPr>
        <w:t>257,783</w:t>
      </w:r>
      <w:r w:rsidRPr="00167A99">
        <w:rPr>
          <w:rFonts w:ascii="Arial" w:hAnsi="Arial"/>
          <w:b w:val="0"/>
          <w:color w:val="000000" w:themeColor="text1"/>
          <w:sz w:val="24"/>
          <w:szCs w:val="24"/>
        </w:rPr>
        <w:t>.</w:t>
      </w:r>
      <w:r w:rsidR="00782621" w:rsidRPr="00167A99">
        <w:rPr>
          <w:rFonts w:ascii="Arial" w:hAnsi="Arial"/>
          <w:b w:val="0"/>
          <w:color w:val="000000" w:themeColor="text1"/>
          <w:sz w:val="24"/>
          <w:szCs w:val="24"/>
        </w:rPr>
        <w:t xml:space="preserve"> This amount consists of </w:t>
      </w:r>
      <w:r w:rsidR="00116D49" w:rsidRPr="00167A99">
        <w:rPr>
          <w:rFonts w:ascii="Arial" w:hAnsi="Arial"/>
          <w:b w:val="0"/>
          <w:color w:val="000000" w:themeColor="text1"/>
          <w:sz w:val="24"/>
          <w:szCs w:val="24"/>
        </w:rPr>
        <w:t>$</w:t>
      </w:r>
      <w:r w:rsidR="004E1F90" w:rsidRPr="00167A99">
        <w:rPr>
          <w:rFonts w:ascii="Arial" w:hAnsi="Arial"/>
          <w:b w:val="0"/>
          <w:color w:val="000000" w:themeColor="text1"/>
          <w:sz w:val="24"/>
          <w:szCs w:val="24"/>
        </w:rPr>
        <w:t>243,492</w:t>
      </w:r>
      <w:r w:rsidR="00297EB5" w:rsidRPr="00167A99">
        <w:rPr>
          <w:rFonts w:ascii="Arial" w:hAnsi="Arial"/>
          <w:b w:val="0"/>
          <w:color w:val="000000" w:themeColor="text1"/>
          <w:sz w:val="24"/>
          <w:szCs w:val="24"/>
        </w:rPr>
        <w:t xml:space="preserve"> </w:t>
      </w:r>
      <w:r w:rsidR="00BC10E6" w:rsidRPr="00167A99">
        <w:rPr>
          <w:rFonts w:ascii="Arial" w:hAnsi="Arial"/>
          <w:b w:val="0"/>
          <w:color w:val="000000" w:themeColor="text1"/>
          <w:sz w:val="24"/>
          <w:szCs w:val="24"/>
        </w:rPr>
        <w:t>for the provision of statistical information</w:t>
      </w:r>
      <w:r w:rsidR="00C550A4" w:rsidRPr="00167A99">
        <w:rPr>
          <w:rFonts w:ascii="Arial" w:hAnsi="Arial"/>
          <w:b w:val="0"/>
          <w:color w:val="000000" w:themeColor="text1"/>
          <w:sz w:val="24"/>
          <w:szCs w:val="24"/>
        </w:rPr>
        <w:t xml:space="preserve"> </w:t>
      </w:r>
      <w:r w:rsidR="00782621" w:rsidRPr="00167A99">
        <w:rPr>
          <w:rFonts w:ascii="Arial" w:hAnsi="Arial"/>
          <w:b w:val="0"/>
          <w:color w:val="000000" w:themeColor="text1"/>
          <w:sz w:val="24"/>
          <w:szCs w:val="24"/>
        </w:rPr>
        <w:t xml:space="preserve">and </w:t>
      </w:r>
      <w:r w:rsidR="00116D49" w:rsidRPr="00167A99">
        <w:rPr>
          <w:rFonts w:ascii="Arial" w:hAnsi="Arial"/>
          <w:b w:val="0"/>
          <w:color w:val="000000" w:themeColor="text1"/>
          <w:sz w:val="24"/>
          <w:szCs w:val="24"/>
        </w:rPr>
        <w:t>$</w:t>
      </w:r>
      <w:r w:rsidR="00FD625A" w:rsidRPr="00167A99">
        <w:rPr>
          <w:rFonts w:ascii="Arial" w:hAnsi="Arial"/>
          <w:b w:val="0"/>
          <w:color w:val="000000" w:themeColor="text1"/>
          <w:sz w:val="24"/>
          <w:szCs w:val="24"/>
        </w:rPr>
        <w:t>14,291</w:t>
      </w:r>
      <w:r w:rsidR="00C550A4" w:rsidRPr="00167A99">
        <w:rPr>
          <w:rFonts w:ascii="Arial" w:hAnsi="Arial"/>
          <w:b w:val="0"/>
          <w:color w:val="000000" w:themeColor="text1"/>
          <w:sz w:val="24"/>
          <w:szCs w:val="24"/>
        </w:rPr>
        <w:t xml:space="preserve"> for the</w:t>
      </w:r>
      <w:r w:rsidR="00C550A4" w:rsidRPr="00167A99">
        <w:rPr>
          <w:rFonts w:ascii="Arial" w:hAnsi="Arial"/>
          <w:color w:val="000000" w:themeColor="text1"/>
          <w:sz w:val="24"/>
          <w:szCs w:val="24"/>
        </w:rPr>
        <w:t xml:space="preserve"> </w:t>
      </w:r>
      <w:r w:rsidR="00C550A4" w:rsidRPr="00167A99">
        <w:rPr>
          <w:rFonts w:ascii="Arial" w:hAnsi="Arial"/>
          <w:b w:val="0"/>
          <w:color w:val="000000" w:themeColor="text1"/>
          <w:sz w:val="24"/>
          <w:szCs w:val="24"/>
        </w:rPr>
        <w:t>development cost of the EFS collection system</w:t>
      </w:r>
      <w:r w:rsidR="00782621" w:rsidRPr="00116D49">
        <w:rPr>
          <w:rFonts w:ascii="Arial" w:hAnsi="Arial"/>
          <w:b w:val="0"/>
          <w:sz w:val="24"/>
          <w:szCs w:val="24"/>
        </w:rPr>
        <w:t>.</w:t>
      </w:r>
      <w:r w:rsidR="00782621">
        <w:rPr>
          <w:rFonts w:ascii="Arial" w:hAnsi="Arial"/>
          <w:b w:val="0"/>
          <w:sz w:val="24"/>
          <w:szCs w:val="24"/>
        </w:rPr>
        <w:t xml:space="preserve"> </w:t>
      </w:r>
      <w:r w:rsidR="003F1710">
        <w:rPr>
          <w:rFonts w:ascii="Arial" w:hAnsi="Arial"/>
          <w:b w:val="0"/>
          <w:sz w:val="24"/>
          <w:szCs w:val="24"/>
        </w:rPr>
        <w:br/>
      </w:r>
    </w:p>
    <w:p w14:paraId="1CA834C9" w14:textId="77777777" w:rsidR="00017BAC" w:rsidRDefault="00785721" w:rsidP="00A82408">
      <w:pPr>
        <w:pStyle w:val="Heading"/>
        <w:keepNext w:val="0"/>
        <w:tabs>
          <w:tab w:val="left" w:pos="4820"/>
        </w:tabs>
        <w:spacing w:before="0"/>
        <w:ind w:left="539" w:hanging="539"/>
        <w:rPr>
          <w:rFonts w:ascii="Arial" w:hAnsi="Arial"/>
          <w:b w:val="0"/>
          <w:sz w:val="24"/>
          <w:szCs w:val="24"/>
        </w:rPr>
      </w:pPr>
      <w:r w:rsidRPr="009A569B">
        <w:rPr>
          <w:rFonts w:ascii="Arial" w:hAnsi="Arial"/>
          <w:b w:val="0"/>
          <w:i/>
          <w:sz w:val="24"/>
          <w:szCs w:val="24"/>
        </w:rPr>
        <w:t>Charges must be reasonably related to the costs and expenses incurred</w:t>
      </w:r>
      <w:r w:rsidR="00B978C4">
        <w:rPr>
          <w:rFonts w:ascii="Arial" w:hAnsi="Arial"/>
          <w:b w:val="0"/>
          <w:i/>
          <w:sz w:val="24"/>
          <w:szCs w:val="24"/>
        </w:rPr>
        <w:br/>
      </w:r>
    </w:p>
    <w:p w14:paraId="60B72449" w14:textId="77777777" w:rsidR="00A82408" w:rsidRDefault="00785721" w:rsidP="00A82408">
      <w:pPr>
        <w:pStyle w:val="Heading"/>
        <w:keepNext w:val="0"/>
        <w:tabs>
          <w:tab w:val="left" w:pos="4820"/>
        </w:tabs>
        <w:spacing w:before="0" w:after="240"/>
        <w:rPr>
          <w:rFonts w:ascii="Arial" w:hAnsi="Arial"/>
          <w:b w:val="0"/>
          <w:sz w:val="24"/>
          <w:szCs w:val="24"/>
        </w:rPr>
      </w:pPr>
      <w:r w:rsidRPr="00853887">
        <w:rPr>
          <w:rFonts w:ascii="Arial" w:hAnsi="Arial"/>
          <w:b w:val="0"/>
          <w:sz w:val="24"/>
          <w:szCs w:val="24"/>
        </w:rPr>
        <w:t>As indicated above, the charges set by the instrument are calculated on a cost recovery basis for the services for which the charges are imposed subject to budgetary constraints of the respective agencies. The charges incorporate staff costs of operating</w:t>
      </w:r>
      <w:r w:rsidR="00853887" w:rsidRPr="00853887">
        <w:rPr>
          <w:rFonts w:ascii="Arial" w:hAnsi="Arial"/>
          <w:b w:val="0"/>
          <w:sz w:val="24"/>
          <w:szCs w:val="24"/>
        </w:rPr>
        <w:t xml:space="preserve"> and developing </w:t>
      </w:r>
      <w:r w:rsidRPr="00853887">
        <w:rPr>
          <w:rFonts w:ascii="Arial" w:hAnsi="Arial"/>
          <w:b w:val="0"/>
          <w:sz w:val="24"/>
          <w:szCs w:val="24"/>
        </w:rPr>
        <w:t xml:space="preserve">the </w:t>
      </w:r>
      <w:proofErr w:type="gramStart"/>
      <w:r w:rsidRPr="00853887">
        <w:rPr>
          <w:rFonts w:ascii="Arial" w:hAnsi="Arial"/>
          <w:b w:val="0"/>
          <w:sz w:val="24"/>
          <w:szCs w:val="24"/>
        </w:rPr>
        <w:t>system, and</w:t>
      </w:r>
      <w:proofErr w:type="gramEnd"/>
      <w:r w:rsidRPr="00853887">
        <w:rPr>
          <w:rFonts w:ascii="Arial" w:hAnsi="Arial"/>
          <w:b w:val="0"/>
          <w:sz w:val="24"/>
          <w:szCs w:val="24"/>
        </w:rPr>
        <w:t xml:space="preserve"> are allocated to the RBA and the ABS based on their proportionate </w:t>
      </w:r>
      <w:r w:rsidR="00AC0D44" w:rsidRPr="00853887">
        <w:rPr>
          <w:rFonts w:ascii="Arial" w:hAnsi="Arial"/>
          <w:b w:val="0"/>
          <w:sz w:val="24"/>
          <w:szCs w:val="24"/>
        </w:rPr>
        <w:t xml:space="preserve">usage of </w:t>
      </w:r>
      <w:r w:rsidR="000C5EC3" w:rsidRPr="00853887">
        <w:rPr>
          <w:rFonts w:ascii="Arial" w:hAnsi="Arial"/>
          <w:b w:val="0"/>
          <w:sz w:val="24"/>
          <w:szCs w:val="24"/>
        </w:rPr>
        <w:t>the</w:t>
      </w:r>
      <w:r w:rsidRPr="00853887">
        <w:rPr>
          <w:rFonts w:ascii="Arial" w:hAnsi="Arial"/>
          <w:b w:val="0"/>
          <w:sz w:val="24"/>
          <w:szCs w:val="24"/>
        </w:rPr>
        <w:t xml:space="preserve"> system.</w:t>
      </w:r>
    </w:p>
    <w:p w14:paraId="62E93254" w14:textId="77777777" w:rsidR="00A82408" w:rsidRDefault="00785721" w:rsidP="00A82408">
      <w:pPr>
        <w:pStyle w:val="Heading"/>
        <w:keepNext w:val="0"/>
        <w:tabs>
          <w:tab w:val="left" w:pos="4820"/>
        </w:tabs>
        <w:spacing w:before="0" w:after="240"/>
        <w:rPr>
          <w:rFonts w:ascii="Arial" w:hAnsi="Arial"/>
          <w:b w:val="0"/>
          <w:i/>
          <w:sz w:val="24"/>
          <w:szCs w:val="24"/>
        </w:rPr>
      </w:pPr>
      <w:r w:rsidRPr="009A569B">
        <w:rPr>
          <w:rFonts w:ascii="Arial" w:hAnsi="Arial"/>
          <w:b w:val="0"/>
          <w:i/>
          <w:sz w:val="24"/>
          <w:szCs w:val="24"/>
        </w:rPr>
        <w:t>Charges must not amount to taxation</w:t>
      </w:r>
    </w:p>
    <w:p w14:paraId="5392F7AC" w14:textId="7DA94C83" w:rsidR="00785721" w:rsidRPr="009A569B" w:rsidRDefault="00785721" w:rsidP="00A82408">
      <w:pPr>
        <w:pStyle w:val="Heading"/>
        <w:keepNext w:val="0"/>
        <w:tabs>
          <w:tab w:val="left" w:pos="4820"/>
        </w:tabs>
        <w:spacing w:before="0" w:after="120"/>
        <w:rPr>
          <w:rFonts w:ascii="Arial" w:hAnsi="Arial"/>
          <w:b w:val="0"/>
          <w:sz w:val="24"/>
          <w:szCs w:val="24"/>
        </w:rPr>
      </w:pPr>
      <w:r w:rsidRPr="009A569B">
        <w:rPr>
          <w:rFonts w:ascii="Arial" w:hAnsi="Arial"/>
          <w:b w:val="0"/>
          <w:sz w:val="24"/>
          <w:szCs w:val="24"/>
        </w:rPr>
        <w:t>As the charges are reasonably related to the costs incurred by APRA in providing the services concerned, they do not amount to taxation.</w:t>
      </w:r>
    </w:p>
    <w:p w14:paraId="27E2F249" w14:textId="3AB0AE48" w:rsidR="003F1710" w:rsidRDefault="004B6A23" w:rsidP="00A82408">
      <w:pPr>
        <w:pStyle w:val="Heading"/>
        <w:keepNext w:val="0"/>
        <w:tabs>
          <w:tab w:val="left" w:pos="4820"/>
        </w:tabs>
        <w:spacing w:before="0" w:after="120"/>
        <w:rPr>
          <w:rFonts w:ascii="Arial" w:hAnsi="Arial"/>
          <w:b w:val="0"/>
          <w:i/>
          <w:sz w:val="24"/>
          <w:szCs w:val="24"/>
        </w:rPr>
      </w:pPr>
      <w:r w:rsidRPr="00167A99">
        <w:rPr>
          <w:rFonts w:ascii="Arial" w:hAnsi="Arial"/>
          <w:b w:val="0"/>
          <w:i/>
          <w:sz w:val="24"/>
          <w:szCs w:val="24"/>
        </w:rPr>
        <w:lastRenderedPageBreak/>
        <w:t>Waiv</w:t>
      </w:r>
      <w:r>
        <w:rPr>
          <w:rFonts w:ascii="Arial" w:hAnsi="Arial"/>
          <w:b w:val="0"/>
          <w:i/>
          <w:sz w:val="24"/>
          <w:szCs w:val="24"/>
        </w:rPr>
        <w:t>e</w:t>
      </w:r>
      <w:r w:rsidRPr="00167A99">
        <w:rPr>
          <w:rFonts w:ascii="Arial" w:hAnsi="Arial"/>
          <w:b w:val="0"/>
          <w:i/>
          <w:sz w:val="24"/>
          <w:szCs w:val="24"/>
        </w:rPr>
        <w:t>r</w:t>
      </w:r>
      <w:r>
        <w:rPr>
          <w:rFonts w:ascii="Arial" w:hAnsi="Arial"/>
          <w:b w:val="0"/>
          <w:i/>
          <w:sz w:val="24"/>
          <w:szCs w:val="24"/>
        </w:rPr>
        <w:t xml:space="preserve"> of Charges </w:t>
      </w:r>
    </w:p>
    <w:p w14:paraId="53132FBA" w14:textId="22AE7B2A" w:rsidR="004B6A23" w:rsidRPr="004B6A23" w:rsidRDefault="004B6A23" w:rsidP="00A82408">
      <w:pPr>
        <w:pStyle w:val="Heading"/>
        <w:keepNext w:val="0"/>
        <w:tabs>
          <w:tab w:val="left" w:pos="4820"/>
        </w:tabs>
        <w:spacing w:before="0" w:after="120"/>
        <w:rPr>
          <w:rFonts w:ascii="Arial" w:hAnsi="Arial"/>
          <w:b w:val="0"/>
          <w:sz w:val="24"/>
          <w:szCs w:val="24"/>
        </w:rPr>
      </w:pPr>
      <w:r w:rsidRPr="00167A99">
        <w:rPr>
          <w:rFonts w:ascii="Arial" w:hAnsi="Arial"/>
          <w:b w:val="0"/>
          <w:sz w:val="24"/>
          <w:szCs w:val="24"/>
        </w:rPr>
        <w:t>The</w:t>
      </w:r>
      <w:r>
        <w:rPr>
          <w:rFonts w:ascii="Arial" w:hAnsi="Arial"/>
          <w:b w:val="0"/>
          <w:sz w:val="24"/>
          <w:szCs w:val="24"/>
        </w:rPr>
        <w:t xml:space="preserve"> Instrument also provides that the c</w:t>
      </w:r>
      <w:r w:rsidR="00CC6436">
        <w:rPr>
          <w:rFonts w:ascii="Arial" w:hAnsi="Arial"/>
          <w:b w:val="0"/>
          <w:sz w:val="24"/>
          <w:szCs w:val="24"/>
        </w:rPr>
        <w:t>harges</w:t>
      </w:r>
      <w:r w:rsidR="002242B7">
        <w:rPr>
          <w:rFonts w:ascii="Arial" w:hAnsi="Arial"/>
          <w:b w:val="0"/>
          <w:sz w:val="24"/>
          <w:szCs w:val="24"/>
        </w:rPr>
        <w:t xml:space="preserve"> may be waived or refunded</w:t>
      </w:r>
      <w:r w:rsidR="00335A4D">
        <w:rPr>
          <w:rFonts w:ascii="Arial" w:hAnsi="Arial"/>
          <w:b w:val="0"/>
          <w:sz w:val="24"/>
          <w:szCs w:val="24"/>
        </w:rPr>
        <w:t xml:space="preserve"> by APRA </w:t>
      </w:r>
      <w:r w:rsidR="00CE2D4C">
        <w:rPr>
          <w:rFonts w:ascii="Arial" w:hAnsi="Arial"/>
          <w:b w:val="0"/>
          <w:sz w:val="24"/>
          <w:szCs w:val="24"/>
        </w:rPr>
        <w:t>if APRA</w:t>
      </w:r>
      <w:r w:rsidR="005370C4">
        <w:rPr>
          <w:rFonts w:ascii="Arial" w:hAnsi="Arial"/>
          <w:b w:val="0"/>
          <w:sz w:val="24"/>
          <w:szCs w:val="24"/>
        </w:rPr>
        <w:t xml:space="preserve"> is satisfied </w:t>
      </w:r>
      <w:r w:rsidR="00E45D76">
        <w:rPr>
          <w:rFonts w:ascii="Arial" w:hAnsi="Arial"/>
          <w:b w:val="0"/>
          <w:sz w:val="24"/>
          <w:szCs w:val="24"/>
        </w:rPr>
        <w:t>that it is appropriate</w:t>
      </w:r>
      <w:r w:rsidR="00DA1D8F">
        <w:rPr>
          <w:rFonts w:ascii="Arial" w:hAnsi="Arial"/>
          <w:b w:val="0"/>
          <w:sz w:val="24"/>
          <w:szCs w:val="24"/>
        </w:rPr>
        <w:t xml:space="preserve"> in the circumstances</w:t>
      </w:r>
      <w:r w:rsidR="00335A4D">
        <w:rPr>
          <w:rFonts w:ascii="Arial" w:hAnsi="Arial"/>
          <w:b w:val="0"/>
          <w:sz w:val="24"/>
          <w:szCs w:val="24"/>
        </w:rPr>
        <w:t xml:space="preserve"> (as permitted under subsection 51(1) of the APRA Act). </w:t>
      </w:r>
    </w:p>
    <w:p w14:paraId="483458A0" w14:textId="77777777" w:rsidR="00A90308" w:rsidRPr="009A569B" w:rsidRDefault="00A90308" w:rsidP="00CE74B9">
      <w:pPr>
        <w:pStyle w:val="Heading"/>
        <w:numPr>
          <w:ilvl w:val="0"/>
          <w:numId w:val="10"/>
        </w:numPr>
        <w:tabs>
          <w:tab w:val="clear" w:pos="720"/>
        </w:tabs>
        <w:ind w:left="540" w:hanging="540"/>
        <w:rPr>
          <w:rFonts w:ascii="Arial" w:hAnsi="Arial"/>
          <w:sz w:val="24"/>
          <w:szCs w:val="24"/>
        </w:rPr>
      </w:pPr>
      <w:r w:rsidRPr="009A569B">
        <w:rPr>
          <w:rFonts w:ascii="Arial" w:hAnsi="Arial"/>
          <w:sz w:val="24"/>
          <w:szCs w:val="24"/>
        </w:rPr>
        <w:t>Consultation</w:t>
      </w:r>
    </w:p>
    <w:p w14:paraId="1B38D57C" w14:textId="53D7563E" w:rsidR="00995DA5" w:rsidRPr="009A569B" w:rsidRDefault="00995DA5" w:rsidP="00CE74B9">
      <w:pPr>
        <w:pStyle w:val="Heading"/>
        <w:jc w:val="both"/>
        <w:rPr>
          <w:rFonts w:ascii="Arial" w:hAnsi="Arial"/>
          <w:b w:val="0"/>
          <w:sz w:val="24"/>
          <w:szCs w:val="24"/>
        </w:rPr>
      </w:pPr>
      <w:r w:rsidRPr="009A569B">
        <w:rPr>
          <w:rFonts w:ascii="Arial" w:hAnsi="Arial"/>
          <w:b w:val="0"/>
          <w:sz w:val="24"/>
          <w:szCs w:val="24"/>
        </w:rPr>
        <w:t xml:space="preserve">APRA has </w:t>
      </w:r>
      <w:r w:rsidR="00D72CE8">
        <w:rPr>
          <w:rFonts w:ascii="Arial" w:hAnsi="Arial"/>
          <w:b w:val="0"/>
          <w:sz w:val="24"/>
          <w:szCs w:val="24"/>
        </w:rPr>
        <w:t>consulted</w:t>
      </w:r>
      <w:r w:rsidR="00293D9E">
        <w:rPr>
          <w:rFonts w:ascii="Arial" w:hAnsi="Arial"/>
          <w:b w:val="0"/>
          <w:sz w:val="24"/>
          <w:szCs w:val="24"/>
        </w:rPr>
        <w:t xml:space="preserve"> with </w:t>
      </w:r>
      <w:r w:rsidRPr="009A569B">
        <w:rPr>
          <w:rFonts w:ascii="Arial" w:hAnsi="Arial"/>
          <w:b w:val="0"/>
          <w:sz w:val="24"/>
          <w:szCs w:val="24"/>
        </w:rPr>
        <w:t>both the RBA and the ABS</w:t>
      </w:r>
      <w:r w:rsidR="00F57CE4">
        <w:rPr>
          <w:rFonts w:ascii="Arial" w:hAnsi="Arial"/>
          <w:b w:val="0"/>
          <w:sz w:val="24"/>
          <w:szCs w:val="24"/>
        </w:rPr>
        <w:t xml:space="preserve"> before making this legislative instrument. </w:t>
      </w:r>
      <w:r w:rsidR="00392E7F">
        <w:rPr>
          <w:rFonts w:ascii="Arial" w:hAnsi="Arial"/>
          <w:b w:val="0"/>
          <w:sz w:val="24"/>
          <w:szCs w:val="24"/>
        </w:rPr>
        <w:t xml:space="preserve">The </w:t>
      </w:r>
      <w:r w:rsidR="00F57CE4">
        <w:rPr>
          <w:rFonts w:ascii="Arial" w:hAnsi="Arial"/>
          <w:b w:val="0"/>
          <w:sz w:val="24"/>
          <w:szCs w:val="24"/>
        </w:rPr>
        <w:t xml:space="preserve">RBA and the ABS were </w:t>
      </w:r>
      <w:r w:rsidR="00BA1CEA">
        <w:rPr>
          <w:rFonts w:ascii="Arial" w:hAnsi="Arial"/>
          <w:b w:val="0"/>
          <w:sz w:val="24"/>
          <w:szCs w:val="24"/>
        </w:rPr>
        <w:t>informed</w:t>
      </w:r>
      <w:r w:rsidR="00F57CE4">
        <w:rPr>
          <w:rFonts w:ascii="Arial" w:hAnsi="Arial"/>
          <w:b w:val="0"/>
          <w:sz w:val="24"/>
          <w:szCs w:val="24"/>
        </w:rPr>
        <w:t xml:space="preserve"> </w:t>
      </w:r>
      <w:r w:rsidRPr="009A569B">
        <w:rPr>
          <w:rFonts w:ascii="Arial" w:hAnsi="Arial"/>
          <w:b w:val="0"/>
          <w:sz w:val="24"/>
          <w:szCs w:val="24"/>
        </w:rPr>
        <w:t>of</w:t>
      </w:r>
      <w:r w:rsidR="00851FFF">
        <w:rPr>
          <w:rFonts w:ascii="Arial" w:hAnsi="Arial"/>
          <w:b w:val="0"/>
          <w:sz w:val="24"/>
          <w:szCs w:val="24"/>
        </w:rPr>
        <w:t xml:space="preserve"> </w:t>
      </w:r>
      <w:r w:rsidRPr="009A569B">
        <w:rPr>
          <w:rFonts w:ascii="Arial" w:hAnsi="Arial"/>
          <w:b w:val="0"/>
          <w:sz w:val="24"/>
          <w:szCs w:val="24"/>
        </w:rPr>
        <w:t>the basis of calculation of the charges</w:t>
      </w:r>
      <w:r w:rsidR="00851FFF">
        <w:rPr>
          <w:rFonts w:ascii="Arial" w:hAnsi="Arial"/>
          <w:b w:val="0"/>
          <w:sz w:val="24"/>
          <w:szCs w:val="24"/>
        </w:rPr>
        <w:t>. During the consultation process,</w:t>
      </w:r>
      <w:r w:rsidR="00611D54">
        <w:rPr>
          <w:rFonts w:ascii="Arial" w:hAnsi="Arial"/>
          <w:b w:val="0"/>
          <w:sz w:val="24"/>
          <w:szCs w:val="24"/>
        </w:rPr>
        <w:t xml:space="preserve"> the RBA and the ABS did not raise any objections to the charges</w:t>
      </w:r>
      <w:proofErr w:type="gramStart"/>
      <w:r w:rsidR="00611D54">
        <w:rPr>
          <w:rFonts w:ascii="Arial" w:hAnsi="Arial"/>
          <w:b w:val="0"/>
          <w:sz w:val="24"/>
          <w:szCs w:val="24"/>
        </w:rPr>
        <w:t xml:space="preserve">. </w:t>
      </w:r>
      <w:r w:rsidRPr="009A569B">
        <w:rPr>
          <w:rFonts w:ascii="Arial" w:hAnsi="Arial"/>
          <w:b w:val="0"/>
          <w:sz w:val="24"/>
          <w:szCs w:val="24"/>
        </w:rPr>
        <w:t>.</w:t>
      </w:r>
      <w:proofErr w:type="gramEnd"/>
    </w:p>
    <w:p w14:paraId="6E62A3FA" w14:textId="77777777" w:rsidR="00886B47" w:rsidRPr="009A569B" w:rsidRDefault="00886B47" w:rsidP="00886B47">
      <w:pPr>
        <w:pStyle w:val="Heading"/>
        <w:numPr>
          <w:ilvl w:val="0"/>
          <w:numId w:val="10"/>
        </w:numPr>
        <w:tabs>
          <w:tab w:val="clear" w:pos="720"/>
        </w:tabs>
        <w:ind w:left="540" w:hanging="540"/>
        <w:rPr>
          <w:rFonts w:ascii="Arial" w:hAnsi="Arial"/>
          <w:sz w:val="24"/>
          <w:szCs w:val="24"/>
        </w:rPr>
      </w:pPr>
      <w:r w:rsidRPr="009A569B">
        <w:rPr>
          <w:rFonts w:ascii="Arial" w:hAnsi="Arial"/>
          <w:sz w:val="24"/>
          <w:szCs w:val="24"/>
        </w:rPr>
        <w:t xml:space="preserve">Statement of compatibility prepared in accordance with Part 3 of the Human </w:t>
      </w:r>
      <w:r w:rsidRPr="00BE6B44">
        <w:rPr>
          <w:rFonts w:ascii="Arial" w:hAnsi="Arial"/>
          <w:sz w:val="24"/>
          <w:szCs w:val="24"/>
        </w:rPr>
        <w:t>Rights</w:t>
      </w:r>
      <w:r w:rsidRPr="009A569B">
        <w:rPr>
          <w:rFonts w:ascii="Arial" w:hAnsi="Arial"/>
          <w:sz w:val="24"/>
          <w:szCs w:val="24"/>
        </w:rPr>
        <w:t xml:space="preserve"> (Parliamentary Scrutiny) Act 2011</w:t>
      </w:r>
    </w:p>
    <w:p w14:paraId="593994EC" w14:textId="77777777" w:rsidR="00886B47" w:rsidRPr="009A569B" w:rsidRDefault="00931FEC" w:rsidP="00886B47">
      <w:pPr>
        <w:pStyle w:val="Heading"/>
        <w:jc w:val="both"/>
        <w:rPr>
          <w:rFonts w:ascii="Arial" w:hAnsi="Arial"/>
          <w:b w:val="0"/>
          <w:sz w:val="24"/>
          <w:szCs w:val="24"/>
        </w:rPr>
      </w:pPr>
      <w:r w:rsidRPr="009A569B">
        <w:rPr>
          <w:rFonts w:ascii="Arial" w:hAnsi="Arial"/>
          <w:b w:val="0"/>
          <w:sz w:val="24"/>
          <w:szCs w:val="24"/>
        </w:rPr>
        <w:t xml:space="preserve">A Statement of compatibility prepared in accordance with Part 3 of the </w:t>
      </w:r>
      <w:r w:rsidRPr="008D4D81">
        <w:rPr>
          <w:rFonts w:ascii="Arial" w:hAnsi="Arial"/>
          <w:b w:val="0"/>
          <w:i/>
          <w:sz w:val="24"/>
          <w:szCs w:val="24"/>
        </w:rPr>
        <w:t>Human Rights (Parliamentary Scrutiny) Act 2011</w:t>
      </w:r>
      <w:r w:rsidRPr="009A569B">
        <w:rPr>
          <w:rFonts w:ascii="Arial" w:hAnsi="Arial"/>
          <w:b w:val="0"/>
          <w:sz w:val="24"/>
          <w:szCs w:val="24"/>
        </w:rPr>
        <w:t xml:space="preserve"> is provided at Attachment A to this Explanatory Statement.</w:t>
      </w:r>
    </w:p>
    <w:p w14:paraId="1112F92E" w14:textId="77777777" w:rsidR="006B4444" w:rsidRPr="009A569B" w:rsidRDefault="006B4444" w:rsidP="00BD4475">
      <w:pPr>
        <w:pStyle w:val="Heading"/>
        <w:jc w:val="both"/>
        <w:rPr>
          <w:rFonts w:ascii="Arial" w:hAnsi="Arial"/>
          <w:b w:val="0"/>
          <w:sz w:val="24"/>
          <w:szCs w:val="24"/>
        </w:rPr>
      </w:pPr>
    </w:p>
    <w:p w14:paraId="1FEE0C37" w14:textId="77777777" w:rsidR="00931FEC" w:rsidRPr="009A569B" w:rsidRDefault="00931FEC" w:rsidP="00931FEC">
      <w:pPr>
        <w:pStyle w:val="Heading"/>
        <w:spacing w:before="0" w:after="0"/>
        <w:jc w:val="both"/>
        <w:rPr>
          <w:rFonts w:ascii="Arial" w:hAnsi="Arial"/>
          <w:sz w:val="24"/>
          <w:szCs w:val="24"/>
          <w:u w:val="single"/>
          <w:lang w:val="en-GB"/>
        </w:rPr>
      </w:pPr>
      <w:r w:rsidRPr="009A569B">
        <w:rPr>
          <w:rFonts w:ascii="Arial" w:hAnsi="Arial"/>
          <w:sz w:val="24"/>
          <w:szCs w:val="24"/>
        </w:rPr>
        <w:br w:type="page"/>
      </w:r>
      <w:r w:rsidRPr="009A569B">
        <w:rPr>
          <w:rFonts w:ascii="Arial" w:hAnsi="Arial"/>
          <w:sz w:val="24"/>
          <w:szCs w:val="24"/>
          <w:u w:val="single"/>
          <w:lang w:val="en-GB"/>
        </w:rPr>
        <w:lastRenderedPageBreak/>
        <w:t>ATTACHMENT A</w:t>
      </w:r>
    </w:p>
    <w:p w14:paraId="0A575DCB" w14:textId="77777777" w:rsidR="00931FEC" w:rsidRPr="009A569B" w:rsidRDefault="00931FEC" w:rsidP="00931FEC">
      <w:pPr>
        <w:pStyle w:val="Heading"/>
        <w:spacing w:before="0" w:after="0"/>
        <w:rPr>
          <w:rFonts w:ascii="Arial" w:hAnsi="Arial"/>
          <w:sz w:val="24"/>
          <w:szCs w:val="24"/>
        </w:rPr>
      </w:pPr>
    </w:p>
    <w:p w14:paraId="54B5F6FB" w14:textId="77777777" w:rsidR="00931FEC" w:rsidRPr="009A569B" w:rsidRDefault="00931FEC" w:rsidP="00931FEC">
      <w:pPr>
        <w:pStyle w:val="Heading"/>
        <w:spacing w:before="0" w:after="0"/>
        <w:jc w:val="center"/>
        <w:rPr>
          <w:rFonts w:ascii="Arial" w:hAnsi="Arial"/>
          <w:sz w:val="24"/>
          <w:szCs w:val="24"/>
        </w:rPr>
      </w:pPr>
      <w:r w:rsidRPr="009A569B">
        <w:rPr>
          <w:rFonts w:ascii="Arial" w:hAnsi="Arial"/>
          <w:sz w:val="24"/>
          <w:szCs w:val="24"/>
        </w:rPr>
        <w:t>Statement of Compatibility with Human Rights</w:t>
      </w:r>
    </w:p>
    <w:p w14:paraId="63D0EAE6" w14:textId="77777777" w:rsidR="00931FEC" w:rsidRPr="009A569B" w:rsidRDefault="00931FEC" w:rsidP="00931FEC">
      <w:pPr>
        <w:pStyle w:val="Heading1"/>
        <w:spacing w:before="0" w:after="0"/>
        <w:jc w:val="center"/>
        <w:rPr>
          <w:b w:val="0"/>
          <w:sz w:val="24"/>
          <w:szCs w:val="24"/>
        </w:rPr>
      </w:pPr>
    </w:p>
    <w:p w14:paraId="60D07316" w14:textId="702BE620" w:rsidR="00931FEC" w:rsidRPr="009A569B" w:rsidRDefault="00931FEC" w:rsidP="00931FEC">
      <w:pPr>
        <w:pStyle w:val="Heading1"/>
        <w:spacing w:before="0" w:after="0"/>
        <w:jc w:val="both"/>
        <w:rPr>
          <w:b w:val="0"/>
          <w:sz w:val="24"/>
          <w:szCs w:val="24"/>
        </w:rPr>
      </w:pPr>
      <w:r w:rsidRPr="009A569B">
        <w:rPr>
          <w:b w:val="0"/>
          <w:sz w:val="24"/>
          <w:szCs w:val="24"/>
        </w:rPr>
        <w:t xml:space="preserve">Prepared in accordance with Part 3 of the </w:t>
      </w:r>
      <w:r w:rsidRPr="009A569B">
        <w:rPr>
          <w:b w:val="0"/>
          <w:i/>
          <w:sz w:val="24"/>
          <w:szCs w:val="24"/>
        </w:rPr>
        <w:t>Human Rights (Parliamentary Scrutiny) Act 2011</w:t>
      </w:r>
      <w:r w:rsidR="00C63F27">
        <w:rPr>
          <w:b w:val="0"/>
          <w:i/>
          <w:sz w:val="24"/>
          <w:szCs w:val="24"/>
        </w:rPr>
        <w:t xml:space="preserve"> </w:t>
      </w:r>
      <w:r w:rsidR="00C63F27" w:rsidRPr="00167A99">
        <w:rPr>
          <w:b w:val="0"/>
          <w:sz w:val="24"/>
          <w:szCs w:val="24"/>
        </w:rPr>
        <w:t>(HRPS Act)</w:t>
      </w:r>
    </w:p>
    <w:p w14:paraId="37DC04A9" w14:textId="77777777" w:rsidR="00931FEC" w:rsidRPr="009A569B" w:rsidRDefault="00931FEC" w:rsidP="00931FEC">
      <w:pPr>
        <w:pStyle w:val="Heading"/>
        <w:spacing w:before="0" w:after="0"/>
        <w:jc w:val="both"/>
        <w:rPr>
          <w:rFonts w:ascii="Arial" w:hAnsi="Arial"/>
          <w:sz w:val="24"/>
          <w:szCs w:val="24"/>
        </w:rPr>
      </w:pPr>
    </w:p>
    <w:p w14:paraId="0EAB8FEE" w14:textId="7AC33DF2" w:rsidR="00931FEC" w:rsidRPr="009A569B" w:rsidRDefault="00931FEC" w:rsidP="00931FEC">
      <w:pPr>
        <w:pStyle w:val="Heading"/>
        <w:spacing w:before="0" w:after="120"/>
        <w:jc w:val="both"/>
        <w:rPr>
          <w:rFonts w:ascii="Arial" w:hAnsi="Arial"/>
          <w:sz w:val="24"/>
          <w:szCs w:val="24"/>
        </w:rPr>
      </w:pPr>
      <w:r w:rsidRPr="009A569B">
        <w:rPr>
          <w:rFonts w:ascii="Arial" w:hAnsi="Arial"/>
          <w:sz w:val="24"/>
          <w:szCs w:val="24"/>
        </w:rPr>
        <w:t xml:space="preserve">Australian Prudential Regulation Authority instrument fixing charges </w:t>
      </w:r>
      <w:r w:rsidRPr="009C1793">
        <w:rPr>
          <w:rFonts w:ascii="Arial" w:hAnsi="Arial"/>
          <w:sz w:val="24"/>
          <w:szCs w:val="24"/>
        </w:rPr>
        <w:t xml:space="preserve">No. </w:t>
      </w:r>
      <w:r w:rsidR="00534BE2">
        <w:rPr>
          <w:rFonts w:ascii="Arial" w:hAnsi="Arial"/>
          <w:sz w:val="24"/>
          <w:szCs w:val="24"/>
        </w:rPr>
        <w:t>1</w:t>
      </w:r>
      <w:r w:rsidR="00004C43" w:rsidRPr="009C1793">
        <w:rPr>
          <w:rFonts w:ascii="Arial" w:hAnsi="Arial"/>
          <w:sz w:val="24"/>
          <w:szCs w:val="24"/>
        </w:rPr>
        <w:t xml:space="preserve"> </w:t>
      </w:r>
      <w:r w:rsidRPr="009C1793">
        <w:rPr>
          <w:rFonts w:ascii="Arial" w:hAnsi="Arial"/>
          <w:sz w:val="24"/>
          <w:szCs w:val="24"/>
        </w:rPr>
        <w:t>of</w:t>
      </w:r>
      <w:r w:rsidRPr="002E55D1">
        <w:rPr>
          <w:rFonts w:ascii="Arial" w:hAnsi="Arial"/>
          <w:sz w:val="24"/>
          <w:szCs w:val="24"/>
        </w:rPr>
        <w:t xml:space="preserve"> 20</w:t>
      </w:r>
      <w:r w:rsidR="00A40389">
        <w:rPr>
          <w:rFonts w:ascii="Arial" w:hAnsi="Arial"/>
          <w:sz w:val="24"/>
          <w:szCs w:val="24"/>
        </w:rPr>
        <w:t>2</w:t>
      </w:r>
      <w:r w:rsidR="00E9339D">
        <w:rPr>
          <w:rFonts w:ascii="Arial" w:hAnsi="Arial"/>
          <w:sz w:val="24"/>
          <w:szCs w:val="24"/>
        </w:rPr>
        <w:t>5</w:t>
      </w:r>
    </w:p>
    <w:p w14:paraId="66BD4A57" w14:textId="4D14730C" w:rsidR="00931FEC" w:rsidRPr="009A569B" w:rsidRDefault="00931FEC" w:rsidP="00931FEC">
      <w:pPr>
        <w:pStyle w:val="Heading"/>
        <w:spacing w:before="0" w:after="120"/>
        <w:jc w:val="both"/>
        <w:rPr>
          <w:rFonts w:ascii="Arial" w:hAnsi="Arial"/>
          <w:b w:val="0"/>
          <w:sz w:val="24"/>
          <w:szCs w:val="24"/>
        </w:rPr>
      </w:pPr>
      <w:r w:rsidRPr="009A569B">
        <w:rPr>
          <w:rFonts w:ascii="Arial" w:hAnsi="Arial"/>
          <w:b w:val="0"/>
          <w:sz w:val="24"/>
          <w:szCs w:val="24"/>
        </w:rPr>
        <w:t>Th</w:t>
      </w:r>
      <w:r w:rsidR="00217F85">
        <w:rPr>
          <w:rFonts w:ascii="Arial" w:hAnsi="Arial"/>
          <w:b w:val="0"/>
          <w:sz w:val="24"/>
          <w:szCs w:val="24"/>
        </w:rPr>
        <w:t>is</w:t>
      </w:r>
      <w:r w:rsidRPr="009A569B">
        <w:rPr>
          <w:rFonts w:ascii="Arial" w:hAnsi="Arial"/>
          <w:b w:val="0"/>
          <w:sz w:val="24"/>
          <w:szCs w:val="24"/>
        </w:rPr>
        <w:t xml:space="preserve"> </w:t>
      </w:r>
      <w:r w:rsidR="006E3E66">
        <w:rPr>
          <w:rFonts w:ascii="Arial" w:hAnsi="Arial"/>
          <w:b w:val="0"/>
          <w:sz w:val="24"/>
          <w:szCs w:val="24"/>
        </w:rPr>
        <w:t>L</w:t>
      </w:r>
      <w:r w:rsidRPr="009A569B">
        <w:rPr>
          <w:rFonts w:ascii="Arial" w:hAnsi="Arial"/>
          <w:b w:val="0"/>
          <w:sz w:val="24"/>
          <w:szCs w:val="24"/>
        </w:rPr>
        <w:t xml:space="preserve">egislative </w:t>
      </w:r>
      <w:r w:rsidR="006E3E66">
        <w:rPr>
          <w:rFonts w:ascii="Arial" w:hAnsi="Arial"/>
          <w:b w:val="0"/>
          <w:sz w:val="24"/>
          <w:szCs w:val="24"/>
        </w:rPr>
        <w:t>I</w:t>
      </w:r>
      <w:r w:rsidRPr="009A569B">
        <w:rPr>
          <w:rFonts w:ascii="Arial" w:hAnsi="Arial"/>
          <w:b w:val="0"/>
          <w:sz w:val="24"/>
          <w:szCs w:val="24"/>
        </w:rPr>
        <w:t>nstrument is compatible with the human rights and freedoms recognised or declared in the international instrument</w:t>
      </w:r>
      <w:r w:rsidR="007B69D9">
        <w:rPr>
          <w:rFonts w:ascii="Arial" w:hAnsi="Arial"/>
          <w:b w:val="0"/>
          <w:sz w:val="24"/>
          <w:szCs w:val="24"/>
        </w:rPr>
        <w:t>s</w:t>
      </w:r>
      <w:r w:rsidRPr="009A569B">
        <w:rPr>
          <w:rFonts w:ascii="Arial" w:hAnsi="Arial"/>
          <w:b w:val="0"/>
          <w:sz w:val="24"/>
          <w:szCs w:val="24"/>
        </w:rPr>
        <w:t xml:space="preserve"> listed in section 3 of the HRPS Act.</w:t>
      </w:r>
    </w:p>
    <w:p w14:paraId="06D9E43E" w14:textId="77777777" w:rsidR="00931FEC" w:rsidRPr="00A30DAD" w:rsidRDefault="00931FEC" w:rsidP="00931FEC">
      <w:pPr>
        <w:jc w:val="both"/>
        <w:rPr>
          <w:rFonts w:ascii="Arial" w:hAnsi="Arial" w:cs="Arial"/>
          <w:b/>
          <w:sz w:val="24"/>
          <w:szCs w:val="24"/>
        </w:rPr>
      </w:pPr>
    </w:p>
    <w:p w14:paraId="7015E2EE" w14:textId="06C0D20C" w:rsidR="00931FEC" w:rsidRPr="009A569B" w:rsidRDefault="00931FEC" w:rsidP="00931FEC">
      <w:pPr>
        <w:spacing w:after="120"/>
        <w:jc w:val="both"/>
        <w:rPr>
          <w:rFonts w:ascii="Arial" w:hAnsi="Arial" w:cs="Arial"/>
          <w:sz w:val="24"/>
          <w:szCs w:val="24"/>
        </w:rPr>
      </w:pPr>
      <w:r w:rsidRPr="009A569B">
        <w:rPr>
          <w:rFonts w:ascii="Arial" w:hAnsi="Arial" w:cs="Arial"/>
          <w:b/>
          <w:sz w:val="24"/>
          <w:szCs w:val="24"/>
        </w:rPr>
        <w:t xml:space="preserve">Overview of the </w:t>
      </w:r>
      <w:r w:rsidR="00950588">
        <w:rPr>
          <w:rFonts w:ascii="Arial" w:hAnsi="Arial" w:cs="Arial"/>
          <w:b/>
          <w:sz w:val="24"/>
          <w:szCs w:val="24"/>
        </w:rPr>
        <w:t>L</w:t>
      </w:r>
      <w:r w:rsidRPr="009A569B">
        <w:rPr>
          <w:rFonts w:ascii="Arial" w:hAnsi="Arial" w:cs="Arial"/>
          <w:b/>
          <w:sz w:val="24"/>
          <w:szCs w:val="24"/>
        </w:rPr>
        <w:t xml:space="preserve">egislative </w:t>
      </w:r>
      <w:r w:rsidR="00950588">
        <w:rPr>
          <w:rFonts w:ascii="Arial" w:hAnsi="Arial" w:cs="Arial"/>
          <w:b/>
          <w:sz w:val="24"/>
          <w:szCs w:val="24"/>
        </w:rPr>
        <w:t>I</w:t>
      </w:r>
      <w:r w:rsidRPr="009A569B">
        <w:rPr>
          <w:rFonts w:ascii="Arial" w:hAnsi="Arial" w:cs="Arial"/>
          <w:b/>
          <w:sz w:val="24"/>
          <w:szCs w:val="24"/>
        </w:rPr>
        <w:t>nstrument</w:t>
      </w:r>
    </w:p>
    <w:p w14:paraId="12AFBE73" w14:textId="422E7EB3" w:rsidR="00931FEC" w:rsidRPr="009A569B" w:rsidRDefault="00931FEC" w:rsidP="00931FEC">
      <w:pPr>
        <w:pStyle w:val="BodyText"/>
        <w:jc w:val="both"/>
        <w:rPr>
          <w:rFonts w:ascii="Arial" w:hAnsi="Arial" w:cs="Arial"/>
          <w:color w:val="000000"/>
          <w:sz w:val="24"/>
          <w:szCs w:val="24"/>
        </w:rPr>
      </w:pPr>
      <w:r w:rsidRPr="009A569B">
        <w:rPr>
          <w:rFonts w:ascii="Arial" w:hAnsi="Arial" w:cs="Arial"/>
          <w:color w:val="000000"/>
          <w:sz w:val="24"/>
          <w:szCs w:val="24"/>
        </w:rPr>
        <w:t>Th</w:t>
      </w:r>
      <w:r w:rsidR="00950588">
        <w:rPr>
          <w:rFonts w:ascii="Arial" w:hAnsi="Arial" w:cs="Arial"/>
          <w:color w:val="000000"/>
          <w:sz w:val="24"/>
          <w:szCs w:val="24"/>
        </w:rPr>
        <w:t>is Legislative</w:t>
      </w:r>
      <w:r w:rsidRPr="009A569B">
        <w:rPr>
          <w:rFonts w:ascii="Arial" w:hAnsi="Arial" w:cs="Arial"/>
          <w:color w:val="000000"/>
          <w:sz w:val="24"/>
          <w:szCs w:val="24"/>
        </w:rPr>
        <w:t xml:space="preserve"> </w:t>
      </w:r>
      <w:r w:rsidR="00950588">
        <w:rPr>
          <w:rFonts w:ascii="Arial" w:hAnsi="Arial" w:cs="Arial"/>
          <w:color w:val="000000"/>
          <w:sz w:val="24"/>
          <w:szCs w:val="24"/>
        </w:rPr>
        <w:t>I</w:t>
      </w:r>
      <w:r w:rsidRPr="009A569B">
        <w:rPr>
          <w:rFonts w:ascii="Arial" w:hAnsi="Arial" w:cs="Arial"/>
          <w:color w:val="000000"/>
          <w:sz w:val="24"/>
          <w:szCs w:val="24"/>
        </w:rPr>
        <w:t xml:space="preserve">nstrument will fix charges to be paid to the </w:t>
      </w:r>
      <w:r w:rsidR="00E16008">
        <w:rPr>
          <w:rFonts w:ascii="Arial" w:hAnsi="Arial" w:cs="Arial"/>
          <w:color w:val="000000"/>
          <w:sz w:val="24"/>
          <w:szCs w:val="24"/>
        </w:rPr>
        <w:t>A</w:t>
      </w:r>
      <w:r w:rsidR="00496154">
        <w:rPr>
          <w:rFonts w:ascii="Arial" w:hAnsi="Arial" w:cs="Arial"/>
          <w:color w:val="000000"/>
          <w:sz w:val="24"/>
          <w:szCs w:val="24"/>
        </w:rPr>
        <w:t xml:space="preserve">ustralian </w:t>
      </w:r>
      <w:r w:rsidR="00E16008">
        <w:rPr>
          <w:rFonts w:ascii="Arial" w:hAnsi="Arial" w:cs="Arial"/>
          <w:color w:val="000000"/>
          <w:sz w:val="24"/>
          <w:szCs w:val="24"/>
        </w:rPr>
        <w:t>P</w:t>
      </w:r>
      <w:r w:rsidR="00496154">
        <w:rPr>
          <w:rFonts w:ascii="Arial" w:hAnsi="Arial" w:cs="Arial"/>
          <w:color w:val="000000"/>
          <w:sz w:val="24"/>
          <w:szCs w:val="24"/>
        </w:rPr>
        <w:t xml:space="preserve">rudential </w:t>
      </w:r>
      <w:r w:rsidR="00E16008">
        <w:rPr>
          <w:rFonts w:ascii="Arial" w:hAnsi="Arial" w:cs="Arial"/>
          <w:color w:val="000000"/>
          <w:sz w:val="24"/>
          <w:szCs w:val="24"/>
        </w:rPr>
        <w:t>R</w:t>
      </w:r>
      <w:r w:rsidR="00496154">
        <w:rPr>
          <w:rFonts w:ascii="Arial" w:hAnsi="Arial" w:cs="Arial"/>
          <w:color w:val="000000"/>
          <w:sz w:val="24"/>
          <w:szCs w:val="24"/>
        </w:rPr>
        <w:t xml:space="preserve">egulation </w:t>
      </w:r>
      <w:r w:rsidR="00E16008">
        <w:rPr>
          <w:rFonts w:ascii="Arial" w:hAnsi="Arial" w:cs="Arial"/>
          <w:color w:val="000000"/>
          <w:sz w:val="24"/>
          <w:szCs w:val="24"/>
        </w:rPr>
        <w:t>A</w:t>
      </w:r>
      <w:r w:rsidR="00496154">
        <w:rPr>
          <w:rFonts w:ascii="Arial" w:hAnsi="Arial" w:cs="Arial"/>
          <w:color w:val="000000"/>
          <w:sz w:val="24"/>
          <w:szCs w:val="24"/>
        </w:rPr>
        <w:t>uthority (APRA)</w:t>
      </w:r>
      <w:r w:rsidRPr="009A569B">
        <w:rPr>
          <w:rFonts w:ascii="Arial" w:hAnsi="Arial" w:cs="Arial"/>
          <w:color w:val="000000"/>
          <w:sz w:val="24"/>
          <w:szCs w:val="24"/>
        </w:rPr>
        <w:t xml:space="preserve"> by the Reserve Bank of Australia (RBA) and the Australian Bureau of Statistics (ABS) </w:t>
      </w:r>
      <w:proofErr w:type="gramStart"/>
      <w:r w:rsidRPr="009A569B">
        <w:rPr>
          <w:rFonts w:ascii="Arial" w:hAnsi="Arial" w:cs="Arial"/>
          <w:color w:val="000000"/>
          <w:sz w:val="24"/>
          <w:szCs w:val="24"/>
        </w:rPr>
        <w:t xml:space="preserve">for </w:t>
      </w:r>
      <w:r w:rsidR="00640B70">
        <w:rPr>
          <w:rFonts w:ascii="Arial" w:hAnsi="Arial" w:cs="Arial"/>
          <w:color w:val="000000"/>
          <w:sz w:val="24"/>
          <w:szCs w:val="24"/>
        </w:rPr>
        <w:t xml:space="preserve"> the</w:t>
      </w:r>
      <w:proofErr w:type="gramEnd"/>
      <w:r w:rsidR="00640B70">
        <w:rPr>
          <w:rFonts w:ascii="Arial" w:hAnsi="Arial" w:cs="Arial"/>
          <w:color w:val="000000"/>
          <w:sz w:val="24"/>
          <w:szCs w:val="24"/>
        </w:rPr>
        <w:t xml:space="preserve"> provision of</w:t>
      </w:r>
      <w:r w:rsidRPr="009A569B">
        <w:rPr>
          <w:rFonts w:ascii="Arial" w:hAnsi="Arial" w:cs="Arial"/>
          <w:color w:val="000000"/>
          <w:sz w:val="24"/>
          <w:szCs w:val="24"/>
        </w:rPr>
        <w:t xml:space="preserve"> statistical information about financial sector entities during the 20</w:t>
      </w:r>
      <w:r w:rsidR="000B4680">
        <w:rPr>
          <w:rFonts w:ascii="Arial" w:hAnsi="Arial" w:cs="Arial"/>
          <w:color w:val="000000"/>
          <w:sz w:val="24"/>
          <w:szCs w:val="24"/>
        </w:rPr>
        <w:t>2</w:t>
      </w:r>
      <w:r w:rsidR="00E9339D">
        <w:rPr>
          <w:rFonts w:ascii="Arial" w:hAnsi="Arial" w:cs="Arial"/>
          <w:color w:val="000000"/>
          <w:sz w:val="24"/>
          <w:szCs w:val="24"/>
        </w:rPr>
        <w:t>4</w:t>
      </w:r>
      <w:r w:rsidRPr="009A569B">
        <w:rPr>
          <w:rFonts w:ascii="Arial" w:hAnsi="Arial" w:cs="Arial"/>
          <w:color w:val="000000"/>
          <w:sz w:val="24"/>
          <w:szCs w:val="24"/>
        </w:rPr>
        <w:t>-</w:t>
      </w:r>
      <w:r w:rsidR="00A40389">
        <w:rPr>
          <w:rFonts w:ascii="Arial" w:hAnsi="Arial" w:cs="Arial"/>
          <w:color w:val="000000"/>
          <w:sz w:val="24"/>
          <w:szCs w:val="24"/>
        </w:rPr>
        <w:t>2</w:t>
      </w:r>
      <w:r w:rsidR="00E9339D">
        <w:rPr>
          <w:rFonts w:ascii="Arial" w:hAnsi="Arial" w:cs="Arial"/>
          <w:color w:val="000000"/>
          <w:sz w:val="24"/>
          <w:szCs w:val="24"/>
        </w:rPr>
        <w:t>5</w:t>
      </w:r>
      <w:r w:rsidRPr="009A569B">
        <w:rPr>
          <w:rFonts w:ascii="Arial" w:hAnsi="Arial" w:cs="Arial"/>
          <w:color w:val="000000"/>
          <w:sz w:val="24"/>
          <w:szCs w:val="24"/>
        </w:rPr>
        <w:t xml:space="preserve"> financial year. </w:t>
      </w:r>
      <w:r w:rsidR="006B69EB">
        <w:rPr>
          <w:rFonts w:ascii="Arial" w:hAnsi="Arial" w:cs="Arial"/>
          <w:color w:val="000000"/>
          <w:sz w:val="24"/>
          <w:szCs w:val="24"/>
        </w:rPr>
        <w:t xml:space="preserve">Charges payable by the RBA and the ABS will not have any direct or indirect effect on the rights of individual persons. </w:t>
      </w:r>
    </w:p>
    <w:p w14:paraId="7B29EA29" w14:textId="77777777" w:rsidR="00931FEC" w:rsidRPr="009A569B" w:rsidRDefault="00931FEC" w:rsidP="00931FEC">
      <w:pPr>
        <w:jc w:val="both"/>
        <w:rPr>
          <w:rFonts w:ascii="Arial" w:hAnsi="Arial" w:cs="Arial"/>
          <w:b/>
          <w:sz w:val="24"/>
          <w:szCs w:val="24"/>
        </w:rPr>
      </w:pPr>
    </w:p>
    <w:p w14:paraId="1209236E" w14:textId="77777777" w:rsidR="00931FEC" w:rsidRPr="00AE1584" w:rsidRDefault="00931FEC" w:rsidP="00931FEC">
      <w:pPr>
        <w:spacing w:after="120"/>
        <w:jc w:val="both"/>
        <w:rPr>
          <w:rFonts w:ascii="Arial" w:hAnsi="Arial" w:cs="Arial"/>
          <w:b/>
          <w:sz w:val="24"/>
          <w:szCs w:val="24"/>
        </w:rPr>
      </w:pPr>
      <w:r w:rsidRPr="009A569B">
        <w:rPr>
          <w:rFonts w:ascii="Arial" w:hAnsi="Arial" w:cs="Arial"/>
          <w:b/>
          <w:sz w:val="24"/>
          <w:szCs w:val="24"/>
        </w:rPr>
        <w:t>Human rights implications</w:t>
      </w:r>
    </w:p>
    <w:p w14:paraId="03A0E23F" w14:textId="03069431" w:rsidR="00931FEC" w:rsidRPr="009A569B" w:rsidRDefault="00931FEC" w:rsidP="00931FEC">
      <w:pPr>
        <w:pStyle w:val="Heading"/>
        <w:spacing w:before="0" w:after="120"/>
        <w:jc w:val="both"/>
        <w:rPr>
          <w:rFonts w:ascii="Arial" w:hAnsi="Arial"/>
          <w:b w:val="0"/>
          <w:sz w:val="24"/>
          <w:szCs w:val="24"/>
        </w:rPr>
      </w:pPr>
      <w:r w:rsidRPr="009A569B">
        <w:rPr>
          <w:rFonts w:ascii="Arial" w:hAnsi="Arial"/>
          <w:b w:val="0"/>
          <w:sz w:val="24"/>
          <w:szCs w:val="24"/>
        </w:rPr>
        <w:t>APRA has assessed th</w:t>
      </w:r>
      <w:r w:rsidR="00E16008">
        <w:rPr>
          <w:rFonts w:ascii="Arial" w:hAnsi="Arial"/>
          <w:b w:val="0"/>
          <w:sz w:val="24"/>
          <w:szCs w:val="24"/>
        </w:rPr>
        <w:t>is</w:t>
      </w:r>
      <w:r w:rsidRPr="009A569B">
        <w:rPr>
          <w:rFonts w:ascii="Arial" w:hAnsi="Arial"/>
          <w:b w:val="0"/>
          <w:sz w:val="24"/>
          <w:szCs w:val="24"/>
        </w:rPr>
        <w:t xml:space="preserve"> </w:t>
      </w:r>
      <w:r w:rsidR="00E16008">
        <w:rPr>
          <w:rFonts w:ascii="Arial" w:hAnsi="Arial"/>
          <w:b w:val="0"/>
          <w:sz w:val="24"/>
          <w:szCs w:val="24"/>
        </w:rPr>
        <w:t>Legislative I</w:t>
      </w:r>
      <w:r w:rsidRPr="009A569B">
        <w:rPr>
          <w:rFonts w:ascii="Arial" w:hAnsi="Arial"/>
          <w:b w:val="0"/>
          <w:sz w:val="24"/>
          <w:szCs w:val="24"/>
        </w:rPr>
        <w:t>nstrument against the international instruments listed in s</w:t>
      </w:r>
      <w:r w:rsidR="00D279AB">
        <w:rPr>
          <w:rFonts w:ascii="Arial" w:hAnsi="Arial"/>
          <w:b w:val="0"/>
          <w:sz w:val="24"/>
          <w:szCs w:val="24"/>
        </w:rPr>
        <w:t>ubs</w:t>
      </w:r>
      <w:r w:rsidRPr="009A569B">
        <w:rPr>
          <w:rFonts w:ascii="Arial" w:hAnsi="Arial"/>
          <w:b w:val="0"/>
          <w:sz w:val="24"/>
          <w:szCs w:val="24"/>
        </w:rPr>
        <w:t>ection 3</w:t>
      </w:r>
      <w:r w:rsidR="00D279AB">
        <w:rPr>
          <w:rFonts w:ascii="Arial" w:hAnsi="Arial"/>
          <w:b w:val="0"/>
          <w:sz w:val="24"/>
          <w:szCs w:val="24"/>
        </w:rPr>
        <w:t>(1)</w:t>
      </w:r>
      <w:r w:rsidRPr="009A569B">
        <w:rPr>
          <w:rFonts w:ascii="Arial" w:hAnsi="Arial"/>
          <w:b w:val="0"/>
          <w:sz w:val="24"/>
          <w:szCs w:val="24"/>
        </w:rPr>
        <w:t xml:space="preserve"> of the HRPS Act and determined that only Article 17 of the International Covenant on Civil and Political Rights (ICCPR) is conceivably of potential relevance to th</w:t>
      </w:r>
      <w:r w:rsidR="00AD2DA0">
        <w:rPr>
          <w:rFonts w:ascii="Arial" w:hAnsi="Arial"/>
          <w:b w:val="0"/>
          <w:sz w:val="24"/>
          <w:szCs w:val="24"/>
        </w:rPr>
        <w:t>is</w:t>
      </w:r>
      <w:r w:rsidRPr="009A569B">
        <w:rPr>
          <w:rFonts w:ascii="Arial" w:hAnsi="Arial"/>
          <w:b w:val="0"/>
          <w:sz w:val="24"/>
          <w:szCs w:val="24"/>
        </w:rPr>
        <w:t xml:space="preserve"> </w:t>
      </w:r>
      <w:r w:rsidR="00AD2DA0">
        <w:rPr>
          <w:rFonts w:ascii="Arial" w:hAnsi="Arial"/>
          <w:b w:val="0"/>
          <w:sz w:val="24"/>
          <w:szCs w:val="24"/>
        </w:rPr>
        <w:t>L</w:t>
      </w:r>
      <w:r w:rsidRPr="009A569B">
        <w:rPr>
          <w:rFonts w:ascii="Arial" w:hAnsi="Arial"/>
          <w:b w:val="0"/>
          <w:sz w:val="24"/>
          <w:szCs w:val="24"/>
        </w:rPr>
        <w:t xml:space="preserve">egislative </w:t>
      </w:r>
      <w:r w:rsidR="00AD2DA0">
        <w:rPr>
          <w:rFonts w:ascii="Arial" w:hAnsi="Arial"/>
          <w:b w:val="0"/>
          <w:sz w:val="24"/>
          <w:szCs w:val="24"/>
        </w:rPr>
        <w:t>I</w:t>
      </w:r>
      <w:r w:rsidRPr="009A569B">
        <w:rPr>
          <w:rFonts w:ascii="Arial" w:hAnsi="Arial"/>
          <w:b w:val="0"/>
          <w:sz w:val="24"/>
          <w:szCs w:val="24"/>
        </w:rPr>
        <w:t>nstrument</w:t>
      </w:r>
      <w:r w:rsidR="00AD2DA0">
        <w:rPr>
          <w:rFonts w:ascii="Arial" w:hAnsi="Arial"/>
          <w:b w:val="0"/>
          <w:sz w:val="24"/>
          <w:szCs w:val="24"/>
        </w:rPr>
        <w:t>.</w:t>
      </w:r>
    </w:p>
    <w:p w14:paraId="4E142F9A" w14:textId="77777777" w:rsidR="00931FEC" w:rsidRPr="009A569B" w:rsidRDefault="00931FEC" w:rsidP="00931FEC">
      <w:pPr>
        <w:pStyle w:val="Heading"/>
        <w:spacing w:before="0" w:after="0"/>
        <w:jc w:val="both"/>
        <w:rPr>
          <w:rFonts w:ascii="Arial" w:hAnsi="Arial"/>
          <w:b w:val="0"/>
          <w:sz w:val="24"/>
          <w:szCs w:val="24"/>
        </w:rPr>
      </w:pPr>
      <w:r w:rsidRPr="009A569B">
        <w:rPr>
          <w:rFonts w:ascii="Arial" w:hAnsi="Arial"/>
          <w:b w:val="0"/>
          <w:sz w:val="24"/>
          <w:szCs w:val="24"/>
        </w:rPr>
        <w:t xml:space="preserve">Article 17 of the ICCPR prohibits the arbitrary or unlawful interference with a person’s privacy, family, home and correspondence, and attacks on reputation. </w:t>
      </w:r>
    </w:p>
    <w:p w14:paraId="777300EE" w14:textId="77777777" w:rsidR="00931FEC" w:rsidRPr="009A569B" w:rsidRDefault="00931FEC" w:rsidP="00931FEC">
      <w:pPr>
        <w:pStyle w:val="Heading"/>
        <w:spacing w:before="0" w:after="0"/>
        <w:jc w:val="both"/>
        <w:rPr>
          <w:rFonts w:ascii="Arial" w:hAnsi="Arial"/>
          <w:b w:val="0"/>
          <w:sz w:val="24"/>
          <w:szCs w:val="24"/>
        </w:rPr>
      </w:pPr>
    </w:p>
    <w:p w14:paraId="11F7B070" w14:textId="77777777" w:rsidR="00931FEC" w:rsidRPr="009A569B" w:rsidRDefault="00931FEC" w:rsidP="00931FEC">
      <w:pPr>
        <w:pStyle w:val="Heading"/>
        <w:spacing w:before="0" w:after="0"/>
        <w:jc w:val="both"/>
        <w:rPr>
          <w:rFonts w:ascii="Arial" w:hAnsi="Arial"/>
          <w:b w:val="0"/>
          <w:sz w:val="24"/>
          <w:szCs w:val="24"/>
        </w:rPr>
      </w:pPr>
      <w:r w:rsidRPr="009A569B">
        <w:rPr>
          <w:rFonts w:ascii="Arial" w:hAnsi="Arial"/>
          <w:b w:val="0"/>
          <w:sz w:val="24"/>
          <w:szCs w:val="24"/>
        </w:rPr>
        <w:t>Article 17 is exclusively concerned with prohibiting interference with the privacy and/or reputation of individual persons. It does not extend to the privacy and/or reputation of corporate entities.</w:t>
      </w:r>
    </w:p>
    <w:p w14:paraId="66386378" w14:textId="77777777" w:rsidR="00931FEC" w:rsidRPr="009A569B" w:rsidRDefault="00931FEC" w:rsidP="00931FEC">
      <w:pPr>
        <w:pStyle w:val="Heading"/>
        <w:spacing w:before="0" w:after="0"/>
        <w:jc w:val="both"/>
        <w:rPr>
          <w:rFonts w:ascii="Arial" w:hAnsi="Arial"/>
          <w:b w:val="0"/>
          <w:sz w:val="24"/>
          <w:szCs w:val="24"/>
        </w:rPr>
      </w:pPr>
    </w:p>
    <w:p w14:paraId="1C4CE7EF" w14:textId="17362DB9" w:rsidR="00931FEC" w:rsidRPr="009A569B" w:rsidRDefault="00931FEC" w:rsidP="00931FEC">
      <w:pPr>
        <w:pStyle w:val="BodyText"/>
        <w:jc w:val="both"/>
        <w:rPr>
          <w:rFonts w:ascii="Arial" w:hAnsi="Arial" w:cs="Arial"/>
          <w:b/>
          <w:sz w:val="24"/>
          <w:szCs w:val="24"/>
        </w:rPr>
      </w:pPr>
      <w:r w:rsidRPr="009A569B">
        <w:rPr>
          <w:rFonts w:ascii="Arial" w:hAnsi="Arial" w:cs="Arial"/>
          <w:color w:val="000000"/>
          <w:sz w:val="24"/>
          <w:szCs w:val="24"/>
        </w:rPr>
        <w:t>Consequently, th</w:t>
      </w:r>
      <w:r w:rsidR="00E573D8">
        <w:rPr>
          <w:rFonts w:ascii="Arial" w:hAnsi="Arial" w:cs="Arial"/>
          <w:color w:val="000000"/>
          <w:sz w:val="24"/>
          <w:szCs w:val="24"/>
        </w:rPr>
        <w:t xml:space="preserve">is </w:t>
      </w:r>
      <w:proofErr w:type="gramStart"/>
      <w:r w:rsidR="00E573D8">
        <w:rPr>
          <w:rFonts w:ascii="Arial" w:hAnsi="Arial" w:cs="Arial"/>
          <w:color w:val="000000"/>
          <w:sz w:val="24"/>
          <w:szCs w:val="24"/>
        </w:rPr>
        <w:t xml:space="preserve">Legislative </w:t>
      </w:r>
      <w:r w:rsidRPr="009A569B">
        <w:rPr>
          <w:rFonts w:ascii="Arial" w:hAnsi="Arial" w:cs="Arial"/>
          <w:color w:val="000000"/>
          <w:sz w:val="24"/>
          <w:szCs w:val="24"/>
        </w:rPr>
        <w:t xml:space="preserve"> </w:t>
      </w:r>
      <w:r w:rsidR="00E573D8">
        <w:rPr>
          <w:rFonts w:ascii="Arial" w:hAnsi="Arial" w:cs="Arial"/>
          <w:color w:val="000000"/>
          <w:sz w:val="24"/>
          <w:szCs w:val="24"/>
        </w:rPr>
        <w:t>I</w:t>
      </w:r>
      <w:r w:rsidRPr="009A569B">
        <w:rPr>
          <w:rFonts w:ascii="Arial" w:hAnsi="Arial" w:cs="Arial"/>
          <w:color w:val="000000"/>
          <w:sz w:val="24"/>
          <w:szCs w:val="24"/>
        </w:rPr>
        <w:t>nstrument</w:t>
      </w:r>
      <w:proofErr w:type="gramEnd"/>
      <w:r w:rsidRPr="009A569B">
        <w:rPr>
          <w:rFonts w:ascii="Arial" w:hAnsi="Arial" w:cs="Arial"/>
          <w:color w:val="000000"/>
          <w:sz w:val="24"/>
          <w:szCs w:val="24"/>
        </w:rPr>
        <w:t xml:space="preserve"> does not engage any of the applicable rights or freedoms recognised or declared in the international instruments listed in section 3 of the HRPS Act. Accordingly, in APRA’s assessment, this </w:t>
      </w:r>
      <w:r w:rsidR="0068690B">
        <w:rPr>
          <w:rFonts w:ascii="Arial" w:hAnsi="Arial" w:cs="Arial"/>
          <w:color w:val="000000"/>
          <w:sz w:val="24"/>
          <w:szCs w:val="24"/>
        </w:rPr>
        <w:t>L</w:t>
      </w:r>
      <w:r w:rsidRPr="009A569B">
        <w:rPr>
          <w:rFonts w:ascii="Arial" w:hAnsi="Arial" w:cs="Arial"/>
          <w:color w:val="000000"/>
          <w:sz w:val="24"/>
          <w:szCs w:val="24"/>
        </w:rPr>
        <w:t xml:space="preserve">egislative </w:t>
      </w:r>
      <w:r w:rsidR="0068690B">
        <w:rPr>
          <w:rFonts w:ascii="Arial" w:hAnsi="Arial" w:cs="Arial"/>
          <w:color w:val="000000"/>
          <w:sz w:val="24"/>
          <w:szCs w:val="24"/>
        </w:rPr>
        <w:t>I</w:t>
      </w:r>
      <w:r w:rsidRPr="009A569B">
        <w:rPr>
          <w:rFonts w:ascii="Arial" w:hAnsi="Arial" w:cs="Arial"/>
          <w:color w:val="000000"/>
          <w:sz w:val="24"/>
          <w:szCs w:val="24"/>
        </w:rPr>
        <w:t>nstrument is compatible with human rights.</w:t>
      </w:r>
    </w:p>
    <w:p w14:paraId="4D6A8088" w14:textId="77777777" w:rsidR="00931FEC" w:rsidRPr="009A569B" w:rsidRDefault="00931FEC" w:rsidP="00931FEC">
      <w:pPr>
        <w:pStyle w:val="Heading"/>
        <w:spacing w:before="0" w:after="0"/>
        <w:jc w:val="both"/>
        <w:rPr>
          <w:rFonts w:ascii="Arial" w:hAnsi="Arial"/>
          <w:b w:val="0"/>
          <w:sz w:val="24"/>
          <w:szCs w:val="24"/>
        </w:rPr>
      </w:pPr>
    </w:p>
    <w:p w14:paraId="09D1D0E7" w14:textId="77777777" w:rsidR="00931FEC" w:rsidRPr="009A569B" w:rsidRDefault="00931FEC" w:rsidP="00931FEC">
      <w:pPr>
        <w:spacing w:after="120"/>
        <w:jc w:val="both"/>
        <w:rPr>
          <w:rFonts w:ascii="Arial" w:hAnsi="Arial" w:cs="Arial"/>
          <w:b/>
          <w:sz w:val="24"/>
          <w:szCs w:val="24"/>
        </w:rPr>
      </w:pPr>
      <w:r w:rsidRPr="009A569B">
        <w:rPr>
          <w:rFonts w:ascii="Arial" w:hAnsi="Arial" w:cs="Arial"/>
          <w:b/>
          <w:sz w:val="24"/>
          <w:szCs w:val="24"/>
        </w:rPr>
        <w:t>Conclusion</w:t>
      </w:r>
    </w:p>
    <w:p w14:paraId="5147EC2F" w14:textId="65762120" w:rsidR="00931FEC" w:rsidRPr="009A569B" w:rsidRDefault="00ED0444" w:rsidP="00167A99">
      <w:pPr>
        <w:pStyle w:val="Heading"/>
        <w:spacing w:before="0" w:after="120"/>
        <w:rPr>
          <w:rFonts w:ascii="Arial" w:hAnsi="Arial"/>
          <w:b w:val="0"/>
          <w:sz w:val="24"/>
          <w:szCs w:val="24"/>
        </w:rPr>
      </w:pPr>
      <w:r>
        <w:rPr>
          <w:rFonts w:ascii="Arial" w:hAnsi="Arial"/>
          <w:b w:val="0"/>
          <w:sz w:val="24"/>
          <w:szCs w:val="24"/>
        </w:rPr>
        <w:t>This Legislative Instrument</w:t>
      </w:r>
      <w:r w:rsidR="00931FEC" w:rsidRPr="00E41C1A">
        <w:rPr>
          <w:rFonts w:ascii="Arial" w:hAnsi="Arial"/>
          <w:b w:val="0"/>
          <w:sz w:val="24"/>
          <w:szCs w:val="24"/>
        </w:rPr>
        <w:t xml:space="preserve"> is</w:t>
      </w:r>
      <w:r w:rsidR="00931FEC" w:rsidRPr="009A569B">
        <w:rPr>
          <w:rFonts w:ascii="Arial" w:hAnsi="Arial"/>
          <w:b w:val="0"/>
          <w:sz w:val="24"/>
          <w:szCs w:val="24"/>
        </w:rPr>
        <w:t xml:space="preserve"> compatible with human rights because the determinations do not raise human rights issues.</w:t>
      </w:r>
    </w:p>
    <w:p w14:paraId="4F3C9EBD" w14:textId="77777777" w:rsidR="00D22D14" w:rsidRPr="009A569B" w:rsidRDefault="00D22D14" w:rsidP="00BD4475">
      <w:pPr>
        <w:pStyle w:val="Heading"/>
        <w:jc w:val="both"/>
        <w:rPr>
          <w:rFonts w:ascii="Arial" w:hAnsi="Arial"/>
          <w:sz w:val="24"/>
          <w:szCs w:val="24"/>
        </w:rPr>
      </w:pPr>
    </w:p>
    <w:p w14:paraId="63A2A66E" w14:textId="77777777" w:rsidR="00D22D14" w:rsidRPr="009A569B" w:rsidRDefault="00D22D14" w:rsidP="00BD4475">
      <w:pPr>
        <w:pStyle w:val="Heading1"/>
        <w:jc w:val="both"/>
      </w:pPr>
    </w:p>
    <w:sectPr w:rsidR="00D22D14" w:rsidRPr="009A569B" w:rsidSect="00D42566">
      <w:footerReference w:type="even"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ADD6" w14:textId="77777777" w:rsidR="003B1391" w:rsidRDefault="003B1391">
      <w:r>
        <w:separator/>
      </w:r>
    </w:p>
  </w:endnote>
  <w:endnote w:type="continuationSeparator" w:id="0">
    <w:p w14:paraId="479A2E2D" w14:textId="77777777" w:rsidR="003B1391" w:rsidRDefault="003B1391">
      <w:r>
        <w:continuationSeparator/>
      </w:r>
    </w:p>
  </w:endnote>
  <w:endnote w:type="continuationNotice" w:id="1">
    <w:p w14:paraId="3A9D9864" w14:textId="77777777" w:rsidR="003B1391" w:rsidRDefault="003B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D1BC" w14:textId="77777777" w:rsidR="00815ACC" w:rsidRDefault="00815ACC"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9AA">
      <w:rPr>
        <w:rStyle w:val="PageNumber"/>
        <w:noProof/>
      </w:rPr>
      <w:t>4</w:t>
    </w:r>
    <w:r>
      <w:rPr>
        <w:rStyle w:val="PageNumber"/>
      </w:rPr>
      <w:fldChar w:fldCharType="end"/>
    </w:r>
  </w:p>
  <w:p w14:paraId="6BD2D563" w14:textId="77777777" w:rsidR="00815ACC" w:rsidRDefault="00815ACC" w:rsidP="00000A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81C0" w14:textId="77777777" w:rsidR="003B1391" w:rsidRDefault="003B1391">
      <w:r>
        <w:separator/>
      </w:r>
    </w:p>
  </w:footnote>
  <w:footnote w:type="continuationSeparator" w:id="0">
    <w:p w14:paraId="31F8DBD0" w14:textId="77777777" w:rsidR="003B1391" w:rsidRDefault="003B1391">
      <w:r>
        <w:continuationSeparator/>
      </w:r>
    </w:p>
  </w:footnote>
  <w:footnote w:type="continuationNotice" w:id="1">
    <w:p w14:paraId="5C6136CE" w14:textId="77777777" w:rsidR="003B1391" w:rsidRDefault="003B1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CE9"/>
    <w:multiLevelType w:val="hybridMultilevel"/>
    <w:tmpl w:val="E86633EE"/>
    <w:lvl w:ilvl="0" w:tplc="9AF42904">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906D3F"/>
    <w:multiLevelType w:val="hybridMultilevel"/>
    <w:tmpl w:val="065A0A94"/>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4" w15:restartNumberingAfterBreak="0">
    <w:nsid w:val="159C3C01"/>
    <w:multiLevelType w:val="hybridMultilevel"/>
    <w:tmpl w:val="28BE7D50"/>
    <w:lvl w:ilvl="0" w:tplc="4F6C5FE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D395552"/>
    <w:multiLevelType w:val="hybridMultilevel"/>
    <w:tmpl w:val="E2B28594"/>
    <w:lvl w:ilvl="0" w:tplc="58E81CB0">
      <w:start w:val="3"/>
      <w:numFmt w:val="decimal"/>
      <w:lvlText w:val="%1."/>
      <w:lvlJc w:val="left"/>
      <w:pPr>
        <w:tabs>
          <w:tab w:val="num" w:pos="0"/>
        </w:tabs>
        <w:ind w:left="0" w:hanging="36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num w:numId="1" w16cid:durableId="1842965086">
    <w:abstractNumId w:val="2"/>
  </w:num>
  <w:num w:numId="2" w16cid:durableId="1981762851">
    <w:abstractNumId w:val="8"/>
  </w:num>
  <w:num w:numId="3" w16cid:durableId="880828692">
    <w:abstractNumId w:val="9"/>
  </w:num>
  <w:num w:numId="4" w16cid:durableId="726220273">
    <w:abstractNumId w:val="7"/>
  </w:num>
  <w:num w:numId="5" w16cid:durableId="10494050">
    <w:abstractNumId w:val="6"/>
  </w:num>
  <w:num w:numId="6" w16cid:durableId="163594903">
    <w:abstractNumId w:val="10"/>
  </w:num>
  <w:num w:numId="7" w16cid:durableId="948701277">
    <w:abstractNumId w:val="5"/>
  </w:num>
  <w:num w:numId="8" w16cid:durableId="594552831">
    <w:abstractNumId w:val="3"/>
  </w:num>
  <w:num w:numId="9" w16cid:durableId="28650195">
    <w:abstractNumId w:val="11"/>
  </w:num>
  <w:num w:numId="10" w16cid:durableId="29259287">
    <w:abstractNumId w:val="1"/>
  </w:num>
  <w:num w:numId="11" w16cid:durableId="1140460021">
    <w:abstractNumId w:val="4"/>
  </w:num>
  <w:num w:numId="12" w16cid:durableId="170263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97"/>
    <w:rsid w:val="000002EF"/>
    <w:rsid w:val="00000A3D"/>
    <w:rsid w:val="00000AE6"/>
    <w:rsid w:val="0000163E"/>
    <w:rsid w:val="000022F9"/>
    <w:rsid w:val="00004C43"/>
    <w:rsid w:val="00004F91"/>
    <w:rsid w:val="00007372"/>
    <w:rsid w:val="00012695"/>
    <w:rsid w:val="00017BAC"/>
    <w:rsid w:val="000201AE"/>
    <w:rsid w:val="000207B7"/>
    <w:rsid w:val="000209B2"/>
    <w:rsid w:val="000218B6"/>
    <w:rsid w:val="00021A49"/>
    <w:rsid w:val="00021A7D"/>
    <w:rsid w:val="00021FB2"/>
    <w:rsid w:val="000226AE"/>
    <w:rsid w:val="00024377"/>
    <w:rsid w:val="0002665E"/>
    <w:rsid w:val="00026726"/>
    <w:rsid w:val="0002731C"/>
    <w:rsid w:val="00027386"/>
    <w:rsid w:val="00030205"/>
    <w:rsid w:val="00030BD8"/>
    <w:rsid w:val="000324C9"/>
    <w:rsid w:val="00032E46"/>
    <w:rsid w:val="000336F0"/>
    <w:rsid w:val="00033B73"/>
    <w:rsid w:val="00034B51"/>
    <w:rsid w:val="00034D14"/>
    <w:rsid w:val="00035522"/>
    <w:rsid w:val="00035ADF"/>
    <w:rsid w:val="00037C7B"/>
    <w:rsid w:val="00037E76"/>
    <w:rsid w:val="00041511"/>
    <w:rsid w:val="00042D0B"/>
    <w:rsid w:val="00043838"/>
    <w:rsid w:val="00043ACF"/>
    <w:rsid w:val="000449CE"/>
    <w:rsid w:val="00044BA1"/>
    <w:rsid w:val="00046F93"/>
    <w:rsid w:val="00055C1B"/>
    <w:rsid w:val="00056C6C"/>
    <w:rsid w:val="00056DFC"/>
    <w:rsid w:val="000631DA"/>
    <w:rsid w:val="00063B11"/>
    <w:rsid w:val="00063F0D"/>
    <w:rsid w:val="00064527"/>
    <w:rsid w:val="0006508A"/>
    <w:rsid w:val="000678A9"/>
    <w:rsid w:val="00067C51"/>
    <w:rsid w:val="00070FBC"/>
    <w:rsid w:val="00072971"/>
    <w:rsid w:val="00073CC8"/>
    <w:rsid w:val="000759BB"/>
    <w:rsid w:val="00075C89"/>
    <w:rsid w:val="00076969"/>
    <w:rsid w:val="0007722E"/>
    <w:rsid w:val="00077FB3"/>
    <w:rsid w:val="00080B55"/>
    <w:rsid w:val="00080B8D"/>
    <w:rsid w:val="000814BA"/>
    <w:rsid w:val="000879AF"/>
    <w:rsid w:val="00092A4F"/>
    <w:rsid w:val="0009307A"/>
    <w:rsid w:val="00093D0B"/>
    <w:rsid w:val="0009688A"/>
    <w:rsid w:val="000968AC"/>
    <w:rsid w:val="00097D65"/>
    <w:rsid w:val="000A016A"/>
    <w:rsid w:val="000A3ECD"/>
    <w:rsid w:val="000A579A"/>
    <w:rsid w:val="000A6A53"/>
    <w:rsid w:val="000B0E16"/>
    <w:rsid w:val="000B22C3"/>
    <w:rsid w:val="000B3626"/>
    <w:rsid w:val="000B4680"/>
    <w:rsid w:val="000B5532"/>
    <w:rsid w:val="000B59FF"/>
    <w:rsid w:val="000B704F"/>
    <w:rsid w:val="000B7F24"/>
    <w:rsid w:val="000C2BB3"/>
    <w:rsid w:val="000C33EE"/>
    <w:rsid w:val="000C3A21"/>
    <w:rsid w:val="000C50EF"/>
    <w:rsid w:val="000C5EC3"/>
    <w:rsid w:val="000C7024"/>
    <w:rsid w:val="000C7A3A"/>
    <w:rsid w:val="000D046E"/>
    <w:rsid w:val="000D3C80"/>
    <w:rsid w:val="000D6AC0"/>
    <w:rsid w:val="000E055A"/>
    <w:rsid w:val="000E46AA"/>
    <w:rsid w:val="000E7DBD"/>
    <w:rsid w:val="000F10DC"/>
    <w:rsid w:val="000F309E"/>
    <w:rsid w:val="000F3243"/>
    <w:rsid w:val="000F3E1E"/>
    <w:rsid w:val="000F50AA"/>
    <w:rsid w:val="000F581C"/>
    <w:rsid w:val="000F5A70"/>
    <w:rsid w:val="000F6592"/>
    <w:rsid w:val="00101553"/>
    <w:rsid w:val="00102F9E"/>
    <w:rsid w:val="001047E4"/>
    <w:rsid w:val="0010495D"/>
    <w:rsid w:val="001058A7"/>
    <w:rsid w:val="00105F5C"/>
    <w:rsid w:val="0010646F"/>
    <w:rsid w:val="00110071"/>
    <w:rsid w:val="001112C3"/>
    <w:rsid w:val="001119F9"/>
    <w:rsid w:val="00111B4F"/>
    <w:rsid w:val="0011218A"/>
    <w:rsid w:val="00113638"/>
    <w:rsid w:val="001147EA"/>
    <w:rsid w:val="00116D49"/>
    <w:rsid w:val="00116E0B"/>
    <w:rsid w:val="00116E3D"/>
    <w:rsid w:val="00117514"/>
    <w:rsid w:val="00117E53"/>
    <w:rsid w:val="0012099F"/>
    <w:rsid w:val="001245B8"/>
    <w:rsid w:val="0012491A"/>
    <w:rsid w:val="00124EE2"/>
    <w:rsid w:val="00126BDF"/>
    <w:rsid w:val="001271A7"/>
    <w:rsid w:val="0013136C"/>
    <w:rsid w:val="00131E43"/>
    <w:rsid w:val="00131F70"/>
    <w:rsid w:val="001334CD"/>
    <w:rsid w:val="00134DEA"/>
    <w:rsid w:val="00136099"/>
    <w:rsid w:val="001412F2"/>
    <w:rsid w:val="00142E8F"/>
    <w:rsid w:val="00146362"/>
    <w:rsid w:val="00146799"/>
    <w:rsid w:val="00147418"/>
    <w:rsid w:val="00151B66"/>
    <w:rsid w:val="001525FB"/>
    <w:rsid w:val="00155096"/>
    <w:rsid w:val="001558D5"/>
    <w:rsid w:val="00157603"/>
    <w:rsid w:val="001615A2"/>
    <w:rsid w:val="0016350A"/>
    <w:rsid w:val="001636BF"/>
    <w:rsid w:val="00163AE4"/>
    <w:rsid w:val="00164958"/>
    <w:rsid w:val="001657D4"/>
    <w:rsid w:val="001660CF"/>
    <w:rsid w:val="00166496"/>
    <w:rsid w:val="001669EA"/>
    <w:rsid w:val="00167A99"/>
    <w:rsid w:val="001700E4"/>
    <w:rsid w:val="001720CE"/>
    <w:rsid w:val="0017332D"/>
    <w:rsid w:val="001735C0"/>
    <w:rsid w:val="00175C48"/>
    <w:rsid w:val="00176630"/>
    <w:rsid w:val="00176F4D"/>
    <w:rsid w:val="00180F2D"/>
    <w:rsid w:val="00183A1C"/>
    <w:rsid w:val="001840F8"/>
    <w:rsid w:val="0018454A"/>
    <w:rsid w:val="00184B32"/>
    <w:rsid w:val="001860FE"/>
    <w:rsid w:val="00187135"/>
    <w:rsid w:val="00191382"/>
    <w:rsid w:val="0019482E"/>
    <w:rsid w:val="001A0790"/>
    <w:rsid w:val="001A2EDE"/>
    <w:rsid w:val="001A4037"/>
    <w:rsid w:val="001A58B3"/>
    <w:rsid w:val="001A59E2"/>
    <w:rsid w:val="001A5AE1"/>
    <w:rsid w:val="001A71B8"/>
    <w:rsid w:val="001A7363"/>
    <w:rsid w:val="001B0D42"/>
    <w:rsid w:val="001B3A5A"/>
    <w:rsid w:val="001B56AB"/>
    <w:rsid w:val="001B6E91"/>
    <w:rsid w:val="001B7494"/>
    <w:rsid w:val="001B797E"/>
    <w:rsid w:val="001C07AC"/>
    <w:rsid w:val="001C0BC5"/>
    <w:rsid w:val="001C37DD"/>
    <w:rsid w:val="001D16A9"/>
    <w:rsid w:val="001D18BC"/>
    <w:rsid w:val="001D1DC0"/>
    <w:rsid w:val="001D4AEF"/>
    <w:rsid w:val="001D5E85"/>
    <w:rsid w:val="001E06CB"/>
    <w:rsid w:val="001E2DB0"/>
    <w:rsid w:val="001E3DB8"/>
    <w:rsid w:val="001E54DD"/>
    <w:rsid w:val="001E623B"/>
    <w:rsid w:val="001E6EA4"/>
    <w:rsid w:val="001F29F1"/>
    <w:rsid w:val="001F3826"/>
    <w:rsid w:val="001F4FB6"/>
    <w:rsid w:val="001F726B"/>
    <w:rsid w:val="00204C0A"/>
    <w:rsid w:val="00206505"/>
    <w:rsid w:val="002102C1"/>
    <w:rsid w:val="002114F1"/>
    <w:rsid w:val="00213C2C"/>
    <w:rsid w:val="00215703"/>
    <w:rsid w:val="00216981"/>
    <w:rsid w:val="00217116"/>
    <w:rsid w:val="00217327"/>
    <w:rsid w:val="00217F85"/>
    <w:rsid w:val="00220160"/>
    <w:rsid w:val="002221E0"/>
    <w:rsid w:val="00222296"/>
    <w:rsid w:val="00223611"/>
    <w:rsid w:val="00223C69"/>
    <w:rsid w:val="002242B7"/>
    <w:rsid w:val="00224EFA"/>
    <w:rsid w:val="00225921"/>
    <w:rsid w:val="00226D27"/>
    <w:rsid w:val="00227C74"/>
    <w:rsid w:val="00231875"/>
    <w:rsid w:val="00232833"/>
    <w:rsid w:val="002330A5"/>
    <w:rsid w:val="002341A1"/>
    <w:rsid w:val="0023426D"/>
    <w:rsid w:val="002366F8"/>
    <w:rsid w:val="002402D7"/>
    <w:rsid w:val="002413E7"/>
    <w:rsid w:val="00241D30"/>
    <w:rsid w:val="002430A4"/>
    <w:rsid w:val="002430F8"/>
    <w:rsid w:val="00243591"/>
    <w:rsid w:val="00244734"/>
    <w:rsid w:val="00245AFA"/>
    <w:rsid w:val="002504E2"/>
    <w:rsid w:val="002507BE"/>
    <w:rsid w:val="002529DB"/>
    <w:rsid w:val="002541D6"/>
    <w:rsid w:val="00254ED3"/>
    <w:rsid w:val="002557EF"/>
    <w:rsid w:val="0026264D"/>
    <w:rsid w:val="00262DB5"/>
    <w:rsid w:val="002642DC"/>
    <w:rsid w:val="00265913"/>
    <w:rsid w:val="00272076"/>
    <w:rsid w:val="00275D22"/>
    <w:rsid w:val="002765CF"/>
    <w:rsid w:val="002778DB"/>
    <w:rsid w:val="00277E0E"/>
    <w:rsid w:val="002800C6"/>
    <w:rsid w:val="00280853"/>
    <w:rsid w:val="00282B1D"/>
    <w:rsid w:val="00285041"/>
    <w:rsid w:val="002862C1"/>
    <w:rsid w:val="0028701B"/>
    <w:rsid w:val="00287B33"/>
    <w:rsid w:val="00287F99"/>
    <w:rsid w:val="0029046F"/>
    <w:rsid w:val="00290CD3"/>
    <w:rsid w:val="002938AB"/>
    <w:rsid w:val="00293D9E"/>
    <w:rsid w:val="00294A2F"/>
    <w:rsid w:val="00294BCD"/>
    <w:rsid w:val="002954C0"/>
    <w:rsid w:val="002962EE"/>
    <w:rsid w:val="00297593"/>
    <w:rsid w:val="00297EB5"/>
    <w:rsid w:val="002A0CA7"/>
    <w:rsid w:val="002A0F36"/>
    <w:rsid w:val="002A3F96"/>
    <w:rsid w:val="002A47FA"/>
    <w:rsid w:val="002A48D0"/>
    <w:rsid w:val="002B089B"/>
    <w:rsid w:val="002B0DC0"/>
    <w:rsid w:val="002B26FF"/>
    <w:rsid w:val="002B2A6A"/>
    <w:rsid w:val="002B48B7"/>
    <w:rsid w:val="002B5153"/>
    <w:rsid w:val="002B5583"/>
    <w:rsid w:val="002B57E3"/>
    <w:rsid w:val="002B6511"/>
    <w:rsid w:val="002B6780"/>
    <w:rsid w:val="002B6E99"/>
    <w:rsid w:val="002C07E7"/>
    <w:rsid w:val="002C3F98"/>
    <w:rsid w:val="002C6572"/>
    <w:rsid w:val="002C6E22"/>
    <w:rsid w:val="002C7D5C"/>
    <w:rsid w:val="002D003A"/>
    <w:rsid w:val="002D15B6"/>
    <w:rsid w:val="002D1FF7"/>
    <w:rsid w:val="002D4B1D"/>
    <w:rsid w:val="002D4CD4"/>
    <w:rsid w:val="002D5680"/>
    <w:rsid w:val="002D5F9B"/>
    <w:rsid w:val="002D7440"/>
    <w:rsid w:val="002E10E6"/>
    <w:rsid w:val="002E55D1"/>
    <w:rsid w:val="002E5E7C"/>
    <w:rsid w:val="002E68FA"/>
    <w:rsid w:val="002E78A9"/>
    <w:rsid w:val="002E793D"/>
    <w:rsid w:val="002F4098"/>
    <w:rsid w:val="002F5E8D"/>
    <w:rsid w:val="002F600D"/>
    <w:rsid w:val="002F7309"/>
    <w:rsid w:val="00300114"/>
    <w:rsid w:val="0030070E"/>
    <w:rsid w:val="00300764"/>
    <w:rsid w:val="00302C2A"/>
    <w:rsid w:val="003033E4"/>
    <w:rsid w:val="003035C2"/>
    <w:rsid w:val="00303CBA"/>
    <w:rsid w:val="0030412B"/>
    <w:rsid w:val="0030432F"/>
    <w:rsid w:val="00306BB8"/>
    <w:rsid w:val="00311544"/>
    <w:rsid w:val="00312444"/>
    <w:rsid w:val="00314F61"/>
    <w:rsid w:val="003168CC"/>
    <w:rsid w:val="00320E7E"/>
    <w:rsid w:val="00321451"/>
    <w:rsid w:val="0032301D"/>
    <w:rsid w:val="00323B35"/>
    <w:rsid w:val="00323DBD"/>
    <w:rsid w:val="00325ADC"/>
    <w:rsid w:val="00330906"/>
    <w:rsid w:val="0033514A"/>
    <w:rsid w:val="00335A4D"/>
    <w:rsid w:val="003368A5"/>
    <w:rsid w:val="0033751A"/>
    <w:rsid w:val="003437C9"/>
    <w:rsid w:val="0034386A"/>
    <w:rsid w:val="00343C71"/>
    <w:rsid w:val="00344148"/>
    <w:rsid w:val="0034609C"/>
    <w:rsid w:val="00347117"/>
    <w:rsid w:val="003473D5"/>
    <w:rsid w:val="00347FCC"/>
    <w:rsid w:val="0035131B"/>
    <w:rsid w:val="00357301"/>
    <w:rsid w:val="00360602"/>
    <w:rsid w:val="0036074D"/>
    <w:rsid w:val="00361A51"/>
    <w:rsid w:val="003641BA"/>
    <w:rsid w:val="003658DB"/>
    <w:rsid w:val="003664C9"/>
    <w:rsid w:val="003671DF"/>
    <w:rsid w:val="0037345E"/>
    <w:rsid w:val="003743F6"/>
    <w:rsid w:val="00376B6F"/>
    <w:rsid w:val="00381779"/>
    <w:rsid w:val="0038364D"/>
    <w:rsid w:val="00383D53"/>
    <w:rsid w:val="00385E2F"/>
    <w:rsid w:val="00385EBA"/>
    <w:rsid w:val="003860AD"/>
    <w:rsid w:val="00386BC5"/>
    <w:rsid w:val="00387030"/>
    <w:rsid w:val="00387E03"/>
    <w:rsid w:val="00391576"/>
    <w:rsid w:val="00392E7F"/>
    <w:rsid w:val="0039373B"/>
    <w:rsid w:val="00395BD0"/>
    <w:rsid w:val="003977DA"/>
    <w:rsid w:val="00397B51"/>
    <w:rsid w:val="003A0FB4"/>
    <w:rsid w:val="003A551B"/>
    <w:rsid w:val="003A61D2"/>
    <w:rsid w:val="003A6EA0"/>
    <w:rsid w:val="003B07BC"/>
    <w:rsid w:val="003B1391"/>
    <w:rsid w:val="003B1D5F"/>
    <w:rsid w:val="003B2D52"/>
    <w:rsid w:val="003B3827"/>
    <w:rsid w:val="003B43AC"/>
    <w:rsid w:val="003B6034"/>
    <w:rsid w:val="003B6B84"/>
    <w:rsid w:val="003C02B5"/>
    <w:rsid w:val="003C1F4C"/>
    <w:rsid w:val="003C282F"/>
    <w:rsid w:val="003C3568"/>
    <w:rsid w:val="003C45B2"/>
    <w:rsid w:val="003C4C0A"/>
    <w:rsid w:val="003C55BF"/>
    <w:rsid w:val="003C71DA"/>
    <w:rsid w:val="003D14AA"/>
    <w:rsid w:val="003D180E"/>
    <w:rsid w:val="003D1AE8"/>
    <w:rsid w:val="003D361D"/>
    <w:rsid w:val="003D671F"/>
    <w:rsid w:val="003D7726"/>
    <w:rsid w:val="003E0149"/>
    <w:rsid w:val="003E1487"/>
    <w:rsid w:val="003E220F"/>
    <w:rsid w:val="003E2F84"/>
    <w:rsid w:val="003E399F"/>
    <w:rsid w:val="003E3BEA"/>
    <w:rsid w:val="003E4087"/>
    <w:rsid w:val="003E62FF"/>
    <w:rsid w:val="003E6D66"/>
    <w:rsid w:val="003E7DCB"/>
    <w:rsid w:val="003E7F89"/>
    <w:rsid w:val="003F0850"/>
    <w:rsid w:val="003F1022"/>
    <w:rsid w:val="003F10E4"/>
    <w:rsid w:val="003F1710"/>
    <w:rsid w:val="003F2D0E"/>
    <w:rsid w:val="003F36CD"/>
    <w:rsid w:val="003F3C4B"/>
    <w:rsid w:val="003F6637"/>
    <w:rsid w:val="003F70A3"/>
    <w:rsid w:val="004012C1"/>
    <w:rsid w:val="00402E77"/>
    <w:rsid w:val="00403EA8"/>
    <w:rsid w:val="0040568B"/>
    <w:rsid w:val="00405A5B"/>
    <w:rsid w:val="00407F00"/>
    <w:rsid w:val="0041062F"/>
    <w:rsid w:val="0041076D"/>
    <w:rsid w:val="00411C33"/>
    <w:rsid w:val="0041284D"/>
    <w:rsid w:val="00412B80"/>
    <w:rsid w:val="00414E21"/>
    <w:rsid w:val="00416296"/>
    <w:rsid w:val="0042270D"/>
    <w:rsid w:val="00424B74"/>
    <w:rsid w:val="00425FD0"/>
    <w:rsid w:val="00426F46"/>
    <w:rsid w:val="00426F55"/>
    <w:rsid w:val="00427335"/>
    <w:rsid w:val="00431BFA"/>
    <w:rsid w:val="00433BBF"/>
    <w:rsid w:val="00435827"/>
    <w:rsid w:val="00436690"/>
    <w:rsid w:val="00437B24"/>
    <w:rsid w:val="00440EE4"/>
    <w:rsid w:val="00442720"/>
    <w:rsid w:val="00443B03"/>
    <w:rsid w:val="004448A7"/>
    <w:rsid w:val="00445027"/>
    <w:rsid w:val="004450E4"/>
    <w:rsid w:val="00446793"/>
    <w:rsid w:val="0044764E"/>
    <w:rsid w:val="0044FCFC"/>
    <w:rsid w:val="00450270"/>
    <w:rsid w:val="0045082F"/>
    <w:rsid w:val="00451661"/>
    <w:rsid w:val="00452BFF"/>
    <w:rsid w:val="00453902"/>
    <w:rsid w:val="00454124"/>
    <w:rsid w:val="00455936"/>
    <w:rsid w:val="00455CFD"/>
    <w:rsid w:val="00456B13"/>
    <w:rsid w:val="00456F13"/>
    <w:rsid w:val="004570BC"/>
    <w:rsid w:val="00463269"/>
    <w:rsid w:val="00464D25"/>
    <w:rsid w:val="00465941"/>
    <w:rsid w:val="00466BE1"/>
    <w:rsid w:val="004724FC"/>
    <w:rsid w:val="00474A00"/>
    <w:rsid w:val="0047677F"/>
    <w:rsid w:val="00480AB5"/>
    <w:rsid w:val="00481814"/>
    <w:rsid w:val="00482040"/>
    <w:rsid w:val="004831AE"/>
    <w:rsid w:val="00485359"/>
    <w:rsid w:val="00485782"/>
    <w:rsid w:val="004913BF"/>
    <w:rsid w:val="00491AD1"/>
    <w:rsid w:val="00491C70"/>
    <w:rsid w:val="00496154"/>
    <w:rsid w:val="004974E6"/>
    <w:rsid w:val="00497A10"/>
    <w:rsid w:val="004A0957"/>
    <w:rsid w:val="004A6554"/>
    <w:rsid w:val="004A7EF8"/>
    <w:rsid w:val="004B004C"/>
    <w:rsid w:val="004B347F"/>
    <w:rsid w:val="004B437B"/>
    <w:rsid w:val="004B4B8C"/>
    <w:rsid w:val="004B4D09"/>
    <w:rsid w:val="004B621D"/>
    <w:rsid w:val="004B65D3"/>
    <w:rsid w:val="004B66F3"/>
    <w:rsid w:val="004B6A23"/>
    <w:rsid w:val="004B7D58"/>
    <w:rsid w:val="004C1C1D"/>
    <w:rsid w:val="004C269F"/>
    <w:rsid w:val="004C3348"/>
    <w:rsid w:val="004C35E1"/>
    <w:rsid w:val="004C4B1C"/>
    <w:rsid w:val="004C682A"/>
    <w:rsid w:val="004C79A4"/>
    <w:rsid w:val="004D18BA"/>
    <w:rsid w:val="004D28CB"/>
    <w:rsid w:val="004D3977"/>
    <w:rsid w:val="004D3EB7"/>
    <w:rsid w:val="004D5D51"/>
    <w:rsid w:val="004E1F90"/>
    <w:rsid w:val="004E40C6"/>
    <w:rsid w:val="004E7EC2"/>
    <w:rsid w:val="004F00FE"/>
    <w:rsid w:val="004F0124"/>
    <w:rsid w:val="004F0BEB"/>
    <w:rsid w:val="004F0E6C"/>
    <w:rsid w:val="004F183F"/>
    <w:rsid w:val="004F1A75"/>
    <w:rsid w:val="004F1F1E"/>
    <w:rsid w:val="004F3053"/>
    <w:rsid w:val="004F3633"/>
    <w:rsid w:val="004F3927"/>
    <w:rsid w:val="004F3C64"/>
    <w:rsid w:val="004F4A60"/>
    <w:rsid w:val="004F4CCA"/>
    <w:rsid w:val="004F758D"/>
    <w:rsid w:val="00501743"/>
    <w:rsid w:val="00504AED"/>
    <w:rsid w:val="00505C2A"/>
    <w:rsid w:val="00506561"/>
    <w:rsid w:val="00506BAC"/>
    <w:rsid w:val="00506FA2"/>
    <w:rsid w:val="005109C2"/>
    <w:rsid w:val="005117A0"/>
    <w:rsid w:val="00512598"/>
    <w:rsid w:val="00514E54"/>
    <w:rsid w:val="0051573E"/>
    <w:rsid w:val="005227C7"/>
    <w:rsid w:val="00523E14"/>
    <w:rsid w:val="005323E9"/>
    <w:rsid w:val="00533365"/>
    <w:rsid w:val="00534BE2"/>
    <w:rsid w:val="005370C4"/>
    <w:rsid w:val="005378DF"/>
    <w:rsid w:val="00540E72"/>
    <w:rsid w:val="00542994"/>
    <w:rsid w:val="00544186"/>
    <w:rsid w:val="00544647"/>
    <w:rsid w:val="00544768"/>
    <w:rsid w:val="0054724E"/>
    <w:rsid w:val="00547A22"/>
    <w:rsid w:val="00547A89"/>
    <w:rsid w:val="005510DA"/>
    <w:rsid w:val="00554D51"/>
    <w:rsid w:val="005550AE"/>
    <w:rsid w:val="0055543A"/>
    <w:rsid w:val="005566FA"/>
    <w:rsid w:val="00556BCF"/>
    <w:rsid w:val="00561055"/>
    <w:rsid w:val="00561732"/>
    <w:rsid w:val="005620A9"/>
    <w:rsid w:val="00562B07"/>
    <w:rsid w:val="00565315"/>
    <w:rsid w:val="00566654"/>
    <w:rsid w:val="00566B3C"/>
    <w:rsid w:val="00567A9A"/>
    <w:rsid w:val="005717C1"/>
    <w:rsid w:val="005718A5"/>
    <w:rsid w:val="005726A4"/>
    <w:rsid w:val="00574616"/>
    <w:rsid w:val="005748FE"/>
    <w:rsid w:val="00574F39"/>
    <w:rsid w:val="00574F71"/>
    <w:rsid w:val="00577942"/>
    <w:rsid w:val="00580524"/>
    <w:rsid w:val="00580EB9"/>
    <w:rsid w:val="005821EC"/>
    <w:rsid w:val="005827E8"/>
    <w:rsid w:val="005833B9"/>
    <w:rsid w:val="00586E45"/>
    <w:rsid w:val="0058779C"/>
    <w:rsid w:val="00587962"/>
    <w:rsid w:val="00590B0F"/>
    <w:rsid w:val="00591630"/>
    <w:rsid w:val="00592576"/>
    <w:rsid w:val="005932C6"/>
    <w:rsid w:val="00593BF7"/>
    <w:rsid w:val="005941E1"/>
    <w:rsid w:val="0059602C"/>
    <w:rsid w:val="005960A8"/>
    <w:rsid w:val="00596C1D"/>
    <w:rsid w:val="00596DD9"/>
    <w:rsid w:val="0059789E"/>
    <w:rsid w:val="005A22B3"/>
    <w:rsid w:val="005A743A"/>
    <w:rsid w:val="005B0C26"/>
    <w:rsid w:val="005B0DC7"/>
    <w:rsid w:val="005C0369"/>
    <w:rsid w:val="005C0B0C"/>
    <w:rsid w:val="005C370D"/>
    <w:rsid w:val="005C37A6"/>
    <w:rsid w:val="005C3C75"/>
    <w:rsid w:val="005C475C"/>
    <w:rsid w:val="005C5A2B"/>
    <w:rsid w:val="005C701A"/>
    <w:rsid w:val="005C7AB3"/>
    <w:rsid w:val="005D0304"/>
    <w:rsid w:val="005D0925"/>
    <w:rsid w:val="005D3A78"/>
    <w:rsid w:val="005D435B"/>
    <w:rsid w:val="005D7020"/>
    <w:rsid w:val="005D7266"/>
    <w:rsid w:val="005E15D8"/>
    <w:rsid w:val="005E301D"/>
    <w:rsid w:val="005E55A9"/>
    <w:rsid w:val="005E5CCF"/>
    <w:rsid w:val="005F0577"/>
    <w:rsid w:val="005F09F8"/>
    <w:rsid w:val="005F1973"/>
    <w:rsid w:val="005F1AC6"/>
    <w:rsid w:val="005F2E00"/>
    <w:rsid w:val="005F2E75"/>
    <w:rsid w:val="005F409B"/>
    <w:rsid w:val="005F4295"/>
    <w:rsid w:val="005F53D3"/>
    <w:rsid w:val="005F5DF4"/>
    <w:rsid w:val="005F6BAC"/>
    <w:rsid w:val="005F7714"/>
    <w:rsid w:val="006007EF"/>
    <w:rsid w:val="006020B1"/>
    <w:rsid w:val="00603429"/>
    <w:rsid w:val="00604885"/>
    <w:rsid w:val="0060767C"/>
    <w:rsid w:val="006077A5"/>
    <w:rsid w:val="00611A4D"/>
    <w:rsid w:val="00611D54"/>
    <w:rsid w:val="00612117"/>
    <w:rsid w:val="0061258F"/>
    <w:rsid w:val="006148DF"/>
    <w:rsid w:val="00614DA6"/>
    <w:rsid w:val="006208F9"/>
    <w:rsid w:val="00620F70"/>
    <w:rsid w:val="006210C2"/>
    <w:rsid w:val="00625A22"/>
    <w:rsid w:val="00625D6C"/>
    <w:rsid w:val="00630E4B"/>
    <w:rsid w:val="00634AF5"/>
    <w:rsid w:val="00634FF0"/>
    <w:rsid w:val="00635072"/>
    <w:rsid w:val="00635270"/>
    <w:rsid w:val="00635A7C"/>
    <w:rsid w:val="00636125"/>
    <w:rsid w:val="00636B3D"/>
    <w:rsid w:val="00637538"/>
    <w:rsid w:val="006403A3"/>
    <w:rsid w:val="00640B70"/>
    <w:rsid w:val="00644F26"/>
    <w:rsid w:val="00645119"/>
    <w:rsid w:val="006465E4"/>
    <w:rsid w:val="006473F9"/>
    <w:rsid w:val="00647406"/>
    <w:rsid w:val="00647696"/>
    <w:rsid w:val="00647B94"/>
    <w:rsid w:val="00652397"/>
    <w:rsid w:val="00652667"/>
    <w:rsid w:val="00653AF9"/>
    <w:rsid w:val="00653E8A"/>
    <w:rsid w:val="00655B2B"/>
    <w:rsid w:val="00660331"/>
    <w:rsid w:val="006618F8"/>
    <w:rsid w:val="006631D2"/>
    <w:rsid w:val="00663C9A"/>
    <w:rsid w:val="00666966"/>
    <w:rsid w:val="00670C58"/>
    <w:rsid w:val="0067105C"/>
    <w:rsid w:val="00673234"/>
    <w:rsid w:val="00673E01"/>
    <w:rsid w:val="00677F9F"/>
    <w:rsid w:val="00685CF1"/>
    <w:rsid w:val="00685E25"/>
    <w:rsid w:val="006864C1"/>
    <w:rsid w:val="0068690B"/>
    <w:rsid w:val="0069087E"/>
    <w:rsid w:val="00694795"/>
    <w:rsid w:val="00694F60"/>
    <w:rsid w:val="006967C8"/>
    <w:rsid w:val="00697FAD"/>
    <w:rsid w:val="006A05FB"/>
    <w:rsid w:val="006A2BB0"/>
    <w:rsid w:val="006A38CC"/>
    <w:rsid w:val="006A4330"/>
    <w:rsid w:val="006A4591"/>
    <w:rsid w:val="006A6ED9"/>
    <w:rsid w:val="006A7837"/>
    <w:rsid w:val="006B4444"/>
    <w:rsid w:val="006B6285"/>
    <w:rsid w:val="006B69EB"/>
    <w:rsid w:val="006C059C"/>
    <w:rsid w:val="006C0777"/>
    <w:rsid w:val="006C0888"/>
    <w:rsid w:val="006C55F2"/>
    <w:rsid w:val="006C6A19"/>
    <w:rsid w:val="006D0073"/>
    <w:rsid w:val="006D1265"/>
    <w:rsid w:val="006D261E"/>
    <w:rsid w:val="006D3029"/>
    <w:rsid w:val="006D5468"/>
    <w:rsid w:val="006D67F0"/>
    <w:rsid w:val="006E15EA"/>
    <w:rsid w:val="006E1AC7"/>
    <w:rsid w:val="006E1CC7"/>
    <w:rsid w:val="006E222F"/>
    <w:rsid w:val="006E2D0B"/>
    <w:rsid w:val="006E3E66"/>
    <w:rsid w:val="006E747A"/>
    <w:rsid w:val="006F38AC"/>
    <w:rsid w:val="006F468A"/>
    <w:rsid w:val="006F641E"/>
    <w:rsid w:val="006F6C05"/>
    <w:rsid w:val="007017D0"/>
    <w:rsid w:val="00702EF7"/>
    <w:rsid w:val="00704E26"/>
    <w:rsid w:val="007060F0"/>
    <w:rsid w:val="0071092B"/>
    <w:rsid w:val="00712E3F"/>
    <w:rsid w:val="007144BF"/>
    <w:rsid w:val="00717A79"/>
    <w:rsid w:val="0072010D"/>
    <w:rsid w:val="00726600"/>
    <w:rsid w:val="00727D0D"/>
    <w:rsid w:val="00730888"/>
    <w:rsid w:val="00733B48"/>
    <w:rsid w:val="007346A8"/>
    <w:rsid w:val="00737DEA"/>
    <w:rsid w:val="00743617"/>
    <w:rsid w:val="00744E6B"/>
    <w:rsid w:val="00746A9F"/>
    <w:rsid w:val="00747769"/>
    <w:rsid w:val="00747BE1"/>
    <w:rsid w:val="00752D5C"/>
    <w:rsid w:val="007533ED"/>
    <w:rsid w:val="0075648C"/>
    <w:rsid w:val="007570BC"/>
    <w:rsid w:val="0076082B"/>
    <w:rsid w:val="00760CF4"/>
    <w:rsid w:val="00762BCC"/>
    <w:rsid w:val="00764CA6"/>
    <w:rsid w:val="00765D1F"/>
    <w:rsid w:val="00767CC8"/>
    <w:rsid w:val="00770264"/>
    <w:rsid w:val="0077280B"/>
    <w:rsid w:val="00772D0D"/>
    <w:rsid w:val="00773578"/>
    <w:rsid w:val="00777C47"/>
    <w:rsid w:val="00780C75"/>
    <w:rsid w:val="00781871"/>
    <w:rsid w:val="00782621"/>
    <w:rsid w:val="00783C67"/>
    <w:rsid w:val="00785721"/>
    <w:rsid w:val="0078583B"/>
    <w:rsid w:val="00785B77"/>
    <w:rsid w:val="00786FAD"/>
    <w:rsid w:val="00790D3D"/>
    <w:rsid w:val="00791614"/>
    <w:rsid w:val="00791CB9"/>
    <w:rsid w:val="007924F8"/>
    <w:rsid w:val="00796DE0"/>
    <w:rsid w:val="00796FF8"/>
    <w:rsid w:val="00797297"/>
    <w:rsid w:val="007978EC"/>
    <w:rsid w:val="007A0604"/>
    <w:rsid w:val="007A4180"/>
    <w:rsid w:val="007A6707"/>
    <w:rsid w:val="007B093E"/>
    <w:rsid w:val="007B1118"/>
    <w:rsid w:val="007B43EB"/>
    <w:rsid w:val="007B49C0"/>
    <w:rsid w:val="007B69D9"/>
    <w:rsid w:val="007C3365"/>
    <w:rsid w:val="007C451A"/>
    <w:rsid w:val="007C4EB3"/>
    <w:rsid w:val="007C6955"/>
    <w:rsid w:val="007D1918"/>
    <w:rsid w:val="007D3CD2"/>
    <w:rsid w:val="007D7B26"/>
    <w:rsid w:val="007D7E1E"/>
    <w:rsid w:val="007E1756"/>
    <w:rsid w:val="007E247D"/>
    <w:rsid w:val="007E49F7"/>
    <w:rsid w:val="007E4C1A"/>
    <w:rsid w:val="007E7036"/>
    <w:rsid w:val="007E73E8"/>
    <w:rsid w:val="007E751F"/>
    <w:rsid w:val="007E7AE8"/>
    <w:rsid w:val="007F2DD0"/>
    <w:rsid w:val="007F4FCB"/>
    <w:rsid w:val="007F50A4"/>
    <w:rsid w:val="007F5476"/>
    <w:rsid w:val="007F58A8"/>
    <w:rsid w:val="007F66EC"/>
    <w:rsid w:val="00801087"/>
    <w:rsid w:val="008015D2"/>
    <w:rsid w:val="00802F61"/>
    <w:rsid w:val="0080389C"/>
    <w:rsid w:val="0080552D"/>
    <w:rsid w:val="008062B8"/>
    <w:rsid w:val="00806B31"/>
    <w:rsid w:val="00806B58"/>
    <w:rsid w:val="00807B3F"/>
    <w:rsid w:val="008124F3"/>
    <w:rsid w:val="00812A17"/>
    <w:rsid w:val="00814D08"/>
    <w:rsid w:val="00814E77"/>
    <w:rsid w:val="00815ACC"/>
    <w:rsid w:val="00817A81"/>
    <w:rsid w:val="00822A70"/>
    <w:rsid w:val="0082354F"/>
    <w:rsid w:val="00824D6C"/>
    <w:rsid w:val="00825913"/>
    <w:rsid w:val="00826B4E"/>
    <w:rsid w:val="00830C54"/>
    <w:rsid w:val="00830E90"/>
    <w:rsid w:val="0083335D"/>
    <w:rsid w:val="0083482E"/>
    <w:rsid w:val="0083492E"/>
    <w:rsid w:val="00837FB3"/>
    <w:rsid w:val="00844445"/>
    <w:rsid w:val="0084490C"/>
    <w:rsid w:val="0084495C"/>
    <w:rsid w:val="00845C9F"/>
    <w:rsid w:val="00851FFF"/>
    <w:rsid w:val="00853398"/>
    <w:rsid w:val="00853887"/>
    <w:rsid w:val="00854FAA"/>
    <w:rsid w:val="00855CEB"/>
    <w:rsid w:val="008572EC"/>
    <w:rsid w:val="00860DC0"/>
    <w:rsid w:val="00860FC2"/>
    <w:rsid w:val="00864281"/>
    <w:rsid w:val="008643F2"/>
    <w:rsid w:val="00866A49"/>
    <w:rsid w:val="0086772C"/>
    <w:rsid w:val="00870B9B"/>
    <w:rsid w:val="008713A5"/>
    <w:rsid w:val="00871C08"/>
    <w:rsid w:val="0087463A"/>
    <w:rsid w:val="00875BA7"/>
    <w:rsid w:val="008765BE"/>
    <w:rsid w:val="0087752B"/>
    <w:rsid w:val="00877BC2"/>
    <w:rsid w:val="00881941"/>
    <w:rsid w:val="00881B57"/>
    <w:rsid w:val="008825C2"/>
    <w:rsid w:val="00883970"/>
    <w:rsid w:val="00884C1C"/>
    <w:rsid w:val="0088539F"/>
    <w:rsid w:val="00885D7C"/>
    <w:rsid w:val="00886B47"/>
    <w:rsid w:val="00887622"/>
    <w:rsid w:val="00890A82"/>
    <w:rsid w:val="008937E6"/>
    <w:rsid w:val="00893A25"/>
    <w:rsid w:val="008A1A5F"/>
    <w:rsid w:val="008A3170"/>
    <w:rsid w:val="008A7848"/>
    <w:rsid w:val="008A7FC2"/>
    <w:rsid w:val="008B0263"/>
    <w:rsid w:val="008B1DD5"/>
    <w:rsid w:val="008B5A2F"/>
    <w:rsid w:val="008B5B9B"/>
    <w:rsid w:val="008B63C0"/>
    <w:rsid w:val="008B7528"/>
    <w:rsid w:val="008B756D"/>
    <w:rsid w:val="008C0554"/>
    <w:rsid w:val="008C0F09"/>
    <w:rsid w:val="008C1AE5"/>
    <w:rsid w:val="008C228A"/>
    <w:rsid w:val="008C26C4"/>
    <w:rsid w:val="008C325C"/>
    <w:rsid w:val="008D0E01"/>
    <w:rsid w:val="008D19F8"/>
    <w:rsid w:val="008D1B82"/>
    <w:rsid w:val="008D1C2C"/>
    <w:rsid w:val="008D4D81"/>
    <w:rsid w:val="008D5758"/>
    <w:rsid w:val="008D710F"/>
    <w:rsid w:val="008E17FA"/>
    <w:rsid w:val="008E1C9F"/>
    <w:rsid w:val="008E25C7"/>
    <w:rsid w:val="008E433C"/>
    <w:rsid w:val="008E445F"/>
    <w:rsid w:val="008E4A67"/>
    <w:rsid w:val="008E6EA7"/>
    <w:rsid w:val="008F07CE"/>
    <w:rsid w:val="008F1A28"/>
    <w:rsid w:val="008F5555"/>
    <w:rsid w:val="008F63DA"/>
    <w:rsid w:val="008F6AA0"/>
    <w:rsid w:val="008F772D"/>
    <w:rsid w:val="009046AF"/>
    <w:rsid w:val="00910F17"/>
    <w:rsid w:val="009119C1"/>
    <w:rsid w:val="00915A33"/>
    <w:rsid w:val="00922097"/>
    <w:rsid w:val="009229BE"/>
    <w:rsid w:val="009253B0"/>
    <w:rsid w:val="00930F07"/>
    <w:rsid w:val="0093145C"/>
    <w:rsid w:val="00931FEC"/>
    <w:rsid w:val="00932D57"/>
    <w:rsid w:val="00935613"/>
    <w:rsid w:val="00935816"/>
    <w:rsid w:val="00935BA5"/>
    <w:rsid w:val="009403D0"/>
    <w:rsid w:val="009414DF"/>
    <w:rsid w:val="00943A26"/>
    <w:rsid w:val="00943E78"/>
    <w:rsid w:val="00944E96"/>
    <w:rsid w:val="00944EBA"/>
    <w:rsid w:val="00945115"/>
    <w:rsid w:val="00950588"/>
    <w:rsid w:val="009506E9"/>
    <w:rsid w:val="00953841"/>
    <w:rsid w:val="00956A1C"/>
    <w:rsid w:val="00957C19"/>
    <w:rsid w:val="00960BDF"/>
    <w:rsid w:val="009615A5"/>
    <w:rsid w:val="00962D01"/>
    <w:rsid w:val="0096549C"/>
    <w:rsid w:val="00967455"/>
    <w:rsid w:val="009674FE"/>
    <w:rsid w:val="00967BCF"/>
    <w:rsid w:val="009715C2"/>
    <w:rsid w:val="009732D4"/>
    <w:rsid w:val="0097684A"/>
    <w:rsid w:val="00976C72"/>
    <w:rsid w:val="009815E2"/>
    <w:rsid w:val="00982A9C"/>
    <w:rsid w:val="0098391E"/>
    <w:rsid w:val="00983F71"/>
    <w:rsid w:val="00985A96"/>
    <w:rsid w:val="00987359"/>
    <w:rsid w:val="00990CDB"/>
    <w:rsid w:val="00991147"/>
    <w:rsid w:val="00993251"/>
    <w:rsid w:val="00995DA5"/>
    <w:rsid w:val="00997B46"/>
    <w:rsid w:val="00997CA7"/>
    <w:rsid w:val="00997E93"/>
    <w:rsid w:val="009A0B59"/>
    <w:rsid w:val="009A569B"/>
    <w:rsid w:val="009A573D"/>
    <w:rsid w:val="009B42C6"/>
    <w:rsid w:val="009B53C6"/>
    <w:rsid w:val="009B713C"/>
    <w:rsid w:val="009C0E04"/>
    <w:rsid w:val="009C1793"/>
    <w:rsid w:val="009C19B4"/>
    <w:rsid w:val="009C1F22"/>
    <w:rsid w:val="009C48A5"/>
    <w:rsid w:val="009D22D3"/>
    <w:rsid w:val="009D33BA"/>
    <w:rsid w:val="009D3581"/>
    <w:rsid w:val="009D520D"/>
    <w:rsid w:val="009D5410"/>
    <w:rsid w:val="009D6F4F"/>
    <w:rsid w:val="009E081A"/>
    <w:rsid w:val="009E11C5"/>
    <w:rsid w:val="009E1B41"/>
    <w:rsid w:val="009E1FF7"/>
    <w:rsid w:val="009E216B"/>
    <w:rsid w:val="009E4EAB"/>
    <w:rsid w:val="009F2DFF"/>
    <w:rsid w:val="00A009D5"/>
    <w:rsid w:val="00A00E45"/>
    <w:rsid w:val="00A03AB9"/>
    <w:rsid w:val="00A047B5"/>
    <w:rsid w:val="00A053C3"/>
    <w:rsid w:val="00A07E97"/>
    <w:rsid w:val="00A11CE0"/>
    <w:rsid w:val="00A1222F"/>
    <w:rsid w:val="00A13C4A"/>
    <w:rsid w:val="00A14232"/>
    <w:rsid w:val="00A15209"/>
    <w:rsid w:val="00A203CB"/>
    <w:rsid w:val="00A208EB"/>
    <w:rsid w:val="00A241A5"/>
    <w:rsid w:val="00A26BC5"/>
    <w:rsid w:val="00A30261"/>
    <w:rsid w:val="00A30DAD"/>
    <w:rsid w:val="00A316B5"/>
    <w:rsid w:val="00A32B98"/>
    <w:rsid w:val="00A3587C"/>
    <w:rsid w:val="00A40389"/>
    <w:rsid w:val="00A406D4"/>
    <w:rsid w:val="00A40D5C"/>
    <w:rsid w:val="00A415FF"/>
    <w:rsid w:val="00A43FF9"/>
    <w:rsid w:val="00A464C8"/>
    <w:rsid w:val="00A51D19"/>
    <w:rsid w:val="00A52179"/>
    <w:rsid w:val="00A530B5"/>
    <w:rsid w:val="00A535CD"/>
    <w:rsid w:val="00A55057"/>
    <w:rsid w:val="00A55AE8"/>
    <w:rsid w:val="00A601B6"/>
    <w:rsid w:val="00A609B5"/>
    <w:rsid w:val="00A62BAC"/>
    <w:rsid w:val="00A62DD6"/>
    <w:rsid w:val="00A637D5"/>
    <w:rsid w:val="00A63DA9"/>
    <w:rsid w:val="00A63EB6"/>
    <w:rsid w:val="00A6443D"/>
    <w:rsid w:val="00A64C8E"/>
    <w:rsid w:val="00A64FE0"/>
    <w:rsid w:val="00A66958"/>
    <w:rsid w:val="00A66DF3"/>
    <w:rsid w:val="00A677A3"/>
    <w:rsid w:val="00A67CF3"/>
    <w:rsid w:val="00A703AC"/>
    <w:rsid w:val="00A70E17"/>
    <w:rsid w:val="00A71ECC"/>
    <w:rsid w:val="00A819DA"/>
    <w:rsid w:val="00A82408"/>
    <w:rsid w:val="00A82561"/>
    <w:rsid w:val="00A8448C"/>
    <w:rsid w:val="00A87A32"/>
    <w:rsid w:val="00A90308"/>
    <w:rsid w:val="00A9195C"/>
    <w:rsid w:val="00A92C3F"/>
    <w:rsid w:val="00A9383F"/>
    <w:rsid w:val="00A948C1"/>
    <w:rsid w:val="00A96E14"/>
    <w:rsid w:val="00A96F6A"/>
    <w:rsid w:val="00A97627"/>
    <w:rsid w:val="00A9793D"/>
    <w:rsid w:val="00A97D45"/>
    <w:rsid w:val="00AA01C7"/>
    <w:rsid w:val="00AA08EC"/>
    <w:rsid w:val="00AA2735"/>
    <w:rsid w:val="00AA4781"/>
    <w:rsid w:val="00AA5AC5"/>
    <w:rsid w:val="00AA6277"/>
    <w:rsid w:val="00AA7D85"/>
    <w:rsid w:val="00AB0A7D"/>
    <w:rsid w:val="00AB1F92"/>
    <w:rsid w:val="00AB36AB"/>
    <w:rsid w:val="00AB3CCA"/>
    <w:rsid w:val="00AB3FCB"/>
    <w:rsid w:val="00AB533D"/>
    <w:rsid w:val="00AB54A3"/>
    <w:rsid w:val="00AB6A38"/>
    <w:rsid w:val="00AC031B"/>
    <w:rsid w:val="00AC0D44"/>
    <w:rsid w:val="00AC11B9"/>
    <w:rsid w:val="00AC1C67"/>
    <w:rsid w:val="00AC2118"/>
    <w:rsid w:val="00AC21E3"/>
    <w:rsid w:val="00AC2996"/>
    <w:rsid w:val="00AC3F07"/>
    <w:rsid w:val="00AC432A"/>
    <w:rsid w:val="00AC4D15"/>
    <w:rsid w:val="00AC5299"/>
    <w:rsid w:val="00AC5CE2"/>
    <w:rsid w:val="00AC636F"/>
    <w:rsid w:val="00AC7B84"/>
    <w:rsid w:val="00AD2DA0"/>
    <w:rsid w:val="00AD31BC"/>
    <w:rsid w:val="00AD3D6B"/>
    <w:rsid w:val="00AD62C5"/>
    <w:rsid w:val="00AE1584"/>
    <w:rsid w:val="00AE287A"/>
    <w:rsid w:val="00AE2AE4"/>
    <w:rsid w:val="00AE2D97"/>
    <w:rsid w:val="00AE7E64"/>
    <w:rsid w:val="00AF1113"/>
    <w:rsid w:val="00AF1F5E"/>
    <w:rsid w:val="00AF20A5"/>
    <w:rsid w:val="00AF3144"/>
    <w:rsid w:val="00AF5824"/>
    <w:rsid w:val="00B02043"/>
    <w:rsid w:val="00B03C11"/>
    <w:rsid w:val="00B055D4"/>
    <w:rsid w:val="00B11EF6"/>
    <w:rsid w:val="00B12376"/>
    <w:rsid w:val="00B14428"/>
    <w:rsid w:val="00B1628D"/>
    <w:rsid w:val="00B167C1"/>
    <w:rsid w:val="00B16840"/>
    <w:rsid w:val="00B218E4"/>
    <w:rsid w:val="00B23BF2"/>
    <w:rsid w:val="00B23EF1"/>
    <w:rsid w:val="00B25663"/>
    <w:rsid w:val="00B268DB"/>
    <w:rsid w:val="00B2690D"/>
    <w:rsid w:val="00B27510"/>
    <w:rsid w:val="00B2782F"/>
    <w:rsid w:val="00B27ACF"/>
    <w:rsid w:val="00B32442"/>
    <w:rsid w:val="00B3326E"/>
    <w:rsid w:val="00B3637E"/>
    <w:rsid w:val="00B3638F"/>
    <w:rsid w:val="00B36485"/>
    <w:rsid w:val="00B37733"/>
    <w:rsid w:val="00B404E3"/>
    <w:rsid w:val="00B4107E"/>
    <w:rsid w:val="00B458A3"/>
    <w:rsid w:val="00B46846"/>
    <w:rsid w:val="00B46C38"/>
    <w:rsid w:val="00B52C31"/>
    <w:rsid w:val="00B5433F"/>
    <w:rsid w:val="00B56D08"/>
    <w:rsid w:val="00B572B8"/>
    <w:rsid w:val="00B57341"/>
    <w:rsid w:val="00B62AF8"/>
    <w:rsid w:val="00B6645E"/>
    <w:rsid w:val="00B71A97"/>
    <w:rsid w:val="00B71B87"/>
    <w:rsid w:val="00B72753"/>
    <w:rsid w:val="00B75752"/>
    <w:rsid w:val="00B77BD4"/>
    <w:rsid w:val="00B81060"/>
    <w:rsid w:val="00B8132F"/>
    <w:rsid w:val="00B84194"/>
    <w:rsid w:val="00B953F1"/>
    <w:rsid w:val="00B978C4"/>
    <w:rsid w:val="00B97B6E"/>
    <w:rsid w:val="00BA0BC1"/>
    <w:rsid w:val="00BA1CEA"/>
    <w:rsid w:val="00BA1D06"/>
    <w:rsid w:val="00BA3189"/>
    <w:rsid w:val="00BA6DDD"/>
    <w:rsid w:val="00BB27C5"/>
    <w:rsid w:val="00BB387D"/>
    <w:rsid w:val="00BB39F8"/>
    <w:rsid w:val="00BB6B6E"/>
    <w:rsid w:val="00BB78E8"/>
    <w:rsid w:val="00BC0801"/>
    <w:rsid w:val="00BC0F8C"/>
    <w:rsid w:val="00BC10E6"/>
    <w:rsid w:val="00BC2BFB"/>
    <w:rsid w:val="00BC3BCD"/>
    <w:rsid w:val="00BC6A8D"/>
    <w:rsid w:val="00BC6F78"/>
    <w:rsid w:val="00BD4475"/>
    <w:rsid w:val="00BD7635"/>
    <w:rsid w:val="00BE5F98"/>
    <w:rsid w:val="00BE6B44"/>
    <w:rsid w:val="00BE6B77"/>
    <w:rsid w:val="00BF203E"/>
    <w:rsid w:val="00BF2FC3"/>
    <w:rsid w:val="00BF35A0"/>
    <w:rsid w:val="00BF3A92"/>
    <w:rsid w:val="00BF56EC"/>
    <w:rsid w:val="00BF5E23"/>
    <w:rsid w:val="00C007F6"/>
    <w:rsid w:val="00C00D9F"/>
    <w:rsid w:val="00C00F7F"/>
    <w:rsid w:val="00C02DB9"/>
    <w:rsid w:val="00C0315E"/>
    <w:rsid w:val="00C03925"/>
    <w:rsid w:val="00C040B1"/>
    <w:rsid w:val="00C047E7"/>
    <w:rsid w:val="00C06282"/>
    <w:rsid w:val="00C1550E"/>
    <w:rsid w:val="00C16BD6"/>
    <w:rsid w:val="00C17158"/>
    <w:rsid w:val="00C17ED3"/>
    <w:rsid w:val="00C21997"/>
    <w:rsid w:val="00C21B42"/>
    <w:rsid w:val="00C21BD9"/>
    <w:rsid w:val="00C225CE"/>
    <w:rsid w:val="00C233E1"/>
    <w:rsid w:val="00C2447B"/>
    <w:rsid w:val="00C248FB"/>
    <w:rsid w:val="00C2636D"/>
    <w:rsid w:val="00C2718C"/>
    <w:rsid w:val="00C329AA"/>
    <w:rsid w:val="00C3551A"/>
    <w:rsid w:val="00C37217"/>
    <w:rsid w:val="00C40B58"/>
    <w:rsid w:val="00C41329"/>
    <w:rsid w:val="00C464F8"/>
    <w:rsid w:val="00C50BAA"/>
    <w:rsid w:val="00C50E31"/>
    <w:rsid w:val="00C50EFC"/>
    <w:rsid w:val="00C526A0"/>
    <w:rsid w:val="00C53AA6"/>
    <w:rsid w:val="00C550A4"/>
    <w:rsid w:val="00C55F1D"/>
    <w:rsid w:val="00C57B96"/>
    <w:rsid w:val="00C62FA1"/>
    <w:rsid w:val="00C63F27"/>
    <w:rsid w:val="00C66F5F"/>
    <w:rsid w:val="00C72F5E"/>
    <w:rsid w:val="00C733D1"/>
    <w:rsid w:val="00C73865"/>
    <w:rsid w:val="00C75E48"/>
    <w:rsid w:val="00C7766E"/>
    <w:rsid w:val="00C80C1E"/>
    <w:rsid w:val="00C8316E"/>
    <w:rsid w:val="00C840DC"/>
    <w:rsid w:val="00C8539A"/>
    <w:rsid w:val="00C90010"/>
    <w:rsid w:val="00C9103E"/>
    <w:rsid w:val="00C935A4"/>
    <w:rsid w:val="00C9376A"/>
    <w:rsid w:val="00C94B02"/>
    <w:rsid w:val="00C94DCF"/>
    <w:rsid w:val="00C9536D"/>
    <w:rsid w:val="00C95517"/>
    <w:rsid w:val="00C9694D"/>
    <w:rsid w:val="00C96E5E"/>
    <w:rsid w:val="00C97019"/>
    <w:rsid w:val="00CA153E"/>
    <w:rsid w:val="00CA23E1"/>
    <w:rsid w:val="00CA29DB"/>
    <w:rsid w:val="00CA7094"/>
    <w:rsid w:val="00CB0E79"/>
    <w:rsid w:val="00CB2B6A"/>
    <w:rsid w:val="00CB3F81"/>
    <w:rsid w:val="00CB5C5E"/>
    <w:rsid w:val="00CB7C6A"/>
    <w:rsid w:val="00CC0305"/>
    <w:rsid w:val="00CC0BF2"/>
    <w:rsid w:val="00CC1195"/>
    <w:rsid w:val="00CC1216"/>
    <w:rsid w:val="00CC255C"/>
    <w:rsid w:val="00CC4BE4"/>
    <w:rsid w:val="00CC6436"/>
    <w:rsid w:val="00CC676E"/>
    <w:rsid w:val="00CC6B4F"/>
    <w:rsid w:val="00CC723F"/>
    <w:rsid w:val="00CC793B"/>
    <w:rsid w:val="00CD0116"/>
    <w:rsid w:val="00CD11C4"/>
    <w:rsid w:val="00CD18AD"/>
    <w:rsid w:val="00CD519A"/>
    <w:rsid w:val="00CE019A"/>
    <w:rsid w:val="00CE2D4C"/>
    <w:rsid w:val="00CE2DD1"/>
    <w:rsid w:val="00CE333F"/>
    <w:rsid w:val="00CE3498"/>
    <w:rsid w:val="00CE349B"/>
    <w:rsid w:val="00CE53B0"/>
    <w:rsid w:val="00CE571F"/>
    <w:rsid w:val="00CE5BC2"/>
    <w:rsid w:val="00CE74B9"/>
    <w:rsid w:val="00CF0F97"/>
    <w:rsid w:val="00CF147D"/>
    <w:rsid w:val="00CF4413"/>
    <w:rsid w:val="00CF6510"/>
    <w:rsid w:val="00CF7B05"/>
    <w:rsid w:val="00D00131"/>
    <w:rsid w:val="00D01C20"/>
    <w:rsid w:val="00D026DD"/>
    <w:rsid w:val="00D03BEC"/>
    <w:rsid w:val="00D04EA3"/>
    <w:rsid w:val="00D077F4"/>
    <w:rsid w:val="00D12FCD"/>
    <w:rsid w:val="00D161B4"/>
    <w:rsid w:val="00D2126B"/>
    <w:rsid w:val="00D21CAD"/>
    <w:rsid w:val="00D22D14"/>
    <w:rsid w:val="00D266C0"/>
    <w:rsid w:val="00D26F08"/>
    <w:rsid w:val="00D279AB"/>
    <w:rsid w:val="00D27D2E"/>
    <w:rsid w:val="00D27DE1"/>
    <w:rsid w:val="00D3001A"/>
    <w:rsid w:val="00D3039D"/>
    <w:rsid w:val="00D329CA"/>
    <w:rsid w:val="00D32B31"/>
    <w:rsid w:val="00D32B3D"/>
    <w:rsid w:val="00D3515D"/>
    <w:rsid w:val="00D358C2"/>
    <w:rsid w:val="00D360E0"/>
    <w:rsid w:val="00D3713E"/>
    <w:rsid w:val="00D42566"/>
    <w:rsid w:val="00D4290F"/>
    <w:rsid w:val="00D4387C"/>
    <w:rsid w:val="00D44C6E"/>
    <w:rsid w:val="00D44DB1"/>
    <w:rsid w:val="00D474D5"/>
    <w:rsid w:val="00D51190"/>
    <w:rsid w:val="00D53F01"/>
    <w:rsid w:val="00D545F4"/>
    <w:rsid w:val="00D5647F"/>
    <w:rsid w:val="00D56C0A"/>
    <w:rsid w:val="00D57C1E"/>
    <w:rsid w:val="00D607DA"/>
    <w:rsid w:val="00D633C6"/>
    <w:rsid w:val="00D63690"/>
    <w:rsid w:val="00D638AA"/>
    <w:rsid w:val="00D6391E"/>
    <w:rsid w:val="00D64757"/>
    <w:rsid w:val="00D66CB2"/>
    <w:rsid w:val="00D7240A"/>
    <w:rsid w:val="00D724D7"/>
    <w:rsid w:val="00D72CE8"/>
    <w:rsid w:val="00D737BB"/>
    <w:rsid w:val="00D74389"/>
    <w:rsid w:val="00D7673B"/>
    <w:rsid w:val="00D76B65"/>
    <w:rsid w:val="00D77584"/>
    <w:rsid w:val="00D77DCD"/>
    <w:rsid w:val="00D77E78"/>
    <w:rsid w:val="00D808DF"/>
    <w:rsid w:val="00D80BBF"/>
    <w:rsid w:val="00D840E7"/>
    <w:rsid w:val="00D85DC5"/>
    <w:rsid w:val="00D86DA3"/>
    <w:rsid w:val="00D87779"/>
    <w:rsid w:val="00D8796B"/>
    <w:rsid w:val="00D91269"/>
    <w:rsid w:val="00D94F65"/>
    <w:rsid w:val="00D96744"/>
    <w:rsid w:val="00D96A48"/>
    <w:rsid w:val="00D96CFD"/>
    <w:rsid w:val="00D97E75"/>
    <w:rsid w:val="00DA0059"/>
    <w:rsid w:val="00DA165C"/>
    <w:rsid w:val="00DA1CBF"/>
    <w:rsid w:val="00DA1D8F"/>
    <w:rsid w:val="00DA2056"/>
    <w:rsid w:val="00DA3F2E"/>
    <w:rsid w:val="00DA5D0D"/>
    <w:rsid w:val="00DA67E8"/>
    <w:rsid w:val="00DA6EAD"/>
    <w:rsid w:val="00DB149A"/>
    <w:rsid w:val="00DB192F"/>
    <w:rsid w:val="00DB270D"/>
    <w:rsid w:val="00DB2DC5"/>
    <w:rsid w:val="00DB4ECB"/>
    <w:rsid w:val="00DB6F47"/>
    <w:rsid w:val="00DC29FA"/>
    <w:rsid w:val="00DC2B2A"/>
    <w:rsid w:val="00DC5E12"/>
    <w:rsid w:val="00DC775B"/>
    <w:rsid w:val="00DC7913"/>
    <w:rsid w:val="00DD001A"/>
    <w:rsid w:val="00DD064F"/>
    <w:rsid w:val="00DD20B8"/>
    <w:rsid w:val="00DD23FC"/>
    <w:rsid w:val="00DD2C66"/>
    <w:rsid w:val="00DD3416"/>
    <w:rsid w:val="00DD6BA9"/>
    <w:rsid w:val="00DE0C3E"/>
    <w:rsid w:val="00DE2EF6"/>
    <w:rsid w:val="00DE5F6C"/>
    <w:rsid w:val="00DE6BEB"/>
    <w:rsid w:val="00DE7408"/>
    <w:rsid w:val="00DF2A45"/>
    <w:rsid w:val="00DF3F91"/>
    <w:rsid w:val="00DF407E"/>
    <w:rsid w:val="00DF4CEC"/>
    <w:rsid w:val="00DF703E"/>
    <w:rsid w:val="00DF716C"/>
    <w:rsid w:val="00E03B38"/>
    <w:rsid w:val="00E10317"/>
    <w:rsid w:val="00E13541"/>
    <w:rsid w:val="00E142E3"/>
    <w:rsid w:val="00E14D72"/>
    <w:rsid w:val="00E16008"/>
    <w:rsid w:val="00E1724B"/>
    <w:rsid w:val="00E21E01"/>
    <w:rsid w:val="00E2205F"/>
    <w:rsid w:val="00E22EB4"/>
    <w:rsid w:val="00E31BCA"/>
    <w:rsid w:val="00E33840"/>
    <w:rsid w:val="00E3654F"/>
    <w:rsid w:val="00E3730C"/>
    <w:rsid w:val="00E41C1A"/>
    <w:rsid w:val="00E41CF8"/>
    <w:rsid w:val="00E44157"/>
    <w:rsid w:val="00E4419C"/>
    <w:rsid w:val="00E44FB8"/>
    <w:rsid w:val="00E45D76"/>
    <w:rsid w:val="00E460DD"/>
    <w:rsid w:val="00E50244"/>
    <w:rsid w:val="00E53839"/>
    <w:rsid w:val="00E53E71"/>
    <w:rsid w:val="00E5534F"/>
    <w:rsid w:val="00E55DBF"/>
    <w:rsid w:val="00E566E4"/>
    <w:rsid w:val="00E573D8"/>
    <w:rsid w:val="00E604B9"/>
    <w:rsid w:val="00E60B70"/>
    <w:rsid w:val="00E60C03"/>
    <w:rsid w:val="00E61BF1"/>
    <w:rsid w:val="00E65CBA"/>
    <w:rsid w:val="00E66DB2"/>
    <w:rsid w:val="00E67C6B"/>
    <w:rsid w:val="00E7346F"/>
    <w:rsid w:val="00E761CE"/>
    <w:rsid w:val="00E77C23"/>
    <w:rsid w:val="00E8014D"/>
    <w:rsid w:val="00E829A2"/>
    <w:rsid w:val="00E83ADE"/>
    <w:rsid w:val="00E8491D"/>
    <w:rsid w:val="00E854D2"/>
    <w:rsid w:val="00E866D6"/>
    <w:rsid w:val="00E870F6"/>
    <w:rsid w:val="00E90876"/>
    <w:rsid w:val="00E92491"/>
    <w:rsid w:val="00E93110"/>
    <w:rsid w:val="00E9339D"/>
    <w:rsid w:val="00E9434C"/>
    <w:rsid w:val="00E95D6B"/>
    <w:rsid w:val="00E96947"/>
    <w:rsid w:val="00E9753B"/>
    <w:rsid w:val="00EA0357"/>
    <w:rsid w:val="00EA377C"/>
    <w:rsid w:val="00EA48A2"/>
    <w:rsid w:val="00EA5590"/>
    <w:rsid w:val="00EA663F"/>
    <w:rsid w:val="00EA6BF0"/>
    <w:rsid w:val="00EA764F"/>
    <w:rsid w:val="00EB2024"/>
    <w:rsid w:val="00EB2837"/>
    <w:rsid w:val="00EB35FC"/>
    <w:rsid w:val="00EB3D9B"/>
    <w:rsid w:val="00EB6426"/>
    <w:rsid w:val="00EB75D8"/>
    <w:rsid w:val="00EC2303"/>
    <w:rsid w:val="00EC3C46"/>
    <w:rsid w:val="00EC43A5"/>
    <w:rsid w:val="00EC67DA"/>
    <w:rsid w:val="00ED0444"/>
    <w:rsid w:val="00ED0462"/>
    <w:rsid w:val="00ED0D04"/>
    <w:rsid w:val="00ED237B"/>
    <w:rsid w:val="00ED2E4C"/>
    <w:rsid w:val="00ED64E9"/>
    <w:rsid w:val="00ED7709"/>
    <w:rsid w:val="00EE0540"/>
    <w:rsid w:val="00EE0AB5"/>
    <w:rsid w:val="00EE1EF6"/>
    <w:rsid w:val="00EE1FA6"/>
    <w:rsid w:val="00EE4B20"/>
    <w:rsid w:val="00EE5C9A"/>
    <w:rsid w:val="00EE5FE7"/>
    <w:rsid w:val="00EF170B"/>
    <w:rsid w:val="00EF4430"/>
    <w:rsid w:val="00F0354E"/>
    <w:rsid w:val="00F03A95"/>
    <w:rsid w:val="00F0791C"/>
    <w:rsid w:val="00F07F0D"/>
    <w:rsid w:val="00F101EC"/>
    <w:rsid w:val="00F1035A"/>
    <w:rsid w:val="00F11CF3"/>
    <w:rsid w:val="00F1200C"/>
    <w:rsid w:val="00F1305C"/>
    <w:rsid w:val="00F143B5"/>
    <w:rsid w:val="00F16347"/>
    <w:rsid w:val="00F1693A"/>
    <w:rsid w:val="00F20DEE"/>
    <w:rsid w:val="00F21062"/>
    <w:rsid w:val="00F21355"/>
    <w:rsid w:val="00F21E20"/>
    <w:rsid w:val="00F221C2"/>
    <w:rsid w:val="00F24228"/>
    <w:rsid w:val="00F244DD"/>
    <w:rsid w:val="00F25F53"/>
    <w:rsid w:val="00F3211C"/>
    <w:rsid w:val="00F35534"/>
    <w:rsid w:val="00F35CC9"/>
    <w:rsid w:val="00F36BDC"/>
    <w:rsid w:val="00F37DA8"/>
    <w:rsid w:val="00F4014D"/>
    <w:rsid w:val="00F41F06"/>
    <w:rsid w:val="00F42560"/>
    <w:rsid w:val="00F4269A"/>
    <w:rsid w:val="00F428BF"/>
    <w:rsid w:val="00F4298C"/>
    <w:rsid w:val="00F4560B"/>
    <w:rsid w:val="00F50114"/>
    <w:rsid w:val="00F51524"/>
    <w:rsid w:val="00F539E1"/>
    <w:rsid w:val="00F53A68"/>
    <w:rsid w:val="00F53DE9"/>
    <w:rsid w:val="00F54028"/>
    <w:rsid w:val="00F54687"/>
    <w:rsid w:val="00F579EC"/>
    <w:rsid w:val="00F57CE4"/>
    <w:rsid w:val="00F60DA4"/>
    <w:rsid w:val="00F60DD6"/>
    <w:rsid w:val="00F62BE0"/>
    <w:rsid w:val="00F62FDB"/>
    <w:rsid w:val="00F651F7"/>
    <w:rsid w:val="00F67B03"/>
    <w:rsid w:val="00F71B7F"/>
    <w:rsid w:val="00F7405E"/>
    <w:rsid w:val="00F80D98"/>
    <w:rsid w:val="00F81431"/>
    <w:rsid w:val="00F84FC1"/>
    <w:rsid w:val="00F86ABF"/>
    <w:rsid w:val="00F91997"/>
    <w:rsid w:val="00F91DA7"/>
    <w:rsid w:val="00F91F16"/>
    <w:rsid w:val="00F9301A"/>
    <w:rsid w:val="00F93B24"/>
    <w:rsid w:val="00FA032C"/>
    <w:rsid w:val="00FA0D6D"/>
    <w:rsid w:val="00FA1DFB"/>
    <w:rsid w:val="00FA484A"/>
    <w:rsid w:val="00FA5216"/>
    <w:rsid w:val="00FA6B9A"/>
    <w:rsid w:val="00FB155C"/>
    <w:rsid w:val="00FB160A"/>
    <w:rsid w:val="00FB79C6"/>
    <w:rsid w:val="00FC1773"/>
    <w:rsid w:val="00FC1C49"/>
    <w:rsid w:val="00FC1DCC"/>
    <w:rsid w:val="00FC74F2"/>
    <w:rsid w:val="00FD1061"/>
    <w:rsid w:val="00FD11E0"/>
    <w:rsid w:val="00FD12B5"/>
    <w:rsid w:val="00FD1524"/>
    <w:rsid w:val="00FD23F6"/>
    <w:rsid w:val="00FD30EE"/>
    <w:rsid w:val="00FD34EF"/>
    <w:rsid w:val="00FD391D"/>
    <w:rsid w:val="00FD5583"/>
    <w:rsid w:val="00FD625A"/>
    <w:rsid w:val="00FD7847"/>
    <w:rsid w:val="00FE0073"/>
    <w:rsid w:val="00FE1798"/>
    <w:rsid w:val="00FE2C31"/>
    <w:rsid w:val="00FE5A0C"/>
    <w:rsid w:val="00FE5CA8"/>
    <w:rsid w:val="00FE7ACC"/>
    <w:rsid w:val="00FF1630"/>
    <w:rsid w:val="00FF19E9"/>
    <w:rsid w:val="00FF4047"/>
    <w:rsid w:val="00FF4091"/>
    <w:rsid w:val="00FF4295"/>
    <w:rsid w:val="00FF472B"/>
    <w:rsid w:val="00FF4868"/>
    <w:rsid w:val="00FF5051"/>
    <w:rsid w:val="00FF5A67"/>
    <w:rsid w:val="00FF77BB"/>
    <w:rsid w:val="049384E2"/>
    <w:rsid w:val="053FECB1"/>
    <w:rsid w:val="0BD599E6"/>
    <w:rsid w:val="0D32AD44"/>
    <w:rsid w:val="123ADEA4"/>
    <w:rsid w:val="19C8E7DA"/>
    <w:rsid w:val="19DCEE8D"/>
    <w:rsid w:val="1AF22BBF"/>
    <w:rsid w:val="1EE1A2A6"/>
    <w:rsid w:val="23DAB55E"/>
    <w:rsid w:val="250A69D0"/>
    <w:rsid w:val="2A483075"/>
    <w:rsid w:val="2AD10C43"/>
    <w:rsid w:val="2B0A9BB1"/>
    <w:rsid w:val="2C829A43"/>
    <w:rsid w:val="30407F8E"/>
    <w:rsid w:val="3211CCCE"/>
    <w:rsid w:val="33701521"/>
    <w:rsid w:val="3569C4F3"/>
    <w:rsid w:val="37F10635"/>
    <w:rsid w:val="38F9B95A"/>
    <w:rsid w:val="3C23BDE3"/>
    <w:rsid w:val="3DB7A834"/>
    <w:rsid w:val="4AEFF424"/>
    <w:rsid w:val="4BDC55E6"/>
    <w:rsid w:val="514D933B"/>
    <w:rsid w:val="5197F7C0"/>
    <w:rsid w:val="5307A783"/>
    <w:rsid w:val="57A767A9"/>
    <w:rsid w:val="5B62723D"/>
    <w:rsid w:val="6AFF43DF"/>
    <w:rsid w:val="6FB66FE0"/>
    <w:rsid w:val="7147521D"/>
    <w:rsid w:val="7762CE4C"/>
    <w:rsid w:val="7DBCC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4E435FB"/>
  <w15:chartTrackingRefBased/>
  <w15:docId w15:val="{5A293991-F1AE-4D1E-AA42-3DEF0AA7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AA"/>
  </w:style>
  <w:style w:type="paragraph" w:styleId="Heading1">
    <w:name w:val="heading 1"/>
    <w:basedOn w:val="Normal"/>
    <w:next w:val="Normal"/>
    <w:link w:val="Heading1Char"/>
    <w:uiPriority w:val="4"/>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4"/>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uiPriority w:val="4"/>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4"/>
    <w:unhideWhenUsed/>
    <w:qFormat/>
    <w:rsid w:val="006631D2"/>
    <w:pPr>
      <w:keepNext/>
      <w:keepLines/>
      <w:spacing w:before="240" w:after="240" w:line="276" w:lineRule="auto"/>
      <w:ind w:left="1077" w:hanging="1077"/>
      <w:outlineLvl w:val="3"/>
    </w:pPr>
    <w:rPr>
      <w:rFonts w:asciiTheme="minorHAnsi" w:eastAsiaTheme="minorHAnsi" w:hAnsiTheme="minorHAnsi" w:cstheme="minorBidi"/>
      <w:b/>
      <w:bCs/>
      <w:color w:val="5B9BD5" w:themeColor="accent1"/>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uiPriority w:val="99"/>
    <w:rsid w:val="00076969"/>
    <w:rPr>
      <w:color w:val="0000FF"/>
      <w:u w:val="single"/>
    </w:rPr>
  </w:style>
  <w:style w:type="paragraph" w:styleId="FootnoteText">
    <w:name w:val="footnote text"/>
    <w:basedOn w:val="Normal"/>
    <w:semiHidden/>
    <w:rsid w:val="00611A4D"/>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uiPriority w:val="99"/>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rsid w:val="00807B3F"/>
    <w:pPr>
      <w:tabs>
        <w:tab w:val="center" w:pos="4153"/>
        <w:tab w:val="right" w:pos="8306"/>
      </w:tabs>
    </w:pPr>
  </w:style>
  <w:style w:type="character" w:styleId="PageNumber">
    <w:name w:val="page number"/>
    <w:basedOn w:val="DefaultParagraphFont"/>
    <w:rsid w:val="00807B3F"/>
  </w:style>
  <w:style w:type="paragraph" w:styleId="BodyText2">
    <w:name w:val="Body Text 2"/>
    <w:basedOn w:val="Normal"/>
    <w:rsid w:val="000F50AA"/>
    <w:pPr>
      <w:spacing w:after="240"/>
    </w:pPr>
    <w:rPr>
      <w:sz w:val="23"/>
    </w:rPr>
  </w:style>
  <w:style w:type="paragraph" w:styleId="BalloonText">
    <w:name w:val="Balloon Text"/>
    <w:basedOn w:val="Normal"/>
    <w:semiHidden/>
    <w:rsid w:val="00935613"/>
    <w:rPr>
      <w:rFonts w:ascii="Tahoma" w:hAnsi="Tahoma" w:cs="Tahoma"/>
      <w:sz w:val="16"/>
      <w:szCs w:val="16"/>
    </w:rPr>
  </w:style>
  <w:style w:type="character" w:styleId="CommentReference">
    <w:name w:val="annotation reference"/>
    <w:semiHidden/>
    <w:rsid w:val="001525FB"/>
    <w:rPr>
      <w:sz w:val="16"/>
      <w:szCs w:val="16"/>
    </w:rPr>
  </w:style>
  <w:style w:type="paragraph" w:styleId="CommentText">
    <w:name w:val="annotation text"/>
    <w:basedOn w:val="Normal"/>
    <w:semiHidden/>
    <w:rsid w:val="001525FB"/>
  </w:style>
  <w:style w:type="paragraph" w:styleId="CommentSubject">
    <w:name w:val="annotation subject"/>
    <w:basedOn w:val="CommentText"/>
    <w:next w:val="CommentText"/>
    <w:semiHidden/>
    <w:rsid w:val="001525FB"/>
    <w:rPr>
      <w:b/>
      <w:bCs/>
    </w:rPr>
  </w:style>
  <w:style w:type="paragraph" w:styleId="BodyText">
    <w:name w:val="Body Text"/>
    <w:basedOn w:val="Normal"/>
    <w:link w:val="BodyTextChar"/>
    <w:uiPriority w:val="99"/>
    <w:unhideWhenUsed/>
    <w:rsid w:val="00931FEC"/>
    <w:pPr>
      <w:spacing w:after="120"/>
    </w:pPr>
  </w:style>
  <w:style w:type="character" w:customStyle="1" w:styleId="BodyTextChar">
    <w:name w:val="Body Text Char"/>
    <w:link w:val="BodyText"/>
    <w:uiPriority w:val="99"/>
    <w:rsid w:val="00931FEC"/>
    <w:rPr>
      <w:lang w:val="en-US"/>
    </w:rPr>
  </w:style>
  <w:style w:type="character" w:customStyle="1" w:styleId="Heading1Char">
    <w:name w:val="Heading 1 Char"/>
    <w:link w:val="Heading1"/>
    <w:uiPriority w:val="4"/>
    <w:rsid w:val="00931FEC"/>
    <w:rPr>
      <w:rFonts w:ascii="Arial" w:hAnsi="Arial" w:cs="Arial"/>
      <w:b/>
      <w:bCs/>
      <w:kern w:val="32"/>
      <w:sz w:val="32"/>
      <w:szCs w:val="32"/>
      <w:lang w:val="en-US"/>
    </w:rPr>
  </w:style>
  <w:style w:type="paragraph" w:styleId="Revision">
    <w:name w:val="Revision"/>
    <w:hidden/>
    <w:uiPriority w:val="99"/>
    <w:semiHidden/>
    <w:rsid w:val="00EE5FE7"/>
    <w:rPr>
      <w:lang w:val="en-US"/>
    </w:rPr>
  </w:style>
  <w:style w:type="character" w:customStyle="1" w:styleId="Heading4Char">
    <w:name w:val="Heading 4 Char"/>
    <w:basedOn w:val="DefaultParagraphFont"/>
    <w:link w:val="Heading4"/>
    <w:uiPriority w:val="4"/>
    <w:rsid w:val="006631D2"/>
    <w:rPr>
      <w:rFonts w:asciiTheme="minorHAnsi" w:eastAsiaTheme="minorHAnsi" w:hAnsiTheme="minorHAnsi" w:cstheme="minorBidi"/>
      <w:b/>
      <w:bCs/>
      <w:color w:val="5B9BD5" w:themeColor="accent1"/>
      <w:kern w:val="2"/>
      <w:sz w:val="24"/>
      <w:szCs w:val="24"/>
      <w:lang w:eastAsia="en-US"/>
      <w14:ligatures w14:val="standardContextual"/>
    </w:rPr>
  </w:style>
  <w:style w:type="character" w:customStyle="1" w:styleId="Heading2Char">
    <w:name w:val="Heading 2 Char"/>
    <w:basedOn w:val="DefaultParagraphFont"/>
    <w:link w:val="Heading2"/>
    <w:uiPriority w:val="4"/>
    <w:rsid w:val="006631D2"/>
    <w:rPr>
      <w:rFonts w:ascii="Arial" w:hAnsi="Arial" w:cs="Arial"/>
      <w:b/>
      <w:bCs/>
      <w:i/>
      <w:iCs/>
      <w:sz w:val="28"/>
      <w:szCs w:val="28"/>
    </w:rPr>
  </w:style>
  <w:style w:type="character" w:styleId="FollowedHyperlink">
    <w:name w:val="FollowedHyperlink"/>
    <w:basedOn w:val="DefaultParagraphFont"/>
    <w:uiPriority w:val="99"/>
    <w:semiHidden/>
    <w:unhideWhenUsed/>
    <w:rsid w:val="006631D2"/>
    <w:rPr>
      <w:color w:val="954F72" w:themeColor="followedHyperlink"/>
      <w:u w:val="single"/>
    </w:rPr>
  </w:style>
  <w:style w:type="character" w:styleId="Mention">
    <w:name w:val="Mention"/>
    <w:basedOn w:val="DefaultParagraphFont"/>
    <w:uiPriority w:val="99"/>
    <w:unhideWhenUsed/>
    <w:rsid w:val="004A65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xptemplates\Other%20Templates\Explanator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178;#Legal instrument|71fd6ed3-d6d6-4975-ba99-bfe45802e734;#124;#Annual|1553b4b5-ba17-4e52-80bd-973cf096f22e;#108;#Statutory instrument|fe68928c-5a9c-4caf-bc8c-6c18cedcb17f;#1;#Draft|0e1556d2-3fe8-443a-ada7-3620563b46b3;#28;#2017/2018|6e61949f-e96c-4140-ad4b-18ba450a5a52]]></LongProp>
</LongProperties>
</file>

<file path=customXml/item4.xml><?xml version="1.0" encoding="utf-8"?>
<p:properties xmlns:p="http://schemas.microsoft.com/office/2006/metadata/properties" xmlns:xsi="http://www.w3.org/2001/XMLSchema-instance" xmlns:pc="http://schemas.microsoft.com/office/infopath/2007/PartnerControls">
  <documentManagement>
    <k4bcc0d734474fea9fb713d9c415b4b0 xmlns="92a8a7e8-49a1-4017-acf0-0edc7cce208b">
      <Terms xmlns="http://schemas.microsoft.com/office/infopath/2007/PartnerControls"/>
    </k4bcc0d734474fea9fb713d9c415b4b0>
    <APRASecurityClassification xmlns="92a8a7e8-49a1-4017-acf0-0edc7cce208b">OFFICIAL</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Financial management</TermName>
          <TermId xmlns="http://schemas.microsoft.com/office/infopath/2007/PartnerControls">6af1be2c-33ae-4531-a270-a83a4e6be2e8</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275</Value>
      <Value>15</Value>
      <Value>1</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5ABF8-FF93-484D-B984-B03C07228C14}">
  <ds:schemaRefs>
    <ds:schemaRef ds:uri="http://schemas.microsoft.com/sharepoint/v3/contenttype/forms"/>
  </ds:schemaRefs>
</ds:datastoreItem>
</file>

<file path=customXml/itemProps2.xml><?xml version="1.0" encoding="utf-8"?>
<ds:datastoreItem xmlns:ds="http://schemas.openxmlformats.org/officeDocument/2006/customXml" ds:itemID="{DB70B4E2-4BE4-4519-9F6F-ED548DF52268}">
  <ds:schemaRefs>
    <ds:schemaRef ds:uri="http://schemas.openxmlformats.org/officeDocument/2006/bibliography"/>
  </ds:schemaRefs>
</ds:datastoreItem>
</file>

<file path=customXml/itemProps3.xml><?xml version="1.0" encoding="utf-8"?>
<ds:datastoreItem xmlns:ds="http://schemas.openxmlformats.org/officeDocument/2006/customXml" ds:itemID="{4CA8F2C9-F9E4-4CC0-89AA-AEBBB08AEDF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20CA75E-18A5-40DD-A66F-EF974ACAF06C}">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79530295-9eea-494d-b82a-9ff74409eafc"/>
    <ds:schemaRef ds:uri="8ebb1fe1-21ad-4971-ac4f-9ec7d0b89ee3"/>
    <ds:schemaRef ds:uri="92a8a7e8-49a1-4017-acf0-0edc7cce208b"/>
    <ds:schemaRef ds:uri="http://schemas.microsoft.com/sharepoint/v3"/>
  </ds:schemaRefs>
</ds:datastoreItem>
</file>

<file path=customXml/itemProps5.xml><?xml version="1.0" encoding="utf-8"?>
<ds:datastoreItem xmlns:ds="http://schemas.openxmlformats.org/officeDocument/2006/customXml" ds:itemID="{944A28D8-2097-45BD-9C3B-845D0A294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Explanatory Statement.dot</Template>
  <TotalTime>2</TotalTime>
  <Pages>6</Pages>
  <Words>2049</Words>
  <Characters>11055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Legal Reviewed - Explanatory Statement - instrument fixing charges no 3 of 2022 - ABS  RBA</vt:lpstr>
    </vt:vector>
  </TitlesOfParts>
  <Company>APRA</Company>
  <LinksUpToDate>false</LinksUpToDate>
  <CharactersWithSpaces>13078</CharactersWithSpaces>
  <SharedDoc>false</SharedDoc>
  <HLinks>
    <vt:vector size="6" baseType="variant">
      <vt:variant>
        <vt:i4>6553670</vt:i4>
      </vt:variant>
      <vt:variant>
        <vt:i4>0</vt:i4>
      </vt:variant>
      <vt:variant>
        <vt:i4>0</vt:i4>
      </vt:variant>
      <vt:variant>
        <vt:i4>5</vt:i4>
      </vt:variant>
      <vt:variant>
        <vt:lpwstr>mailto:Andy.Riley@apra.gov.au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Reviewed - Explanatory Statement - instrument fixing charges no 3 of 2022 - ABS  RBA</dc:title>
  <dc:subject/>
  <dc:creator>Katherine Eyre</dc:creator>
  <cp:keywords>[SEC=OFFICIAL]</cp:keywords>
  <cp:lastModifiedBy>Toni Michalis</cp:lastModifiedBy>
  <cp:revision>3</cp:revision>
  <cp:lastPrinted>2019-06-17T18:11:00Z</cp:lastPrinted>
  <dcterms:created xsi:type="dcterms:W3CDTF">2025-06-24T03:19:00Z</dcterms:created>
  <dcterms:modified xsi:type="dcterms:W3CDTF">2025-06-25T05:34:00Z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InsertionValue">
    <vt:lpwstr>OFFICIAL</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Version">
    <vt:lpwstr>2022.1</vt:lpwstr>
  </property>
  <property fmtid="{D5CDD505-2E9C-101B-9397-08002B2CF9AE}" pid="7" name="PM_Caveats_Count">
    <vt:lpwstr>0</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Value_Header">
    <vt:lpwstr>OFFICIAL</vt:lpwstr>
  </property>
  <property fmtid="{D5CDD505-2E9C-101B-9397-08002B2CF9AE}" pid="12" name="PM_ProtectiveMarkingValue_Foot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Originating_FileId">
    <vt:lpwstr>8FB5C4CE4DF64A64A587249BB6E9F9A9</vt:lpwstr>
  </property>
  <property fmtid="{D5CDD505-2E9C-101B-9397-08002B2CF9AE}" pid="17" name="_dlc_DocId">
    <vt:lpwstr>NFMDZPQHCVCT-103911090-4563</vt:lpwstr>
  </property>
  <property fmtid="{D5CDD505-2E9C-101B-9397-08002B2CF9AE}" pid="18" name="_dlc_DocIdItemGuid">
    <vt:lpwstr>ff843b66-377a-4b01-8be4-533b28f809fd</vt:lpwstr>
  </property>
  <property fmtid="{D5CDD505-2E9C-101B-9397-08002B2CF9AE}" pid="19" name="_dlc_DocIdUrl">
    <vt:lpwstr>https://im/teams/FINANCE/_layouts/15/DocIdRedir.aspx?ID=NFMDZPQHCVCT-103911090-4563, NFMDZPQHCVCT-103911090-4563</vt:lpwstr>
  </property>
  <property fmtid="{D5CDD505-2E9C-101B-9397-08002B2CF9AE}" pid="20" name="IsLocked">
    <vt:lpwstr>False</vt:lpwstr>
  </property>
  <property fmtid="{D5CDD505-2E9C-101B-9397-08002B2CF9AE}" pid="21" name="APRAExternalOrganisation">
    <vt:lpwstr/>
  </property>
  <property fmtid="{D5CDD505-2E9C-101B-9397-08002B2CF9AE}" pid="22" name="APRAIRTR">
    <vt:lpwstr/>
  </property>
  <property fmtid="{D5CDD505-2E9C-101B-9397-08002B2CF9AE}" pid="23" name="APRACategory">
    <vt:lpwstr/>
  </property>
  <property fmtid="{D5CDD505-2E9C-101B-9397-08002B2CF9AE}" pid="24" name="APRAPeriod">
    <vt:lpwstr>162;#Annual|1553b4b5-ba17-4e52-80bd-973cf096f22e</vt:lpwstr>
  </property>
  <property fmtid="{D5CDD505-2E9C-101B-9397-08002B2CF9AE}" pid="25" name="APRADocumentType">
    <vt:lpwstr>15;#Legal instrument|71fd6ed3-d6d6-4975-ba99-bfe45802e734</vt:lpwstr>
  </property>
  <property fmtid="{D5CDD505-2E9C-101B-9397-08002B2CF9AE}" pid="26" name="APRAStatus">
    <vt:lpwstr>1;#Draft|0e1556d2-3fe8-443a-ada7-3620563b46b3</vt:lpwstr>
  </property>
  <property fmtid="{D5CDD505-2E9C-101B-9397-08002B2CF9AE}" pid="27" name="APRAPRSG">
    <vt:lpwstr/>
  </property>
  <property fmtid="{D5CDD505-2E9C-101B-9397-08002B2CF9AE}" pid="28" name="APRACostCentre">
    <vt:lpwstr/>
  </property>
  <property fmtid="{D5CDD505-2E9C-101B-9397-08002B2CF9AE}" pid="29" name="APRAActivity">
    <vt:lpwstr>275;#Financial management|6af1be2c-33ae-4531-a270-a83a4e6be2e8</vt:lpwstr>
  </property>
  <property fmtid="{D5CDD505-2E9C-101B-9397-08002B2CF9AE}" pid="30" name="APRAEntityAdviceSupport">
    <vt:lpwstr/>
  </property>
  <property fmtid="{D5CDD505-2E9C-101B-9397-08002B2CF9AE}" pid="31" name="APRAIndustry">
    <vt:lpwstr/>
  </property>
  <property fmtid="{D5CDD505-2E9C-101B-9397-08002B2CF9AE}" pid="32" name="APRALegislation">
    <vt:lpwstr/>
  </property>
  <property fmtid="{D5CDD505-2E9C-101B-9397-08002B2CF9AE}" pid="33" name="APRAYear">
    <vt:lpwstr>668;#2021/2022|3cc6ab47-352b-477e-89d3-52fe63c2c37f</vt:lpwstr>
  </property>
  <property fmtid="{D5CDD505-2E9C-101B-9397-08002B2CF9AE}" pid="34" name="RecordPoint_WorkflowType">
    <vt:lpwstr>ActiveSubmitStub</vt:lpwstr>
  </property>
  <property fmtid="{D5CDD505-2E9C-101B-9397-08002B2CF9AE}" pid="35" name="RecordPoint_ActiveItemSiteId">
    <vt:lpwstr>{4463879a-86e0-4494-abb8-640cd8d453b7}</vt:lpwstr>
  </property>
  <property fmtid="{D5CDD505-2E9C-101B-9397-08002B2CF9AE}" pid="36" name="RecordPoint_ActiveItemListId">
    <vt:lpwstr>{ad8596c5-c7e7-4308-ad16-f6bc7e2661c6}</vt:lpwstr>
  </property>
  <property fmtid="{D5CDD505-2E9C-101B-9397-08002B2CF9AE}" pid="37" name="RecordPoint_ActiveItemUniqueId">
    <vt:lpwstr>{ff843b66-377a-4b01-8be4-533b28f809fd}</vt:lpwstr>
  </property>
  <property fmtid="{D5CDD505-2E9C-101B-9397-08002B2CF9AE}" pid="38" name="RecordPoint_ActiveItemWebId">
    <vt:lpwstr>{39cb14dd-78f7-4da5-ad64-4da81e17351f}</vt:lpwstr>
  </property>
  <property fmtid="{D5CDD505-2E9C-101B-9397-08002B2CF9AE}" pid="39" name="IT system type">
    <vt:lpwstr/>
  </property>
  <property fmtid="{D5CDD505-2E9C-101B-9397-08002B2CF9AE}" pid="40" name="RecordPoint_RecordNumberSubmitted">
    <vt:lpwstr>R0001597345</vt:lpwstr>
  </property>
  <property fmtid="{D5CDD505-2E9C-101B-9397-08002B2CF9AE}" pid="41" name="ContentTypeId">
    <vt:lpwstr>0x01010080D163DB4DEE504FAB457909715FEC45</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Note">
    <vt:lpwstr/>
  </property>
  <property fmtid="{D5CDD505-2E9C-101B-9397-08002B2CF9AE}" pid="46" name="PM_Markers">
    <vt:lpwstr/>
  </property>
  <property fmtid="{D5CDD505-2E9C-101B-9397-08002B2CF9AE}" pid="47" name="PM_Hash_Salt_Prev">
    <vt:lpwstr>259B6D7B489201BC79E521FC47337F0A</vt:lpwstr>
  </property>
  <property fmtid="{D5CDD505-2E9C-101B-9397-08002B2CF9AE}" pid="48" name="PM_OriginationTimeStamp">
    <vt:lpwstr>2022-06-27T23:18:32Z</vt:lpwstr>
  </property>
  <property fmtid="{D5CDD505-2E9C-101B-9397-08002B2CF9AE}" pid="49" name="RecordPoint_SubmissionCompleted">
    <vt:lpwstr>2022-07-01T11:16:01.7746072+10:00</vt:lpwstr>
  </property>
  <property fmtid="{D5CDD505-2E9C-101B-9397-08002B2CF9AE}" pid="50" name="PM_Display">
    <vt:lpwstr>OFFICIAL</vt:lpwstr>
  </property>
  <property fmtid="{D5CDD505-2E9C-101B-9397-08002B2CF9AE}" pid="51" name="PMUuid">
    <vt:lpwstr>v=2022.2;d=gov.au;g=46DD6D7C-8107-577B-BC6E-F348953B2E44</vt:lpwstr>
  </property>
  <property fmtid="{D5CDD505-2E9C-101B-9397-08002B2CF9AE}" pid="52" name="PM_OriginatorDomainName_SHA256">
    <vt:lpwstr>ECBDE2B44A971754412B3FB70606937A119CC0D4B6C1B658A40FBD41C30BE3EC</vt:lpwstr>
  </property>
  <property fmtid="{D5CDD505-2E9C-101B-9397-08002B2CF9AE}" pid="53" name="MSIP_Label_c0129afb-6481-4f92-bc9f-5a4a6346364d_SetDate">
    <vt:lpwstr>2022-06-27T23:18:32Z</vt:lpwstr>
  </property>
  <property fmtid="{D5CDD505-2E9C-101B-9397-08002B2CF9AE}" pid="54" name="MSIP_Label_c0129afb-6481-4f92-bc9f-5a4a6346364d_Name">
    <vt:lpwstr>OFFICIAL</vt:lpwstr>
  </property>
  <property fmtid="{D5CDD505-2E9C-101B-9397-08002B2CF9AE}" pid="55" name="MSIP_Label_c0129afb-6481-4f92-bc9f-5a4a6346364d_SiteId">
    <vt:lpwstr>c05e3ffd-b491-4431-9809-e61d4dc78816</vt:lpwstr>
  </property>
  <property fmtid="{D5CDD505-2E9C-101B-9397-08002B2CF9AE}" pid="56" name="MSIP_Label_c0129afb-6481-4f92-bc9f-5a4a6346364d_Enabled">
    <vt:lpwstr>true</vt:lpwstr>
  </property>
  <property fmtid="{D5CDD505-2E9C-101B-9397-08002B2CF9AE}" pid="57" name="APRASecurityClassification">
    <vt:lpwstr>OFFICIAL</vt:lpwstr>
  </property>
  <property fmtid="{D5CDD505-2E9C-101B-9397-08002B2CF9AE}" pid="58" name="DocumentSetDescription">
    <vt:lpwstr/>
  </property>
  <property fmtid="{D5CDD505-2E9C-101B-9397-08002B2CF9AE}" pid="59" name="_ExtendedDescription">
    <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PM_Hash_Salt">
    <vt:lpwstr>88F23845933E36A579178883F042749E</vt:lpwstr>
  </property>
  <property fmtid="{D5CDD505-2E9C-101B-9397-08002B2CF9AE}" pid="63" name="PM_Hash_SHA1">
    <vt:lpwstr>7E271D2C44E831B8AF85BE16965FBF6958243085</vt:lpwstr>
  </property>
  <property fmtid="{D5CDD505-2E9C-101B-9397-08002B2CF9AE}" pid="64" name="PMHMAC">
    <vt:lpwstr>v=2022.1;a=SHA256;h=A59E5B0112BA95FF43F4183264AE7238309AAE04BC0B68849BA3038DC31965E0</vt:lpwstr>
  </property>
  <property fmtid="{D5CDD505-2E9C-101B-9397-08002B2CF9AE}" pid="65" name="MSIP_Label_c0129afb-6481-4f92-bc9f-5a4a6346364d_ActionId">
    <vt:lpwstr>544dfd90597f4d2dae82b3b38372743c</vt:lpwstr>
  </property>
  <property fmtid="{D5CDD505-2E9C-101B-9397-08002B2CF9AE}" pid="66" name="PM_Originator_Hash_SHA1">
    <vt:lpwstr>4B91E6BC478780F969DB8FDC9E1883F535B54B5F</vt:lpwstr>
  </property>
  <property fmtid="{D5CDD505-2E9C-101B-9397-08002B2CF9AE}" pid="67" name="PM_OriginatorUserAccountName_SHA256">
    <vt:lpwstr>4F3FD6B35DA4C8DBA7F6DCB8111A31A4155218BFA4FF967FF3260DE5D78E5CC7</vt:lpwstr>
  </property>
</Properties>
</file>