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86FF" w14:textId="08DCC8EF" w:rsidR="005B395C" w:rsidRPr="00C35209" w:rsidRDefault="005B395C" w:rsidP="00351B1C">
      <w:pPr>
        <w:shd w:val="clear" w:color="auto" w:fill="auto"/>
        <w:spacing w:before="0" w:after="0"/>
        <w:jc w:val="center"/>
        <w:rPr>
          <w:rFonts w:ascii="Times New Roman Bold" w:hAnsi="Times New Roman Bold" w:cs="Times New Roman Bold"/>
          <w:b/>
          <w:bCs/>
          <w:caps/>
        </w:rPr>
      </w:pPr>
      <w:r w:rsidRPr="00C35209">
        <w:rPr>
          <w:rFonts w:ascii="Times New Roman Bold" w:hAnsi="Times New Roman Bold" w:cs="Times New Roman Bold"/>
          <w:b/>
          <w:bCs/>
          <w:caps/>
        </w:rPr>
        <w:t>Explanatory Statement</w:t>
      </w:r>
    </w:p>
    <w:p w14:paraId="11DDBC28" w14:textId="77777777" w:rsidR="005B395C" w:rsidRPr="00C35209" w:rsidRDefault="005B395C" w:rsidP="00351B1C">
      <w:pPr>
        <w:shd w:val="clear" w:color="auto" w:fill="auto"/>
        <w:spacing w:before="0" w:after="0"/>
        <w:jc w:val="center"/>
        <w:rPr>
          <w:rFonts w:ascii="Times New Roman Bold" w:hAnsi="Times New Roman Bold" w:cs="Times New Roman Bold"/>
          <w:caps/>
        </w:rPr>
      </w:pPr>
    </w:p>
    <w:p w14:paraId="076EB075" w14:textId="77777777" w:rsidR="000F3CBF" w:rsidRPr="00C35209" w:rsidRDefault="000F3CBF" w:rsidP="00351B1C">
      <w:pPr>
        <w:shd w:val="clear" w:color="auto" w:fill="auto"/>
        <w:spacing w:before="0"/>
        <w:jc w:val="center"/>
        <w:rPr>
          <w:i/>
        </w:rPr>
      </w:pPr>
      <w:r w:rsidRPr="00C35209">
        <w:rPr>
          <w:i/>
        </w:rPr>
        <w:t>National Health Act 1953</w:t>
      </w:r>
    </w:p>
    <w:p w14:paraId="22421494" w14:textId="41ABF514" w:rsidR="00A619AD" w:rsidRPr="00C35209" w:rsidRDefault="000A5311" w:rsidP="00351B1C">
      <w:pPr>
        <w:shd w:val="clear" w:color="auto" w:fill="auto"/>
        <w:spacing w:before="0"/>
        <w:jc w:val="center"/>
        <w:rPr>
          <w:b/>
          <w:bCs/>
          <w:i/>
        </w:rPr>
      </w:pPr>
      <w:r w:rsidRPr="00C35209">
        <w:rPr>
          <w:b/>
          <w:bCs/>
          <w:i/>
        </w:rPr>
        <w:t>National Health (Additional Community Supply Support Payment</w:t>
      </w:r>
      <w:r w:rsidR="00632F69" w:rsidRPr="00C35209">
        <w:rPr>
          <w:b/>
          <w:bCs/>
          <w:i/>
        </w:rPr>
        <w:t xml:space="preserve">) </w:t>
      </w:r>
      <w:r w:rsidR="00117558" w:rsidRPr="00C35209">
        <w:rPr>
          <w:b/>
          <w:bCs/>
          <w:i/>
        </w:rPr>
        <w:t>Amen</w:t>
      </w:r>
      <w:r w:rsidR="00D6675D" w:rsidRPr="00C35209">
        <w:rPr>
          <w:b/>
          <w:bCs/>
          <w:i/>
        </w:rPr>
        <w:t xml:space="preserve">dment </w:t>
      </w:r>
      <w:r w:rsidR="00632F69" w:rsidRPr="00C35209">
        <w:rPr>
          <w:b/>
          <w:bCs/>
          <w:i/>
        </w:rPr>
        <w:t>Determination 202</w:t>
      </w:r>
      <w:r w:rsidR="00D6675D" w:rsidRPr="00C35209">
        <w:rPr>
          <w:b/>
          <w:bCs/>
          <w:i/>
        </w:rPr>
        <w:t>5</w:t>
      </w:r>
      <w:r w:rsidR="00FC197F" w:rsidRPr="00C35209">
        <w:rPr>
          <w:b/>
          <w:bCs/>
          <w:i/>
        </w:rPr>
        <w:t xml:space="preserve"> </w:t>
      </w:r>
    </w:p>
    <w:p w14:paraId="6F834225" w14:textId="0BC909D2" w:rsidR="005B395C" w:rsidRPr="00C35209" w:rsidRDefault="000F3CBF" w:rsidP="00351B1C">
      <w:pPr>
        <w:shd w:val="clear" w:color="auto" w:fill="auto"/>
        <w:spacing w:before="0"/>
        <w:jc w:val="center"/>
        <w:rPr>
          <w:b/>
          <w:bCs/>
          <w:iCs/>
        </w:rPr>
      </w:pPr>
      <w:r w:rsidRPr="00C35209">
        <w:rPr>
          <w:b/>
          <w:bCs/>
          <w:iCs/>
        </w:rPr>
        <w:t xml:space="preserve">PB </w:t>
      </w:r>
      <w:r w:rsidR="00774C97" w:rsidRPr="00C35209">
        <w:rPr>
          <w:b/>
          <w:bCs/>
          <w:iCs/>
        </w:rPr>
        <w:t xml:space="preserve">70 </w:t>
      </w:r>
      <w:r w:rsidRPr="00C35209">
        <w:rPr>
          <w:b/>
          <w:bCs/>
          <w:iCs/>
        </w:rPr>
        <w:t>of 202</w:t>
      </w:r>
      <w:r w:rsidR="00117558" w:rsidRPr="00C35209">
        <w:rPr>
          <w:b/>
          <w:bCs/>
          <w:iCs/>
        </w:rPr>
        <w:t>5</w:t>
      </w:r>
    </w:p>
    <w:p w14:paraId="198D79CF" w14:textId="77777777" w:rsidR="00180650" w:rsidRPr="00C35209" w:rsidRDefault="00765D46" w:rsidP="00351B1C">
      <w:pPr>
        <w:shd w:val="clear" w:color="auto" w:fill="auto"/>
        <w:spacing w:before="240" w:after="0"/>
        <w:jc w:val="both"/>
        <w:rPr>
          <w:b/>
        </w:rPr>
      </w:pPr>
      <w:r w:rsidRPr="00C35209">
        <w:rPr>
          <w:b/>
        </w:rPr>
        <w:t xml:space="preserve">Authority </w:t>
      </w:r>
    </w:p>
    <w:p w14:paraId="5D891205" w14:textId="77777777" w:rsidR="00364719" w:rsidRPr="00C35209" w:rsidRDefault="000F3CBF" w:rsidP="00C14607">
      <w:pPr>
        <w:shd w:val="clear" w:color="auto" w:fill="auto"/>
        <w:spacing w:after="0"/>
      </w:pPr>
      <w:r w:rsidRPr="00C35209">
        <w:t>Paragraph 98B(1)(</w:t>
      </w:r>
      <w:r w:rsidR="004A140D" w:rsidRPr="00C35209">
        <w:t>b</w:t>
      </w:r>
      <w:r w:rsidRPr="00C35209">
        <w:t xml:space="preserve">) of the </w:t>
      </w:r>
      <w:r w:rsidRPr="00C35209">
        <w:rPr>
          <w:i/>
        </w:rPr>
        <w:t>National Health Act 1953</w:t>
      </w:r>
      <w:r w:rsidRPr="00C35209">
        <w:t xml:space="preserve"> (Act) provides that a function of the Pharmaceutical Benefits Remuneration Tribunal (Tribunal) is </w:t>
      </w:r>
      <w:bookmarkStart w:id="0" w:name="_Hlk177632002"/>
      <w:r w:rsidRPr="00C35209">
        <w:t>to determine</w:t>
      </w:r>
      <w:r w:rsidR="00F840F6" w:rsidRPr="00C35209">
        <w:t>, by legislative inst</w:t>
      </w:r>
      <w:r w:rsidR="00A94EAE" w:rsidRPr="00C35209">
        <w:t>rument</w:t>
      </w:r>
      <w:r w:rsidR="00364719" w:rsidRPr="00C35209">
        <w:t>:</w:t>
      </w:r>
    </w:p>
    <w:p w14:paraId="456A0141" w14:textId="55712815" w:rsidR="00364719" w:rsidRPr="00C35209" w:rsidRDefault="00660C11" w:rsidP="00991B21">
      <w:pPr>
        <w:pStyle w:val="ListParagraph"/>
        <w:numPr>
          <w:ilvl w:val="0"/>
          <w:numId w:val="2"/>
        </w:numPr>
        <w:shd w:val="clear" w:color="auto" w:fill="auto"/>
        <w:spacing w:after="0"/>
      </w:pPr>
      <w:r w:rsidRPr="00C35209">
        <w:t xml:space="preserve">the kinds of supplies by approved pharmacists of pharmaceutical benefits (if any) that are </w:t>
      </w:r>
      <w:r w:rsidR="00DB3367" w:rsidRPr="00C35209">
        <w:t xml:space="preserve">Additional </w:t>
      </w:r>
      <w:r w:rsidR="007C3C94" w:rsidRPr="00C35209">
        <w:t>Community Supply Supp</w:t>
      </w:r>
      <w:r w:rsidR="00166EBC" w:rsidRPr="00C35209">
        <w:t>ort (</w:t>
      </w:r>
      <w:r w:rsidRPr="00C35209">
        <w:t>ACSS</w:t>
      </w:r>
      <w:r w:rsidR="00166EBC" w:rsidRPr="00C35209">
        <w:t>)</w:t>
      </w:r>
      <w:r w:rsidRPr="00C35209">
        <w:t xml:space="preserve"> eligible supplies; and</w:t>
      </w:r>
      <w:r w:rsidR="00B93A80" w:rsidRPr="00C35209">
        <w:t xml:space="preserve"> </w:t>
      </w:r>
    </w:p>
    <w:p w14:paraId="2B3788F1" w14:textId="513F3855" w:rsidR="000F3CBF" w:rsidRPr="00C35209" w:rsidRDefault="00660C11" w:rsidP="00991B21">
      <w:pPr>
        <w:pStyle w:val="ListParagraph"/>
        <w:numPr>
          <w:ilvl w:val="0"/>
          <w:numId w:val="2"/>
        </w:numPr>
        <w:shd w:val="clear" w:color="auto" w:fill="auto"/>
        <w:spacing w:after="0"/>
        <w:ind w:left="714" w:hanging="357"/>
        <w:contextualSpacing w:val="0"/>
      </w:pPr>
      <w:r w:rsidRPr="00C35209">
        <w:t xml:space="preserve">the amount of the ACSS payment for any or all ACSS eligible supplies, or the </w:t>
      </w:r>
      <w:proofErr w:type="gramStart"/>
      <w:r w:rsidRPr="00C35209">
        <w:t>manner in which</w:t>
      </w:r>
      <w:proofErr w:type="gramEnd"/>
      <w:r w:rsidRPr="00C35209">
        <w:t xml:space="preserve"> that amount is to be worked out</w:t>
      </w:r>
      <w:r w:rsidR="00962C89" w:rsidRPr="00C35209">
        <w:t xml:space="preserve">. </w:t>
      </w:r>
    </w:p>
    <w:bookmarkEnd w:id="0"/>
    <w:p w14:paraId="0C8D4551" w14:textId="1CC6B035" w:rsidR="000F3CBF" w:rsidRPr="00C35209" w:rsidRDefault="000F3CBF" w:rsidP="00351B1C">
      <w:pPr>
        <w:shd w:val="clear" w:color="auto" w:fill="auto"/>
        <w:spacing w:after="0"/>
      </w:pPr>
      <w:r w:rsidRPr="00C35209">
        <w:t>Subsection 98BAA(1</w:t>
      </w:r>
      <w:r w:rsidR="00007DBA" w:rsidRPr="00C35209">
        <w:t>A</w:t>
      </w:r>
      <w:r w:rsidRPr="00C35209">
        <w:t>) of the Act requires that, where the Commonwealth and the Pharmacy Guild of Australia</w:t>
      </w:r>
      <w:r w:rsidR="00B66440" w:rsidRPr="00C35209">
        <w:t xml:space="preserve"> (Guild)</w:t>
      </w:r>
      <w:r w:rsidRPr="00C35209">
        <w:t xml:space="preserve"> have entered into an agreement relating to </w:t>
      </w:r>
      <w:r w:rsidR="00ED1370" w:rsidRPr="00C35209">
        <w:t xml:space="preserve">the </w:t>
      </w:r>
      <w:r w:rsidR="00A95A9F" w:rsidRPr="00C35209">
        <w:t xml:space="preserve">kinds of supplies </w:t>
      </w:r>
      <w:r w:rsidR="009C5F25" w:rsidRPr="00C35209">
        <w:t xml:space="preserve">made by approved pharmacists </w:t>
      </w:r>
      <w:r w:rsidR="00A95A9F" w:rsidRPr="00C35209">
        <w:t>that are ACSS eligible supplies</w:t>
      </w:r>
      <w:r w:rsidR="004476B3" w:rsidRPr="00C35209">
        <w:t>,</w:t>
      </w:r>
      <w:r w:rsidR="00A95A9F" w:rsidRPr="00C35209">
        <w:t xml:space="preserve"> and the amount of the ACSS payment for ACSS eligible supplies, or the manner in which that amount is to be worked out</w:t>
      </w:r>
      <w:r w:rsidRPr="00C35209">
        <w:t>, the Tribunal, when making a determination pursuant to paragraph 98B(1)(</w:t>
      </w:r>
      <w:r w:rsidR="00A95A9F" w:rsidRPr="00C35209">
        <w:t>b</w:t>
      </w:r>
      <w:r w:rsidRPr="00C35209">
        <w:t>) of the Act, is to give effect to the terms of that agreement</w:t>
      </w:r>
      <w:r w:rsidR="00B766EA" w:rsidRPr="00C35209">
        <w:t>, while the agreement is in force</w:t>
      </w:r>
      <w:r w:rsidRPr="00C35209">
        <w:t>.</w:t>
      </w:r>
    </w:p>
    <w:p w14:paraId="5C41430C" w14:textId="6D726CBE" w:rsidR="00EA0CB6" w:rsidRPr="00C35209" w:rsidRDefault="00304040" w:rsidP="00EA0CB6">
      <w:pPr>
        <w:jc w:val="both"/>
      </w:pPr>
      <w:r w:rsidRPr="00C35209">
        <w:t>Under subsection 33(3) of the </w:t>
      </w:r>
      <w:r w:rsidRPr="00C35209">
        <w:rPr>
          <w:i/>
          <w:iCs/>
        </w:rPr>
        <w:t>Acts Interpretation Act 1901</w:t>
      </w:r>
      <w:r w:rsidRPr="00C35209">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w:t>
      </w:r>
      <w:r w:rsidR="00EA0CB6" w:rsidRPr="00C35209">
        <w:t>vary any such instrument.</w:t>
      </w:r>
    </w:p>
    <w:p w14:paraId="4EB601FE" w14:textId="77777777" w:rsidR="00EA0CB6" w:rsidRPr="00C35209" w:rsidRDefault="00EA0CB6" w:rsidP="00EA0CB6">
      <w:pPr>
        <w:jc w:val="both"/>
      </w:pPr>
    </w:p>
    <w:p w14:paraId="377756EC" w14:textId="77777777" w:rsidR="00EA0CB6" w:rsidRPr="00C35209" w:rsidRDefault="00EA0CB6" w:rsidP="00EA0CB6">
      <w:pPr>
        <w:spacing w:after="240"/>
        <w:jc w:val="both"/>
        <w:rPr>
          <w:b/>
        </w:rPr>
      </w:pPr>
      <w:r w:rsidRPr="00C35209">
        <w:rPr>
          <w:b/>
        </w:rPr>
        <w:t>Purpose</w:t>
      </w:r>
    </w:p>
    <w:p w14:paraId="76E13C42" w14:textId="6CC70737" w:rsidR="00890E3E" w:rsidRPr="00C35209" w:rsidRDefault="000F3CBF" w:rsidP="000330AE">
      <w:r w:rsidRPr="00C35209">
        <w:t xml:space="preserve">The </w:t>
      </w:r>
      <w:r w:rsidR="007D71D6" w:rsidRPr="00C35209">
        <w:rPr>
          <w:i/>
        </w:rPr>
        <w:t xml:space="preserve">National Health (Additional Community Supply Support Payment) </w:t>
      </w:r>
      <w:r w:rsidR="00D43D63" w:rsidRPr="00C35209">
        <w:rPr>
          <w:i/>
        </w:rPr>
        <w:t xml:space="preserve">Amendment </w:t>
      </w:r>
      <w:r w:rsidR="007D71D6" w:rsidRPr="00C35209">
        <w:rPr>
          <w:i/>
        </w:rPr>
        <w:t>Determination 202</w:t>
      </w:r>
      <w:r w:rsidR="00D43D63" w:rsidRPr="00C35209">
        <w:rPr>
          <w:i/>
        </w:rPr>
        <w:t>5</w:t>
      </w:r>
      <w:r w:rsidR="007D71D6" w:rsidRPr="00C35209">
        <w:rPr>
          <w:i/>
        </w:rPr>
        <w:t xml:space="preserve"> </w:t>
      </w:r>
      <w:r w:rsidR="00B126A5" w:rsidRPr="00C35209">
        <w:rPr>
          <w:iCs/>
        </w:rPr>
        <w:t>(</w:t>
      </w:r>
      <w:r w:rsidR="00342EB3" w:rsidRPr="00C35209">
        <w:rPr>
          <w:iCs/>
        </w:rPr>
        <w:t>Amendment</w:t>
      </w:r>
      <w:r w:rsidR="000D581F" w:rsidRPr="00C35209">
        <w:rPr>
          <w:iCs/>
        </w:rPr>
        <w:t xml:space="preserve"> Determination</w:t>
      </w:r>
      <w:r w:rsidR="00B126A5" w:rsidRPr="00C35209">
        <w:rPr>
          <w:iCs/>
        </w:rPr>
        <w:t>)</w:t>
      </w:r>
      <w:r w:rsidR="00254F50" w:rsidRPr="00C35209">
        <w:t xml:space="preserve"> </w:t>
      </w:r>
      <w:r w:rsidR="00D14CE7" w:rsidRPr="00C35209">
        <w:t xml:space="preserve">amends the </w:t>
      </w:r>
      <w:r w:rsidR="00E6774E" w:rsidRPr="00C35209">
        <w:rPr>
          <w:i/>
          <w:iCs/>
        </w:rPr>
        <w:t>National Health (Additional Community Supply Support Payment</w:t>
      </w:r>
      <w:r w:rsidR="00EB663E" w:rsidRPr="00C35209">
        <w:rPr>
          <w:i/>
          <w:iCs/>
        </w:rPr>
        <w:t>) Determination 2024</w:t>
      </w:r>
      <w:r w:rsidR="00EB663E" w:rsidRPr="00C35209">
        <w:t xml:space="preserve"> (</w:t>
      </w:r>
      <w:r w:rsidR="00342EB3" w:rsidRPr="00C35209">
        <w:t>Principal</w:t>
      </w:r>
      <w:r w:rsidR="00EB663E" w:rsidRPr="00C35209">
        <w:t xml:space="preserve"> Determination)</w:t>
      </w:r>
      <w:r w:rsidR="0095411B" w:rsidRPr="00C35209">
        <w:t xml:space="preserve"> to </w:t>
      </w:r>
      <w:r w:rsidR="00EB4207" w:rsidRPr="00C35209">
        <w:t>adjust</w:t>
      </w:r>
      <w:r w:rsidR="00E1343E" w:rsidRPr="00C35209">
        <w:t>,</w:t>
      </w:r>
      <w:r w:rsidR="0095411B" w:rsidRPr="00C35209">
        <w:t xml:space="preserve"> </w:t>
      </w:r>
      <w:r w:rsidR="00DC39AF" w:rsidRPr="00C35209">
        <w:t>from 1 July 2025</w:t>
      </w:r>
      <w:r w:rsidR="00E1343E" w:rsidRPr="00C35209">
        <w:t xml:space="preserve">, </w:t>
      </w:r>
      <w:r w:rsidR="0095411B" w:rsidRPr="00C35209">
        <w:t xml:space="preserve">the </w:t>
      </w:r>
      <w:r w:rsidR="009F748E" w:rsidRPr="00C35209">
        <w:t>amount</w:t>
      </w:r>
      <w:r w:rsidR="00E31DDF" w:rsidRPr="00C35209">
        <w:t>s</w:t>
      </w:r>
      <w:r w:rsidR="009F748E" w:rsidRPr="00C35209">
        <w:t xml:space="preserve"> </w:t>
      </w:r>
      <w:r w:rsidR="00725EF3" w:rsidRPr="00C35209">
        <w:t>of</w:t>
      </w:r>
      <w:r w:rsidR="00890E3E" w:rsidRPr="00C35209">
        <w:t xml:space="preserve"> payment</w:t>
      </w:r>
      <w:r w:rsidR="00EB4207" w:rsidRPr="00C35209">
        <w:t>s</w:t>
      </w:r>
      <w:r w:rsidR="00890E3E" w:rsidRPr="00C35209">
        <w:t xml:space="preserve"> </w:t>
      </w:r>
      <w:r w:rsidR="009F748E" w:rsidRPr="00C35209">
        <w:t>for ACSS eligible supplies</w:t>
      </w:r>
      <w:r w:rsidR="003918CA" w:rsidRPr="00C35209">
        <w:t xml:space="preserve">, in accord with indexation and </w:t>
      </w:r>
      <w:r w:rsidR="00FC4BDB" w:rsidRPr="00C35209">
        <w:t>adjustment</w:t>
      </w:r>
      <w:r w:rsidR="00A657B5" w:rsidRPr="00C35209">
        <w:t xml:space="preserve"> provisions for ACSS payments</w:t>
      </w:r>
      <w:r w:rsidR="00EB4207" w:rsidRPr="00C35209">
        <w:t>,</w:t>
      </w:r>
      <w:r w:rsidR="00A657B5" w:rsidRPr="00C35209">
        <w:t xml:space="preserve"> as set</w:t>
      </w:r>
      <w:r w:rsidR="00FC4BDB" w:rsidRPr="00C35209">
        <w:t xml:space="preserve"> </w:t>
      </w:r>
      <w:r w:rsidR="00A657B5" w:rsidRPr="00C35209">
        <w:t xml:space="preserve">out under </w:t>
      </w:r>
      <w:r w:rsidR="007457AB" w:rsidRPr="00C35209">
        <w:t>clause</w:t>
      </w:r>
      <w:r w:rsidR="000B4C96" w:rsidRPr="00C35209">
        <w:t xml:space="preserve"> </w:t>
      </w:r>
      <w:r w:rsidR="00533AB5" w:rsidRPr="00C35209">
        <w:t>4.1.4</w:t>
      </w:r>
      <w:r w:rsidR="00C70B5F" w:rsidRPr="00C35209">
        <w:t xml:space="preserve">, </w:t>
      </w:r>
      <w:r w:rsidR="00E16FA6" w:rsidRPr="00C35209">
        <w:t>clause 5</w:t>
      </w:r>
      <w:r w:rsidR="007457AB" w:rsidRPr="00C35209">
        <w:t xml:space="preserve"> and Appendix A of the </w:t>
      </w:r>
      <w:r w:rsidR="000E0F3E" w:rsidRPr="00C35209">
        <w:t>Eighth Community Pharmacy Agreement (Eighth Agreement)</w:t>
      </w:r>
      <w:r w:rsidR="007457AB" w:rsidRPr="00C35209">
        <w:t>.</w:t>
      </w:r>
      <w:r w:rsidR="00912A9B" w:rsidRPr="00C35209">
        <w:t xml:space="preserve"> A copy of the </w:t>
      </w:r>
      <w:r w:rsidR="00096D8A" w:rsidRPr="00C35209">
        <w:t>Eighth Agreement</w:t>
      </w:r>
      <w:r w:rsidR="00D81E67" w:rsidRPr="00C35209">
        <w:t xml:space="preserve"> can be found on the Department of Health</w:t>
      </w:r>
      <w:r w:rsidR="00096D8A" w:rsidRPr="00C35209">
        <w:t>, Disability and Ageing</w:t>
      </w:r>
      <w:r w:rsidR="00D81E67" w:rsidRPr="00C35209">
        <w:t>’s website</w:t>
      </w:r>
      <w:r w:rsidR="00096D8A" w:rsidRPr="00C35209">
        <w:t xml:space="preserve"> </w:t>
      </w:r>
      <w:r w:rsidR="000330AE" w:rsidRPr="00C35209">
        <w:t>at: www.health.gov.au/topics/primary-care/what-we-do/8cpa.</w:t>
      </w:r>
    </w:p>
    <w:p w14:paraId="22BEDE0F" w14:textId="77777777" w:rsidR="003914C3" w:rsidRPr="00C35209" w:rsidRDefault="003914C3" w:rsidP="003914C3">
      <w:r w:rsidRPr="00C35209">
        <w:t xml:space="preserve">The Eighth Agreement between the Commonwealth and the Guild, which commenced on 1 July 2024 and expires on 30 June 2029, includes an agreement between the Commonwealth and the Guild for the purposes of subsection 98BAA(1A) of the Act, setting out the </w:t>
      </w:r>
      <w:proofErr w:type="gramStart"/>
      <w:r w:rsidRPr="00C35209">
        <w:t>manner in which</w:t>
      </w:r>
      <w:proofErr w:type="gramEnd"/>
      <w:r w:rsidRPr="00C35209">
        <w:t xml:space="preserve"> the ACSS payment is to be calculated.</w:t>
      </w:r>
    </w:p>
    <w:p w14:paraId="02B39DE3" w14:textId="107340F4" w:rsidR="00E84ACB" w:rsidRPr="00C35209" w:rsidRDefault="00E31DDF" w:rsidP="00351B1C">
      <w:pPr>
        <w:shd w:val="clear" w:color="auto" w:fill="auto"/>
        <w:spacing w:after="0"/>
      </w:pPr>
      <w:r w:rsidRPr="00C35209">
        <w:t xml:space="preserve">From </w:t>
      </w:r>
      <w:r w:rsidR="00330E0A" w:rsidRPr="00C35209">
        <w:t>1 July 2025</w:t>
      </w:r>
      <w:r w:rsidR="00E1343E" w:rsidRPr="00C35209">
        <w:t>,</w:t>
      </w:r>
      <w:r w:rsidR="00330E0A" w:rsidRPr="00C35209">
        <w:t xml:space="preserve"> the amount payable by the Commonwealth </w:t>
      </w:r>
      <w:r w:rsidR="002965D1" w:rsidRPr="00C35209">
        <w:t xml:space="preserve">to </w:t>
      </w:r>
      <w:r w:rsidR="00873F82" w:rsidRPr="00C35209">
        <w:t xml:space="preserve">approved pharmacists </w:t>
      </w:r>
      <w:r w:rsidR="006B2B2B" w:rsidRPr="00C35209">
        <w:t>for ACSS eligible supplies</w:t>
      </w:r>
      <w:r w:rsidR="00A46E75" w:rsidRPr="00C35209">
        <w:t xml:space="preserve"> will increase</w:t>
      </w:r>
      <w:r w:rsidR="00E84ACB" w:rsidRPr="00C35209">
        <w:t xml:space="preserve">: </w:t>
      </w:r>
    </w:p>
    <w:p w14:paraId="1A8ECDCA" w14:textId="1952015C" w:rsidR="009C1CE2" w:rsidRPr="00C35209" w:rsidRDefault="00E84ACB" w:rsidP="00991B21">
      <w:pPr>
        <w:pStyle w:val="ListParagraph"/>
        <w:numPr>
          <w:ilvl w:val="0"/>
          <w:numId w:val="4"/>
        </w:numPr>
        <w:shd w:val="clear" w:color="auto" w:fill="auto"/>
        <w:spacing w:after="0"/>
      </w:pPr>
      <w:r w:rsidRPr="00C35209">
        <w:lastRenderedPageBreak/>
        <w:t xml:space="preserve">from $4.79 to </w:t>
      </w:r>
      <w:r w:rsidRPr="00C35209">
        <w:rPr>
          <w:b/>
          <w:bCs/>
        </w:rPr>
        <w:t>$4.91</w:t>
      </w:r>
      <w:r w:rsidR="00700799" w:rsidRPr="00C35209">
        <w:rPr>
          <w:b/>
          <w:bCs/>
        </w:rPr>
        <w:t xml:space="preserve"> </w:t>
      </w:r>
      <w:r w:rsidR="000C0966" w:rsidRPr="00C35209">
        <w:t xml:space="preserve">for </w:t>
      </w:r>
      <w:r w:rsidR="00B74505" w:rsidRPr="00C35209">
        <w:t xml:space="preserve">each </w:t>
      </w:r>
      <w:r w:rsidR="00935317" w:rsidRPr="00C35209">
        <w:t>Commonwealth subsidised supply</w:t>
      </w:r>
      <w:r w:rsidR="00700799" w:rsidRPr="00C35209">
        <w:t>,</w:t>
      </w:r>
      <w:r w:rsidR="00935317" w:rsidRPr="00C35209">
        <w:t xml:space="preserve"> </w:t>
      </w:r>
      <w:r w:rsidR="0036113A" w:rsidRPr="00C35209">
        <w:t>at the maximum quantity</w:t>
      </w:r>
      <w:r w:rsidR="00F11A06" w:rsidRPr="00C35209">
        <w:t>,</w:t>
      </w:r>
      <w:r w:rsidR="0036113A" w:rsidRPr="00C35209">
        <w:t xml:space="preserve"> </w:t>
      </w:r>
      <w:r w:rsidR="002E3F9D" w:rsidRPr="00C35209">
        <w:t xml:space="preserve">of a </w:t>
      </w:r>
      <w:r w:rsidR="00EB0906" w:rsidRPr="00C35209">
        <w:t xml:space="preserve">‘section </w:t>
      </w:r>
      <w:r w:rsidR="004E1C37" w:rsidRPr="00C35209">
        <w:t>85</w:t>
      </w:r>
      <w:r w:rsidR="009C1CE2" w:rsidRPr="00C35209">
        <w:t xml:space="preserve"> medicine’ with increased dispensing quantit</w:t>
      </w:r>
      <w:r w:rsidR="004C7A40" w:rsidRPr="00C35209">
        <w:t>y</w:t>
      </w:r>
      <w:r w:rsidR="009C1CE2" w:rsidRPr="00C35209">
        <w:t xml:space="preserve">; and </w:t>
      </w:r>
    </w:p>
    <w:p w14:paraId="62E99B1A" w14:textId="3B6D12BF" w:rsidR="00DD1F48" w:rsidRPr="00C35209" w:rsidRDefault="009C1CE2" w:rsidP="00991B21">
      <w:pPr>
        <w:pStyle w:val="ListParagraph"/>
        <w:numPr>
          <w:ilvl w:val="0"/>
          <w:numId w:val="4"/>
        </w:numPr>
        <w:shd w:val="clear" w:color="auto" w:fill="auto"/>
        <w:spacing w:after="0"/>
      </w:pPr>
      <w:r w:rsidRPr="00C35209">
        <w:t xml:space="preserve">from $0.78 to </w:t>
      </w:r>
      <w:r w:rsidRPr="00C35209">
        <w:rPr>
          <w:b/>
          <w:bCs/>
        </w:rPr>
        <w:t>$1.</w:t>
      </w:r>
      <w:r w:rsidR="00F33092" w:rsidRPr="00C35209">
        <w:rPr>
          <w:b/>
          <w:bCs/>
        </w:rPr>
        <w:t>57</w:t>
      </w:r>
      <w:r w:rsidRPr="00C35209">
        <w:t xml:space="preserve"> </w:t>
      </w:r>
      <w:r w:rsidR="00B74505" w:rsidRPr="00C35209">
        <w:t xml:space="preserve">for </w:t>
      </w:r>
      <w:r w:rsidR="004C7A40" w:rsidRPr="00C35209">
        <w:t xml:space="preserve">each </w:t>
      </w:r>
      <w:r w:rsidR="00DD1F48" w:rsidRPr="00C35209">
        <w:t>Commonwealth</w:t>
      </w:r>
      <w:r w:rsidR="004C7A40" w:rsidRPr="00C35209">
        <w:t xml:space="preserve"> subsidised supply </w:t>
      </w:r>
      <w:r w:rsidR="00DD1F48" w:rsidRPr="00C35209">
        <w:t>of a ‘</w:t>
      </w:r>
      <w:r w:rsidR="00955F93" w:rsidRPr="00C35209">
        <w:t>section</w:t>
      </w:r>
      <w:r w:rsidR="00DD1F48" w:rsidRPr="00C35209">
        <w:t xml:space="preserve"> 85 medicine’.</w:t>
      </w:r>
    </w:p>
    <w:p w14:paraId="0D32EAF1" w14:textId="09272DDB" w:rsidR="00DD7679" w:rsidRPr="00C35209" w:rsidRDefault="00D81E67" w:rsidP="00351B1C">
      <w:pPr>
        <w:shd w:val="clear" w:color="auto" w:fill="auto"/>
        <w:spacing w:after="0"/>
      </w:pPr>
      <w:r w:rsidRPr="00C35209">
        <w:t>Th</w:t>
      </w:r>
      <w:r w:rsidR="00B7558A" w:rsidRPr="00C35209">
        <w:t>is Amendment Determination also makes changes</w:t>
      </w:r>
      <w:r w:rsidR="00FA6A19" w:rsidRPr="00C35209">
        <w:t xml:space="preserve"> from 1 October 2025, </w:t>
      </w:r>
      <w:r w:rsidR="008F4D5D" w:rsidRPr="00C35209">
        <w:t>to insert references t</w:t>
      </w:r>
      <w:r w:rsidR="00797485" w:rsidRPr="00C35209">
        <w:t xml:space="preserve">o </w:t>
      </w:r>
      <w:r w:rsidR="005B04C2" w:rsidRPr="00C35209">
        <w:t xml:space="preserve">the following </w:t>
      </w:r>
      <w:r w:rsidR="00AA06D1" w:rsidRPr="00C35209">
        <w:t xml:space="preserve">special </w:t>
      </w:r>
      <w:r w:rsidR="00D5075F" w:rsidRPr="00C35209">
        <w:t>arrangements</w:t>
      </w:r>
      <w:r w:rsidR="00D22B8D" w:rsidRPr="00C35209">
        <w:t>,</w:t>
      </w:r>
      <w:r w:rsidR="00626B19" w:rsidRPr="00C35209">
        <w:t xml:space="preserve"> expected</w:t>
      </w:r>
      <w:r w:rsidR="00AA06D1" w:rsidRPr="00C35209">
        <w:t xml:space="preserve"> </w:t>
      </w:r>
      <w:r w:rsidR="00AD6111" w:rsidRPr="00C35209">
        <w:t xml:space="preserve">to be </w:t>
      </w:r>
      <w:r w:rsidR="00AA06D1" w:rsidRPr="00C35209">
        <w:t>made under Section 100 of the Act</w:t>
      </w:r>
      <w:r w:rsidR="00510E8B" w:rsidRPr="00C35209">
        <w:t>,</w:t>
      </w:r>
      <w:r w:rsidR="00280A0E" w:rsidRPr="00C35209">
        <w:t xml:space="preserve"> under which </w:t>
      </w:r>
      <w:r w:rsidR="00567C80" w:rsidRPr="00C35209">
        <w:t xml:space="preserve">supplies </w:t>
      </w:r>
      <w:r w:rsidR="003B31BB" w:rsidRPr="00C35209">
        <w:t>of pharmaceutical benefit</w:t>
      </w:r>
      <w:r w:rsidR="003C140E" w:rsidRPr="00C35209">
        <w:t>s</w:t>
      </w:r>
      <w:r w:rsidR="003B31BB" w:rsidRPr="00C35209">
        <w:t xml:space="preserve"> </w:t>
      </w:r>
      <w:r w:rsidR="00567C80" w:rsidRPr="00C35209">
        <w:t>are not intended to</w:t>
      </w:r>
      <w:r w:rsidR="00C96014" w:rsidRPr="00C35209">
        <w:t xml:space="preserve"> qualify as ACSS eligible suppl</w:t>
      </w:r>
      <w:r w:rsidR="00567C80" w:rsidRPr="00C35209">
        <w:t>ies</w:t>
      </w:r>
      <w:r w:rsidR="00DD7679" w:rsidRPr="00C35209">
        <w:t>:</w:t>
      </w:r>
    </w:p>
    <w:p w14:paraId="60EBB950" w14:textId="698EADB7" w:rsidR="008C2120" w:rsidRPr="00C35209" w:rsidRDefault="008C2120" w:rsidP="00991B21">
      <w:pPr>
        <w:pStyle w:val="ListParagraph"/>
        <w:numPr>
          <w:ilvl w:val="0"/>
          <w:numId w:val="3"/>
        </w:numPr>
        <w:shd w:val="clear" w:color="auto" w:fill="auto"/>
        <w:spacing w:after="0"/>
        <w:ind w:left="714" w:hanging="357"/>
        <w:contextualSpacing w:val="0"/>
      </w:pPr>
      <w:r w:rsidRPr="00C35209">
        <w:rPr>
          <w:i/>
          <w:iCs/>
        </w:rPr>
        <w:t xml:space="preserve">National Health (Botulinum Toxin Program) Special Arrangement </w:t>
      </w:r>
      <w:proofErr w:type="gramStart"/>
      <w:r w:rsidRPr="00C35209">
        <w:rPr>
          <w:i/>
          <w:iCs/>
        </w:rPr>
        <w:t>20</w:t>
      </w:r>
      <w:r w:rsidR="00FD65FB" w:rsidRPr="00C35209">
        <w:rPr>
          <w:i/>
          <w:iCs/>
        </w:rPr>
        <w:t>25</w:t>
      </w:r>
      <w:r w:rsidRPr="00C35209">
        <w:t>;</w:t>
      </w:r>
      <w:proofErr w:type="gramEnd"/>
      <w:r w:rsidRPr="00C35209">
        <w:t xml:space="preserve"> </w:t>
      </w:r>
    </w:p>
    <w:p w14:paraId="4E311E69" w14:textId="71E9104D" w:rsidR="008C2120" w:rsidRPr="00C35209" w:rsidRDefault="008C2120" w:rsidP="00991B21">
      <w:pPr>
        <w:pStyle w:val="ListParagraph"/>
        <w:numPr>
          <w:ilvl w:val="0"/>
          <w:numId w:val="3"/>
        </w:numPr>
        <w:shd w:val="clear" w:color="auto" w:fill="auto"/>
        <w:spacing w:after="0"/>
        <w:contextualSpacing w:val="0"/>
      </w:pPr>
      <w:r w:rsidRPr="00C35209">
        <w:rPr>
          <w:i/>
          <w:iCs/>
        </w:rPr>
        <w:t xml:space="preserve">National Health (Growth Hormone Program) Special Arrangement </w:t>
      </w:r>
      <w:proofErr w:type="gramStart"/>
      <w:r w:rsidRPr="00C35209">
        <w:rPr>
          <w:i/>
          <w:iCs/>
        </w:rPr>
        <w:t>20</w:t>
      </w:r>
      <w:r w:rsidR="00FD65FB" w:rsidRPr="00C35209">
        <w:rPr>
          <w:i/>
          <w:iCs/>
        </w:rPr>
        <w:t>25</w:t>
      </w:r>
      <w:r w:rsidRPr="00C35209">
        <w:t>;</w:t>
      </w:r>
      <w:proofErr w:type="gramEnd"/>
      <w:r w:rsidRPr="00C35209">
        <w:t xml:space="preserve"> </w:t>
      </w:r>
    </w:p>
    <w:p w14:paraId="4D686EA5" w14:textId="009AB9F8" w:rsidR="008C2120" w:rsidRPr="00C35209" w:rsidRDefault="008C2120" w:rsidP="00991B21">
      <w:pPr>
        <w:pStyle w:val="ListParagraph"/>
        <w:numPr>
          <w:ilvl w:val="0"/>
          <w:numId w:val="3"/>
        </w:numPr>
        <w:shd w:val="clear" w:color="auto" w:fill="auto"/>
        <w:spacing w:after="0"/>
        <w:contextualSpacing w:val="0"/>
      </w:pPr>
      <w:r w:rsidRPr="00C35209">
        <w:rPr>
          <w:i/>
          <w:iCs/>
        </w:rPr>
        <w:t>National Health (IVF Program) Special Arrangement 20</w:t>
      </w:r>
      <w:r w:rsidR="00FD65FB" w:rsidRPr="00C35209">
        <w:rPr>
          <w:i/>
          <w:iCs/>
        </w:rPr>
        <w:t>25</w:t>
      </w:r>
      <w:r w:rsidR="00FD65FB" w:rsidRPr="00C35209">
        <w:t>.</w:t>
      </w:r>
    </w:p>
    <w:p w14:paraId="6032E449" w14:textId="77777777" w:rsidR="005B395C" w:rsidRPr="00C35209" w:rsidRDefault="005B395C" w:rsidP="00351B1C">
      <w:pPr>
        <w:shd w:val="clear" w:color="auto" w:fill="auto"/>
        <w:spacing w:before="240" w:after="0"/>
        <w:jc w:val="both"/>
        <w:rPr>
          <w:b/>
        </w:rPr>
      </w:pPr>
      <w:r w:rsidRPr="00C35209">
        <w:rPr>
          <w:b/>
        </w:rPr>
        <w:t>Consultation</w:t>
      </w:r>
    </w:p>
    <w:p w14:paraId="0E7A3ACC" w14:textId="0CCD1F9B" w:rsidR="00A731C4" w:rsidRPr="00C35209" w:rsidRDefault="00A731C4" w:rsidP="00351B1C">
      <w:pPr>
        <w:shd w:val="clear" w:color="auto" w:fill="auto"/>
        <w:spacing w:after="0"/>
      </w:pPr>
      <w:r w:rsidRPr="00C35209">
        <w:t xml:space="preserve">The </w:t>
      </w:r>
      <w:r w:rsidR="00F95807" w:rsidRPr="00C35209">
        <w:t>Eighth Agreement</w:t>
      </w:r>
      <w:r w:rsidRPr="00C35209">
        <w:t xml:space="preserve"> includes </w:t>
      </w:r>
      <w:r w:rsidR="00504CE2" w:rsidRPr="00C35209">
        <w:t xml:space="preserve">an </w:t>
      </w:r>
      <w:r w:rsidRPr="00C35209">
        <w:t>agreement between the Commonwealth and the Guild</w:t>
      </w:r>
      <w:r w:rsidR="00504CE2" w:rsidRPr="00C35209">
        <w:t>,</w:t>
      </w:r>
      <w:r w:rsidRPr="00C35209">
        <w:t xml:space="preserve"> </w:t>
      </w:r>
      <w:r w:rsidR="00504CE2" w:rsidRPr="00C35209">
        <w:t xml:space="preserve">for the purposes of subsection 98BAA(1A) of the Act, </w:t>
      </w:r>
      <w:r w:rsidR="00CA6516" w:rsidRPr="00C35209">
        <w:t>regarding</w:t>
      </w:r>
      <w:r w:rsidR="00504CE2" w:rsidRPr="00C35209">
        <w:t xml:space="preserve"> the kinds of supplies that are ACSS eligible supplies, and the amount of the ACSS payment for ACSS eligible supplies</w:t>
      </w:r>
      <w:r w:rsidR="00181414" w:rsidRPr="00C35209">
        <w:t>.</w:t>
      </w:r>
      <w:r w:rsidR="00504CE2" w:rsidRPr="00C35209">
        <w:t xml:space="preserve"> </w:t>
      </w:r>
      <w:r w:rsidRPr="00C35209">
        <w:t xml:space="preserve">The </w:t>
      </w:r>
      <w:r w:rsidR="00862502" w:rsidRPr="00C35209">
        <w:t>Guild</w:t>
      </w:r>
      <w:r w:rsidRPr="00C35209">
        <w:t xml:space="preserve"> has been consulted in relation to </w:t>
      </w:r>
      <w:r w:rsidR="00504CE2" w:rsidRPr="00C35209">
        <w:t xml:space="preserve">the content of this </w:t>
      </w:r>
      <w:r w:rsidR="00AA79DB" w:rsidRPr="00C35209">
        <w:t xml:space="preserve">Amendment </w:t>
      </w:r>
      <w:r w:rsidRPr="00C35209">
        <w:t xml:space="preserve">Determination </w:t>
      </w:r>
      <w:r w:rsidR="00504CE2" w:rsidRPr="00C35209">
        <w:t xml:space="preserve">as it </w:t>
      </w:r>
      <w:r w:rsidRPr="00C35209">
        <w:t>relate</w:t>
      </w:r>
      <w:r w:rsidR="00504CE2" w:rsidRPr="00C35209">
        <w:t>s</w:t>
      </w:r>
      <w:r w:rsidRPr="00C35209">
        <w:t xml:space="preserve"> to that agreement. Services Australia has also been consulted in relation to implementation of the </w:t>
      </w:r>
      <w:r w:rsidR="004476B3" w:rsidRPr="00C35209">
        <w:t xml:space="preserve">PBS </w:t>
      </w:r>
      <w:r w:rsidRPr="00C35209">
        <w:t xml:space="preserve">payment systems changes managed by Services Australia, to support </w:t>
      </w:r>
      <w:r w:rsidR="004476B3" w:rsidRPr="00C35209">
        <w:t>making ACSS payments to approved pharmacists</w:t>
      </w:r>
      <w:r w:rsidR="00137DAF" w:rsidRPr="00C35209">
        <w:t>,</w:t>
      </w:r>
      <w:r w:rsidR="004476B3" w:rsidRPr="00C35209">
        <w:t xml:space="preserve"> as provided for by this </w:t>
      </w:r>
      <w:r w:rsidR="00297728" w:rsidRPr="00C35209">
        <w:t xml:space="preserve">Amendment </w:t>
      </w:r>
      <w:r w:rsidRPr="00C35209">
        <w:t>Determination.</w:t>
      </w:r>
      <w:r w:rsidR="00251485" w:rsidRPr="00C35209">
        <w:t xml:space="preserve"> </w:t>
      </w:r>
    </w:p>
    <w:p w14:paraId="7DC92716" w14:textId="55992231" w:rsidR="0019636F" w:rsidRPr="00C35209" w:rsidRDefault="0019636F" w:rsidP="00E31DDF">
      <w:pPr>
        <w:keepNext/>
        <w:shd w:val="clear" w:color="auto" w:fill="auto"/>
        <w:spacing w:before="240" w:after="0"/>
        <w:jc w:val="both"/>
        <w:rPr>
          <w:b/>
        </w:rPr>
      </w:pPr>
      <w:r w:rsidRPr="00C35209">
        <w:rPr>
          <w:b/>
        </w:rPr>
        <w:t>Commencement</w:t>
      </w:r>
    </w:p>
    <w:p w14:paraId="075F9D3B" w14:textId="77777777" w:rsidR="00505918" w:rsidRPr="00C35209" w:rsidRDefault="00505918" w:rsidP="00505918">
      <w:pPr>
        <w:shd w:val="clear" w:color="auto" w:fill="auto"/>
        <w:spacing w:before="240" w:after="0"/>
        <w:rPr>
          <w:bCs/>
        </w:rPr>
      </w:pPr>
      <w:r w:rsidRPr="00C35209">
        <w:rPr>
          <w:bCs/>
        </w:rPr>
        <w:t>Sections 1 to 4 of this Instrument commence the day after this Instrument is registered.</w:t>
      </w:r>
    </w:p>
    <w:p w14:paraId="4BC25FE3" w14:textId="025E2AF4" w:rsidR="00505918" w:rsidRPr="00C35209" w:rsidRDefault="00505918" w:rsidP="00505918">
      <w:pPr>
        <w:shd w:val="clear" w:color="auto" w:fill="auto"/>
        <w:spacing w:before="240" w:after="0"/>
        <w:rPr>
          <w:bCs/>
        </w:rPr>
      </w:pPr>
      <w:r w:rsidRPr="00C35209">
        <w:rPr>
          <w:bCs/>
        </w:rPr>
        <w:t xml:space="preserve">Schedule 1 to this Instrument (which contains the amendments </w:t>
      </w:r>
      <w:r w:rsidR="00197B2E" w:rsidRPr="00C35209">
        <w:rPr>
          <w:bCs/>
        </w:rPr>
        <w:t xml:space="preserve">to the amounts of </w:t>
      </w:r>
      <w:r w:rsidR="004641F5" w:rsidRPr="00C35209">
        <w:rPr>
          <w:bCs/>
        </w:rPr>
        <w:t>ACSS payments payable by the Commonwealth</w:t>
      </w:r>
      <w:r w:rsidRPr="00C35209">
        <w:rPr>
          <w:bCs/>
        </w:rPr>
        <w:t>) commences on 1 July 20</w:t>
      </w:r>
      <w:r w:rsidR="004C2970" w:rsidRPr="00C35209">
        <w:rPr>
          <w:bCs/>
        </w:rPr>
        <w:t>25</w:t>
      </w:r>
      <w:r w:rsidRPr="00C35209">
        <w:rPr>
          <w:bCs/>
        </w:rPr>
        <w:t xml:space="preserve">. </w:t>
      </w:r>
    </w:p>
    <w:p w14:paraId="27B2E990" w14:textId="0FB1F61C" w:rsidR="00505918" w:rsidRPr="00C35209" w:rsidRDefault="00505918" w:rsidP="00505918">
      <w:pPr>
        <w:shd w:val="clear" w:color="auto" w:fill="auto"/>
        <w:spacing w:before="240" w:after="0"/>
        <w:rPr>
          <w:bCs/>
        </w:rPr>
      </w:pPr>
      <w:r w:rsidRPr="00C35209">
        <w:rPr>
          <w:bCs/>
        </w:rPr>
        <w:t xml:space="preserve">Schedule 2 to this Instrument (which contains the amendments to the </w:t>
      </w:r>
      <w:r w:rsidR="006C4548" w:rsidRPr="00C35209">
        <w:rPr>
          <w:bCs/>
        </w:rPr>
        <w:t xml:space="preserve">names of certain </w:t>
      </w:r>
      <w:r w:rsidR="0064139C" w:rsidRPr="00C35209">
        <w:rPr>
          <w:bCs/>
        </w:rPr>
        <w:t xml:space="preserve">special </w:t>
      </w:r>
      <w:r w:rsidR="00197B2E" w:rsidRPr="00C35209">
        <w:rPr>
          <w:bCs/>
        </w:rPr>
        <w:t>arrangements</w:t>
      </w:r>
      <w:r w:rsidR="0064139C" w:rsidRPr="00C35209">
        <w:rPr>
          <w:bCs/>
        </w:rPr>
        <w:t xml:space="preserve"> made under section </w:t>
      </w:r>
      <w:r w:rsidR="00197B2E" w:rsidRPr="00C35209">
        <w:rPr>
          <w:bCs/>
        </w:rPr>
        <w:t>100 of the Act</w:t>
      </w:r>
      <w:r w:rsidR="002B3732" w:rsidRPr="00C35209">
        <w:rPr>
          <w:bCs/>
        </w:rPr>
        <w:t xml:space="preserve"> in respect of ACSS eligible supplies</w:t>
      </w:r>
      <w:r w:rsidRPr="00C35209">
        <w:rPr>
          <w:bCs/>
        </w:rPr>
        <w:t xml:space="preserve">) commences on 1 </w:t>
      </w:r>
      <w:r w:rsidR="006C4548" w:rsidRPr="00C35209">
        <w:rPr>
          <w:bCs/>
        </w:rPr>
        <w:t>October 2025</w:t>
      </w:r>
      <w:r w:rsidRPr="00C35209">
        <w:rPr>
          <w:bCs/>
        </w:rPr>
        <w:t>.</w:t>
      </w:r>
    </w:p>
    <w:p w14:paraId="780A598E" w14:textId="051592F1" w:rsidR="00F91926" w:rsidRPr="00C35209" w:rsidRDefault="00F91926" w:rsidP="00351B1C">
      <w:pPr>
        <w:shd w:val="clear" w:color="auto" w:fill="auto"/>
        <w:spacing w:before="240" w:after="0"/>
        <w:rPr>
          <w:b/>
        </w:rPr>
      </w:pPr>
      <w:r w:rsidRPr="00C35209">
        <w:rPr>
          <w:b/>
        </w:rPr>
        <w:t>General</w:t>
      </w:r>
    </w:p>
    <w:p w14:paraId="022E58DD" w14:textId="5361E0D7" w:rsidR="00A731C4" w:rsidRPr="00C35209" w:rsidRDefault="00A731C4" w:rsidP="00351B1C">
      <w:pPr>
        <w:shd w:val="clear" w:color="auto" w:fill="auto"/>
        <w:spacing w:after="0"/>
      </w:pPr>
      <w:r w:rsidRPr="00C35209">
        <w:t xml:space="preserve">This </w:t>
      </w:r>
      <w:r w:rsidR="004D2CF9" w:rsidRPr="00C35209">
        <w:t xml:space="preserve">Amendment </w:t>
      </w:r>
      <w:r w:rsidRPr="00C35209">
        <w:t xml:space="preserve">Determination is a legislative instrument for the purposes of the </w:t>
      </w:r>
      <w:r w:rsidRPr="00C35209">
        <w:rPr>
          <w:i/>
        </w:rPr>
        <w:t>Legislation Act 2003</w:t>
      </w:r>
      <w:r w:rsidRPr="00C35209">
        <w:t>.</w:t>
      </w:r>
    </w:p>
    <w:p w14:paraId="28B87B08" w14:textId="103C4B1E" w:rsidR="00752DBB" w:rsidRPr="00C35209" w:rsidRDefault="00752DBB" w:rsidP="00351B1C">
      <w:pPr>
        <w:shd w:val="clear" w:color="auto" w:fill="auto"/>
        <w:spacing w:after="0"/>
        <w:rPr>
          <w:b/>
        </w:rPr>
      </w:pPr>
      <w:r w:rsidRPr="00C35209">
        <w:t xml:space="preserve">Details of this </w:t>
      </w:r>
      <w:r w:rsidR="009B6619" w:rsidRPr="00C35209">
        <w:t xml:space="preserve">Amendment </w:t>
      </w:r>
      <w:r w:rsidRPr="00C35209">
        <w:t xml:space="preserve">Determination are outlined in </w:t>
      </w:r>
      <w:r w:rsidRPr="00C35209">
        <w:rPr>
          <w:b/>
          <w:bCs/>
        </w:rPr>
        <w:t>Attachment A</w:t>
      </w:r>
      <w:r w:rsidR="00B855B0" w:rsidRPr="00C35209">
        <w:t>.</w:t>
      </w:r>
    </w:p>
    <w:p w14:paraId="4FA39AC1" w14:textId="3AC351F7" w:rsidR="0019636F" w:rsidRPr="00C35209" w:rsidRDefault="0019636F" w:rsidP="00351B1C">
      <w:pPr>
        <w:shd w:val="clear" w:color="auto" w:fill="auto"/>
        <w:spacing w:after="0"/>
        <w:rPr>
          <w:b/>
        </w:rPr>
      </w:pPr>
      <w:r w:rsidRPr="00C35209">
        <w:t xml:space="preserve">This </w:t>
      </w:r>
      <w:r w:rsidR="0063615D" w:rsidRPr="00C35209">
        <w:t xml:space="preserve">Amendment </w:t>
      </w:r>
      <w:r w:rsidRPr="00C35209">
        <w:t xml:space="preserve">Determination is compatible with the human rights and freedoms recognised or declared under section 3 of the </w:t>
      </w:r>
      <w:r w:rsidRPr="00C35209">
        <w:rPr>
          <w:i/>
          <w:iCs/>
        </w:rPr>
        <w:t xml:space="preserve">Human Rights (Parliamentary Scrutiny) Act 2011. </w:t>
      </w:r>
      <w:r w:rsidRPr="00C35209">
        <w:t xml:space="preserve">A full statement of compatibility is set out in </w:t>
      </w:r>
      <w:r w:rsidRPr="00C35209">
        <w:rPr>
          <w:b/>
        </w:rPr>
        <w:t xml:space="preserve">Attachment </w:t>
      </w:r>
      <w:r w:rsidR="00F570EA" w:rsidRPr="00C35209">
        <w:rPr>
          <w:b/>
        </w:rPr>
        <w:t>B</w:t>
      </w:r>
      <w:r w:rsidRPr="00C35209">
        <w:t>.</w:t>
      </w:r>
    </w:p>
    <w:p w14:paraId="66DAAD53" w14:textId="3EE56728" w:rsidR="00AB5C79" w:rsidRPr="00C35209" w:rsidRDefault="00DE7867" w:rsidP="00351B1C">
      <w:pPr>
        <w:shd w:val="clear" w:color="auto" w:fill="auto"/>
        <w:autoSpaceDE w:val="0"/>
        <w:autoSpaceDN w:val="0"/>
        <w:adjustRightInd w:val="0"/>
        <w:jc w:val="right"/>
        <w:rPr>
          <w:rFonts w:ascii="Times New Roman,Bold" w:hAnsi="Times New Roman,Bold" w:cs="Times New Roman,Bold"/>
          <w:b/>
          <w:bCs/>
        </w:rPr>
      </w:pPr>
      <w:r w:rsidRPr="00C35209">
        <w:br w:type="page"/>
      </w:r>
      <w:r w:rsidR="00AB5C79" w:rsidRPr="00C35209">
        <w:rPr>
          <w:rFonts w:ascii="Times New Roman,Bold" w:hAnsi="Times New Roman,Bold" w:cs="Times New Roman,Bold"/>
          <w:b/>
          <w:bCs/>
        </w:rPr>
        <w:lastRenderedPageBreak/>
        <w:t>ATTACHMENT</w:t>
      </w:r>
      <w:r w:rsidR="002739D7" w:rsidRPr="00C35209">
        <w:rPr>
          <w:rFonts w:ascii="Times New Roman,Bold" w:hAnsi="Times New Roman,Bold" w:cs="Times New Roman,Bold"/>
          <w:b/>
          <w:bCs/>
        </w:rPr>
        <w:t xml:space="preserve"> A</w:t>
      </w:r>
    </w:p>
    <w:p w14:paraId="6E382C6E" w14:textId="77777777" w:rsidR="00AB5C79" w:rsidRPr="00C35209" w:rsidRDefault="00AB5C79" w:rsidP="00351B1C">
      <w:pPr>
        <w:shd w:val="clear" w:color="auto" w:fill="auto"/>
        <w:autoSpaceDE w:val="0"/>
        <w:autoSpaceDN w:val="0"/>
        <w:adjustRightInd w:val="0"/>
        <w:rPr>
          <w:rFonts w:ascii="Times New Roman,Bold" w:hAnsi="Times New Roman,Bold" w:cs="Times New Roman,Bold"/>
        </w:rPr>
      </w:pPr>
    </w:p>
    <w:p w14:paraId="516035E5" w14:textId="3AC8F95C" w:rsidR="00310AF0" w:rsidRPr="00C35209" w:rsidRDefault="00FD00D1" w:rsidP="00351B1C">
      <w:pPr>
        <w:shd w:val="clear" w:color="auto" w:fill="auto"/>
        <w:autoSpaceDE w:val="0"/>
        <w:autoSpaceDN w:val="0"/>
        <w:adjustRightInd w:val="0"/>
        <w:rPr>
          <w:rFonts w:ascii="Times New Roman,BoldItalic" w:hAnsi="Times New Roman,BoldItalic" w:cs="Times New Roman,BoldItalic"/>
          <w:b/>
          <w:bCs/>
          <w:i/>
          <w:iCs/>
        </w:rPr>
      </w:pPr>
      <w:r w:rsidRPr="00C35209">
        <w:rPr>
          <w:rFonts w:ascii="Times New Roman,BoldItalic" w:hAnsi="Times New Roman,BoldItalic" w:cs="Times New Roman,BoldItalic"/>
          <w:b/>
          <w:bCs/>
        </w:rPr>
        <w:t xml:space="preserve">Details of </w:t>
      </w:r>
      <w:r w:rsidR="00273B41" w:rsidRPr="00C35209">
        <w:rPr>
          <w:rFonts w:ascii="Times New Roman,BoldItalic" w:hAnsi="Times New Roman,BoldItalic" w:cs="Times New Roman,BoldItalic"/>
          <w:b/>
          <w:bCs/>
        </w:rPr>
        <w:t>the</w:t>
      </w:r>
      <w:r w:rsidR="00273B41" w:rsidRPr="00C35209">
        <w:rPr>
          <w:rFonts w:ascii="Times New Roman,BoldItalic" w:hAnsi="Times New Roman,BoldItalic" w:cs="Times New Roman,BoldItalic"/>
          <w:b/>
          <w:bCs/>
          <w:i/>
          <w:iCs/>
        </w:rPr>
        <w:t xml:space="preserve"> National Health (Additional Community Supply Support Payment) </w:t>
      </w:r>
      <w:r w:rsidR="00CD1DB2" w:rsidRPr="00C35209">
        <w:rPr>
          <w:rFonts w:ascii="Times New Roman,BoldItalic" w:hAnsi="Times New Roman,BoldItalic" w:cs="Times New Roman,BoldItalic"/>
          <w:b/>
          <w:bCs/>
          <w:i/>
          <w:iCs/>
        </w:rPr>
        <w:t xml:space="preserve">Amendment </w:t>
      </w:r>
      <w:r w:rsidR="00273B41" w:rsidRPr="00C35209">
        <w:rPr>
          <w:rFonts w:ascii="Times New Roman,BoldItalic" w:hAnsi="Times New Roman,BoldItalic" w:cs="Times New Roman,BoldItalic"/>
          <w:b/>
          <w:bCs/>
          <w:i/>
          <w:iCs/>
        </w:rPr>
        <w:t>Determination 202</w:t>
      </w:r>
      <w:r w:rsidR="00CD1DB2" w:rsidRPr="00C35209">
        <w:rPr>
          <w:rFonts w:ascii="Times New Roman,BoldItalic" w:hAnsi="Times New Roman,BoldItalic" w:cs="Times New Roman,BoldItalic"/>
          <w:b/>
          <w:bCs/>
          <w:i/>
          <w:iCs/>
        </w:rPr>
        <w:t>5</w:t>
      </w:r>
    </w:p>
    <w:p w14:paraId="29E7AA87" w14:textId="77777777" w:rsidR="00AB5C79" w:rsidRPr="00C35209" w:rsidRDefault="00AB5C79" w:rsidP="00351B1C">
      <w:pPr>
        <w:shd w:val="clear" w:color="auto" w:fill="auto"/>
        <w:autoSpaceDE w:val="0"/>
        <w:autoSpaceDN w:val="0"/>
        <w:adjustRightInd w:val="0"/>
        <w:rPr>
          <w:rFonts w:ascii="Times New Roman,Bold" w:hAnsi="Times New Roman,Bold" w:cs="Times New Roman,Bold"/>
        </w:rPr>
      </w:pPr>
    </w:p>
    <w:p w14:paraId="78463A41" w14:textId="62BC109E" w:rsidR="00AB5C79" w:rsidRPr="00C35209" w:rsidRDefault="00AB5C79" w:rsidP="00351B1C">
      <w:pPr>
        <w:shd w:val="clear" w:color="auto" w:fill="auto"/>
        <w:autoSpaceDE w:val="0"/>
        <w:autoSpaceDN w:val="0"/>
        <w:adjustRightInd w:val="0"/>
        <w:rPr>
          <w:rFonts w:ascii="Times New Roman,Bold" w:hAnsi="Times New Roman,Bold" w:cs="Times New Roman,Bold"/>
          <w:b/>
          <w:bCs/>
        </w:rPr>
      </w:pPr>
      <w:r w:rsidRPr="00C35209">
        <w:rPr>
          <w:rFonts w:ascii="Times New Roman,Bold" w:hAnsi="Times New Roman,Bold" w:cs="Times New Roman,Bold"/>
          <w:b/>
          <w:bCs/>
        </w:rPr>
        <w:t>Section 1 – Name</w:t>
      </w:r>
    </w:p>
    <w:p w14:paraId="5CAF61EC" w14:textId="03EAF412" w:rsidR="00AB5C79" w:rsidRPr="00C35209" w:rsidRDefault="001052FA" w:rsidP="00351B1C">
      <w:pPr>
        <w:shd w:val="clear" w:color="auto" w:fill="auto"/>
        <w:autoSpaceDE w:val="0"/>
        <w:autoSpaceDN w:val="0"/>
        <w:adjustRightInd w:val="0"/>
      </w:pPr>
      <w:r w:rsidRPr="00C35209">
        <w:t>This section</w:t>
      </w:r>
      <w:r w:rsidR="00044712" w:rsidRPr="00C35209">
        <w:t xml:space="preserve"> </w:t>
      </w:r>
      <w:r w:rsidR="00AB5C79" w:rsidRPr="00C35209">
        <w:t xml:space="preserve">provides that the name of the </w:t>
      </w:r>
      <w:r w:rsidR="008B176F" w:rsidRPr="00C35209">
        <w:t>instr</w:t>
      </w:r>
      <w:r w:rsidR="0081225A" w:rsidRPr="00C35209">
        <w:t xml:space="preserve">ument </w:t>
      </w:r>
      <w:r w:rsidR="00AB5C79" w:rsidRPr="00C35209">
        <w:t xml:space="preserve">is the </w:t>
      </w:r>
      <w:r w:rsidR="0083034B" w:rsidRPr="00C35209">
        <w:rPr>
          <w:i/>
          <w:iCs/>
        </w:rPr>
        <w:t xml:space="preserve">National Health (Additional Community Supply Support Payment) </w:t>
      </w:r>
      <w:r w:rsidR="00DA0925" w:rsidRPr="00C35209">
        <w:rPr>
          <w:i/>
          <w:iCs/>
        </w:rPr>
        <w:t xml:space="preserve">Amendment </w:t>
      </w:r>
      <w:r w:rsidR="00AB5993" w:rsidRPr="00C35209">
        <w:rPr>
          <w:i/>
          <w:iCs/>
        </w:rPr>
        <w:t>Determination 202</w:t>
      </w:r>
      <w:r w:rsidR="00DA0925" w:rsidRPr="00C35209">
        <w:rPr>
          <w:i/>
          <w:iCs/>
        </w:rPr>
        <w:t>5</w:t>
      </w:r>
      <w:r w:rsidR="00AB5993" w:rsidRPr="00C35209">
        <w:t xml:space="preserve">, which may also be </w:t>
      </w:r>
      <w:r w:rsidR="00AB5C79" w:rsidRPr="00C35209">
        <w:t xml:space="preserve">cited as PB </w:t>
      </w:r>
      <w:r w:rsidR="00774C97" w:rsidRPr="00C35209">
        <w:t xml:space="preserve">70 </w:t>
      </w:r>
      <w:r w:rsidR="00AB5C79" w:rsidRPr="00C35209">
        <w:t>of 202</w:t>
      </w:r>
      <w:r w:rsidR="00DA0925" w:rsidRPr="00C35209">
        <w:t>5</w:t>
      </w:r>
      <w:r w:rsidR="00AB5C79" w:rsidRPr="00C35209">
        <w:t>.</w:t>
      </w:r>
    </w:p>
    <w:p w14:paraId="4F4C7399" w14:textId="77777777" w:rsidR="00AB5C79" w:rsidRPr="00C35209" w:rsidRDefault="00AB5C79" w:rsidP="00351B1C">
      <w:pPr>
        <w:shd w:val="clear" w:color="auto" w:fill="auto"/>
        <w:autoSpaceDE w:val="0"/>
        <w:autoSpaceDN w:val="0"/>
        <w:adjustRightInd w:val="0"/>
        <w:spacing w:before="0"/>
      </w:pPr>
    </w:p>
    <w:p w14:paraId="42FB9EC1" w14:textId="77777777" w:rsidR="00AB5C79" w:rsidRPr="00C35209" w:rsidRDefault="00AB5C79" w:rsidP="00351B1C">
      <w:pPr>
        <w:shd w:val="clear" w:color="auto" w:fill="auto"/>
        <w:autoSpaceDE w:val="0"/>
        <w:autoSpaceDN w:val="0"/>
        <w:adjustRightInd w:val="0"/>
        <w:rPr>
          <w:rFonts w:ascii="Times New Roman,Bold" w:hAnsi="Times New Roman,Bold" w:cs="Times New Roman,Bold"/>
          <w:b/>
          <w:bCs/>
        </w:rPr>
      </w:pPr>
      <w:r w:rsidRPr="00C35209">
        <w:rPr>
          <w:rFonts w:ascii="Times New Roman,Bold" w:hAnsi="Times New Roman,Bold" w:cs="Times New Roman,Bold"/>
          <w:b/>
          <w:bCs/>
        </w:rPr>
        <w:t xml:space="preserve">Section 2 </w:t>
      </w:r>
      <w:r w:rsidRPr="00C35209">
        <w:t xml:space="preserve">– </w:t>
      </w:r>
      <w:r w:rsidRPr="00C35209">
        <w:rPr>
          <w:rFonts w:ascii="Times New Roman,Bold" w:hAnsi="Times New Roman,Bold" w:cs="Times New Roman,Bold"/>
          <w:b/>
          <w:bCs/>
        </w:rPr>
        <w:t>Commencement</w:t>
      </w:r>
    </w:p>
    <w:p w14:paraId="294DC0E4" w14:textId="77777777" w:rsidR="001F405D" w:rsidRPr="00C35209" w:rsidRDefault="001052FA" w:rsidP="001F405D">
      <w:pPr>
        <w:shd w:val="clear" w:color="auto" w:fill="auto"/>
        <w:autoSpaceDE w:val="0"/>
        <w:autoSpaceDN w:val="0"/>
        <w:adjustRightInd w:val="0"/>
      </w:pPr>
      <w:r w:rsidRPr="00C35209">
        <w:t xml:space="preserve">This section provides that: </w:t>
      </w:r>
    </w:p>
    <w:p w14:paraId="0B20E1FE" w14:textId="797775BD" w:rsidR="001F405D" w:rsidRPr="00C35209" w:rsidRDefault="001052FA" w:rsidP="00991B21">
      <w:pPr>
        <w:pStyle w:val="ListParagraph"/>
        <w:numPr>
          <w:ilvl w:val="0"/>
          <w:numId w:val="4"/>
        </w:numPr>
        <w:shd w:val="clear" w:color="auto" w:fill="auto"/>
        <w:autoSpaceDE w:val="0"/>
        <w:autoSpaceDN w:val="0"/>
        <w:adjustRightInd w:val="0"/>
      </w:pPr>
      <w:r w:rsidRPr="00C35209">
        <w:t xml:space="preserve">sections 1 to 4 of the instrument commence the day after the instrument is </w:t>
      </w:r>
      <w:proofErr w:type="gramStart"/>
      <w:r w:rsidRPr="00C35209">
        <w:t>registered;</w:t>
      </w:r>
      <w:proofErr w:type="gramEnd"/>
      <w:r w:rsidRPr="00C35209">
        <w:t xml:space="preserve"> </w:t>
      </w:r>
    </w:p>
    <w:p w14:paraId="68296F88" w14:textId="5181FE8A" w:rsidR="001F405D" w:rsidRPr="00C35209" w:rsidRDefault="001052FA" w:rsidP="00991B21">
      <w:pPr>
        <w:pStyle w:val="ListParagraph"/>
        <w:numPr>
          <w:ilvl w:val="0"/>
          <w:numId w:val="4"/>
        </w:numPr>
        <w:shd w:val="clear" w:color="auto" w:fill="auto"/>
        <w:autoSpaceDE w:val="0"/>
        <w:autoSpaceDN w:val="0"/>
        <w:adjustRightInd w:val="0"/>
      </w:pPr>
      <w:r w:rsidRPr="00C35209">
        <w:t>Schedule 1 of the instrument commences on 1 July 202</w:t>
      </w:r>
      <w:r w:rsidR="001F405D" w:rsidRPr="00C35209">
        <w:t>5</w:t>
      </w:r>
      <w:r w:rsidRPr="00C35209">
        <w:t xml:space="preserve">; and </w:t>
      </w:r>
    </w:p>
    <w:p w14:paraId="6E5BAFE9" w14:textId="62D32FDB" w:rsidR="00AB5C79" w:rsidRPr="00C35209" w:rsidRDefault="001052FA" w:rsidP="00991B21">
      <w:pPr>
        <w:pStyle w:val="ListParagraph"/>
        <w:numPr>
          <w:ilvl w:val="0"/>
          <w:numId w:val="4"/>
        </w:numPr>
        <w:shd w:val="clear" w:color="auto" w:fill="auto"/>
        <w:autoSpaceDE w:val="0"/>
        <w:autoSpaceDN w:val="0"/>
        <w:adjustRightInd w:val="0"/>
      </w:pPr>
      <w:r w:rsidRPr="00C35209">
        <w:t xml:space="preserve">Schedule 2 of the instrument commences on 1 </w:t>
      </w:r>
      <w:r w:rsidR="001F405D" w:rsidRPr="00C35209">
        <w:t>October</w:t>
      </w:r>
      <w:r w:rsidRPr="00C35209">
        <w:t xml:space="preserve"> 2025</w:t>
      </w:r>
      <w:r w:rsidR="001F405D" w:rsidRPr="00C35209">
        <w:t>.</w:t>
      </w:r>
    </w:p>
    <w:p w14:paraId="51A19BF1" w14:textId="77777777" w:rsidR="001F405D" w:rsidRPr="00C35209" w:rsidRDefault="001F405D" w:rsidP="001F405D">
      <w:pPr>
        <w:shd w:val="clear" w:color="auto" w:fill="auto"/>
        <w:autoSpaceDE w:val="0"/>
        <w:autoSpaceDN w:val="0"/>
        <w:adjustRightInd w:val="0"/>
      </w:pPr>
    </w:p>
    <w:p w14:paraId="4E786F76" w14:textId="463E63F1" w:rsidR="00AB5C79" w:rsidRPr="00C35209" w:rsidRDefault="00AB5C79" w:rsidP="00351B1C">
      <w:pPr>
        <w:shd w:val="clear" w:color="auto" w:fill="auto"/>
        <w:autoSpaceDE w:val="0"/>
        <w:autoSpaceDN w:val="0"/>
        <w:adjustRightInd w:val="0"/>
        <w:rPr>
          <w:rFonts w:ascii="Times New Roman,Bold" w:hAnsi="Times New Roman,Bold" w:cs="Times New Roman,Bold"/>
          <w:b/>
          <w:bCs/>
        </w:rPr>
      </w:pPr>
      <w:r w:rsidRPr="00C35209">
        <w:rPr>
          <w:rFonts w:ascii="Times New Roman,Bold" w:hAnsi="Times New Roman,Bold" w:cs="Times New Roman,Bold"/>
          <w:b/>
          <w:bCs/>
        </w:rPr>
        <w:t xml:space="preserve">Section 3 – </w:t>
      </w:r>
      <w:r w:rsidR="004538EC" w:rsidRPr="00C35209">
        <w:rPr>
          <w:rFonts w:ascii="Times New Roman,Bold" w:hAnsi="Times New Roman,Bold" w:cs="Times New Roman,Bold"/>
          <w:b/>
          <w:bCs/>
        </w:rPr>
        <w:t>Authority</w:t>
      </w:r>
    </w:p>
    <w:p w14:paraId="6FE3C2CB" w14:textId="68432C5F" w:rsidR="000A75FA" w:rsidRPr="00C35209" w:rsidRDefault="00AA52A6" w:rsidP="00351B1C">
      <w:pPr>
        <w:shd w:val="clear" w:color="auto" w:fill="auto"/>
        <w:autoSpaceDE w:val="0"/>
        <w:autoSpaceDN w:val="0"/>
        <w:adjustRightInd w:val="0"/>
        <w:rPr>
          <w:rFonts w:ascii="Times New Roman,Bold" w:hAnsi="Times New Roman,Bold" w:cs="Times New Roman,Bold"/>
        </w:rPr>
      </w:pPr>
      <w:r w:rsidRPr="00C35209">
        <w:rPr>
          <w:rFonts w:ascii="Times New Roman,Bold" w:hAnsi="Times New Roman,Bold" w:cs="Times New Roman,Bold"/>
        </w:rPr>
        <w:t>This section</w:t>
      </w:r>
      <w:r w:rsidR="005017FA" w:rsidRPr="00C35209">
        <w:rPr>
          <w:rFonts w:ascii="Times New Roman,Bold" w:hAnsi="Times New Roman,Bold" w:cs="Times New Roman,Bold"/>
        </w:rPr>
        <w:t xml:space="preserve"> provides that the</w:t>
      </w:r>
      <w:r w:rsidR="00BA5427" w:rsidRPr="00C35209">
        <w:rPr>
          <w:rFonts w:ascii="Times New Roman,Bold" w:hAnsi="Times New Roman,Bold" w:cs="Times New Roman,Bold"/>
        </w:rPr>
        <w:t xml:space="preserve"> </w:t>
      </w:r>
      <w:r w:rsidR="003C575A" w:rsidRPr="00C35209">
        <w:rPr>
          <w:rFonts w:ascii="Times New Roman,Bold" w:hAnsi="Times New Roman,Bold" w:cs="Times New Roman,Bold"/>
        </w:rPr>
        <w:t>instrument</w:t>
      </w:r>
      <w:r w:rsidR="005017FA" w:rsidRPr="00C35209">
        <w:rPr>
          <w:rFonts w:ascii="Times New Roman,Bold" w:hAnsi="Times New Roman,Bold" w:cs="Times New Roman,Bold"/>
        </w:rPr>
        <w:t xml:space="preserve"> is made under paragraph 98B(1)(</w:t>
      </w:r>
      <w:r w:rsidR="000C451A" w:rsidRPr="00C35209">
        <w:rPr>
          <w:rFonts w:ascii="Times New Roman,Bold" w:hAnsi="Times New Roman,Bold" w:cs="Times New Roman,Bold"/>
        </w:rPr>
        <w:t>b</w:t>
      </w:r>
      <w:r w:rsidR="005017FA" w:rsidRPr="00C35209">
        <w:rPr>
          <w:rFonts w:ascii="Times New Roman,Bold" w:hAnsi="Times New Roman,Bold" w:cs="Times New Roman,Bold"/>
        </w:rPr>
        <w:t xml:space="preserve">) of the </w:t>
      </w:r>
      <w:r w:rsidR="005017FA" w:rsidRPr="00C35209">
        <w:rPr>
          <w:rFonts w:ascii="Times New Roman,Bold" w:hAnsi="Times New Roman,Bold" w:cs="Times New Roman,Bold"/>
          <w:i/>
          <w:iCs/>
        </w:rPr>
        <w:t>National Health Act 1953</w:t>
      </w:r>
      <w:r w:rsidR="00F847C3" w:rsidRPr="00C35209">
        <w:rPr>
          <w:rFonts w:ascii="Times New Roman,Bold" w:hAnsi="Times New Roman,Bold" w:cs="Times New Roman,Bold"/>
        </w:rPr>
        <w:t xml:space="preserve"> (Act)</w:t>
      </w:r>
      <w:r w:rsidR="005017FA" w:rsidRPr="00C35209">
        <w:rPr>
          <w:rFonts w:ascii="Times New Roman,Bold" w:hAnsi="Times New Roman,Bold" w:cs="Times New Roman,Bold"/>
        </w:rPr>
        <w:t>.</w:t>
      </w:r>
    </w:p>
    <w:p w14:paraId="5473061D" w14:textId="7C528EDB" w:rsidR="00AB5C79" w:rsidRPr="00C35209" w:rsidRDefault="00AB5C79" w:rsidP="00351B1C">
      <w:pPr>
        <w:shd w:val="clear" w:color="auto" w:fill="auto"/>
        <w:autoSpaceDE w:val="0"/>
        <w:autoSpaceDN w:val="0"/>
        <w:adjustRightInd w:val="0"/>
      </w:pPr>
    </w:p>
    <w:p w14:paraId="35A5E4F5" w14:textId="766C382A" w:rsidR="00AB5C79" w:rsidRPr="00C35209" w:rsidRDefault="00AB5C79" w:rsidP="00351B1C">
      <w:pPr>
        <w:shd w:val="clear" w:color="auto" w:fill="auto"/>
        <w:autoSpaceDE w:val="0"/>
        <w:autoSpaceDN w:val="0"/>
        <w:adjustRightInd w:val="0"/>
        <w:rPr>
          <w:rFonts w:ascii="Times New Roman,Bold" w:hAnsi="Times New Roman,Bold" w:cs="Times New Roman,Bold"/>
          <w:b/>
          <w:bCs/>
        </w:rPr>
      </w:pPr>
      <w:r w:rsidRPr="00C35209">
        <w:rPr>
          <w:rFonts w:ascii="Times New Roman,Bold" w:hAnsi="Times New Roman,Bold" w:cs="Times New Roman,Bold"/>
          <w:b/>
          <w:bCs/>
        </w:rPr>
        <w:t xml:space="preserve">Section 4 </w:t>
      </w:r>
      <w:r w:rsidRPr="00C35209">
        <w:t xml:space="preserve">– </w:t>
      </w:r>
      <w:r w:rsidR="00013730" w:rsidRPr="00C35209">
        <w:rPr>
          <w:rFonts w:ascii="Times New Roman,Bold" w:hAnsi="Times New Roman,Bold" w:cs="Times New Roman,Bold"/>
          <w:b/>
          <w:bCs/>
        </w:rPr>
        <w:t>Schedules</w:t>
      </w:r>
    </w:p>
    <w:p w14:paraId="36D5E397" w14:textId="43753B73" w:rsidR="009205BB" w:rsidRPr="00C35209" w:rsidRDefault="00467398" w:rsidP="009205BB">
      <w:pPr>
        <w:spacing w:before="100" w:beforeAutospacing="1" w:after="100" w:afterAutospacing="1"/>
      </w:pPr>
      <w:r w:rsidRPr="00C35209">
        <w:t>This section</w:t>
      </w:r>
      <w:r w:rsidR="009205BB" w:rsidRPr="00C35209">
        <w:t xml:space="preserve"> provides that each instrument that is specified in a Schedule to the instrument is amended or repealed as set out in the applicable items in the Schedule concerned, and any other item has effect according to its terms.</w:t>
      </w:r>
    </w:p>
    <w:p w14:paraId="204245EF" w14:textId="5F42E517" w:rsidR="00E73F8B" w:rsidRPr="00C35209" w:rsidRDefault="00E73F8B"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t>Schedule 1 – Amendments</w:t>
      </w:r>
    </w:p>
    <w:p w14:paraId="2CF3FE70" w14:textId="791143E7" w:rsidR="00E73F8B" w:rsidRPr="00C35209" w:rsidRDefault="00E73F8B" w:rsidP="00AE455A">
      <w:pPr>
        <w:shd w:val="clear" w:color="auto" w:fill="auto"/>
        <w:autoSpaceDE w:val="0"/>
        <w:autoSpaceDN w:val="0"/>
        <w:adjustRightInd w:val="0"/>
        <w:spacing w:before="0"/>
        <w:rPr>
          <w:rFonts w:ascii="Times New Roman,Bold" w:hAnsi="Times New Roman,Bold" w:cs="Times New Roman,Bold"/>
          <w:b/>
          <w:bCs/>
          <w:i/>
          <w:iCs/>
        </w:rPr>
      </w:pPr>
      <w:r w:rsidRPr="00C35209">
        <w:rPr>
          <w:rFonts w:ascii="Times New Roman,Bold" w:hAnsi="Times New Roman,Bold" w:cs="Times New Roman,Bold"/>
          <w:b/>
          <w:bCs/>
          <w:i/>
          <w:iCs/>
        </w:rPr>
        <w:t>National Health (Additional Community Supply Support Payment) Determination 2024</w:t>
      </w:r>
    </w:p>
    <w:p w14:paraId="36326C88" w14:textId="33548108" w:rsidR="00E73F8B" w:rsidRPr="00C35209" w:rsidRDefault="00E73F8B"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t>Item 1</w:t>
      </w:r>
      <w:r w:rsidR="00A233F7" w:rsidRPr="00C35209">
        <w:rPr>
          <w:rFonts w:ascii="Times New Roman,Bold" w:hAnsi="Times New Roman,Bold" w:cs="Times New Roman,Bold"/>
          <w:b/>
          <w:bCs/>
        </w:rPr>
        <w:t xml:space="preserve"> </w:t>
      </w:r>
      <w:r w:rsidR="004F43AE" w:rsidRPr="00C35209">
        <w:rPr>
          <w:rFonts w:ascii="Times New Roman,Bold" w:hAnsi="Times New Roman,Bold" w:cs="Times New Roman,Bold"/>
          <w:b/>
          <w:bCs/>
        </w:rPr>
        <w:t>–</w:t>
      </w:r>
      <w:r w:rsidR="00A233F7" w:rsidRPr="00C35209">
        <w:rPr>
          <w:rFonts w:ascii="Times New Roman,Bold" w:hAnsi="Times New Roman,Bold" w:cs="Times New Roman,Bold"/>
          <w:b/>
          <w:bCs/>
        </w:rPr>
        <w:t xml:space="preserve"> </w:t>
      </w:r>
      <w:r w:rsidR="004F43AE" w:rsidRPr="00C35209">
        <w:rPr>
          <w:rFonts w:ascii="Times New Roman,Bold" w:hAnsi="Times New Roman,Bold" w:cs="Times New Roman,Bold"/>
          <w:b/>
          <w:bCs/>
        </w:rPr>
        <w:t xml:space="preserve">Subsection </w:t>
      </w:r>
      <w:r w:rsidR="00065A2E" w:rsidRPr="00C35209">
        <w:rPr>
          <w:rFonts w:ascii="Times New Roman,Bold" w:hAnsi="Times New Roman,Bold" w:cs="Times New Roman,Bold"/>
          <w:b/>
          <w:bCs/>
        </w:rPr>
        <w:t>6(1)</w:t>
      </w:r>
    </w:p>
    <w:p w14:paraId="5C0FCCD5" w14:textId="5E1A2E21" w:rsidR="00CA0A34" w:rsidRPr="00C35209" w:rsidRDefault="007174B1" w:rsidP="00AE455A">
      <w:p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 xml:space="preserve">This item </w:t>
      </w:r>
      <w:r w:rsidR="007704AA" w:rsidRPr="00C35209">
        <w:rPr>
          <w:rFonts w:ascii="Times New Roman,Bold" w:hAnsi="Times New Roman,Bold" w:cs="Times New Roman,Bold"/>
        </w:rPr>
        <w:t>replaces</w:t>
      </w:r>
      <w:r w:rsidRPr="00C35209">
        <w:rPr>
          <w:rFonts w:ascii="Times New Roman,Bold" w:hAnsi="Times New Roman,Bold" w:cs="Times New Roman,Bold"/>
        </w:rPr>
        <w:t xml:space="preserve"> subsection 6(1)</w:t>
      </w:r>
      <w:r w:rsidR="00AE4B74" w:rsidRPr="00C35209">
        <w:rPr>
          <w:rFonts w:ascii="Times New Roman,Bold" w:hAnsi="Times New Roman,Bold" w:cs="Times New Roman,Bold"/>
        </w:rPr>
        <w:t xml:space="preserve"> in the </w:t>
      </w:r>
      <w:r w:rsidR="00E95E42" w:rsidRPr="00C35209">
        <w:rPr>
          <w:rFonts w:ascii="Times New Roman,Bold" w:hAnsi="Times New Roman,Bold" w:cs="Times New Roman,Bold"/>
        </w:rPr>
        <w:t>Principal</w:t>
      </w:r>
      <w:r w:rsidR="00AE4B74" w:rsidRPr="00C35209">
        <w:rPr>
          <w:rFonts w:ascii="Times New Roman,Bold" w:hAnsi="Times New Roman,Bold" w:cs="Times New Roman,Bold"/>
        </w:rPr>
        <w:t xml:space="preserve"> </w:t>
      </w:r>
      <w:r w:rsidR="00CA0A34" w:rsidRPr="00C35209">
        <w:rPr>
          <w:rFonts w:ascii="Times New Roman,Bold" w:hAnsi="Times New Roman,Bold" w:cs="Times New Roman,Bold"/>
        </w:rPr>
        <w:t>D</w:t>
      </w:r>
      <w:r w:rsidR="00AE4B74" w:rsidRPr="00C35209">
        <w:rPr>
          <w:rFonts w:ascii="Times New Roman,Bold" w:hAnsi="Times New Roman,Bold" w:cs="Times New Roman,Bold"/>
        </w:rPr>
        <w:t>etermination (</w:t>
      </w:r>
      <w:r w:rsidRPr="00C35209">
        <w:rPr>
          <w:rFonts w:ascii="Times New Roman,Bold" w:hAnsi="Times New Roman,Bold" w:cs="Times New Roman,Bold"/>
        </w:rPr>
        <w:t xml:space="preserve">not including </w:t>
      </w:r>
      <w:r w:rsidR="001722AD" w:rsidRPr="00C35209">
        <w:rPr>
          <w:rFonts w:ascii="Times New Roman,Bold" w:hAnsi="Times New Roman,Bold" w:cs="Times New Roman,Bold"/>
        </w:rPr>
        <w:t>the note at the end of the subsection</w:t>
      </w:r>
      <w:r w:rsidR="00AE4B74" w:rsidRPr="00C35209">
        <w:rPr>
          <w:rFonts w:ascii="Times New Roman,Bold" w:hAnsi="Times New Roman,Bold" w:cs="Times New Roman,Bold"/>
        </w:rPr>
        <w:t xml:space="preserve">) with a new subsection </w:t>
      </w:r>
      <w:r w:rsidR="00170388" w:rsidRPr="00C35209">
        <w:rPr>
          <w:rFonts w:ascii="Times New Roman,Bold" w:hAnsi="Times New Roman,Bold" w:cs="Times New Roman,Bold"/>
        </w:rPr>
        <w:t xml:space="preserve">6(1) with amended values for the </w:t>
      </w:r>
      <w:r w:rsidR="00CA0A34" w:rsidRPr="00C35209">
        <w:rPr>
          <w:rFonts w:ascii="Times New Roman,Bold" w:hAnsi="Times New Roman,Bold" w:cs="Times New Roman,Bold"/>
        </w:rPr>
        <w:t>amounts</w:t>
      </w:r>
      <w:r w:rsidR="00170388" w:rsidRPr="00C35209">
        <w:rPr>
          <w:rFonts w:ascii="Times New Roman,Bold" w:hAnsi="Times New Roman,Bold" w:cs="Times New Roman,Bold"/>
        </w:rPr>
        <w:t xml:space="preserve"> of ACSS payments payable by the </w:t>
      </w:r>
      <w:r w:rsidR="00CA0A34" w:rsidRPr="00C35209">
        <w:rPr>
          <w:rFonts w:ascii="Times New Roman,Bold" w:hAnsi="Times New Roman,Bold" w:cs="Times New Roman,Bold"/>
        </w:rPr>
        <w:t>Commonwealth from 1 July 2025.</w:t>
      </w:r>
    </w:p>
    <w:p w14:paraId="6650BB24" w14:textId="2B715A05" w:rsidR="00AB2DFE" w:rsidRPr="00C35209" w:rsidRDefault="00446D37" w:rsidP="00AE455A">
      <w:p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 xml:space="preserve">This change </w:t>
      </w:r>
      <w:r w:rsidR="00DD26DC" w:rsidRPr="00C35209">
        <w:rPr>
          <w:rFonts w:ascii="Times New Roman,Bold" w:hAnsi="Times New Roman,Bold" w:cs="Times New Roman,Bold"/>
        </w:rPr>
        <w:t xml:space="preserve">has the effect of </w:t>
      </w:r>
      <w:r w:rsidRPr="00C35209">
        <w:rPr>
          <w:rFonts w:ascii="Times New Roman,Bold" w:hAnsi="Times New Roman,Bold" w:cs="Times New Roman,Bold"/>
        </w:rPr>
        <w:t>increas</w:t>
      </w:r>
      <w:r w:rsidR="00DD26DC" w:rsidRPr="00C35209">
        <w:rPr>
          <w:rFonts w:ascii="Times New Roman,Bold" w:hAnsi="Times New Roman,Bold" w:cs="Times New Roman,Bold"/>
        </w:rPr>
        <w:t>ing</w:t>
      </w:r>
      <w:r w:rsidRPr="00C35209">
        <w:rPr>
          <w:rFonts w:ascii="Times New Roman,Bold" w:hAnsi="Times New Roman,Bold" w:cs="Times New Roman,Bold"/>
        </w:rPr>
        <w:t xml:space="preserve"> the relevant ACSS payment amounts</w:t>
      </w:r>
      <w:r w:rsidR="00AB2DFE" w:rsidRPr="00C35209">
        <w:rPr>
          <w:rFonts w:ascii="Times New Roman,Bold" w:hAnsi="Times New Roman,Bold" w:cs="Times New Roman,Bold"/>
        </w:rPr>
        <w:t>:</w:t>
      </w:r>
    </w:p>
    <w:p w14:paraId="1E71865F" w14:textId="7CA65240" w:rsidR="00E95E42" w:rsidRPr="00C35209" w:rsidRDefault="00AB2DFE" w:rsidP="00991B21">
      <w:pPr>
        <w:pStyle w:val="ListParagraph"/>
        <w:numPr>
          <w:ilvl w:val="0"/>
          <w:numId w:val="5"/>
        </w:num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under paragraph 6(1)</w:t>
      </w:r>
      <w:r w:rsidR="00375DA9" w:rsidRPr="00C35209">
        <w:rPr>
          <w:rFonts w:ascii="Times New Roman,Bold" w:hAnsi="Times New Roman,Bold" w:cs="Times New Roman,Bold"/>
        </w:rPr>
        <w:t>(a)</w:t>
      </w:r>
      <w:r w:rsidR="00DD26DC" w:rsidRPr="00C35209">
        <w:rPr>
          <w:rFonts w:ascii="Times New Roman,Bold" w:hAnsi="Times New Roman,Bold" w:cs="Times New Roman,Bold"/>
        </w:rPr>
        <w:t>,</w:t>
      </w:r>
      <w:r w:rsidR="00375DA9" w:rsidRPr="00C35209">
        <w:rPr>
          <w:rFonts w:ascii="Times New Roman,Bold" w:hAnsi="Times New Roman,Bold" w:cs="Times New Roman,Bold"/>
        </w:rPr>
        <w:t xml:space="preserve"> </w:t>
      </w:r>
      <w:r w:rsidR="00446D37" w:rsidRPr="00C35209">
        <w:rPr>
          <w:rFonts w:ascii="Times New Roman,Bold" w:hAnsi="Times New Roman,Bold" w:cs="Times New Roman,Bold"/>
        </w:rPr>
        <w:t xml:space="preserve">from </w:t>
      </w:r>
      <w:r w:rsidR="00375DA9" w:rsidRPr="00C35209">
        <w:rPr>
          <w:rFonts w:ascii="Times New Roman,Bold" w:hAnsi="Times New Roman,Bold" w:cs="Times New Roman,Bold"/>
        </w:rPr>
        <w:t xml:space="preserve">$0.78 to </w:t>
      </w:r>
      <w:r w:rsidR="00375DA9" w:rsidRPr="00C35209">
        <w:rPr>
          <w:rFonts w:ascii="Times New Roman,Bold" w:hAnsi="Times New Roman,Bold" w:cs="Times New Roman,Bold"/>
          <w:b/>
          <w:bCs/>
        </w:rPr>
        <w:t>$1.</w:t>
      </w:r>
      <w:r w:rsidR="005B4398" w:rsidRPr="00C35209">
        <w:rPr>
          <w:rFonts w:ascii="Times New Roman,Bold" w:hAnsi="Times New Roman,Bold" w:cs="Times New Roman,Bold"/>
          <w:b/>
          <w:bCs/>
        </w:rPr>
        <w:t>57</w:t>
      </w:r>
      <w:r w:rsidR="00375DA9" w:rsidRPr="00C35209">
        <w:rPr>
          <w:rFonts w:ascii="Times New Roman,Bold" w:hAnsi="Times New Roman,Bold" w:cs="Times New Roman,Bold"/>
        </w:rPr>
        <w:t xml:space="preserve">; and </w:t>
      </w:r>
    </w:p>
    <w:p w14:paraId="716F8462" w14:textId="36E1794D" w:rsidR="00375DA9" w:rsidRPr="00C35209" w:rsidRDefault="00375DA9" w:rsidP="00991B21">
      <w:pPr>
        <w:pStyle w:val="ListParagraph"/>
        <w:numPr>
          <w:ilvl w:val="0"/>
          <w:numId w:val="5"/>
        </w:num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under subparagraph 6(1)(b)(</w:t>
      </w:r>
      <w:r w:rsidR="00DD26DC" w:rsidRPr="00C35209">
        <w:rPr>
          <w:rFonts w:ascii="Times New Roman,Bold" w:hAnsi="Times New Roman,Bold" w:cs="Times New Roman,Bold"/>
        </w:rPr>
        <w:t>ii)</w:t>
      </w:r>
      <w:r w:rsidR="00841618" w:rsidRPr="00C35209">
        <w:rPr>
          <w:rFonts w:ascii="Times New Roman,Bold" w:hAnsi="Times New Roman,Bold" w:cs="Times New Roman,Bold"/>
        </w:rPr>
        <w:t>,</w:t>
      </w:r>
      <w:r w:rsidR="00DD26DC" w:rsidRPr="00C35209">
        <w:rPr>
          <w:rFonts w:ascii="Times New Roman,Bold" w:hAnsi="Times New Roman,Bold" w:cs="Times New Roman,Bold"/>
        </w:rPr>
        <w:t xml:space="preserve"> from $4.79 to </w:t>
      </w:r>
      <w:r w:rsidR="00DD26DC" w:rsidRPr="00C35209">
        <w:rPr>
          <w:rFonts w:ascii="Times New Roman,Bold" w:hAnsi="Times New Roman,Bold" w:cs="Times New Roman,Bold"/>
          <w:b/>
          <w:bCs/>
        </w:rPr>
        <w:t>$4.91</w:t>
      </w:r>
      <w:r w:rsidR="00DD26DC" w:rsidRPr="00C35209">
        <w:rPr>
          <w:rFonts w:ascii="Times New Roman,Bold" w:hAnsi="Times New Roman,Bold" w:cs="Times New Roman,Bold"/>
        </w:rPr>
        <w:t>.</w:t>
      </w:r>
    </w:p>
    <w:p w14:paraId="60F70EF9" w14:textId="77777777" w:rsidR="00DD26DC" w:rsidRPr="00C35209" w:rsidRDefault="00DD26DC" w:rsidP="00AE455A">
      <w:pPr>
        <w:shd w:val="clear" w:color="auto" w:fill="auto"/>
        <w:autoSpaceDE w:val="0"/>
        <w:autoSpaceDN w:val="0"/>
        <w:adjustRightInd w:val="0"/>
        <w:spacing w:before="0"/>
        <w:rPr>
          <w:rFonts w:ascii="Times New Roman,Bold" w:hAnsi="Times New Roman,Bold" w:cs="Times New Roman,Bold"/>
        </w:rPr>
      </w:pPr>
    </w:p>
    <w:p w14:paraId="6D2198A0" w14:textId="77777777" w:rsidR="00DD26DC" w:rsidRPr="00C35209" w:rsidRDefault="00DD26DC">
      <w:pPr>
        <w:shd w:val="clear" w:color="auto" w:fill="auto"/>
        <w:spacing w:before="0" w:after="0"/>
        <w:rPr>
          <w:rFonts w:ascii="Times New Roman,Bold" w:hAnsi="Times New Roman,Bold" w:cs="Times New Roman,Bold"/>
          <w:b/>
          <w:bCs/>
        </w:rPr>
      </w:pPr>
      <w:r w:rsidRPr="00C35209">
        <w:rPr>
          <w:rFonts w:ascii="Times New Roman,Bold" w:hAnsi="Times New Roman,Bold" w:cs="Times New Roman,Bold"/>
          <w:b/>
          <w:bCs/>
        </w:rPr>
        <w:br w:type="page"/>
      </w:r>
    </w:p>
    <w:p w14:paraId="4740A04C" w14:textId="01066371" w:rsidR="00E73F8B" w:rsidRPr="00C35209" w:rsidRDefault="00E73F8B"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lastRenderedPageBreak/>
        <w:t>Schedule 2 – Amendments</w:t>
      </w:r>
    </w:p>
    <w:p w14:paraId="1E530D3E" w14:textId="795C9153" w:rsidR="00E73F8B" w:rsidRPr="00C35209" w:rsidRDefault="00E73F8B" w:rsidP="00AE455A">
      <w:pPr>
        <w:shd w:val="clear" w:color="auto" w:fill="auto"/>
        <w:autoSpaceDE w:val="0"/>
        <w:autoSpaceDN w:val="0"/>
        <w:adjustRightInd w:val="0"/>
        <w:spacing w:before="0"/>
        <w:rPr>
          <w:rFonts w:ascii="Times New Roman,Bold" w:hAnsi="Times New Roman,Bold" w:cs="Times New Roman,Bold"/>
          <w:b/>
          <w:bCs/>
          <w:i/>
          <w:iCs/>
        </w:rPr>
      </w:pPr>
      <w:r w:rsidRPr="00C35209">
        <w:rPr>
          <w:rFonts w:ascii="Times New Roman,Bold" w:hAnsi="Times New Roman,Bold" w:cs="Times New Roman,Bold"/>
          <w:b/>
          <w:bCs/>
          <w:i/>
          <w:iCs/>
        </w:rPr>
        <w:t>National Health (Additional Community Supply Support Payment) Determination 2024</w:t>
      </w:r>
    </w:p>
    <w:p w14:paraId="232B1DC6" w14:textId="421D133D" w:rsidR="00106DA7" w:rsidRPr="00C35209" w:rsidRDefault="00106DA7"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t>Item 1</w:t>
      </w:r>
      <w:r w:rsidR="006C453F" w:rsidRPr="00C35209">
        <w:rPr>
          <w:rFonts w:ascii="Times New Roman,Bold" w:hAnsi="Times New Roman,Bold" w:cs="Times New Roman,Bold"/>
          <w:b/>
          <w:bCs/>
        </w:rPr>
        <w:t xml:space="preserve"> – Paragraph 5(a)</w:t>
      </w:r>
    </w:p>
    <w:p w14:paraId="5CF19C5B" w14:textId="4CC61D6E" w:rsidR="00E3393F" w:rsidRPr="00C35209" w:rsidRDefault="00E3393F" w:rsidP="00AE455A">
      <w:p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This item</w:t>
      </w:r>
      <w:r w:rsidR="00ED7E8C" w:rsidRPr="00C35209">
        <w:t xml:space="preserve"> </w:t>
      </w:r>
      <w:r w:rsidR="00ED7E8C" w:rsidRPr="00C35209">
        <w:rPr>
          <w:rFonts w:ascii="Times New Roman,Bold" w:hAnsi="Times New Roman,Bold" w:cs="Times New Roman,Bold"/>
        </w:rPr>
        <w:t>inserts a reference to a new special arrangement</w:t>
      </w:r>
      <w:r w:rsidR="00B24AB2" w:rsidRPr="00C35209">
        <w:rPr>
          <w:rFonts w:ascii="Times New Roman,Bold" w:hAnsi="Times New Roman,Bold" w:cs="Times New Roman,Bold"/>
        </w:rPr>
        <w:t>,</w:t>
      </w:r>
      <w:r w:rsidR="00277EDA" w:rsidRPr="00C35209">
        <w:rPr>
          <w:rFonts w:ascii="Times New Roman,Bold" w:hAnsi="Times New Roman,Bold" w:cs="Times New Roman,Bold"/>
        </w:rPr>
        <w:t xml:space="preserve"> made under section 100 of the Act</w:t>
      </w:r>
      <w:r w:rsidR="00B24AB2" w:rsidRPr="00C35209">
        <w:rPr>
          <w:rFonts w:ascii="Times New Roman,Bold" w:hAnsi="Times New Roman,Bold" w:cs="Times New Roman,Bold"/>
        </w:rPr>
        <w:t>,</w:t>
      </w:r>
      <w:r w:rsidR="00277EDA" w:rsidRPr="00C35209">
        <w:rPr>
          <w:rFonts w:ascii="Times New Roman,Bold" w:hAnsi="Times New Roman,Bold" w:cs="Times New Roman,Bold"/>
        </w:rPr>
        <w:t xml:space="preserve"> the </w:t>
      </w:r>
      <w:r w:rsidR="00B24AB2" w:rsidRPr="00C35209">
        <w:rPr>
          <w:i/>
          <w:iCs/>
        </w:rPr>
        <w:t>National Health (Botulinum Toxin Program) Special Arrangement 2025</w:t>
      </w:r>
      <w:r w:rsidR="00B24AB2" w:rsidRPr="00C35209">
        <w:t xml:space="preserve">, which will </w:t>
      </w:r>
      <w:r w:rsidR="00F223DC" w:rsidRPr="00C35209">
        <w:t>commence operation</w:t>
      </w:r>
      <w:r w:rsidR="00B24AB2" w:rsidRPr="00C35209">
        <w:t xml:space="preserve"> from </w:t>
      </w:r>
      <w:r w:rsidR="00F27769" w:rsidRPr="00C35209">
        <w:t>1 October 2025.</w:t>
      </w:r>
      <w:r w:rsidR="002B3FB9" w:rsidRPr="00C35209">
        <w:t xml:space="preserve"> The purpose of th</w:t>
      </w:r>
      <w:r w:rsidR="0010457D" w:rsidRPr="00C35209">
        <w:t>is</w:t>
      </w:r>
      <w:r w:rsidR="002B3FB9" w:rsidRPr="00C35209">
        <w:t xml:space="preserve"> amendment is to ensure that </w:t>
      </w:r>
      <w:r w:rsidR="00ED7E8C" w:rsidRPr="00C35209">
        <w:t>supplies of pharmaceutical benefits under this new special arrangement will not qualify as ACSS eligible supplies.</w:t>
      </w:r>
    </w:p>
    <w:p w14:paraId="4821EF86" w14:textId="744CACD6" w:rsidR="00106DA7" w:rsidRPr="00C35209" w:rsidRDefault="00106DA7"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t>Item 2</w:t>
      </w:r>
      <w:r w:rsidR="006C453F" w:rsidRPr="00C35209">
        <w:rPr>
          <w:rFonts w:ascii="Times New Roman,Bold" w:hAnsi="Times New Roman,Bold" w:cs="Times New Roman,Bold"/>
          <w:b/>
          <w:bCs/>
        </w:rPr>
        <w:t xml:space="preserve"> </w:t>
      </w:r>
      <w:r w:rsidR="00E3393F" w:rsidRPr="00C35209">
        <w:rPr>
          <w:rFonts w:ascii="Times New Roman,Bold" w:hAnsi="Times New Roman,Bold" w:cs="Times New Roman,Bold"/>
          <w:b/>
          <w:bCs/>
        </w:rPr>
        <w:t>–</w:t>
      </w:r>
      <w:r w:rsidR="006C453F" w:rsidRPr="00C35209">
        <w:rPr>
          <w:rFonts w:ascii="Times New Roman,Bold" w:hAnsi="Times New Roman,Bold" w:cs="Times New Roman,Bold"/>
          <w:b/>
          <w:bCs/>
        </w:rPr>
        <w:t xml:space="preserve"> Paragrap</w:t>
      </w:r>
      <w:r w:rsidR="00E3393F" w:rsidRPr="00C35209">
        <w:rPr>
          <w:rFonts w:ascii="Times New Roman,Bold" w:hAnsi="Times New Roman,Bold" w:cs="Times New Roman,Bold"/>
          <w:b/>
          <w:bCs/>
        </w:rPr>
        <w:t>h 5(c)</w:t>
      </w:r>
    </w:p>
    <w:p w14:paraId="3DA29CE8" w14:textId="4D1DA2C2" w:rsidR="00ED7E8C" w:rsidRPr="00C35209" w:rsidRDefault="00F27769" w:rsidP="00ED7E8C">
      <w:p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This item</w:t>
      </w:r>
      <w:r w:rsidR="00ED7E8C" w:rsidRPr="00C35209">
        <w:t xml:space="preserve"> </w:t>
      </w:r>
      <w:r w:rsidR="00ED7E8C" w:rsidRPr="00C35209">
        <w:rPr>
          <w:rFonts w:ascii="Times New Roman,Bold" w:hAnsi="Times New Roman,Bold" w:cs="Times New Roman,Bold"/>
        </w:rPr>
        <w:t>inserts a reference to a new special arrangement</w:t>
      </w:r>
      <w:r w:rsidRPr="00C35209">
        <w:rPr>
          <w:rFonts w:ascii="Times New Roman,Bold" w:hAnsi="Times New Roman,Bold" w:cs="Times New Roman,Bold"/>
        </w:rPr>
        <w:t xml:space="preserve">, made under section 100 of the Act, the </w:t>
      </w:r>
      <w:r w:rsidRPr="00C35209">
        <w:rPr>
          <w:i/>
          <w:iCs/>
        </w:rPr>
        <w:t>National Health (Growth Hormone Program) Special Arrangement 2025</w:t>
      </w:r>
      <w:r w:rsidRPr="00C35209">
        <w:t xml:space="preserve">, </w:t>
      </w:r>
      <w:r w:rsidR="00F223DC" w:rsidRPr="00C35209">
        <w:t>which will commence operation from 1 October 2025.</w:t>
      </w:r>
      <w:r w:rsidR="00ED7E8C" w:rsidRPr="00C35209">
        <w:t xml:space="preserve"> The purpose of th</w:t>
      </w:r>
      <w:r w:rsidR="00836298" w:rsidRPr="00C35209">
        <w:t>is</w:t>
      </w:r>
      <w:r w:rsidR="00ED7E8C" w:rsidRPr="00C35209">
        <w:t xml:space="preserve"> amendment is to ensure that supplies of pharmaceutical benefits under this new special arrangement will not qualify as ACSS eligible supplies.</w:t>
      </w:r>
    </w:p>
    <w:p w14:paraId="58EEC32A" w14:textId="06C7E8B6" w:rsidR="00106DA7" w:rsidRPr="00C35209" w:rsidRDefault="00106DA7" w:rsidP="00AE455A">
      <w:pPr>
        <w:shd w:val="clear" w:color="auto" w:fill="auto"/>
        <w:autoSpaceDE w:val="0"/>
        <w:autoSpaceDN w:val="0"/>
        <w:adjustRightInd w:val="0"/>
        <w:spacing w:before="0"/>
        <w:rPr>
          <w:rFonts w:ascii="Times New Roman,Bold" w:hAnsi="Times New Roman,Bold" w:cs="Times New Roman,Bold"/>
          <w:b/>
          <w:bCs/>
        </w:rPr>
      </w:pPr>
      <w:r w:rsidRPr="00C35209">
        <w:rPr>
          <w:rFonts w:ascii="Times New Roman,Bold" w:hAnsi="Times New Roman,Bold" w:cs="Times New Roman,Bold"/>
          <w:b/>
          <w:bCs/>
        </w:rPr>
        <w:t>Item 3</w:t>
      </w:r>
      <w:r w:rsidR="00E3393F" w:rsidRPr="00C35209">
        <w:rPr>
          <w:rFonts w:ascii="Times New Roman,Bold" w:hAnsi="Times New Roman,Bold" w:cs="Times New Roman,Bold"/>
          <w:b/>
          <w:bCs/>
        </w:rPr>
        <w:t xml:space="preserve"> – Paragraph 5(e)</w:t>
      </w:r>
    </w:p>
    <w:p w14:paraId="29BB17FA" w14:textId="7C65E2DC" w:rsidR="00ED7E8C" w:rsidRPr="00C35209" w:rsidRDefault="00F27769" w:rsidP="00ED7E8C">
      <w:pPr>
        <w:shd w:val="clear" w:color="auto" w:fill="auto"/>
        <w:autoSpaceDE w:val="0"/>
        <w:autoSpaceDN w:val="0"/>
        <w:adjustRightInd w:val="0"/>
        <w:spacing w:before="0"/>
        <w:rPr>
          <w:rFonts w:ascii="Times New Roman,Bold" w:hAnsi="Times New Roman,Bold" w:cs="Times New Roman,Bold"/>
        </w:rPr>
      </w:pPr>
      <w:r w:rsidRPr="00C35209">
        <w:rPr>
          <w:rFonts w:ascii="Times New Roman,Bold" w:hAnsi="Times New Roman,Bold" w:cs="Times New Roman,Bold"/>
        </w:rPr>
        <w:t>This item</w:t>
      </w:r>
      <w:r w:rsidR="00ED7E8C" w:rsidRPr="00C35209">
        <w:t xml:space="preserve"> </w:t>
      </w:r>
      <w:r w:rsidR="00ED7E8C" w:rsidRPr="00C35209">
        <w:rPr>
          <w:rFonts w:ascii="Times New Roman,Bold" w:hAnsi="Times New Roman,Bold" w:cs="Times New Roman,Bold"/>
        </w:rPr>
        <w:t>inserts a reference to a new special arrangement</w:t>
      </w:r>
      <w:r w:rsidRPr="00C35209">
        <w:rPr>
          <w:rFonts w:ascii="Times New Roman,Bold" w:hAnsi="Times New Roman,Bold" w:cs="Times New Roman,Bold"/>
        </w:rPr>
        <w:t xml:space="preserve">, made under section 100 of the Act, the </w:t>
      </w:r>
      <w:r w:rsidRPr="00C35209">
        <w:rPr>
          <w:i/>
          <w:iCs/>
        </w:rPr>
        <w:t>National Health (</w:t>
      </w:r>
      <w:r w:rsidR="00F223DC" w:rsidRPr="00C35209">
        <w:rPr>
          <w:i/>
          <w:iCs/>
        </w:rPr>
        <w:t>IVF Program</w:t>
      </w:r>
      <w:r w:rsidRPr="00C35209">
        <w:rPr>
          <w:i/>
          <w:iCs/>
        </w:rPr>
        <w:t>) Special Arrangement 2025</w:t>
      </w:r>
      <w:r w:rsidRPr="00C35209">
        <w:t xml:space="preserve">, </w:t>
      </w:r>
      <w:r w:rsidR="00F223DC" w:rsidRPr="00C35209">
        <w:t>which will commence operation from 1 October 2025.</w:t>
      </w:r>
      <w:r w:rsidR="00ED7E8C" w:rsidRPr="00C35209">
        <w:t xml:space="preserve"> The purpose of th</w:t>
      </w:r>
      <w:r w:rsidR="00836298" w:rsidRPr="00C35209">
        <w:t>is</w:t>
      </w:r>
      <w:r w:rsidR="00ED7E8C" w:rsidRPr="00C35209">
        <w:t xml:space="preserve"> amendment is to ensure that supplies of pharmaceutical benefits under this new special arrangement will not qualify as ACSS eligible supplies.</w:t>
      </w:r>
    </w:p>
    <w:p w14:paraId="113AB1D1" w14:textId="0993957C" w:rsidR="00F223DC" w:rsidRPr="00C35209" w:rsidRDefault="00F223DC" w:rsidP="00F223DC">
      <w:pPr>
        <w:shd w:val="clear" w:color="auto" w:fill="auto"/>
        <w:autoSpaceDE w:val="0"/>
        <w:autoSpaceDN w:val="0"/>
        <w:adjustRightInd w:val="0"/>
        <w:spacing w:before="0"/>
        <w:rPr>
          <w:rFonts w:ascii="Times New Roman,Bold" w:hAnsi="Times New Roman,Bold" w:cs="Times New Roman,Bold"/>
        </w:rPr>
      </w:pPr>
    </w:p>
    <w:p w14:paraId="3962C094" w14:textId="13C45AA6" w:rsidR="00E3393F" w:rsidRPr="00C35209" w:rsidRDefault="00E3393F" w:rsidP="00AE455A">
      <w:pPr>
        <w:shd w:val="clear" w:color="auto" w:fill="auto"/>
        <w:autoSpaceDE w:val="0"/>
        <w:autoSpaceDN w:val="0"/>
        <w:adjustRightInd w:val="0"/>
        <w:spacing w:before="0"/>
        <w:rPr>
          <w:rFonts w:ascii="Times New Roman,Bold" w:hAnsi="Times New Roman,Bold" w:cs="Times New Roman,Bold"/>
        </w:rPr>
      </w:pPr>
    </w:p>
    <w:p w14:paraId="4D425194" w14:textId="77777777" w:rsidR="00E73F8B" w:rsidRPr="00C35209" w:rsidRDefault="00E73F8B" w:rsidP="00351B1C">
      <w:pPr>
        <w:shd w:val="clear" w:color="auto" w:fill="auto"/>
        <w:autoSpaceDE w:val="0"/>
        <w:autoSpaceDN w:val="0"/>
        <w:adjustRightInd w:val="0"/>
        <w:rPr>
          <w:rFonts w:ascii="Times New Roman,Bold" w:hAnsi="Times New Roman,Bold" w:cs="Times New Roman,Bold"/>
        </w:rPr>
      </w:pPr>
    </w:p>
    <w:p w14:paraId="13ED084A" w14:textId="3460C5B8" w:rsidR="0031769F" w:rsidRPr="00C35209" w:rsidRDefault="0031769F">
      <w:pPr>
        <w:shd w:val="clear" w:color="auto" w:fill="auto"/>
        <w:spacing w:before="0" w:after="0"/>
      </w:pPr>
      <w:bookmarkStart w:id="1" w:name="_Hlk177033144"/>
      <w:r w:rsidRPr="00C35209">
        <w:br w:type="page"/>
      </w:r>
    </w:p>
    <w:p w14:paraId="7F8DEFBE" w14:textId="167B5157" w:rsidR="00BB660A" w:rsidRPr="00C35209" w:rsidRDefault="00BB660A" w:rsidP="00351B1C">
      <w:pPr>
        <w:shd w:val="clear" w:color="auto" w:fill="auto"/>
        <w:autoSpaceDE w:val="0"/>
        <w:autoSpaceDN w:val="0"/>
        <w:adjustRightInd w:val="0"/>
        <w:spacing w:after="0"/>
      </w:pPr>
    </w:p>
    <w:bookmarkEnd w:id="1"/>
    <w:p w14:paraId="709DDD70" w14:textId="77777777" w:rsidR="00A301CA" w:rsidRPr="00C35209" w:rsidRDefault="00A301CA" w:rsidP="00351B1C">
      <w:pPr>
        <w:shd w:val="clear" w:color="auto" w:fill="auto"/>
        <w:spacing w:before="0"/>
        <w:jc w:val="center"/>
        <w:rPr>
          <w:b/>
          <w:bCs/>
          <w:iCs/>
          <w:sz w:val="28"/>
          <w:szCs w:val="28"/>
        </w:rPr>
      </w:pPr>
      <w:r w:rsidRPr="00C35209">
        <w:rPr>
          <w:b/>
          <w:bCs/>
          <w:iCs/>
          <w:sz w:val="28"/>
          <w:szCs w:val="28"/>
        </w:rPr>
        <w:t>Statement of Compatibility with Human Rights</w:t>
      </w:r>
    </w:p>
    <w:p w14:paraId="7345133C" w14:textId="77777777" w:rsidR="00A301CA" w:rsidRPr="00C35209" w:rsidRDefault="00A301CA" w:rsidP="00351B1C">
      <w:pPr>
        <w:shd w:val="clear" w:color="auto" w:fill="auto"/>
        <w:jc w:val="center"/>
        <w:rPr>
          <w:sz w:val="22"/>
          <w:szCs w:val="22"/>
        </w:rPr>
      </w:pPr>
      <w:r w:rsidRPr="00C35209">
        <w:rPr>
          <w:i/>
          <w:sz w:val="22"/>
          <w:szCs w:val="22"/>
        </w:rPr>
        <w:t>Prepared in accordance with Part 3 of the Human Rights (Parliamentary Scrutiny) Act 2011</w:t>
      </w:r>
    </w:p>
    <w:p w14:paraId="211C34EB" w14:textId="096664B7" w:rsidR="00234C67" w:rsidRPr="00C35209" w:rsidRDefault="00234C67" w:rsidP="00E97CF8">
      <w:pPr>
        <w:shd w:val="clear" w:color="auto" w:fill="auto"/>
        <w:jc w:val="center"/>
        <w:rPr>
          <w:b/>
          <w:bCs/>
        </w:rPr>
      </w:pPr>
      <w:r w:rsidRPr="00C35209">
        <w:rPr>
          <w:b/>
          <w:bCs/>
        </w:rPr>
        <w:t xml:space="preserve">National Health (Additional Community Supply Support Payment) </w:t>
      </w:r>
      <w:r w:rsidR="0062171A" w:rsidRPr="00C35209">
        <w:rPr>
          <w:b/>
          <w:bCs/>
        </w:rPr>
        <w:t xml:space="preserve">Amendment </w:t>
      </w:r>
      <w:r w:rsidRPr="00C35209">
        <w:rPr>
          <w:b/>
          <w:bCs/>
        </w:rPr>
        <w:t>Determination 202</w:t>
      </w:r>
      <w:r w:rsidR="0062171A" w:rsidRPr="00C35209">
        <w:rPr>
          <w:b/>
          <w:bCs/>
        </w:rPr>
        <w:t>5</w:t>
      </w:r>
    </w:p>
    <w:p w14:paraId="5226DC1C" w14:textId="2815C260" w:rsidR="00234C67" w:rsidRPr="00C35209" w:rsidRDefault="00234C67" w:rsidP="00351B1C">
      <w:pPr>
        <w:shd w:val="clear" w:color="auto" w:fill="auto"/>
        <w:jc w:val="center"/>
      </w:pPr>
      <w:r w:rsidRPr="00C35209">
        <w:t xml:space="preserve">PB </w:t>
      </w:r>
      <w:r w:rsidR="00D46FA8" w:rsidRPr="00C35209">
        <w:t xml:space="preserve">70 </w:t>
      </w:r>
      <w:r w:rsidRPr="00C35209">
        <w:t>of 202</w:t>
      </w:r>
      <w:r w:rsidR="0062171A" w:rsidRPr="00C35209">
        <w:t>5</w:t>
      </w:r>
    </w:p>
    <w:p w14:paraId="7A448566" w14:textId="4DD718AD" w:rsidR="00B132D0" w:rsidRPr="00C35209" w:rsidRDefault="00B132D0" w:rsidP="00351B1C">
      <w:pPr>
        <w:shd w:val="clear" w:color="auto" w:fill="auto"/>
      </w:pPr>
      <w:r w:rsidRPr="00C35209">
        <w:t xml:space="preserve">This </w:t>
      </w:r>
      <w:r w:rsidR="003E4821" w:rsidRPr="00C35209">
        <w:t>d</w:t>
      </w:r>
      <w:r w:rsidRPr="00C35209">
        <w:t xml:space="preserve">isallowable </w:t>
      </w:r>
      <w:r w:rsidR="003E4821" w:rsidRPr="00C35209">
        <w:t>l</w:t>
      </w:r>
      <w:r w:rsidRPr="00C35209">
        <w:t xml:space="preserve">egislative </w:t>
      </w:r>
      <w:r w:rsidR="003E4821" w:rsidRPr="00C35209">
        <w:t>i</w:t>
      </w:r>
      <w:r w:rsidRPr="00C35209">
        <w:t xml:space="preserve">nstrument is compatible with the human rights and freedoms recognised or declared in the international instruments listed in section 3 of the </w:t>
      </w:r>
      <w:r w:rsidRPr="00C35209">
        <w:rPr>
          <w:i/>
        </w:rPr>
        <w:t>Human Rights (Parliamentary Scrutiny) Act 2011</w:t>
      </w:r>
      <w:r w:rsidRPr="00C35209">
        <w:t>.</w:t>
      </w:r>
    </w:p>
    <w:p w14:paraId="31BE8C9F" w14:textId="77777777" w:rsidR="00B132D0" w:rsidRPr="00C35209" w:rsidRDefault="00B132D0" w:rsidP="00351B1C">
      <w:pPr>
        <w:shd w:val="clear" w:color="auto" w:fill="auto"/>
        <w:spacing w:before="0" w:after="10"/>
        <w:jc w:val="both"/>
        <w:rPr>
          <w:b/>
        </w:rPr>
      </w:pPr>
      <w:r w:rsidRPr="00C35209">
        <w:rPr>
          <w:b/>
        </w:rPr>
        <w:t>Overview of the legislative instrument</w:t>
      </w:r>
    </w:p>
    <w:p w14:paraId="1DC60F41" w14:textId="034094CA" w:rsidR="002D7F45" w:rsidRPr="00C35209" w:rsidRDefault="00B132D0" w:rsidP="00782532">
      <w:pPr>
        <w:shd w:val="clear" w:color="auto" w:fill="auto"/>
        <w:spacing w:after="0"/>
      </w:pPr>
      <w:r w:rsidRPr="00C35209">
        <w:t>The purpose of th</w:t>
      </w:r>
      <w:r w:rsidR="001D6EC6" w:rsidRPr="00C35209">
        <w:t xml:space="preserve">is </w:t>
      </w:r>
      <w:r w:rsidR="006A07B8" w:rsidRPr="00C35209">
        <w:t>D</w:t>
      </w:r>
      <w:r w:rsidR="001D6EC6" w:rsidRPr="00C35209">
        <w:t xml:space="preserve">isallowable </w:t>
      </w:r>
      <w:r w:rsidR="006A07B8" w:rsidRPr="00C35209">
        <w:t xml:space="preserve">Legislative Instrument, made under </w:t>
      </w:r>
      <w:r w:rsidR="00EA17EC" w:rsidRPr="00C35209">
        <w:t>paragraph 98B</w:t>
      </w:r>
      <w:r w:rsidR="004A6754" w:rsidRPr="00C35209">
        <w:t>(1)(b)</w:t>
      </w:r>
      <w:r w:rsidR="00D1537A" w:rsidRPr="00C35209">
        <w:t xml:space="preserve"> of the </w:t>
      </w:r>
      <w:r w:rsidR="00D1537A" w:rsidRPr="00C35209">
        <w:rPr>
          <w:i/>
          <w:iCs/>
        </w:rPr>
        <w:t>National Health Act 1953</w:t>
      </w:r>
      <w:r w:rsidR="00CF53D5" w:rsidRPr="00C35209">
        <w:t xml:space="preserve"> (the Act) is to amend the </w:t>
      </w:r>
      <w:r w:rsidR="00CF53D5" w:rsidRPr="00C35209">
        <w:rPr>
          <w:i/>
          <w:iCs/>
        </w:rPr>
        <w:t>National Health (Additional Community Supply Support Payment) Determination 2024</w:t>
      </w:r>
      <w:r w:rsidR="00A41964" w:rsidRPr="00C35209">
        <w:t xml:space="preserve">, by which the </w:t>
      </w:r>
      <w:r w:rsidR="001B2EBA" w:rsidRPr="00C35209">
        <w:t>Pharmaceutical</w:t>
      </w:r>
      <w:r w:rsidR="00224113" w:rsidRPr="00C35209">
        <w:t xml:space="preserve"> </w:t>
      </w:r>
      <w:r w:rsidR="001B2EBA" w:rsidRPr="00C35209">
        <w:t>Benefits</w:t>
      </w:r>
      <w:r w:rsidR="00224113" w:rsidRPr="00C35209">
        <w:t xml:space="preserve"> </w:t>
      </w:r>
      <w:r w:rsidR="001B2EBA" w:rsidRPr="00C35209">
        <w:t>Remuneration</w:t>
      </w:r>
      <w:r w:rsidR="00224113" w:rsidRPr="00C35209">
        <w:t xml:space="preserve"> </w:t>
      </w:r>
      <w:r w:rsidR="001B2EBA" w:rsidRPr="00C35209">
        <w:t>T</w:t>
      </w:r>
      <w:r w:rsidR="00224113" w:rsidRPr="00C35209">
        <w:t>ribunal (</w:t>
      </w:r>
      <w:r w:rsidR="001B2EBA" w:rsidRPr="00C35209">
        <w:t>Tribunal</w:t>
      </w:r>
      <w:r w:rsidR="00224113" w:rsidRPr="00C35209">
        <w:t xml:space="preserve">) </w:t>
      </w:r>
      <w:r w:rsidR="001B2EBA" w:rsidRPr="00C35209">
        <w:t>determines</w:t>
      </w:r>
      <w:r w:rsidR="00224113" w:rsidRPr="00C35209">
        <w:t xml:space="preserve"> the kinds of supplies by approved </w:t>
      </w:r>
      <w:r w:rsidR="001B2EBA" w:rsidRPr="00C35209">
        <w:t>pharmacists</w:t>
      </w:r>
      <w:r w:rsidR="00224113" w:rsidRPr="00C35209">
        <w:t xml:space="preserve"> </w:t>
      </w:r>
      <w:r w:rsidR="00CD2F00" w:rsidRPr="00C35209">
        <w:t>o</w:t>
      </w:r>
      <w:r w:rsidR="00224113" w:rsidRPr="00C35209">
        <w:t xml:space="preserve">f </w:t>
      </w:r>
      <w:r w:rsidR="001B2EBA" w:rsidRPr="00C35209">
        <w:t>pharmaceutical</w:t>
      </w:r>
      <w:r w:rsidR="00224113" w:rsidRPr="00C35209">
        <w:t xml:space="preserve"> benefits that are </w:t>
      </w:r>
      <w:r w:rsidR="00CD2F00" w:rsidRPr="00C35209">
        <w:t>Additional</w:t>
      </w:r>
      <w:r w:rsidR="00224113" w:rsidRPr="00C35209">
        <w:t xml:space="preserve"> Community Supply Support </w:t>
      </w:r>
      <w:r w:rsidR="002D7F45" w:rsidRPr="00C35209">
        <w:t>(ACSS) eligible supplies and the amount of ACSS payment for any or a</w:t>
      </w:r>
      <w:r w:rsidR="00CD2F00" w:rsidRPr="00C35209">
        <w:t>l</w:t>
      </w:r>
      <w:r w:rsidR="002D7F45" w:rsidRPr="00C35209">
        <w:t>l such supplies.</w:t>
      </w:r>
    </w:p>
    <w:p w14:paraId="1D180915" w14:textId="442B4852" w:rsidR="00B75B10" w:rsidRPr="00C35209" w:rsidRDefault="00FB709E" w:rsidP="00FB709E">
      <w:pPr>
        <w:shd w:val="clear" w:color="auto" w:fill="auto"/>
      </w:pPr>
      <w:r w:rsidRPr="00C35209">
        <w:t xml:space="preserve">The basis for the ACSS payment is an agreement under the Eighth Community </w:t>
      </w:r>
      <w:r w:rsidR="00A34D71" w:rsidRPr="00C35209">
        <w:t>Pharmacy</w:t>
      </w:r>
      <w:r w:rsidRPr="00C35209">
        <w:t xml:space="preserve"> Agreement </w:t>
      </w:r>
      <w:r w:rsidR="00A34D71" w:rsidRPr="00C35209">
        <w:t>(</w:t>
      </w:r>
      <w:r w:rsidR="00560FCA" w:rsidRPr="00C35209">
        <w:t>Eighth Agreement</w:t>
      </w:r>
      <w:r w:rsidR="00A34D71" w:rsidRPr="00C35209">
        <w:t xml:space="preserve">) </w:t>
      </w:r>
      <w:r w:rsidRPr="00C35209">
        <w:t>between the Commonwealth and the Pharmacy Guild of Australia to establish a payment to approved pharmacists, in addition to the Commonwealth price, to provide the necessary level of support for the dispensing of Pharmaceutical Benefits Scheme (PBS) and Repatriation Pharmaceutical Benefits Scheme (RPBS) medicines, including for increased dispensing quantities, to ensure continued access to these medicines while providing cheaper medicines to patients.</w:t>
      </w:r>
    </w:p>
    <w:p w14:paraId="6EB6C43E" w14:textId="77777777" w:rsidR="00B75B10" w:rsidRPr="00C35209" w:rsidRDefault="00B75B10" w:rsidP="00B75B10">
      <w:pPr>
        <w:shd w:val="clear" w:color="auto" w:fill="auto"/>
        <w:jc w:val="both"/>
      </w:pPr>
      <w:r w:rsidRPr="00C35209">
        <w:t>Under subsection 33(3) of the </w:t>
      </w:r>
      <w:r w:rsidRPr="00C35209">
        <w:rPr>
          <w:i/>
          <w:iCs/>
        </w:rPr>
        <w:t>Acts Interpretation Act 1901</w:t>
      </w:r>
      <w:r w:rsidRPr="00C35209">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4120F0" w14:textId="0F351384" w:rsidR="0067754F" w:rsidRPr="00C35209" w:rsidRDefault="00AC1A1A" w:rsidP="0067754F">
      <w:pPr>
        <w:shd w:val="clear" w:color="auto" w:fill="auto"/>
        <w:spacing w:after="0"/>
      </w:pPr>
      <w:r w:rsidRPr="00C35209">
        <w:t xml:space="preserve">This legislative </w:t>
      </w:r>
      <w:r w:rsidR="006F5310" w:rsidRPr="00C35209">
        <w:t>instrument</w:t>
      </w:r>
      <w:r w:rsidR="00006B0E" w:rsidRPr="00C35209">
        <w:t xml:space="preserve">, </w:t>
      </w:r>
      <w:r w:rsidR="00445A30" w:rsidRPr="00C35209">
        <w:t xml:space="preserve">the </w:t>
      </w:r>
      <w:r w:rsidR="00006B0E" w:rsidRPr="00C35209">
        <w:rPr>
          <w:i/>
          <w:iCs/>
        </w:rPr>
        <w:t>National Health (Additional Community Supply Support Payment) Amendment Determination 2025</w:t>
      </w:r>
      <w:r w:rsidR="00006B0E" w:rsidRPr="00C35209">
        <w:t xml:space="preserve"> (Amendment Determination)</w:t>
      </w:r>
      <w:r w:rsidR="006F5310" w:rsidRPr="00C35209">
        <w:t xml:space="preserve"> </w:t>
      </w:r>
      <w:r w:rsidR="001C4CC9" w:rsidRPr="00C35209">
        <w:t>effect</w:t>
      </w:r>
      <w:r w:rsidR="00200846" w:rsidRPr="00C35209">
        <w:t>s</w:t>
      </w:r>
      <w:r w:rsidR="001C4CC9" w:rsidRPr="00C35209">
        <w:t xml:space="preserve"> </w:t>
      </w:r>
      <w:proofErr w:type="gramStart"/>
      <w:r w:rsidR="001C4CC9" w:rsidRPr="00C35209">
        <w:t>increas</w:t>
      </w:r>
      <w:r w:rsidR="0077720A" w:rsidRPr="00C35209">
        <w:t>es</w:t>
      </w:r>
      <w:proofErr w:type="gramEnd"/>
      <w:r w:rsidR="00250600" w:rsidRPr="00C35209">
        <w:t xml:space="preserve"> from 1</w:t>
      </w:r>
      <w:r w:rsidR="00E64755" w:rsidRPr="00C35209">
        <w:t> </w:t>
      </w:r>
      <w:r w:rsidR="00250600" w:rsidRPr="00C35209">
        <w:t>Jul</w:t>
      </w:r>
      <w:r w:rsidR="00E64755" w:rsidRPr="00C35209">
        <w:t>y </w:t>
      </w:r>
      <w:r w:rsidR="00250600" w:rsidRPr="00C35209">
        <w:t>2025</w:t>
      </w:r>
      <w:r w:rsidR="0077720A" w:rsidRPr="00C35209">
        <w:t xml:space="preserve"> to </w:t>
      </w:r>
      <w:r w:rsidR="0067754F" w:rsidRPr="00C35209">
        <w:t xml:space="preserve">the amounts </w:t>
      </w:r>
      <w:r w:rsidR="0077720A" w:rsidRPr="00C35209">
        <w:t xml:space="preserve">payable by the Commonwealth </w:t>
      </w:r>
      <w:r w:rsidR="00FB709E" w:rsidRPr="00C35209">
        <w:t xml:space="preserve">to approved pharmacists </w:t>
      </w:r>
      <w:r w:rsidR="0067754F" w:rsidRPr="00C35209">
        <w:t xml:space="preserve">for ACSS eligible supplies, in accord with </w:t>
      </w:r>
      <w:r w:rsidR="00E64755" w:rsidRPr="00C35209">
        <w:t xml:space="preserve">provisions under the </w:t>
      </w:r>
      <w:r w:rsidR="00AC0539" w:rsidRPr="00C35209">
        <w:t>Eighth Agreement</w:t>
      </w:r>
      <w:r w:rsidR="00B86313" w:rsidRPr="00C35209">
        <w:t>.</w:t>
      </w:r>
    </w:p>
    <w:p w14:paraId="54626D06" w14:textId="1913412C" w:rsidR="00922B5A" w:rsidRPr="00C35209" w:rsidRDefault="001633C7" w:rsidP="00782532">
      <w:pPr>
        <w:shd w:val="clear" w:color="auto" w:fill="auto"/>
        <w:spacing w:after="0"/>
      </w:pPr>
      <w:r w:rsidRPr="00C35209">
        <w:t xml:space="preserve">This legislative instrument </w:t>
      </w:r>
      <w:r w:rsidR="007A1831" w:rsidRPr="00C35209">
        <w:t xml:space="preserve">also </w:t>
      </w:r>
      <w:r w:rsidRPr="00C35209">
        <w:t xml:space="preserve">inserts </w:t>
      </w:r>
      <w:r w:rsidR="009E0F35" w:rsidRPr="00C35209">
        <w:t xml:space="preserve">references to the following </w:t>
      </w:r>
      <w:r w:rsidR="00922B5A" w:rsidRPr="00C35209">
        <w:t>special arrangements</w:t>
      </w:r>
      <w:r w:rsidR="00AC0539" w:rsidRPr="00C35209">
        <w:t>,</w:t>
      </w:r>
      <w:r w:rsidR="00922B5A" w:rsidRPr="00C35209">
        <w:t xml:space="preserve"> </w:t>
      </w:r>
      <w:r w:rsidR="00577D38" w:rsidRPr="00C35209">
        <w:t>with effect from 1</w:t>
      </w:r>
      <w:r w:rsidR="003273E1" w:rsidRPr="00C35209">
        <w:t> October </w:t>
      </w:r>
      <w:r w:rsidR="00577D38" w:rsidRPr="00C35209">
        <w:t>2025:</w:t>
      </w:r>
    </w:p>
    <w:p w14:paraId="248DDBE6" w14:textId="77777777" w:rsidR="00577D38" w:rsidRPr="00C35209" w:rsidRDefault="00577D38" w:rsidP="00991B21">
      <w:pPr>
        <w:pStyle w:val="ListParagraph"/>
        <w:numPr>
          <w:ilvl w:val="0"/>
          <w:numId w:val="3"/>
        </w:numPr>
        <w:shd w:val="clear" w:color="auto" w:fill="auto"/>
        <w:spacing w:after="0"/>
        <w:ind w:left="714" w:hanging="357"/>
      </w:pPr>
      <w:r w:rsidRPr="00C35209">
        <w:rPr>
          <w:i/>
          <w:iCs/>
        </w:rPr>
        <w:t xml:space="preserve">National Health (Botulinum Toxin Program) Special Arrangement </w:t>
      </w:r>
      <w:proofErr w:type="gramStart"/>
      <w:r w:rsidRPr="00C35209">
        <w:rPr>
          <w:i/>
          <w:iCs/>
        </w:rPr>
        <w:t>2025</w:t>
      </w:r>
      <w:r w:rsidRPr="00C35209">
        <w:t>;</w:t>
      </w:r>
      <w:proofErr w:type="gramEnd"/>
      <w:r w:rsidRPr="00C35209">
        <w:t xml:space="preserve"> </w:t>
      </w:r>
    </w:p>
    <w:p w14:paraId="7139BA2D" w14:textId="77777777" w:rsidR="00577D38" w:rsidRPr="00C35209" w:rsidRDefault="00577D38" w:rsidP="00991B21">
      <w:pPr>
        <w:pStyle w:val="ListParagraph"/>
        <w:numPr>
          <w:ilvl w:val="0"/>
          <w:numId w:val="3"/>
        </w:numPr>
        <w:shd w:val="clear" w:color="auto" w:fill="auto"/>
        <w:spacing w:after="0"/>
      </w:pPr>
      <w:r w:rsidRPr="00C35209">
        <w:rPr>
          <w:i/>
          <w:iCs/>
        </w:rPr>
        <w:t xml:space="preserve">National Health (Growth Hormone Program) Special Arrangement </w:t>
      </w:r>
      <w:proofErr w:type="gramStart"/>
      <w:r w:rsidRPr="00C35209">
        <w:rPr>
          <w:i/>
          <w:iCs/>
        </w:rPr>
        <w:t>2025</w:t>
      </w:r>
      <w:r w:rsidRPr="00C35209">
        <w:t>;</w:t>
      </w:r>
      <w:proofErr w:type="gramEnd"/>
      <w:r w:rsidRPr="00C35209">
        <w:t xml:space="preserve"> </w:t>
      </w:r>
    </w:p>
    <w:p w14:paraId="4EA85652" w14:textId="7C399DE9" w:rsidR="00577D38" w:rsidRPr="00C35209" w:rsidRDefault="00577D38" w:rsidP="00991B21">
      <w:pPr>
        <w:pStyle w:val="ListParagraph"/>
        <w:numPr>
          <w:ilvl w:val="0"/>
          <w:numId w:val="3"/>
        </w:numPr>
        <w:shd w:val="clear" w:color="auto" w:fill="auto"/>
        <w:spacing w:after="0"/>
      </w:pPr>
      <w:r w:rsidRPr="00C35209">
        <w:rPr>
          <w:i/>
          <w:iCs/>
        </w:rPr>
        <w:t>National Health (IVF Program) Special Arrangement 2025</w:t>
      </w:r>
      <w:r w:rsidRPr="00C35209">
        <w:t>.</w:t>
      </w:r>
    </w:p>
    <w:p w14:paraId="5333FFA0" w14:textId="77777777" w:rsidR="00B132D0" w:rsidRPr="00C35209" w:rsidRDefault="00B132D0" w:rsidP="00351B1C">
      <w:pPr>
        <w:shd w:val="clear" w:color="auto" w:fill="auto"/>
        <w:rPr>
          <w:b/>
          <w:bCs/>
          <w:lang w:val="en-US"/>
        </w:rPr>
      </w:pPr>
      <w:r w:rsidRPr="00C35209">
        <w:rPr>
          <w:b/>
          <w:bCs/>
        </w:rPr>
        <w:t>Human rights implications</w:t>
      </w:r>
    </w:p>
    <w:p w14:paraId="0CE28282" w14:textId="34895399" w:rsidR="00B132D0" w:rsidRPr="00C35209" w:rsidRDefault="00B132D0" w:rsidP="00351B1C">
      <w:pPr>
        <w:shd w:val="clear" w:color="auto" w:fill="auto"/>
      </w:pPr>
      <w:r w:rsidRPr="00C35209">
        <w:t xml:space="preserve">This </w:t>
      </w:r>
      <w:r w:rsidR="00795080" w:rsidRPr="00C35209">
        <w:t xml:space="preserve">Disallowable </w:t>
      </w:r>
      <w:r w:rsidRPr="00C35209">
        <w:t>Instrument engages Articles 2, 7</w:t>
      </w:r>
      <w:r w:rsidR="002C13D4" w:rsidRPr="00C35209">
        <w:t>, 9</w:t>
      </w:r>
      <w:r w:rsidRPr="00C35209">
        <w:t xml:space="preserve"> and 12 of the International Covenant on Economic, Social and Cultural Rights (ICESCR). The legislative instrument assists with the provision </w:t>
      </w:r>
      <w:r w:rsidR="00DC0A3E" w:rsidRPr="00C35209">
        <w:t xml:space="preserve">of </w:t>
      </w:r>
      <w:r w:rsidRPr="00C35209">
        <w:t xml:space="preserve">favourable conditions of work to ensure remuneration for workers with fair wages. In </w:t>
      </w:r>
      <w:r w:rsidR="00F47B76" w:rsidRPr="00C35209">
        <w:t>addition,</w:t>
      </w:r>
      <w:r w:rsidRPr="00C35209">
        <w:t xml:space="preserve"> it also assists in the progressive realisation by all appropriate means of </w:t>
      </w:r>
      <w:r w:rsidRPr="00C35209">
        <w:lastRenderedPageBreak/>
        <w:t xml:space="preserve">the right of everyone to </w:t>
      </w:r>
      <w:r w:rsidR="0079391A" w:rsidRPr="00C35209">
        <w:t xml:space="preserve">social security, and </w:t>
      </w:r>
      <w:r w:rsidRPr="00C35209">
        <w:t>the enjoyment of the highest attainable standard of physical and mental health.</w:t>
      </w:r>
    </w:p>
    <w:p w14:paraId="68B55F7C" w14:textId="72A896FF" w:rsidR="00B132D0" w:rsidRPr="00C35209" w:rsidRDefault="00B132D0" w:rsidP="00351B1C">
      <w:pPr>
        <w:shd w:val="clear" w:color="auto" w:fill="auto"/>
      </w:pPr>
      <w:r w:rsidRPr="00C35209">
        <w:t>The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0DC9D959" w14:textId="1782002D" w:rsidR="00A26BF5" w:rsidRPr="00C35209" w:rsidRDefault="006C439F" w:rsidP="00351B1C">
      <w:pPr>
        <w:shd w:val="clear" w:color="auto" w:fill="auto"/>
        <w:spacing w:after="0"/>
      </w:pPr>
      <w:r w:rsidRPr="00C35209">
        <w:t xml:space="preserve">The ACSS payment included in the 8CPA provides a means through which the Commonwealth </w:t>
      </w:r>
      <w:proofErr w:type="gramStart"/>
      <w:r w:rsidRPr="00C35209">
        <w:t>is able to</w:t>
      </w:r>
      <w:proofErr w:type="gramEnd"/>
      <w:r w:rsidRPr="00C35209">
        <w:t xml:space="preserve"> provide the necessary level of financial support to community pharmacies for the dispensing of PBS medicines, without increasing the costs of medicines for some patients.</w:t>
      </w:r>
    </w:p>
    <w:p w14:paraId="5610BECA" w14:textId="262C5273" w:rsidR="00812E29" w:rsidRPr="00C35209" w:rsidRDefault="00812E29" w:rsidP="00812E29">
      <w:pPr>
        <w:shd w:val="clear" w:color="auto" w:fill="auto"/>
        <w:spacing w:before="180" w:after="180"/>
        <w:rPr>
          <w:lang w:val="en-GB"/>
        </w:rPr>
      </w:pPr>
      <w:r w:rsidRPr="00C35209">
        <w:rPr>
          <w:lang w:val="en-GB"/>
        </w:rPr>
        <w:t>The amendment</w:t>
      </w:r>
      <w:r w:rsidR="00E93534" w:rsidRPr="00C35209">
        <w:rPr>
          <w:lang w:val="en-GB"/>
        </w:rPr>
        <w:t>s</w:t>
      </w:r>
      <w:r w:rsidRPr="00C35209">
        <w:rPr>
          <w:lang w:val="en-GB"/>
        </w:rPr>
        <w:t xml:space="preserve"> made by the Amendment Determination </w:t>
      </w:r>
      <w:r w:rsidR="00E93534" w:rsidRPr="00C35209">
        <w:rPr>
          <w:lang w:val="en-GB"/>
        </w:rPr>
        <w:t>are</w:t>
      </w:r>
      <w:r w:rsidRPr="00C35209">
        <w:rPr>
          <w:lang w:val="en-GB"/>
        </w:rPr>
        <w:t xml:space="preserve"> only in relation to the additional amounts </w:t>
      </w:r>
      <w:r w:rsidR="00174593" w:rsidRPr="00C35209">
        <w:rPr>
          <w:lang w:val="en-GB"/>
        </w:rPr>
        <w:t xml:space="preserve">for ACSS eligible supplies </w:t>
      </w:r>
      <w:r w:rsidRPr="00C35209">
        <w:rPr>
          <w:lang w:val="en-GB"/>
        </w:rPr>
        <w:t>described above</w:t>
      </w:r>
      <w:r w:rsidR="009331E3" w:rsidRPr="00C35209">
        <w:rPr>
          <w:lang w:val="en-GB"/>
        </w:rPr>
        <w:t xml:space="preserve"> and in relation to continuation of </w:t>
      </w:r>
      <w:r w:rsidR="001521B9" w:rsidRPr="00C35209">
        <w:rPr>
          <w:lang w:val="en-GB"/>
        </w:rPr>
        <w:t>existing</w:t>
      </w:r>
      <w:r w:rsidR="00395997" w:rsidRPr="00C35209">
        <w:rPr>
          <w:lang w:val="en-GB"/>
        </w:rPr>
        <w:t xml:space="preserve"> provisions for ACSS </w:t>
      </w:r>
      <w:r w:rsidR="00F20FB5" w:rsidRPr="00C35209">
        <w:rPr>
          <w:lang w:val="en-GB"/>
        </w:rPr>
        <w:t>eligible</w:t>
      </w:r>
      <w:r w:rsidR="00395997" w:rsidRPr="00C35209">
        <w:rPr>
          <w:lang w:val="en-GB"/>
        </w:rPr>
        <w:t xml:space="preserve"> </w:t>
      </w:r>
      <w:r w:rsidR="00F20FB5" w:rsidRPr="00C35209">
        <w:rPr>
          <w:lang w:val="en-GB"/>
        </w:rPr>
        <w:t>supplies</w:t>
      </w:r>
      <w:r w:rsidRPr="00C35209">
        <w:rPr>
          <w:lang w:val="en-GB"/>
        </w:rPr>
        <w:t>. It does not change the protection of human rights to health and social security by all Australians under the PBS implemented under the Principal Determination.</w:t>
      </w:r>
    </w:p>
    <w:p w14:paraId="3262B1C3" w14:textId="77777777" w:rsidR="00812E29" w:rsidRPr="00C35209" w:rsidRDefault="00812E29" w:rsidP="00351B1C">
      <w:pPr>
        <w:shd w:val="clear" w:color="auto" w:fill="auto"/>
        <w:spacing w:after="0"/>
      </w:pPr>
    </w:p>
    <w:p w14:paraId="111D02F9" w14:textId="77777777" w:rsidR="00B132D0" w:rsidRPr="00C35209" w:rsidRDefault="00B132D0" w:rsidP="00351B1C">
      <w:pPr>
        <w:shd w:val="clear" w:color="auto" w:fill="auto"/>
        <w:rPr>
          <w:b/>
          <w:bCs/>
        </w:rPr>
      </w:pPr>
      <w:r w:rsidRPr="00C35209">
        <w:rPr>
          <w:b/>
          <w:bCs/>
        </w:rPr>
        <w:t xml:space="preserve">Conclusion </w:t>
      </w:r>
    </w:p>
    <w:p w14:paraId="171EAAFF" w14:textId="294CB02B" w:rsidR="00350B71" w:rsidRPr="00C35209" w:rsidRDefault="00350B71" w:rsidP="002C64F7">
      <w:pPr>
        <w:shd w:val="clear" w:color="auto" w:fill="auto"/>
      </w:pPr>
      <w:r w:rsidRPr="00C35209">
        <w:t>This Instrument is compatible with human rights because it promotes the protection of human rights to health</w:t>
      </w:r>
      <w:r w:rsidR="00B93E0B" w:rsidRPr="00C35209">
        <w:t xml:space="preserve"> and social security</w:t>
      </w:r>
      <w:r w:rsidR="004C304B" w:rsidRPr="00C35209">
        <w:t>,</w:t>
      </w:r>
      <w:r w:rsidR="00A26BF5" w:rsidRPr="00C35209">
        <w:t xml:space="preserve"> </w:t>
      </w:r>
      <w:r w:rsidR="004C304B" w:rsidRPr="00C35209">
        <w:t>and favourable work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D0F3A" w:rsidRPr="004C304B" w14:paraId="5AC344F8" w14:textId="77777777" w:rsidTr="003920FD">
        <w:tc>
          <w:tcPr>
            <w:tcW w:w="8529" w:type="dxa"/>
          </w:tcPr>
          <w:p w14:paraId="010B5CEB" w14:textId="70483DB1" w:rsidR="002C64D6" w:rsidRPr="00C35209" w:rsidRDefault="002C64F7" w:rsidP="002C64F7">
            <w:pPr>
              <w:shd w:val="clear" w:color="auto" w:fill="auto"/>
              <w:spacing w:before="1440" w:after="0"/>
              <w:jc w:val="center"/>
              <w:rPr>
                <w:b/>
                <w:bCs/>
              </w:rPr>
            </w:pPr>
            <w:r w:rsidRPr="00C35209">
              <w:rPr>
                <w:b/>
                <w:bCs/>
              </w:rPr>
              <w:br/>
            </w:r>
            <w:r w:rsidR="002C64D6" w:rsidRPr="00C35209">
              <w:rPr>
                <w:b/>
                <w:bCs/>
              </w:rPr>
              <w:t>Judith Wright</w:t>
            </w:r>
          </w:p>
          <w:p w14:paraId="2FC472CA" w14:textId="77777777" w:rsidR="002C64D6" w:rsidRPr="00C35209" w:rsidRDefault="002C64D6" w:rsidP="00351B1C">
            <w:pPr>
              <w:shd w:val="clear" w:color="auto" w:fill="auto"/>
              <w:spacing w:after="0"/>
              <w:jc w:val="center"/>
              <w:rPr>
                <w:b/>
                <w:bCs/>
              </w:rPr>
            </w:pPr>
            <w:r w:rsidRPr="00C35209">
              <w:rPr>
                <w:b/>
                <w:bCs/>
              </w:rPr>
              <w:t>Chairperson</w:t>
            </w:r>
          </w:p>
          <w:p w14:paraId="5B72B62A" w14:textId="405FA186" w:rsidR="00BD0F3A" w:rsidRPr="00FD3FCB" w:rsidRDefault="00BD0F3A" w:rsidP="00351B1C">
            <w:pPr>
              <w:shd w:val="clear" w:color="auto" w:fill="auto"/>
              <w:spacing w:after="0"/>
              <w:jc w:val="center"/>
              <w:rPr>
                <w:b/>
                <w:bCs/>
              </w:rPr>
            </w:pPr>
            <w:r w:rsidRPr="00C35209">
              <w:rPr>
                <w:b/>
                <w:bCs/>
              </w:rPr>
              <w:t>Pharmaceutical Benefits Remuneration Tribunal</w:t>
            </w:r>
            <w:r w:rsidRPr="00FD3FCB">
              <w:rPr>
                <w:b/>
                <w:bCs/>
              </w:rPr>
              <w:t xml:space="preserve"> </w:t>
            </w:r>
          </w:p>
        </w:tc>
      </w:tr>
    </w:tbl>
    <w:p w14:paraId="7208FE5F" w14:textId="77777777" w:rsidR="00552B62" w:rsidRPr="006332FD" w:rsidRDefault="00552B62" w:rsidP="00351B1C">
      <w:pPr>
        <w:shd w:val="clear" w:color="auto" w:fill="auto"/>
        <w:spacing w:after="10"/>
        <w:jc w:val="center"/>
      </w:pPr>
    </w:p>
    <w:sectPr w:rsidR="00552B62" w:rsidRPr="006332FD" w:rsidSect="00AF3484">
      <w:headerReference w:type="even" r:id="rId10"/>
      <w:headerReference w:type="default" r:id="rId11"/>
      <w:footerReference w:type="even" r:id="rId12"/>
      <w:footerReference w:type="default" r:id="rId13"/>
      <w:headerReference w:type="first" r:id="rId14"/>
      <w:footerReference w:type="first" r:id="rId15"/>
      <w:pgSz w:w="12240" w:h="15840"/>
      <w:pgMar w:top="993" w:right="1467"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A968" w14:textId="77777777" w:rsidR="007E1DDD" w:rsidRDefault="007E1DDD" w:rsidP="0002055D">
      <w:r>
        <w:separator/>
      </w:r>
    </w:p>
  </w:endnote>
  <w:endnote w:type="continuationSeparator" w:id="0">
    <w:p w14:paraId="57751E75" w14:textId="77777777" w:rsidR="007E1DDD" w:rsidRDefault="007E1DDD" w:rsidP="0002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New Roman,Bold">
    <w:altName w:val="Times New Roman"/>
    <w:panose1 w:val="00000000000000000000"/>
    <w:charset w:val="00"/>
    <w:family w:val="swiss"/>
    <w:notTrueType/>
    <w:pitch w:val="default"/>
    <w:sig w:usb0="00000003" w:usb1="00000000" w:usb2="00000000" w:usb3="00000000" w:csb0="00000001"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B480" w14:textId="77777777" w:rsidR="00351B1C" w:rsidRDefault="00351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97" w14:textId="77777777" w:rsidR="00351B1C" w:rsidRDefault="00351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29CC" w14:textId="77777777" w:rsidR="00351B1C" w:rsidRDefault="0035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51F00" w14:textId="77777777" w:rsidR="007E1DDD" w:rsidRDefault="007E1DDD" w:rsidP="0002055D">
      <w:r>
        <w:separator/>
      </w:r>
    </w:p>
  </w:footnote>
  <w:footnote w:type="continuationSeparator" w:id="0">
    <w:p w14:paraId="512FF381" w14:textId="77777777" w:rsidR="007E1DDD" w:rsidRDefault="007E1DDD" w:rsidP="0002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D2FA" w14:textId="17EBD88C" w:rsidR="00351B1C" w:rsidRDefault="00351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0E4" w14:textId="4DDF20F1" w:rsidR="009831B1" w:rsidRDefault="009831B1" w:rsidP="00020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1AE7" w14:textId="508EF8CE" w:rsidR="00351B1C" w:rsidRDefault="0035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01893"/>
    <w:multiLevelType w:val="hybridMultilevel"/>
    <w:tmpl w:val="BD1C5E36"/>
    <w:lvl w:ilvl="0" w:tplc="0C090001">
      <w:start w:val="1"/>
      <w:numFmt w:val="bullet"/>
      <w:lvlText w:val=""/>
      <w:lvlJc w:val="left"/>
      <w:pPr>
        <w:ind w:left="720" w:hanging="360"/>
      </w:pPr>
      <w:rPr>
        <w:rFonts w:ascii="Symbol" w:hAnsi="Symbol" w:hint="default"/>
      </w:rPr>
    </w:lvl>
    <w:lvl w:ilvl="1" w:tplc="AC28F31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BA143FF"/>
    <w:multiLevelType w:val="hybridMultilevel"/>
    <w:tmpl w:val="9FA8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90ED7"/>
    <w:multiLevelType w:val="hybridMultilevel"/>
    <w:tmpl w:val="0B6CA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D66788"/>
    <w:multiLevelType w:val="hybridMultilevel"/>
    <w:tmpl w:val="35B2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148608">
    <w:abstractNumId w:val="1"/>
  </w:num>
  <w:num w:numId="2" w16cid:durableId="1777941759">
    <w:abstractNumId w:val="3"/>
  </w:num>
  <w:num w:numId="3" w16cid:durableId="1320114540">
    <w:abstractNumId w:val="2"/>
  </w:num>
  <w:num w:numId="4" w16cid:durableId="499924859">
    <w:abstractNumId w:val="0"/>
  </w:num>
  <w:num w:numId="5" w16cid:durableId="16762262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0A82"/>
    <w:rsid w:val="00002490"/>
    <w:rsid w:val="00002923"/>
    <w:rsid w:val="00006B0E"/>
    <w:rsid w:val="00006BF2"/>
    <w:rsid w:val="000074A4"/>
    <w:rsid w:val="00007531"/>
    <w:rsid w:val="00007DBA"/>
    <w:rsid w:val="00007E3C"/>
    <w:rsid w:val="0001341E"/>
    <w:rsid w:val="00013730"/>
    <w:rsid w:val="00014624"/>
    <w:rsid w:val="0001502D"/>
    <w:rsid w:val="00015348"/>
    <w:rsid w:val="0002055D"/>
    <w:rsid w:val="00021025"/>
    <w:rsid w:val="00021320"/>
    <w:rsid w:val="00022325"/>
    <w:rsid w:val="000224E7"/>
    <w:rsid w:val="0002369F"/>
    <w:rsid w:val="00023850"/>
    <w:rsid w:val="00024185"/>
    <w:rsid w:val="00024A8D"/>
    <w:rsid w:val="00024ABA"/>
    <w:rsid w:val="00024F77"/>
    <w:rsid w:val="00025D4A"/>
    <w:rsid w:val="0002658E"/>
    <w:rsid w:val="00031E57"/>
    <w:rsid w:val="000330AE"/>
    <w:rsid w:val="00033833"/>
    <w:rsid w:val="000363D9"/>
    <w:rsid w:val="00043B94"/>
    <w:rsid w:val="00044712"/>
    <w:rsid w:val="00044C52"/>
    <w:rsid w:val="000452FE"/>
    <w:rsid w:val="000465AC"/>
    <w:rsid w:val="000479B7"/>
    <w:rsid w:val="000501AD"/>
    <w:rsid w:val="00051A85"/>
    <w:rsid w:val="00051B73"/>
    <w:rsid w:val="00056846"/>
    <w:rsid w:val="00056CD9"/>
    <w:rsid w:val="00056E22"/>
    <w:rsid w:val="00057889"/>
    <w:rsid w:val="00060C1D"/>
    <w:rsid w:val="00064A4E"/>
    <w:rsid w:val="00065813"/>
    <w:rsid w:val="00065A2E"/>
    <w:rsid w:val="00066B9C"/>
    <w:rsid w:val="000673A5"/>
    <w:rsid w:val="0006794F"/>
    <w:rsid w:val="00070870"/>
    <w:rsid w:val="00071DEC"/>
    <w:rsid w:val="00076AD9"/>
    <w:rsid w:val="00080173"/>
    <w:rsid w:val="0008046A"/>
    <w:rsid w:val="00080651"/>
    <w:rsid w:val="00080B98"/>
    <w:rsid w:val="00083E6D"/>
    <w:rsid w:val="000849B2"/>
    <w:rsid w:val="00085C68"/>
    <w:rsid w:val="00090E78"/>
    <w:rsid w:val="00091D3C"/>
    <w:rsid w:val="000957D8"/>
    <w:rsid w:val="00096BEB"/>
    <w:rsid w:val="00096D8A"/>
    <w:rsid w:val="000975DD"/>
    <w:rsid w:val="00097670"/>
    <w:rsid w:val="000A159D"/>
    <w:rsid w:val="000A1F20"/>
    <w:rsid w:val="000A1F95"/>
    <w:rsid w:val="000A3509"/>
    <w:rsid w:val="000A48B1"/>
    <w:rsid w:val="000A5311"/>
    <w:rsid w:val="000A5898"/>
    <w:rsid w:val="000A5C70"/>
    <w:rsid w:val="000A653B"/>
    <w:rsid w:val="000A75FA"/>
    <w:rsid w:val="000A7AEB"/>
    <w:rsid w:val="000B007A"/>
    <w:rsid w:val="000B1FF5"/>
    <w:rsid w:val="000B4892"/>
    <w:rsid w:val="000B4B48"/>
    <w:rsid w:val="000B4C96"/>
    <w:rsid w:val="000B6404"/>
    <w:rsid w:val="000B7A04"/>
    <w:rsid w:val="000B7B1B"/>
    <w:rsid w:val="000C0966"/>
    <w:rsid w:val="000C0E46"/>
    <w:rsid w:val="000C372B"/>
    <w:rsid w:val="000C451A"/>
    <w:rsid w:val="000C4D15"/>
    <w:rsid w:val="000C5EBE"/>
    <w:rsid w:val="000C6F17"/>
    <w:rsid w:val="000D1142"/>
    <w:rsid w:val="000D20D1"/>
    <w:rsid w:val="000D2768"/>
    <w:rsid w:val="000D581F"/>
    <w:rsid w:val="000D7D5C"/>
    <w:rsid w:val="000E0767"/>
    <w:rsid w:val="000E0F3E"/>
    <w:rsid w:val="000E136C"/>
    <w:rsid w:val="000E33B7"/>
    <w:rsid w:val="000E47B7"/>
    <w:rsid w:val="000E4AF2"/>
    <w:rsid w:val="000E6491"/>
    <w:rsid w:val="000F0EB4"/>
    <w:rsid w:val="000F125A"/>
    <w:rsid w:val="000F1E7A"/>
    <w:rsid w:val="000F24D4"/>
    <w:rsid w:val="000F3CBF"/>
    <w:rsid w:val="000F43D6"/>
    <w:rsid w:val="000F6C0C"/>
    <w:rsid w:val="000F7BB7"/>
    <w:rsid w:val="000F7FAE"/>
    <w:rsid w:val="00100D17"/>
    <w:rsid w:val="0010225E"/>
    <w:rsid w:val="00103E85"/>
    <w:rsid w:val="0010457D"/>
    <w:rsid w:val="00105092"/>
    <w:rsid w:val="001052FA"/>
    <w:rsid w:val="001055ED"/>
    <w:rsid w:val="00106DA7"/>
    <w:rsid w:val="00112117"/>
    <w:rsid w:val="00112665"/>
    <w:rsid w:val="0011517A"/>
    <w:rsid w:val="0011570F"/>
    <w:rsid w:val="00115DFD"/>
    <w:rsid w:val="00116D03"/>
    <w:rsid w:val="00117558"/>
    <w:rsid w:val="0011759D"/>
    <w:rsid w:val="00120AF6"/>
    <w:rsid w:val="00121AE5"/>
    <w:rsid w:val="00130A9A"/>
    <w:rsid w:val="00132CEB"/>
    <w:rsid w:val="00132F8E"/>
    <w:rsid w:val="00132FDB"/>
    <w:rsid w:val="0013374C"/>
    <w:rsid w:val="00135E17"/>
    <w:rsid w:val="00136991"/>
    <w:rsid w:val="001378D0"/>
    <w:rsid w:val="00137DAF"/>
    <w:rsid w:val="00140238"/>
    <w:rsid w:val="00141454"/>
    <w:rsid w:val="00141F15"/>
    <w:rsid w:val="001433C2"/>
    <w:rsid w:val="001435B0"/>
    <w:rsid w:val="00145A55"/>
    <w:rsid w:val="00145B3A"/>
    <w:rsid w:val="001468C4"/>
    <w:rsid w:val="00146C11"/>
    <w:rsid w:val="00147054"/>
    <w:rsid w:val="001503D3"/>
    <w:rsid w:val="001521B9"/>
    <w:rsid w:val="00154269"/>
    <w:rsid w:val="00156F53"/>
    <w:rsid w:val="0016219B"/>
    <w:rsid w:val="00162BF2"/>
    <w:rsid w:val="001633C7"/>
    <w:rsid w:val="00163F6E"/>
    <w:rsid w:val="00164BBC"/>
    <w:rsid w:val="0016610A"/>
    <w:rsid w:val="00166EBC"/>
    <w:rsid w:val="00167217"/>
    <w:rsid w:val="00167D27"/>
    <w:rsid w:val="00170141"/>
    <w:rsid w:val="00170388"/>
    <w:rsid w:val="00171833"/>
    <w:rsid w:val="001722AD"/>
    <w:rsid w:val="00174593"/>
    <w:rsid w:val="00174AC8"/>
    <w:rsid w:val="00177324"/>
    <w:rsid w:val="00180650"/>
    <w:rsid w:val="00180E39"/>
    <w:rsid w:val="00181414"/>
    <w:rsid w:val="001815C9"/>
    <w:rsid w:val="00181AEB"/>
    <w:rsid w:val="00182342"/>
    <w:rsid w:val="0018376E"/>
    <w:rsid w:val="0018438E"/>
    <w:rsid w:val="00184D47"/>
    <w:rsid w:val="00186BD5"/>
    <w:rsid w:val="0018769E"/>
    <w:rsid w:val="00191923"/>
    <w:rsid w:val="001926E4"/>
    <w:rsid w:val="00193178"/>
    <w:rsid w:val="0019340E"/>
    <w:rsid w:val="00194F13"/>
    <w:rsid w:val="0019636F"/>
    <w:rsid w:val="0019728A"/>
    <w:rsid w:val="00197B2E"/>
    <w:rsid w:val="001A0959"/>
    <w:rsid w:val="001A2095"/>
    <w:rsid w:val="001A29AB"/>
    <w:rsid w:val="001A2E2C"/>
    <w:rsid w:val="001A451D"/>
    <w:rsid w:val="001A4AE4"/>
    <w:rsid w:val="001A4D84"/>
    <w:rsid w:val="001A5268"/>
    <w:rsid w:val="001A6844"/>
    <w:rsid w:val="001A6AC6"/>
    <w:rsid w:val="001A72CF"/>
    <w:rsid w:val="001B10C5"/>
    <w:rsid w:val="001B1186"/>
    <w:rsid w:val="001B16FE"/>
    <w:rsid w:val="001B1D59"/>
    <w:rsid w:val="001B2EBA"/>
    <w:rsid w:val="001B35D2"/>
    <w:rsid w:val="001B3624"/>
    <w:rsid w:val="001B5931"/>
    <w:rsid w:val="001B6FF6"/>
    <w:rsid w:val="001C06C1"/>
    <w:rsid w:val="001C23BC"/>
    <w:rsid w:val="001C2B4D"/>
    <w:rsid w:val="001C3F3E"/>
    <w:rsid w:val="001C4583"/>
    <w:rsid w:val="001C4CC9"/>
    <w:rsid w:val="001C4CE2"/>
    <w:rsid w:val="001C4DDE"/>
    <w:rsid w:val="001D011E"/>
    <w:rsid w:val="001D55A6"/>
    <w:rsid w:val="001D6EC6"/>
    <w:rsid w:val="001D7943"/>
    <w:rsid w:val="001E11D4"/>
    <w:rsid w:val="001E23AA"/>
    <w:rsid w:val="001E512E"/>
    <w:rsid w:val="001E7CB8"/>
    <w:rsid w:val="001F10B9"/>
    <w:rsid w:val="001F1705"/>
    <w:rsid w:val="001F31AA"/>
    <w:rsid w:val="001F3542"/>
    <w:rsid w:val="001F405D"/>
    <w:rsid w:val="001F6E15"/>
    <w:rsid w:val="00200846"/>
    <w:rsid w:val="00201C59"/>
    <w:rsid w:val="00201DF8"/>
    <w:rsid w:val="00203631"/>
    <w:rsid w:val="00205A00"/>
    <w:rsid w:val="00206BD8"/>
    <w:rsid w:val="0020701F"/>
    <w:rsid w:val="002072D5"/>
    <w:rsid w:val="00207829"/>
    <w:rsid w:val="002078D1"/>
    <w:rsid w:val="00211D5D"/>
    <w:rsid w:val="00212853"/>
    <w:rsid w:val="0021299D"/>
    <w:rsid w:val="00214DEB"/>
    <w:rsid w:val="002157D3"/>
    <w:rsid w:val="002178E3"/>
    <w:rsid w:val="00220175"/>
    <w:rsid w:val="002201EA"/>
    <w:rsid w:val="0022056B"/>
    <w:rsid w:val="00222A2D"/>
    <w:rsid w:val="00224113"/>
    <w:rsid w:val="002249E2"/>
    <w:rsid w:val="00225B8F"/>
    <w:rsid w:val="002269A6"/>
    <w:rsid w:val="00230EBC"/>
    <w:rsid w:val="00231814"/>
    <w:rsid w:val="00232545"/>
    <w:rsid w:val="00232665"/>
    <w:rsid w:val="00232E22"/>
    <w:rsid w:val="00233EC4"/>
    <w:rsid w:val="00234C67"/>
    <w:rsid w:val="00236BB3"/>
    <w:rsid w:val="00237112"/>
    <w:rsid w:val="002409A0"/>
    <w:rsid w:val="00241A46"/>
    <w:rsid w:val="00242958"/>
    <w:rsid w:val="00243DE7"/>
    <w:rsid w:val="00247BDC"/>
    <w:rsid w:val="00247EE6"/>
    <w:rsid w:val="00250600"/>
    <w:rsid w:val="00250EB0"/>
    <w:rsid w:val="00251485"/>
    <w:rsid w:val="00254F50"/>
    <w:rsid w:val="00256F75"/>
    <w:rsid w:val="002574A0"/>
    <w:rsid w:val="00257AAF"/>
    <w:rsid w:val="00257B2A"/>
    <w:rsid w:val="00260508"/>
    <w:rsid w:val="002606FF"/>
    <w:rsid w:val="00261D15"/>
    <w:rsid w:val="00262A75"/>
    <w:rsid w:val="0026383A"/>
    <w:rsid w:val="002651E2"/>
    <w:rsid w:val="002655EC"/>
    <w:rsid w:val="00270D65"/>
    <w:rsid w:val="00271E4C"/>
    <w:rsid w:val="00272C84"/>
    <w:rsid w:val="002739D7"/>
    <w:rsid w:val="00273B41"/>
    <w:rsid w:val="0027587A"/>
    <w:rsid w:val="00275FED"/>
    <w:rsid w:val="002767E2"/>
    <w:rsid w:val="00276D60"/>
    <w:rsid w:val="00277EDA"/>
    <w:rsid w:val="00280A0E"/>
    <w:rsid w:val="00281BD5"/>
    <w:rsid w:val="0028291E"/>
    <w:rsid w:val="00284B7C"/>
    <w:rsid w:val="00284CB2"/>
    <w:rsid w:val="002851DF"/>
    <w:rsid w:val="002865FB"/>
    <w:rsid w:val="00290231"/>
    <w:rsid w:val="00290C5E"/>
    <w:rsid w:val="002936BD"/>
    <w:rsid w:val="00294280"/>
    <w:rsid w:val="00295D62"/>
    <w:rsid w:val="00295FF6"/>
    <w:rsid w:val="002965D1"/>
    <w:rsid w:val="00296E42"/>
    <w:rsid w:val="002976A2"/>
    <w:rsid w:val="00297728"/>
    <w:rsid w:val="002A09C1"/>
    <w:rsid w:val="002A13D3"/>
    <w:rsid w:val="002A1704"/>
    <w:rsid w:val="002A2541"/>
    <w:rsid w:val="002A4A26"/>
    <w:rsid w:val="002A6D39"/>
    <w:rsid w:val="002A6D3D"/>
    <w:rsid w:val="002B0B4C"/>
    <w:rsid w:val="002B2C27"/>
    <w:rsid w:val="002B3732"/>
    <w:rsid w:val="002B3FB9"/>
    <w:rsid w:val="002B551C"/>
    <w:rsid w:val="002C0482"/>
    <w:rsid w:val="002C0C63"/>
    <w:rsid w:val="002C0CA8"/>
    <w:rsid w:val="002C13D4"/>
    <w:rsid w:val="002C1F8F"/>
    <w:rsid w:val="002C231C"/>
    <w:rsid w:val="002C345C"/>
    <w:rsid w:val="002C64D6"/>
    <w:rsid w:val="002C64F7"/>
    <w:rsid w:val="002C741D"/>
    <w:rsid w:val="002C7924"/>
    <w:rsid w:val="002D05BB"/>
    <w:rsid w:val="002D0DC0"/>
    <w:rsid w:val="002D2261"/>
    <w:rsid w:val="002D7F45"/>
    <w:rsid w:val="002E07D8"/>
    <w:rsid w:val="002E0F3B"/>
    <w:rsid w:val="002E3F9D"/>
    <w:rsid w:val="002E4205"/>
    <w:rsid w:val="002E492C"/>
    <w:rsid w:val="002E607E"/>
    <w:rsid w:val="002E6137"/>
    <w:rsid w:val="002E7A84"/>
    <w:rsid w:val="002E7E12"/>
    <w:rsid w:val="002F74E7"/>
    <w:rsid w:val="002F7FD6"/>
    <w:rsid w:val="003016C7"/>
    <w:rsid w:val="00301D4A"/>
    <w:rsid w:val="00302AC2"/>
    <w:rsid w:val="003033A7"/>
    <w:rsid w:val="00304040"/>
    <w:rsid w:val="003046E4"/>
    <w:rsid w:val="003077E3"/>
    <w:rsid w:val="00310A63"/>
    <w:rsid w:val="00310AF0"/>
    <w:rsid w:val="00316AE9"/>
    <w:rsid w:val="003171BC"/>
    <w:rsid w:val="0031769F"/>
    <w:rsid w:val="00320897"/>
    <w:rsid w:val="003244F1"/>
    <w:rsid w:val="00325344"/>
    <w:rsid w:val="003273E1"/>
    <w:rsid w:val="00330E0A"/>
    <w:rsid w:val="00330FF0"/>
    <w:rsid w:val="00332B51"/>
    <w:rsid w:val="00332F74"/>
    <w:rsid w:val="00333230"/>
    <w:rsid w:val="00334934"/>
    <w:rsid w:val="003354E6"/>
    <w:rsid w:val="00336985"/>
    <w:rsid w:val="00337A53"/>
    <w:rsid w:val="00337BC1"/>
    <w:rsid w:val="00342EB3"/>
    <w:rsid w:val="003458A0"/>
    <w:rsid w:val="0034609D"/>
    <w:rsid w:val="00346206"/>
    <w:rsid w:val="00346722"/>
    <w:rsid w:val="00346C7B"/>
    <w:rsid w:val="00347719"/>
    <w:rsid w:val="00347930"/>
    <w:rsid w:val="00347BF1"/>
    <w:rsid w:val="00350B71"/>
    <w:rsid w:val="00351B1C"/>
    <w:rsid w:val="00352483"/>
    <w:rsid w:val="00352766"/>
    <w:rsid w:val="00354185"/>
    <w:rsid w:val="003557D3"/>
    <w:rsid w:val="00356882"/>
    <w:rsid w:val="003574A7"/>
    <w:rsid w:val="003602B2"/>
    <w:rsid w:val="0036089C"/>
    <w:rsid w:val="0036113A"/>
    <w:rsid w:val="003620C7"/>
    <w:rsid w:val="00362D14"/>
    <w:rsid w:val="00364719"/>
    <w:rsid w:val="0036524C"/>
    <w:rsid w:val="00366BE7"/>
    <w:rsid w:val="00372969"/>
    <w:rsid w:val="00372B60"/>
    <w:rsid w:val="00374D80"/>
    <w:rsid w:val="00375DA9"/>
    <w:rsid w:val="00380307"/>
    <w:rsid w:val="00387C04"/>
    <w:rsid w:val="003914C3"/>
    <w:rsid w:val="003918CA"/>
    <w:rsid w:val="00395997"/>
    <w:rsid w:val="00396608"/>
    <w:rsid w:val="00397A60"/>
    <w:rsid w:val="003A2CD6"/>
    <w:rsid w:val="003A7243"/>
    <w:rsid w:val="003A7515"/>
    <w:rsid w:val="003B1491"/>
    <w:rsid w:val="003B31BB"/>
    <w:rsid w:val="003B66CA"/>
    <w:rsid w:val="003C1350"/>
    <w:rsid w:val="003C140E"/>
    <w:rsid w:val="003C1EF7"/>
    <w:rsid w:val="003C2244"/>
    <w:rsid w:val="003C3481"/>
    <w:rsid w:val="003C3EF4"/>
    <w:rsid w:val="003C575A"/>
    <w:rsid w:val="003C6548"/>
    <w:rsid w:val="003C70AD"/>
    <w:rsid w:val="003C7A88"/>
    <w:rsid w:val="003D1F55"/>
    <w:rsid w:val="003D2531"/>
    <w:rsid w:val="003D25AD"/>
    <w:rsid w:val="003D4A0A"/>
    <w:rsid w:val="003D613E"/>
    <w:rsid w:val="003D7206"/>
    <w:rsid w:val="003E0567"/>
    <w:rsid w:val="003E0E4F"/>
    <w:rsid w:val="003E1FD4"/>
    <w:rsid w:val="003E2FD3"/>
    <w:rsid w:val="003E4821"/>
    <w:rsid w:val="003E63E8"/>
    <w:rsid w:val="003E7471"/>
    <w:rsid w:val="003F1EB1"/>
    <w:rsid w:val="003F211C"/>
    <w:rsid w:val="003F3C86"/>
    <w:rsid w:val="003F6824"/>
    <w:rsid w:val="003F781E"/>
    <w:rsid w:val="004008C0"/>
    <w:rsid w:val="00400E5F"/>
    <w:rsid w:val="00402E4F"/>
    <w:rsid w:val="00405061"/>
    <w:rsid w:val="00406081"/>
    <w:rsid w:val="00407951"/>
    <w:rsid w:val="004104A6"/>
    <w:rsid w:val="00410C91"/>
    <w:rsid w:val="0041135B"/>
    <w:rsid w:val="00413195"/>
    <w:rsid w:val="004154ED"/>
    <w:rsid w:val="00417376"/>
    <w:rsid w:val="00417D94"/>
    <w:rsid w:val="00417DB6"/>
    <w:rsid w:val="00420BD5"/>
    <w:rsid w:val="00423E1E"/>
    <w:rsid w:val="004248B4"/>
    <w:rsid w:val="0043039E"/>
    <w:rsid w:val="00431525"/>
    <w:rsid w:val="00431B2D"/>
    <w:rsid w:val="0043241B"/>
    <w:rsid w:val="00432C75"/>
    <w:rsid w:val="00433D7E"/>
    <w:rsid w:val="00434139"/>
    <w:rsid w:val="00434DB7"/>
    <w:rsid w:val="0043577E"/>
    <w:rsid w:val="00437BC0"/>
    <w:rsid w:val="004424E0"/>
    <w:rsid w:val="00442EC2"/>
    <w:rsid w:val="0044305B"/>
    <w:rsid w:val="00443151"/>
    <w:rsid w:val="004443A4"/>
    <w:rsid w:val="00445A30"/>
    <w:rsid w:val="00445F28"/>
    <w:rsid w:val="00446D37"/>
    <w:rsid w:val="00446F3A"/>
    <w:rsid w:val="00447628"/>
    <w:rsid w:val="004476B3"/>
    <w:rsid w:val="004514D6"/>
    <w:rsid w:val="004538EC"/>
    <w:rsid w:val="00453C26"/>
    <w:rsid w:val="004542DC"/>
    <w:rsid w:val="00455DD8"/>
    <w:rsid w:val="00456594"/>
    <w:rsid w:val="004565E6"/>
    <w:rsid w:val="00456E97"/>
    <w:rsid w:val="00460B60"/>
    <w:rsid w:val="00461277"/>
    <w:rsid w:val="00461F45"/>
    <w:rsid w:val="004640FF"/>
    <w:rsid w:val="004641F5"/>
    <w:rsid w:val="00464410"/>
    <w:rsid w:val="00464975"/>
    <w:rsid w:val="00464E95"/>
    <w:rsid w:val="00465214"/>
    <w:rsid w:val="00466AC7"/>
    <w:rsid w:val="00466FD1"/>
    <w:rsid w:val="00467398"/>
    <w:rsid w:val="0046761D"/>
    <w:rsid w:val="00467E86"/>
    <w:rsid w:val="00470E09"/>
    <w:rsid w:val="00472EEC"/>
    <w:rsid w:val="0047300F"/>
    <w:rsid w:val="00475E4E"/>
    <w:rsid w:val="00476627"/>
    <w:rsid w:val="00476E38"/>
    <w:rsid w:val="00482366"/>
    <w:rsid w:val="004835C6"/>
    <w:rsid w:val="004938B1"/>
    <w:rsid w:val="00494038"/>
    <w:rsid w:val="00494720"/>
    <w:rsid w:val="0049520E"/>
    <w:rsid w:val="004963E1"/>
    <w:rsid w:val="00496593"/>
    <w:rsid w:val="00496CEC"/>
    <w:rsid w:val="004A140D"/>
    <w:rsid w:val="004A1496"/>
    <w:rsid w:val="004A1858"/>
    <w:rsid w:val="004A1D69"/>
    <w:rsid w:val="004A366F"/>
    <w:rsid w:val="004A39B4"/>
    <w:rsid w:val="004A6523"/>
    <w:rsid w:val="004A6754"/>
    <w:rsid w:val="004A7B68"/>
    <w:rsid w:val="004B2436"/>
    <w:rsid w:val="004B3101"/>
    <w:rsid w:val="004B3314"/>
    <w:rsid w:val="004B4C71"/>
    <w:rsid w:val="004B4EB8"/>
    <w:rsid w:val="004B5A3F"/>
    <w:rsid w:val="004B5D5C"/>
    <w:rsid w:val="004B7380"/>
    <w:rsid w:val="004C0B9D"/>
    <w:rsid w:val="004C197C"/>
    <w:rsid w:val="004C24E0"/>
    <w:rsid w:val="004C2659"/>
    <w:rsid w:val="004C2970"/>
    <w:rsid w:val="004C2BD9"/>
    <w:rsid w:val="004C2CE6"/>
    <w:rsid w:val="004C304B"/>
    <w:rsid w:val="004C343C"/>
    <w:rsid w:val="004C3904"/>
    <w:rsid w:val="004C58CE"/>
    <w:rsid w:val="004C67A8"/>
    <w:rsid w:val="004C79E8"/>
    <w:rsid w:val="004C7A40"/>
    <w:rsid w:val="004C7EA0"/>
    <w:rsid w:val="004C7EE3"/>
    <w:rsid w:val="004D041F"/>
    <w:rsid w:val="004D05E2"/>
    <w:rsid w:val="004D220C"/>
    <w:rsid w:val="004D2CF9"/>
    <w:rsid w:val="004D68AB"/>
    <w:rsid w:val="004D7D3D"/>
    <w:rsid w:val="004E0E81"/>
    <w:rsid w:val="004E16D0"/>
    <w:rsid w:val="004E1C37"/>
    <w:rsid w:val="004E1F4B"/>
    <w:rsid w:val="004E29CE"/>
    <w:rsid w:val="004E3598"/>
    <w:rsid w:val="004E6263"/>
    <w:rsid w:val="004E62A5"/>
    <w:rsid w:val="004E7369"/>
    <w:rsid w:val="004F051D"/>
    <w:rsid w:val="004F1207"/>
    <w:rsid w:val="004F2D91"/>
    <w:rsid w:val="004F43AE"/>
    <w:rsid w:val="004F4936"/>
    <w:rsid w:val="004F55B5"/>
    <w:rsid w:val="005011E1"/>
    <w:rsid w:val="005017FA"/>
    <w:rsid w:val="005019BE"/>
    <w:rsid w:val="005020BA"/>
    <w:rsid w:val="00503054"/>
    <w:rsid w:val="00503855"/>
    <w:rsid w:val="00504865"/>
    <w:rsid w:val="00504CE2"/>
    <w:rsid w:val="00505634"/>
    <w:rsid w:val="00505918"/>
    <w:rsid w:val="00510A1E"/>
    <w:rsid w:val="00510CDC"/>
    <w:rsid w:val="00510E8B"/>
    <w:rsid w:val="005127F6"/>
    <w:rsid w:val="00514F8F"/>
    <w:rsid w:val="005161B5"/>
    <w:rsid w:val="00521747"/>
    <w:rsid w:val="00524080"/>
    <w:rsid w:val="00524A41"/>
    <w:rsid w:val="005276F3"/>
    <w:rsid w:val="00530992"/>
    <w:rsid w:val="0053378B"/>
    <w:rsid w:val="00533857"/>
    <w:rsid w:val="00533AB5"/>
    <w:rsid w:val="0053586F"/>
    <w:rsid w:val="005366B9"/>
    <w:rsid w:val="00536C80"/>
    <w:rsid w:val="0053724E"/>
    <w:rsid w:val="00537796"/>
    <w:rsid w:val="0054062A"/>
    <w:rsid w:val="0054097D"/>
    <w:rsid w:val="0054201E"/>
    <w:rsid w:val="00542EA8"/>
    <w:rsid w:val="00544E73"/>
    <w:rsid w:val="00544FAF"/>
    <w:rsid w:val="00544FFF"/>
    <w:rsid w:val="00545E7B"/>
    <w:rsid w:val="00547A8A"/>
    <w:rsid w:val="0055053E"/>
    <w:rsid w:val="00550F79"/>
    <w:rsid w:val="00552B62"/>
    <w:rsid w:val="00552C0E"/>
    <w:rsid w:val="00553997"/>
    <w:rsid w:val="00554A63"/>
    <w:rsid w:val="00555BE4"/>
    <w:rsid w:val="00556C71"/>
    <w:rsid w:val="00557FDD"/>
    <w:rsid w:val="00560FCA"/>
    <w:rsid w:val="005621E9"/>
    <w:rsid w:val="0056258C"/>
    <w:rsid w:val="0056385F"/>
    <w:rsid w:val="00564962"/>
    <w:rsid w:val="0056626F"/>
    <w:rsid w:val="00567C80"/>
    <w:rsid w:val="005719F8"/>
    <w:rsid w:val="005743BD"/>
    <w:rsid w:val="0057533B"/>
    <w:rsid w:val="00575FF3"/>
    <w:rsid w:val="00577B9B"/>
    <w:rsid w:val="00577D38"/>
    <w:rsid w:val="00580EDD"/>
    <w:rsid w:val="0058192D"/>
    <w:rsid w:val="00581DE2"/>
    <w:rsid w:val="00585C9A"/>
    <w:rsid w:val="005866C0"/>
    <w:rsid w:val="005871A3"/>
    <w:rsid w:val="00590C1F"/>
    <w:rsid w:val="00591F69"/>
    <w:rsid w:val="00591FD9"/>
    <w:rsid w:val="005924F9"/>
    <w:rsid w:val="005965BA"/>
    <w:rsid w:val="005975ED"/>
    <w:rsid w:val="005A14E8"/>
    <w:rsid w:val="005A2F11"/>
    <w:rsid w:val="005A2FBA"/>
    <w:rsid w:val="005A3211"/>
    <w:rsid w:val="005A4712"/>
    <w:rsid w:val="005A6AD2"/>
    <w:rsid w:val="005A7C75"/>
    <w:rsid w:val="005B04C2"/>
    <w:rsid w:val="005B13BB"/>
    <w:rsid w:val="005B1967"/>
    <w:rsid w:val="005B258A"/>
    <w:rsid w:val="005B37DA"/>
    <w:rsid w:val="005B395C"/>
    <w:rsid w:val="005B401F"/>
    <w:rsid w:val="005B4398"/>
    <w:rsid w:val="005B5224"/>
    <w:rsid w:val="005C162C"/>
    <w:rsid w:val="005C22A1"/>
    <w:rsid w:val="005C45F3"/>
    <w:rsid w:val="005C4788"/>
    <w:rsid w:val="005C4BA1"/>
    <w:rsid w:val="005C658B"/>
    <w:rsid w:val="005C6DBB"/>
    <w:rsid w:val="005C71AA"/>
    <w:rsid w:val="005C71E7"/>
    <w:rsid w:val="005C784E"/>
    <w:rsid w:val="005C7BC9"/>
    <w:rsid w:val="005D3BE2"/>
    <w:rsid w:val="005D6523"/>
    <w:rsid w:val="005D715D"/>
    <w:rsid w:val="005E07A6"/>
    <w:rsid w:val="005E2F1A"/>
    <w:rsid w:val="005E4359"/>
    <w:rsid w:val="005E51DC"/>
    <w:rsid w:val="005E56F1"/>
    <w:rsid w:val="005E5BCF"/>
    <w:rsid w:val="005F0996"/>
    <w:rsid w:val="005F11DF"/>
    <w:rsid w:val="005F1785"/>
    <w:rsid w:val="005F3EFA"/>
    <w:rsid w:val="005F5451"/>
    <w:rsid w:val="005F67DC"/>
    <w:rsid w:val="00601F2D"/>
    <w:rsid w:val="0060205A"/>
    <w:rsid w:val="00602E39"/>
    <w:rsid w:val="006038E1"/>
    <w:rsid w:val="00604936"/>
    <w:rsid w:val="00606D3C"/>
    <w:rsid w:val="00612444"/>
    <w:rsid w:val="006124E8"/>
    <w:rsid w:val="00612975"/>
    <w:rsid w:val="006141E2"/>
    <w:rsid w:val="00614553"/>
    <w:rsid w:val="00617874"/>
    <w:rsid w:val="0062063D"/>
    <w:rsid w:val="0062171A"/>
    <w:rsid w:val="0062238A"/>
    <w:rsid w:val="00625097"/>
    <w:rsid w:val="006260A0"/>
    <w:rsid w:val="00626A18"/>
    <w:rsid w:val="00626B19"/>
    <w:rsid w:val="00626B5E"/>
    <w:rsid w:val="006305EA"/>
    <w:rsid w:val="0063066A"/>
    <w:rsid w:val="0063072F"/>
    <w:rsid w:val="00630C6D"/>
    <w:rsid w:val="00632C6F"/>
    <w:rsid w:val="00632F69"/>
    <w:rsid w:val="006332FD"/>
    <w:rsid w:val="0063615D"/>
    <w:rsid w:val="006409F6"/>
    <w:rsid w:val="00640B86"/>
    <w:rsid w:val="0064139C"/>
    <w:rsid w:val="00642C0B"/>
    <w:rsid w:val="00642E2B"/>
    <w:rsid w:val="006438B8"/>
    <w:rsid w:val="00645B93"/>
    <w:rsid w:val="006464BA"/>
    <w:rsid w:val="006515D8"/>
    <w:rsid w:val="00652E9C"/>
    <w:rsid w:val="00653201"/>
    <w:rsid w:val="006546EF"/>
    <w:rsid w:val="00655303"/>
    <w:rsid w:val="00660C11"/>
    <w:rsid w:val="0066119A"/>
    <w:rsid w:val="006621FE"/>
    <w:rsid w:val="006629FE"/>
    <w:rsid w:val="00662D25"/>
    <w:rsid w:val="0066340A"/>
    <w:rsid w:val="00663BCC"/>
    <w:rsid w:val="0066490A"/>
    <w:rsid w:val="00664938"/>
    <w:rsid w:val="00665555"/>
    <w:rsid w:val="00666A9B"/>
    <w:rsid w:val="00667301"/>
    <w:rsid w:val="0067071E"/>
    <w:rsid w:val="006723A1"/>
    <w:rsid w:val="006730A6"/>
    <w:rsid w:val="006750CA"/>
    <w:rsid w:val="00677166"/>
    <w:rsid w:val="0067754F"/>
    <w:rsid w:val="006803CE"/>
    <w:rsid w:val="00680998"/>
    <w:rsid w:val="00681A77"/>
    <w:rsid w:val="00683166"/>
    <w:rsid w:val="0068774A"/>
    <w:rsid w:val="006878A8"/>
    <w:rsid w:val="006914E3"/>
    <w:rsid w:val="00692CD8"/>
    <w:rsid w:val="00692E10"/>
    <w:rsid w:val="00694D18"/>
    <w:rsid w:val="006A07B8"/>
    <w:rsid w:val="006A10E7"/>
    <w:rsid w:val="006A16CC"/>
    <w:rsid w:val="006A3647"/>
    <w:rsid w:val="006A4790"/>
    <w:rsid w:val="006A5073"/>
    <w:rsid w:val="006A6193"/>
    <w:rsid w:val="006A6B90"/>
    <w:rsid w:val="006A7A15"/>
    <w:rsid w:val="006A7CC3"/>
    <w:rsid w:val="006B2255"/>
    <w:rsid w:val="006B28E7"/>
    <w:rsid w:val="006B2B2B"/>
    <w:rsid w:val="006B6578"/>
    <w:rsid w:val="006B6C20"/>
    <w:rsid w:val="006B7A41"/>
    <w:rsid w:val="006C1161"/>
    <w:rsid w:val="006C14BE"/>
    <w:rsid w:val="006C1944"/>
    <w:rsid w:val="006C2B3C"/>
    <w:rsid w:val="006C4298"/>
    <w:rsid w:val="006C439F"/>
    <w:rsid w:val="006C453F"/>
    <w:rsid w:val="006C4548"/>
    <w:rsid w:val="006C4603"/>
    <w:rsid w:val="006D0F26"/>
    <w:rsid w:val="006D4F07"/>
    <w:rsid w:val="006D501E"/>
    <w:rsid w:val="006D62E7"/>
    <w:rsid w:val="006D637A"/>
    <w:rsid w:val="006D646C"/>
    <w:rsid w:val="006D69E2"/>
    <w:rsid w:val="006D6C1F"/>
    <w:rsid w:val="006E0BE9"/>
    <w:rsid w:val="006E0F01"/>
    <w:rsid w:val="006E2553"/>
    <w:rsid w:val="006E7412"/>
    <w:rsid w:val="006F11B3"/>
    <w:rsid w:val="006F32A0"/>
    <w:rsid w:val="006F3E7B"/>
    <w:rsid w:val="006F5310"/>
    <w:rsid w:val="006F531B"/>
    <w:rsid w:val="006F5BC7"/>
    <w:rsid w:val="006F6114"/>
    <w:rsid w:val="006F6665"/>
    <w:rsid w:val="006F7888"/>
    <w:rsid w:val="00700799"/>
    <w:rsid w:val="007035DE"/>
    <w:rsid w:val="00703908"/>
    <w:rsid w:val="00707022"/>
    <w:rsid w:val="00712B5F"/>
    <w:rsid w:val="00714B53"/>
    <w:rsid w:val="007174B1"/>
    <w:rsid w:val="007212C0"/>
    <w:rsid w:val="00723685"/>
    <w:rsid w:val="00723C04"/>
    <w:rsid w:val="00723FE2"/>
    <w:rsid w:val="0072500D"/>
    <w:rsid w:val="0072534A"/>
    <w:rsid w:val="00725726"/>
    <w:rsid w:val="0072581D"/>
    <w:rsid w:val="00725EF3"/>
    <w:rsid w:val="0072687B"/>
    <w:rsid w:val="00726E15"/>
    <w:rsid w:val="00727326"/>
    <w:rsid w:val="00731180"/>
    <w:rsid w:val="00732652"/>
    <w:rsid w:val="00740325"/>
    <w:rsid w:val="00740D48"/>
    <w:rsid w:val="007415DF"/>
    <w:rsid w:val="00741792"/>
    <w:rsid w:val="007421C6"/>
    <w:rsid w:val="00742259"/>
    <w:rsid w:val="00743996"/>
    <w:rsid w:val="0074402F"/>
    <w:rsid w:val="007457AB"/>
    <w:rsid w:val="00746780"/>
    <w:rsid w:val="00747B28"/>
    <w:rsid w:val="00752602"/>
    <w:rsid w:val="00752DBB"/>
    <w:rsid w:val="00753377"/>
    <w:rsid w:val="00754940"/>
    <w:rsid w:val="007613C9"/>
    <w:rsid w:val="00761BE9"/>
    <w:rsid w:val="007624B9"/>
    <w:rsid w:val="00763573"/>
    <w:rsid w:val="00764670"/>
    <w:rsid w:val="00765D46"/>
    <w:rsid w:val="00767AB7"/>
    <w:rsid w:val="007704AA"/>
    <w:rsid w:val="00770AC8"/>
    <w:rsid w:val="00770D11"/>
    <w:rsid w:val="007710B7"/>
    <w:rsid w:val="00771905"/>
    <w:rsid w:val="00772A25"/>
    <w:rsid w:val="00772AFA"/>
    <w:rsid w:val="00773FD1"/>
    <w:rsid w:val="00774C97"/>
    <w:rsid w:val="00776027"/>
    <w:rsid w:val="0077720A"/>
    <w:rsid w:val="00780006"/>
    <w:rsid w:val="00780C27"/>
    <w:rsid w:val="007817A5"/>
    <w:rsid w:val="00781883"/>
    <w:rsid w:val="00782532"/>
    <w:rsid w:val="00782811"/>
    <w:rsid w:val="00783DEE"/>
    <w:rsid w:val="0078485E"/>
    <w:rsid w:val="00785334"/>
    <w:rsid w:val="0078620E"/>
    <w:rsid w:val="0078632B"/>
    <w:rsid w:val="007870A0"/>
    <w:rsid w:val="007876F4"/>
    <w:rsid w:val="007925E6"/>
    <w:rsid w:val="00792C34"/>
    <w:rsid w:val="0079391A"/>
    <w:rsid w:val="00794CCE"/>
    <w:rsid w:val="00795080"/>
    <w:rsid w:val="0079561C"/>
    <w:rsid w:val="00795845"/>
    <w:rsid w:val="00795972"/>
    <w:rsid w:val="00796D0B"/>
    <w:rsid w:val="00796DB8"/>
    <w:rsid w:val="00797485"/>
    <w:rsid w:val="007A1831"/>
    <w:rsid w:val="007A1D0E"/>
    <w:rsid w:val="007A3314"/>
    <w:rsid w:val="007A3730"/>
    <w:rsid w:val="007A4CD8"/>
    <w:rsid w:val="007B0651"/>
    <w:rsid w:val="007B1A07"/>
    <w:rsid w:val="007B1DFD"/>
    <w:rsid w:val="007B2C5A"/>
    <w:rsid w:val="007B2FF7"/>
    <w:rsid w:val="007B3AC5"/>
    <w:rsid w:val="007B588E"/>
    <w:rsid w:val="007B5C0E"/>
    <w:rsid w:val="007B5D9D"/>
    <w:rsid w:val="007B62B2"/>
    <w:rsid w:val="007B7931"/>
    <w:rsid w:val="007B7BBA"/>
    <w:rsid w:val="007B7C0B"/>
    <w:rsid w:val="007C169E"/>
    <w:rsid w:val="007C31D9"/>
    <w:rsid w:val="007C3C94"/>
    <w:rsid w:val="007D0881"/>
    <w:rsid w:val="007D1198"/>
    <w:rsid w:val="007D2D34"/>
    <w:rsid w:val="007D339A"/>
    <w:rsid w:val="007D3650"/>
    <w:rsid w:val="007D3B30"/>
    <w:rsid w:val="007D4177"/>
    <w:rsid w:val="007D5F97"/>
    <w:rsid w:val="007D6AE2"/>
    <w:rsid w:val="007D71D6"/>
    <w:rsid w:val="007D78DE"/>
    <w:rsid w:val="007E00A9"/>
    <w:rsid w:val="007E1CA1"/>
    <w:rsid w:val="007E1DDD"/>
    <w:rsid w:val="007E292D"/>
    <w:rsid w:val="007E2BEE"/>
    <w:rsid w:val="007E34E9"/>
    <w:rsid w:val="007E3BA5"/>
    <w:rsid w:val="007E5048"/>
    <w:rsid w:val="007F0BC3"/>
    <w:rsid w:val="007F1138"/>
    <w:rsid w:val="007F1BC1"/>
    <w:rsid w:val="007F417D"/>
    <w:rsid w:val="007F69D3"/>
    <w:rsid w:val="00803D37"/>
    <w:rsid w:val="00803E37"/>
    <w:rsid w:val="008046A9"/>
    <w:rsid w:val="008059A1"/>
    <w:rsid w:val="00805FD7"/>
    <w:rsid w:val="008063F1"/>
    <w:rsid w:val="00811894"/>
    <w:rsid w:val="0081225A"/>
    <w:rsid w:val="00812B8C"/>
    <w:rsid w:val="00812E29"/>
    <w:rsid w:val="0081785A"/>
    <w:rsid w:val="0082008F"/>
    <w:rsid w:val="00823909"/>
    <w:rsid w:val="00824000"/>
    <w:rsid w:val="0082519F"/>
    <w:rsid w:val="0082540D"/>
    <w:rsid w:val="00825793"/>
    <w:rsid w:val="00825E95"/>
    <w:rsid w:val="00826462"/>
    <w:rsid w:val="00826624"/>
    <w:rsid w:val="00826695"/>
    <w:rsid w:val="0082682C"/>
    <w:rsid w:val="00827829"/>
    <w:rsid w:val="0083034B"/>
    <w:rsid w:val="00831DCE"/>
    <w:rsid w:val="008348BE"/>
    <w:rsid w:val="00835516"/>
    <w:rsid w:val="008355FB"/>
    <w:rsid w:val="00836298"/>
    <w:rsid w:val="0083692A"/>
    <w:rsid w:val="00837104"/>
    <w:rsid w:val="008411BE"/>
    <w:rsid w:val="00841618"/>
    <w:rsid w:val="00841930"/>
    <w:rsid w:val="00842CD0"/>
    <w:rsid w:val="0084550A"/>
    <w:rsid w:val="00847B30"/>
    <w:rsid w:val="0085233A"/>
    <w:rsid w:val="0085292C"/>
    <w:rsid w:val="008536B2"/>
    <w:rsid w:val="0085759B"/>
    <w:rsid w:val="00857833"/>
    <w:rsid w:val="0086135B"/>
    <w:rsid w:val="0086246B"/>
    <w:rsid w:val="00862502"/>
    <w:rsid w:val="008647A7"/>
    <w:rsid w:val="008647CD"/>
    <w:rsid w:val="00867E6E"/>
    <w:rsid w:val="008731D7"/>
    <w:rsid w:val="00873237"/>
    <w:rsid w:val="00873F82"/>
    <w:rsid w:val="00874C6A"/>
    <w:rsid w:val="0087510A"/>
    <w:rsid w:val="008770D4"/>
    <w:rsid w:val="00877FC5"/>
    <w:rsid w:val="00880D41"/>
    <w:rsid w:val="00880E1D"/>
    <w:rsid w:val="0088702B"/>
    <w:rsid w:val="00887684"/>
    <w:rsid w:val="00890E3E"/>
    <w:rsid w:val="008916B4"/>
    <w:rsid w:val="00892D04"/>
    <w:rsid w:val="00892D96"/>
    <w:rsid w:val="008A0843"/>
    <w:rsid w:val="008A212E"/>
    <w:rsid w:val="008A404D"/>
    <w:rsid w:val="008A4394"/>
    <w:rsid w:val="008A46C4"/>
    <w:rsid w:val="008A534C"/>
    <w:rsid w:val="008A560B"/>
    <w:rsid w:val="008A66EB"/>
    <w:rsid w:val="008A6F6A"/>
    <w:rsid w:val="008A76FC"/>
    <w:rsid w:val="008B01A2"/>
    <w:rsid w:val="008B03CC"/>
    <w:rsid w:val="008B176F"/>
    <w:rsid w:val="008B22C9"/>
    <w:rsid w:val="008B261D"/>
    <w:rsid w:val="008B2CF2"/>
    <w:rsid w:val="008B2FE0"/>
    <w:rsid w:val="008B4C44"/>
    <w:rsid w:val="008B5DAA"/>
    <w:rsid w:val="008B5DDE"/>
    <w:rsid w:val="008C02AA"/>
    <w:rsid w:val="008C0EC4"/>
    <w:rsid w:val="008C1D79"/>
    <w:rsid w:val="008C2120"/>
    <w:rsid w:val="008C2584"/>
    <w:rsid w:val="008C3365"/>
    <w:rsid w:val="008C403C"/>
    <w:rsid w:val="008C4F56"/>
    <w:rsid w:val="008C6EAA"/>
    <w:rsid w:val="008C76AF"/>
    <w:rsid w:val="008D0E79"/>
    <w:rsid w:val="008D2D2A"/>
    <w:rsid w:val="008D535B"/>
    <w:rsid w:val="008D56E8"/>
    <w:rsid w:val="008D6047"/>
    <w:rsid w:val="008D721F"/>
    <w:rsid w:val="008E04D2"/>
    <w:rsid w:val="008E0B2B"/>
    <w:rsid w:val="008E1061"/>
    <w:rsid w:val="008E16FF"/>
    <w:rsid w:val="008E1E0F"/>
    <w:rsid w:val="008F0350"/>
    <w:rsid w:val="008F0543"/>
    <w:rsid w:val="008F1339"/>
    <w:rsid w:val="008F1DDD"/>
    <w:rsid w:val="008F334F"/>
    <w:rsid w:val="008F4D5D"/>
    <w:rsid w:val="008F5503"/>
    <w:rsid w:val="00900250"/>
    <w:rsid w:val="009005C1"/>
    <w:rsid w:val="009005D3"/>
    <w:rsid w:val="0090166E"/>
    <w:rsid w:val="00901CC5"/>
    <w:rsid w:val="009029EF"/>
    <w:rsid w:val="0090381F"/>
    <w:rsid w:val="00904545"/>
    <w:rsid w:val="00905420"/>
    <w:rsid w:val="00905B78"/>
    <w:rsid w:val="009102D7"/>
    <w:rsid w:val="00912A9B"/>
    <w:rsid w:val="00914FB1"/>
    <w:rsid w:val="00915644"/>
    <w:rsid w:val="00915C10"/>
    <w:rsid w:val="00915CC0"/>
    <w:rsid w:val="00915D7F"/>
    <w:rsid w:val="009205BB"/>
    <w:rsid w:val="00920B05"/>
    <w:rsid w:val="00922B5A"/>
    <w:rsid w:val="009233FE"/>
    <w:rsid w:val="00925437"/>
    <w:rsid w:val="0092718D"/>
    <w:rsid w:val="00927314"/>
    <w:rsid w:val="00930502"/>
    <w:rsid w:val="00932554"/>
    <w:rsid w:val="009331E3"/>
    <w:rsid w:val="00934085"/>
    <w:rsid w:val="00935317"/>
    <w:rsid w:val="0094171D"/>
    <w:rsid w:val="00941A43"/>
    <w:rsid w:val="00941E03"/>
    <w:rsid w:val="00944AE0"/>
    <w:rsid w:val="0094508F"/>
    <w:rsid w:val="00947439"/>
    <w:rsid w:val="00950A09"/>
    <w:rsid w:val="00951A9E"/>
    <w:rsid w:val="009538F8"/>
    <w:rsid w:val="009539A2"/>
    <w:rsid w:val="0095411B"/>
    <w:rsid w:val="00955F93"/>
    <w:rsid w:val="009600BB"/>
    <w:rsid w:val="0096105A"/>
    <w:rsid w:val="00961FCE"/>
    <w:rsid w:val="00962C89"/>
    <w:rsid w:val="00962F24"/>
    <w:rsid w:val="00963899"/>
    <w:rsid w:val="00964690"/>
    <w:rsid w:val="00966DBF"/>
    <w:rsid w:val="009706F6"/>
    <w:rsid w:val="00977708"/>
    <w:rsid w:val="00981239"/>
    <w:rsid w:val="00981B63"/>
    <w:rsid w:val="009831B1"/>
    <w:rsid w:val="00983440"/>
    <w:rsid w:val="00987C25"/>
    <w:rsid w:val="00987C88"/>
    <w:rsid w:val="009906A5"/>
    <w:rsid w:val="00991B21"/>
    <w:rsid w:val="00991EA8"/>
    <w:rsid w:val="00992B9E"/>
    <w:rsid w:val="00993BDC"/>
    <w:rsid w:val="0099408A"/>
    <w:rsid w:val="009943B1"/>
    <w:rsid w:val="0099678E"/>
    <w:rsid w:val="009973AF"/>
    <w:rsid w:val="009A60CE"/>
    <w:rsid w:val="009B4E5A"/>
    <w:rsid w:val="009B6619"/>
    <w:rsid w:val="009B67DF"/>
    <w:rsid w:val="009B771A"/>
    <w:rsid w:val="009C1CE2"/>
    <w:rsid w:val="009C1D86"/>
    <w:rsid w:val="009C5F25"/>
    <w:rsid w:val="009C6132"/>
    <w:rsid w:val="009C76B7"/>
    <w:rsid w:val="009C7B33"/>
    <w:rsid w:val="009D0B20"/>
    <w:rsid w:val="009D1967"/>
    <w:rsid w:val="009D4E4C"/>
    <w:rsid w:val="009D7902"/>
    <w:rsid w:val="009E0146"/>
    <w:rsid w:val="009E0F35"/>
    <w:rsid w:val="009E22DF"/>
    <w:rsid w:val="009E4947"/>
    <w:rsid w:val="009E69B9"/>
    <w:rsid w:val="009F3DDA"/>
    <w:rsid w:val="009F5513"/>
    <w:rsid w:val="009F5B37"/>
    <w:rsid w:val="009F748E"/>
    <w:rsid w:val="00A001CB"/>
    <w:rsid w:val="00A00B57"/>
    <w:rsid w:val="00A02A9F"/>
    <w:rsid w:val="00A0395E"/>
    <w:rsid w:val="00A03B81"/>
    <w:rsid w:val="00A04879"/>
    <w:rsid w:val="00A04C44"/>
    <w:rsid w:val="00A04D38"/>
    <w:rsid w:val="00A06971"/>
    <w:rsid w:val="00A06AF1"/>
    <w:rsid w:val="00A07DFA"/>
    <w:rsid w:val="00A104B6"/>
    <w:rsid w:val="00A10539"/>
    <w:rsid w:val="00A10F74"/>
    <w:rsid w:val="00A124AE"/>
    <w:rsid w:val="00A13F4C"/>
    <w:rsid w:val="00A14BA3"/>
    <w:rsid w:val="00A20A5B"/>
    <w:rsid w:val="00A20D32"/>
    <w:rsid w:val="00A2171B"/>
    <w:rsid w:val="00A21CF6"/>
    <w:rsid w:val="00A22279"/>
    <w:rsid w:val="00A22B69"/>
    <w:rsid w:val="00A23014"/>
    <w:rsid w:val="00A233A1"/>
    <w:rsid w:val="00A233F7"/>
    <w:rsid w:val="00A251DE"/>
    <w:rsid w:val="00A26BF5"/>
    <w:rsid w:val="00A27F60"/>
    <w:rsid w:val="00A301CA"/>
    <w:rsid w:val="00A30E8F"/>
    <w:rsid w:val="00A32375"/>
    <w:rsid w:val="00A33B55"/>
    <w:rsid w:val="00A33FC2"/>
    <w:rsid w:val="00A34D71"/>
    <w:rsid w:val="00A3778E"/>
    <w:rsid w:val="00A402ED"/>
    <w:rsid w:val="00A40669"/>
    <w:rsid w:val="00A41964"/>
    <w:rsid w:val="00A41DCA"/>
    <w:rsid w:val="00A41FA9"/>
    <w:rsid w:val="00A43A37"/>
    <w:rsid w:val="00A44B75"/>
    <w:rsid w:val="00A45407"/>
    <w:rsid w:val="00A45681"/>
    <w:rsid w:val="00A45CC9"/>
    <w:rsid w:val="00A46E75"/>
    <w:rsid w:val="00A51903"/>
    <w:rsid w:val="00A51C49"/>
    <w:rsid w:val="00A52880"/>
    <w:rsid w:val="00A53840"/>
    <w:rsid w:val="00A538E1"/>
    <w:rsid w:val="00A53E65"/>
    <w:rsid w:val="00A55C2D"/>
    <w:rsid w:val="00A619AD"/>
    <w:rsid w:val="00A61BA0"/>
    <w:rsid w:val="00A627C2"/>
    <w:rsid w:val="00A62960"/>
    <w:rsid w:val="00A6453C"/>
    <w:rsid w:val="00A645EC"/>
    <w:rsid w:val="00A657B5"/>
    <w:rsid w:val="00A673B5"/>
    <w:rsid w:val="00A679C7"/>
    <w:rsid w:val="00A67D49"/>
    <w:rsid w:val="00A7003C"/>
    <w:rsid w:val="00A71B28"/>
    <w:rsid w:val="00A72914"/>
    <w:rsid w:val="00A731C4"/>
    <w:rsid w:val="00A73A38"/>
    <w:rsid w:val="00A74F42"/>
    <w:rsid w:val="00A806E0"/>
    <w:rsid w:val="00A80B90"/>
    <w:rsid w:val="00A8623F"/>
    <w:rsid w:val="00A907C1"/>
    <w:rsid w:val="00A9350C"/>
    <w:rsid w:val="00A9474C"/>
    <w:rsid w:val="00A94D01"/>
    <w:rsid w:val="00A94EAE"/>
    <w:rsid w:val="00A94F9E"/>
    <w:rsid w:val="00A95A9F"/>
    <w:rsid w:val="00AA06D1"/>
    <w:rsid w:val="00AA173F"/>
    <w:rsid w:val="00AA52A6"/>
    <w:rsid w:val="00AA5A3D"/>
    <w:rsid w:val="00AA647E"/>
    <w:rsid w:val="00AA64C3"/>
    <w:rsid w:val="00AA79DB"/>
    <w:rsid w:val="00AA7DA8"/>
    <w:rsid w:val="00AB042C"/>
    <w:rsid w:val="00AB133B"/>
    <w:rsid w:val="00AB1756"/>
    <w:rsid w:val="00AB2714"/>
    <w:rsid w:val="00AB2C17"/>
    <w:rsid w:val="00AB2DFE"/>
    <w:rsid w:val="00AB30FB"/>
    <w:rsid w:val="00AB44FE"/>
    <w:rsid w:val="00AB46A4"/>
    <w:rsid w:val="00AB500F"/>
    <w:rsid w:val="00AB5993"/>
    <w:rsid w:val="00AB5C79"/>
    <w:rsid w:val="00AB63BA"/>
    <w:rsid w:val="00AB64F6"/>
    <w:rsid w:val="00AB6C23"/>
    <w:rsid w:val="00AB7A64"/>
    <w:rsid w:val="00AC0539"/>
    <w:rsid w:val="00AC1A1A"/>
    <w:rsid w:val="00AC6245"/>
    <w:rsid w:val="00AC68E9"/>
    <w:rsid w:val="00AC6B59"/>
    <w:rsid w:val="00AC78E0"/>
    <w:rsid w:val="00AD0141"/>
    <w:rsid w:val="00AD1AD4"/>
    <w:rsid w:val="00AD2962"/>
    <w:rsid w:val="00AD51BE"/>
    <w:rsid w:val="00AD6111"/>
    <w:rsid w:val="00AD73D6"/>
    <w:rsid w:val="00AD7438"/>
    <w:rsid w:val="00AE0125"/>
    <w:rsid w:val="00AE18ED"/>
    <w:rsid w:val="00AE2429"/>
    <w:rsid w:val="00AE2B41"/>
    <w:rsid w:val="00AE349F"/>
    <w:rsid w:val="00AE455A"/>
    <w:rsid w:val="00AE4B74"/>
    <w:rsid w:val="00AE4BD0"/>
    <w:rsid w:val="00AE54FA"/>
    <w:rsid w:val="00AE6152"/>
    <w:rsid w:val="00AE6EAC"/>
    <w:rsid w:val="00AF1D83"/>
    <w:rsid w:val="00AF3484"/>
    <w:rsid w:val="00AF517E"/>
    <w:rsid w:val="00AF5976"/>
    <w:rsid w:val="00AF6E2D"/>
    <w:rsid w:val="00AF79B8"/>
    <w:rsid w:val="00AF79F2"/>
    <w:rsid w:val="00B02291"/>
    <w:rsid w:val="00B0427D"/>
    <w:rsid w:val="00B06424"/>
    <w:rsid w:val="00B126A5"/>
    <w:rsid w:val="00B132D0"/>
    <w:rsid w:val="00B148AC"/>
    <w:rsid w:val="00B15989"/>
    <w:rsid w:val="00B15A08"/>
    <w:rsid w:val="00B20795"/>
    <w:rsid w:val="00B21261"/>
    <w:rsid w:val="00B21F81"/>
    <w:rsid w:val="00B221C5"/>
    <w:rsid w:val="00B22861"/>
    <w:rsid w:val="00B24AB2"/>
    <w:rsid w:val="00B24D09"/>
    <w:rsid w:val="00B31469"/>
    <w:rsid w:val="00B32EA0"/>
    <w:rsid w:val="00B36120"/>
    <w:rsid w:val="00B37D38"/>
    <w:rsid w:val="00B37FBC"/>
    <w:rsid w:val="00B40315"/>
    <w:rsid w:val="00B40D00"/>
    <w:rsid w:val="00B421F2"/>
    <w:rsid w:val="00B4518C"/>
    <w:rsid w:val="00B45989"/>
    <w:rsid w:val="00B47A75"/>
    <w:rsid w:val="00B513BD"/>
    <w:rsid w:val="00B51880"/>
    <w:rsid w:val="00B52857"/>
    <w:rsid w:val="00B52DD4"/>
    <w:rsid w:val="00B53279"/>
    <w:rsid w:val="00B562A4"/>
    <w:rsid w:val="00B62067"/>
    <w:rsid w:val="00B623F3"/>
    <w:rsid w:val="00B62B4C"/>
    <w:rsid w:val="00B62BF0"/>
    <w:rsid w:val="00B635E5"/>
    <w:rsid w:val="00B66440"/>
    <w:rsid w:val="00B66F49"/>
    <w:rsid w:val="00B70CB7"/>
    <w:rsid w:val="00B71D3B"/>
    <w:rsid w:val="00B7226C"/>
    <w:rsid w:val="00B74505"/>
    <w:rsid w:val="00B7485D"/>
    <w:rsid w:val="00B754FF"/>
    <w:rsid w:val="00B7558A"/>
    <w:rsid w:val="00B75B10"/>
    <w:rsid w:val="00B766EA"/>
    <w:rsid w:val="00B77718"/>
    <w:rsid w:val="00B819F4"/>
    <w:rsid w:val="00B8268D"/>
    <w:rsid w:val="00B83543"/>
    <w:rsid w:val="00B83A69"/>
    <w:rsid w:val="00B84280"/>
    <w:rsid w:val="00B847D4"/>
    <w:rsid w:val="00B855B0"/>
    <w:rsid w:val="00B86193"/>
    <w:rsid w:val="00B86313"/>
    <w:rsid w:val="00B86A6A"/>
    <w:rsid w:val="00B87225"/>
    <w:rsid w:val="00B91DCB"/>
    <w:rsid w:val="00B92B56"/>
    <w:rsid w:val="00B931FC"/>
    <w:rsid w:val="00B93A80"/>
    <w:rsid w:val="00B93E0B"/>
    <w:rsid w:val="00B96B5C"/>
    <w:rsid w:val="00B978F3"/>
    <w:rsid w:val="00BA13C5"/>
    <w:rsid w:val="00BA5427"/>
    <w:rsid w:val="00BA5E0D"/>
    <w:rsid w:val="00BA61D4"/>
    <w:rsid w:val="00BA7AFD"/>
    <w:rsid w:val="00BB0945"/>
    <w:rsid w:val="00BB3F30"/>
    <w:rsid w:val="00BB660A"/>
    <w:rsid w:val="00BB7388"/>
    <w:rsid w:val="00BC03E4"/>
    <w:rsid w:val="00BC1869"/>
    <w:rsid w:val="00BC1FAA"/>
    <w:rsid w:val="00BC2B0D"/>
    <w:rsid w:val="00BC31AF"/>
    <w:rsid w:val="00BC3523"/>
    <w:rsid w:val="00BC3956"/>
    <w:rsid w:val="00BC3C36"/>
    <w:rsid w:val="00BC55CC"/>
    <w:rsid w:val="00BD0EB9"/>
    <w:rsid w:val="00BD0F3A"/>
    <w:rsid w:val="00BD32F0"/>
    <w:rsid w:val="00BD4072"/>
    <w:rsid w:val="00BD6AE1"/>
    <w:rsid w:val="00BE29B0"/>
    <w:rsid w:val="00BE42A8"/>
    <w:rsid w:val="00BE5D78"/>
    <w:rsid w:val="00BF1134"/>
    <w:rsid w:val="00BF2157"/>
    <w:rsid w:val="00BF3919"/>
    <w:rsid w:val="00BF4550"/>
    <w:rsid w:val="00BF4FF8"/>
    <w:rsid w:val="00BF510F"/>
    <w:rsid w:val="00BF5153"/>
    <w:rsid w:val="00BF64B3"/>
    <w:rsid w:val="00BF7306"/>
    <w:rsid w:val="00BF788F"/>
    <w:rsid w:val="00C00067"/>
    <w:rsid w:val="00C00366"/>
    <w:rsid w:val="00C00A7E"/>
    <w:rsid w:val="00C00C92"/>
    <w:rsid w:val="00C018B3"/>
    <w:rsid w:val="00C025BA"/>
    <w:rsid w:val="00C04013"/>
    <w:rsid w:val="00C05AA7"/>
    <w:rsid w:val="00C13970"/>
    <w:rsid w:val="00C145CF"/>
    <w:rsid w:val="00C14607"/>
    <w:rsid w:val="00C1533C"/>
    <w:rsid w:val="00C153BE"/>
    <w:rsid w:val="00C21E4C"/>
    <w:rsid w:val="00C229D5"/>
    <w:rsid w:val="00C244FE"/>
    <w:rsid w:val="00C25189"/>
    <w:rsid w:val="00C277F1"/>
    <w:rsid w:val="00C2789E"/>
    <w:rsid w:val="00C2797C"/>
    <w:rsid w:val="00C30D51"/>
    <w:rsid w:val="00C319A6"/>
    <w:rsid w:val="00C332FE"/>
    <w:rsid w:val="00C335F2"/>
    <w:rsid w:val="00C33F69"/>
    <w:rsid w:val="00C35209"/>
    <w:rsid w:val="00C365E3"/>
    <w:rsid w:val="00C3680C"/>
    <w:rsid w:val="00C36BE8"/>
    <w:rsid w:val="00C379BA"/>
    <w:rsid w:val="00C37B9D"/>
    <w:rsid w:val="00C37C6D"/>
    <w:rsid w:val="00C416AB"/>
    <w:rsid w:val="00C418EB"/>
    <w:rsid w:val="00C41FCC"/>
    <w:rsid w:val="00C426F8"/>
    <w:rsid w:val="00C4755C"/>
    <w:rsid w:val="00C50FAC"/>
    <w:rsid w:val="00C510D0"/>
    <w:rsid w:val="00C51B2D"/>
    <w:rsid w:val="00C52AD1"/>
    <w:rsid w:val="00C54300"/>
    <w:rsid w:val="00C555A8"/>
    <w:rsid w:val="00C60043"/>
    <w:rsid w:val="00C6199C"/>
    <w:rsid w:val="00C633C5"/>
    <w:rsid w:val="00C63BF9"/>
    <w:rsid w:val="00C64FCA"/>
    <w:rsid w:val="00C67A99"/>
    <w:rsid w:val="00C70B5F"/>
    <w:rsid w:val="00C727FA"/>
    <w:rsid w:val="00C73B6F"/>
    <w:rsid w:val="00C749FA"/>
    <w:rsid w:val="00C759E1"/>
    <w:rsid w:val="00C76A9C"/>
    <w:rsid w:val="00C77153"/>
    <w:rsid w:val="00C776D7"/>
    <w:rsid w:val="00C80A3B"/>
    <w:rsid w:val="00C8102F"/>
    <w:rsid w:val="00C82C8F"/>
    <w:rsid w:val="00C92DF9"/>
    <w:rsid w:val="00C94E5F"/>
    <w:rsid w:val="00C96014"/>
    <w:rsid w:val="00C96870"/>
    <w:rsid w:val="00C977C3"/>
    <w:rsid w:val="00CA05B2"/>
    <w:rsid w:val="00CA0923"/>
    <w:rsid w:val="00CA0A34"/>
    <w:rsid w:val="00CA2C24"/>
    <w:rsid w:val="00CA411E"/>
    <w:rsid w:val="00CA48F0"/>
    <w:rsid w:val="00CA6516"/>
    <w:rsid w:val="00CA779F"/>
    <w:rsid w:val="00CA798A"/>
    <w:rsid w:val="00CB086B"/>
    <w:rsid w:val="00CB1A6C"/>
    <w:rsid w:val="00CB1C0B"/>
    <w:rsid w:val="00CB236F"/>
    <w:rsid w:val="00CB30E7"/>
    <w:rsid w:val="00CB32A8"/>
    <w:rsid w:val="00CB35EC"/>
    <w:rsid w:val="00CB3DE3"/>
    <w:rsid w:val="00CB500E"/>
    <w:rsid w:val="00CB5038"/>
    <w:rsid w:val="00CB6084"/>
    <w:rsid w:val="00CB73EC"/>
    <w:rsid w:val="00CB7FB4"/>
    <w:rsid w:val="00CC04F6"/>
    <w:rsid w:val="00CD071A"/>
    <w:rsid w:val="00CD1DB2"/>
    <w:rsid w:val="00CD2072"/>
    <w:rsid w:val="00CD2F00"/>
    <w:rsid w:val="00CD466E"/>
    <w:rsid w:val="00CD5FED"/>
    <w:rsid w:val="00CD7DD0"/>
    <w:rsid w:val="00CE05BF"/>
    <w:rsid w:val="00CE1272"/>
    <w:rsid w:val="00CE1488"/>
    <w:rsid w:val="00CE26FB"/>
    <w:rsid w:val="00CE2C4B"/>
    <w:rsid w:val="00CE3E44"/>
    <w:rsid w:val="00CE4DDA"/>
    <w:rsid w:val="00CE6D99"/>
    <w:rsid w:val="00CF1336"/>
    <w:rsid w:val="00CF219F"/>
    <w:rsid w:val="00CF4B2E"/>
    <w:rsid w:val="00CF4D0B"/>
    <w:rsid w:val="00CF53D5"/>
    <w:rsid w:val="00CF5A75"/>
    <w:rsid w:val="00D05033"/>
    <w:rsid w:val="00D0511C"/>
    <w:rsid w:val="00D05460"/>
    <w:rsid w:val="00D054D2"/>
    <w:rsid w:val="00D07C17"/>
    <w:rsid w:val="00D109B3"/>
    <w:rsid w:val="00D11BB4"/>
    <w:rsid w:val="00D1233D"/>
    <w:rsid w:val="00D12786"/>
    <w:rsid w:val="00D1292E"/>
    <w:rsid w:val="00D12B5F"/>
    <w:rsid w:val="00D139E0"/>
    <w:rsid w:val="00D14CE7"/>
    <w:rsid w:val="00D1537A"/>
    <w:rsid w:val="00D15AD2"/>
    <w:rsid w:val="00D17A4A"/>
    <w:rsid w:val="00D206E9"/>
    <w:rsid w:val="00D21ADB"/>
    <w:rsid w:val="00D22B8D"/>
    <w:rsid w:val="00D23EF9"/>
    <w:rsid w:val="00D25FCA"/>
    <w:rsid w:val="00D267A2"/>
    <w:rsid w:val="00D26BE0"/>
    <w:rsid w:val="00D2726E"/>
    <w:rsid w:val="00D301E6"/>
    <w:rsid w:val="00D31117"/>
    <w:rsid w:val="00D31654"/>
    <w:rsid w:val="00D33669"/>
    <w:rsid w:val="00D33AD9"/>
    <w:rsid w:val="00D34A8B"/>
    <w:rsid w:val="00D34AC3"/>
    <w:rsid w:val="00D34FD6"/>
    <w:rsid w:val="00D410A6"/>
    <w:rsid w:val="00D43D4C"/>
    <w:rsid w:val="00D43D63"/>
    <w:rsid w:val="00D44E35"/>
    <w:rsid w:val="00D46D22"/>
    <w:rsid w:val="00D46FA8"/>
    <w:rsid w:val="00D47559"/>
    <w:rsid w:val="00D5075F"/>
    <w:rsid w:val="00D526C0"/>
    <w:rsid w:val="00D54E42"/>
    <w:rsid w:val="00D560C5"/>
    <w:rsid w:val="00D562B5"/>
    <w:rsid w:val="00D601C9"/>
    <w:rsid w:val="00D623A8"/>
    <w:rsid w:val="00D63493"/>
    <w:rsid w:val="00D639A9"/>
    <w:rsid w:val="00D64B23"/>
    <w:rsid w:val="00D65BD4"/>
    <w:rsid w:val="00D6675D"/>
    <w:rsid w:val="00D6716D"/>
    <w:rsid w:val="00D67623"/>
    <w:rsid w:val="00D72822"/>
    <w:rsid w:val="00D7746E"/>
    <w:rsid w:val="00D81E67"/>
    <w:rsid w:val="00D826AA"/>
    <w:rsid w:val="00D82817"/>
    <w:rsid w:val="00D85B0D"/>
    <w:rsid w:val="00D905BB"/>
    <w:rsid w:val="00D9136D"/>
    <w:rsid w:val="00D918C2"/>
    <w:rsid w:val="00D94C79"/>
    <w:rsid w:val="00D967D1"/>
    <w:rsid w:val="00D97C42"/>
    <w:rsid w:val="00DA0925"/>
    <w:rsid w:val="00DA19A9"/>
    <w:rsid w:val="00DA3C33"/>
    <w:rsid w:val="00DA5D07"/>
    <w:rsid w:val="00DA5D21"/>
    <w:rsid w:val="00DA6D31"/>
    <w:rsid w:val="00DB0528"/>
    <w:rsid w:val="00DB0581"/>
    <w:rsid w:val="00DB26B3"/>
    <w:rsid w:val="00DB2F78"/>
    <w:rsid w:val="00DB3367"/>
    <w:rsid w:val="00DB61F4"/>
    <w:rsid w:val="00DB6748"/>
    <w:rsid w:val="00DB6DD3"/>
    <w:rsid w:val="00DC0A3E"/>
    <w:rsid w:val="00DC2AA1"/>
    <w:rsid w:val="00DC2FA1"/>
    <w:rsid w:val="00DC39AF"/>
    <w:rsid w:val="00DC3B20"/>
    <w:rsid w:val="00DC4708"/>
    <w:rsid w:val="00DC5A24"/>
    <w:rsid w:val="00DC7DF0"/>
    <w:rsid w:val="00DD06D9"/>
    <w:rsid w:val="00DD1F48"/>
    <w:rsid w:val="00DD26DC"/>
    <w:rsid w:val="00DD2BD2"/>
    <w:rsid w:val="00DD4B37"/>
    <w:rsid w:val="00DD4B41"/>
    <w:rsid w:val="00DD6F41"/>
    <w:rsid w:val="00DD7679"/>
    <w:rsid w:val="00DE0758"/>
    <w:rsid w:val="00DE13F6"/>
    <w:rsid w:val="00DE28D0"/>
    <w:rsid w:val="00DE50C3"/>
    <w:rsid w:val="00DE599E"/>
    <w:rsid w:val="00DE5ADB"/>
    <w:rsid w:val="00DE5B83"/>
    <w:rsid w:val="00DE7867"/>
    <w:rsid w:val="00DF0C0C"/>
    <w:rsid w:val="00DF391B"/>
    <w:rsid w:val="00DF51F8"/>
    <w:rsid w:val="00DF7378"/>
    <w:rsid w:val="00DF7736"/>
    <w:rsid w:val="00E01455"/>
    <w:rsid w:val="00E031C0"/>
    <w:rsid w:val="00E059FD"/>
    <w:rsid w:val="00E1329C"/>
    <w:rsid w:val="00E1343E"/>
    <w:rsid w:val="00E13688"/>
    <w:rsid w:val="00E13D50"/>
    <w:rsid w:val="00E14F7C"/>
    <w:rsid w:val="00E16517"/>
    <w:rsid w:val="00E16FA6"/>
    <w:rsid w:val="00E2088C"/>
    <w:rsid w:val="00E2150E"/>
    <w:rsid w:val="00E230A7"/>
    <w:rsid w:val="00E23976"/>
    <w:rsid w:val="00E277E5"/>
    <w:rsid w:val="00E30ADB"/>
    <w:rsid w:val="00E31DDF"/>
    <w:rsid w:val="00E32D21"/>
    <w:rsid w:val="00E3393F"/>
    <w:rsid w:val="00E33ED1"/>
    <w:rsid w:val="00E34A39"/>
    <w:rsid w:val="00E35765"/>
    <w:rsid w:val="00E359F1"/>
    <w:rsid w:val="00E35A1D"/>
    <w:rsid w:val="00E367C6"/>
    <w:rsid w:val="00E3797B"/>
    <w:rsid w:val="00E40BB1"/>
    <w:rsid w:val="00E417D0"/>
    <w:rsid w:val="00E41822"/>
    <w:rsid w:val="00E420E8"/>
    <w:rsid w:val="00E42981"/>
    <w:rsid w:val="00E437EE"/>
    <w:rsid w:val="00E45C76"/>
    <w:rsid w:val="00E4637C"/>
    <w:rsid w:val="00E46E5B"/>
    <w:rsid w:val="00E4781C"/>
    <w:rsid w:val="00E50A00"/>
    <w:rsid w:val="00E546D9"/>
    <w:rsid w:val="00E559E4"/>
    <w:rsid w:val="00E56509"/>
    <w:rsid w:val="00E572D3"/>
    <w:rsid w:val="00E60193"/>
    <w:rsid w:val="00E64419"/>
    <w:rsid w:val="00E64755"/>
    <w:rsid w:val="00E64BDB"/>
    <w:rsid w:val="00E6609A"/>
    <w:rsid w:val="00E66676"/>
    <w:rsid w:val="00E66A7C"/>
    <w:rsid w:val="00E67250"/>
    <w:rsid w:val="00E6774E"/>
    <w:rsid w:val="00E718CF"/>
    <w:rsid w:val="00E7205A"/>
    <w:rsid w:val="00E7255A"/>
    <w:rsid w:val="00E734F2"/>
    <w:rsid w:val="00E73EA6"/>
    <w:rsid w:val="00E73F5E"/>
    <w:rsid w:val="00E73F8B"/>
    <w:rsid w:val="00E763F7"/>
    <w:rsid w:val="00E764C8"/>
    <w:rsid w:val="00E768E4"/>
    <w:rsid w:val="00E76C74"/>
    <w:rsid w:val="00E77416"/>
    <w:rsid w:val="00E81446"/>
    <w:rsid w:val="00E832D3"/>
    <w:rsid w:val="00E849A4"/>
    <w:rsid w:val="00E84ACB"/>
    <w:rsid w:val="00E85AFB"/>
    <w:rsid w:val="00E85D1A"/>
    <w:rsid w:val="00E867AD"/>
    <w:rsid w:val="00E87187"/>
    <w:rsid w:val="00E87563"/>
    <w:rsid w:val="00E87EF5"/>
    <w:rsid w:val="00E934BD"/>
    <w:rsid w:val="00E93534"/>
    <w:rsid w:val="00E95E42"/>
    <w:rsid w:val="00E96AFA"/>
    <w:rsid w:val="00E9735C"/>
    <w:rsid w:val="00E97CF8"/>
    <w:rsid w:val="00EA0CB6"/>
    <w:rsid w:val="00EA17EC"/>
    <w:rsid w:val="00EA1951"/>
    <w:rsid w:val="00EA273E"/>
    <w:rsid w:val="00EA3436"/>
    <w:rsid w:val="00EA380D"/>
    <w:rsid w:val="00EA3AC8"/>
    <w:rsid w:val="00EA5A09"/>
    <w:rsid w:val="00EA6F8D"/>
    <w:rsid w:val="00EB0131"/>
    <w:rsid w:val="00EB0684"/>
    <w:rsid w:val="00EB0906"/>
    <w:rsid w:val="00EB1E76"/>
    <w:rsid w:val="00EB3F67"/>
    <w:rsid w:val="00EB4207"/>
    <w:rsid w:val="00EB49DB"/>
    <w:rsid w:val="00EB5AA7"/>
    <w:rsid w:val="00EB5F84"/>
    <w:rsid w:val="00EB617B"/>
    <w:rsid w:val="00EB61B1"/>
    <w:rsid w:val="00EB663E"/>
    <w:rsid w:val="00EB746B"/>
    <w:rsid w:val="00EC3AA3"/>
    <w:rsid w:val="00EC401E"/>
    <w:rsid w:val="00EC4B25"/>
    <w:rsid w:val="00EC5757"/>
    <w:rsid w:val="00EC63F8"/>
    <w:rsid w:val="00EC6B70"/>
    <w:rsid w:val="00ED0166"/>
    <w:rsid w:val="00ED0884"/>
    <w:rsid w:val="00ED1370"/>
    <w:rsid w:val="00ED168D"/>
    <w:rsid w:val="00ED2032"/>
    <w:rsid w:val="00ED40C8"/>
    <w:rsid w:val="00ED5633"/>
    <w:rsid w:val="00ED646D"/>
    <w:rsid w:val="00ED7704"/>
    <w:rsid w:val="00ED792C"/>
    <w:rsid w:val="00ED7E8C"/>
    <w:rsid w:val="00EE1567"/>
    <w:rsid w:val="00EE1BF5"/>
    <w:rsid w:val="00EE28A2"/>
    <w:rsid w:val="00EE445D"/>
    <w:rsid w:val="00EE66F6"/>
    <w:rsid w:val="00EE6E03"/>
    <w:rsid w:val="00EF1BBD"/>
    <w:rsid w:val="00EF4892"/>
    <w:rsid w:val="00EF5A55"/>
    <w:rsid w:val="00EF7BB5"/>
    <w:rsid w:val="00F00DE0"/>
    <w:rsid w:val="00F01760"/>
    <w:rsid w:val="00F026DD"/>
    <w:rsid w:val="00F045DB"/>
    <w:rsid w:val="00F05797"/>
    <w:rsid w:val="00F10488"/>
    <w:rsid w:val="00F10A14"/>
    <w:rsid w:val="00F111F0"/>
    <w:rsid w:val="00F1136A"/>
    <w:rsid w:val="00F11435"/>
    <w:rsid w:val="00F11A06"/>
    <w:rsid w:val="00F12098"/>
    <w:rsid w:val="00F12519"/>
    <w:rsid w:val="00F13597"/>
    <w:rsid w:val="00F158D2"/>
    <w:rsid w:val="00F168A1"/>
    <w:rsid w:val="00F20FB5"/>
    <w:rsid w:val="00F21030"/>
    <w:rsid w:val="00F2151F"/>
    <w:rsid w:val="00F2186E"/>
    <w:rsid w:val="00F223DC"/>
    <w:rsid w:val="00F23FB7"/>
    <w:rsid w:val="00F26327"/>
    <w:rsid w:val="00F26BF3"/>
    <w:rsid w:val="00F27769"/>
    <w:rsid w:val="00F302A9"/>
    <w:rsid w:val="00F306AA"/>
    <w:rsid w:val="00F308B6"/>
    <w:rsid w:val="00F30975"/>
    <w:rsid w:val="00F31804"/>
    <w:rsid w:val="00F32060"/>
    <w:rsid w:val="00F33092"/>
    <w:rsid w:val="00F3492B"/>
    <w:rsid w:val="00F36EF9"/>
    <w:rsid w:val="00F3719A"/>
    <w:rsid w:val="00F420E4"/>
    <w:rsid w:val="00F45076"/>
    <w:rsid w:val="00F45C09"/>
    <w:rsid w:val="00F46134"/>
    <w:rsid w:val="00F47B76"/>
    <w:rsid w:val="00F47E71"/>
    <w:rsid w:val="00F508A1"/>
    <w:rsid w:val="00F5133D"/>
    <w:rsid w:val="00F5173D"/>
    <w:rsid w:val="00F51E54"/>
    <w:rsid w:val="00F532B3"/>
    <w:rsid w:val="00F53AE6"/>
    <w:rsid w:val="00F541A0"/>
    <w:rsid w:val="00F56382"/>
    <w:rsid w:val="00F570EA"/>
    <w:rsid w:val="00F57ACC"/>
    <w:rsid w:val="00F6199A"/>
    <w:rsid w:val="00F63F01"/>
    <w:rsid w:val="00F64037"/>
    <w:rsid w:val="00F702F5"/>
    <w:rsid w:val="00F703DE"/>
    <w:rsid w:val="00F72065"/>
    <w:rsid w:val="00F74432"/>
    <w:rsid w:val="00F76284"/>
    <w:rsid w:val="00F775BA"/>
    <w:rsid w:val="00F77627"/>
    <w:rsid w:val="00F779A5"/>
    <w:rsid w:val="00F81641"/>
    <w:rsid w:val="00F81BA7"/>
    <w:rsid w:val="00F81E4A"/>
    <w:rsid w:val="00F83526"/>
    <w:rsid w:val="00F838B5"/>
    <w:rsid w:val="00F840F6"/>
    <w:rsid w:val="00F847C3"/>
    <w:rsid w:val="00F85177"/>
    <w:rsid w:val="00F86B2A"/>
    <w:rsid w:val="00F86D99"/>
    <w:rsid w:val="00F873D0"/>
    <w:rsid w:val="00F87429"/>
    <w:rsid w:val="00F91926"/>
    <w:rsid w:val="00F927D0"/>
    <w:rsid w:val="00F93149"/>
    <w:rsid w:val="00F93887"/>
    <w:rsid w:val="00F95807"/>
    <w:rsid w:val="00F96041"/>
    <w:rsid w:val="00FA0710"/>
    <w:rsid w:val="00FA2F3D"/>
    <w:rsid w:val="00FA6A19"/>
    <w:rsid w:val="00FA7ED2"/>
    <w:rsid w:val="00FA7FFB"/>
    <w:rsid w:val="00FB19A5"/>
    <w:rsid w:val="00FB296E"/>
    <w:rsid w:val="00FB3105"/>
    <w:rsid w:val="00FB36B5"/>
    <w:rsid w:val="00FB48EB"/>
    <w:rsid w:val="00FB4A70"/>
    <w:rsid w:val="00FB6DD8"/>
    <w:rsid w:val="00FB709E"/>
    <w:rsid w:val="00FC1492"/>
    <w:rsid w:val="00FC16CE"/>
    <w:rsid w:val="00FC197F"/>
    <w:rsid w:val="00FC3A4E"/>
    <w:rsid w:val="00FC3AFB"/>
    <w:rsid w:val="00FC3C46"/>
    <w:rsid w:val="00FC4BDB"/>
    <w:rsid w:val="00FC59D0"/>
    <w:rsid w:val="00FC5BEF"/>
    <w:rsid w:val="00FC7125"/>
    <w:rsid w:val="00FC7AE2"/>
    <w:rsid w:val="00FC7BB7"/>
    <w:rsid w:val="00FD00D1"/>
    <w:rsid w:val="00FD1049"/>
    <w:rsid w:val="00FD1308"/>
    <w:rsid w:val="00FD213D"/>
    <w:rsid w:val="00FD39F6"/>
    <w:rsid w:val="00FD3FCB"/>
    <w:rsid w:val="00FD49BA"/>
    <w:rsid w:val="00FD65FB"/>
    <w:rsid w:val="00FD6948"/>
    <w:rsid w:val="00FD7D06"/>
    <w:rsid w:val="00FE260C"/>
    <w:rsid w:val="00FE54C9"/>
    <w:rsid w:val="00FE58E7"/>
    <w:rsid w:val="00FF03B9"/>
    <w:rsid w:val="00FF04C4"/>
    <w:rsid w:val="00FF1C97"/>
    <w:rsid w:val="00FF36D0"/>
    <w:rsid w:val="00FF50ED"/>
    <w:rsid w:val="00FF5918"/>
    <w:rsid w:val="00FF6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C461F"/>
  <w15:chartTrackingRefBased/>
  <w15:docId w15:val="{1FEBA7BF-2B3B-4A3E-B929-E8E27128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6A"/>
    <w:pPr>
      <w:shd w:val="clear" w:color="auto" w:fill="FFFFFF"/>
      <w:spacing w:before="120" w:after="120"/>
    </w:pPr>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uiPriority w:val="99"/>
    <w:semiHidden/>
    <w:rsid w:val="00DB0581"/>
    <w:rPr>
      <w:sz w:val="16"/>
      <w:szCs w:val="16"/>
    </w:rPr>
  </w:style>
  <w:style w:type="paragraph" w:styleId="CommentText">
    <w:name w:val="annotation text"/>
    <w:basedOn w:val="Normal"/>
    <w:link w:val="CommentTextChar"/>
    <w:uiPriority w:val="99"/>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basedOn w:val="Normal"/>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
      </w:numPr>
      <w:spacing w:before="240"/>
    </w:pPr>
    <w:rPr>
      <w:szCs w:val="20"/>
    </w:rPr>
  </w:style>
  <w:style w:type="paragraph" w:customStyle="1" w:styleId="BodyPara">
    <w:name w:val="BodyPara"/>
    <w:aliases w:val="ba"/>
    <w:basedOn w:val="Normal"/>
    <w:rsid w:val="000B7B1B"/>
    <w:pPr>
      <w:numPr>
        <w:ilvl w:val="1"/>
        <w:numId w:val="1"/>
      </w:numPr>
      <w:spacing w:before="240"/>
    </w:pPr>
    <w:rPr>
      <w:szCs w:val="20"/>
    </w:rPr>
  </w:style>
  <w:style w:type="numbering" w:customStyle="1" w:styleId="OPCBodyList">
    <w:name w:val="OPCBodyList"/>
    <w:uiPriority w:val="99"/>
    <w:rsid w:val="000B7B1B"/>
    <w:pPr>
      <w:numPr>
        <w:numId w:val="1"/>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customStyle="1" w:styleId="Heading6">
    <w:name w:val="Heading6"/>
    <w:basedOn w:val="Normal"/>
    <w:link w:val="Heading6Char"/>
    <w:rsid w:val="000F3CBF"/>
    <w:pPr>
      <w:keepNext/>
      <w:keepLines/>
      <w:suppressAutoHyphens/>
      <w:jc w:val="both"/>
    </w:pPr>
    <w:rPr>
      <w:b/>
      <w:sz w:val="20"/>
      <w:szCs w:val="20"/>
    </w:rPr>
  </w:style>
  <w:style w:type="character" w:customStyle="1" w:styleId="Heading6Char">
    <w:name w:val="Heading6 Char"/>
    <w:link w:val="Heading6"/>
    <w:locked/>
    <w:rsid w:val="000F3CBF"/>
    <w:rPr>
      <w:b/>
    </w:rPr>
  </w:style>
  <w:style w:type="character" w:customStyle="1" w:styleId="CommentTextChar">
    <w:name w:val="Comment Text Char"/>
    <w:basedOn w:val="DefaultParagraphFont"/>
    <w:link w:val="CommentText"/>
    <w:uiPriority w:val="99"/>
    <w:rsid w:val="00A67D49"/>
  </w:style>
  <w:style w:type="character" w:styleId="UnresolvedMention">
    <w:name w:val="Unresolved Mention"/>
    <w:basedOn w:val="DefaultParagraphFont"/>
    <w:uiPriority w:val="99"/>
    <w:semiHidden/>
    <w:unhideWhenUsed/>
    <w:rsid w:val="00B978F3"/>
    <w:rPr>
      <w:color w:val="605E5C"/>
      <w:shd w:val="clear" w:color="auto" w:fill="E1DFDD"/>
    </w:rPr>
  </w:style>
  <w:style w:type="character" w:styleId="PlaceholderText">
    <w:name w:val="Placeholder Text"/>
    <w:basedOn w:val="DefaultParagraphFont"/>
    <w:uiPriority w:val="99"/>
    <w:semiHidden/>
    <w:rsid w:val="00211D5D"/>
    <w:rPr>
      <w:color w:val="808080"/>
    </w:rPr>
  </w:style>
  <w:style w:type="paragraph" w:styleId="Revision">
    <w:name w:val="Revision"/>
    <w:hidden/>
    <w:uiPriority w:val="99"/>
    <w:semiHidden/>
    <w:rsid w:val="0082682C"/>
    <w:rPr>
      <w:sz w:val="24"/>
      <w:szCs w:val="24"/>
    </w:rPr>
  </w:style>
  <w:style w:type="table" w:styleId="TableGrid">
    <w:name w:val="Table Grid"/>
    <w:basedOn w:val="TableNormal"/>
    <w:uiPriority w:val="59"/>
    <w:rsid w:val="000F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43D4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301D4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DA5D07"/>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C332FE"/>
    <w:tblPr/>
  </w:style>
  <w:style w:type="table" w:styleId="ListTable4">
    <w:name w:val="List Table 4"/>
    <w:basedOn w:val="TableNormal"/>
    <w:uiPriority w:val="49"/>
    <w:rsid w:val="005A2F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7893465">
      <w:bodyDiv w:val="1"/>
      <w:marLeft w:val="0"/>
      <w:marRight w:val="0"/>
      <w:marTop w:val="0"/>
      <w:marBottom w:val="0"/>
      <w:divBdr>
        <w:top w:val="none" w:sz="0" w:space="0" w:color="auto"/>
        <w:left w:val="none" w:sz="0" w:space="0" w:color="auto"/>
        <w:bottom w:val="none" w:sz="0" w:space="0" w:color="auto"/>
        <w:right w:val="none" w:sz="0" w:space="0" w:color="auto"/>
      </w:divBdr>
    </w:div>
    <w:div w:id="932670760">
      <w:bodyDiv w:val="1"/>
      <w:marLeft w:val="0"/>
      <w:marRight w:val="0"/>
      <w:marTop w:val="0"/>
      <w:marBottom w:val="0"/>
      <w:divBdr>
        <w:top w:val="none" w:sz="0" w:space="0" w:color="auto"/>
        <w:left w:val="none" w:sz="0" w:space="0" w:color="auto"/>
        <w:bottom w:val="none" w:sz="0" w:space="0" w:color="auto"/>
        <w:right w:val="none" w:sz="0" w:space="0" w:color="auto"/>
      </w:divBdr>
    </w:div>
    <w:div w:id="1145010162">
      <w:bodyDiv w:val="1"/>
      <w:marLeft w:val="0"/>
      <w:marRight w:val="0"/>
      <w:marTop w:val="0"/>
      <w:marBottom w:val="0"/>
      <w:divBdr>
        <w:top w:val="none" w:sz="0" w:space="0" w:color="auto"/>
        <w:left w:val="none" w:sz="0" w:space="0" w:color="auto"/>
        <w:bottom w:val="none" w:sz="0" w:space="0" w:color="auto"/>
        <w:right w:val="none" w:sz="0" w:space="0" w:color="auto"/>
      </w:divBdr>
    </w:div>
    <w:div w:id="1759596099">
      <w:bodyDiv w:val="1"/>
      <w:marLeft w:val="0"/>
      <w:marRight w:val="0"/>
      <w:marTop w:val="0"/>
      <w:marBottom w:val="0"/>
      <w:divBdr>
        <w:top w:val="none" w:sz="0" w:space="0" w:color="auto"/>
        <w:left w:val="none" w:sz="0" w:space="0" w:color="auto"/>
        <w:bottom w:val="none" w:sz="0" w:space="0" w:color="auto"/>
        <w:right w:val="none" w:sz="0" w:space="0" w:color="auto"/>
      </w:divBdr>
    </w:div>
    <w:div w:id="18692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4F5DB2B685DE40BBFE6FABE816830F" ma:contentTypeVersion="15" ma:contentTypeDescription="Create a new document." ma:contentTypeScope="" ma:versionID="692768cd77a166fe6fa95eaf8b72e280">
  <xsd:schema xmlns:xsd="http://www.w3.org/2001/XMLSchema" xmlns:xs="http://www.w3.org/2001/XMLSchema" xmlns:p="http://schemas.microsoft.com/office/2006/metadata/properties" xmlns:ns2="c9c8dd51-70f8-489a-9ad7-6af24dc26e25" xmlns:ns3="31a5e526-7bd4-42c4-bcc5-7cef45b643a2" targetNamespace="http://schemas.microsoft.com/office/2006/metadata/properties" ma:root="true" ma:fieldsID="a437c151c000947367a731bc7e73887d" ns2:_="" ns3:_="">
    <xsd:import namespace="c9c8dd51-70f8-489a-9ad7-6af24dc26e25"/>
    <xsd:import namespace="31a5e526-7bd4-42c4-bcc5-7cef45b64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8dd51-70f8-489a-9ad7-6af24dc26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5e526-7bd4-42c4-bcc5-7cef45b64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e627965-d056-40c8-9253-c8fd0f5c98e1}" ma:internalName="TaxCatchAll" ma:showField="CatchAllData" ma:web="31a5e526-7bd4-42c4-bcc5-7cef45b64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78605-EF30-484F-B5E8-7C2700FB4B79}">
  <ds:schemaRefs>
    <ds:schemaRef ds:uri="http://schemas.microsoft.com/sharepoint/v3/contenttype/forms"/>
  </ds:schemaRefs>
</ds:datastoreItem>
</file>

<file path=customXml/itemProps2.xml><?xml version="1.0" encoding="utf-8"?>
<ds:datastoreItem xmlns:ds="http://schemas.openxmlformats.org/officeDocument/2006/customXml" ds:itemID="{A14CE799-DA05-4827-9BB9-EA1AEF3C9B9C}">
  <ds:schemaRefs>
    <ds:schemaRef ds:uri="http://schemas.openxmlformats.org/officeDocument/2006/bibliography"/>
  </ds:schemaRefs>
</ds:datastoreItem>
</file>

<file path=customXml/itemProps3.xml><?xml version="1.0" encoding="utf-8"?>
<ds:datastoreItem xmlns:ds="http://schemas.openxmlformats.org/officeDocument/2006/customXml" ds:itemID="{F654A832-D86F-439D-A20C-6B11C427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8dd51-70f8-489a-9ad7-6af24dc26e25"/>
    <ds:schemaRef ds:uri="31a5e526-7bd4-42c4-bcc5-7cef45b64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12103</CharactersWithSpaces>
  <SharedDoc>false</SharedDoc>
  <HLinks>
    <vt:vector size="42" baseType="variant">
      <vt:variant>
        <vt:i4>524373</vt:i4>
      </vt:variant>
      <vt:variant>
        <vt:i4>18</vt:i4>
      </vt:variant>
      <vt:variant>
        <vt:i4>0</vt:i4>
      </vt:variant>
      <vt:variant>
        <vt:i4>5</vt:i4>
      </vt:variant>
      <vt:variant>
        <vt:lpwstr>http://www.ag.gov.au/RightsAndProtections/HumanRights/PublicSector/Pages/Toolforassessinghumanrightscompatibility.aspx</vt:lpwstr>
      </vt:variant>
      <vt:variant>
        <vt:lpwstr>3flowchart</vt:lpwstr>
      </vt:variant>
      <vt:variant>
        <vt:i4>6684771</vt:i4>
      </vt:variant>
      <vt:variant>
        <vt:i4>15</vt:i4>
      </vt:variant>
      <vt:variant>
        <vt:i4>0</vt:i4>
      </vt:variant>
      <vt:variant>
        <vt:i4>5</vt:i4>
      </vt:variant>
      <vt:variant>
        <vt:lpwstr>http://www.ag.gov.au/RightsAndProtections/HumanRights/PublicSectorGuidanceSheets/Pages/Permissiblelimitations.aspx</vt:lpwstr>
      </vt:variant>
      <vt:variant>
        <vt:lpwstr/>
      </vt:variant>
      <vt:variant>
        <vt:i4>6881396</vt:i4>
      </vt:variant>
      <vt:variant>
        <vt:i4>12</vt:i4>
      </vt:variant>
      <vt:variant>
        <vt:i4>0</vt:i4>
      </vt:variant>
      <vt:variant>
        <vt:i4>5</vt:i4>
      </vt:variant>
      <vt:variant>
        <vt:lpwstr>http://www.aph.gov.au/Parliamentary_Business/Committees/Joint/Human_Rights</vt:lpwstr>
      </vt:variant>
      <vt:variant>
        <vt:lpwstr/>
      </vt:variant>
      <vt:variant>
        <vt:i4>5308456</vt:i4>
      </vt:variant>
      <vt:variant>
        <vt:i4>9</vt:i4>
      </vt:variant>
      <vt:variant>
        <vt:i4>0</vt:i4>
      </vt:variant>
      <vt:variant>
        <vt:i4>5</vt:i4>
      </vt:variant>
      <vt:variant>
        <vt:lpwstr>https://www.aph.gov.au/Parliamentary_Business/Committees/Joint/Human_Rights/Guidance_Notes_and_Resources</vt:lpwstr>
      </vt:variant>
      <vt:variant>
        <vt:lpwstr/>
      </vt: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721007</vt:i4>
      </vt:variant>
      <vt:variant>
        <vt:i4>0</vt:i4>
      </vt:variant>
      <vt:variant>
        <vt:i4>0</vt:i4>
      </vt:variant>
      <vt:variant>
        <vt:i4>5</vt:i4>
      </vt:variant>
      <vt:variant>
        <vt:lpwstr>mailto:healthlawadvice@health.gov.au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PITT, Michael</dc:creator>
  <cp:keywords/>
  <dc:description/>
  <cp:lastModifiedBy>Diana</cp:lastModifiedBy>
  <cp:revision>7</cp:revision>
  <cp:lastPrinted>2011-11-04T01:54:00Z</cp:lastPrinted>
  <dcterms:created xsi:type="dcterms:W3CDTF">2025-06-10T03:34:00Z</dcterms:created>
  <dcterms:modified xsi:type="dcterms:W3CDTF">2025-06-23T05:17:00Z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