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2E39" w14:textId="20433749" w:rsidR="0094431D" w:rsidRPr="0094431D" w:rsidRDefault="00BB0EC8" w:rsidP="00E66662">
      <w:pPr>
        <w:widowControl w:val="0"/>
        <w:pBdr>
          <w:top w:val="single" w:sz="6" w:space="5" w:color="auto"/>
          <w:bottom w:val="single" w:sz="4" w:space="8" w:color="auto"/>
        </w:pBdr>
        <w:autoSpaceDE w:val="0"/>
        <w:autoSpaceDN w:val="0"/>
        <w:adjustRightInd w:val="0"/>
        <w:spacing w:before="120" w:after="120"/>
        <w:rPr>
          <w:rFonts w:ascii="Arial Black" w:hAnsi="Arial Black" w:cs="Arial Black"/>
          <w:sz w:val="16"/>
          <w:szCs w:val="16"/>
          <w:lang w:val="en-US"/>
        </w:rPr>
      </w:pPr>
      <w:r w:rsidRPr="00BB0EC8">
        <w:rPr>
          <w:rFonts w:ascii="Arial Black" w:hAnsi="Arial Black" w:cs="Arial Black"/>
          <w:sz w:val="28"/>
          <w:szCs w:val="28"/>
          <w:lang w:val="en-US"/>
        </w:rPr>
        <w:t xml:space="preserve">Explanatory Statement: </w:t>
      </w:r>
      <w:r w:rsidR="00394B1E">
        <w:rPr>
          <w:rFonts w:ascii="Arial Black" w:hAnsi="Arial Black" w:cs="Arial Black"/>
          <w:sz w:val="28"/>
          <w:szCs w:val="28"/>
          <w:lang w:val="en-US"/>
        </w:rPr>
        <w:t xml:space="preserve">Remuneration </w:t>
      </w:r>
      <w:r w:rsidR="00394B1E" w:rsidRPr="00E66662">
        <w:rPr>
          <w:rFonts w:ascii="Arial Black" w:eastAsiaTheme="majorEastAsia" w:hAnsi="Arial Black"/>
          <w:bCs/>
          <w:noProof/>
          <w:color w:val="000000" w:themeColor="text1"/>
          <w:sz w:val="28"/>
          <w:szCs w:val="28"/>
          <w:lang w:eastAsia="en-US"/>
        </w:rPr>
        <w:t xml:space="preserve">Tribunal (Remuneration and Allowances for </w:t>
      </w:r>
      <w:r w:rsidRPr="00E66662">
        <w:rPr>
          <w:rFonts w:ascii="Arial Black" w:eastAsiaTheme="majorEastAsia" w:hAnsi="Arial Black"/>
          <w:bCs/>
          <w:noProof/>
          <w:color w:val="000000" w:themeColor="text1"/>
          <w:sz w:val="28"/>
          <w:szCs w:val="28"/>
          <w:lang w:eastAsia="en-US"/>
        </w:rPr>
        <w:t>Holders of Full-</w:t>
      </w:r>
      <w:r w:rsidR="00085EE4">
        <w:rPr>
          <w:rFonts w:ascii="Arial Black" w:eastAsiaTheme="majorEastAsia" w:hAnsi="Arial Black"/>
          <w:bCs/>
          <w:noProof/>
          <w:color w:val="000000" w:themeColor="text1"/>
          <w:sz w:val="28"/>
          <w:szCs w:val="28"/>
          <w:lang w:eastAsia="en-US"/>
        </w:rPr>
        <w:t>t</w:t>
      </w:r>
      <w:r w:rsidRPr="00E66662">
        <w:rPr>
          <w:rFonts w:ascii="Arial Black" w:eastAsiaTheme="majorEastAsia" w:hAnsi="Arial Black"/>
          <w:bCs/>
          <w:noProof/>
          <w:color w:val="000000" w:themeColor="text1"/>
          <w:sz w:val="28"/>
          <w:szCs w:val="28"/>
          <w:lang w:eastAsia="en-US"/>
        </w:rPr>
        <w:t>ime Public Office</w:t>
      </w:r>
      <w:r w:rsidR="00BC2F6B" w:rsidRPr="00E66662">
        <w:rPr>
          <w:rFonts w:ascii="Arial Black" w:eastAsiaTheme="majorEastAsia" w:hAnsi="Arial Black"/>
          <w:bCs/>
          <w:noProof/>
          <w:color w:val="000000" w:themeColor="text1"/>
          <w:sz w:val="28"/>
          <w:szCs w:val="28"/>
          <w:lang w:eastAsia="en-US"/>
        </w:rPr>
        <w:t>) Determination</w:t>
      </w:r>
      <w:r w:rsidR="00216D6B">
        <w:rPr>
          <w:rFonts w:ascii="Arial Black" w:eastAsiaTheme="majorEastAsia" w:hAnsi="Arial Black"/>
          <w:bCs/>
          <w:noProof/>
          <w:color w:val="000000" w:themeColor="text1"/>
          <w:sz w:val="28"/>
          <w:szCs w:val="28"/>
          <w:lang w:eastAsia="en-US"/>
        </w:rPr>
        <w:t xml:space="preserve"> </w:t>
      </w:r>
      <w:r w:rsidR="00BC2F6B" w:rsidRPr="00E66662">
        <w:rPr>
          <w:rFonts w:ascii="Arial Black" w:eastAsiaTheme="majorEastAsia" w:hAnsi="Arial Black"/>
          <w:bCs/>
          <w:noProof/>
          <w:color w:val="000000" w:themeColor="text1"/>
          <w:sz w:val="28"/>
          <w:szCs w:val="28"/>
          <w:lang w:eastAsia="en-US"/>
        </w:rPr>
        <w:t>20</w:t>
      </w:r>
      <w:r w:rsidR="00857131">
        <w:rPr>
          <w:rFonts w:ascii="Arial Black" w:eastAsiaTheme="majorEastAsia" w:hAnsi="Arial Black"/>
          <w:bCs/>
          <w:noProof/>
          <w:color w:val="000000" w:themeColor="text1"/>
          <w:sz w:val="28"/>
          <w:szCs w:val="28"/>
          <w:lang w:eastAsia="en-US"/>
        </w:rPr>
        <w:t>2</w:t>
      </w:r>
      <w:r w:rsidR="00271ECF">
        <w:rPr>
          <w:rFonts w:ascii="Arial Black" w:eastAsiaTheme="majorEastAsia" w:hAnsi="Arial Black"/>
          <w:bCs/>
          <w:noProof/>
          <w:color w:val="000000" w:themeColor="text1"/>
          <w:sz w:val="28"/>
          <w:szCs w:val="28"/>
          <w:lang w:eastAsia="en-US"/>
        </w:rPr>
        <w:t>5</w:t>
      </w:r>
    </w:p>
    <w:p w14:paraId="02132E3A" w14:textId="404438C8" w:rsidR="007375C6" w:rsidRPr="00140909" w:rsidRDefault="007375C6" w:rsidP="00085EE4">
      <w:pPr>
        <w:pStyle w:val="ListParagraph"/>
        <w:numPr>
          <w:ilvl w:val="0"/>
          <w:numId w:val="22"/>
        </w:numPr>
        <w:tabs>
          <w:tab w:val="clear" w:pos="786"/>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426CAD">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426CAD">
        <w:rPr>
          <w:rFonts w:ascii="Verdana" w:hAnsi="Verdana"/>
          <w:sz w:val="22"/>
          <w:szCs w:val="22"/>
        </w:rPr>
        <w:t xml:space="preserve"> </w:t>
      </w:r>
      <w:r w:rsidRPr="00140909">
        <w:rPr>
          <w:rFonts w:ascii="Verdana" w:hAnsi="Verdana"/>
          <w:sz w:val="22"/>
          <w:szCs w:val="22"/>
        </w:rPr>
        <w:t>An additional function of the Tribunal is to determine a classification structure for Principal Executive Offices and the terms and conditions applicable to each classification within the structure.</w:t>
      </w:r>
    </w:p>
    <w:p w14:paraId="02132E3B" w14:textId="77777777" w:rsidR="007375C6" w:rsidRPr="00140909" w:rsidRDefault="007375C6" w:rsidP="00085EE4">
      <w:pPr>
        <w:tabs>
          <w:tab w:val="num" w:pos="426"/>
        </w:tabs>
        <w:spacing w:before="60" w:after="60" w:line="276" w:lineRule="auto"/>
        <w:ind w:left="425" w:hanging="425"/>
        <w:rPr>
          <w:rFonts w:ascii="Verdana" w:hAnsi="Verdana" w:cs="Verdana"/>
          <w:b/>
          <w:sz w:val="22"/>
          <w:szCs w:val="22"/>
        </w:rPr>
      </w:pPr>
      <w:r w:rsidRPr="00140909">
        <w:rPr>
          <w:rFonts w:ascii="Verdana" w:hAnsi="Verdana" w:cs="Verdana"/>
          <w:b/>
          <w:sz w:val="22"/>
          <w:szCs w:val="22"/>
        </w:rPr>
        <w:t>Consultation</w:t>
      </w:r>
    </w:p>
    <w:p w14:paraId="02132E3C" w14:textId="77777777" w:rsidR="007375C6" w:rsidRPr="00140909" w:rsidRDefault="007375C6" w:rsidP="00085EE4">
      <w:pPr>
        <w:pStyle w:val="ListParagraph"/>
        <w:numPr>
          <w:ilvl w:val="0"/>
          <w:numId w:val="22"/>
        </w:numPr>
        <w:tabs>
          <w:tab w:val="clear" w:pos="786"/>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02132E3D" w14:textId="77777777" w:rsidR="007375C6" w:rsidRPr="00140909" w:rsidRDefault="007375C6" w:rsidP="00085EE4">
      <w:pPr>
        <w:pStyle w:val="ListParagraph"/>
        <w:numPr>
          <w:ilvl w:val="0"/>
          <w:numId w:val="30"/>
        </w:numPr>
        <w:spacing w:before="60" w:after="60"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02132E3E" w14:textId="77777777" w:rsidR="007375C6" w:rsidRPr="00140909" w:rsidRDefault="007375C6" w:rsidP="00085EE4">
      <w:pPr>
        <w:pStyle w:val="ListParagraph"/>
        <w:numPr>
          <w:ilvl w:val="0"/>
          <w:numId w:val="30"/>
        </w:numPr>
        <w:spacing w:before="60" w:after="60"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02132E3F" w14:textId="77777777" w:rsidR="007375C6" w:rsidRPr="00140909" w:rsidRDefault="007375C6" w:rsidP="00085EE4">
      <w:pPr>
        <w:pStyle w:val="ListParagraph"/>
        <w:numPr>
          <w:ilvl w:val="0"/>
          <w:numId w:val="30"/>
        </w:numPr>
        <w:spacing w:before="60" w:after="60"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02132E40" w14:textId="77777777" w:rsidR="007375C6" w:rsidRPr="00140909" w:rsidRDefault="007375C6" w:rsidP="00085EE4">
      <w:pPr>
        <w:pStyle w:val="ListParagraph"/>
        <w:numPr>
          <w:ilvl w:val="0"/>
          <w:numId w:val="30"/>
        </w:numPr>
        <w:spacing w:before="60" w:after="60"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1D4354DC" w14:textId="2C59DFE2" w:rsidR="00FD3D13" w:rsidRPr="00140909" w:rsidRDefault="00FD3D13" w:rsidP="00085EE4">
      <w:pPr>
        <w:tabs>
          <w:tab w:val="num" w:pos="426"/>
        </w:tabs>
        <w:spacing w:before="60" w:after="60" w:line="276" w:lineRule="auto"/>
        <w:ind w:left="426" w:hanging="426"/>
        <w:rPr>
          <w:rFonts w:ascii="Verdana" w:hAnsi="Verdana"/>
          <w:i/>
          <w:sz w:val="22"/>
          <w:szCs w:val="22"/>
        </w:rPr>
      </w:pPr>
      <w:r w:rsidRPr="00140909">
        <w:rPr>
          <w:rFonts w:ascii="Verdana" w:hAnsi="Verdana"/>
          <w:i/>
          <w:sz w:val="22"/>
          <w:szCs w:val="22"/>
        </w:rPr>
        <w:t>Review of Remuneration for Holders of Public Office</w:t>
      </w:r>
    </w:p>
    <w:p w14:paraId="3B1B4AF9" w14:textId="5FE65E3E" w:rsidR="00FD3D13" w:rsidRDefault="00FD3D13" w:rsidP="00085EE4">
      <w:pPr>
        <w:pStyle w:val="ListParagraph"/>
        <w:numPr>
          <w:ilvl w:val="0"/>
          <w:numId w:val="22"/>
        </w:numPr>
        <w:tabs>
          <w:tab w:val="clear" w:pos="786"/>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Tribunal’s obligations, under sub-sections 7(3) and 8(1)(b) of the Act are to make determinations in respect of remuneration for various offices within its jurisdiction at periods of not more than one year.</w:t>
      </w:r>
      <w:r w:rsidR="00426CAD">
        <w:rPr>
          <w:rFonts w:ascii="Verdana" w:hAnsi="Verdana"/>
          <w:sz w:val="22"/>
          <w:szCs w:val="22"/>
        </w:rPr>
        <w:t xml:space="preserve"> </w:t>
      </w:r>
      <w:r w:rsidR="00A41F74">
        <w:rPr>
          <w:rFonts w:ascii="Verdana" w:hAnsi="Verdana"/>
          <w:sz w:val="22"/>
          <w:szCs w:val="22"/>
        </w:rPr>
        <w:t xml:space="preserve">To meet this obligation, the Tribunal last issued principal determinations </w:t>
      </w:r>
      <w:r w:rsidR="009D2E8C">
        <w:rPr>
          <w:rFonts w:ascii="Verdana" w:hAnsi="Verdana"/>
          <w:sz w:val="22"/>
          <w:szCs w:val="22"/>
        </w:rPr>
        <w:t xml:space="preserve">on </w:t>
      </w:r>
      <w:r w:rsidR="00BE73FF">
        <w:rPr>
          <w:rFonts w:ascii="Verdana" w:hAnsi="Verdana"/>
          <w:sz w:val="22"/>
          <w:szCs w:val="22"/>
        </w:rPr>
        <w:t>25 June 2024</w:t>
      </w:r>
      <w:r w:rsidR="00A41F74">
        <w:rPr>
          <w:rFonts w:ascii="Verdana" w:hAnsi="Verdana"/>
          <w:sz w:val="22"/>
          <w:szCs w:val="22"/>
        </w:rPr>
        <w:t xml:space="preserve">. </w:t>
      </w:r>
    </w:p>
    <w:p w14:paraId="2117FE23" w14:textId="26F5588E" w:rsidR="00FD3D13" w:rsidRPr="00140909" w:rsidRDefault="00FD3D13" w:rsidP="00085EE4">
      <w:pPr>
        <w:pStyle w:val="ListParagraph"/>
        <w:numPr>
          <w:ilvl w:val="0"/>
          <w:numId w:val="22"/>
        </w:numPr>
        <w:tabs>
          <w:tab w:val="clear" w:pos="786"/>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In complying with its obligations</w:t>
      </w:r>
      <w:r w:rsidR="00216D6B">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sidR="00AA5444">
        <w:rPr>
          <w:rFonts w:ascii="Verdana" w:hAnsi="Verdana"/>
          <w:sz w:val="22"/>
          <w:szCs w:val="22"/>
        </w:rPr>
        <w:t>is</w:t>
      </w:r>
      <w:r w:rsidRPr="00140909">
        <w:rPr>
          <w:rFonts w:ascii="Verdana" w:hAnsi="Verdana"/>
          <w:sz w:val="22"/>
          <w:szCs w:val="22"/>
        </w:rPr>
        <w:t xml:space="preserve"> warranted.</w:t>
      </w:r>
      <w:r w:rsidR="00426CAD">
        <w:rPr>
          <w:rFonts w:ascii="Verdana" w:hAnsi="Verdana"/>
          <w:sz w:val="22"/>
          <w:szCs w:val="22"/>
        </w:rPr>
        <w:t xml:space="preserve"> </w:t>
      </w:r>
      <w:r w:rsidR="00A41F74">
        <w:rPr>
          <w:rFonts w:ascii="Verdana" w:hAnsi="Verdana"/>
          <w:sz w:val="22"/>
          <w:szCs w:val="22"/>
        </w:rPr>
        <w:t>T</w:t>
      </w:r>
      <w:r w:rsidRPr="00140909">
        <w:rPr>
          <w:rFonts w:ascii="Verdana" w:hAnsi="Verdana"/>
          <w:sz w:val="22"/>
          <w:szCs w:val="22"/>
        </w:rPr>
        <w:t>he Tribunal takes account of economic conditions in Australia, past and projected movements in remuneration in the public and private sectors</w:t>
      </w:r>
      <w:r w:rsidR="00A46176">
        <w:rPr>
          <w:rFonts w:ascii="Verdana" w:hAnsi="Verdana"/>
          <w:sz w:val="22"/>
          <w:szCs w:val="22"/>
        </w:rPr>
        <w:t>,</w:t>
      </w:r>
      <w:r w:rsidRPr="00140909">
        <w:rPr>
          <w:rFonts w:ascii="Verdana" w:hAnsi="Verdana"/>
          <w:sz w:val="22"/>
          <w:szCs w:val="22"/>
        </w:rPr>
        <w:t xml:space="preserve"> </w:t>
      </w:r>
      <w:r w:rsidR="00E3557C">
        <w:rPr>
          <w:rFonts w:ascii="Verdana" w:hAnsi="Verdana"/>
          <w:sz w:val="22"/>
          <w:szCs w:val="22"/>
        </w:rPr>
        <w:t xml:space="preserve">and </w:t>
      </w:r>
      <w:r w:rsidR="00E3557C" w:rsidRPr="00140909">
        <w:rPr>
          <w:rFonts w:ascii="Verdana" w:hAnsi="Verdana"/>
          <w:sz w:val="22"/>
          <w:szCs w:val="22"/>
        </w:rPr>
        <w:t xml:space="preserve">the </w:t>
      </w:r>
      <w:r w:rsidR="00E3557C">
        <w:rPr>
          <w:rFonts w:ascii="Verdana" w:hAnsi="Verdana"/>
          <w:sz w:val="22"/>
          <w:szCs w:val="22"/>
        </w:rPr>
        <w:t>outcome of the wage reviews undertaken by t</w:t>
      </w:r>
      <w:r w:rsidR="00E3557C" w:rsidRPr="00140909">
        <w:rPr>
          <w:rFonts w:ascii="Verdana" w:hAnsi="Verdana"/>
          <w:sz w:val="22"/>
          <w:szCs w:val="22"/>
        </w:rPr>
        <w:t>he Fair Work Commission.</w:t>
      </w:r>
    </w:p>
    <w:p w14:paraId="307D49BA" w14:textId="4B7C48F1" w:rsidR="00FD3D13" w:rsidRDefault="00FD3D13" w:rsidP="00085EE4">
      <w:pPr>
        <w:pStyle w:val="ListParagraph"/>
        <w:numPr>
          <w:ilvl w:val="0"/>
          <w:numId w:val="22"/>
        </w:numPr>
        <w:tabs>
          <w:tab w:val="clear" w:pos="786"/>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 xml:space="preserve">The Tribunal did not receive any submissions </w:t>
      </w:r>
      <w:r w:rsidR="00585CFC">
        <w:rPr>
          <w:rFonts w:ascii="Verdana" w:hAnsi="Verdana"/>
          <w:sz w:val="22"/>
          <w:szCs w:val="22"/>
        </w:rPr>
        <w:t>relat</w:t>
      </w:r>
      <w:r w:rsidR="00A002ED">
        <w:rPr>
          <w:rFonts w:ascii="Verdana" w:hAnsi="Verdana"/>
          <w:sz w:val="22"/>
          <w:szCs w:val="22"/>
        </w:rPr>
        <w:t>ing</w:t>
      </w:r>
      <w:r w:rsidR="00585CFC">
        <w:rPr>
          <w:rFonts w:ascii="Verdana" w:hAnsi="Verdana"/>
          <w:sz w:val="22"/>
          <w:szCs w:val="22"/>
        </w:rPr>
        <w:t xml:space="preserve"> to full-time public offices as part of</w:t>
      </w:r>
      <w:r>
        <w:rPr>
          <w:rFonts w:ascii="Verdana" w:hAnsi="Verdana"/>
          <w:sz w:val="22"/>
          <w:szCs w:val="22"/>
        </w:rPr>
        <w:t xml:space="preserve"> this </w:t>
      </w:r>
      <w:r w:rsidR="00941663">
        <w:rPr>
          <w:rFonts w:ascii="Verdana" w:hAnsi="Verdana"/>
          <w:sz w:val="22"/>
          <w:szCs w:val="22"/>
        </w:rPr>
        <w:t>review</w:t>
      </w:r>
      <w:r>
        <w:rPr>
          <w:rFonts w:ascii="Verdana" w:hAnsi="Verdana"/>
          <w:sz w:val="22"/>
          <w:szCs w:val="22"/>
        </w:rPr>
        <w:t>.</w:t>
      </w:r>
    </w:p>
    <w:p w14:paraId="2DF370B3" w14:textId="7B3924B0" w:rsidR="00607FCD" w:rsidRPr="00583800" w:rsidRDefault="00607FCD" w:rsidP="00085EE4">
      <w:pPr>
        <w:pStyle w:val="ListParagraph"/>
        <w:numPr>
          <w:ilvl w:val="0"/>
          <w:numId w:val="22"/>
        </w:numPr>
        <w:tabs>
          <w:tab w:val="clear" w:pos="786"/>
          <w:tab w:val="num" w:pos="426"/>
        </w:tabs>
        <w:spacing w:before="60" w:after="60" w:line="276" w:lineRule="auto"/>
        <w:ind w:left="426" w:hanging="426"/>
        <w:contextualSpacing w:val="0"/>
        <w:rPr>
          <w:rFonts w:ascii="Verdana" w:hAnsi="Verdana"/>
          <w:sz w:val="22"/>
          <w:szCs w:val="22"/>
        </w:rPr>
      </w:pPr>
      <w:r w:rsidRPr="00583800">
        <w:rPr>
          <w:rFonts w:ascii="Verdana" w:hAnsi="Verdana"/>
          <w:sz w:val="22"/>
          <w:szCs w:val="22"/>
        </w:rPr>
        <w:t xml:space="preserve">On </w:t>
      </w:r>
      <w:r w:rsidR="00BE73FF">
        <w:rPr>
          <w:rFonts w:ascii="Verdana" w:hAnsi="Verdana"/>
          <w:sz w:val="22"/>
          <w:szCs w:val="22"/>
        </w:rPr>
        <w:t>6 June 2025</w:t>
      </w:r>
      <w:r w:rsidRPr="00583800">
        <w:rPr>
          <w:rFonts w:ascii="Verdana" w:hAnsi="Verdana"/>
          <w:sz w:val="22"/>
          <w:szCs w:val="22"/>
        </w:rPr>
        <w:t xml:space="preserve"> the Tribunal decided to determine a general adjustment of </w:t>
      </w:r>
      <w:r w:rsidR="00BE73FF">
        <w:rPr>
          <w:rFonts w:ascii="Verdana" w:hAnsi="Verdana"/>
          <w:sz w:val="22"/>
          <w:szCs w:val="22"/>
        </w:rPr>
        <w:t>2.4</w:t>
      </w:r>
      <w:r w:rsidR="00426CAD">
        <w:rPr>
          <w:rFonts w:ascii="Verdana" w:hAnsi="Verdana"/>
          <w:sz w:val="22"/>
          <w:szCs w:val="22"/>
        </w:rPr>
        <w:t>%</w:t>
      </w:r>
      <w:r w:rsidRPr="00583800">
        <w:rPr>
          <w:rFonts w:ascii="Verdana" w:hAnsi="Verdana"/>
          <w:sz w:val="22"/>
          <w:szCs w:val="22"/>
        </w:rPr>
        <w:t xml:space="preserve"> to remuneration for public offices in its jurisdiction</w:t>
      </w:r>
      <w:r w:rsidR="00583800" w:rsidRPr="00583800">
        <w:rPr>
          <w:rFonts w:ascii="Verdana" w:hAnsi="Verdana"/>
          <w:sz w:val="22"/>
          <w:szCs w:val="22"/>
        </w:rPr>
        <w:t>.</w:t>
      </w:r>
      <w:r w:rsidR="00426CAD">
        <w:rPr>
          <w:rFonts w:ascii="Verdana" w:hAnsi="Verdana"/>
          <w:sz w:val="22"/>
          <w:szCs w:val="22"/>
        </w:rPr>
        <w:t xml:space="preserve"> </w:t>
      </w:r>
      <w:r w:rsidR="00583800" w:rsidRPr="00583800">
        <w:rPr>
          <w:rFonts w:ascii="Verdana" w:hAnsi="Verdana"/>
          <w:sz w:val="22"/>
          <w:szCs w:val="22"/>
        </w:rPr>
        <w:t>The increase applies with effect from 1 July 202</w:t>
      </w:r>
      <w:r w:rsidR="00BE73FF">
        <w:rPr>
          <w:rFonts w:ascii="Verdana" w:hAnsi="Verdana"/>
          <w:sz w:val="22"/>
          <w:szCs w:val="22"/>
        </w:rPr>
        <w:t>5</w:t>
      </w:r>
      <w:r w:rsidR="00426CAD">
        <w:rPr>
          <w:rFonts w:ascii="Verdana" w:hAnsi="Verdana"/>
          <w:sz w:val="22"/>
          <w:szCs w:val="22"/>
        </w:rPr>
        <w:t xml:space="preserve">. </w:t>
      </w:r>
    </w:p>
    <w:p w14:paraId="1189CB1D" w14:textId="145B3421" w:rsidR="00FD3D13" w:rsidRDefault="00FD3D13" w:rsidP="2492C004">
      <w:pPr>
        <w:pStyle w:val="ListParagraph"/>
        <w:numPr>
          <w:ilvl w:val="0"/>
          <w:numId w:val="22"/>
        </w:numPr>
        <w:tabs>
          <w:tab w:val="clear" w:pos="786"/>
          <w:tab w:val="num" w:pos="426"/>
        </w:tabs>
        <w:spacing w:before="60" w:after="60" w:line="276" w:lineRule="auto"/>
        <w:ind w:left="425" w:hanging="425"/>
        <w:rPr>
          <w:rFonts w:ascii="Verdana" w:hAnsi="Verdana"/>
          <w:sz w:val="22"/>
          <w:szCs w:val="22"/>
        </w:rPr>
      </w:pPr>
      <w:r w:rsidRPr="2492C004">
        <w:rPr>
          <w:rFonts w:ascii="Verdana" w:hAnsi="Verdana"/>
          <w:sz w:val="22"/>
          <w:szCs w:val="22"/>
        </w:rPr>
        <w:t xml:space="preserve">A statement setting out the Tribunal’s reasons for </w:t>
      </w:r>
      <w:r w:rsidR="13B6B444" w:rsidRPr="2492C004">
        <w:rPr>
          <w:rFonts w:ascii="Verdana" w:hAnsi="Verdana"/>
          <w:sz w:val="22"/>
          <w:szCs w:val="22"/>
        </w:rPr>
        <w:t xml:space="preserve">its </w:t>
      </w:r>
      <w:r w:rsidRPr="2492C004">
        <w:rPr>
          <w:rFonts w:ascii="Verdana" w:hAnsi="Verdana"/>
          <w:sz w:val="22"/>
          <w:szCs w:val="22"/>
        </w:rPr>
        <w:t xml:space="preserve">decision is available at </w:t>
      </w:r>
      <w:r w:rsidRPr="0020405D">
        <w:rPr>
          <w:rFonts w:ascii="Verdana" w:hAnsi="Verdana"/>
          <w:sz w:val="22"/>
          <w:szCs w:val="22"/>
        </w:rPr>
        <w:t>www.rem</w:t>
      </w:r>
      <w:bookmarkStart w:id="0" w:name="_GoBack"/>
      <w:bookmarkEnd w:id="0"/>
      <w:r w:rsidRPr="0020405D">
        <w:rPr>
          <w:rFonts w:ascii="Verdana" w:hAnsi="Verdana"/>
          <w:sz w:val="22"/>
          <w:szCs w:val="22"/>
        </w:rPr>
        <w:t>tribunal.gov.au</w:t>
      </w:r>
      <w:r w:rsidRPr="2492C004">
        <w:rPr>
          <w:rFonts w:ascii="Verdana" w:hAnsi="Verdana"/>
          <w:sz w:val="22"/>
          <w:szCs w:val="22"/>
        </w:rPr>
        <w:t>.</w:t>
      </w:r>
    </w:p>
    <w:p w14:paraId="02132E4E" w14:textId="6E3494D6" w:rsidR="00433C29" w:rsidRPr="00FD3D13" w:rsidRDefault="00394B1E" w:rsidP="00085EE4">
      <w:pPr>
        <w:pStyle w:val="ListParagraph"/>
        <w:numPr>
          <w:ilvl w:val="0"/>
          <w:numId w:val="22"/>
        </w:numPr>
        <w:tabs>
          <w:tab w:val="clear" w:pos="786"/>
          <w:tab w:val="num" w:pos="426"/>
        </w:tabs>
        <w:spacing w:before="60" w:after="60" w:line="276" w:lineRule="auto"/>
        <w:ind w:left="425" w:hanging="425"/>
        <w:contextualSpacing w:val="0"/>
        <w:rPr>
          <w:rFonts w:ascii="Verdana" w:hAnsi="Verdana"/>
          <w:sz w:val="22"/>
          <w:szCs w:val="22"/>
        </w:rPr>
      </w:pPr>
      <w:r w:rsidRPr="00AA5347">
        <w:rPr>
          <w:rFonts w:ascii="Verdana" w:hAnsi="Verdana"/>
          <w:sz w:val="22"/>
          <w:szCs w:val="22"/>
        </w:rPr>
        <w:t xml:space="preserve">Remuneration Tribunal (Remuneration and Allowances for Holders of Full-time Public Office) </w:t>
      </w:r>
      <w:r w:rsidR="00433C29" w:rsidRPr="00AA5347">
        <w:rPr>
          <w:rFonts w:ascii="Verdana" w:hAnsi="Verdana"/>
          <w:sz w:val="22"/>
          <w:szCs w:val="22"/>
        </w:rPr>
        <w:t>Determination 20</w:t>
      </w:r>
      <w:r w:rsidR="009625CE" w:rsidRPr="00AA5347">
        <w:rPr>
          <w:rFonts w:ascii="Verdana" w:hAnsi="Verdana"/>
          <w:sz w:val="22"/>
          <w:szCs w:val="22"/>
        </w:rPr>
        <w:t>2</w:t>
      </w:r>
      <w:r w:rsidR="00BE73FF">
        <w:rPr>
          <w:rFonts w:ascii="Verdana" w:hAnsi="Verdana"/>
          <w:sz w:val="22"/>
          <w:szCs w:val="22"/>
        </w:rPr>
        <w:t>5</w:t>
      </w:r>
      <w:r w:rsidR="00433C29" w:rsidRPr="00FD3D13">
        <w:rPr>
          <w:rFonts w:ascii="Verdana" w:hAnsi="Verdana"/>
          <w:sz w:val="22"/>
          <w:szCs w:val="22"/>
        </w:rPr>
        <w:t xml:space="preserve"> </w:t>
      </w:r>
      <w:r w:rsidR="006851B9" w:rsidRPr="00FD3D13">
        <w:rPr>
          <w:rFonts w:ascii="Verdana" w:hAnsi="Verdana"/>
          <w:sz w:val="22"/>
          <w:szCs w:val="22"/>
        </w:rPr>
        <w:t xml:space="preserve">implements </w:t>
      </w:r>
      <w:r w:rsidR="00433C29" w:rsidRPr="00FD3D13">
        <w:rPr>
          <w:rFonts w:ascii="Verdana" w:hAnsi="Verdana"/>
          <w:sz w:val="22"/>
          <w:szCs w:val="22"/>
        </w:rPr>
        <w:t xml:space="preserve">the Tribunal’s decision for </w:t>
      </w:r>
      <w:r w:rsidR="00C865FC">
        <w:rPr>
          <w:rFonts w:ascii="Verdana" w:hAnsi="Verdana"/>
          <w:sz w:val="22"/>
          <w:szCs w:val="22"/>
        </w:rPr>
        <w:t>f</w:t>
      </w:r>
      <w:r w:rsidR="00433C29" w:rsidRPr="00FD3D13">
        <w:rPr>
          <w:rFonts w:ascii="Verdana" w:hAnsi="Verdana"/>
          <w:sz w:val="22"/>
          <w:szCs w:val="22"/>
        </w:rPr>
        <w:t>ull</w:t>
      </w:r>
      <w:r w:rsidR="009F2F16" w:rsidRPr="00FD3D13">
        <w:rPr>
          <w:rFonts w:ascii="Verdana" w:hAnsi="Verdana"/>
          <w:sz w:val="22"/>
          <w:szCs w:val="22"/>
        </w:rPr>
        <w:noBreakHyphen/>
      </w:r>
      <w:r w:rsidR="00F0291B" w:rsidRPr="00FD3D13">
        <w:rPr>
          <w:rFonts w:ascii="Verdana" w:hAnsi="Verdana"/>
          <w:sz w:val="22"/>
          <w:szCs w:val="22"/>
        </w:rPr>
        <w:t>t</w:t>
      </w:r>
      <w:r w:rsidR="00433C29" w:rsidRPr="00FD3D13">
        <w:rPr>
          <w:rFonts w:ascii="Verdana" w:hAnsi="Verdana"/>
          <w:sz w:val="22"/>
          <w:szCs w:val="22"/>
        </w:rPr>
        <w:t xml:space="preserve">ime </w:t>
      </w:r>
      <w:r w:rsidR="00C865FC">
        <w:rPr>
          <w:rFonts w:ascii="Verdana" w:hAnsi="Verdana"/>
          <w:sz w:val="22"/>
          <w:szCs w:val="22"/>
        </w:rPr>
        <w:t>p</w:t>
      </w:r>
      <w:r w:rsidR="00433C29" w:rsidRPr="00FD3D13">
        <w:rPr>
          <w:rFonts w:ascii="Verdana" w:hAnsi="Verdana"/>
          <w:sz w:val="22"/>
          <w:szCs w:val="22"/>
        </w:rPr>
        <w:t xml:space="preserve">ublic </w:t>
      </w:r>
      <w:r w:rsidR="00C865FC">
        <w:rPr>
          <w:rFonts w:ascii="Verdana" w:hAnsi="Verdana"/>
          <w:sz w:val="22"/>
          <w:szCs w:val="22"/>
        </w:rPr>
        <w:t>o</w:t>
      </w:r>
      <w:r w:rsidR="00433C29" w:rsidRPr="00FD3D13">
        <w:rPr>
          <w:rFonts w:ascii="Verdana" w:hAnsi="Verdana"/>
          <w:sz w:val="22"/>
          <w:szCs w:val="22"/>
        </w:rPr>
        <w:t>ffices.</w:t>
      </w:r>
    </w:p>
    <w:p w14:paraId="288C198B" w14:textId="57927D82" w:rsidR="00FD3D13" w:rsidRDefault="14772122" w:rsidP="70E7442C">
      <w:pPr>
        <w:pStyle w:val="ListParagraph"/>
        <w:numPr>
          <w:ilvl w:val="0"/>
          <w:numId w:val="22"/>
        </w:numPr>
        <w:tabs>
          <w:tab w:val="clear" w:pos="786"/>
          <w:tab w:val="num" w:pos="426"/>
        </w:tabs>
        <w:spacing w:before="60" w:after="60" w:line="276" w:lineRule="auto"/>
        <w:ind w:left="425" w:hanging="425"/>
        <w:rPr>
          <w:rFonts w:ascii="Verdana" w:hAnsi="Verdana"/>
          <w:sz w:val="22"/>
          <w:szCs w:val="22"/>
        </w:rPr>
      </w:pPr>
      <w:r w:rsidRPr="70E7442C">
        <w:rPr>
          <w:rFonts w:ascii="Verdana" w:hAnsi="Verdana"/>
          <w:sz w:val="22"/>
          <w:szCs w:val="22"/>
        </w:rPr>
        <w:lastRenderedPageBreak/>
        <w:t>Consultation on th</w:t>
      </w:r>
      <w:r w:rsidR="10CCF471" w:rsidRPr="70E7442C">
        <w:rPr>
          <w:rFonts w:ascii="Verdana" w:hAnsi="Verdana"/>
          <w:sz w:val="22"/>
          <w:szCs w:val="22"/>
        </w:rPr>
        <w:t>is</w:t>
      </w:r>
      <w:r w:rsidRPr="70E7442C">
        <w:rPr>
          <w:rFonts w:ascii="Verdana" w:hAnsi="Verdana"/>
          <w:sz w:val="22"/>
          <w:szCs w:val="22"/>
        </w:rPr>
        <w:t xml:space="preserve"> </w:t>
      </w:r>
      <w:r w:rsidR="10CCF471" w:rsidRPr="70E7442C">
        <w:rPr>
          <w:rFonts w:ascii="Verdana" w:hAnsi="Verdana"/>
          <w:sz w:val="22"/>
          <w:szCs w:val="22"/>
        </w:rPr>
        <w:t xml:space="preserve">outcome </w:t>
      </w:r>
      <w:r w:rsidRPr="70E7442C">
        <w:rPr>
          <w:rFonts w:ascii="Verdana" w:hAnsi="Verdana"/>
          <w:sz w:val="22"/>
          <w:szCs w:val="22"/>
        </w:rPr>
        <w:t xml:space="preserve">was </w:t>
      </w:r>
      <w:r w:rsidR="2336A316" w:rsidRPr="70E7442C">
        <w:rPr>
          <w:rFonts w:ascii="Verdana" w:hAnsi="Verdana"/>
          <w:sz w:val="22"/>
          <w:szCs w:val="22"/>
        </w:rPr>
        <w:t xml:space="preserve">considered </w:t>
      </w:r>
      <w:r w:rsidRPr="70E7442C">
        <w:rPr>
          <w:rFonts w:ascii="Verdana" w:hAnsi="Verdana"/>
          <w:sz w:val="22"/>
          <w:szCs w:val="22"/>
        </w:rPr>
        <w:t>unnecessary given the matters c</w:t>
      </w:r>
      <w:r w:rsidR="775E5B89" w:rsidRPr="70E7442C">
        <w:rPr>
          <w:rFonts w:ascii="Verdana" w:hAnsi="Verdana"/>
          <w:sz w:val="22"/>
          <w:szCs w:val="22"/>
        </w:rPr>
        <w:t xml:space="preserve">ontemplated </w:t>
      </w:r>
      <w:r w:rsidRPr="70E7442C">
        <w:rPr>
          <w:rFonts w:ascii="Verdana" w:hAnsi="Verdana"/>
          <w:sz w:val="22"/>
          <w:szCs w:val="22"/>
        </w:rPr>
        <w:t>by the Tribunal in making its decision.</w:t>
      </w:r>
    </w:p>
    <w:p w14:paraId="53D50037" w14:textId="19A48D1C" w:rsidR="00D45F98" w:rsidRPr="00140909" w:rsidRDefault="00D45F98" w:rsidP="00D45F98">
      <w:pPr>
        <w:tabs>
          <w:tab w:val="num" w:pos="426"/>
        </w:tabs>
        <w:spacing w:before="60" w:after="60" w:line="276" w:lineRule="auto"/>
        <w:ind w:left="426" w:hanging="426"/>
        <w:rPr>
          <w:rFonts w:ascii="Verdana" w:hAnsi="Verdana"/>
          <w:i/>
          <w:sz w:val="22"/>
          <w:szCs w:val="22"/>
        </w:rPr>
      </w:pPr>
      <w:r>
        <w:rPr>
          <w:rFonts w:ascii="Verdana" w:hAnsi="Verdana"/>
          <w:i/>
          <w:sz w:val="22"/>
          <w:szCs w:val="22"/>
        </w:rPr>
        <w:t>Minor variations to numbering</w:t>
      </w:r>
    </w:p>
    <w:p w14:paraId="2D7625FB" w14:textId="0DBA1975" w:rsidR="00D45F98" w:rsidRDefault="00D45F98" w:rsidP="00D45F98">
      <w:pPr>
        <w:pStyle w:val="ListParagraph"/>
        <w:numPr>
          <w:ilvl w:val="0"/>
          <w:numId w:val="22"/>
        </w:numPr>
        <w:tabs>
          <w:tab w:val="clear" w:pos="786"/>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w:t>
      </w:r>
      <w:r>
        <w:rPr>
          <w:rFonts w:ascii="Verdana" w:hAnsi="Verdana"/>
          <w:sz w:val="22"/>
          <w:szCs w:val="22"/>
        </w:rPr>
        <w:t xml:space="preserve"> has taken the opportunity to make minor edits to numbering in Tables 3B, 5A and 5B, for consistency and clarity within the determination. No consultation occurred on this matter as the amendments </w:t>
      </w:r>
      <w:r w:rsidR="00D51701">
        <w:rPr>
          <w:rFonts w:ascii="Verdana" w:hAnsi="Verdana"/>
          <w:sz w:val="22"/>
          <w:szCs w:val="22"/>
        </w:rPr>
        <w:t xml:space="preserve">do not </w:t>
      </w:r>
      <w:r>
        <w:rPr>
          <w:rFonts w:ascii="Verdana" w:hAnsi="Verdana"/>
          <w:sz w:val="22"/>
          <w:szCs w:val="22"/>
        </w:rPr>
        <w:t>change the effect of the provisions.</w:t>
      </w:r>
    </w:p>
    <w:p w14:paraId="29324B66" w14:textId="77777777" w:rsidR="00ED2810" w:rsidRPr="00ED2810" w:rsidRDefault="00ED2810" w:rsidP="00085EE4">
      <w:pPr>
        <w:keepNext/>
        <w:tabs>
          <w:tab w:val="num" w:pos="284"/>
        </w:tabs>
        <w:spacing w:before="60" w:after="60" w:line="276" w:lineRule="auto"/>
        <w:ind w:left="425" w:hanging="425"/>
        <w:rPr>
          <w:rFonts w:ascii="Verdana" w:hAnsi="Verdana"/>
          <w:b/>
          <w:sz w:val="22"/>
          <w:szCs w:val="22"/>
        </w:rPr>
      </w:pPr>
      <w:r w:rsidRPr="00ED2810">
        <w:rPr>
          <w:rFonts w:ascii="Verdana" w:hAnsi="Verdana"/>
          <w:b/>
          <w:sz w:val="22"/>
          <w:szCs w:val="22"/>
        </w:rPr>
        <w:t>Exemption from sunsetting</w:t>
      </w:r>
    </w:p>
    <w:p w14:paraId="09834892" w14:textId="77777777" w:rsidR="00ED2810" w:rsidRPr="00ED2810" w:rsidRDefault="00ED2810" w:rsidP="00085EE4">
      <w:pPr>
        <w:pStyle w:val="ListParagraph"/>
        <w:numPr>
          <w:ilvl w:val="0"/>
          <w:numId w:val="22"/>
        </w:numPr>
        <w:spacing w:before="60" w:after="6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Pr="00ED2810">
        <w:rPr>
          <w:rFonts w:ascii="Verdana" w:hAnsi="Verdana"/>
          <w:i/>
          <w:sz w:val="22"/>
          <w:szCs w:val="22"/>
        </w:rPr>
        <w:t>Remuneration Tribunal Act 1973</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0C83CB94" w14:textId="77777777" w:rsidR="00ED2810" w:rsidRPr="00ED2810" w:rsidRDefault="00ED2810" w:rsidP="00085EE4">
      <w:pPr>
        <w:pStyle w:val="ListParagraph"/>
        <w:numPr>
          <w:ilvl w:val="0"/>
          <w:numId w:val="22"/>
        </w:numPr>
        <w:spacing w:before="60" w:after="6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3725ABA2" w14:textId="3FB09B3A" w:rsidR="00ED2810" w:rsidRPr="00ED2810" w:rsidRDefault="00ED2810" w:rsidP="00085EE4">
      <w:pPr>
        <w:pStyle w:val="ListParagraph"/>
        <w:numPr>
          <w:ilvl w:val="0"/>
          <w:numId w:val="22"/>
        </w:numPr>
        <w:spacing w:before="60" w:after="6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th</w:t>
      </w:r>
      <w:r w:rsidR="004C15F9">
        <w:rPr>
          <w:rFonts w:ascii="Verdana" w:hAnsi="Verdana"/>
          <w:sz w:val="22"/>
          <w:szCs w:val="22"/>
        </w:rPr>
        <w:t xml:space="preserve">is </w:t>
      </w:r>
      <w:r w:rsidRPr="00ED2810">
        <w:rPr>
          <w:rFonts w:ascii="Verdana" w:hAnsi="Verdana"/>
          <w:sz w:val="22"/>
          <w:szCs w:val="22"/>
        </w:rPr>
        <w:t xml:space="preserve">principal determination </w:t>
      </w:r>
      <w:r w:rsidR="004C15F9">
        <w:rPr>
          <w:rFonts w:ascii="Verdana" w:hAnsi="Verdana"/>
          <w:sz w:val="22"/>
          <w:szCs w:val="22"/>
        </w:rPr>
        <w:t xml:space="preserve">is </w:t>
      </w:r>
      <w:r w:rsidRPr="00ED2810">
        <w:rPr>
          <w:rFonts w:ascii="Verdana" w:hAnsi="Verdana"/>
          <w:sz w:val="22"/>
          <w:szCs w:val="22"/>
        </w:rPr>
        <w:t>unlikely to have any practical effect beyond the usual 10 year sunsetting period. As such, the exemption from sunsetting will not have a practical impact on parliamentary oversight of the relevant measures.</w:t>
      </w:r>
    </w:p>
    <w:p w14:paraId="02132E56" w14:textId="05A5927C" w:rsidR="00E35674" w:rsidRPr="00140909" w:rsidRDefault="00E35674" w:rsidP="00085EE4">
      <w:pPr>
        <w:keepNext/>
        <w:tabs>
          <w:tab w:val="num" w:pos="284"/>
        </w:tabs>
        <w:spacing w:before="60" w:after="60" w:line="276" w:lineRule="auto"/>
        <w:ind w:left="425" w:hanging="425"/>
        <w:rPr>
          <w:rFonts w:ascii="Verdana" w:hAnsi="Verdana"/>
          <w:b/>
          <w:sz w:val="22"/>
          <w:szCs w:val="22"/>
        </w:rPr>
      </w:pPr>
      <w:r w:rsidRPr="00140909">
        <w:rPr>
          <w:rFonts w:ascii="Verdana" w:hAnsi="Verdana"/>
          <w:b/>
          <w:sz w:val="22"/>
          <w:szCs w:val="22"/>
        </w:rPr>
        <w:t>The power to repeal, rescind and revoke, amend and vary</w:t>
      </w:r>
    </w:p>
    <w:p w14:paraId="102948AD" w14:textId="1AD5C6C1" w:rsidR="00C265F8" w:rsidRPr="00140909" w:rsidRDefault="00E35674" w:rsidP="00085EE4">
      <w:pPr>
        <w:pStyle w:val="ListParagraph"/>
        <w:numPr>
          <w:ilvl w:val="0"/>
          <w:numId w:val="22"/>
        </w:numPr>
        <w:spacing w:before="60" w:after="60" w:line="276" w:lineRule="auto"/>
        <w:ind w:left="425" w:hanging="425"/>
        <w:contextualSpacing w:val="0"/>
        <w:rPr>
          <w:rFonts w:ascii="Verdana" w:hAnsi="Verdana"/>
          <w:sz w:val="22"/>
          <w:szCs w:val="22"/>
        </w:rPr>
      </w:pPr>
      <w:r w:rsidRPr="00C265F8">
        <w:rPr>
          <w:rFonts w:ascii="Verdana" w:hAnsi="Verdana"/>
          <w:sz w:val="22"/>
          <w:szCs w:val="22"/>
        </w:rPr>
        <w:t xml:space="preserve">Under subsection 33(3) of the </w:t>
      </w:r>
      <w:r w:rsidRPr="00C265F8">
        <w:rPr>
          <w:rFonts w:ascii="Verdana" w:hAnsi="Verdana"/>
          <w:i/>
          <w:sz w:val="22"/>
          <w:szCs w:val="22"/>
        </w:rPr>
        <w:t>Acts Interpretation Act 1901</w:t>
      </w:r>
      <w:r w:rsidRPr="00C265F8">
        <w:rPr>
          <w:rFonts w:ascii="Verdana" w:hAnsi="Verdana"/>
          <w:sz w:val="22"/>
          <w:szCs w:val="22"/>
        </w:rPr>
        <w:t>, where an Act confers a power to</w:t>
      </w:r>
      <w:r w:rsidR="000C2D03" w:rsidRPr="00C265F8">
        <w:rPr>
          <w:rFonts w:ascii="Verdana" w:hAnsi="Verdana"/>
          <w:sz w:val="22"/>
          <w:szCs w:val="22"/>
        </w:rPr>
        <w:t xml:space="preserve"> </w:t>
      </w:r>
      <w:r w:rsidRPr="00C265F8">
        <w:rPr>
          <w:rFonts w:ascii="Verdana" w:hAnsi="Verdana"/>
          <w:sz w:val="22"/>
          <w:szCs w:val="22"/>
        </w:rPr>
        <w:t>make, grant or issue any instrument of a legislative or administrative character (including rules, regulations or by-laws), the power shall be construed as including a power exercisable in the like manner and subject to the like conditions (if</w:t>
      </w:r>
      <w:r w:rsidR="00763184" w:rsidRPr="00C265F8">
        <w:rPr>
          <w:rFonts w:ascii="Verdana" w:hAnsi="Verdana"/>
          <w:sz w:val="22"/>
          <w:szCs w:val="22"/>
        </w:rPr>
        <w:t> </w:t>
      </w:r>
      <w:r w:rsidRPr="00C265F8">
        <w:rPr>
          <w:rFonts w:ascii="Verdana" w:hAnsi="Verdana"/>
          <w:sz w:val="22"/>
          <w:szCs w:val="22"/>
        </w:rPr>
        <w:t>any) to repeal, rescind, revoke, amend, or vary any such instrument.</w:t>
      </w:r>
      <w:r w:rsidR="00C265F8" w:rsidRPr="00C265F8">
        <w:rPr>
          <w:rFonts w:ascii="Verdana" w:hAnsi="Verdana"/>
          <w:sz w:val="22"/>
          <w:szCs w:val="22"/>
        </w:rPr>
        <w:t xml:space="preserve"> </w:t>
      </w:r>
    </w:p>
    <w:p w14:paraId="02132E58" w14:textId="34B856B0" w:rsidR="0047043A" w:rsidRPr="00E8158E" w:rsidRDefault="0047043A" w:rsidP="00085EE4">
      <w:pPr>
        <w:spacing w:before="60" w:after="60" w:line="276" w:lineRule="auto"/>
        <w:rPr>
          <w:rFonts w:ascii="Verdana" w:hAnsi="Verdana"/>
          <w:b/>
          <w:sz w:val="22"/>
          <w:szCs w:val="22"/>
        </w:rPr>
      </w:pPr>
      <w:r w:rsidRPr="00E8158E">
        <w:rPr>
          <w:rFonts w:ascii="Verdana" w:hAnsi="Verdana"/>
          <w:b/>
          <w:sz w:val="22"/>
          <w:szCs w:val="22"/>
        </w:rPr>
        <w:t>Details of the determination are as follows:</w:t>
      </w:r>
    </w:p>
    <w:p w14:paraId="02132E59" w14:textId="77777777" w:rsidR="00E260AF" w:rsidRPr="00140909" w:rsidRDefault="00E260AF" w:rsidP="00085EE4">
      <w:pPr>
        <w:pStyle w:val="Heading1"/>
        <w:tabs>
          <w:tab w:val="num" w:pos="284"/>
        </w:tabs>
        <w:spacing w:line="276" w:lineRule="auto"/>
        <w:ind w:left="425" w:hanging="425"/>
        <w:jc w:val="left"/>
        <w:rPr>
          <w:rStyle w:val="Strong"/>
          <w:rFonts w:ascii="Verdana" w:hAnsi="Verdana" w:cs="Arial"/>
          <w:b/>
          <w:bCs/>
          <w:sz w:val="22"/>
          <w:szCs w:val="22"/>
          <w:u w:val="none"/>
        </w:rPr>
      </w:pPr>
      <w:bookmarkStart w:id="1" w:name="_Toc387670426"/>
      <w:r w:rsidRPr="00140909">
        <w:rPr>
          <w:rStyle w:val="Strong"/>
          <w:rFonts w:ascii="Verdana" w:hAnsi="Verdana" w:cs="Arial"/>
          <w:b/>
          <w:bCs/>
          <w:sz w:val="22"/>
          <w:szCs w:val="22"/>
          <w:u w:val="none"/>
        </w:rPr>
        <w:t xml:space="preserve">PART 1 - </w:t>
      </w:r>
      <w:bookmarkEnd w:id="1"/>
      <w:r w:rsidR="005922C7" w:rsidRPr="00140909">
        <w:rPr>
          <w:rStyle w:val="Strong"/>
          <w:rFonts w:ascii="Verdana" w:hAnsi="Verdana" w:cs="Arial"/>
          <w:b/>
          <w:bCs/>
          <w:sz w:val="22"/>
          <w:szCs w:val="22"/>
          <w:u w:val="none"/>
        </w:rPr>
        <w:t>PRELIMINARY</w:t>
      </w:r>
    </w:p>
    <w:p w14:paraId="013277F6" w14:textId="3F2914C0" w:rsidR="00927EEC" w:rsidRDefault="00927EE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1 specifies the name of the instrument as the Remuneration Tribunal (Remuneration and Allowances for Holders of Full-time Public Office) Determination 2025.</w:t>
      </w:r>
    </w:p>
    <w:p w14:paraId="28268FA9" w14:textId="7B281866" w:rsidR="00927EEC" w:rsidRDefault="00927EE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1 July 2025.</w:t>
      </w:r>
    </w:p>
    <w:p w14:paraId="27FCED7F" w14:textId="556EBC6B" w:rsidR="00927EEC" w:rsidRDefault="00927EE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 xml:space="preserve">Section 3 specifies that the instrument takes effect </w:t>
      </w:r>
      <w:r w:rsidR="00C865FC">
        <w:rPr>
          <w:rFonts w:ascii="Verdana" w:hAnsi="Verdana"/>
          <w:sz w:val="22"/>
          <w:szCs w:val="22"/>
        </w:rPr>
        <w:t>at</w:t>
      </w:r>
      <w:r>
        <w:rPr>
          <w:rFonts w:ascii="Verdana" w:hAnsi="Verdana"/>
          <w:sz w:val="22"/>
          <w:szCs w:val="22"/>
        </w:rPr>
        <w:t xml:space="preserve"> the start of 1 July 2025.</w:t>
      </w:r>
    </w:p>
    <w:p w14:paraId="149BA8D7" w14:textId="14DA135E" w:rsidR="00927EEC" w:rsidRDefault="00927EE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instrument, sections 7(3) and (4) of the </w:t>
      </w:r>
      <w:r w:rsidRPr="00927EEC">
        <w:rPr>
          <w:rFonts w:ascii="Verdana" w:hAnsi="Verdana"/>
          <w:i/>
          <w:sz w:val="22"/>
          <w:szCs w:val="22"/>
        </w:rPr>
        <w:t>Remuneration Tribunal Act 1973</w:t>
      </w:r>
      <w:r>
        <w:rPr>
          <w:rFonts w:ascii="Verdana" w:hAnsi="Verdana"/>
          <w:sz w:val="22"/>
          <w:szCs w:val="22"/>
        </w:rPr>
        <w:t>.</w:t>
      </w:r>
    </w:p>
    <w:p w14:paraId="0D25C4C9" w14:textId="7E162379" w:rsidR="00927EEC" w:rsidRDefault="003C7948"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 xml:space="preserve">Section 5 </w:t>
      </w:r>
      <w:r w:rsidR="00E3557C">
        <w:rPr>
          <w:rFonts w:ascii="Verdana" w:hAnsi="Verdana"/>
          <w:sz w:val="22"/>
          <w:szCs w:val="22"/>
        </w:rPr>
        <w:t>specifies that the determination supersedes the 2024 principal determination.</w:t>
      </w:r>
    </w:p>
    <w:p w14:paraId="73236625" w14:textId="0387AD6A" w:rsidR="00E3557C" w:rsidRDefault="00E3557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6</w:t>
      </w:r>
      <w:r w:rsidRPr="00E3557C">
        <w:rPr>
          <w:rFonts w:ascii="Verdana" w:hAnsi="Verdana"/>
          <w:sz w:val="22"/>
          <w:szCs w:val="22"/>
        </w:rPr>
        <w:t xml:space="preserve"> </w:t>
      </w:r>
      <w:r>
        <w:rPr>
          <w:rFonts w:ascii="Verdana" w:hAnsi="Verdana"/>
          <w:sz w:val="22"/>
          <w:szCs w:val="22"/>
        </w:rPr>
        <w:t>specifies that instruments identified in a Schedule to this determination are amended or repealed as indicated.</w:t>
      </w:r>
    </w:p>
    <w:p w14:paraId="335FF3E9" w14:textId="2D16AC76" w:rsidR="00C63BBC" w:rsidRDefault="00C63BB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7 specifies definitions for certain words used in the determination.</w:t>
      </w:r>
    </w:p>
    <w:p w14:paraId="59E2FB44" w14:textId="2BB89101" w:rsidR="00C63BBC" w:rsidRDefault="00C63BB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8 provides the meaning of the term total remuneration for the purposes of the determination.</w:t>
      </w:r>
    </w:p>
    <w:p w14:paraId="629FAC60" w14:textId="28BA8576" w:rsidR="00C63BBC" w:rsidRDefault="00C63BB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Section 9 specifies that the remuneration and benefits provided for in the determination must not be enhanced.</w:t>
      </w:r>
    </w:p>
    <w:p w14:paraId="02132E5B" w14:textId="7F832FBE" w:rsidR="00E260AF" w:rsidRPr="00C265F8" w:rsidRDefault="00E260AF" w:rsidP="00085EE4">
      <w:pPr>
        <w:keepNext/>
        <w:tabs>
          <w:tab w:val="num" w:pos="284"/>
        </w:tabs>
        <w:spacing w:before="60" w:after="60" w:line="276" w:lineRule="auto"/>
        <w:rPr>
          <w:rStyle w:val="Strong"/>
          <w:rFonts w:ascii="Verdana" w:hAnsi="Verdana" w:cs="Arial"/>
          <w:sz w:val="22"/>
          <w:szCs w:val="22"/>
          <w:lang w:eastAsia="en-US"/>
        </w:rPr>
      </w:pPr>
      <w:bookmarkStart w:id="2" w:name="_Toc387670427"/>
      <w:r w:rsidRPr="00C265F8">
        <w:rPr>
          <w:rStyle w:val="Strong"/>
          <w:rFonts w:ascii="Verdana" w:hAnsi="Verdana" w:cs="Arial"/>
          <w:sz w:val="22"/>
          <w:szCs w:val="22"/>
        </w:rPr>
        <w:lastRenderedPageBreak/>
        <w:t>PART 2 – R</w:t>
      </w:r>
      <w:r w:rsidR="00EF2F70" w:rsidRPr="00C265F8">
        <w:rPr>
          <w:rStyle w:val="Strong"/>
          <w:rFonts w:ascii="Verdana" w:hAnsi="Verdana" w:cs="Arial"/>
          <w:sz w:val="22"/>
          <w:szCs w:val="22"/>
        </w:rPr>
        <w:t>EMU</w:t>
      </w:r>
      <w:r w:rsidRPr="00C265F8">
        <w:rPr>
          <w:rStyle w:val="Strong"/>
          <w:rFonts w:ascii="Verdana" w:hAnsi="Verdana" w:cs="Arial"/>
          <w:sz w:val="22"/>
          <w:szCs w:val="22"/>
        </w:rPr>
        <w:t>N</w:t>
      </w:r>
      <w:r w:rsidR="00EF2F70" w:rsidRPr="00C265F8">
        <w:rPr>
          <w:rStyle w:val="Strong"/>
          <w:rFonts w:ascii="Verdana" w:hAnsi="Verdana" w:cs="Arial"/>
          <w:sz w:val="22"/>
          <w:szCs w:val="22"/>
        </w:rPr>
        <w:t>E</w:t>
      </w:r>
      <w:r w:rsidRPr="00C265F8">
        <w:rPr>
          <w:rStyle w:val="Strong"/>
          <w:rFonts w:ascii="Verdana" w:hAnsi="Verdana" w:cs="Arial"/>
          <w:sz w:val="22"/>
          <w:szCs w:val="22"/>
        </w:rPr>
        <w:t xml:space="preserve">RATION </w:t>
      </w:r>
      <w:bookmarkEnd w:id="2"/>
    </w:p>
    <w:p w14:paraId="1EA54678" w14:textId="2D571067" w:rsidR="004B3A7E" w:rsidRDefault="0061163D" w:rsidP="00085EE4">
      <w:pPr>
        <w:pStyle w:val="ListParagraph"/>
        <w:numPr>
          <w:ilvl w:val="0"/>
          <w:numId w:val="22"/>
        </w:numPr>
        <w:spacing w:before="60" w:after="60" w:line="276" w:lineRule="auto"/>
        <w:ind w:left="425" w:hanging="425"/>
        <w:contextualSpacing w:val="0"/>
        <w:rPr>
          <w:rFonts w:ascii="Verdana" w:hAnsi="Verdana"/>
          <w:sz w:val="22"/>
          <w:szCs w:val="22"/>
        </w:rPr>
      </w:pPr>
      <w:r w:rsidRPr="00C265F8">
        <w:rPr>
          <w:rFonts w:ascii="Verdana" w:hAnsi="Verdana"/>
          <w:sz w:val="22"/>
          <w:szCs w:val="22"/>
        </w:rPr>
        <w:t>Part 2</w:t>
      </w:r>
      <w:r w:rsidR="00BB0EC8" w:rsidRPr="00C265F8">
        <w:rPr>
          <w:rFonts w:ascii="Verdana" w:hAnsi="Verdana"/>
          <w:sz w:val="22"/>
          <w:szCs w:val="22"/>
        </w:rPr>
        <w:t xml:space="preserve"> </w:t>
      </w:r>
      <w:r w:rsidR="00DD09ED" w:rsidRPr="00C265F8">
        <w:rPr>
          <w:rFonts w:ascii="Verdana" w:hAnsi="Verdana"/>
          <w:sz w:val="22"/>
          <w:szCs w:val="22"/>
        </w:rPr>
        <w:t xml:space="preserve">sets out the </w:t>
      </w:r>
      <w:r w:rsidR="00A61BA7" w:rsidRPr="00C265F8">
        <w:rPr>
          <w:rFonts w:ascii="Verdana" w:hAnsi="Verdana"/>
          <w:sz w:val="22"/>
          <w:szCs w:val="22"/>
        </w:rPr>
        <w:t>total r</w:t>
      </w:r>
      <w:r w:rsidR="00BB0EC8" w:rsidRPr="00C265F8">
        <w:rPr>
          <w:rFonts w:ascii="Verdana" w:hAnsi="Verdana"/>
          <w:sz w:val="22"/>
          <w:szCs w:val="22"/>
        </w:rPr>
        <w:t xml:space="preserve">emuneration </w:t>
      </w:r>
      <w:r w:rsidR="00E7373C" w:rsidRPr="00C265F8">
        <w:rPr>
          <w:rFonts w:ascii="Verdana" w:hAnsi="Verdana"/>
          <w:sz w:val="22"/>
          <w:szCs w:val="22"/>
        </w:rPr>
        <w:t xml:space="preserve">and other related matters (such as </w:t>
      </w:r>
      <w:r w:rsidR="005922C7" w:rsidRPr="00C265F8">
        <w:rPr>
          <w:rFonts w:ascii="Verdana" w:hAnsi="Verdana"/>
          <w:sz w:val="22"/>
          <w:szCs w:val="22"/>
        </w:rPr>
        <w:t>special provisions for certain offices</w:t>
      </w:r>
      <w:r w:rsidR="00E7373C" w:rsidRPr="00C265F8">
        <w:rPr>
          <w:rFonts w:ascii="Verdana" w:hAnsi="Verdana"/>
          <w:sz w:val="22"/>
          <w:szCs w:val="22"/>
        </w:rPr>
        <w:t>)</w:t>
      </w:r>
      <w:bookmarkStart w:id="3" w:name="_Toc387670428"/>
      <w:r w:rsidR="007C03D8">
        <w:rPr>
          <w:rFonts w:ascii="Verdana" w:hAnsi="Verdana"/>
          <w:sz w:val="22"/>
          <w:szCs w:val="22"/>
        </w:rPr>
        <w:t xml:space="preserve"> effective from 1 July 2025</w:t>
      </w:r>
      <w:r w:rsidR="00706388" w:rsidRPr="000D3683">
        <w:rPr>
          <w:rFonts w:ascii="Verdana" w:hAnsi="Verdana"/>
          <w:sz w:val="22"/>
          <w:szCs w:val="22"/>
        </w:rPr>
        <w:t>.</w:t>
      </w:r>
      <w:r w:rsidR="007C03D8" w:rsidRPr="000D3683">
        <w:rPr>
          <w:rFonts w:ascii="Verdana" w:hAnsi="Verdana"/>
          <w:sz w:val="22"/>
          <w:szCs w:val="22"/>
        </w:rPr>
        <w:t xml:space="preserve"> It implements the general adjustment described in paragraph 6.</w:t>
      </w:r>
      <w:r w:rsidR="007C03D8">
        <w:rPr>
          <w:rFonts w:ascii="Verdana" w:hAnsi="Verdana"/>
          <w:sz w:val="24"/>
          <w:szCs w:val="22"/>
        </w:rPr>
        <w:t xml:space="preserve"> </w:t>
      </w:r>
    </w:p>
    <w:p w14:paraId="3F613952" w14:textId="1715FE4A" w:rsidR="00A93963" w:rsidRPr="004B3A7E" w:rsidRDefault="00A93963"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The provisions in Part 2 otherwise remain unchanged from those contained in Part 2 of the previous determination</w:t>
      </w:r>
      <w:r w:rsidR="00D45F98">
        <w:rPr>
          <w:rFonts w:ascii="Verdana" w:hAnsi="Verdana"/>
          <w:sz w:val="22"/>
          <w:szCs w:val="22"/>
        </w:rPr>
        <w:t>, as amended</w:t>
      </w:r>
      <w:r>
        <w:rPr>
          <w:rFonts w:ascii="Verdana" w:hAnsi="Verdana"/>
          <w:sz w:val="22"/>
          <w:szCs w:val="22"/>
        </w:rPr>
        <w:t>.</w:t>
      </w:r>
    </w:p>
    <w:p w14:paraId="02132E5D" w14:textId="170382F6" w:rsidR="00E260AF" w:rsidRPr="00C265F8" w:rsidRDefault="00E260AF" w:rsidP="00E3557C">
      <w:pPr>
        <w:keepNext/>
        <w:tabs>
          <w:tab w:val="num" w:pos="284"/>
        </w:tabs>
        <w:spacing w:before="60" w:after="60" w:line="276" w:lineRule="auto"/>
        <w:rPr>
          <w:rStyle w:val="Strong"/>
          <w:rFonts w:ascii="Verdana" w:hAnsi="Verdana" w:cs="Arial"/>
          <w:sz w:val="22"/>
          <w:szCs w:val="22"/>
          <w:lang w:eastAsia="en-US"/>
        </w:rPr>
      </w:pPr>
      <w:r w:rsidRPr="00C265F8">
        <w:rPr>
          <w:rStyle w:val="Strong"/>
          <w:rFonts w:ascii="Verdana" w:hAnsi="Verdana" w:cs="Arial"/>
          <w:sz w:val="22"/>
          <w:szCs w:val="22"/>
        </w:rPr>
        <w:t xml:space="preserve">PART 3 </w:t>
      </w:r>
      <w:r w:rsidR="00534474" w:rsidRPr="00C265F8">
        <w:rPr>
          <w:rStyle w:val="Strong"/>
          <w:rFonts w:ascii="Verdana" w:hAnsi="Verdana" w:cs="Arial"/>
          <w:sz w:val="22"/>
          <w:szCs w:val="22"/>
        </w:rPr>
        <w:t>–</w:t>
      </w:r>
      <w:r w:rsidRPr="00C265F8">
        <w:rPr>
          <w:rStyle w:val="Strong"/>
          <w:rFonts w:ascii="Verdana" w:hAnsi="Verdana" w:cs="Arial"/>
          <w:sz w:val="22"/>
          <w:szCs w:val="22"/>
        </w:rPr>
        <w:t xml:space="preserve"> </w:t>
      </w:r>
      <w:bookmarkEnd w:id="3"/>
      <w:r w:rsidR="005922C7" w:rsidRPr="00C265F8">
        <w:rPr>
          <w:rStyle w:val="Strong"/>
          <w:rFonts w:ascii="Verdana" w:hAnsi="Verdana" w:cs="Arial"/>
          <w:sz w:val="22"/>
          <w:szCs w:val="22"/>
        </w:rPr>
        <w:t>SUPERANNUATION</w:t>
      </w:r>
    </w:p>
    <w:p w14:paraId="1B738008" w14:textId="77777777" w:rsidR="00E3557C" w:rsidRDefault="00BB0EC8" w:rsidP="00085EE4">
      <w:pPr>
        <w:pStyle w:val="ListParagraph"/>
        <w:numPr>
          <w:ilvl w:val="0"/>
          <w:numId w:val="22"/>
        </w:numPr>
        <w:spacing w:before="60" w:after="60" w:line="276" w:lineRule="auto"/>
        <w:ind w:left="425" w:hanging="425"/>
        <w:contextualSpacing w:val="0"/>
        <w:rPr>
          <w:rFonts w:ascii="Verdana" w:hAnsi="Verdana"/>
          <w:sz w:val="22"/>
          <w:szCs w:val="22"/>
        </w:rPr>
      </w:pPr>
      <w:r w:rsidRPr="00C265F8">
        <w:rPr>
          <w:rFonts w:ascii="Verdana" w:hAnsi="Verdana"/>
          <w:sz w:val="22"/>
          <w:szCs w:val="22"/>
        </w:rPr>
        <w:t xml:space="preserve">Part 3 sets out the </w:t>
      </w:r>
      <w:r w:rsidR="00873E23" w:rsidRPr="00C265F8">
        <w:rPr>
          <w:rFonts w:ascii="Verdana" w:hAnsi="Verdana"/>
          <w:sz w:val="22"/>
          <w:szCs w:val="22"/>
        </w:rPr>
        <w:t xml:space="preserve">superannuation arrangements and other related matters, </w:t>
      </w:r>
      <w:r w:rsidR="00873E23" w:rsidRPr="002F3EAC">
        <w:rPr>
          <w:rFonts w:ascii="Verdana" w:hAnsi="Verdana"/>
          <w:sz w:val="22"/>
          <w:szCs w:val="22"/>
        </w:rPr>
        <w:t xml:space="preserve">including superannuation salary for specified </w:t>
      </w:r>
      <w:r w:rsidR="00E3557C">
        <w:rPr>
          <w:rFonts w:ascii="Verdana" w:hAnsi="Verdana"/>
          <w:sz w:val="22"/>
          <w:szCs w:val="22"/>
        </w:rPr>
        <w:t xml:space="preserve">offices and </w:t>
      </w:r>
      <w:r w:rsidR="00873E23" w:rsidRPr="002F3EAC">
        <w:rPr>
          <w:rFonts w:ascii="Verdana" w:hAnsi="Verdana"/>
          <w:sz w:val="22"/>
          <w:szCs w:val="22"/>
        </w:rPr>
        <w:t>office holders.</w:t>
      </w:r>
      <w:r w:rsidR="00C63BBC">
        <w:rPr>
          <w:rFonts w:ascii="Verdana" w:hAnsi="Verdana"/>
          <w:sz w:val="22"/>
          <w:szCs w:val="22"/>
        </w:rPr>
        <w:t xml:space="preserve"> </w:t>
      </w:r>
    </w:p>
    <w:p w14:paraId="7BCFA52E" w14:textId="6D95C007" w:rsidR="00E3557C" w:rsidRDefault="00E3557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Table 3A</w:t>
      </w:r>
      <w:r w:rsidR="00706388">
        <w:rPr>
          <w:rFonts w:ascii="Verdana" w:hAnsi="Verdana"/>
          <w:sz w:val="22"/>
          <w:szCs w:val="22"/>
        </w:rPr>
        <w:t xml:space="preserve"> prescribes</w:t>
      </w:r>
      <w:r>
        <w:rPr>
          <w:rFonts w:ascii="Verdana" w:hAnsi="Verdana"/>
          <w:sz w:val="22"/>
          <w:szCs w:val="22"/>
        </w:rPr>
        <w:t xml:space="preserve"> the value of total remuneration for which superannuation salary is calculated at either 70% or 73%</w:t>
      </w:r>
      <w:r w:rsidR="00706388">
        <w:rPr>
          <w:rFonts w:ascii="Verdana" w:hAnsi="Verdana"/>
          <w:sz w:val="22"/>
          <w:szCs w:val="22"/>
        </w:rPr>
        <w:t>.</w:t>
      </w:r>
    </w:p>
    <w:p w14:paraId="12BDF141" w14:textId="4343E628" w:rsidR="00C265F8" w:rsidRPr="002F3EAC" w:rsidRDefault="00E3557C" w:rsidP="00085EE4">
      <w:pPr>
        <w:pStyle w:val="ListParagraph"/>
        <w:numPr>
          <w:ilvl w:val="0"/>
          <w:numId w:val="22"/>
        </w:numPr>
        <w:spacing w:before="60" w:after="60" w:line="276" w:lineRule="auto"/>
        <w:ind w:left="425" w:hanging="425"/>
        <w:contextualSpacing w:val="0"/>
        <w:rPr>
          <w:rFonts w:ascii="Verdana" w:hAnsi="Verdana"/>
          <w:sz w:val="22"/>
          <w:szCs w:val="22"/>
        </w:rPr>
      </w:pPr>
      <w:r>
        <w:rPr>
          <w:rFonts w:ascii="Verdana" w:hAnsi="Verdana"/>
          <w:sz w:val="22"/>
          <w:szCs w:val="22"/>
        </w:rPr>
        <w:t>Table 3B</w:t>
      </w:r>
      <w:r w:rsidR="00706388">
        <w:rPr>
          <w:rFonts w:ascii="Verdana" w:hAnsi="Verdana"/>
          <w:sz w:val="22"/>
          <w:szCs w:val="22"/>
        </w:rPr>
        <w:t xml:space="preserve"> prescribes </w:t>
      </w:r>
      <w:r>
        <w:rPr>
          <w:rFonts w:ascii="Verdana" w:hAnsi="Verdana"/>
          <w:sz w:val="22"/>
          <w:szCs w:val="22"/>
        </w:rPr>
        <w:t>t</w:t>
      </w:r>
      <w:r w:rsidR="00C63BBC">
        <w:rPr>
          <w:rFonts w:ascii="Verdana" w:hAnsi="Verdana"/>
          <w:sz w:val="22"/>
          <w:szCs w:val="22"/>
        </w:rPr>
        <w:t xml:space="preserve">he superannuation salaries for specified </w:t>
      </w:r>
      <w:r>
        <w:rPr>
          <w:rFonts w:ascii="Verdana" w:hAnsi="Verdana"/>
          <w:sz w:val="22"/>
          <w:szCs w:val="22"/>
        </w:rPr>
        <w:t xml:space="preserve">offices and </w:t>
      </w:r>
      <w:r w:rsidR="00C63BBC">
        <w:rPr>
          <w:rFonts w:ascii="Verdana" w:hAnsi="Verdana"/>
          <w:sz w:val="22"/>
          <w:szCs w:val="22"/>
        </w:rPr>
        <w:t>office holders</w:t>
      </w:r>
      <w:r w:rsidR="00706388">
        <w:rPr>
          <w:rFonts w:ascii="Verdana" w:hAnsi="Verdana"/>
          <w:sz w:val="22"/>
          <w:szCs w:val="22"/>
        </w:rPr>
        <w:t xml:space="preserve">. </w:t>
      </w:r>
      <w:r w:rsidR="00D45F98">
        <w:rPr>
          <w:rFonts w:ascii="Verdana" w:hAnsi="Verdana"/>
          <w:sz w:val="22"/>
          <w:szCs w:val="22"/>
        </w:rPr>
        <w:t>The Table has been renumbered for clarity and consistency.</w:t>
      </w:r>
    </w:p>
    <w:p w14:paraId="182F45E9" w14:textId="3BFBA2ED" w:rsidR="00A93963" w:rsidRPr="00F03271" w:rsidRDefault="0018357B" w:rsidP="00085EE4">
      <w:pPr>
        <w:pStyle w:val="ListParagraph"/>
        <w:numPr>
          <w:ilvl w:val="0"/>
          <w:numId w:val="22"/>
        </w:numPr>
        <w:spacing w:before="60" w:after="60" w:line="276" w:lineRule="auto"/>
        <w:ind w:left="425" w:hanging="425"/>
        <w:contextualSpacing w:val="0"/>
        <w:rPr>
          <w:rFonts w:ascii="Verdana" w:hAnsi="Verdana"/>
          <w:sz w:val="22"/>
          <w:szCs w:val="22"/>
        </w:rPr>
      </w:pPr>
      <w:bookmarkStart w:id="4" w:name="_Toc387670429"/>
      <w:r>
        <w:rPr>
          <w:rFonts w:ascii="Verdana" w:hAnsi="Verdana"/>
          <w:sz w:val="22"/>
          <w:szCs w:val="22"/>
        </w:rPr>
        <w:t xml:space="preserve">The </w:t>
      </w:r>
      <w:r w:rsidR="00A93963" w:rsidRPr="00F03271">
        <w:rPr>
          <w:rFonts w:ascii="Verdana" w:hAnsi="Verdana"/>
          <w:sz w:val="22"/>
          <w:szCs w:val="22"/>
        </w:rPr>
        <w:t xml:space="preserve">provisions in Part 3 otherwise remain unchanged from those contained in Part </w:t>
      </w:r>
      <w:r w:rsidR="00A618F3" w:rsidRPr="00F03271">
        <w:rPr>
          <w:rFonts w:ascii="Verdana" w:hAnsi="Verdana"/>
          <w:sz w:val="22"/>
          <w:szCs w:val="22"/>
        </w:rPr>
        <w:t>3</w:t>
      </w:r>
      <w:r w:rsidR="00A93963" w:rsidRPr="00F03271">
        <w:rPr>
          <w:rFonts w:ascii="Verdana" w:hAnsi="Verdana"/>
          <w:sz w:val="22"/>
          <w:szCs w:val="22"/>
        </w:rPr>
        <w:t xml:space="preserve"> of the previous determination</w:t>
      </w:r>
      <w:r w:rsidR="00D45F98">
        <w:rPr>
          <w:rFonts w:ascii="Verdana" w:hAnsi="Verdana"/>
          <w:sz w:val="22"/>
          <w:szCs w:val="22"/>
        </w:rPr>
        <w:t>, as amended</w:t>
      </w:r>
      <w:r w:rsidR="00A93963" w:rsidRPr="00F03271">
        <w:rPr>
          <w:rFonts w:ascii="Verdana" w:hAnsi="Verdana"/>
          <w:sz w:val="22"/>
          <w:szCs w:val="22"/>
        </w:rPr>
        <w:t>.</w:t>
      </w:r>
    </w:p>
    <w:p w14:paraId="02132E5F" w14:textId="2101A9C8" w:rsidR="00BB0EC8" w:rsidRPr="00140909" w:rsidRDefault="00BB0EC8" w:rsidP="00085EE4">
      <w:pPr>
        <w:pStyle w:val="Heading1"/>
        <w:tabs>
          <w:tab w:val="num" w:pos="284"/>
        </w:tabs>
        <w:spacing w:line="276" w:lineRule="auto"/>
        <w:ind w:left="425" w:hanging="425"/>
        <w:jc w:val="left"/>
        <w:rPr>
          <w:rStyle w:val="Strong"/>
          <w:rFonts w:ascii="Verdana" w:hAnsi="Verdana" w:cs="Arial"/>
          <w:b/>
          <w:bCs/>
          <w:sz w:val="22"/>
          <w:szCs w:val="22"/>
          <w:u w:val="none"/>
          <w:lang w:eastAsia="en-US"/>
        </w:rPr>
      </w:pPr>
      <w:r w:rsidRPr="00140909">
        <w:rPr>
          <w:rStyle w:val="Strong"/>
          <w:rFonts w:ascii="Verdana" w:hAnsi="Verdana" w:cs="Arial"/>
          <w:b/>
          <w:bCs/>
          <w:sz w:val="22"/>
          <w:szCs w:val="22"/>
          <w:u w:val="none"/>
        </w:rPr>
        <w:t xml:space="preserve">PART 4 – </w:t>
      </w:r>
      <w:bookmarkEnd w:id="4"/>
      <w:r w:rsidR="00873E23" w:rsidRPr="00140909">
        <w:rPr>
          <w:rStyle w:val="Strong"/>
          <w:rFonts w:ascii="Verdana" w:hAnsi="Verdana" w:cs="Arial"/>
          <w:b/>
          <w:bCs/>
          <w:sz w:val="22"/>
          <w:szCs w:val="22"/>
          <w:u w:val="none"/>
        </w:rPr>
        <w:t>VEHICLES AND BUSINESS SUPPORT</w:t>
      </w:r>
    </w:p>
    <w:p w14:paraId="1219D26E" w14:textId="19E988BE" w:rsidR="00A93963" w:rsidRDefault="00A93963" w:rsidP="00085EE4">
      <w:pPr>
        <w:pStyle w:val="ListParagraph"/>
        <w:numPr>
          <w:ilvl w:val="0"/>
          <w:numId w:val="22"/>
        </w:numPr>
        <w:spacing w:before="60" w:after="60" w:line="276" w:lineRule="auto"/>
        <w:ind w:left="425" w:hanging="425"/>
        <w:contextualSpacing w:val="0"/>
        <w:rPr>
          <w:rFonts w:ascii="Verdana" w:hAnsi="Verdana"/>
          <w:sz w:val="22"/>
          <w:szCs w:val="22"/>
        </w:rPr>
      </w:pPr>
      <w:bookmarkStart w:id="5" w:name="_Toc387670430"/>
      <w:r>
        <w:rPr>
          <w:rFonts w:ascii="Verdana" w:hAnsi="Verdana"/>
          <w:sz w:val="22"/>
          <w:szCs w:val="22"/>
        </w:rPr>
        <w:t>Part 4 sets out the entitlements for vehicle and business support.</w:t>
      </w:r>
    </w:p>
    <w:p w14:paraId="25FD9F59" w14:textId="6573448D" w:rsidR="00006463" w:rsidRDefault="00006463" w:rsidP="00085EE4">
      <w:pPr>
        <w:pStyle w:val="ListParagraph"/>
        <w:numPr>
          <w:ilvl w:val="0"/>
          <w:numId w:val="22"/>
        </w:numPr>
        <w:spacing w:before="60" w:after="60" w:line="276" w:lineRule="auto"/>
        <w:ind w:left="425" w:hanging="425"/>
        <w:contextualSpacing w:val="0"/>
        <w:rPr>
          <w:rFonts w:ascii="Verdana" w:hAnsi="Verdana"/>
          <w:sz w:val="22"/>
          <w:szCs w:val="22"/>
        </w:rPr>
      </w:pPr>
      <w:r w:rsidRPr="00006463">
        <w:rPr>
          <w:rFonts w:ascii="Verdana" w:hAnsi="Verdana"/>
          <w:sz w:val="22"/>
          <w:szCs w:val="22"/>
        </w:rPr>
        <w:t xml:space="preserve">The provisions of this Part remain unchanged from those contained in Part 4 of the previous determination. </w:t>
      </w:r>
    </w:p>
    <w:p w14:paraId="02132E61" w14:textId="6EFEB2CC" w:rsidR="00BB0EC8" w:rsidRPr="00603F76" w:rsidRDefault="00BB0EC8" w:rsidP="00085EE4">
      <w:pPr>
        <w:spacing w:before="60" w:after="60" w:line="276" w:lineRule="auto"/>
        <w:rPr>
          <w:rFonts w:ascii="Verdana" w:hAnsi="Verdana"/>
          <w:b/>
          <w:sz w:val="22"/>
          <w:szCs w:val="22"/>
        </w:rPr>
      </w:pPr>
      <w:r w:rsidRPr="00603F76">
        <w:rPr>
          <w:rFonts w:ascii="Verdana" w:hAnsi="Verdana"/>
          <w:b/>
          <w:sz w:val="22"/>
          <w:szCs w:val="22"/>
        </w:rPr>
        <w:t xml:space="preserve">PART 5 – </w:t>
      </w:r>
      <w:bookmarkEnd w:id="5"/>
      <w:r w:rsidR="00873E23" w:rsidRPr="00603F76">
        <w:rPr>
          <w:rFonts w:ascii="Verdana" w:hAnsi="Verdana"/>
          <w:b/>
          <w:sz w:val="22"/>
          <w:szCs w:val="22"/>
        </w:rPr>
        <w:t>TRAVEL AND ACCOM</w:t>
      </w:r>
      <w:r w:rsidR="008D6494">
        <w:rPr>
          <w:rFonts w:ascii="Verdana" w:hAnsi="Verdana"/>
          <w:b/>
          <w:sz w:val="22"/>
          <w:szCs w:val="22"/>
        </w:rPr>
        <w:t>M</w:t>
      </w:r>
      <w:r w:rsidR="00873E23" w:rsidRPr="00603F76">
        <w:rPr>
          <w:rFonts w:ascii="Verdana" w:hAnsi="Verdana"/>
          <w:b/>
          <w:sz w:val="22"/>
          <w:szCs w:val="22"/>
        </w:rPr>
        <w:t>ODATION ASSISTANCE</w:t>
      </w:r>
    </w:p>
    <w:p w14:paraId="6096B47F" w14:textId="350CEF78" w:rsidR="00F03271" w:rsidRPr="0091739C" w:rsidRDefault="00BB0EC8" w:rsidP="00085EE4">
      <w:pPr>
        <w:pStyle w:val="ListParagraph"/>
        <w:numPr>
          <w:ilvl w:val="0"/>
          <w:numId w:val="22"/>
        </w:numPr>
        <w:spacing w:before="60" w:after="60" w:line="276" w:lineRule="auto"/>
        <w:ind w:left="425" w:hanging="425"/>
        <w:contextualSpacing w:val="0"/>
        <w:rPr>
          <w:rFonts w:ascii="Verdana" w:hAnsi="Verdana"/>
          <w:sz w:val="22"/>
          <w:szCs w:val="22"/>
        </w:rPr>
      </w:pPr>
      <w:r w:rsidRPr="00C265F8">
        <w:rPr>
          <w:rFonts w:ascii="Verdana" w:hAnsi="Verdana"/>
          <w:sz w:val="22"/>
          <w:szCs w:val="22"/>
        </w:rPr>
        <w:t xml:space="preserve">Part 5 </w:t>
      </w:r>
      <w:r w:rsidR="00873E23" w:rsidRPr="00C265F8">
        <w:rPr>
          <w:rFonts w:ascii="Verdana" w:hAnsi="Verdana"/>
          <w:sz w:val="22"/>
          <w:szCs w:val="22"/>
        </w:rPr>
        <w:t>sets out the entitlements for travel and accommodation assistance, including accommodation and reunion assistance for specified office holders.</w:t>
      </w:r>
      <w:r w:rsidR="00C265F8" w:rsidRPr="00C265F8">
        <w:rPr>
          <w:rFonts w:ascii="Verdana" w:hAnsi="Verdana"/>
          <w:sz w:val="22"/>
          <w:szCs w:val="22"/>
        </w:rPr>
        <w:t xml:space="preserve"> </w:t>
      </w:r>
      <w:r w:rsidR="00D45F98">
        <w:rPr>
          <w:rFonts w:ascii="Verdana" w:hAnsi="Verdana"/>
          <w:sz w:val="22"/>
          <w:szCs w:val="22"/>
        </w:rPr>
        <w:t xml:space="preserve">Tables 5A and 5B have been renumbered for clarity and consistency. </w:t>
      </w:r>
    </w:p>
    <w:p w14:paraId="324E60A8" w14:textId="026D3C05" w:rsidR="00A93963" w:rsidRPr="00F03271" w:rsidRDefault="00A93963" w:rsidP="00085EE4">
      <w:pPr>
        <w:pStyle w:val="ListParagraph"/>
        <w:numPr>
          <w:ilvl w:val="0"/>
          <w:numId w:val="22"/>
        </w:numPr>
        <w:spacing w:before="60" w:after="60" w:line="276" w:lineRule="auto"/>
        <w:ind w:left="425" w:hanging="425"/>
        <w:contextualSpacing w:val="0"/>
        <w:rPr>
          <w:rFonts w:ascii="Verdana" w:hAnsi="Verdana"/>
          <w:sz w:val="22"/>
          <w:szCs w:val="22"/>
        </w:rPr>
      </w:pPr>
      <w:r w:rsidRPr="00F03271">
        <w:rPr>
          <w:rFonts w:ascii="Verdana" w:hAnsi="Verdana"/>
          <w:sz w:val="22"/>
          <w:szCs w:val="22"/>
        </w:rPr>
        <w:t>The provisions of this Part otherwise remain unchanged from those contained in Part 5 of the previous determination</w:t>
      </w:r>
      <w:r w:rsidR="00D45F98">
        <w:rPr>
          <w:rFonts w:ascii="Verdana" w:hAnsi="Verdana"/>
          <w:sz w:val="22"/>
          <w:szCs w:val="22"/>
        </w:rPr>
        <w:t>, as amended</w:t>
      </w:r>
      <w:r w:rsidRPr="00F03271">
        <w:rPr>
          <w:rFonts w:ascii="Verdana" w:hAnsi="Verdana"/>
          <w:sz w:val="22"/>
          <w:szCs w:val="22"/>
        </w:rPr>
        <w:t xml:space="preserve">. </w:t>
      </w:r>
    </w:p>
    <w:p w14:paraId="02132E63" w14:textId="62D70E1F" w:rsidR="00B7219D" w:rsidRPr="00C265F8" w:rsidRDefault="00B7219D" w:rsidP="00085EE4">
      <w:pPr>
        <w:keepNext/>
        <w:tabs>
          <w:tab w:val="num" w:pos="284"/>
        </w:tabs>
        <w:spacing w:before="60" w:after="60" w:line="276" w:lineRule="auto"/>
        <w:rPr>
          <w:rFonts w:ascii="Verdana" w:hAnsi="Verdana"/>
          <w:b/>
          <w:sz w:val="22"/>
          <w:szCs w:val="22"/>
        </w:rPr>
      </w:pPr>
      <w:r w:rsidRPr="00C265F8">
        <w:rPr>
          <w:rFonts w:ascii="Verdana" w:hAnsi="Verdana"/>
          <w:b/>
          <w:sz w:val="22"/>
          <w:szCs w:val="22"/>
        </w:rPr>
        <w:t xml:space="preserve">SCHEDULE 1 </w:t>
      </w:r>
      <w:r w:rsidR="00534474" w:rsidRPr="00C265F8">
        <w:rPr>
          <w:rStyle w:val="Strong"/>
          <w:rFonts w:ascii="Verdana" w:hAnsi="Verdana" w:cs="Arial"/>
          <w:b w:val="0"/>
          <w:sz w:val="22"/>
          <w:szCs w:val="22"/>
        </w:rPr>
        <w:t>–</w:t>
      </w:r>
      <w:r w:rsidRPr="00C265F8">
        <w:rPr>
          <w:rFonts w:ascii="Verdana" w:hAnsi="Verdana"/>
          <w:b/>
          <w:sz w:val="22"/>
          <w:szCs w:val="22"/>
        </w:rPr>
        <w:t xml:space="preserve"> REPEALS</w:t>
      </w:r>
    </w:p>
    <w:p w14:paraId="50D48AE3" w14:textId="32E57866" w:rsidR="0040642D" w:rsidRDefault="00B7219D" w:rsidP="3C44BD6A">
      <w:pPr>
        <w:pStyle w:val="ListParagraph"/>
        <w:numPr>
          <w:ilvl w:val="0"/>
          <w:numId w:val="22"/>
        </w:numPr>
        <w:spacing w:before="60" w:after="60" w:line="276" w:lineRule="auto"/>
        <w:ind w:left="425" w:hanging="425"/>
        <w:rPr>
          <w:rFonts w:ascii="Verdana" w:hAnsi="Verdana"/>
        </w:rPr>
      </w:pPr>
      <w:r w:rsidRPr="54125626">
        <w:rPr>
          <w:rFonts w:ascii="Verdana" w:hAnsi="Verdana"/>
          <w:sz w:val="22"/>
          <w:szCs w:val="22"/>
        </w:rPr>
        <w:t xml:space="preserve">Schedule 1 specifies </w:t>
      </w:r>
      <w:r w:rsidR="7C97C5B9" w:rsidRPr="54125626">
        <w:rPr>
          <w:rFonts w:ascii="Verdana" w:hAnsi="Verdana"/>
          <w:sz w:val="22"/>
          <w:szCs w:val="22"/>
        </w:rPr>
        <w:t xml:space="preserve">the </w:t>
      </w:r>
      <w:r w:rsidRPr="54125626">
        <w:rPr>
          <w:rFonts w:ascii="Verdana" w:hAnsi="Verdana"/>
          <w:sz w:val="22"/>
          <w:szCs w:val="22"/>
        </w:rPr>
        <w:t>instrument which ha</w:t>
      </w:r>
      <w:r w:rsidR="043DAEC7" w:rsidRPr="54125626">
        <w:rPr>
          <w:rFonts w:ascii="Verdana" w:hAnsi="Verdana"/>
          <w:sz w:val="22"/>
          <w:szCs w:val="22"/>
        </w:rPr>
        <w:t>s</w:t>
      </w:r>
      <w:r w:rsidRPr="54125626">
        <w:rPr>
          <w:rFonts w:ascii="Verdana" w:hAnsi="Verdana"/>
          <w:sz w:val="22"/>
          <w:szCs w:val="22"/>
        </w:rPr>
        <w:t xml:space="preserve"> been </w:t>
      </w:r>
      <w:r w:rsidR="49F8948D" w:rsidRPr="54125626">
        <w:rPr>
          <w:rFonts w:ascii="Verdana" w:hAnsi="Verdana"/>
          <w:sz w:val="22"/>
          <w:szCs w:val="22"/>
        </w:rPr>
        <w:t>repealed</w:t>
      </w:r>
      <w:r w:rsidR="5634652F" w:rsidRPr="54125626">
        <w:rPr>
          <w:rFonts w:ascii="Verdana" w:hAnsi="Verdana"/>
          <w:sz w:val="22"/>
          <w:szCs w:val="22"/>
        </w:rPr>
        <w:t>, namely Remuneration Tribunal (Remuneration and Allowances for Holders of Full-time Public Office) Determination 2024</w:t>
      </w:r>
      <w:r w:rsidR="794F7A7B" w:rsidRPr="54125626">
        <w:rPr>
          <w:rFonts w:ascii="Verdana" w:hAnsi="Verdana"/>
          <w:sz w:val="22"/>
          <w:szCs w:val="22"/>
        </w:rPr>
        <w:t>.</w:t>
      </w:r>
      <w:r w:rsidR="00C265F8" w:rsidRPr="54125626">
        <w:rPr>
          <w:rFonts w:ascii="Verdana" w:hAnsi="Verdana"/>
          <w:sz w:val="22"/>
          <w:szCs w:val="22"/>
        </w:rPr>
        <w:t xml:space="preserve"> </w:t>
      </w:r>
    </w:p>
    <w:p w14:paraId="02132E65" w14:textId="132388BD" w:rsidR="007D4D9D" w:rsidRPr="00C265F8" w:rsidRDefault="00BB0EC8" w:rsidP="00085EE4">
      <w:pPr>
        <w:pStyle w:val="ListParagraph"/>
        <w:spacing w:before="60" w:after="60" w:line="276" w:lineRule="auto"/>
        <w:ind w:left="5324"/>
        <w:contextualSpacing w:val="0"/>
        <w:jc w:val="right"/>
        <w:rPr>
          <w:rFonts w:ascii="Verdana" w:hAnsi="Verdana" w:cs="Verdana"/>
          <w:sz w:val="19"/>
          <w:szCs w:val="19"/>
        </w:rPr>
      </w:pPr>
      <w:r w:rsidRPr="00C265F8">
        <w:rPr>
          <w:rFonts w:ascii="Verdana" w:hAnsi="Verdana" w:cs="Verdana"/>
          <w:b/>
          <w:sz w:val="19"/>
          <w:szCs w:val="19"/>
        </w:rPr>
        <w:t>Authority:</w:t>
      </w:r>
      <w:r w:rsidRPr="00C265F8">
        <w:rPr>
          <w:rFonts w:ascii="Verdana" w:hAnsi="Verdana" w:cs="Verdana"/>
          <w:sz w:val="19"/>
          <w:szCs w:val="19"/>
        </w:rPr>
        <w:t xml:space="preserve"> Sub-sections 7(3) and </w:t>
      </w:r>
      <w:r w:rsidR="00AA5347">
        <w:rPr>
          <w:rFonts w:ascii="Verdana" w:hAnsi="Verdana" w:cs="Verdana"/>
          <w:sz w:val="19"/>
          <w:szCs w:val="19"/>
        </w:rPr>
        <w:t>(4)</w:t>
      </w:r>
    </w:p>
    <w:p w14:paraId="02132E66" w14:textId="77777777" w:rsidR="00570B4D" w:rsidRDefault="00BB0EC8" w:rsidP="00085EE4">
      <w:pPr>
        <w:tabs>
          <w:tab w:val="left" w:pos="8222"/>
        </w:tabs>
        <w:spacing w:before="60" w:after="60" w:line="276" w:lineRule="auto"/>
        <w:jc w:val="right"/>
        <w:rPr>
          <w:rFonts w:ascii="Verdana" w:hAnsi="Verdana" w:cs="Verdana"/>
          <w:i/>
          <w:iCs/>
          <w:sz w:val="19"/>
          <w:szCs w:val="19"/>
        </w:rPr>
      </w:pPr>
      <w:r w:rsidRPr="007E7229">
        <w:rPr>
          <w:rFonts w:ascii="Verdana" w:hAnsi="Verdana" w:cs="Verdana"/>
          <w:i/>
          <w:iCs/>
          <w:sz w:val="19"/>
          <w:szCs w:val="19"/>
        </w:rPr>
        <w:t>Remuneration Tribunal Act 1973</w:t>
      </w:r>
    </w:p>
    <w:p w14:paraId="6022E4AD" w14:textId="77777777" w:rsidR="00E3557C" w:rsidRDefault="00E3557C">
      <w:pPr>
        <w:spacing w:after="200" w:line="276" w:lineRule="auto"/>
        <w:rPr>
          <w:b/>
          <w:bCs/>
          <w:sz w:val="24"/>
        </w:rPr>
      </w:pPr>
      <w:r>
        <w:rPr>
          <w:b/>
          <w:bCs/>
          <w:sz w:val="24"/>
        </w:rPr>
        <w:br w:type="page"/>
      </w:r>
    </w:p>
    <w:p w14:paraId="39224E70" w14:textId="308457A3" w:rsidR="00662882" w:rsidRPr="008F43C6" w:rsidRDefault="00662882" w:rsidP="008F43C6">
      <w:pPr>
        <w:spacing w:before="120" w:after="120"/>
        <w:jc w:val="center"/>
        <w:rPr>
          <w:b/>
          <w:bCs/>
          <w:sz w:val="24"/>
        </w:rPr>
      </w:pPr>
      <w:r w:rsidRPr="008F43C6">
        <w:rPr>
          <w:b/>
          <w:bCs/>
          <w:sz w:val="24"/>
        </w:rPr>
        <w:lastRenderedPageBreak/>
        <w:t>Statement of Compatibility with Human Rights</w:t>
      </w:r>
    </w:p>
    <w:p w14:paraId="742800B1" w14:textId="77777777" w:rsidR="00662882" w:rsidRPr="00BC232E" w:rsidRDefault="00662882" w:rsidP="00662882">
      <w:pPr>
        <w:spacing w:before="120" w:after="120"/>
        <w:jc w:val="center"/>
        <w:rPr>
          <w:sz w:val="24"/>
          <w:szCs w:val="24"/>
        </w:rPr>
      </w:pPr>
      <w:r w:rsidRPr="6C21BC98">
        <w:rPr>
          <w:i/>
          <w:iCs/>
          <w:sz w:val="24"/>
          <w:szCs w:val="24"/>
        </w:rPr>
        <w:t>Prepared in accordance with Part 3 of the Human Rights (Parliamentary Scrutiny) Act 2011</w:t>
      </w:r>
    </w:p>
    <w:p w14:paraId="3DAF769E" w14:textId="77777777" w:rsidR="00662882" w:rsidRPr="00BC232E" w:rsidRDefault="00662882" w:rsidP="00662882">
      <w:pPr>
        <w:spacing w:before="120" w:after="120"/>
        <w:jc w:val="center"/>
        <w:rPr>
          <w:sz w:val="24"/>
          <w:szCs w:val="24"/>
        </w:rPr>
      </w:pPr>
    </w:p>
    <w:p w14:paraId="0F667008" w14:textId="5E183660" w:rsidR="00662882" w:rsidRPr="00BC232E" w:rsidRDefault="00662882" w:rsidP="00662882">
      <w:pPr>
        <w:spacing w:before="120" w:after="120"/>
        <w:jc w:val="center"/>
        <w:rPr>
          <w:b/>
          <w:bCs/>
          <w:sz w:val="24"/>
          <w:szCs w:val="24"/>
        </w:rPr>
      </w:pPr>
      <w:r w:rsidRPr="00BC232E">
        <w:rPr>
          <w:b/>
          <w:bCs/>
          <w:sz w:val="24"/>
          <w:szCs w:val="24"/>
        </w:rPr>
        <w:t xml:space="preserve">Remuneration Tribunal </w:t>
      </w:r>
      <w:r>
        <w:rPr>
          <w:b/>
          <w:bCs/>
          <w:sz w:val="24"/>
          <w:szCs w:val="24"/>
        </w:rPr>
        <w:t xml:space="preserve">(Remuneration and Allowances for Holders of Full-time Public Office) </w:t>
      </w:r>
      <w:r w:rsidRPr="00BC232E">
        <w:rPr>
          <w:b/>
          <w:bCs/>
          <w:sz w:val="24"/>
          <w:szCs w:val="24"/>
        </w:rPr>
        <w:t xml:space="preserve">Determination </w:t>
      </w:r>
      <w:r>
        <w:rPr>
          <w:b/>
          <w:bCs/>
          <w:sz w:val="24"/>
          <w:szCs w:val="24"/>
        </w:rPr>
        <w:t>2025</w:t>
      </w:r>
    </w:p>
    <w:p w14:paraId="4716A306" w14:textId="77777777" w:rsidR="00662882" w:rsidRPr="00BC232E" w:rsidRDefault="00662882" w:rsidP="008F43C6">
      <w:pPr>
        <w:spacing w:before="120" w:after="120"/>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1E41A5A3" w14:textId="77777777" w:rsidR="00662882" w:rsidRPr="00BC232E" w:rsidRDefault="00662882" w:rsidP="00662882">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09111FE1" w14:textId="26C7F30A" w:rsidR="00662882" w:rsidRPr="00662882" w:rsidRDefault="00662882" w:rsidP="79027DEB">
      <w:pPr>
        <w:spacing w:before="120" w:after="120"/>
        <w:rPr>
          <w:sz w:val="24"/>
          <w:szCs w:val="24"/>
        </w:rPr>
      </w:pPr>
      <w:r w:rsidRPr="79027DEB">
        <w:rPr>
          <w:sz w:val="24"/>
          <w:szCs w:val="24"/>
        </w:rPr>
        <w:t xml:space="preserve">The legislative instrument, or determination, formalises the Tribunal’s decision to determine an adjustment of 2.4% to remuneration for </w:t>
      </w:r>
      <w:r w:rsidR="00120CE5" w:rsidRPr="79027DEB">
        <w:rPr>
          <w:sz w:val="24"/>
          <w:szCs w:val="24"/>
        </w:rPr>
        <w:t>full-time public offices</w:t>
      </w:r>
      <w:r w:rsidRPr="79027DEB">
        <w:rPr>
          <w:sz w:val="24"/>
          <w:szCs w:val="24"/>
        </w:rPr>
        <w:t xml:space="preserve"> from 1 July 2025.</w:t>
      </w:r>
    </w:p>
    <w:p w14:paraId="7100AA2B" w14:textId="77777777" w:rsidR="00662882" w:rsidRPr="00662882" w:rsidRDefault="00662882" w:rsidP="00662882">
      <w:pPr>
        <w:spacing w:before="120" w:after="120"/>
        <w:rPr>
          <w:sz w:val="24"/>
        </w:rPr>
      </w:pPr>
      <w:r w:rsidRPr="00662882">
        <w:rPr>
          <w:sz w:val="24"/>
        </w:rPr>
        <w:t>The determination supersedes the previous Remuneration Tribunal (Remuneration and Allowances for Holders of Full-time Public Office) Determination 2024 (as amended).</w:t>
      </w:r>
    </w:p>
    <w:p w14:paraId="418D1823" w14:textId="77777777" w:rsidR="00662882" w:rsidRPr="00662882" w:rsidRDefault="00662882" w:rsidP="00662882">
      <w:pPr>
        <w:spacing w:before="120" w:after="120"/>
        <w:rPr>
          <w:sz w:val="24"/>
        </w:rPr>
      </w:pPr>
      <w:r w:rsidRPr="00662882">
        <w:rPr>
          <w:sz w:val="24"/>
        </w:rPr>
        <w:t xml:space="preserve">The decision follows a review of remuneration (and significantly related matters) carried out by the Tribunal consistent with sub-section 7(3) of the </w:t>
      </w:r>
      <w:r w:rsidRPr="00662882">
        <w:rPr>
          <w:i/>
          <w:sz w:val="24"/>
        </w:rPr>
        <w:t>Remuneration Tribunal Act 1973</w:t>
      </w:r>
      <w:r w:rsidRPr="00662882">
        <w:rPr>
          <w:sz w:val="24"/>
        </w:rPr>
        <w:t>.</w:t>
      </w:r>
    </w:p>
    <w:p w14:paraId="5B82E9DA" w14:textId="77777777" w:rsidR="00662882" w:rsidRPr="00BC232E" w:rsidRDefault="00662882" w:rsidP="00662882">
      <w:pPr>
        <w:pStyle w:val="Heading3"/>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48523F50" w14:textId="77777777" w:rsidR="00662882" w:rsidRPr="00BC232E" w:rsidRDefault="00662882" w:rsidP="00662882">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2734ABE4" w14:textId="77777777" w:rsidR="00662882" w:rsidRPr="00BC232E" w:rsidDel="00C150C1" w:rsidRDefault="00662882" w:rsidP="00662882">
      <w:pPr>
        <w:pStyle w:val="Default"/>
        <w:rPr>
          <w:b/>
          <w:i/>
          <w:sz w:val="22"/>
          <w:szCs w:val="22"/>
        </w:rPr>
      </w:pPr>
      <w:r w:rsidRPr="00BC232E">
        <w:rPr>
          <w:b/>
          <w:i/>
          <w:sz w:val="22"/>
          <w:szCs w:val="22"/>
        </w:rPr>
        <w:t xml:space="preserve">Right to work and to just and favourable conditions of work </w:t>
      </w:r>
    </w:p>
    <w:p w14:paraId="2AB30F5D" w14:textId="77777777" w:rsidR="00662882" w:rsidRPr="00BC232E" w:rsidRDefault="00662882" w:rsidP="00662882">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3FEDF77F" w14:textId="37E331C8" w:rsidR="00662882" w:rsidRPr="008F43C6" w:rsidRDefault="00662882" w:rsidP="008F43C6">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r w:rsidR="008F43C6">
        <w:rPr>
          <w:rFonts w:eastAsia="Calibri"/>
          <w:sz w:val="24"/>
          <w:szCs w:val="24"/>
        </w:rPr>
        <w:t xml:space="preserve"> increases remuneration for </w:t>
      </w:r>
      <w:r w:rsidR="00120CE5">
        <w:rPr>
          <w:rFonts w:eastAsia="Calibri"/>
          <w:sz w:val="24"/>
          <w:szCs w:val="24"/>
        </w:rPr>
        <w:t>full</w:t>
      </w:r>
      <w:r w:rsidR="008F43C6">
        <w:rPr>
          <w:rFonts w:eastAsia="Calibri"/>
          <w:sz w:val="24"/>
          <w:szCs w:val="24"/>
        </w:rPr>
        <w:t>-time offices in the Tribunal’s jurisdiction by 2.4% from 1 July 2025.</w:t>
      </w:r>
    </w:p>
    <w:p w14:paraId="273CA61E" w14:textId="70B20C92" w:rsidR="00662882" w:rsidRDefault="00662882" w:rsidP="00662882">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w:t>
      </w:r>
      <w:r w:rsidR="00534EA8">
        <w:rPr>
          <w:sz w:val="24"/>
          <w:szCs w:val="24"/>
        </w:rPr>
        <w:t xml:space="preserve"> and reviewing those conditions annually having regard to economic indicators</w:t>
      </w:r>
      <w:r w:rsidRPr="43B9874A">
        <w:rPr>
          <w:sz w:val="24"/>
          <w:szCs w:val="24"/>
        </w:rPr>
        <w:t>,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216BD539" w14:textId="77777777" w:rsidR="00662882" w:rsidRPr="00BC232E" w:rsidRDefault="00662882" w:rsidP="00662882">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 xml:space="preserve">Conclusion </w:t>
      </w:r>
    </w:p>
    <w:p w14:paraId="40DFAFF8" w14:textId="77777777" w:rsidR="00662882" w:rsidRPr="00BC232E" w:rsidRDefault="00662882" w:rsidP="00662882">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606E82C7" w14:textId="77777777" w:rsidR="00662882" w:rsidRPr="00BC232E" w:rsidRDefault="00662882" w:rsidP="00662882">
      <w:pPr>
        <w:spacing w:before="120" w:after="120"/>
        <w:rPr>
          <w:sz w:val="24"/>
          <w:szCs w:val="24"/>
        </w:rPr>
      </w:pPr>
    </w:p>
    <w:p w14:paraId="0A9BE34A" w14:textId="77777777" w:rsidR="00662882" w:rsidRPr="00BC232E" w:rsidRDefault="00662882" w:rsidP="00662882">
      <w:pPr>
        <w:pStyle w:val="Default"/>
        <w:jc w:val="center"/>
        <w:rPr>
          <w:b/>
          <w:bCs/>
          <w:lang w:eastAsia="en-AU"/>
        </w:rPr>
      </w:pPr>
      <w:r w:rsidRPr="00BC232E">
        <w:rPr>
          <w:b/>
          <w:bCs/>
          <w:lang w:eastAsia="en-AU"/>
        </w:rPr>
        <w:t>The Remuneration Tribunal</w:t>
      </w:r>
    </w:p>
    <w:p w14:paraId="02132E67" w14:textId="733ADB39" w:rsidR="006E37A6" w:rsidRPr="00144D7F" w:rsidRDefault="006E37A6" w:rsidP="00630F7D">
      <w:pPr>
        <w:spacing w:after="200" w:line="276" w:lineRule="auto"/>
        <w:rPr>
          <w:rFonts w:ascii="Verdana" w:hAnsi="Verdana" w:cs="Tahoma"/>
        </w:rPr>
      </w:pPr>
    </w:p>
    <w:sectPr w:rsidR="006E37A6" w:rsidRPr="00144D7F" w:rsidSect="00D13C27">
      <w:headerReference w:type="default" r:id="rId12"/>
      <w:footerReference w:type="even" r:id="rId13"/>
      <w:footerReference w:type="default" r:id="rId14"/>
      <w:headerReference w:type="first" r:id="rId15"/>
      <w:footerReference w:type="first" r:id="rId16"/>
      <w:pgSz w:w="11906" w:h="16838" w:code="9"/>
      <w:pgMar w:top="709" w:right="1416" w:bottom="0" w:left="1134" w:header="72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FBE2" w14:textId="77777777" w:rsidR="00CB1402" w:rsidRPr="00DD2B8F" w:rsidRDefault="00CB1402">
      <w:pPr>
        <w:rPr>
          <w:sz w:val="19"/>
          <w:szCs w:val="19"/>
        </w:rPr>
      </w:pPr>
      <w:r w:rsidRPr="00DD2B8F">
        <w:rPr>
          <w:sz w:val="19"/>
          <w:szCs w:val="19"/>
        </w:rPr>
        <w:separator/>
      </w:r>
    </w:p>
  </w:endnote>
  <w:endnote w:type="continuationSeparator" w:id="0">
    <w:p w14:paraId="2838665A" w14:textId="77777777" w:rsidR="00CB1402" w:rsidRPr="00DD2B8F" w:rsidRDefault="00CB1402">
      <w:pPr>
        <w:rPr>
          <w:sz w:val="19"/>
          <w:szCs w:val="19"/>
        </w:rPr>
      </w:pPr>
      <w:r w:rsidRPr="00DD2B8F">
        <w:rPr>
          <w:sz w:val="19"/>
          <w:szCs w:val="19"/>
        </w:rPr>
        <w:continuationSeparator/>
      </w:r>
    </w:p>
  </w:endnote>
  <w:endnote w:type="continuationNotice" w:id="1">
    <w:p w14:paraId="2C64B81C" w14:textId="77777777" w:rsidR="00276779" w:rsidRDefault="0027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0" w14:textId="77777777" w:rsidR="00394B1E" w:rsidRDefault="00394B1E" w:rsidP="001F6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32E71" w14:textId="77777777" w:rsidR="00394B1E" w:rsidRDefault="00394B1E" w:rsidP="00E23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3" w14:textId="63ABC7C0" w:rsidR="00394B1E" w:rsidRPr="00DD2B8F" w:rsidRDefault="007D4D9D" w:rsidP="00085EE4">
    <w:pPr>
      <w:pStyle w:val="Footer"/>
      <w:jc w:val="center"/>
      <w:rPr>
        <w:sz w:val="19"/>
        <w:szCs w:val="19"/>
      </w:rPr>
    </w:pPr>
    <w:r>
      <w:fldChar w:fldCharType="begin"/>
    </w:r>
    <w:r>
      <w:instrText xml:space="preserve"> PAGE   \* MERGEFORMAT </w:instrText>
    </w:r>
    <w:r>
      <w:fldChar w:fldCharType="separate"/>
    </w:r>
    <w:r w:rsidR="002040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5" w14:textId="7D8ED720" w:rsidR="007D4D9D" w:rsidRDefault="007D4D9D">
    <w:pPr>
      <w:pStyle w:val="Footer"/>
      <w:jc w:val="center"/>
    </w:pPr>
    <w:r>
      <w:fldChar w:fldCharType="begin"/>
    </w:r>
    <w:r>
      <w:instrText xml:space="preserve"> PAGE   \* MERGEFORMAT </w:instrText>
    </w:r>
    <w:r>
      <w:fldChar w:fldCharType="separate"/>
    </w:r>
    <w:r w:rsidR="0020405D">
      <w:rPr>
        <w:noProof/>
      </w:rPr>
      <w:t>1</w:t>
    </w:r>
    <w:r>
      <w:fldChar w:fldCharType="end"/>
    </w:r>
  </w:p>
  <w:p w14:paraId="02132E76" w14:textId="77777777" w:rsidR="007D4D9D" w:rsidRDefault="007D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A868" w14:textId="77777777" w:rsidR="00CB1402" w:rsidRPr="00DD2B8F" w:rsidRDefault="00CB1402">
      <w:pPr>
        <w:rPr>
          <w:sz w:val="19"/>
          <w:szCs w:val="19"/>
        </w:rPr>
      </w:pPr>
      <w:r w:rsidRPr="00DD2B8F">
        <w:rPr>
          <w:sz w:val="19"/>
          <w:szCs w:val="19"/>
        </w:rPr>
        <w:separator/>
      </w:r>
    </w:p>
  </w:footnote>
  <w:footnote w:type="continuationSeparator" w:id="0">
    <w:p w14:paraId="3A1A3DA9" w14:textId="77777777" w:rsidR="00CB1402" w:rsidRPr="00DD2B8F" w:rsidRDefault="00CB1402">
      <w:pPr>
        <w:rPr>
          <w:sz w:val="19"/>
          <w:szCs w:val="19"/>
        </w:rPr>
      </w:pPr>
      <w:r w:rsidRPr="00DD2B8F">
        <w:rPr>
          <w:sz w:val="19"/>
          <w:szCs w:val="19"/>
        </w:rPr>
        <w:continuationSeparator/>
      </w:r>
    </w:p>
  </w:footnote>
  <w:footnote w:type="continuationNotice" w:id="1">
    <w:p w14:paraId="66099E0A" w14:textId="77777777" w:rsidR="00276779" w:rsidRDefault="002767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6E" w14:textId="77777777" w:rsidR="00394B1E" w:rsidRDefault="00394B1E" w:rsidP="00394E67">
    <w:pPr>
      <w:pStyle w:val="Header"/>
      <w:jc w:val="center"/>
    </w:pPr>
  </w:p>
  <w:p w14:paraId="02132E6F" w14:textId="77777777" w:rsidR="00394B1E" w:rsidRDefault="00394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4" w14:textId="368A345D" w:rsidR="00783A3C" w:rsidRPr="00783A3C" w:rsidRDefault="00CA6FA8" w:rsidP="00394E67">
    <w:pPr>
      <w:pStyle w:val="Header"/>
      <w:jc w:val="center"/>
    </w:pPr>
    <w:r>
      <w:rPr>
        <w:noProof/>
      </w:rPr>
      <w:drawing>
        <wp:inline distT="0" distB="0" distL="0" distR="0" wp14:anchorId="6F079858" wp14:editId="470BD34D">
          <wp:extent cx="2254250" cy="1118235"/>
          <wp:effectExtent l="0" t="0" r="0" b="5715"/>
          <wp:docPr id="1" name="Picture 1" descr="Australian Commonwealth government crest above text reading Remuneration Tribunal" title="Remuneration Tribun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250" cy="1118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6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3D825A0"/>
    <w:multiLevelType w:val="hybridMultilevel"/>
    <w:tmpl w:val="34BEE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B94545"/>
    <w:multiLevelType w:val="hybridMultilevel"/>
    <w:tmpl w:val="3FF4D4B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95855"/>
    <w:multiLevelType w:val="hybridMultilevel"/>
    <w:tmpl w:val="015A1B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B37649"/>
    <w:multiLevelType w:val="multilevel"/>
    <w:tmpl w:val="3FF4D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9B27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8E75D2"/>
    <w:multiLevelType w:val="singleLevel"/>
    <w:tmpl w:val="7FD0E988"/>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1FD13E47"/>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8" w15:restartNumberingAfterBreak="0">
    <w:nsid w:val="23233997"/>
    <w:multiLevelType w:val="hybridMultilevel"/>
    <w:tmpl w:val="A5789876"/>
    <w:lvl w:ilvl="0" w:tplc="5B1A7ADC">
      <w:start w:val="1"/>
      <w:numFmt w:val="decimal"/>
      <w:lvlText w:val="%1."/>
      <w:lvlJc w:val="left"/>
      <w:pPr>
        <w:tabs>
          <w:tab w:val="num" w:pos="786"/>
        </w:tabs>
        <w:ind w:left="786" w:hanging="36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1B55AA"/>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2A0E057C"/>
    <w:multiLevelType w:val="singleLevel"/>
    <w:tmpl w:val="994ED97E"/>
    <w:lvl w:ilvl="0">
      <w:start w:val="1"/>
      <w:numFmt w:val="lowerLetter"/>
      <w:lvlText w:val="(%1)"/>
      <w:lvlJc w:val="left"/>
      <w:pPr>
        <w:tabs>
          <w:tab w:val="num" w:pos="720"/>
        </w:tabs>
        <w:ind w:left="720" w:hanging="720"/>
      </w:pPr>
      <w:rPr>
        <w:rFonts w:cs="Times New Roman" w:hint="default"/>
      </w:rPr>
    </w:lvl>
  </w:abstractNum>
  <w:abstractNum w:abstractNumId="11" w15:restartNumberingAfterBreak="0">
    <w:nsid w:val="2A3032E9"/>
    <w:multiLevelType w:val="hybridMultilevel"/>
    <w:tmpl w:val="BA944B9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4E45D0"/>
    <w:multiLevelType w:val="singleLevel"/>
    <w:tmpl w:val="F5A6A262"/>
    <w:lvl w:ilvl="0">
      <w:start w:val="2"/>
      <w:numFmt w:val="upperLetter"/>
      <w:lvlText w:val="(%1)"/>
      <w:lvlJc w:val="left"/>
      <w:pPr>
        <w:tabs>
          <w:tab w:val="num" w:pos="360"/>
        </w:tabs>
        <w:ind w:left="360" w:hanging="360"/>
      </w:pPr>
      <w:rPr>
        <w:rFonts w:cs="Times New Roman" w:hint="default"/>
      </w:rPr>
    </w:lvl>
  </w:abstractNum>
  <w:abstractNum w:abstractNumId="13" w15:restartNumberingAfterBreak="0">
    <w:nsid w:val="2EA36701"/>
    <w:multiLevelType w:val="hybridMultilevel"/>
    <w:tmpl w:val="61624ED2"/>
    <w:lvl w:ilvl="0" w:tplc="27569B1E">
      <w:start w:val="1"/>
      <w:numFmt w:val="decimal"/>
      <w:lvlText w:val="%1."/>
      <w:lvlJc w:val="left"/>
      <w:pPr>
        <w:ind w:left="885" w:hanging="425"/>
      </w:pPr>
      <w:rPr>
        <w:rFonts w:ascii="Verdana" w:hAnsi="Verdana" w:hint="default"/>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4" w15:restartNumberingAfterBreak="0">
    <w:nsid w:val="32B45E80"/>
    <w:multiLevelType w:val="hybridMultilevel"/>
    <w:tmpl w:val="2AE2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D1591"/>
    <w:multiLevelType w:val="hybridMultilevel"/>
    <w:tmpl w:val="1A84A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D9531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3ADA6D85"/>
    <w:multiLevelType w:val="multilevel"/>
    <w:tmpl w:val="0CE2A7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CF37F58"/>
    <w:multiLevelType w:val="hybridMultilevel"/>
    <w:tmpl w:val="BC5469E2"/>
    <w:lvl w:ilvl="0" w:tplc="5B1A7ADC">
      <w:start w:val="1"/>
      <w:numFmt w:val="decimal"/>
      <w:lvlText w:val="%1."/>
      <w:lvlJc w:val="left"/>
      <w:pPr>
        <w:tabs>
          <w:tab w:val="num" w:pos="786"/>
        </w:tabs>
        <w:ind w:left="786" w:hanging="36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AA192C"/>
    <w:multiLevelType w:val="hybridMultilevel"/>
    <w:tmpl w:val="B8CAAC5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D22D5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1" w15:restartNumberingAfterBreak="0">
    <w:nsid w:val="4C17537B"/>
    <w:multiLevelType w:val="hybridMultilevel"/>
    <w:tmpl w:val="C48C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5009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F3799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4F4600F2"/>
    <w:multiLevelType w:val="hybridMultilevel"/>
    <w:tmpl w:val="16787FCE"/>
    <w:lvl w:ilvl="0" w:tplc="E1529E9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2E6DB8"/>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26" w15:restartNumberingAfterBreak="0">
    <w:nsid w:val="56D73833"/>
    <w:multiLevelType w:val="hybridMultilevel"/>
    <w:tmpl w:val="560C99D0"/>
    <w:lvl w:ilvl="0" w:tplc="CA0EF228">
      <w:start w:val="16"/>
      <w:numFmt w:val="decimal"/>
      <w:lvlText w:val="%1."/>
      <w:lvlJc w:val="left"/>
      <w:pPr>
        <w:ind w:left="36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58271205"/>
    <w:multiLevelType w:val="hybridMultilevel"/>
    <w:tmpl w:val="099611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790EF5"/>
    <w:multiLevelType w:val="hybridMultilevel"/>
    <w:tmpl w:val="E38E6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12C1C6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0" w15:restartNumberingAfterBreak="0">
    <w:nsid w:val="654C6D4A"/>
    <w:multiLevelType w:val="hybridMultilevel"/>
    <w:tmpl w:val="54D0247A"/>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613231"/>
    <w:multiLevelType w:val="hybridMultilevel"/>
    <w:tmpl w:val="211ED6F4"/>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2"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33" w15:restartNumberingAfterBreak="0">
    <w:nsid w:val="68F67B9C"/>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4" w15:restartNumberingAfterBreak="0">
    <w:nsid w:val="6C247A32"/>
    <w:multiLevelType w:val="hybridMultilevel"/>
    <w:tmpl w:val="433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20B54AE"/>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6" w15:restartNumberingAfterBreak="0">
    <w:nsid w:val="77A55A2F"/>
    <w:multiLevelType w:val="hybridMultilevel"/>
    <w:tmpl w:val="FA1C8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38" w15:restartNumberingAfterBreak="0">
    <w:nsid w:val="785F27C7"/>
    <w:multiLevelType w:val="singleLevel"/>
    <w:tmpl w:val="0C090019"/>
    <w:lvl w:ilvl="0">
      <w:start w:val="2"/>
      <w:numFmt w:val="lowerLetter"/>
      <w:lvlText w:val="(%1)"/>
      <w:lvlJc w:val="left"/>
      <w:pPr>
        <w:tabs>
          <w:tab w:val="num" w:pos="360"/>
        </w:tabs>
        <w:ind w:left="360" w:hanging="360"/>
      </w:pPr>
      <w:rPr>
        <w:rFonts w:cs="Times New Roman" w:hint="default"/>
      </w:rPr>
    </w:lvl>
  </w:abstractNum>
  <w:abstractNum w:abstractNumId="39" w15:restartNumberingAfterBreak="0">
    <w:nsid w:val="79272B9D"/>
    <w:multiLevelType w:val="hybridMultilevel"/>
    <w:tmpl w:val="A7422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082493"/>
    <w:multiLevelType w:val="singleLevel"/>
    <w:tmpl w:val="9C2A93F6"/>
    <w:lvl w:ilvl="0">
      <w:start w:val="1"/>
      <w:numFmt w:val="lowerLetter"/>
      <w:lvlText w:val="(%1)"/>
      <w:lvlJc w:val="left"/>
      <w:pPr>
        <w:tabs>
          <w:tab w:val="num" w:pos="375"/>
        </w:tabs>
        <w:ind w:left="375" w:hanging="375"/>
      </w:pPr>
      <w:rPr>
        <w:rFonts w:cs="Times New Roman" w:hint="default"/>
      </w:rPr>
    </w:lvl>
  </w:abstractNum>
  <w:abstractNum w:abstractNumId="41" w15:restartNumberingAfterBreak="0">
    <w:nsid w:val="7C3843F1"/>
    <w:multiLevelType w:val="multilevel"/>
    <w:tmpl w:val="433E2A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BF0D01"/>
    <w:multiLevelType w:val="hybridMultilevel"/>
    <w:tmpl w:val="0CE2A72C"/>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F7D33DF"/>
    <w:multiLevelType w:val="hybridMultilevel"/>
    <w:tmpl w:val="3550C0C2"/>
    <w:lvl w:ilvl="0" w:tplc="806A08F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5"/>
  </w:num>
  <w:num w:numId="3">
    <w:abstractNumId w:val="38"/>
  </w:num>
  <w:num w:numId="4">
    <w:abstractNumId w:val="12"/>
  </w:num>
  <w:num w:numId="5">
    <w:abstractNumId w:val="6"/>
  </w:num>
  <w:num w:numId="6">
    <w:abstractNumId w:val="10"/>
  </w:num>
  <w:num w:numId="7">
    <w:abstractNumId w:val="0"/>
  </w:num>
  <w:num w:numId="8">
    <w:abstractNumId w:val="9"/>
  </w:num>
  <w:num w:numId="9">
    <w:abstractNumId w:val="7"/>
  </w:num>
  <w:num w:numId="10">
    <w:abstractNumId w:val="35"/>
  </w:num>
  <w:num w:numId="11">
    <w:abstractNumId w:val="23"/>
  </w:num>
  <w:num w:numId="12">
    <w:abstractNumId w:val="25"/>
  </w:num>
  <w:num w:numId="13">
    <w:abstractNumId w:val="33"/>
  </w:num>
  <w:num w:numId="14">
    <w:abstractNumId w:val="29"/>
  </w:num>
  <w:num w:numId="15">
    <w:abstractNumId w:val="20"/>
  </w:num>
  <w:num w:numId="16">
    <w:abstractNumId w:val="16"/>
  </w:num>
  <w:num w:numId="17">
    <w:abstractNumId w:val="40"/>
  </w:num>
  <w:num w:numId="18">
    <w:abstractNumId w:val="3"/>
  </w:num>
  <w:num w:numId="19">
    <w:abstractNumId w:val="19"/>
  </w:num>
  <w:num w:numId="20">
    <w:abstractNumId w:val="27"/>
  </w:num>
  <w:num w:numId="21">
    <w:abstractNumId w:val="11"/>
  </w:num>
  <w:num w:numId="22">
    <w:abstractNumId w:val="8"/>
  </w:num>
  <w:num w:numId="23">
    <w:abstractNumId w:val="34"/>
  </w:num>
  <w:num w:numId="24">
    <w:abstractNumId w:val="41"/>
  </w:num>
  <w:num w:numId="25">
    <w:abstractNumId w:val="2"/>
  </w:num>
  <w:num w:numId="26">
    <w:abstractNumId w:val="4"/>
  </w:num>
  <w:num w:numId="27">
    <w:abstractNumId w:val="42"/>
  </w:num>
  <w:num w:numId="28">
    <w:abstractNumId w:val="17"/>
  </w:num>
  <w:num w:numId="29">
    <w:abstractNumId w:val="43"/>
  </w:num>
  <w:num w:numId="30">
    <w:abstractNumId w:val="37"/>
  </w:num>
  <w:num w:numId="31">
    <w:abstractNumId w:val="3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2"/>
  </w:num>
  <w:num w:numId="35">
    <w:abstractNumId w:val="15"/>
  </w:num>
  <w:num w:numId="36">
    <w:abstractNumId w:val="30"/>
  </w:num>
  <w:num w:numId="37">
    <w:abstractNumId w:val="1"/>
  </w:num>
  <w:num w:numId="38">
    <w:abstractNumId w:val="3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9"/>
  </w:num>
  <w:num w:numId="42">
    <w:abstractNumId w:val="26"/>
  </w:num>
  <w:num w:numId="43">
    <w:abstractNumId w:val="14"/>
  </w:num>
  <w:num w:numId="44">
    <w:abstractNumId w:val="21"/>
  </w:num>
  <w:num w:numId="4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0956"/>
    <w:rsid w:val="00000E3A"/>
    <w:rsid w:val="00001820"/>
    <w:rsid w:val="00003155"/>
    <w:rsid w:val="000054DB"/>
    <w:rsid w:val="0000569D"/>
    <w:rsid w:val="0000604F"/>
    <w:rsid w:val="00006463"/>
    <w:rsid w:val="00007F56"/>
    <w:rsid w:val="0001005C"/>
    <w:rsid w:val="00011599"/>
    <w:rsid w:val="00012A12"/>
    <w:rsid w:val="000143C9"/>
    <w:rsid w:val="00014722"/>
    <w:rsid w:val="0002276A"/>
    <w:rsid w:val="000239DD"/>
    <w:rsid w:val="00023A2F"/>
    <w:rsid w:val="00023EC0"/>
    <w:rsid w:val="000250DD"/>
    <w:rsid w:val="00030437"/>
    <w:rsid w:val="00035730"/>
    <w:rsid w:val="00043D60"/>
    <w:rsid w:val="00044C4A"/>
    <w:rsid w:val="000527B4"/>
    <w:rsid w:val="000536F5"/>
    <w:rsid w:val="000542DA"/>
    <w:rsid w:val="00054784"/>
    <w:rsid w:val="00061675"/>
    <w:rsid w:val="00062AA8"/>
    <w:rsid w:val="00062F20"/>
    <w:rsid w:val="000647AA"/>
    <w:rsid w:val="000648F3"/>
    <w:rsid w:val="00073E6D"/>
    <w:rsid w:val="000747AD"/>
    <w:rsid w:val="000774AE"/>
    <w:rsid w:val="00082295"/>
    <w:rsid w:val="000845E7"/>
    <w:rsid w:val="0008482D"/>
    <w:rsid w:val="00085C85"/>
    <w:rsid w:val="00085EE4"/>
    <w:rsid w:val="000906CF"/>
    <w:rsid w:val="00092B54"/>
    <w:rsid w:val="00094567"/>
    <w:rsid w:val="00095297"/>
    <w:rsid w:val="000A2222"/>
    <w:rsid w:val="000A54E8"/>
    <w:rsid w:val="000B251F"/>
    <w:rsid w:val="000B368D"/>
    <w:rsid w:val="000B750C"/>
    <w:rsid w:val="000C2D03"/>
    <w:rsid w:val="000C2EB4"/>
    <w:rsid w:val="000C539F"/>
    <w:rsid w:val="000C541F"/>
    <w:rsid w:val="000C689F"/>
    <w:rsid w:val="000C6FEC"/>
    <w:rsid w:val="000D0ACB"/>
    <w:rsid w:val="000D3683"/>
    <w:rsid w:val="000D520F"/>
    <w:rsid w:val="000D6E33"/>
    <w:rsid w:val="000D724E"/>
    <w:rsid w:val="000D78EA"/>
    <w:rsid w:val="000D7B93"/>
    <w:rsid w:val="000E0809"/>
    <w:rsid w:val="000E3967"/>
    <w:rsid w:val="000E6B59"/>
    <w:rsid w:val="000F3B16"/>
    <w:rsid w:val="000F69A7"/>
    <w:rsid w:val="000F7C34"/>
    <w:rsid w:val="0010048F"/>
    <w:rsid w:val="00101BE6"/>
    <w:rsid w:val="001027C8"/>
    <w:rsid w:val="00107D83"/>
    <w:rsid w:val="001115D0"/>
    <w:rsid w:val="00113E51"/>
    <w:rsid w:val="0011677D"/>
    <w:rsid w:val="0012043A"/>
    <w:rsid w:val="00120CE5"/>
    <w:rsid w:val="00123E19"/>
    <w:rsid w:val="00127F00"/>
    <w:rsid w:val="001306A9"/>
    <w:rsid w:val="00130C02"/>
    <w:rsid w:val="001314E8"/>
    <w:rsid w:val="00137F10"/>
    <w:rsid w:val="00140909"/>
    <w:rsid w:val="0014198B"/>
    <w:rsid w:val="001440B0"/>
    <w:rsid w:val="00144D7F"/>
    <w:rsid w:val="00145526"/>
    <w:rsid w:val="0014739A"/>
    <w:rsid w:val="001478B5"/>
    <w:rsid w:val="0015150C"/>
    <w:rsid w:val="00151BAA"/>
    <w:rsid w:val="001567B8"/>
    <w:rsid w:val="0015682A"/>
    <w:rsid w:val="001579DC"/>
    <w:rsid w:val="001602B0"/>
    <w:rsid w:val="00162D52"/>
    <w:rsid w:val="00163F4C"/>
    <w:rsid w:val="001657C7"/>
    <w:rsid w:val="00166148"/>
    <w:rsid w:val="0016751D"/>
    <w:rsid w:val="0017011B"/>
    <w:rsid w:val="00171581"/>
    <w:rsid w:val="00171CFF"/>
    <w:rsid w:val="00172F04"/>
    <w:rsid w:val="00174CDE"/>
    <w:rsid w:val="00175216"/>
    <w:rsid w:val="00175419"/>
    <w:rsid w:val="00182B77"/>
    <w:rsid w:val="0018357B"/>
    <w:rsid w:val="00184911"/>
    <w:rsid w:val="00187965"/>
    <w:rsid w:val="00187A2F"/>
    <w:rsid w:val="00190451"/>
    <w:rsid w:val="001A0973"/>
    <w:rsid w:val="001A09D7"/>
    <w:rsid w:val="001A0D6D"/>
    <w:rsid w:val="001A216A"/>
    <w:rsid w:val="001A6FF7"/>
    <w:rsid w:val="001A7D9D"/>
    <w:rsid w:val="001B10A5"/>
    <w:rsid w:val="001B5D4A"/>
    <w:rsid w:val="001B6E3B"/>
    <w:rsid w:val="001B7746"/>
    <w:rsid w:val="001C3664"/>
    <w:rsid w:val="001C3B5F"/>
    <w:rsid w:val="001C4C34"/>
    <w:rsid w:val="001C55AF"/>
    <w:rsid w:val="001D1F5E"/>
    <w:rsid w:val="001D2767"/>
    <w:rsid w:val="001D2FF1"/>
    <w:rsid w:val="001D6044"/>
    <w:rsid w:val="001E48AF"/>
    <w:rsid w:val="001E5890"/>
    <w:rsid w:val="001E655E"/>
    <w:rsid w:val="001E6EB1"/>
    <w:rsid w:val="001E76C2"/>
    <w:rsid w:val="001E7E9B"/>
    <w:rsid w:val="001F56EB"/>
    <w:rsid w:val="001F6819"/>
    <w:rsid w:val="001F6FD4"/>
    <w:rsid w:val="0020016F"/>
    <w:rsid w:val="002029FD"/>
    <w:rsid w:val="002038C1"/>
    <w:rsid w:val="0020405D"/>
    <w:rsid w:val="00204F55"/>
    <w:rsid w:val="002060A8"/>
    <w:rsid w:val="00206147"/>
    <w:rsid w:val="00215CC3"/>
    <w:rsid w:val="00216751"/>
    <w:rsid w:val="00216D6B"/>
    <w:rsid w:val="00220AA8"/>
    <w:rsid w:val="00223D07"/>
    <w:rsid w:val="00225ECE"/>
    <w:rsid w:val="00226E6D"/>
    <w:rsid w:val="00227F28"/>
    <w:rsid w:val="00230C2C"/>
    <w:rsid w:val="002322E5"/>
    <w:rsid w:val="00234F23"/>
    <w:rsid w:val="00235357"/>
    <w:rsid w:val="002422A4"/>
    <w:rsid w:val="00242334"/>
    <w:rsid w:val="00243104"/>
    <w:rsid w:val="00243940"/>
    <w:rsid w:val="002458AC"/>
    <w:rsid w:val="00245CE0"/>
    <w:rsid w:val="0024734F"/>
    <w:rsid w:val="00250BE1"/>
    <w:rsid w:val="00250CAF"/>
    <w:rsid w:val="002513C4"/>
    <w:rsid w:val="0025414F"/>
    <w:rsid w:val="002562A0"/>
    <w:rsid w:val="00256C94"/>
    <w:rsid w:val="00265913"/>
    <w:rsid w:val="00271ECF"/>
    <w:rsid w:val="00272E48"/>
    <w:rsid w:val="002761BD"/>
    <w:rsid w:val="00276779"/>
    <w:rsid w:val="00277838"/>
    <w:rsid w:val="00282FDC"/>
    <w:rsid w:val="00286391"/>
    <w:rsid w:val="002864B5"/>
    <w:rsid w:val="00297090"/>
    <w:rsid w:val="002A011B"/>
    <w:rsid w:val="002A22D7"/>
    <w:rsid w:val="002A4514"/>
    <w:rsid w:val="002A6745"/>
    <w:rsid w:val="002B046F"/>
    <w:rsid w:val="002B18CE"/>
    <w:rsid w:val="002B3B7D"/>
    <w:rsid w:val="002B628C"/>
    <w:rsid w:val="002B6835"/>
    <w:rsid w:val="002C2600"/>
    <w:rsid w:val="002C2815"/>
    <w:rsid w:val="002C362C"/>
    <w:rsid w:val="002C4DF9"/>
    <w:rsid w:val="002C6A9D"/>
    <w:rsid w:val="002D19E0"/>
    <w:rsid w:val="002D4CA4"/>
    <w:rsid w:val="002D542E"/>
    <w:rsid w:val="002E3646"/>
    <w:rsid w:val="002E3844"/>
    <w:rsid w:val="002E4E55"/>
    <w:rsid w:val="002F3EAC"/>
    <w:rsid w:val="00302961"/>
    <w:rsid w:val="00304B1B"/>
    <w:rsid w:val="00315F0A"/>
    <w:rsid w:val="003223AD"/>
    <w:rsid w:val="00322A0D"/>
    <w:rsid w:val="00326E55"/>
    <w:rsid w:val="00332633"/>
    <w:rsid w:val="0033369C"/>
    <w:rsid w:val="003339AA"/>
    <w:rsid w:val="003346C6"/>
    <w:rsid w:val="003350C3"/>
    <w:rsid w:val="003361C1"/>
    <w:rsid w:val="0034148E"/>
    <w:rsid w:val="003466BF"/>
    <w:rsid w:val="00352095"/>
    <w:rsid w:val="00353CF4"/>
    <w:rsid w:val="00354791"/>
    <w:rsid w:val="00365484"/>
    <w:rsid w:val="00371E3B"/>
    <w:rsid w:val="0037275A"/>
    <w:rsid w:val="00372834"/>
    <w:rsid w:val="003743A6"/>
    <w:rsid w:val="003771D4"/>
    <w:rsid w:val="00377376"/>
    <w:rsid w:val="00377623"/>
    <w:rsid w:val="0038089E"/>
    <w:rsid w:val="003819EF"/>
    <w:rsid w:val="003844E8"/>
    <w:rsid w:val="00384526"/>
    <w:rsid w:val="003901D7"/>
    <w:rsid w:val="003924A6"/>
    <w:rsid w:val="003948E6"/>
    <w:rsid w:val="00394B1E"/>
    <w:rsid w:val="00394E67"/>
    <w:rsid w:val="003A0C31"/>
    <w:rsid w:val="003A74DB"/>
    <w:rsid w:val="003B3321"/>
    <w:rsid w:val="003C1445"/>
    <w:rsid w:val="003C28BF"/>
    <w:rsid w:val="003C5462"/>
    <w:rsid w:val="003C5A84"/>
    <w:rsid w:val="003C7948"/>
    <w:rsid w:val="003E16DB"/>
    <w:rsid w:val="003E3FBD"/>
    <w:rsid w:val="003E7F77"/>
    <w:rsid w:val="003F099F"/>
    <w:rsid w:val="003F173E"/>
    <w:rsid w:val="003F1FAE"/>
    <w:rsid w:val="003F40B2"/>
    <w:rsid w:val="003F4B23"/>
    <w:rsid w:val="003F60BB"/>
    <w:rsid w:val="003F7AA9"/>
    <w:rsid w:val="004049C8"/>
    <w:rsid w:val="00405E81"/>
    <w:rsid w:val="0040642D"/>
    <w:rsid w:val="00410062"/>
    <w:rsid w:val="004119AD"/>
    <w:rsid w:val="004136ED"/>
    <w:rsid w:val="0041394C"/>
    <w:rsid w:val="004147EF"/>
    <w:rsid w:val="00416FF2"/>
    <w:rsid w:val="00417AE2"/>
    <w:rsid w:val="00422902"/>
    <w:rsid w:val="00426CAD"/>
    <w:rsid w:val="00427B72"/>
    <w:rsid w:val="0043003B"/>
    <w:rsid w:val="00433C29"/>
    <w:rsid w:val="00451FFA"/>
    <w:rsid w:val="00452649"/>
    <w:rsid w:val="0045339F"/>
    <w:rsid w:val="004572F2"/>
    <w:rsid w:val="0046433D"/>
    <w:rsid w:val="004656CF"/>
    <w:rsid w:val="00466E56"/>
    <w:rsid w:val="004702FB"/>
    <w:rsid w:val="0047043A"/>
    <w:rsid w:val="0048030A"/>
    <w:rsid w:val="00481714"/>
    <w:rsid w:val="00482BE3"/>
    <w:rsid w:val="00483DE0"/>
    <w:rsid w:val="00486368"/>
    <w:rsid w:val="0049279B"/>
    <w:rsid w:val="0049412C"/>
    <w:rsid w:val="00496773"/>
    <w:rsid w:val="00496B07"/>
    <w:rsid w:val="00497F6D"/>
    <w:rsid w:val="004A043C"/>
    <w:rsid w:val="004A0D28"/>
    <w:rsid w:val="004A1690"/>
    <w:rsid w:val="004A2E63"/>
    <w:rsid w:val="004A4E17"/>
    <w:rsid w:val="004A57C9"/>
    <w:rsid w:val="004A5AF7"/>
    <w:rsid w:val="004A708D"/>
    <w:rsid w:val="004B0A0C"/>
    <w:rsid w:val="004B3A7E"/>
    <w:rsid w:val="004B5342"/>
    <w:rsid w:val="004B537F"/>
    <w:rsid w:val="004B63EC"/>
    <w:rsid w:val="004C0ADD"/>
    <w:rsid w:val="004C15F9"/>
    <w:rsid w:val="004C1674"/>
    <w:rsid w:val="004C5743"/>
    <w:rsid w:val="004D1AF9"/>
    <w:rsid w:val="004D30C1"/>
    <w:rsid w:val="004D7870"/>
    <w:rsid w:val="004E3608"/>
    <w:rsid w:val="004E3866"/>
    <w:rsid w:val="004E4C50"/>
    <w:rsid w:val="004E530A"/>
    <w:rsid w:val="004E7BEA"/>
    <w:rsid w:val="004E7E0C"/>
    <w:rsid w:val="004F1242"/>
    <w:rsid w:val="004F46C8"/>
    <w:rsid w:val="004F4A52"/>
    <w:rsid w:val="004F4B4E"/>
    <w:rsid w:val="0050128C"/>
    <w:rsid w:val="005078BF"/>
    <w:rsid w:val="00515212"/>
    <w:rsid w:val="00515FEF"/>
    <w:rsid w:val="005161AF"/>
    <w:rsid w:val="0051744C"/>
    <w:rsid w:val="005200CE"/>
    <w:rsid w:val="00520983"/>
    <w:rsid w:val="0052232D"/>
    <w:rsid w:val="00523C64"/>
    <w:rsid w:val="0052488C"/>
    <w:rsid w:val="00527056"/>
    <w:rsid w:val="00534474"/>
    <w:rsid w:val="00534EA8"/>
    <w:rsid w:val="00535D7A"/>
    <w:rsid w:val="0053679E"/>
    <w:rsid w:val="00536951"/>
    <w:rsid w:val="0054034D"/>
    <w:rsid w:val="00542EC6"/>
    <w:rsid w:val="00543542"/>
    <w:rsid w:val="00543615"/>
    <w:rsid w:val="00544BA6"/>
    <w:rsid w:val="005453DF"/>
    <w:rsid w:val="005513F7"/>
    <w:rsid w:val="00553754"/>
    <w:rsid w:val="00555F24"/>
    <w:rsid w:val="00556586"/>
    <w:rsid w:val="00557AF4"/>
    <w:rsid w:val="00563179"/>
    <w:rsid w:val="005638D7"/>
    <w:rsid w:val="00570B4D"/>
    <w:rsid w:val="0057232D"/>
    <w:rsid w:val="00572E24"/>
    <w:rsid w:val="00576CE0"/>
    <w:rsid w:val="00580588"/>
    <w:rsid w:val="00582357"/>
    <w:rsid w:val="0058254F"/>
    <w:rsid w:val="00583800"/>
    <w:rsid w:val="00583828"/>
    <w:rsid w:val="00585CFC"/>
    <w:rsid w:val="005864B5"/>
    <w:rsid w:val="00591AFF"/>
    <w:rsid w:val="005922C7"/>
    <w:rsid w:val="00597B17"/>
    <w:rsid w:val="005A2442"/>
    <w:rsid w:val="005A2B8A"/>
    <w:rsid w:val="005A4D90"/>
    <w:rsid w:val="005A593B"/>
    <w:rsid w:val="005A6697"/>
    <w:rsid w:val="005A6D39"/>
    <w:rsid w:val="005B11DB"/>
    <w:rsid w:val="005B1BF6"/>
    <w:rsid w:val="005B2089"/>
    <w:rsid w:val="005B2F4C"/>
    <w:rsid w:val="005B3097"/>
    <w:rsid w:val="005B416F"/>
    <w:rsid w:val="005C3A68"/>
    <w:rsid w:val="005C3BAD"/>
    <w:rsid w:val="005C7471"/>
    <w:rsid w:val="005D0540"/>
    <w:rsid w:val="005D2CB3"/>
    <w:rsid w:val="005D7CC2"/>
    <w:rsid w:val="005E275B"/>
    <w:rsid w:val="005F0AA2"/>
    <w:rsid w:val="005F15CE"/>
    <w:rsid w:val="005F1C6A"/>
    <w:rsid w:val="005F4CAB"/>
    <w:rsid w:val="005F532D"/>
    <w:rsid w:val="006007B1"/>
    <w:rsid w:val="0060184C"/>
    <w:rsid w:val="006020F7"/>
    <w:rsid w:val="00603F76"/>
    <w:rsid w:val="00604812"/>
    <w:rsid w:val="00607FCD"/>
    <w:rsid w:val="0061163D"/>
    <w:rsid w:val="006216C1"/>
    <w:rsid w:val="00630158"/>
    <w:rsid w:val="00630F7D"/>
    <w:rsid w:val="00633E3B"/>
    <w:rsid w:val="00637CE9"/>
    <w:rsid w:val="0064049D"/>
    <w:rsid w:val="00642692"/>
    <w:rsid w:val="006428F4"/>
    <w:rsid w:val="00643556"/>
    <w:rsid w:val="00644933"/>
    <w:rsid w:val="00645226"/>
    <w:rsid w:val="006453CA"/>
    <w:rsid w:val="00646B3B"/>
    <w:rsid w:val="00651B17"/>
    <w:rsid w:val="0065319E"/>
    <w:rsid w:val="006612E0"/>
    <w:rsid w:val="00662882"/>
    <w:rsid w:val="00664723"/>
    <w:rsid w:val="00667266"/>
    <w:rsid w:val="006678D8"/>
    <w:rsid w:val="00667ED7"/>
    <w:rsid w:val="00674A21"/>
    <w:rsid w:val="0067677C"/>
    <w:rsid w:val="006767ED"/>
    <w:rsid w:val="00676E6C"/>
    <w:rsid w:val="0068044A"/>
    <w:rsid w:val="006811D1"/>
    <w:rsid w:val="00681FBD"/>
    <w:rsid w:val="006835C1"/>
    <w:rsid w:val="0068378F"/>
    <w:rsid w:val="006851B9"/>
    <w:rsid w:val="00687098"/>
    <w:rsid w:val="00690395"/>
    <w:rsid w:val="00690A14"/>
    <w:rsid w:val="00693642"/>
    <w:rsid w:val="006A0F81"/>
    <w:rsid w:val="006B6B4E"/>
    <w:rsid w:val="006D2F3B"/>
    <w:rsid w:val="006D47F0"/>
    <w:rsid w:val="006D4F77"/>
    <w:rsid w:val="006E058C"/>
    <w:rsid w:val="006E37A6"/>
    <w:rsid w:val="006E3CA6"/>
    <w:rsid w:val="006E4C9C"/>
    <w:rsid w:val="006E6A74"/>
    <w:rsid w:val="006E6FEA"/>
    <w:rsid w:val="006E7E15"/>
    <w:rsid w:val="006F1243"/>
    <w:rsid w:val="006F5A81"/>
    <w:rsid w:val="006F70AD"/>
    <w:rsid w:val="007000AE"/>
    <w:rsid w:val="00706388"/>
    <w:rsid w:val="0070665D"/>
    <w:rsid w:val="00706934"/>
    <w:rsid w:val="00707DCE"/>
    <w:rsid w:val="0071100C"/>
    <w:rsid w:val="00712EDA"/>
    <w:rsid w:val="00714928"/>
    <w:rsid w:val="00717712"/>
    <w:rsid w:val="00724BAE"/>
    <w:rsid w:val="00727914"/>
    <w:rsid w:val="00730355"/>
    <w:rsid w:val="00731CB2"/>
    <w:rsid w:val="007320FF"/>
    <w:rsid w:val="00734DB2"/>
    <w:rsid w:val="00735002"/>
    <w:rsid w:val="007350E5"/>
    <w:rsid w:val="00735CDC"/>
    <w:rsid w:val="00736E9F"/>
    <w:rsid w:val="007375C6"/>
    <w:rsid w:val="00742DED"/>
    <w:rsid w:val="007444AF"/>
    <w:rsid w:val="007461D1"/>
    <w:rsid w:val="007474CB"/>
    <w:rsid w:val="00747DF2"/>
    <w:rsid w:val="00750866"/>
    <w:rsid w:val="00754510"/>
    <w:rsid w:val="00763184"/>
    <w:rsid w:val="00763D91"/>
    <w:rsid w:val="00765B21"/>
    <w:rsid w:val="00765FB9"/>
    <w:rsid w:val="007665EA"/>
    <w:rsid w:val="007701DE"/>
    <w:rsid w:val="00770826"/>
    <w:rsid w:val="00774E70"/>
    <w:rsid w:val="0078281F"/>
    <w:rsid w:val="00783A3C"/>
    <w:rsid w:val="00783BC8"/>
    <w:rsid w:val="00790709"/>
    <w:rsid w:val="00794555"/>
    <w:rsid w:val="00794BB5"/>
    <w:rsid w:val="00796100"/>
    <w:rsid w:val="007A10CE"/>
    <w:rsid w:val="007A13C9"/>
    <w:rsid w:val="007A28BC"/>
    <w:rsid w:val="007A4343"/>
    <w:rsid w:val="007A599D"/>
    <w:rsid w:val="007A67EA"/>
    <w:rsid w:val="007B070E"/>
    <w:rsid w:val="007B5F7D"/>
    <w:rsid w:val="007B7689"/>
    <w:rsid w:val="007C03D8"/>
    <w:rsid w:val="007C0575"/>
    <w:rsid w:val="007C4343"/>
    <w:rsid w:val="007D4D9D"/>
    <w:rsid w:val="007D6201"/>
    <w:rsid w:val="007D7570"/>
    <w:rsid w:val="007E4503"/>
    <w:rsid w:val="007E5427"/>
    <w:rsid w:val="007E577B"/>
    <w:rsid w:val="007E7229"/>
    <w:rsid w:val="007F0865"/>
    <w:rsid w:val="007F4C81"/>
    <w:rsid w:val="008014C5"/>
    <w:rsid w:val="00811534"/>
    <w:rsid w:val="008120A6"/>
    <w:rsid w:val="00814ABC"/>
    <w:rsid w:val="00820279"/>
    <w:rsid w:val="008202C8"/>
    <w:rsid w:val="0082150C"/>
    <w:rsid w:val="00823609"/>
    <w:rsid w:val="0082458E"/>
    <w:rsid w:val="008327A8"/>
    <w:rsid w:val="0083746E"/>
    <w:rsid w:val="00837E77"/>
    <w:rsid w:val="00840F42"/>
    <w:rsid w:val="00845412"/>
    <w:rsid w:val="0084757B"/>
    <w:rsid w:val="0085554F"/>
    <w:rsid w:val="00856D87"/>
    <w:rsid w:val="00857131"/>
    <w:rsid w:val="00860C24"/>
    <w:rsid w:val="00860CC7"/>
    <w:rsid w:val="00863DE5"/>
    <w:rsid w:val="00865EB6"/>
    <w:rsid w:val="00865FB2"/>
    <w:rsid w:val="0086704C"/>
    <w:rsid w:val="00873E23"/>
    <w:rsid w:val="00873E71"/>
    <w:rsid w:val="0088232B"/>
    <w:rsid w:val="00883690"/>
    <w:rsid w:val="0089001B"/>
    <w:rsid w:val="0089095F"/>
    <w:rsid w:val="00891EE8"/>
    <w:rsid w:val="008924DB"/>
    <w:rsid w:val="00897BAF"/>
    <w:rsid w:val="008A05A9"/>
    <w:rsid w:val="008A05E9"/>
    <w:rsid w:val="008A1591"/>
    <w:rsid w:val="008A23BB"/>
    <w:rsid w:val="008A26DB"/>
    <w:rsid w:val="008A3DF3"/>
    <w:rsid w:val="008B0DF5"/>
    <w:rsid w:val="008B1093"/>
    <w:rsid w:val="008B26E9"/>
    <w:rsid w:val="008B3E9D"/>
    <w:rsid w:val="008C4B07"/>
    <w:rsid w:val="008C634A"/>
    <w:rsid w:val="008C676D"/>
    <w:rsid w:val="008C7DCE"/>
    <w:rsid w:val="008D0E2F"/>
    <w:rsid w:val="008D3244"/>
    <w:rsid w:val="008D6494"/>
    <w:rsid w:val="008E0C1E"/>
    <w:rsid w:val="008E47EF"/>
    <w:rsid w:val="008E67CE"/>
    <w:rsid w:val="008E7D3B"/>
    <w:rsid w:val="008F3D93"/>
    <w:rsid w:val="008F43C6"/>
    <w:rsid w:val="008F4C1E"/>
    <w:rsid w:val="00900D1E"/>
    <w:rsid w:val="009063FA"/>
    <w:rsid w:val="00907260"/>
    <w:rsid w:val="00907E89"/>
    <w:rsid w:val="00914325"/>
    <w:rsid w:val="0091530D"/>
    <w:rsid w:val="0091739C"/>
    <w:rsid w:val="00923954"/>
    <w:rsid w:val="0092456D"/>
    <w:rsid w:val="00925007"/>
    <w:rsid w:val="009252DC"/>
    <w:rsid w:val="00927EEC"/>
    <w:rsid w:val="009324EA"/>
    <w:rsid w:val="009327CD"/>
    <w:rsid w:val="00934DEC"/>
    <w:rsid w:val="009365ED"/>
    <w:rsid w:val="0094077F"/>
    <w:rsid w:val="00941663"/>
    <w:rsid w:val="00943332"/>
    <w:rsid w:val="0094431D"/>
    <w:rsid w:val="0094500F"/>
    <w:rsid w:val="00945892"/>
    <w:rsid w:val="00951692"/>
    <w:rsid w:val="00951EAE"/>
    <w:rsid w:val="00953F1C"/>
    <w:rsid w:val="009558A0"/>
    <w:rsid w:val="009566A2"/>
    <w:rsid w:val="009625CE"/>
    <w:rsid w:val="00970A01"/>
    <w:rsid w:val="00972D54"/>
    <w:rsid w:val="00972E94"/>
    <w:rsid w:val="00973AF8"/>
    <w:rsid w:val="009754AF"/>
    <w:rsid w:val="0097600D"/>
    <w:rsid w:val="009769A4"/>
    <w:rsid w:val="00981906"/>
    <w:rsid w:val="00984673"/>
    <w:rsid w:val="00984F4D"/>
    <w:rsid w:val="00997A3E"/>
    <w:rsid w:val="009A088D"/>
    <w:rsid w:val="009A2081"/>
    <w:rsid w:val="009A4AF8"/>
    <w:rsid w:val="009A57EB"/>
    <w:rsid w:val="009A5AB6"/>
    <w:rsid w:val="009A5F02"/>
    <w:rsid w:val="009B04CC"/>
    <w:rsid w:val="009B1B9B"/>
    <w:rsid w:val="009B1C2B"/>
    <w:rsid w:val="009B2C9E"/>
    <w:rsid w:val="009B3EDB"/>
    <w:rsid w:val="009B71E6"/>
    <w:rsid w:val="009C1707"/>
    <w:rsid w:val="009C4004"/>
    <w:rsid w:val="009C556B"/>
    <w:rsid w:val="009D2028"/>
    <w:rsid w:val="009D2E8C"/>
    <w:rsid w:val="009D4004"/>
    <w:rsid w:val="009D5027"/>
    <w:rsid w:val="009D5181"/>
    <w:rsid w:val="009E5455"/>
    <w:rsid w:val="009E58A8"/>
    <w:rsid w:val="009E684A"/>
    <w:rsid w:val="009E705C"/>
    <w:rsid w:val="009E7F72"/>
    <w:rsid w:val="009F2E24"/>
    <w:rsid w:val="009F2F16"/>
    <w:rsid w:val="009F51C6"/>
    <w:rsid w:val="00A002ED"/>
    <w:rsid w:val="00A04CE1"/>
    <w:rsid w:val="00A05C2E"/>
    <w:rsid w:val="00A101C1"/>
    <w:rsid w:val="00A102A1"/>
    <w:rsid w:val="00A11170"/>
    <w:rsid w:val="00A13853"/>
    <w:rsid w:val="00A161C1"/>
    <w:rsid w:val="00A17E38"/>
    <w:rsid w:val="00A2171E"/>
    <w:rsid w:val="00A23329"/>
    <w:rsid w:val="00A278E9"/>
    <w:rsid w:val="00A30689"/>
    <w:rsid w:val="00A32B54"/>
    <w:rsid w:val="00A33688"/>
    <w:rsid w:val="00A3431E"/>
    <w:rsid w:val="00A35541"/>
    <w:rsid w:val="00A37410"/>
    <w:rsid w:val="00A41F74"/>
    <w:rsid w:val="00A436D9"/>
    <w:rsid w:val="00A46176"/>
    <w:rsid w:val="00A46BF8"/>
    <w:rsid w:val="00A51706"/>
    <w:rsid w:val="00A52F7F"/>
    <w:rsid w:val="00A571BC"/>
    <w:rsid w:val="00A618F3"/>
    <w:rsid w:val="00A61BA7"/>
    <w:rsid w:val="00A65518"/>
    <w:rsid w:val="00A66E3B"/>
    <w:rsid w:val="00A67DDA"/>
    <w:rsid w:val="00A77FFE"/>
    <w:rsid w:val="00A80183"/>
    <w:rsid w:val="00A8062D"/>
    <w:rsid w:val="00A91081"/>
    <w:rsid w:val="00A9133F"/>
    <w:rsid w:val="00A92BF1"/>
    <w:rsid w:val="00A93963"/>
    <w:rsid w:val="00A956F1"/>
    <w:rsid w:val="00A96098"/>
    <w:rsid w:val="00AA112A"/>
    <w:rsid w:val="00AA328F"/>
    <w:rsid w:val="00AA34AD"/>
    <w:rsid w:val="00AA4D53"/>
    <w:rsid w:val="00AA5347"/>
    <w:rsid w:val="00AA5444"/>
    <w:rsid w:val="00AB4F21"/>
    <w:rsid w:val="00AB66EF"/>
    <w:rsid w:val="00AB6839"/>
    <w:rsid w:val="00AB6DB6"/>
    <w:rsid w:val="00AC380B"/>
    <w:rsid w:val="00AC68DF"/>
    <w:rsid w:val="00AC69C4"/>
    <w:rsid w:val="00AD14DD"/>
    <w:rsid w:val="00AD2E18"/>
    <w:rsid w:val="00AD51B5"/>
    <w:rsid w:val="00AD52E6"/>
    <w:rsid w:val="00AD7633"/>
    <w:rsid w:val="00AD77B9"/>
    <w:rsid w:val="00AE3B9E"/>
    <w:rsid w:val="00AE5F7C"/>
    <w:rsid w:val="00AF315A"/>
    <w:rsid w:val="00AF400C"/>
    <w:rsid w:val="00B01F8F"/>
    <w:rsid w:val="00B0388E"/>
    <w:rsid w:val="00B03B2A"/>
    <w:rsid w:val="00B04434"/>
    <w:rsid w:val="00B05ED3"/>
    <w:rsid w:val="00B12D35"/>
    <w:rsid w:val="00B13FFF"/>
    <w:rsid w:val="00B151CA"/>
    <w:rsid w:val="00B225A6"/>
    <w:rsid w:val="00B231D1"/>
    <w:rsid w:val="00B24C14"/>
    <w:rsid w:val="00B24CBE"/>
    <w:rsid w:val="00B25E58"/>
    <w:rsid w:val="00B277F5"/>
    <w:rsid w:val="00B331BE"/>
    <w:rsid w:val="00B3335F"/>
    <w:rsid w:val="00B334C6"/>
    <w:rsid w:val="00B3358C"/>
    <w:rsid w:val="00B33C0E"/>
    <w:rsid w:val="00B34F96"/>
    <w:rsid w:val="00B354F2"/>
    <w:rsid w:val="00B37FDF"/>
    <w:rsid w:val="00B42A7A"/>
    <w:rsid w:val="00B447EE"/>
    <w:rsid w:val="00B45B2E"/>
    <w:rsid w:val="00B46753"/>
    <w:rsid w:val="00B51B4E"/>
    <w:rsid w:val="00B527DF"/>
    <w:rsid w:val="00B53340"/>
    <w:rsid w:val="00B57746"/>
    <w:rsid w:val="00B60013"/>
    <w:rsid w:val="00B61634"/>
    <w:rsid w:val="00B6194F"/>
    <w:rsid w:val="00B63F30"/>
    <w:rsid w:val="00B7219D"/>
    <w:rsid w:val="00B73E88"/>
    <w:rsid w:val="00B821ED"/>
    <w:rsid w:val="00B824B8"/>
    <w:rsid w:val="00B82D02"/>
    <w:rsid w:val="00B85005"/>
    <w:rsid w:val="00B8542E"/>
    <w:rsid w:val="00B8649B"/>
    <w:rsid w:val="00B86502"/>
    <w:rsid w:val="00B93922"/>
    <w:rsid w:val="00B94BD1"/>
    <w:rsid w:val="00B96558"/>
    <w:rsid w:val="00BA0ACB"/>
    <w:rsid w:val="00BA1791"/>
    <w:rsid w:val="00BA257E"/>
    <w:rsid w:val="00BA6ACA"/>
    <w:rsid w:val="00BB015F"/>
    <w:rsid w:val="00BB0983"/>
    <w:rsid w:val="00BB0EC8"/>
    <w:rsid w:val="00BB19B4"/>
    <w:rsid w:val="00BB25B8"/>
    <w:rsid w:val="00BB4098"/>
    <w:rsid w:val="00BC25E7"/>
    <w:rsid w:val="00BC2F6B"/>
    <w:rsid w:val="00BC4C2A"/>
    <w:rsid w:val="00BC5868"/>
    <w:rsid w:val="00BD0092"/>
    <w:rsid w:val="00BD3477"/>
    <w:rsid w:val="00BD353D"/>
    <w:rsid w:val="00BD50B2"/>
    <w:rsid w:val="00BD6D49"/>
    <w:rsid w:val="00BE3031"/>
    <w:rsid w:val="00BE3573"/>
    <w:rsid w:val="00BE3EF2"/>
    <w:rsid w:val="00BE44DB"/>
    <w:rsid w:val="00BE4543"/>
    <w:rsid w:val="00BE501F"/>
    <w:rsid w:val="00BE73FF"/>
    <w:rsid w:val="00BE7A4E"/>
    <w:rsid w:val="00BF05CA"/>
    <w:rsid w:val="00BF064E"/>
    <w:rsid w:val="00BF1BD4"/>
    <w:rsid w:val="00BF1DE1"/>
    <w:rsid w:val="00BF39AE"/>
    <w:rsid w:val="00BF58E4"/>
    <w:rsid w:val="00C00F56"/>
    <w:rsid w:val="00C01E57"/>
    <w:rsid w:val="00C022A3"/>
    <w:rsid w:val="00C02EC8"/>
    <w:rsid w:val="00C04344"/>
    <w:rsid w:val="00C06CB3"/>
    <w:rsid w:val="00C126F6"/>
    <w:rsid w:val="00C13972"/>
    <w:rsid w:val="00C13AD9"/>
    <w:rsid w:val="00C13C23"/>
    <w:rsid w:val="00C14CD6"/>
    <w:rsid w:val="00C21D14"/>
    <w:rsid w:val="00C236AC"/>
    <w:rsid w:val="00C265F8"/>
    <w:rsid w:val="00C316C9"/>
    <w:rsid w:val="00C31F1B"/>
    <w:rsid w:val="00C34548"/>
    <w:rsid w:val="00C35A82"/>
    <w:rsid w:val="00C44741"/>
    <w:rsid w:val="00C50F11"/>
    <w:rsid w:val="00C52143"/>
    <w:rsid w:val="00C53156"/>
    <w:rsid w:val="00C55434"/>
    <w:rsid w:val="00C608CE"/>
    <w:rsid w:val="00C62FD7"/>
    <w:rsid w:val="00C63BBC"/>
    <w:rsid w:val="00C64654"/>
    <w:rsid w:val="00C649AE"/>
    <w:rsid w:val="00C65360"/>
    <w:rsid w:val="00C70283"/>
    <w:rsid w:val="00C72D95"/>
    <w:rsid w:val="00C754E2"/>
    <w:rsid w:val="00C76921"/>
    <w:rsid w:val="00C81680"/>
    <w:rsid w:val="00C844E7"/>
    <w:rsid w:val="00C85AB2"/>
    <w:rsid w:val="00C865FC"/>
    <w:rsid w:val="00C94F15"/>
    <w:rsid w:val="00C95AF8"/>
    <w:rsid w:val="00CA1B07"/>
    <w:rsid w:val="00CA351E"/>
    <w:rsid w:val="00CA36D9"/>
    <w:rsid w:val="00CA4451"/>
    <w:rsid w:val="00CA4CF1"/>
    <w:rsid w:val="00CA6FA8"/>
    <w:rsid w:val="00CB1402"/>
    <w:rsid w:val="00CB1613"/>
    <w:rsid w:val="00CC0D27"/>
    <w:rsid w:val="00CC2551"/>
    <w:rsid w:val="00CC2F2E"/>
    <w:rsid w:val="00CD0175"/>
    <w:rsid w:val="00CD0EF5"/>
    <w:rsid w:val="00CD1A09"/>
    <w:rsid w:val="00CD4437"/>
    <w:rsid w:val="00CD5250"/>
    <w:rsid w:val="00CE584A"/>
    <w:rsid w:val="00CE5F20"/>
    <w:rsid w:val="00CE668C"/>
    <w:rsid w:val="00CE7510"/>
    <w:rsid w:val="00CE7A32"/>
    <w:rsid w:val="00CF0058"/>
    <w:rsid w:val="00CF256C"/>
    <w:rsid w:val="00CF410E"/>
    <w:rsid w:val="00D079C2"/>
    <w:rsid w:val="00D11563"/>
    <w:rsid w:val="00D11EBA"/>
    <w:rsid w:val="00D120F0"/>
    <w:rsid w:val="00D13C27"/>
    <w:rsid w:val="00D16A41"/>
    <w:rsid w:val="00D309FE"/>
    <w:rsid w:val="00D32565"/>
    <w:rsid w:val="00D33650"/>
    <w:rsid w:val="00D33F3D"/>
    <w:rsid w:val="00D346FD"/>
    <w:rsid w:val="00D370BD"/>
    <w:rsid w:val="00D37162"/>
    <w:rsid w:val="00D44A33"/>
    <w:rsid w:val="00D45B0F"/>
    <w:rsid w:val="00D45F98"/>
    <w:rsid w:val="00D465CC"/>
    <w:rsid w:val="00D46A8A"/>
    <w:rsid w:val="00D47806"/>
    <w:rsid w:val="00D51701"/>
    <w:rsid w:val="00D56E94"/>
    <w:rsid w:val="00D61503"/>
    <w:rsid w:val="00D64B41"/>
    <w:rsid w:val="00D64C5C"/>
    <w:rsid w:val="00D651EE"/>
    <w:rsid w:val="00D65F48"/>
    <w:rsid w:val="00D67D4D"/>
    <w:rsid w:val="00D80F98"/>
    <w:rsid w:val="00D9287D"/>
    <w:rsid w:val="00D93B5E"/>
    <w:rsid w:val="00D94F0D"/>
    <w:rsid w:val="00D95283"/>
    <w:rsid w:val="00DA2133"/>
    <w:rsid w:val="00DA24DE"/>
    <w:rsid w:val="00DA25C3"/>
    <w:rsid w:val="00DB0293"/>
    <w:rsid w:val="00DB7158"/>
    <w:rsid w:val="00DB766D"/>
    <w:rsid w:val="00DC2A11"/>
    <w:rsid w:val="00DC4F89"/>
    <w:rsid w:val="00DC5C4C"/>
    <w:rsid w:val="00DC6A03"/>
    <w:rsid w:val="00DC7DBC"/>
    <w:rsid w:val="00DD098A"/>
    <w:rsid w:val="00DD09ED"/>
    <w:rsid w:val="00DD1568"/>
    <w:rsid w:val="00DD2B77"/>
    <w:rsid w:val="00DD2B8F"/>
    <w:rsid w:val="00DD5480"/>
    <w:rsid w:val="00DD5847"/>
    <w:rsid w:val="00DD7C03"/>
    <w:rsid w:val="00DD7F15"/>
    <w:rsid w:val="00DE13EF"/>
    <w:rsid w:val="00DE2049"/>
    <w:rsid w:val="00DE3219"/>
    <w:rsid w:val="00DE3BDC"/>
    <w:rsid w:val="00DE4433"/>
    <w:rsid w:val="00DF1070"/>
    <w:rsid w:val="00E0274F"/>
    <w:rsid w:val="00E02EA0"/>
    <w:rsid w:val="00E03B89"/>
    <w:rsid w:val="00E207ED"/>
    <w:rsid w:val="00E231F0"/>
    <w:rsid w:val="00E23BC8"/>
    <w:rsid w:val="00E260AF"/>
    <w:rsid w:val="00E27314"/>
    <w:rsid w:val="00E30C02"/>
    <w:rsid w:val="00E31335"/>
    <w:rsid w:val="00E3557C"/>
    <w:rsid w:val="00E35674"/>
    <w:rsid w:val="00E378F2"/>
    <w:rsid w:val="00E4135E"/>
    <w:rsid w:val="00E42CC3"/>
    <w:rsid w:val="00E451CA"/>
    <w:rsid w:val="00E45F65"/>
    <w:rsid w:val="00E46234"/>
    <w:rsid w:val="00E47A41"/>
    <w:rsid w:val="00E53768"/>
    <w:rsid w:val="00E54E29"/>
    <w:rsid w:val="00E55C8C"/>
    <w:rsid w:val="00E56BAD"/>
    <w:rsid w:val="00E625B2"/>
    <w:rsid w:val="00E64C61"/>
    <w:rsid w:val="00E657D3"/>
    <w:rsid w:val="00E66662"/>
    <w:rsid w:val="00E73151"/>
    <w:rsid w:val="00E7373C"/>
    <w:rsid w:val="00E8158E"/>
    <w:rsid w:val="00E84CD1"/>
    <w:rsid w:val="00E853A5"/>
    <w:rsid w:val="00E86D63"/>
    <w:rsid w:val="00E86E90"/>
    <w:rsid w:val="00E902CE"/>
    <w:rsid w:val="00E97BCF"/>
    <w:rsid w:val="00EA0485"/>
    <w:rsid w:val="00EA2BC3"/>
    <w:rsid w:val="00EA3433"/>
    <w:rsid w:val="00EA45BD"/>
    <w:rsid w:val="00EA5DE9"/>
    <w:rsid w:val="00EB30C2"/>
    <w:rsid w:val="00EB54FD"/>
    <w:rsid w:val="00EC0858"/>
    <w:rsid w:val="00EC3630"/>
    <w:rsid w:val="00EC4BB0"/>
    <w:rsid w:val="00ED2810"/>
    <w:rsid w:val="00ED2C54"/>
    <w:rsid w:val="00ED3DFB"/>
    <w:rsid w:val="00ED4C99"/>
    <w:rsid w:val="00ED5DCD"/>
    <w:rsid w:val="00EE003E"/>
    <w:rsid w:val="00EE025E"/>
    <w:rsid w:val="00EE2D90"/>
    <w:rsid w:val="00EE4439"/>
    <w:rsid w:val="00EE4B3A"/>
    <w:rsid w:val="00EE5639"/>
    <w:rsid w:val="00EE5CF5"/>
    <w:rsid w:val="00EE7134"/>
    <w:rsid w:val="00EF1694"/>
    <w:rsid w:val="00EF1A9D"/>
    <w:rsid w:val="00EF1C38"/>
    <w:rsid w:val="00EF2F70"/>
    <w:rsid w:val="00EF35F1"/>
    <w:rsid w:val="00EF5768"/>
    <w:rsid w:val="00EF64E6"/>
    <w:rsid w:val="00EF663C"/>
    <w:rsid w:val="00F01C92"/>
    <w:rsid w:val="00F0291B"/>
    <w:rsid w:val="00F03271"/>
    <w:rsid w:val="00F033C5"/>
    <w:rsid w:val="00F037AC"/>
    <w:rsid w:val="00F03EDC"/>
    <w:rsid w:val="00F05175"/>
    <w:rsid w:val="00F11527"/>
    <w:rsid w:val="00F22496"/>
    <w:rsid w:val="00F25092"/>
    <w:rsid w:val="00F27F5D"/>
    <w:rsid w:val="00F31315"/>
    <w:rsid w:val="00F33B5E"/>
    <w:rsid w:val="00F35D61"/>
    <w:rsid w:val="00F36584"/>
    <w:rsid w:val="00F370DD"/>
    <w:rsid w:val="00F41F63"/>
    <w:rsid w:val="00F422B8"/>
    <w:rsid w:val="00F4615E"/>
    <w:rsid w:val="00F52069"/>
    <w:rsid w:val="00F540E1"/>
    <w:rsid w:val="00F62A75"/>
    <w:rsid w:val="00F63408"/>
    <w:rsid w:val="00F63A49"/>
    <w:rsid w:val="00F656C5"/>
    <w:rsid w:val="00F667CC"/>
    <w:rsid w:val="00F66A67"/>
    <w:rsid w:val="00F705EE"/>
    <w:rsid w:val="00F7173A"/>
    <w:rsid w:val="00F72B5B"/>
    <w:rsid w:val="00F7535F"/>
    <w:rsid w:val="00F754E5"/>
    <w:rsid w:val="00F76DA0"/>
    <w:rsid w:val="00F80F55"/>
    <w:rsid w:val="00F84A90"/>
    <w:rsid w:val="00F92F7B"/>
    <w:rsid w:val="00F93C5E"/>
    <w:rsid w:val="00F94158"/>
    <w:rsid w:val="00F94709"/>
    <w:rsid w:val="00F97ED3"/>
    <w:rsid w:val="00FA0DC0"/>
    <w:rsid w:val="00FA2062"/>
    <w:rsid w:val="00FA22C9"/>
    <w:rsid w:val="00FA2683"/>
    <w:rsid w:val="00FB0684"/>
    <w:rsid w:val="00FB070C"/>
    <w:rsid w:val="00FB34B5"/>
    <w:rsid w:val="00FB4121"/>
    <w:rsid w:val="00FB72B0"/>
    <w:rsid w:val="00FC0D96"/>
    <w:rsid w:val="00FC2FFB"/>
    <w:rsid w:val="00FC3A16"/>
    <w:rsid w:val="00FC49CF"/>
    <w:rsid w:val="00FC54AD"/>
    <w:rsid w:val="00FC6822"/>
    <w:rsid w:val="00FC74A2"/>
    <w:rsid w:val="00FD1564"/>
    <w:rsid w:val="00FD3D13"/>
    <w:rsid w:val="00FD528E"/>
    <w:rsid w:val="00FD726D"/>
    <w:rsid w:val="00FE4127"/>
    <w:rsid w:val="00FE4236"/>
    <w:rsid w:val="00FE67E9"/>
    <w:rsid w:val="00FE7EFB"/>
    <w:rsid w:val="00FF00B0"/>
    <w:rsid w:val="00FF1002"/>
    <w:rsid w:val="00FF2308"/>
    <w:rsid w:val="00FF5506"/>
    <w:rsid w:val="00FF7DE5"/>
    <w:rsid w:val="043DAEC7"/>
    <w:rsid w:val="10CCF471"/>
    <w:rsid w:val="13B6B444"/>
    <w:rsid w:val="14772122"/>
    <w:rsid w:val="2336A316"/>
    <w:rsid w:val="2492C004"/>
    <w:rsid w:val="36F79055"/>
    <w:rsid w:val="3C44BD6A"/>
    <w:rsid w:val="49F8948D"/>
    <w:rsid w:val="4AC67422"/>
    <w:rsid w:val="54125626"/>
    <w:rsid w:val="5634652F"/>
    <w:rsid w:val="70E7442C"/>
    <w:rsid w:val="775E5B89"/>
    <w:rsid w:val="79027DEB"/>
    <w:rsid w:val="794F7A7B"/>
    <w:rsid w:val="7C97C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32E39"/>
  <w14:defaultImageDpi w14:val="96"/>
  <w15:docId w15:val="{CEB7B4D8-9E04-4987-BE34-8127A6B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C9"/>
    <w:pPr>
      <w:spacing w:after="0" w:line="240" w:lineRule="auto"/>
    </w:pPr>
    <w:rPr>
      <w:sz w:val="20"/>
      <w:szCs w:val="20"/>
    </w:rPr>
  </w:style>
  <w:style w:type="paragraph" w:styleId="Heading1">
    <w:name w:val="heading 1"/>
    <w:basedOn w:val="Normal"/>
    <w:next w:val="Normal"/>
    <w:link w:val="Heading1Char"/>
    <w:uiPriority w:val="99"/>
    <w:qFormat/>
    <w:rsid w:val="00FA22C9"/>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FA22C9"/>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FA22C9"/>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FA22C9"/>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FA22C9"/>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FA22C9"/>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FA22C9"/>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FA22C9"/>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22C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FA22C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FA22C9"/>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A22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A22C9"/>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A22C9"/>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A22C9"/>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A22C9"/>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FA22C9"/>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FA22C9"/>
    <w:rPr>
      <w:rFonts w:cs="Times New Roman"/>
      <w:sz w:val="20"/>
      <w:szCs w:val="20"/>
    </w:rPr>
  </w:style>
  <w:style w:type="paragraph" w:styleId="BodyText3">
    <w:name w:val="Body Text 3"/>
    <w:basedOn w:val="Normal"/>
    <w:link w:val="BodyText3Char"/>
    <w:uiPriority w:val="99"/>
    <w:rsid w:val="00FA22C9"/>
    <w:pPr>
      <w:spacing w:before="60" w:after="60"/>
      <w:jc w:val="center"/>
    </w:pPr>
    <w:rPr>
      <w:b/>
      <w:bCs/>
    </w:rPr>
  </w:style>
  <w:style w:type="character" w:customStyle="1" w:styleId="BodyText3Char">
    <w:name w:val="Body Text 3 Char"/>
    <w:basedOn w:val="DefaultParagraphFont"/>
    <w:link w:val="BodyText3"/>
    <w:uiPriority w:val="99"/>
    <w:semiHidden/>
    <w:locked/>
    <w:rsid w:val="00FA22C9"/>
    <w:rPr>
      <w:rFonts w:cs="Times New Roman"/>
      <w:sz w:val="16"/>
      <w:szCs w:val="16"/>
    </w:rPr>
  </w:style>
  <w:style w:type="paragraph" w:styleId="CommentText">
    <w:name w:val="annotation text"/>
    <w:basedOn w:val="Normal"/>
    <w:link w:val="CommentTextChar"/>
    <w:uiPriority w:val="99"/>
    <w:semiHidden/>
    <w:rsid w:val="00FA22C9"/>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FA22C9"/>
    <w:rPr>
      <w:rFonts w:cs="Times New Roman"/>
      <w:sz w:val="20"/>
      <w:szCs w:val="20"/>
    </w:rPr>
  </w:style>
  <w:style w:type="paragraph" w:styleId="Caption">
    <w:name w:val="caption"/>
    <w:basedOn w:val="Normal"/>
    <w:next w:val="Normal"/>
    <w:uiPriority w:val="99"/>
    <w:qFormat/>
    <w:rsid w:val="00FA22C9"/>
    <w:pPr>
      <w:spacing w:before="60" w:after="60"/>
      <w:jc w:val="center"/>
    </w:pPr>
    <w:rPr>
      <w:b/>
      <w:bCs/>
      <w:noProof/>
      <w:sz w:val="24"/>
      <w:szCs w:val="24"/>
    </w:rPr>
  </w:style>
  <w:style w:type="paragraph" w:styleId="DocumentMap">
    <w:name w:val="Document Map"/>
    <w:basedOn w:val="Normal"/>
    <w:link w:val="DocumentMapChar"/>
    <w:uiPriority w:val="99"/>
    <w:semiHidden/>
    <w:rsid w:val="00FA22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22C9"/>
    <w:rPr>
      <w:rFonts w:ascii="Tahoma" w:hAnsi="Tahoma" w:cs="Tahoma"/>
      <w:sz w:val="16"/>
      <w:szCs w:val="16"/>
    </w:rPr>
  </w:style>
  <w:style w:type="paragraph" w:styleId="BodyText">
    <w:name w:val="Body Text"/>
    <w:basedOn w:val="Normal"/>
    <w:link w:val="BodyTextChar"/>
    <w:uiPriority w:val="99"/>
    <w:rsid w:val="00FA22C9"/>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FA22C9"/>
    <w:rPr>
      <w:rFonts w:cs="Times New Roman"/>
      <w:sz w:val="20"/>
      <w:szCs w:val="20"/>
    </w:rPr>
  </w:style>
  <w:style w:type="paragraph" w:styleId="Header">
    <w:name w:val="header"/>
    <w:basedOn w:val="Normal"/>
    <w:link w:val="HeaderChar"/>
    <w:uiPriority w:val="99"/>
    <w:rsid w:val="00FA22C9"/>
    <w:pPr>
      <w:tabs>
        <w:tab w:val="center" w:pos="4153"/>
        <w:tab w:val="right" w:pos="8306"/>
      </w:tabs>
    </w:pPr>
  </w:style>
  <w:style w:type="character" w:customStyle="1" w:styleId="HeaderChar">
    <w:name w:val="Header Char"/>
    <w:basedOn w:val="DefaultParagraphFont"/>
    <w:link w:val="Header"/>
    <w:uiPriority w:val="99"/>
    <w:semiHidden/>
    <w:locked/>
    <w:rsid w:val="00FA22C9"/>
    <w:rPr>
      <w:rFonts w:cs="Times New Roman"/>
      <w:sz w:val="20"/>
      <w:szCs w:val="20"/>
    </w:rPr>
  </w:style>
  <w:style w:type="paragraph" w:styleId="Footer">
    <w:name w:val="footer"/>
    <w:basedOn w:val="Normal"/>
    <w:link w:val="FooterChar"/>
    <w:uiPriority w:val="99"/>
    <w:rsid w:val="00FA22C9"/>
    <w:pPr>
      <w:tabs>
        <w:tab w:val="center" w:pos="4153"/>
        <w:tab w:val="right" w:pos="8306"/>
      </w:tabs>
    </w:pPr>
  </w:style>
  <w:style w:type="character" w:customStyle="1" w:styleId="FooterChar">
    <w:name w:val="Footer Char"/>
    <w:basedOn w:val="DefaultParagraphFont"/>
    <w:link w:val="Footer"/>
    <w:uiPriority w:val="99"/>
    <w:locked/>
    <w:rsid w:val="00FA22C9"/>
    <w:rPr>
      <w:rFonts w:cs="Times New Roman"/>
      <w:sz w:val="20"/>
      <w:szCs w:val="20"/>
    </w:rPr>
  </w:style>
  <w:style w:type="character" w:styleId="PageNumber">
    <w:name w:val="page number"/>
    <w:basedOn w:val="DefaultParagraphFont"/>
    <w:uiPriority w:val="99"/>
    <w:rsid w:val="00FA22C9"/>
    <w:rPr>
      <w:rFonts w:cs="Times New Roman"/>
    </w:rPr>
  </w:style>
  <w:style w:type="character" w:styleId="Hyperlink">
    <w:name w:val="Hyperlink"/>
    <w:basedOn w:val="DefaultParagraphFont"/>
    <w:uiPriority w:val="99"/>
    <w:rsid w:val="00FA22C9"/>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2C9"/>
    <w:rPr>
      <w:rFonts w:ascii="Tahoma" w:hAnsi="Tahoma" w:cs="Tahoma"/>
      <w:sz w:val="16"/>
      <w:szCs w:val="16"/>
    </w:rPr>
  </w:style>
  <w:style w:type="character" w:styleId="CommentReference">
    <w:name w:val="annotation reference"/>
    <w:basedOn w:val="DefaultParagraphFont"/>
    <w:uiPriority w:val="99"/>
    <w:semiHidden/>
    <w:unhideWhenUsed/>
    <w:rsid w:val="00D65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D651EE"/>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651EE"/>
    <w:rPr>
      <w:rFonts w:cs="Times New Roman"/>
      <w:b/>
      <w:bCs/>
      <w:sz w:val="20"/>
      <w:szCs w:val="20"/>
    </w:rPr>
  </w:style>
  <w:style w:type="paragraph" w:styleId="Revision">
    <w:name w:val="Revision"/>
    <w:hidden/>
    <w:uiPriority w:val="99"/>
    <w:semiHidden/>
    <w:rsid w:val="00D651EE"/>
    <w:pPr>
      <w:spacing w:after="0" w:line="240" w:lineRule="auto"/>
    </w:pPr>
    <w:rPr>
      <w:sz w:val="20"/>
      <w:szCs w:val="20"/>
    </w:rPr>
  </w:style>
  <w:style w:type="character" w:styleId="Strong">
    <w:name w:val="Strong"/>
    <w:basedOn w:val="DefaultParagraphFont"/>
    <w:uiPriority w:val="22"/>
    <w:qFormat/>
    <w:rsid w:val="00690395"/>
    <w:rPr>
      <w:rFonts w:cs="Times New Roman"/>
      <w:b/>
      <w:bCs/>
    </w:rPr>
  </w:style>
  <w:style w:type="paragraph" w:styleId="TOC1">
    <w:name w:val="toc 1"/>
    <w:basedOn w:val="Normal"/>
    <w:next w:val="Normal"/>
    <w:autoRedefine/>
    <w:uiPriority w:val="39"/>
    <w:unhideWhenUsed/>
    <w:rsid w:val="00690395"/>
    <w:pPr>
      <w:spacing w:after="100"/>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47043A"/>
    <w:pPr>
      <w:ind w:left="720"/>
      <w:contextualSpacing/>
    </w:pPr>
    <w:rPr>
      <w:lang w:eastAsia="en-US"/>
    </w:rPr>
  </w:style>
  <w:style w:type="character" w:styleId="FollowedHyperlink">
    <w:name w:val="FollowedHyperlink"/>
    <w:basedOn w:val="DefaultParagraphFont"/>
    <w:uiPriority w:val="99"/>
    <w:rsid w:val="00C01E57"/>
    <w:rPr>
      <w:color w:val="800080" w:themeColor="followedHyperlink"/>
      <w:u w:val="single"/>
    </w:rPr>
  </w:style>
  <w:style w:type="paragraph" w:customStyle="1" w:styleId="Default">
    <w:name w:val="Default"/>
    <w:rsid w:val="00662882"/>
    <w:pPr>
      <w:autoSpaceDE w:val="0"/>
      <w:autoSpaceDN w:val="0"/>
      <w:adjustRightInd w:val="0"/>
      <w:spacing w:after="0" w:line="240" w:lineRule="auto"/>
    </w:pPr>
    <w:rPr>
      <w:rFonts w:eastAsia="Calibri"/>
      <w:color w:val="000000"/>
      <w:sz w:val="24"/>
      <w:szCs w:val="24"/>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662882"/>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75319">
      <w:bodyDiv w:val="1"/>
      <w:marLeft w:val="0"/>
      <w:marRight w:val="0"/>
      <w:marTop w:val="0"/>
      <w:marBottom w:val="0"/>
      <w:divBdr>
        <w:top w:val="none" w:sz="0" w:space="0" w:color="auto"/>
        <w:left w:val="none" w:sz="0" w:space="0" w:color="auto"/>
        <w:bottom w:val="none" w:sz="0" w:space="0" w:color="auto"/>
        <w:right w:val="none" w:sz="0" w:space="0" w:color="auto"/>
      </w:divBdr>
    </w:div>
    <w:div w:id="862013855">
      <w:bodyDiv w:val="1"/>
      <w:marLeft w:val="0"/>
      <w:marRight w:val="0"/>
      <w:marTop w:val="0"/>
      <w:marBottom w:val="0"/>
      <w:divBdr>
        <w:top w:val="none" w:sz="0" w:space="0" w:color="auto"/>
        <w:left w:val="none" w:sz="0" w:space="0" w:color="auto"/>
        <w:bottom w:val="none" w:sz="0" w:space="0" w:color="auto"/>
        <w:right w:val="none" w:sz="0" w:space="0" w:color="auto"/>
      </w:divBdr>
    </w:div>
    <w:div w:id="1696152919">
      <w:marLeft w:val="0"/>
      <w:marRight w:val="0"/>
      <w:marTop w:val="0"/>
      <w:marBottom w:val="0"/>
      <w:divBdr>
        <w:top w:val="none" w:sz="0" w:space="0" w:color="auto"/>
        <w:left w:val="none" w:sz="0" w:space="0" w:color="auto"/>
        <w:bottom w:val="none" w:sz="0" w:space="0" w:color="auto"/>
        <w:right w:val="none" w:sz="0" w:space="0" w:color="auto"/>
      </w:divBdr>
    </w:div>
    <w:div w:id="1696152920">
      <w:marLeft w:val="0"/>
      <w:marRight w:val="0"/>
      <w:marTop w:val="0"/>
      <w:marBottom w:val="0"/>
      <w:divBdr>
        <w:top w:val="none" w:sz="0" w:space="0" w:color="auto"/>
        <w:left w:val="none" w:sz="0" w:space="0" w:color="auto"/>
        <w:bottom w:val="none" w:sz="0" w:space="0" w:color="auto"/>
        <w:right w:val="none" w:sz="0" w:space="0" w:color="auto"/>
      </w:divBdr>
    </w:div>
    <w:div w:id="1696152921">
      <w:marLeft w:val="0"/>
      <w:marRight w:val="0"/>
      <w:marTop w:val="0"/>
      <w:marBottom w:val="0"/>
      <w:divBdr>
        <w:top w:val="none" w:sz="0" w:space="0" w:color="auto"/>
        <w:left w:val="none" w:sz="0" w:space="0" w:color="auto"/>
        <w:bottom w:val="none" w:sz="0" w:space="0" w:color="auto"/>
        <w:right w:val="none" w:sz="0" w:space="0" w:color="auto"/>
      </w:divBdr>
    </w:div>
    <w:div w:id="1696152922">
      <w:marLeft w:val="0"/>
      <w:marRight w:val="0"/>
      <w:marTop w:val="0"/>
      <w:marBottom w:val="0"/>
      <w:divBdr>
        <w:top w:val="none" w:sz="0" w:space="0" w:color="auto"/>
        <w:left w:val="none" w:sz="0" w:space="0" w:color="auto"/>
        <w:bottom w:val="none" w:sz="0" w:space="0" w:color="auto"/>
        <w:right w:val="none" w:sz="0" w:space="0" w:color="auto"/>
      </w:divBdr>
    </w:div>
    <w:div w:id="1696152923">
      <w:marLeft w:val="0"/>
      <w:marRight w:val="0"/>
      <w:marTop w:val="0"/>
      <w:marBottom w:val="0"/>
      <w:divBdr>
        <w:top w:val="none" w:sz="0" w:space="0" w:color="auto"/>
        <w:left w:val="none" w:sz="0" w:space="0" w:color="auto"/>
        <w:bottom w:val="none" w:sz="0" w:space="0" w:color="auto"/>
        <w:right w:val="none" w:sz="0" w:space="0" w:color="auto"/>
      </w:divBdr>
    </w:div>
    <w:div w:id="1696152924">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SHD24-67063</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APSCdoc-806379271-18319</_dlc_DocId>
    <_dlc_DocIdPersistId xmlns="9eb1f307-a489-40bf-8d3d-f7559b8c4701">false</_dlc_DocIdPersistId>
    <_dlc_DocIdUrl xmlns="9eb1f307-a489-40bf-8d3d-f7559b8c4701">
      <Url>https://pmc01.sharepoint.com/sites/apsc-rt/_layouts/15/DocIdRedir.aspx?ID=APSCdoc-806379271-18319</Url>
      <Description>APSCdoc-806379271-18319</Description>
    </_dlc_DocIdUrl>
    <lcf76f155ced4ddcb4097134ff3c332f xmlns="76b77999-d5d7-44f3-8dd0-caf71a7f76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AFB6-04A3-4A86-9356-6C706BBB2DF3}">
  <ds:schemaRefs>
    <ds:schemaRef ds:uri="http://schemas.microsoft.com/sharepoint/events"/>
  </ds:schemaRefs>
</ds:datastoreItem>
</file>

<file path=customXml/itemProps2.xml><?xml version="1.0" encoding="utf-8"?>
<ds:datastoreItem xmlns:ds="http://schemas.openxmlformats.org/officeDocument/2006/customXml" ds:itemID="{691AC93D-3991-4361-9691-652858938F08}">
  <ds:schemaRefs>
    <ds:schemaRef ds:uri="http://schemas.microsoft.com/sharepoint/v3/contenttype/forms"/>
  </ds:schemaRefs>
</ds:datastoreItem>
</file>

<file path=customXml/itemProps3.xml><?xml version="1.0" encoding="utf-8"?>
<ds:datastoreItem xmlns:ds="http://schemas.openxmlformats.org/officeDocument/2006/customXml" ds:itemID="{072F9A0E-0E5A-4824-AD05-11D0B81E34FA}">
  <ds:schemaRefs>
    <ds:schemaRef ds:uri="http://schemas.microsoft.com/sharepoint/v3"/>
    <ds:schemaRef ds:uri="76b77999-d5d7-44f3-8dd0-caf71a7f76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9eb1f307-a489-40bf-8d3d-f7559b8c4701"/>
    <ds:schemaRef ds:uri="http://www.w3.org/XML/1998/namespace"/>
    <ds:schemaRef ds:uri="http://purl.org/dc/dcmitype/"/>
  </ds:schemaRefs>
</ds:datastoreItem>
</file>

<file path=customXml/itemProps4.xml><?xml version="1.0" encoding="utf-8"?>
<ds:datastoreItem xmlns:ds="http://schemas.openxmlformats.org/officeDocument/2006/customXml" ds:itemID="{8970B36D-1FF0-4FCE-9570-AFA118F1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53DCF7-9625-4FA9-914C-0CA4DE84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1457</Words>
  <Characters>8306</Characters>
  <Application>Microsoft Office Word</Application>
  <DocSecurity>0</DocSecurity>
  <Lines>69</Lines>
  <Paragraphs>19</Paragraphs>
  <ScaleCrop>false</ScaleCrop>
  <Company>DOFA</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Urquhart, Kate</cp:lastModifiedBy>
  <cp:revision>32</cp:revision>
  <cp:lastPrinted>2021-06-08T00:12:00Z</cp:lastPrinted>
  <dcterms:created xsi:type="dcterms:W3CDTF">2025-06-11T07:05:00Z</dcterms:created>
  <dcterms:modified xsi:type="dcterms:W3CDTF">2025-06-20T03:12:00Z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Level">
    <vt:lpwstr>3;#OFFICIAL|11463c70-78df-4e3b-b0ff-f66cd3cb26ec</vt:lpwstr>
  </property>
  <property fmtid="{D5CDD505-2E9C-101B-9397-08002B2CF9AE}" pid="10" name="HPRMSecurityCaveat">
    <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90fafdbd-fe93-49c4-8bd9-2b0c33647464</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030af948-baca-41b2-a310-ec1a32b40360</vt:lpwstr>
  </property>
  <property fmtid="{D5CDD505-2E9C-101B-9397-08002B2CF9AE}" pid="26" name="MediaServiceImageTags">
    <vt:lpwstr/>
  </property>
</Properties>
</file>