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1E9D8" w14:textId="77777777" w:rsidR="00715914" w:rsidRPr="000C6BF8" w:rsidRDefault="00DA186E" w:rsidP="00B05CF4">
      <w:pPr>
        <w:rPr>
          <w:sz w:val="28"/>
        </w:rPr>
      </w:pPr>
      <w:r w:rsidRPr="000C6BF8">
        <w:rPr>
          <w:noProof/>
          <w:lang w:eastAsia="en-AU"/>
        </w:rPr>
        <w:drawing>
          <wp:inline distT="0" distB="0" distL="0" distR="0" wp14:anchorId="7674042A" wp14:editId="03DF347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354C16F" w14:textId="77777777" w:rsidR="00715914" w:rsidRPr="000C6BF8" w:rsidRDefault="00715914" w:rsidP="00715914">
      <w:pPr>
        <w:rPr>
          <w:sz w:val="19"/>
        </w:rPr>
      </w:pPr>
    </w:p>
    <w:p w14:paraId="583441CF" w14:textId="5D32CD13" w:rsidR="00351272" w:rsidRPr="000C6BF8" w:rsidRDefault="00351272" w:rsidP="00351272">
      <w:pPr>
        <w:pStyle w:val="ShortT"/>
      </w:pPr>
      <w:r w:rsidRPr="000C6BF8">
        <w:t xml:space="preserve">Remuneration Tribunal (Departmental Secretaries—Classification Structure and Terms and Conditions) </w:t>
      </w:r>
      <w:r w:rsidR="00DB29BA" w:rsidRPr="000C6BF8">
        <w:t>Determination 2</w:t>
      </w:r>
      <w:r w:rsidRPr="000C6BF8">
        <w:t>025</w:t>
      </w:r>
    </w:p>
    <w:p w14:paraId="67CD90AE" w14:textId="77777777" w:rsidR="00351272" w:rsidRPr="000C6BF8" w:rsidRDefault="00351272" w:rsidP="00351272">
      <w:pPr>
        <w:pStyle w:val="SignCoverPageStart"/>
        <w:ind w:right="794"/>
        <w:rPr>
          <w:szCs w:val="22"/>
        </w:rPr>
      </w:pPr>
      <w:r w:rsidRPr="000C6BF8">
        <w:rPr>
          <w:szCs w:val="22"/>
        </w:rPr>
        <w:t>We, the members of the Remuneration Tribunal, make the following determination.</w:t>
      </w:r>
    </w:p>
    <w:p w14:paraId="543449B6" w14:textId="3DCA237E" w:rsidR="00351272" w:rsidRPr="000C6BF8" w:rsidRDefault="00FB69A9" w:rsidP="00351272">
      <w:pPr>
        <w:keepNext/>
        <w:spacing w:before="480" w:line="240" w:lineRule="atLeast"/>
        <w:ind w:right="397"/>
        <w:jc w:val="both"/>
        <w:rPr>
          <w:szCs w:val="22"/>
        </w:rPr>
      </w:pPr>
      <w:r>
        <w:rPr>
          <w:szCs w:val="22"/>
        </w:rPr>
        <w:t>Dated</w:t>
      </w:r>
      <w:r>
        <w:rPr>
          <w:szCs w:val="22"/>
        </w:rPr>
        <w:tab/>
        <w:t xml:space="preserve">18 June </w:t>
      </w:r>
      <w:r w:rsidR="00351272" w:rsidRPr="000C6BF8">
        <w:rPr>
          <w:szCs w:val="22"/>
        </w:rPr>
        <w:t>2025</w:t>
      </w:r>
    </w:p>
    <w:p w14:paraId="74FCB789" w14:textId="77777777" w:rsidR="00351272" w:rsidRPr="000C6BF8" w:rsidRDefault="00351272" w:rsidP="00351272"/>
    <w:tbl>
      <w:tblPr>
        <w:tblW w:w="4551" w:type="pct"/>
        <w:tblLook w:val="04A0" w:firstRow="1" w:lastRow="0" w:firstColumn="1" w:lastColumn="0" w:noHBand="0" w:noVBand="1"/>
      </w:tblPr>
      <w:tblGrid>
        <w:gridCol w:w="2587"/>
        <w:gridCol w:w="2588"/>
        <w:gridCol w:w="2588"/>
      </w:tblGrid>
      <w:tr w:rsidR="00FB69A9" w:rsidRPr="002E7E4E" w14:paraId="45165AA1" w14:textId="77777777" w:rsidTr="00920855">
        <w:tc>
          <w:tcPr>
            <w:tcW w:w="1666" w:type="pct"/>
            <w:shd w:val="clear" w:color="auto" w:fill="auto"/>
            <w:vAlign w:val="center"/>
          </w:tcPr>
          <w:p w14:paraId="42DAF124" w14:textId="150B01D3" w:rsidR="00FB69A9" w:rsidRDefault="00FB69A9" w:rsidP="00920855">
            <w:pPr>
              <w:keepNext/>
              <w:tabs>
                <w:tab w:val="center" w:pos="3402"/>
                <w:tab w:val="center" w:pos="7088"/>
              </w:tabs>
              <w:spacing w:line="300" w:lineRule="atLeast"/>
              <w:ind w:right="-2"/>
              <w:jc w:val="center"/>
              <w:rPr>
                <w:szCs w:val="22"/>
              </w:rPr>
            </w:pPr>
            <w:r>
              <w:rPr>
                <w:noProof/>
                <w:lang w:eastAsia="en-AU"/>
              </w:rPr>
              <w:t>Signed</w:t>
            </w:r>
          </w:p>
        </w:tc>
        <w:tc>
          <w:tcPr>
            <w:tcW w:w="1667" w:type="pct"/>
            <w:shd w:val="clear" w:color="auto" w:fill="auto"/>
            <w:vAlign w:val="center"/>
          </w:tcPr>
          <w:p w14:paraId="6461BEBA" w14:textId="37A2D6B0" w:rsidR="00FB69A9" w:rsidRPr="002E7E4E" w:rsidRDefault="00FB69A9" w:rsidP="00920855">
            <w:pPr>
              <w:keepNext/>
              <w:tabs>
                <w:tab w:val="center" w:pos="3402"/>
                <w:tab w:val="center" w:pos="7088"/>
              </w:tabs>
              <w:spacing w:line="300" w:lineRule="atLeast"/>
              <w:ind w:right="-2"/>
              <w:jc w:val="center"/>
              <w:rPr>
                <w:szCs w:val="22"/>
              </w:rPr>
            </w:pPr>
            <w:r>
              <w:rPr>
                <w:noProof/>
                <w:lang w:eastAsia="en-AU"/>
              </w:rPr>
              <w:t>Signed</w:t>
            </w:r>
          </w:p>
        </w:tc>
        <w:tc>
          <w:tcPr>
            <w:tcW w:w="1667" w:type="pct"/>
            <w:shd w:val="clear" w:color="auto" w:fill="auto"/>
            <w:vAlign w:val="center"/>
          </w:tcPr>
          <w:p w14:paraId="14DEDECF" w14:textId="2EAD8AA7" w:rsidR="00FB69A9" w:rsidRDefault="00FB69A9" w:rsidP="00920855">
            <w:pPr>
              <w:keepNext/>
              <w:tabs>
                <w:tab w:val="center" w:pos="3402"/>
                <w:tab w:val="center" w:pos="7088"/>
              </w:tabs>
              <w:spacing w:line="300" w:lineRule="atLeast"/>
              <w:ind w:right="-2"/>
              <w:jc w:val="center"/>
              <w:rPr>
                <w:szCs w:val="22"/>
              </w:rPr>
            </w:pPr>
            <w:r>
              <w:rPr>
                <w:noProof/>
                <w:lang w:eastAsia="en-AU"/>
              </w:rPr>
              <w:t>Signed</w:t>
            </w:r>
            <w:bookmarkStart w:id="0" w:name="_GoBack"/>
            <w:bookmarkEnd w:id="0"/>
          </w:p>
        </w:tc>
      </w:tr>
      <w:tr w:rsidR="00FB69A9" w:rsidRPr="002E7E4E" w14:paraId="05E1C704" w14:textId="77777777" w:rsidTr="00920855">
        <w:tc>
          <w:tcPr>
            <w:tcW w:w="1666" w:type="pct"/>
            <w:shd w:val="clear" w:color="auto" w:fill="auto"/>
          </w:tcPr>
          <w:p w14:paraId="059FAB82" w14:textId="77777777" w:rsidR="00FB69A9" w:rsidRPr="002E7E4E" w:rsidRDefault="00FB69A9" w:rsidP="00920855">
            <w:pPr>
              <w:keepNext/>
              <w:tabs>
                <w:tab w:val="center" w:pos="3402"/>
                <w:tab w:val="center" w:pos="7088"/>
              </w:tabs>
              <w:spacing w:line="300" w:lineRule="atLeast"/>
              <w:ind w:right="-2"/>
              <w:jc w:val="center"/>
              <w:rPr>
                <w:szCs w:val="22"/>
              </w:rPr>
            </w:pPr>
            <w:r w:rsidRPr="002E7E4E">
              <w:t>Holly Kramer</w:t>
            </w:r>
          </w:p>
        </w:tc>
        <w:tc>
          <w:tcPr>
            <w:tcW w:w="1667" w:type="pct"/>
            <w:shd w:val="clear" w:color="auto" w:fill="auto"/>
          </w:tcPr>
          <w:p w14:paraId="5983459C" w14:textId="77777777" w:rsidR="00FB69A9" w:rsidRPr="002E7E4E" w:rsidRDefault="00FB69A9" w:rsidP="00920855">
            <w:pPr>
              <w:keepNext/>
              <w:tabs>
                <w:tab w:val="center" w:pos="3402"/>
                <w:tab w:val="center" w:pos="7088"/>
              </w:tabs>
              <w:spacing w:line="300" w:lineRule="atLeast"/>
              <w:ind w:right="-2"/>
              <w:jc w:val="center"/>
              <w:rPr>
                <w:szCs w:val="22"/>
              </w:rPr>
            </w:pPr>
            <w:r w:rsidRPr="002E7E4E">
              <w:rPr>
                <w:szCs w:val="22"/>
              </w:rPr>
              <w:t>Heather Zampatti</w:t>
            </w:r>
          </w:p>
        </w:tc>
        <w:tc>
          <w:tcPr>
            <w:tcW w:w="1667" w:type="pct"/>
            <w:shd w:val="clear" w:color="auto" w:fill="auto"/>
          </w:tcPr>
          <w:p w14:paraId="1C125208" w14:textId="77777777" w:rsidR="00FB69A9" w:rsidRPr="002E7E4E" w:rsidRDefault="00FB69A9" w:rsidP="00920855">
            <w:pPr>
              <w:keepNext/>
              <w:tabs>
                <w:tab w:val="center" w:pos="3402"/>
                <w:tab w:val="center" w:pos="7088"/>
              </w:tabs>
              <w:spacing w:line="300" w:lineRule="atLeast"/>
              <w:ind w:right="-2"/>
              <w:jc w:val="center"/>
              <w:rPr>
                <w:szCs w:val="22"/>
              </w:rPr>
            </w:pPr>
            <w:r w:rsidRPr="002E7E4E">
              <w:rPr>
                <w:szCs w:val="22"/>
              </w:rPr>
              <w:t>Stephen Conry AM</w:t>
            </w:r>
          </w:p>
        </w:tc>
      </w:tr>
      <w:tr w:rsidR="00FB69A9" w:rsidRPr="002E7E4E" w14:paraId="7A8ACE24" w14:textId="77777777" w:rsidTr="00920855">
        <w:tc>
          <w:tcPr>
            <w:tcW w:w="1666" w:type="pct"/>
            <w:shd w:val="clear" w:color="auto" w:fill="auto"/>
          </w:tcPr>
          <w:p w14:paraId="419C8A38" w14:textId="77777777" w:rsidR="00FB69A9" w:rsidRPr="002E7E4E" w:rsidRDefault="00FB69A9" w:rsidP="00920855">
            <w:pPr>
              <w:keepNext/>
              <w:tabs>
                <w:tab w:val="center" w:pos="3402"/>
                <w:tab w:val="center" w:pos="7088"/>
              </w:tabs>
              <w:spacing w:line="300" w:lineRule="atLeast"/>
              <w:ind w:right="-2"/>
              <w:jc w:val="center"/>
              <w:rPr>
                <w:szCs w:val="22"/>
              </w:rPr>
            </w:pPr>
            <w:r w:rsidRPr="002E7E4E">
              <w:rPr>
                <w:szCs w:val="22"/>
              </w:rPr>
              <w:t>President</w:t>
            </w:r>
          </w:p>
        </w:tc>
        <w:tc>
          <w:tcPr>
            <w:tcW w:w="1667" w:type="pct"/>
            <w:shd w:val="clear" w:color="auto" w:fill="auto"/>
          </w:tcPr>
          <w:p w14:paraId="2D6F4ECD" w14:textId="77777777" w:rsidR="00FB69A9" w:rsidRPr="002E7E4E" w:rsidRDefault="00FB69A9" w:rsidP="00920855">
            <w:pPr>
              <w:keepNext/>
              <w:tabs>
                <w:tab w:val="center" w:pos="3402"/>
                <w:tab w:val="center" w:pos="7088"/>
              </w:tabs>
              <w:spacing w:line="300" w:lineRule="atLeast"/>
              <w:ind w:right="-2"/>
              <w:jc w:val="center"/>
              <w:rPr>
                <w:szCs w:val="22"/>
              </w:rPr>
            </w:pPr>
            <w:r w:rsidRPr="002E7E4E">
              <w:rPr>
                <w:szCs w:val="22"/>
              </w:rPr>
              <w:t>Member</w:t>
            </w:r>
          </w:p>
        </w:tc>
        <w:tc>
          <w:tcPr>
            <w:tcW w:w="1667" w:type="pct"/>
            <w:shd w:val="clear" w:color="auto" w:fill="auto"/>
          </w:tcPr>
          <w:p w14:paraId="222EDAC0" w14:textId="77777777" w:rsidR="00FB69A9" w:rsidRPr="002E7E4E" w:rsidRDefault="00FB69A9" w:rsidP="00920855">
            <w:pPr>
              <w:keepNext/>
              <w:tabs>
                <w:tab w:val="center" w:pos="3402"/>
                <w:tab w:val="center" w:pos="7088"/>
              </w:tabs>
              <w:spacing w:line="300" w:lineRule="atLeast"/>
              <w:ind w:right="-2"/>
              <w:jc w:val="center"/>
              <w:rPr>
                <w:szCs w:val="22"/>
              </w:rPr>
            </w:pPr>
            <w:r w:rsidRPr="002E7E4E">
              <w:rPr>
                <w:szCs w:val="22"/>
              </w:rPr>
              <w:t>Member</w:t>
            </w:r>
          </w:p>
        </w:tc>
      </w:tr>
    </w:tbl>
    <w:p w14:paraId="7DC0C80D" w14:textId="77777777" w:rsidR="00351272" w:rsidRPr="000C6BF8" w:rsidRDefault="00351272" w:rsidP="00351272">
      <w:pPr>
        <w:pStyle w:val="SignCoverPageEnd"/>
        <w:ind w:right="794"/>
      </w:pPr>
    </w:p>
    <w:p w14:paraId="67C78771" w14:textId="77777777" w:rsidR="00351272" w:rsidRPr="000C6BF8" w:rsidRDefault="00351272" w:rsidP="00351272"/>
    <w:p w14:paraId="6CA3E977" w14:textId="77777777" w:rsidR="00351272" w:rsidRPr="00D7332E" w:rsidRDefault="00351272" w:rsidP="00351272">
      <w:pPr>
        <w:pStyle w:val="Header"/>
        <w:tabs>
          <w:tab w:val="clear" w:pos="4150"/>
          <w:tab w:val="clear" w:pos="8307"/>
        </w:tabs>
      </w:pPr>
      <w:r w:rsidRPr="00D7332E">
        <w:rPr>
          <w:rStyle w:val="CharChapNo"/>
        </w:rPr>
        <w:t xml:space="preserve"> </w:t>
      </w:r>
      <w:r w:rsidRPr="00D7332E">
        <w:rPr>
          <w:rStyle w:val="CharChapText"/>
        </w:rPr>
        <w:t xml:space="preserve"> </w:t>
      </w:r>
    </w:p>
    <w:p w14:paraId="67407E41" w14:textId="77777777" w:rsidR="00351272" w:rsidRPr="00D7332E" w:rsidRDefault="00351272" w:rsidP="00351272">
      <w:pPr>
        <w:pStyle w:val="Header"/>
        <w:tabs>
          <w:tab w:val="clear" w:pos="4150"/>
          <w:tab w:val="clear" w:pos="8307"/>
        </w:tabs>
      </w:pPr>
      <w:r w:rsidRPr="00D7332E">
        <w:rPr>
          <w:rStyle w:val="CharPartNo"/>
        </w:rPr>
        <w:t xml:space="preserve"> </w:t>
      </w:r>
      <w:r w:rsidRPr="00D7332E">
        <w:rPr>
          <w:rStyle w:val="CharPartText"/>
        </w:rPr>
        <w:t xml:space="preserve"> </w:t>
      </w:r>
    </w:p>
    <w:p w14:paraId="44240B40" w14:textId="77777777" w:rsidR="00715914" w:rsidRPr="000C6BF8" w:rsidRDefault="00715914" w:rsidP="00715914">
      <w:pPr>
        <w:sectPr w:rsidR="00715914" w:rsidRPr="000C6BF8" w:rsidSect="00FB53F5">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5D06381" w14:textId="77777777" w:rsidR="00F67BCA" w:rsidRPr="000C6BF8" w:rsidRDefault="00715914" w:rsidP="00715914">
      <w:pPr>
        <w:outlineLvl w:val="0"/>
        <w:rPr>
          <w:sz w:val="36"/>
        </w:rPr>
      </w:pPr>
      <w:r w:rsidRPr="000C6BF8">
        <w:rPr>
          <w:sz w:val="36"/>
        </w:rPr>
        <w:lastRenderedPageBreak/>
        <w:t>Contents</w:t>
      </w:r>
    </w:p>
    <w:p w14:paraId="3FBC0AD7" w14:textId="2C2ED874"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fldChar w:fldCharType="begin"/>
      </w:r>
      <w:r w:rsidRPr="000C6BF8">
        <w:instrText xml:space="preserve"> TOC \o "1-9" </w:instrText>
      </w:r>
      <w:r w:rsidRPr="000C6BF8">
        <w:fldChar w:fldCharType="separate"/>
      </w:r>
      <w:r w:rsidRPr="000C6BF8">
        <w:rPr>
          <w:noProof/>
        </w:rPr>
        <w:t>Part 1—Preliminary</w:t>
      </w:r>
      <w:r w:rsidRPr="000C6BF8">
        <w:rPr>
          <w:b w:val="0"/>
          <w:noProof/>
          <w:sz w:val="18"/>
        </w:rPr>
        <w:tab/>
      </w:r>
      <w:r w:rsidRPr="000C6BF8">
        <w:rPr>
          <w:b w:val="0"/>
          <w:noProof/>
          <w:sz w:val="18"/>
        </w:rPr>
        <w:fldChar w:fldCharType="begin"/>
      </w:r>
      <w:r w:rsidRPr="000C6BF8">
        <w:rPr>
          <w:b w:val="0"/>
          <w:noProof/>
          <w:sz w:val="18"/>
        </w:rPr>
        <w:instrText xml:space="preserve"> PAGEREF _Toc200718608 \h </w:instrText>
      </w:r>
      <w:r w:rsidRPr="000C6BF8">
        <w:rPr>
          <w:b w:val="0"/>
          <w:noProof/>
          <w:sz w:val="18"/>
        </w:rPr>
      </w:r>
      <w:r w:rsidRPr="000C6BF8">
        <w:rPr>
          <w:b w:val="0"/>
          <w:noProof/>
          <w:sz w:val="18"/>
        </w:rPr>
        <w:fldChar w:fldCharType="separate"/>
      </w:r>
      <w:r w:rsidR="00FB69A9">
        <w:rPr>
          <w:b w:val="0"/>
          <w:noProof/>
          <w:sz w:val="18"/>
        </w:rPr>
        <w:t>1</w:t>
      </w:r>
      <w:r w:rsidRPr="000C6BF8">
        <w:rPr>
          <w:b w:val="0"/>
          <w:noProof/>
          <w:sz w:val="18"/>
        </w:rPr>
        <w:fldChar w:fldCharType="end"/>
      </w:r>
    </w:p>
    <w:p w14:paraId="2BF8C2C8" w14:textId="60B0D009"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w:t>
      </w:r>
      <w:r w:rsidRPr="000C6BF8">
        <w:rPr>
          <w:noProof/>
        </w:rPr>
        <w:tab/>
        <w:t>Name</w:t>
      </w:r>
      <w:r w:rsidRPr="000C6BF8">
        <w:rPr>
          <w:noProof/>
        </w:rPr>
        <w:tab/>
      </w:r>
      <w:r w:rsidRPr="000C6BF8">
        <w:rPr>
          <w:noProof/>
        </w:rPr>
        <w:fldChar w:fldCharType="begin"/>
      </w:r>
      <w:r w:rsidRPr="000C6BF8">
        <w:rPr>
          <w:noProof/>
        </w:rPr>
        <w:instrText xml:space="preserve"> PAGEREF _Toc200718609 \h </w:instrText>
      </w:r>
      <w:r w:rsidRPr="000C6BF8">
        <w:rPr>
          <w:noProof/>
        </w:rPr>
      </w:r>
      <w:r w:rsidRPr="000C6BF8">
        <w:rPr>
          <w:noProof/>
        </w:rPr>
        <w:fldChar w:fldCharType="separate"/>
      </w:r>
      <w:r w:rsidR="00FB69A9">
        <w:rPr>
          <w:noProof/>
        </w:rPr>
        <w:t>1</w:t>
      </w:r>
      <w:r w:rsidRPr="000C6BF8">
        <w:rPr>
          <w:noProof/>
        </w:rPr>
        <w:fldChar w:fldCharType="end"/>
      </w:r>
    </w:p>
    <w:p w14:paraId="015542FC" w14:textId="3011F0A1"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w:t>
      </w:r>
      <w:r w:rsidRPr="000C6BF8">
        <w:rPr>
          <w:noProof/>
        </w:rPr>
        <w:tab/>
        <w:t>Commencement</w:t>
      </w:r>
      <w:r w:rsidRPr="000C6BF8">
        <w:rPr>
          <w:noProof/>
        </w:rPr>
        <w:tab/>
      </w:r>
      <w:r w:rsidRPr="000C6BF8">
        <w:rPr>
          <w:noProof/>
        </w:rPr>
        <w:fldChar w:fldCharType="begin"/>
      </w:r>
      <w:r w:rsidRPr="000C6BF8">
        <w:rPr>
          <w:noProof/>
        </w:rPr>
        <w:instrText xml:space="preserve"> PAGEREF _Toc200718610 \h </w:instrText>
      </w:r>
      <w:r w:rsidRPr="000C6BF8">
        <w:rPr>
          <w:noProof/>
        </w:rPr>
      </w:r>
      <w:r w:rsidRPr="000C6BF8">
        <w:rPr>
          <w:noProof/>
        </w:rPr>
        <w:fldChar w:fldCharType="separate"/>
      </w:r>
      <w:r w:rsidR="00FB69A9">
        <w:rPr>
          <w:noProof/>
        </w:rPr>
        <w:t>1</w:t>
      </w:r>
      <w:r w:rsidRPr="000C6BF8">
        <w:rPr>
          <w:noProof/>
        </w:rPr>
        <w:fldChar w:fldCharType="end"/>
      </w:r>
    </w:p>
    <w:p w14:paraId="3EF7663C" w14:textId="7E0F8B08"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w:t>
      </w:r>
      <w:r w:rsidRPr="000C6BF8">
        <w:rPr>
          <w:noProof/>
        </w:rPr>
        <w:tab/>
        <w:t>When this instrument takes effect</w:t>
      </w:r>
      <w:r w:rsidRPr="000C6BF8">
        <w:rPr>
          <w:noProof/>
        </w:rPr>
        <w:tab/>
      </w:r>
      <w:r w:rsidRPr="000C6BF8">
        <w:rPr>
          <w:noProof/>
        </w:rPr>
        <w:fldChar w:fldCharType="begin"/>
      </w:r>
      <w:r w:rsidRPr="000C6BF8">
        <w:rPr>
          <w:noProof/>
        </w:rPr>
        <w:instrText xml:space="preserve"> PAGEREF _Toc200718611 \h </w:instrText>
      </w:r>
      <w:r w:rsidRPr="000C6BF8">
        <w:rPr>
          <w:noProof/>
        </w:rPr>
      </w:r>
      <w:r w:rsidRPr="000C6BF8">
        <w:rPr>
          <w:noProof/>
        </w:rPr>
        <w:fldChar w:fldCharType="separate"/>
      </w:r>
      <w:r w:rsidR="00FB69A9">
        <w:rPr>
          <w:noProof/>
        </w:rPr>
        <w:t>1</w:t>
      </w:r>
      <w:r w:rsidRPr="000C6BF8">
        <w:rPr>
          <w:noProof/>
        </w:rPr>
        <w:fldChar w:fldCharType="end"/>
      </w:r>
    </w:p>
    <w:p w14:paraId="3419D77A" w14:textId="35311BD0"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4</w:t>
      </w:r>
      <w:r w:rsidRPr="000C6BF8">
        <w:rPr>
          <w:noProof/>
        </w:rPr>
        <w:tab/>
        <w:t>Authority</w:t>
      </w:r>
      <w:r w:rsidRPr="000C6BF8">
        <w:rPr>
          <w:noProof/>
        </w:rPr>
        <w:tab/>
      </w:r>
      <w:r w:rsidRPr="000C6BF8">
        <w:rPr>
          <w:noProof/>
        </w:rPr>
        <w:fldChar w:fldCharType="begin"/>
      </w:r>
      <w:r w:rsidRPr="000C6BF8">
        <w:rPr>
          <w:noProof/>
        </w:rPr>
        <w:instrText xml:space="preserve"> PAGEREF _Toc200718612 \h </w:instrText>
      </w:r>
      <w:r w:rsidRPr="000C6BF8">
        <w:rPr>
          <w:noProof/>
        </w:rPr>
      </w:r>
      <w:r w:rsidRPr="000C6BF8">
        <w:rPr>
          <w:noProof/>
        </w:rPr>
        <w:fldChar w:fldCharType="separate"/>
      </w:r>
      <w:r w:rsidR="00FB69A9">
        <w:rPr>
          <w:noProof/>
        </w:rPr>
        <w:t>1</w:t>
      </w:r>
      <w:r w:rsidRPr="000C6BF8">
        <w:rPr>
          <w:noProof/>
        </w:rPr>
        <w:fldChar w:fldCharType="end"/>
      </w:r>
    </w:p>
    <w:p w14:paraId="5E6C33CB" w14:textId="2D15DC6D"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5</w:t>
      </w:r>
      <w:r w:rsidRPr="000C6BF8">
        <w:rPr>
          <w:noProof/>
        </w:rPr>
        <w:tab/>
        <w:t>Determination supersedes previous determination</w:t>
      </w:r>
      <w:r w:rsidRPr="000C6BF8">
        <w:rPr>
          <w:noProof/>
        </w:rPr>
        <w:tab/>
      </w:r>
      <w:r w:rsidRPr="000C6BF8">
        <w:rPr>
          <w:noProof/>
        </w:rPr>
        <w:fldChar w:fldCharType="begin"/>
      </w:r>
      <w:r w:rsidRPr="000C6BF8">
        <w:rPr>
          <w:noProof/>
        </w:rPr>
        <w:instrText xml:space="preserve"> PAGEREF _Toc200718613 \h </w:instrText>
      </w:r>
      <w:r w:rsidRPr="000C6BF8">
        <w:rPr>
          <w:noProof/>
        </w:rPr>
      </w:r>
      <w:r w:rsidRPr="000C6BF8">
        <w:rPr>
          <w:noProof/>
        </w:rPr>
        <w:fldChar w:fldCharType="separate"/>
      </w:r>
      <w:r w:rsidR="00FB69A9">
        <w:rPr>
          <w:noProof/>
        </w:rPr>
        <w:t>1</w:t>
      </w:r>
      <w:r w:rsidRPr="000C6BF8">
        <w:rPr>
          <w:noProof/>
        </w:rPr>
        <w:fldChar w:fldCharType="end"/>
      </w:r>
    </w:p>
    <w:p w14:paraId="780BCFBB" w14:textId="7613D732"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6</w:t>
      </w:r>
      <w:r w:rsidRPr="000C6BF8">
        <w:rPr>
          <w:noProof/>
        </w:rPr>
        <w:tab/>
        <w:t>Schedules</w:t>
      </w:r>
      <w:r w:rsidRPr="000C6BF8">
        <w:rPr>
          <w:noProof/>
        </w:rPr>
        <w:tab/>
      </w:r>
      <w:r w:rsidRPr="000C6BF8">
        <w:rPr>
          <w:noProof/>
        </w:rPr>
        <w:fldChar w:fldCharType="begin"/>
      </w:r>
      <w:r w:rsidRPr="000C6BF8">
        <w:rPr>
          <w:noProof/>
        </w:rPr>
        <w:instrText xml:space="preserve"> PAGEREF _Toc200718614 \h </w:instrText>
      </w:r>
      <w:r w:rsidRPr="000C6BF8">
        <w:rPr>
          <w:noProof/>
        </w:rPr>
      </w:r>
      <w:r w:rsidRPr="000C6BF8">
        <w:rPr>
          <w:noProof/>
        </w:rPr>
        <w:fldChar w:fldCharType="separate"/>
      </w:r>
      <w:r w:rsidR="00FB69A9">
        <w:rPr>
          <w:noProof/>
        </w:rPr>
        <w:t>1</w:t>
      </w:r>
      <w:r w:rsidRPr="000C6BF8">
        <w:rPr>
          <w:noProof/>
        </w:rPr>
        <w:fldChar w:fldCharType="end"/>
      </w:r>
    </w:p>
    <w:p w14:paraId="782D22BB" w14:textId="3D95BF3E"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7</w:t>
      </w:r>
      <w:r w:rsidRPr="000C6BF8">
        <w:rPr>
          <w:noProof/>
        </w:rPr>
        <w:tab/>
        <w:t>Simplified outline of this instrument</w:t>
      </w:r>
      <w:r w:rsidRPr="000C6BF8">
        <w:rPr>
          <w:noProof/>
        </w:rPr>
        <w:tab/>
      </w:r>
      <w:r w:rsidRPr="000C6BF8">
        <w:rPr>
          <w:noProof/>
        </w:rPr>
        <w:fldChar w:fldCharType="begin"/>
      </w:r>
      <w:r w:rsidRPr="000C6BF8">
        <w:rPr>
          <w:noProof/>
        </w:rPr>
        <w:instrText xml:space="preserve"> PAGEREF _Toc200718615 \h </w:instrText>
      </w:r>
      <w:r w:rsidRPr="000C6BF8">
        <w:rPr>
          <w:noProof/>
        </w:rPr>
      </w:r>
      <w:r w:rsidRPr="000C6BF8">
        <w:rPr>
          <w:noProof/>
        </w:rPr>
        <w:fldChar w:fldCharType="separate"/>
      </w:r>
      <w:r w:rsidR="00FB69A9">
        <w:rPr>
          <w:noProof/>
        </w:rPr>
        <w:t>2</w:t>
      </w:r>
      <w:r w:rsidRPr="000C6BF8">
        <w:rPr>
          <w:noProof/>
        </w:rPr>
        <w:fldChar w:fldCharType="end"/>
      </w:r>
    </w:p>
    <w:p w14:paraId="769A4C0D" w14:textId="240B585B"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8</w:t>
      </w:r>
      <w:r w:rsidRPr="000C6BF8">
        <w:rPr>
          <w:noProof/>
        </w:rPr>
        <w:tab/>
        <w:t>Definitions</w:t>
      </w:r>
      <w:r w:rsidRPr="000C6BF8">
        <w:rPr>
          <w:noProof/>
        </w:rPr>
        <w:tab/>
      </w:r>
      <w:r w:rsidRPr="000C6BF8">
        <w:rPr>
          <w:noProof/>
        </w:rPr>
        <w:fldChar w:fldCharType="begin"/>
      </w:r>
      <w:r w:rsidRPr="000C6BF8">
        <w:rPr>
          <w:noProof/>
        </w:rPr>
        <w:instrText xml:space="preserve"> PAGEREF _Toc200718616 \h </w:instrText>
      </w:r>
      <w:r w:rsidRPr="000C6BF8">
        <w:rPr>
          <w:noProof/>
        </w:rPr>
      </w:r>
      <w:r w:rsidRPr="000C6BF8">
        <w:rPr>
          <w:noProof/>
        </w:rPr>
        <w:fldChar w:fldCharType="separate"/>
      </w:r>
      <w:r w:rsidR="00FB69A9">
        <w:rPr>
          <w:noProof/>
        </w:rPr>
        <w:t>2</w:t>
      </w:r>
      <w:r w:rsidRPr="000C6BF8">
        <w:rPr>
          <w:noProof/>
        </w:rPr>
        <w:fldChar w:fldCharType="end"/>
      </w:r>
    </w:p>
    <w:p w14:paraId="18649320" w14:textId="3658B5C3"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9</w:t>
      </w:r>
      <w:r w:rsidRPr="000C6BF8">
        <w:rPr>
          <w:noProof/>
        </w:rPr>
        <w:tab/>
        <w:t xml:space="preserve">Meaning of </w:t>
      </w:r>
      <w:r w:rsidRPr="000C6BF8">
        <w:rPr>
          <w:i/>
          <w:noProof/>
        </w:rPr>
        <w:t>total remuneration</w:t>
      </w:r>
      <w:r w:rsidRPr="000C6BF8">
        <w:rPr>
          <w:noProof/>
        </w:rPr>
        <w:tab/>
      </w:r>
      <w:r w:rsidRPr="000C6BF8">
        <w:rPr>
          <w:noProof/>
        </w:rPr>
        <w:fldChar w:fldCharType="begin"/>
      </w:r>
      <w:r w:rsidRPr="000C6BF8">
        <w:rPr>
          <w:noProof/>
        </w:rPr>
        <w:instrText xml:space="preserve"> PAGEREF _Toc200718617 \h </w:instrText>
      </w:r>
      <w:r w:rsidRPr="000C6BF8">
        <w:rPr>
          <w:noProof/>
        </w:rPr>
      </w:r>
      <w:r w:rsidRPr="000C6BF8">
        <w:rPr>
          <w:noProof/>
        </w:rPr>
        <w:fldChar w:fldCharType="separate"/>
      </w:r>
      <w:r w:rsidR="00FB69A9">
        <w:rPr>
          <w:noProof/>
        </w:rPr>
        <w:t>4</w:t>
      </w:r>
      <w:r w:rsidRPr="000C6BF8">
        <w:rPr>
          <w:noProof/>
        </w:rPr>
        <w:fldChar w:fldCharType="end"/>
      </w:r>
    </w:p>
    <w:p w14:paraId="656CE49A" w14:textId="6CD586B5"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10</w:t>
      </w:r>
      <w:r w:rsidRPr="000C6BF8">
        <w:rPr>
          <w:noProof/>
        </w:rPr>
        <w:tab/>
        <w:t>Entitlements or conditions under other laws</w:t>
      </w:r>
      <w:r w:rsidRPr="000C6BF8">
        <w:rPr>
          <w:noProof/>
        </w:rPr>
        <w:tab/>
      </w:r>
      <w:r w:rsidRPr="000C6BF8">
        <w:rPr>
          <w:noProof/>
        </w:rPr>
        <w:fldChar w:fldCharType="begin"/>
      </w:r>
      <w:r w:rsidRPr="000C6BF8">
        <w:rPr>
          <w:noProof/>
        </w:rPr>
        <w:instrText xml:space="preserve"> PAGEREF _Toc200718618 \h </w:instrText>
      </w:r>
      <w:r w:rsidRPr="000C6BF8">
        <w:rPr>
          <w:noProof/>
        </w:rPr>
      </w:r>
      <w:r w:rsidRPr="000C6BF8">
        <w:rPr>
          <w:noProof/>
        </w:rPr>
        <w:fldChar w:fldCharType="separate"/>
      </w:r>
      <w:r w:rsidR="00FB69A9">
        <w:rPr>
          <w:noProof/>
        </w:rPr>
        <w:t>5</w:t>
      </w:r>
      <w:r w:rsidRPr="000C6BF8">
        <w:rPr>
          <w:noProof/>
        </w:rPr>
        <w:fldChar w:fldCharType="end"/>
      </w:r>
    </w:p>
    <w:p w14:paraId="1D8AC7B5" w14:textId="7D2CD62E"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2—Classification, remuneration and related matters</w:t>
      </w:r>
      <w:r w:rsidRPr="000C6BF8">
        <w:rPr>
          <w:b w:val="0"/>
          <w:noProof/>
          <w:sz w:val="18"/>
        </w:rPr>
        <w:tab/>
      </w:r>
      <w:r w:rsidRPr="000C6BF8">
        <w:rPr>
          <w:b w:val="0"/>
          <w:noProof/>
          <w:sz w:val="18"/>
        </w:rPr>
        <w:fldChar w:fldCharType="begin"/>
      </w:r>
      <w:r w:rsidRPr="000C6BF8">
        <w:rPr>
          <w:b w:val="0"/>
          <w:noProof/>
          <w:sz w:val="18"/>
        </w:rPr>
        <w:instrText xml:space="preserve"> PAGEREF _Toc200718619 \h </w:instrText>
      </w:r>
      <w:r w:rsidRPr="000C6BF8">
        <w:rPr>
          <w:b w:val="0"/>
          <w:noProof/>
          <w:sz w:val="18"/>
        </w:rPr>
      </w:r>
      <w:r w:rsidRPr="000C6BF8">
        <w:rPr>
          <w:b w:val="0"/>
          <w:noProof/>
          <w:sz w:val="18"/>
        </w:rPr>
        <w:fldChar w:fldCharType="separate"/>
      </w:r>
      <w:r w:rsidR="00FB69A9">
        <w:rPr>
          <w:b w:val="0"/>
          <w:noProof/>
          <w:sz w:val="18"/>
        </w:rPr>
        <w:t>6</w:t>
      </w:r>
      <w:r w:rsidRPr="000C6BF8">
        <w:rPr>
          <w:b w:val="0"/>
          <w:noProof/>
          <w:sz w:val="18"/>
        </w:rPr>
        <w:fldChar w:fldCharType="end"/>
      </w:r>
    </w:p>
    <w:p w14:paraId="701C2379" w14:textId="7245933C"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11</w:t>
      </w:r>
      <w:r w:rsidRPr="000C6BF8">
        <w:rPr>
          <w:noProof/>
        </w:rPr>
        <w:tab/>
        <w:t>Classification structure</w:t>
      </w:r>
      <w:r w:rsidRPr="000C6BF8">
        <w:rPr>
          <w:noProof/>
        </w:rPr>
        <w:tab/>
      </w:r>
      <w:r w:rsidRPr="000C6BF8">
        <w:rPr>
          <w:noProof/>
        </w:rPr>
        <w:fldChar w:fldCharType="begin"/>
      </w:r>
      <w:r w:rsidRPr="000C6BF8">
        <w:rPr>
          <w:noProof/>
        </w:rPr>
        <w:instrText xml:space="preserve"> PAGEREF _Toc200718620 \h </w:instrText>
      </w:r>
      <w:r w:rsidRPr="000C6BF8">
        <w:rPr>
          <w:noProof/>
        </w:rPr>
      </w:r>
      <w:r w:rsidRPr="000C6BF8">
        <w:rPr>
          <w:noProof/>
        </w:rPr>
        <w:fldChar w:fldCharType="separate"/>
      </w:r>
      <w:r w:rsidR="00FB69A9">
        <w:rPr>
          <w:noProof/>
        </w:rPr>
        <w:t>6</w:t>
      </w:r>
      <w:r w:rsidRPr="000C6BF8">
        <w:rPr>
          <w:noProof/>
        </w:rPr>
        <w:fldChar w:fldCharType="end"/>
      </w:r>
    </w:p>
    <w:p w14:paraId="0289C60F" w14:textId="79BD191E"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12</w:t>
      </w:r>
      <w:r w:rsidRPr="000C6BF8">
        <w:rPr>
          <w:noProof/>
        </w:rPr>
        <w:tab/>
        <w:t>Pay point assignments</w:t>
      </w:r>
      <w:r w:rsidRPr="000C6BF8">
        <w:rPr>
          <w:noProof/>
        </w:rPr>
        <w:tab/>
      </w:r>
      <w:r w:rsidRPr="000C6BF8">
        <w:rPr>
          <w:noProof/>
        </w:rPr>
        <w:fldChar w:fldCharType="begin"/>
      </w:r>
      <w:r w:rsidRPr="000C6BF8">
        <w:rPr>
          <w:noProof/>
        </w:rPr>
        <w:instrText xml:space="preserve"> PAGEREF _Toc200718621 \h </w:instrText>
      </w:r>
      <w:r w:rsidRPr="000C6BF8">
        <w:rPr>
          <w:noProof/>
        </w:rPr>
      </w:r>
      <w:r w:rsidRPr="000C6BF8">
        <w:rPr>
          <w:noProof/>
        </w:rPr>
        <w:fldChar w:fldCharType="separate"/>
      </w:r>
      <w:r w:rsidR="00FB69A9">
        <w:rPr>
          <w:noProof/>
        </w:rPr>
        <w:t>7</w:t>
      </w:r>
      <w:r w:rsidRPr="000C6BF8">
        <w:rPr>
          <w:noProof/>
        </w:rPr>
        <w:fldChar w:fldCharType="end"/>
      </w:r>
    </w:p>
    <w:p w14:paraId="7A7FCC8B" w14:textId="62E86788"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13</w:t>
      </w:r>
      <w:r w:rsidRPr="000C6BF8">
        <w:rPr>
          <w:noProof/>
        </w:rPr>
        <w:tab/>
        <w:t>Remuneration packaging</w:t>
      </w:r>
      <w:r w:rsidRPr="000C6BF8">
        <w:rPr>
          <w:noProof/>
        </w:rPr>
        <w:tab/>
      </w:r>
      <w:r w:rsidRPr="000C6BF8">
        <w:rPr>
          <w:noProof/>
        </w:rPr>
        <w:fldChar w:fldCharType="begin"/>
      </w:r>
      <w:r w:rsidRPr="000C6BF8">
        <w:rPr>
          <w:noProof/>
        </w:rPr>
        <w:instrText xml:space="preserve"> PAGEREF _Toc200718622 \h </w:instrText>
      </w:r>
      <w:r w:rsidRPr="000C6BF8">
        <w:rPr>
          <w:noProof/>
        </w:rPr>
      </w:r>
      <w:r w:rsidRPr="000C6BF8">
        <w:rPr>
          <w:noProof/>
        </w:rPr>
        <w:fldChar w:fldCharType="separate"/>
      </w:r>
      <w:r w:rsidR="00FB69A9">
        <w:rPr>
          <w:noProof/>
        </w:rPr>
        <w:t>8</w:t>
      </w:r>
      <w:r w:rsidRPr="000C6BF8">
        <w:rPr>
          <w:noProof/>
        </w:rPr>
        <w:fldChar w:fldCharType="end"/>
      </w:r>
    </w:p>
    <w:p w14:paraId="13D6D8F4" w14:textId="7F4578D1"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14</w:t>
      </w:r>
      <w:r w:rsidRPr="000C6BF8">
        <w:rPr>
          <w:noProof/>
        </w:rPr>
        <w:tab/>
        <w:t>Travel tier</w:t>
      </w:r>
      <w:r w:rsidRPr="000C6BF8">
        <w:rPr>
          <w:noProof/>
        </w:rPr>
        <w:tab/>
      </w:r>
      <w:r w:rsidRPr="000C6BF8">
        <w:rPr>
          <w:noProof/>
        </w:rPr>
        <w:fldChar w:fldCharType="begin"/>
      </w:r>
      <w:r w:rsidRPr="000C6BF8">
        <w:rPr>
          <w:noProof/>
        </w:rPr>
        <w:instrText xml:space="preserve"> PAGEREF _Toc200718623 \h </w:instrText>
      </w:r>
      <w:r w:rsidRPr="000C6BF8">
        <w:rPr>
          <w:noProof/>
        </w:rPr>
      </w:r>
      <w:r w:rsidRPr="000C6BF8">
        <w:rPr>
          <w:noProof/>
        </w:rPr>
        <w:fldChar w:fldCharType="separate"/>
      </w:r>
      <w:r w:rsidR="00FB69A9">
        <w:rPr>
          <w:noProof/>
        </w:rPr>
        <w:t>9</w:t>
      </w:r>
      <w:r w:rsidRPr="000C6BF8">
        <w:rPr>
          <w:noProof/>
        </w:rPr>
        <w:fldChar w:fldCharType="end"/>
      </w:r>
    </w:p>
    <w:p w14:paraId="344DB4C6" w14:textId="4BB1BA39"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3—Superannuation</w:t>
      </w:r>
      <w:r w:rsidRPr="000C6BF8">
        <w:rPr>
          <w:b w:val="0"/>
          <w:noProof/>
          <w:sz w:val="18"/>
        </w:rPr>
        <w:tab/>
      </w:r>
      <w:r w:rsidRPr="000C6BF8">
        <w:rPr>
          <w:b w:val="0"/>
          <w:noProof/>
          <w:sz w:val="18"/>
        </w:rPr>
        <w:fldChar w:fldCharType="begin"/>
      </w:r>
      <w:r w:rsidRPr="000C6BF8">
        <w:rPr>
          <w:b w:val="0"/>
          <w:noProof/>
          <w:sz w:val="18"/>
        </w:rPr>
        <w:instrText xml:space="preserve"> PAGEREF _Toc200718624 \h </w:instrText>
      </w:r>
      <w:r w:rsidRPr="000C6BF8">
        <w:rPr>
          <w:b w:val="0"/>
          <w:noProof/>
          <w:sz w:val="18"/>
        </w:rPr>
      </w:r>
      <w:r w:rsidRPr="000C6BF8">
        <w:rPr>
          <w:b w:val="0"/>
          <w:noProof/>
          <w:sz w:val="18"/>
        </w:rPr>
        <w:fldChar w:fldCharType="separate"/>
      </w:r>
      <w:r w:rsidR="00FB69A9">
        <w:rPr>
          <w:b w:val="0"/>
          <w:noProof/>
          <w:sz w:val="18"/>
        </w:rPr>
        <w:t>10</w:t>
      </w:r>
      <w:r w:rsidRPr="000C6BF8">
        <w:rPr>
          <w:b w:val="0"/>
          <w:noProof/>
          <w:sz w:val="18"/>
        </w:rPr>
        <w:fldChar w:fldCharType="end"/>
      </w:r>
    </w:p>
    <w:p w14:paraId="241CE93F" w14:textId="0A00C602"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15</w:t>
      </w:r>
      <w:r w:rsidRPr="000C6BF8">
        <w:rPr>
          <w:noProof/>
        </w:rPr>
        <w:tab/>
        <w:t>Superannuation</w:t>
      </w:r>
      <w:r w:rsidRPr="000C6BF8">
        <w:rPr>
          <w:noProof/>
        </w:rPr>
        <w:tab/>
      </w:r>
      <w:r w:rsidRPr="000C6BF8">
        <w:rPr>
          <w:noProof/>
        </w:rPr>
        <w:fldChar w:fldCharType="begin"/>
      </w:r>
      <w:r w:rsidRPr="000C6BF8">
        <w:rPr>
          <w:noProof/>
        </w:rPr>
        <w:instrText xml:space="preserve"> PAGEREF _Toc200718625 \h </w:instrText>
      </w:r>
      <w:r w:rsidRPr="000C6BF8">
        <w:rPr>
          <w:noProof/>
        </w:rPr>
      </w:r>
      <w:r w:rsidRPr="000C6BF8">
        <w:rPr>
          <w:noProof/>
        </w:rPr>
        <w:fldChar w:fldCharType="separate"/>
      </w:r>
      <w:r w:rsidR="00FB69A9">
        <w:rPr>
          <w:noProof/>
        </w:rPr>
        <w:t>10</w:t>
      </w:r>
      <w:r w:rsidRPr="000C6BF8">
        <w:rPr>
          <w:noProof/>
        </w:rPr>
        <w:fldChar w:fldCharType="end"/>
      </w:r>
    </w:p>
    <w:p w14:paraId="042CDD26" w14:textId="04EA434E"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4—Vehicles and business support</w:t>
      </w:r>
      <w:r w:rsidRPr="000C6BF8">
        <w:rPr>
          <w:b w:val="0"/>
          <w:noProof/>
          <w:sz w:val="18"/>
        </w:rPr>
        <w:tab/>
      </w:r>
      <w:r w:rsidRPr="000C6BF8">
        <w:rPr>
          <w:b w:val="0"/>
          <w:noProof/>
          <w:sz w:val="18"/>
        </w:rPr>
        <w:fldChar w:fldCharType="begin"/>
      </w:r>
      <w:r w:rsidRPr="000C6BF8">
        <w:rPr>
          <w:b w:val="0"/>
          <w:noProof/>
          <w:sz w:val="18"/>
        </w:rPr>
        <w:instrText xml:space="preserve"> PAGEREF _Toc200718626 \h </w:instrText>
      </w:r>
      <w:r w:rsidRPr="000C6BF8">
        <w:rPr>
          <w:b w:val="0"/>
          <w:noProof/>
          <w:sz w:val="18"/>
        </w:rPr>
      </w:r>
      <w:r w:rsidRPr="000C6BF8">
        <w:rPr>
          <w:b w:val="0"/>
          <w:noProof/>
          <w:sz w:val="18"/>
        </w:rPr>
        <w:fldChar w:fldCharType="separate"/>
      </w:r>
      <w:r w:rsidR="00FB69A9">
        <w:rPr>
          <w:b w:val="0"/>
          <w:noProof/>
          <w:sz w:val="18"/>
        </w:rPr>
        <w:t>12</w:t>
      </w:r>
      <w:r w:rsidRPr="000C6BF8">
        <w:rPr>
          <w:b w:val="0"/>
          <w:noProof/>
          <w:sz w:val="18"/>
        </w:rPr>
        <w:fldChar w:fldCharType="end"/>
      </w:r>
    </w:p>
    <w:p w14:paraId="482CA451" w14:textId="5FEB7A8A"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16</w:t>
      </w:r>
      <w:r w:rsidRPr="000C6BF8">
        <w:rPr>
          <w:noProof/>
        </w:rPr>
        <w:tab/>
        <w:t>Vehicles</w:t>
      </w:r>
      <w:r w:rsidRPr="000C6BF8">
        <w:rPr>
          <w:noProof/>
        </w:rPr>
        <w:tab/>
      </w:r>
      <w:r w:rsidRPr="000C6BF8">
        <w:rPr>
          <w:noProof/>
        </w:rPr>
        <w:fldChar w:fldCharType="begin"/>
      </w:r>
      <w:r w:rsidRPr="000C6BF8">
        <w:rPr>
          <w:noProof/>
        </w:rPr>
        <w:instrText xml:space="preserve"> PAGEREF _Toc200718627 \h </w:instrText>
      </w:r>
      <w:r w:rsidRPr="000C6BF8">
        <w:rPr>
          <w:noProof/>
        </w:rPr>
      </w:r>
      <w:r w:rsidRPr="000C6BF8">
        <w:rPr>
          <w:noProof/>
        </w:rPr>
        <w:fldChar w:fldCharType="separate"/>
      </w:r>
      <w:r w:rsidR="00FB69A9">
        <w:rPr>
          <w:noProof/>
        </w:rPr>
        <w:t>12</w:t>
      </w:r>
      <w:r w:rsidRPr="000C6BF8">
        <w:rPr>
          <w:noProof/>
        </w:rPr>
        <w:fldChar w:fldCharType="end"/>
      </w:r>
    </w:p>
    <w:p w14:paraId="73A88307" w14:textId="23F9821B"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17</w:t>
      </w:r>
      <w:r w:rsidRPr="000C6BF8">
        <w:rPr>
          <w:noProof/>
        </w:rPr>
        <w:tab/>
        <w:t>Vehicle parking</w:t>
      </w:r>
      <w:r w:rsidRPr="000C6BF8">
        <w:rPr>
          <w:noProof/>
        </w:rPr>
        <w:tab/>
      </w:r>
      <w:r w:rsidRPr="000C6BF8">
        <w:rPr>
          <w:noProof/>
        </w:rPr>
        <w:fldChar w:fldCharType="begin"/>
      </w:r>
      <w:r w:rsidRPr="000C6BF8">
        <w:rPr>
          <w:noProof/>
        </w:rPr>
        <w:instrText xml:space="preserve"> PAGEREF _Toc200718628 \h </w:instrText>
      </w:r>
      <w:r w:rsidRPr="000C6BF8">
        <w:rPr>
          <w:noProof/>
        </w:rPr>
      </w:r>
      <w:r w:rsidRPr="000C6BF8">
        <w:rPr>
          <w:noProof/>
        </w:rPr>
        <w:fldChar w:fldCharType="separate"/>
      </w:r>
      <w:r w:rsidR="00FB69A9">
        <w:rPr>
          <w:noProof/>
        </w:rPr>
        <w:t>12</w:t>
      </w:r>
      <w:r w:rsidRPr="000C6BF8">
        <w:rPr>
          <w:noProof/>
        </w:rPr>
        <w:fldChar w:fldCharType="end"/>
      </w:r>
    </w:p>
    <w:p w14:paraId="22B787F3" w14:textId="63D77899"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18</w:t>
      </w:r>
      <w:r w:rsidRPr="000C6BF8">
        <w:rPr>
          <w:noProof/>
        </w:rPr>
        <w:tab/>
        <w:t>Business support</w:t>
      </w:r>
      <w:r w:rsidRPr="000C6BF8">
        <w:rPr>
          <w:noProof/>
        </w:rPr>
        <w:tab/>
      </w:r>
      <w:r w:rsidRPr="000C6BF8">
        <w:rPr>
          <w:noProof/>
        </w:rPr>
        <w:fldChar w:fldCharType="begin"/>
      </w:r>
      <w:r w:rsidRPr="000C6BF8">
        <w:rPr>
          <w:noProof/>
        </w:rPr>
        <w:instrText xml:space="preserve"> PAGEREF _Toc200718629 \h </w:instrText>
      </w:r>
      <w:r w:rsidRPr="000C6BF8">
        <w:rPr>
          <w:noProof/>
        </w:rPr>
      </w:r>
      <w:r w:rsidRPr="000C6BF8">
        <w:rPr>
          <w:noProof/>
        </w:rPr>
        <w:fldChar w:fldCharType="separate"/>
      </w:r>
      <w:r w:rsidR="00FB69A9">
        <w:rPr>
          <w:noProof/>
        </w:rPr>
        <w:t>12</w:t>
      </w:r>
      <w:r w:rsidRPr="000C6BF8">
        <w:rPr>
          <w:noProof/>
        </w:rPr>
        <w:fldChar w:fldCharType="end"/>
      </w:r>
    </w:p>
    <w:p w14:paraId="75E73809" w14:textId="4665C42A"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5—Leave</w:t>
      </w:r>
      <w:r w:rsidRPr="000C6BF8">
        <w:rPr>
          <w:b w:val="0"/>
          <w:noProof/>
          <w:sz w:val="18"/>
        </w:rPr>
        <w:tab/>
      </w:r>
      <w:r w:rsidRPr="000C6BF8">
        <w:rPr>
          <w:b w:val="0"/>
          <w:noProof/>
          <w:sz w:val="18"/>
        </w:rPr>
        <w:fldChar w:fldCharType="begin"/>
      </w:r>
      <w:r w:rsidRPr="000C6BF8">
        <w:rPr>
          <w:b w:val="0"/>
          <w:noProof/>
          <w:sz w:val="18"/>
        </w:rPr>
        <w:instrText xml:space="preserve"> PAGEREF _Toc200718630 \h </w:instrText>
      </w:r>
      <w:r w:rsidRPr="000C6BF8">
        <w:rPr>
          <w:b w:val="0"/>
          <w:noProof/>
          <w:sz w:val="18"/>
        </w:rPr>
      </w:r>
      <w:r w:rsidRPr="000C6BF8">
        <w:rPr>
          <w:b w:val="0"/>
          <w:noProof/>
          <w:sz w:val="18"/>
        </w:rPr>
        <w:fldChar w:fldCharType="separate"/>
      </w:r>
      <w:r w:rsidR="00FB69A9">
        <w:rPr>
          <w:b w:val="0"/>
          <w:noProof/>
          <w:sz w:val="18"/>
        </w:rPr>
        <w:t>13</w:t>
      </w:r>
      <w:r w:rsidRPr="000C6BF8">
        <w:rPr>
          <w:b w:val="0"/>
          <w:noProof/>
          <w:sz w:val="18"/>
        </w:rPr>
        <w:fldChar w:fldCharType="end"/>
      </w:r>
    </w:p>
    <w:p w14:paraId="425DAB67" w14:textId="6D48D84D"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19</w:t>
      </w:r>
      <w:r w:rsidRPr="000C6BF8">
        <w:rPr>
          <w:noProof/>
        </w:rPr>
        <w:tab/>
        <w:t>Normal duty</w:t>
      </w:r>
      <w:r w:rsidRPr="000C6BF8">
        <w:rPr>
          <w:noProof/>
        </w:rPr>
        <w:tab/>
      </w:r>
      <w:r w:rsidRPr="000C6BF8">
        <w:rPr>
          <w:noProof/>
        </w:rPr>
        <w:fldChar w:fldCharType="begin"/>
      </w:r>
      <w:r w:rsidRPr="000C6BF8">
        <w:rPr>
          <w:noProof/>
        </w:rPr>
        <w:instrText xml:space="preserve"> PAGEREF _Toc200718631 \h </w:instrText>
      </w:r>
      <w:r w:rsidRPr="000C6BF8">
        <w:rPr>
          <w:noProof/>
        </w:rPr>
      </w:r>
      <w:r w:rsidRPr="000C6BF8">
        <w:rPr>
          <w:noProof/>
        </w:rPr>
        <w:fldChar w:fldCharType="separate"/>
      </w:r>
      <w:r w:rsidR="00FB69A9">
        <w:rPr>
          <w:noProof/>
        </w:rPr>
        <w:t>13</w:t>
      </w:r>
      <w:r w:rsidRPr="000C6BF8">
        <w:rPr>
          <w:noProof/>
        </w:rPr>
        <w:fldChar w:fldCharType="end"/>
      </w:r>
    </w:p>
    <w:p w14:paraId="1E856B42" w14:textId="54151640"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20</w:t>
      </w:r>
      <w:r w:rsidRPr="000C6BF8">
        <w:rPr>
          <w:noProof/>
        </w:rPr>
        <w:tab/>
        <w:t>Recreation (annual) leave</w:t>
      </w:r>
      <w:r w:rsidRPr="000C6BF8">
        <w:rPr>
          <w:noProof/>
        </w:rPr>
        <w:tab/>
      </w:r>
      <w:r w:rsidRPr="000C6BF8">
        <w:rPr>
          <w:noProof/>
        </w:rPr>
        <w:fldChar w:fldCharType="begin"/>
      </w:r>
      <w:r w:rsidRPr="000C6BF8">
        <w:rPr>
          <w:noProof/>
        </w:rPr>
        <w:instrText xml:space="preserve"> PAGEREF _Toc200718632 \h </w:instrText>
      </w:r>
      <w:r w:rsidRPr="000C6BF8">
        <w:rPr>
          <w:noProof/>
        </w:rPr>
      </w:r>
      <w:r w:rsidRPr="000C6BF8">
        <w:rPr>
          <w:noProof/>
        </w:rPr>
        <w:fldChar w:fldCharType="separate"/>
      </w:r>
      <w:r w:rsidR="00FB69A9">
        <w:rPr>
          <w:noProof/>
        </w:rPr>
        <w:t>13</w:t>
      </w:r>
      <w:r w:rsidRPr="000C6BF8">
        <w:rPr>
          <w:noProof/>
        </w:rPr>
        <w:fldChar w:fldCharType="end"/>
      </w:r>
    </w:p>
    <w:p w14:paraId="7F707879" w14:textId="4853654F"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21</w:t>
      </w:r>
      <w:r w:rsidRPr="000C6BF8">
        <w:rPr>
          <w:noProof/>
        </w:rPr>
        <w:tab/>
        <w:t>Personal leave</w:t>
      </w:r>
      <w:r w:rsidRPr="000C6BF8">
        <w:rPr>
          <w:noProof/>
        </w:rPr>
        <w:tab/>
      </w:r>
      <w:r w:rsidRPr="000C6BF8">
        <w:rPr>
          <w:noProof/>
        </w:rPr>
        <w:fldChar w:fldCharType="begin"/>
      </w:r>
      <w:r w:rsidRPr="000C6BF8">
        <w:rPr>
          <w:noProof/>
        </w:rPr>
        <w:instrText xml:space="preserve"> PAGEREF _Toc200718633 \h </w:instrText>
      </w:r>
      <w:r w:rsidRPr="000C6BF8">
        <w:rPr>
          <w:noProof/>
        </w:rPr>
      </w:r>
      <w:r w:rsidRPr="000C6BF8">
        <w:rPr>
          <w:noProof/>
        </w:rPr>
        <w:fldChar w:fldCharType="separate"/>
      </w:r>
      <w:r w:rsidR="00FB69A9">
        <w:rPr>
          <w:noProof/>
        </w:rPr>
        <w:t>13</w:t>
      </w:r>
      <w:r w:rsidRPr="000C6BF8">
        <w:rPr>
          <w:noProof/>
        </w:rPr>
        <w:fldChar w:fldCharType="end"/>
      </w:r>
    </w:p>
    <w:p w14:paraId="18CAAE53" w14:textId="54D44AD4"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22</w:t>
      </w:r>
      <w:r w:rsidRPr="000C6BF8">
        <w:rPr>
          <w:noProof/>
        </w:rPr>
        <w:tab/>
        <w:t>Miscellaneous leave</w:t>
      </w:r>
      <w:r w:rsidRPr="000C6BF8">
        <w:rPr>
          <w:noProof/>
        </w:rPr>
        <w:tab/>
      </w:r>
      <w:r w:rsidRPr="000C6BF8">
        <w:rPr>
          <w:noProof/>
        </w:rPr>
        <w:fldChar w:fldCharType="begin"/>
      </w:r>
      <w:r w:rsidRPr="000C6BF8">
        <w:rPr>
          <w:noProof/>
        </w:rPr>
        <w:instrText xml:space="preserve"> PAGEREF _Toc200718634 \h </w:instrText>
      </w:r>
      <w:r w:rsidRPr="000C6BF8">
        <w:rPr>
          <w:noProof/>
        </w:rPr>
      </w:r>
      <w:r w:rsidRPr="000C6BF8">
        <w:rPr>
          <w:noProof/>
        </w:rPr>
        <w:fldChar w:fldCharType="separate"/>
      </w:r>
      <w:r w:rsidR="00FB69A9">
        <w:rPr>
          <w:noProof/>
        </w:rPr>
        <w:t>14</w:t>
      </w:r>
      <w:r w:rsidRPr="000C6BF8">
        <w:rPr>
          <w:noProof/>
        </w:rPr>
        <w:fldChar w:fldCharType="end"/>
      </w:r>
    </w:p>
    <w:p w14:paraId="328E5D13" w14:textId="257A7F7B"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23</w:t>
      </w:r>
      <w:r w:rsidRPr="000C6BF8">
        <w:rPr>
          <w:noProof/>
        </w:rPr>
        <w:tab/>
        <w:t>Statutory leave provisions</w:t>
      </w:r>
      <w:r w:rsidRPr="000C6BF8">
        <w:rPr>
          <w:noProof/>
        </w:rPr>
        <w:tab/>
      </w:r>
      <w:r w:rsidRPr="000C6BF8">
        <w:rPr>
          <w:noProof/>
        </w:rPr>
        <w:fldChar w:fldCharType="begin"/>
      </w:r>
      <w:r w:rsidRPr="000C6BF8">
        <w:rPr>
          <w:noProof/>
        </w:rPr>
        <w:instrText xml:space="preserve"> PAGEREF _Toc200718635 \h </w:instrText>
      </w:r>
      <w:r w:rsidRPr="000C6BF8">
        <w:rPr>
          <w:noProof/>
        </w:rPr>
      </w:r>
      <w:r w:rsidRPr="000C6BF8">
        <w:rPr>
          <w:noProof/>
        </w:rPr>
        <w:fldChar w:fldCharType="separate"/>
      </w:r>
      <w:r w:rsidR="00FB69A9">
        <w:rPr>
          <w:noProof/>
        </w:rPr>
        <w:t>14</w:t>
      </w:r>
      <w:r w:rsidRPr="000C6BF8">
        <w:rPr>
          <w:noProof/>
        </w:rPr>
        <w:fldChar w:fldCharType="end"/>
      </w:r>
    </w:p>
    <w:p w14:paraId="1A958137" w14:textId="3766CDA1"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24</w:t>
      </w:r>
      <w:r w:rsidRPr="000C6BF8">
        <w:rPr>
          <w:noProof/>
        </w:rPr>
        <w:tab/>
        <w:t>Application for leave</w:t>
      </w:r>
      <w:r w:rsidRPr="000C6BF8">
        <w:rPr>
          <w:noProof/>
        </w:rPr>
        <w:tab/>
      </w:r>
      <w:r w:rsidRPr="000C6BF8">
        <w:rPr>
          <w:noProof/>
        </w:rPr>
        <w:fldChar w:fldCharType="begin"/>
      </w:r>
      <w:r w:rsidRPr="000C6BF8">
        <w:rPr>
          <w:noProof/>
        </w:rPr>
        <w:instrText xml:space="preserve"> PAGEREF _Toc200718636 \h </w:instrText>
      </w:r>
      <w:r w:rsidRPr="000C6BF8">
        <w:rPr>
          <w:noProof/>
        </w:rPr>
      </w:r>
      <w:r w:rsidRPr="000C6BF8">
        <w:rPr>
          <w:noProof/>
        </w:rPr>
        <w:fldChar w:fldCharType="separate"/>
      </w:r>
      <w:r w:rsidR="00FB69A9">
        <w:rPr>
          <w:noProof/>
        </w:rPr>
        <w:t>14</w:t>
      </w:r>
      <w:r w:rsidRPr="000C6BF8">
        <w:rPr>
          <w:noProof/>
        </w:rPr>
        <w:fldChar w:fldCharType="end"/>
      </w:r>
    </w:p>
    <w:p w14:paraId="748AD040" w14:textId="4BEAF83D"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6—End of appointment</w:t>
      </w:r>
      <w:r w:rsidRPr="000C6BF8">
        <w:rPr>
          <w:b w:val="0"/>
          <w:noProof/>
          <w:sz w:val="18"/>
        </w:rPr>
        <w:tab/>
      </w:r>
      <w:r w:rsidRPr="000C6BF8">
        <w:rPr>
          <w:b w:val="0"/>
          <w:noProof/>
          <w:sz w:val="18"/>
        </w:rPr>
        <w:fldChar w:fldCharType="begin"/>
      </w:r>
      <w:r w:rsidRPr="000C6BF8">
        <w:rPr>
          <w:b w:val="0"/>
          <w:noProof/>
          <w:sz w:val="18"/>
        </w:rPr>
        <w:instrText xml:space="preserve"> PAGEREF _Toc200718637 \h </w:instrText>
      </w:r>
      <w:r w:rsidRPr="000C6BF8">
        <w:rPr>
          <w:b w:val="0"/>
          <w:noProof/>
          <w:sz w:val="18"/>
        </w:rPr>
      </w:r>
      <w:r w:rsidRPr="000C6BF8">
        <w:rPr>
          <w:b w:val="0"/>
          <w:noProof/>
          <w:sz w:val="18"/>
        </w:rPr>
        <w:fldChar w:fldCharType="separate"/>
      </w:r>
      <w:r w:rsidR="00FB69A9">
        <w:rPr>
          <w:b w:val="0"/>
          <w:noProof/>
          <w:sz w:val="18"/>
        </w:rPr>
        <w:t>15</w:t>
      </w:r>
      <w:r w:rsidRPr="000C6BF8">
        <w:rPr>
          <w:b w:val="0"/>
          <w:noProof/>
          <w:sz w:val="18"/>
        </w:rPr>
        <w:fldChar w:fldCharType="end"/>
      </w:r>
    </w:p>
    <w:p w14:paraId="0C642D13" w14:textId="553E2E0C"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25</w:t>
      </w:r>
      <w:r w:rsidRPr="000C6BF8">
        <w:rPr>
          <w:noProof/>
        </w:rPr>
        <w:tab/>
        <w:t>Compensation for loss of office</w:t>
      </w:r>
      <w:r w:rsidRPr="000C6BF8">
        <w:rPr>
          <w:noProof/>
        </w:rPr>
        <w:tab/>
      </w:r>
      <w:r w:rsidRPr="000C6BF8">
        <w:rPr>
          <w:noProof/>
        </w:rPr>
        <w:fldChar w:fldCharType="begin"/>
      </w:r>
      <w:r w:rsidRPr="000C6BF8">
        <w:rPr>
          <w:noProof/>
        </w:rPr>
        <w:instrText xml:space="preserve"> PAGEREF _Toc200718638 \h </w:instrText>
      </w:r>
      <w:r w:rsidRPr="000C6BF8">
        <w:rPr>
          <w:noProof/>
        </w:rPr>
      </w:r>
      <w:r w:rsidRPr="000C6BF8">
        <w:rPr>
          <w:noProof/>
        </w:rPr>
        <w:fldChar w:fldCharType="separate"/>
      </w:r>
      <w:r w:rsidR="00FB69A9">
        <w:rPr>
          <w:noProof/>
        </w:rPr>
        <w:t>15</w:t>
      </w:r>
      <w:r w:rsidRPr="000C6BF8">
        <w:rPr>
          <w:noProof/>
        </w:rPr>
        <w:fldChar w:fldCharType="end"/>
      </w:r>
    </w:p>
    <w:p w14:paraId="7A21F542" w14:textId="44291E52"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26</w:t>
      </w:r>
      <w:r w:rsidRPr="000C6BF8">
        <w:rPr>
          <w:noProof/>
        </w:rPr>
        <w:tab/>
        <w:t>Notice of a decision not to reappoint</w:t>
      </w:r>
      <w:r w:rsidRPr="000C6BF8">
        <w:rPr>
          <w:noProof/>
        </w:rPr>
        <w:tab/>
      </w:r>
      <w:r w:rsidRPr="000C6BF8">
        <w:rPr>
          <w:noProof/>
        </w:rPr>
        <w:fldChar w:fldCharType="begin"/>
      </w:r>
      <w:r w:rsidRPr="000C6BF8">
        <w:rPr>
          <w:noProof/>
        </w:rPr>
        <w:instrText xml:space="preserve"> PAGEREF _Toc200718639 \h </w:instrText>
      </w:r>
      <w:r w:rsidRPr="000C6BF8">
        <w:rPr>
          <w:noProof/>
        </w:rPr>
      </w:r>
      <w:r w:rsidRPr="000C6BF8">
        <w:rPr>
          <w:noProof/>
        </w:rPr>
        <w:fldChar w:fldCharType="separate"/>
      </w:r>
      <w:r w:rsidR="00FB69A9">
        <w:rPr>
          <w:noProof/>
        </w:rPr>
        <w:t>16</w:t>
      </w:r>
      <w:r w:rsidRPr="000C6BF8">
        <w:rPr>
          <w:noProof/>
        </w:rPr>
        <w:fldChar w:fldCharType="end"/>
      </w:r>
    </w:p>
    <w:p w14:paraId="03CAF07F" w14:textId="6E8E46AD"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7—Removal, relocation and family reunion assistance</w:t>
      </w:r>
      <w:r w:rsidRPr="000C6BF8">
        <w:rPr>
          <w:b w:val="0"/>
          <w:noProof/>
          <w:sz w:val="18"/>
        </w:rPr>
        <w:tab/>
      </w:r>
      <w:r w:rsidRPr="000C6BF8">
        <w:rPr>
          <w:b w:val="0"/>
          <w:noProof/>
          <w:sz w:val="18"/>
        </w:rPr>
        <w:fldChar w:fldCharType="begin"/>
      </w:r>
      <w:r w:rsidRPr="000C6BF8">
        <w:rPr>
          <w:b w:val="0"/>
          <w:noProof/>
          <w:sz w:val="18"/>
        </w:rPr>
        <w:instrText xml:space="preserve"> PAGEREF _Toc200718640 \h </w:instrText>
      </w:r>
      <w:r w:rsidRPr="000C6BF8">
        <w:rPr>
          <w:b w:val="0"/>
          <w:noProof/>
          <w:sz w:val="18"/>
        </w:rPr>
      </w:r>
      <w:r w:rsidRPr="000C6BF8">
        <w:rPr>
          <w:b w:val="0"/>
          <w:noProof/>
          <w:sz w:val="18"/>
        </w:rPr>
        <w:fldChar w:fldCharType="separate"/>
      </w:r>
      <w:r w:rsidR="00FB69A9">
        <w:rPr>
          <w:b w:val="0"/>
          <w:noProof/>
          <w:sz w:val="18"/>
        </w:rPr>
        <w:t>17</w:t>
      </w:r>
      <w:r w:rsidRPr="000C6BF8">
        <w:rPr>
          <w:b w:val="0"/>
          <w:noProof/>
          <w:sz w:val="18"/>
        </w:rPr>
        <w:fldChar w:fldCharType="end"/>
      </w:r>
    </w:p>
    <w:p w14:paraId="1B78F402" w14:textId="50175B3A"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27</w:t>
      </w:r>
      <w:r w:rsidRPr="000C6BF8">
        <w:rPr>
          <w:noProof/>
        </w:rPr>
        <w:tab/>
        <w:t>Definitions for Part 7</w:t>
      </w:r>
      <w:r w:rsidRPr="000C6BF8">
        <w:rPr>
          <w:noProof/>
        </w:rPr>
        <w:tab/>
      </w:r>
      <w:r w:rsidRPr="000C6BF8">
        <w:rPr>
          <w:noProof/>
        </w:rPr>
        <w:fldChar w:fldCharType="begin"/>
      </w:r>
      <w:r w:rsidRPr="000C6BF8">
        <w:rPr>
          <w:noProof/>
        </w:rPr>
        <w:instrText xml:space="preserve"> PAGEREF _Toc200718641 \h </w:instrText>
      </w:r>
      <w:r w:rsidRPr="000C6BF8">
        <w:rPr>
          <w:noProof/>
        </w:rPr>
      </w:r>
      <w:r w:rsidRPr="000C6BF8">
        <w:rPr>
          <w:noProof/>
        </w:rPr>
        <w:fldChar w:fldCharType="separate"/>
      </w:r>
      <w:r w:rsidR="00FB69A9">
        <w:rPr>
          <w:noProof/>
        </w:rPr>
        <w:t>17</w:t>
      </w:r>
      <w:r w:rsidRPr="000C6BF8">
        <w:rPr>
          <w:noProof/>
        </w:rPr>
        <w:fldChar w:fldCharType="end"/>
      </w:r>
    </w:p>
    <w:p w14:paraId="0A35A93A" w14:textId="2D8DC895"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28</w:t>
      </w:r>
      <w:r w:rsidRPr="000C6BF8">
        <w:rPr>
          <w:noProof/>
        </w:rPr>
        <w:tab/>
        <w:t>Relocation costs</w:t>
      </w:r>
      <w:r w:rsidRPr="000C6BF8">
        <w:rPr>
          <w:noProof/>
        </w:rPr>
        <w:tab/>
      </w:r>
      <w:r w:rsidRPr="000C6BF8">
        <w:rPr>
          <w:noProof/>
        </w:rPr>
        <w:fldChar w:fldCharType="begin"/>
      </w:r>
      <w:r w:rsidRPr="000C6BF8">
        <w:rPr>
          <w:noProof/>
        </w:rPr>
        <w:instrText xml:space="preserve"> PAGEREF _Toc200718642 \h </w:instrText>
      </w:r>
      <w:r w:rsidRPr="000C6BF8">
        <w:rPr>
          <w:noProof/>
        </w:rPr>
      </w:r>
      <w:r w:rsidRPr="000C6BF8">
        <w:rPr>
          <w:noProof/>
        </w:rPr>
        <w:fldChar w:fldCharType="separate"/>
      </w:r>
      <w:r w:rsidR="00FB69A9">
        <w:rPr>
          <w:noProof/>
        </w:rPr>
        <w:t>17</w:t>
      </w:r>
      <w:r w:rsidRPr="000C6BF8">
        <w:rPr>
          <w:noProof/>
        </w:rPr>
        <w:fldChar w:fldCharType="end"/>
      </w:r>
    </w:p>
    <w:p w14:paraId="47A9C7E6" w14:textId="53BEF505"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29</w:t>
      </w:r>
      <w:r w:rsidRPr="000C6BF8">
        <w:rPr>
          <w:noProof/>
        </w:rPr>
        <w:tab/>
        <w:t>Settling out allowance</w:t>
      </w:r>
      <w:r w:rsidRPr="000C6BF8">
        <w:rPr>
          <w:noProof/>
        </w:rPr>
        <w:tab/>
      </w:r>
      <w:r w:rsidRPr="000C6BF8">
        <w:rPr>
          <w:noProof/>
        </w:rPr>
        <w:fldChar w:fldCharType="begin"/>
      </w:r>
      <w:r w:rsidRPr="000C6BF8">
        <w:rPr>
          <w:noProof/>
        </w:rPr>
        <w:instrText xml:space="preserve"> PAGEREF _Toc200718643 \h </w:instrText>
      </w:r>
      <w:r w:rsidRPr="000C6BF8">
        <w:rPr>
          <w:noProof/>
        </w:rPr>
      </w:r>
      <w:r w:rsidRPr="000C6BF8">
        <w:rPr>
          <w:noProof/>
        </w:rPr>
        <w:fldChar w:fldCharType="separate"/>
      </w:r>
      <w:r w:rsidR="00FB69A9">
        <w:rPr>
          <w:noProof/>
        </w:rPr>
        <w:t>17</w:t>
      </w:r>
      <w:r w:rsidRPr="000C6BF8">
        <w:rPr>
          <w:noProof/>
        </w:rPr>
        <w:fldChar w:fldCharType="end"/>
      </w:r>
    </w:p>
    <w:p w14:paraId="57669460" w14:textId="7EBAE13D"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30</w:t>
      </w:r>
      <w:r w:rsidRPr="000C6BF8">
        <w:rPr>
          <w:noProof/>
        </w:rPr>
        <w:tab/>
        <w:t>Settling in allowance</w:t>
      </w:r>
      <w:r w:rsidRPr="000C6BF8">
        <w:rPr>
          <w:noProof/>
        </w:rPr>
        <w:tab/>
      </w:r>
      <w:r w:rsidRPr="000C6BF8">
        <w:rPr>
          <w:noProof/>
        </w:rPr>
        <w:fldChar w:fldCharType="begin"/>
      </w:r>
      <w:r w:rsidRPr="000C6BF8">
        <w:rPr>
          <w:noProof/>
        </w:rPr>
        <w:instrText xml:space="preserve"> PAGEREF _Toc200718644 \h </w:instrText>
      </w:r>
      <w:r w:rsidRPr="000C6BF8">
        <w:rPr>
          <w:noProof/>
        </w:rPr>
      </w:r>
      <w:r w:rsidRPr="000C6BF8">
        <w:rPr>
          <w:noProof/>
        </w:rPr>
        <w:fldChar w:fldCharType="separate"/>
      </w:r>
      <w:r w:rsidR="00FB69A9">
        <w:rPr>
          <w:noProof/>
        </w:rPr>
        <w:t>18</w:t>
      </w:r>
      <w:r w:rsidRPr="000C6BF8">
        <w:rPr>
          <w:noProof/>
        </w:rPr>
        <w:fldChar w:fldCharType="end"/>
      </w:r>
    </w:p>
    <w:p w14:paraId="15570E34" w14:textId="10D47B4D"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31</w:t>
      </w:r>
      <w:r w:rsidRPr="000C6BF8">
        <w:rPr>
          <w:noProof/>
        </w:rPr>
        <w:tab/>
        <w:t>Accommodation support</w:t>
      </w:r>
      <w:r w:rsidRPr="000C6BF8">
        <w:rPr>
          <w:noProof/>
        </w:rPr>
        <w:tab/>
      </w:r>
      <w:r w:rsidRPr="000C6BF8">
        <w:rPr>
          <w:noProof/>
        </w:rPr>
        <w:fldChar w:fldCharType="begin"/>
      </w:r>
      <w:r w:rsidRPr="000C6BF8">
        <w:rPr>
          <w:noProof/>
        </w:rPr>
        <w:instrText xml:space="preserve"> PAGEREF _Toc200718645 \h </w:instrText>
      </w:r>
      <w:r w:rsidRPr="000C6BF8">
        <w:rPr>
          <w:noProof/>
        </w:rPr>
      </w:r>
      <w:r w:rsidRPr="000C6BF8">
        <w:rPr>
          <w:noProof/>
        </w:rPr>
        <w:fldChar w:fldCharType="separate"/>
      </w:r>
      <w:r w:rsidR="00FB69A9">
        <w:rPr>
          <w:noProof/>
        </w:rPr>
        <w:t>18</w:t>
      </w:r>
      <w:r w:rsidRPr="000C6BF8">
        <w:rPr>
          <w:noProof/>
        </w:rPr>
        <w:fldChar w:fldCharType="end"/>
      </w:r>
    </w:p>
    <w:p w14:paraId="47C8A6E0" w14:textId="664A6D33"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32</w:t>
      </w:r>
      <w:r w:rsidRPr="000C6BF8">
        <w:rPr>
          <w:noProof/>
        </w:rPr>
        <w:tab/>
        <w:t>Reunion travel</w:t>
      </w:r>
      <w:r w:rsidRPr="000C6BF8">
        <w:rPr>
          <w:noProof/>
        </w:rPr>
        <w:tab/>
      </w:r>
      <w:r w:rsidRPr="000C6BF8">
        <w:rPr>
          <w:noProof/>
        </w:rPr>
        <w:fldChar w:fldCharType="begin"/>
      </w:r>
      <w:r w:rsidRPr="000C6BF8">
        <w:rPr>
          <w:noProof/>
        </w:rPr>
        <w:instrText xml:space="preserve"> PAGEREF _Toc200718646 \h </w:instrText>
      </w:r>
      <w:r w:rsidRPr="000C6BF8">
        <w:rPr>
          <w:noProof/>
        </w:rPr>
      </w:r>
      <w:r w:rsidRPr="000C6BF8">
        <w:rPr>
          <w:noProof/>
        </w:rPr>
        <w:fldChar w:fldCharType="separate"/>
      </w:r>
      <w:r w:rsidR="00FB69A9">
        <w:rPr>
          <w:noProof/>
        </w:rPr>
        <w:t>18</w:t>
      </w:r>
      <w:r w:rsidRPr="000C6BF8">
        <w:rPr>
          <w:noProof/>
        </w:rPr>
        <w:fldChar w:fldCharType="end"/>
      </w:r>
    </w:p>
    <w:p w14:paraId="77B6ABE0" w14:textId="12C19BF8"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8—Assistance for training and development</w:t>
      </w:r>
      <w:r w:rsidRPr="000C6BF8">
        <w:rPr>
          <w:b w:val="0"/>
          <w:noProof/>
          <w:sz w:val="18"/>
        </w:rPr>
        <w:tab/>
      </w:r>
      <w:r w:rsidRPr="000C6BF8">
        <w:rPr>
          <w:b w:val="0"/>
          <w:noProof/>
          <w:sz w:val="18"/>
        </w:rPr>
        <w:fldChar w:fldCharType="begin"/>
      </w:r>
      <w:r w:rsidRPr="000C6BF8">
        <w:rPr>
          <w:b w:val="0"/>
          <w:noProof/>
          <w:sz w:val="18"/>
        </w:rPr>
        <w:instrText xml:space="preserve"> PAGEREF _Toc200718647 \h </w:instrText>
      </w:r>
      <w:r w:rsidRPr="000C6BF8">
        <w:rPr>
          <w:b w:val="0"/>
          <w:noProof/>
          <w:sz w:val="18"/>
        </w:rPr>
      </w:r>
      <w:r w:rsidRPr="000C6BF8">
        <w:rPr>
          <w:b w:val="0"/>
          <w:noProof/>
          <w:sz w:val="18"/>
        </w:rPr>
        <w:fldChar w:fldCharType="separate"/>
      </w:r>
      <w:r w:rsidR="00FB69A9">
        <w:rPr>
          <w:b w:val="0"/>
          <w:noProof/>
          <w:sz w:val="18"/>
        </w:rPr>
        <w:t>20</w:t>
      </w:r>
      <w:r w:rsidRPr="000C6BF8">
        <w:rPr>
          <w:b w:val="0"/>
          <w:noProof/>
          <w:sz w:val="18"/>
        </w:rPr>
        <w:fldChar w:fldCharType="end"/>
      </w:r>
    </w:p>
    <w:p w14:paraId="35EC9BAC" w14:textId="3331BB2F"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33</w:t>
      </w:r>
      <w:r w:rsidRPr="000C6BF8">
        <w:rPr>
          <w:noProof/>
        </w:rPr>
        <w:tab/>
        <w:t>Leave for training and development</w:t>
      </w:r>
      <w:r w:rsidRPr="000C6BF8">
        <w:rPr>
          <w:noProof/>
        </w:rPr>
        <w:tab/>
      </w:r>
      <w:r w:rsidRPr="000C6BF8">
        <w:rPr>
          <w:noProof/>
        </w:rPr>
        <w:fldChar w:fldCharType="begin"/>
      </w:r>
      <w:r w:rsidRPr="000C6BF8">
        <w:rPr>
          <w:noProof/>
        </w:rPr>
        <w:instrText xml:space="preserve"> PAGEREF _Toc200718648 \h </w:instrText>
      </w:r>
      <w:r w:rsidRPr="000C6BF8">
        <w:rPr>
          <w:noProof/>
        </w:rPr>
      </w:r>
      <w:r w:rsidRPr="000C6BF8">
        <w:rPr>
          <w:noProof/>
        </w:rPr>
        <w:fldChar w:fldCharType="separate"/>
      </w:r>
      <w:r w:rsidR="00FB69A9">
        <w:rPr>
          <w:noProof/>
        </w:rPr>
        <w:t>20</w:t>
      </w:r>
      <w:r w:rsidRPr="000C6BF8">
        <w:rPr>
          <w:noProof/>
        </w:rPr>
        <w:fldChar w:fldCharType="end"/>
      </w:r>
    </w:p>
    <w:p w14:paraId="511CF385" w14:textId="52067912"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34</w:t>
      </w:r>
      <w:r w:rsidRPr="000C6BF8">
        <w:rPr>
          <w:noProof/>
        </w:rPr>
        <w:tab/>
        <w:t>Costs of training and development</w:t>
      </w:r>
      <w:r w:rsidRPr="000C6BF8">
        <w:rPr>
          <w:noProof/>
        </w:rPr>
        <w:tab/>
      </w:r>
      <w:r w:rsidRPr="000C6BF8">
        <w:rPr>
          <w:noProof/>
        </w:rPr>
        <w:fldChar w:fldCharType="begin"/>
      </w:r>
      <w:r w:rsidRPr="000C6BF8">
        <w:rPr>
          <w:noProof/>
        </w:rPr>
        <w:instrText xml:space="preserve"> PAGEREF _Toc200718649 \h </w:instrText>
      </w:r>
      <w:r w:rsidRPr="000C6BF8">
        <w:rPr>
          <w:noProof/>
        </w:rPr>
      </w:r>
      <w:r w:rsidRPr="000C6BF8">
        <w:rPr>
          <w:noProof/>
        </w:rPr>
        <w:fldChar w:fldCharType="separate"/>
      </w:r>
      <w:r w:rsidR="00FB69A9">
        <w:rPr>
          <w:noProof/>
        </w:rPr>
        <w:t>20</w:t>
      </w:r>
      <w:r w:rsidRPr="000C6BF8">
        <w:rPr>
          <w:noProof/>
        </w:rPr>
        <w:fldChar w:fldCharType="end"/>
      </w:r>
    </w:p>
    <w:p w14:paraId="5EB70D95" w14:textId="32A2E70B" w:rsidR="003A4A56" w:rsidRPr="000C6BF8" w:rsidRDefault="003A4A56">
      <w:pPr>
        <w:pStyle w:val="TOC2"/>
        <w:rPr>
          <w:rFonts w:asciiTheme="minorHAnsi" w:eastAsiaTheme="minorEastAsia" w:hAnsiTheme="minorHAnsi" w:cstheme="minorBidi"/>
          <w:b w:val="0"/>
          <w:noProof/>
          <w:kern w:val="2"/>
          <w:szCs w:val="24"/>
          <w14:ligatures w14:val="standardContextual"/>
        </w:rPr>
      </w:pPr>
      <w:r w:rsidRPr="000C6BF8">
        <w:rPr>
          <w:noProof/>
        </w:rPr>
        <w:t>Part 9—Delegation</w:t>
      </w:r>
      <w:r w:rsidRPr="000C6BF8">
        <w:rPr>
          <w:b w:val="0"/>
          <w:noProof/>
          <w:sz w:val="18"/>
        </w:rPr>
        <w:tab/>
      </w:r>
      <w:r w:rsidRPr="000C6BF8">
        <w:rPr>
          <w:b w:val="0"/>
          <w:noProof/>
          <w:sz w:val="18"/>
        </w:rPr>
        <w:fldChar w:fldCharType="begin"/>
      </w:r>
      <w:r w:rsidRPr="000C6BF8">
        <w:rPr>
          <w:b w:val="0"/>
          <w:noProof/>
          <w:sz w:val="18"/>
        </w:rPr>
        <w:instrText xml:space="preserve"> PAGEREF _Toc200718650 \h </w:instrText>
      </w:r>
      <w:r w:rsidRPr="000C6BF8">
        <w:rPr>
          <w:b w:val="0"/>
          <w:noProof/>
          <w:sz w:val="18"/>
        </w:rPr>
      </w:r>
      <w:r w:rsidRPr="000C6BF8">
        <w:rPr>
          <w:b w:val="0"/>
          <w:noProof/>
          <w:sz w:val="18"/>
        </w:rPr>
        <w:fldChar w:fldCharType="separate"/>
      </w:r>
      <w:r w:rsidR="00FB69A9">
        <w:rPr>
          <w:b w:val="0"/>
          <w:noProof/>
          <w:sz w:val="18"/>
        </w:rPr>
        <w:t>21</w:t>
      </w:r>
      <w:r w:rsidRPr="000C6BF8">
        <w:rPr>
          <w:b w:val="0"/>
          <w:noProof/>
          <w:sz w:val="18"/>
        </w:rPr>
        <w:fldChar w:fldCharType="end"/>
      </w:r>
    </w:p>
    <w:p w14:paraId="2F90E5EC" w14:textId="7330E2C5" w:rsidR="003A4A56" w:rsidRPr="000C6BF8" w:rsidRDefault="003A4A56">
      <w:pPr>
        <w:pStyle w:val="TOC5"/>
        <w:rPr>
          <w:rFonts w:asciiTheme="minorHAnsi" w:eastAsiaTheme="minorEastAsia" w:hAnsiTheme="minorHAnsi" w:cstheme="minorBidi"/>
          <w:noProof/>
          <w:kern w:val="2"/>
          <w:sz w:val="24"/>
          <w:szCs w:val="24"/>
          <w14:ligatures w14:val="standardContextual"/>
        </w:rPr>
      </w:pPr>
      <w:r w:rsidRPr="000C6BF8">
        <w:rPr>
          <w:noProof/>
        </w:rPr>
        <w:t>35</w:t>
      </w:r>
      <w:r w:rsidRPr="000C6BF8">
        <w:rPr>
          <w:noProof/>
        </w:rPr>
        <w:tab/>
        <w:t>Secretary’s Minister may delegate functions</w:t>
      </w:r>
      <w:r w:rsidRPr="000C6BF8">
        <w:rPr>
          <w:noProof/>
        </w:rPr>
        <w:tab/>
      </w:r>
      <w:r w:rsidRPr="000C6BF8">
        <w:rPr>
          <w:noProof/>
        </w:rPr>
        <w:fldChar w:fldCharType="begin"/>
      </w:r>
      <w:r w:rsidRPr="000C6BF8">
        <w:rPr>
          <w:noProof/>
        </w:rPr>
        <w:instrText xml:space="preserve"> PAGEREF _Toc200718651 \h </w:instrText>
      </w:r>
      <w:r w:rsidRPr="000C6BF8">
        <w:rPr>
          <w:noProof/>
        </w:rPr>
      </w:r>
      <w:r w:rsidRPr="000C6BF8">
        <w:rPr>
          <w:noProof/>
        </w:rPr>
        <w:fldChar w:fldCharType="separate"/>
      </w:r>
      <w:r w:rsidR="00FB69A9">
        <w:rPr>
          <w:noProof/>
        </w:rPr>
        <w:t>21</w:t>
      </w:r>
      <w:r w:rsidRPr="000C6BF8">
        <w:rPr>
          <w:noProof/>
        </w:rPr>
        <w:fldChar w:fldCharType="end"/>
      </w:r>
    </w:p>
    <w:p w14:paraId="64D14B93" w14:textId="6BFB63E6" w:rsidR="003A4A56" w:rsidRPr="000C6BF8" w:rsidRDefault="00DB29BA">
      <w:pPr>
        <w:pStyle w:val="TOC6"/>
        <w:rPr>
          <w:rFonts w:asciiTheme="minorHAnsi" w:eastAsiaTheme="minorEastAsia" w:hAnsiTheme="minorHAnsi" w:cstheme="minorBidi"/>
          <w:b w:val="0"/>
          <w:noProof/>
          <w:kern w:val="2"/>
          <w:szCs w:val="24"/>
          <w14:ligatures w14:val="standardContextual"/>
        </w:rPr>
      </w:pPr>
      <w:r w:rsidRPr="000C6BF8">
        <w:rPr>
          <w:noProof/>
        </w:rPr>
        <w:lastRenderedPageBreak/>
        <w:t>Schedule 1</w:t>
      </w:r>
      <w:r w:rsidR="003A4A56" w:rsidRPr="000C6BF8">
        <w:rPr>
          <w:noProof/>
        </w:rPr>
        <w:t>—Repeals</w:t>
      </w:r>
      <w:r w:rsidR="003A4A56" w:rsidRPr="000C6BF8">
        <w:rPr>
          <w:b w:val="0"/>
          <w:noProof/>
          <w:sz w:val="18"/>
        </w:rPr>
        <w:tab/>
      </w:r>
      <w:r w:rsidR="003A4A56" w:rsidRPr="000C6BF8">
        <w:rPr>
          <w:b w:val="0"/>
          <w:noProof/>
          <w:sz w:val="18"/>
        </w:rPr>
        <w:fldChar w:fldCharType="begin"/>
      </w:r>
      <w:r w:rsidR="003A4A56" w:rsidRPr="000C6BF8">
        <w:rPr>
          <w:b w:val="0"/>
          <w:noProof/>
          <w:sz w:val="18"/>
        </w:rPr>
        <w:instrText xml:space="preserve"> PAGEREF _Toc200718652 \h </w:instrText>
      </w:r>
      <w:r w:rsidR="003A4A56" w:rsidRPr="000C6BF8">
        <w:rPr>
          <w:b w:val="0"/>
          <w:noProof/>
          <w:sz w:val="18"/>
        </w:rPr>
      </w:r>
      <w:r w:rsidR="003A4A56" w:rsidRPr="000C6BF8">
        <w:rPr>
          <w:b w:val="0"/>
          <w:noProof/>
          <w:sz w:val="18"/>
        </w:rPr>
        <w:fldChar w:fldCharType="separate"/>
      </w:r>
      <w:r w:rsidR="00FB69A9">
        <w:rPr>
          <w:b w:val="0"/>
          <w:noProof/>
          <w:sz w:val="18"/>
        </w:rPr>
        <w:t>22</w:t>
      </w:r>
      <w:r w:rsidR="003A4A56" w:rsidRPr="000C6BF8">
        <w:rPr>
          <w:b w:val="0"/>
          <w:noProof/>
          <w:sz w:val="18"/>
        </w:rPr>
        <w:fldChar w:fldCharType="end"/>
      </w:r>
    </w:p>
    <w:p w14:paraId="4C4D331F" w14:textId="4395854B" w:rsidR="003A4A56" w:rsidRPr="000C6BF8" w:rsidRDefault="003A4A56">
      <w:pPr>
        <w:pStyle w:val="TOC9"/>
        <w:rPr>
          <w:rFonts w:asciiTheme="minorHAnsi" w:eastAsiaTheme="minorEastAsia" w:hAnsiTheme="minorHAnsi" w:cstheme="minorBidi"/>
          <w:i w:val="0"/>
          <w:noProof/>
          <w:kern w:val="2"/>
          <w:sz w:val="24"/>
          <w:szCs w:val="24"/>
          <w14:ligatures w14:val="standardContextual"/>
        </w:rPr>
      </w:pPr>
      <w:r w:rsidRPr="000C6BF8">
        <w:rPr>
          <w:noProof/>
        </w:rPr>
        <w:t xml:space="preserve">Remuneration Tribunal (Departmental Secretaries—Classification Structure and Terms and Conditions) </w:t>
      </w:r>
      <w:r w:rsidR="00DB29BA" w:rsidRPr="000C6BF8">
        <w:rPr>
          <w:noProof/>
        </w:rPr>
        <w:t>Determination 2</w:t>
      </w:r>
      <w:r w:rsidRPr="000C6BF8">
        <w:rPr>
          <w:noProof/>
        </w:rPr>
        <w:t>024</w:t>
      </w:r>
      <w:r w:rsidRPr="000C6BF8">
        <w:rPr>
          <w:i w:val="0"/>
          <w:noProof/>
          <w:sz w:val="18"/>
        </w:rPr>
        <w:tab/>
      </w:r>
      <w:r w:rsidRPr="000C6BF8">
        <w:rPr>
          <w:i w:val="0"/>
          <w:noProof/>
          <w:sz w:val="18"/>
        </w:rPr>
        <w:fldChar w:fldCharType="begin"/>
      </w:r>
      <w:r w:rsidRPr="000C6BF8">
        <w:rPr>
          <w:i w:val="0"/>
          <w:noProof/>
          <w:sz w:val="18"/>
        </w:rPr>
        <w:instrText xml:space="preserve"> PAGEREF _Toc200718653 \h </w:instrText>
      </w:r>
      <w:r w:rsidRPr="000C6BF8">
        <w:rPr>
          <w:i w:val="0"/>
          <w:noProof/>
          <w:sz w:val="18"/>
        </w:rPr>
      </w:r>
      <w:r w:rsidRPr="000C6BF8">
        <w:rPr>
          <w:i w:val="0"/>
          <w:noProof/>
          <w:sz w:val="18"/>
        </w:rPr>
        <w:fldChar w:fldCharType="separate"/>
      </w:r>
      <w:r w:rsidR="00FB69A9">
        <w:rPr>
          <w:i w:val="0"/>
          <w:noProof/>
          <w:sz w:val="18"/>
        </w:rPr>
        <w:t>22</w:t>
      </w:r>
      <w:r w:rsidRPr="000C6BF8">
        <w:rPr>
          <w:i w:val="0"/>
          <w:noProof/>
          <w:sz w:val="18"/>
        </w:rPr>
        <w:fldChar w:fldCharType="end"/>
      </w:r>
    </w:p>
    <w:p w14:paraId="452AB604" w14:textId="48AF1B9B" w:rsidR="00670EA1" w:rsidRPr="000C6BF8" w:rsidRDefault="003A4A56" w:rsidP="00715914">
      <w:r w:rsidRPr="000C6BF8">
        <w:fldChar w:fldCharType="end"/>
      </w:r>
    </w:p>
    <w:p w14:paraId="1295908C" w14:textId="77777777" w:rsidR="00670EA1" w:rsidRPr="000C6BF8" w:rsidRDefault="00670EA1" w:rsidP="00715914">
      <w:pPr>
        <w:sectPr w:rsidR="00670EA1" w:rsidRPr="000C6BF8" w:rsidSect="00FB53F5">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0ED6FD37" w14:textId="77777777" w:rsidR="00715914" w:rsidRPr="000C6BF8" w:rsidRDefault="00715914" w:rsidP="00715914">
      <w:pPr>
        <w:pStyle w:val="ActHead2"/>
      </w:pPr>
      <w:bookmarkStart w:id="1" w:name="_Toc200718608"/>
      <w:r w:rsidRPr="00D7332E">
        <w:rPr>
          <w:rStyle w:val="CharPartNo"/>
        </w:rPr>
        <w:lastRenderedPageBreak/>
        <w:t>Part 1</w:t>
      </w:r>
      <w:r w:rsidRPr="000C6BF8">
        <w:t>—</w:t>
      </w:r>
      <w:r w:rsidRPr="00D7332E">
        <w:rPr>
          <w:rStyle w:val="CharPartText"/>
        </w:rPr>
        <w:t>Preliminary</w:t>
      </w:r>
      <w:bookmarkEnd w:id="1"/>
    </w:p>
    <w:p w14:paraId="68BCDCDA" w14:textId="77777777" w:rsidR="00715914" w:rsidRPr="00D7332E" w:rsidRDefault="00715914" w:rsidP="00715914">
      <w:pPr>
        <w:pStyle w:val="Header"/>
      </w:pPr>
      <w:r w:rsidRPr="00D7332E">
        <w:rPr>
          <w:rStyle w:val="CharDivNo"/>
        </w:rPr>
        <w:t xml:space="preserve"> </w:t>
      </w:r>
      <w:r w:rsidRPr="00D7332E">
        <w:rPr>
          <w:rStyle w:val="CharDivText"/>
        </w:rPr>
        <w:t xml:space="preserve"> </w:t>
      </w:r>
    </w:p>
    <w:p w14:paraId="3071880A" w14:textId="5372D4A1" w:rsidR="00715914" w:rsidRPr="000C6BF8" w:rsidRDefault="00715914" w:rsidP="00715914">
      <w:pPr>
        <w:pStyle w:val="ActHead5"/>
      </w:pPr>
      <w:bookmarkStart w:id="2" w:name="_Toc200718609"/>
      <w:r w:rsidRPr="00D7332E">
        <w:rPr>
          <w:rStyle w:val="CharSectno"/>
        </w:rPr>
        <w:t>1</w:t>
      </w:r>
      <w:r w:rsidRPr="000C6BF8">
        <w:t xml:space="preserve">  </w:t>
      </w:r>
      <w:r w:rsidR="00CE493D" w:rsidRPr="000C6BF8">
        <w:t>Name</w:t>
      </w:r>
      <w:bookmarkEnd w:id="2"/>
    </w:p>
    <w:p w14:paraId="0E7CB03E" w14:textId="51D99377" w:rsidR="00715914" w:rsidRPr="000C6BF8" w:rsidRDefault="00715914" w:rsidP="00715914">
      <w:pPr>
        <w:pStyle w:val="subsection"/>
      </w:pPr>
      <w:r w:rsidRPr="000C6BF8">
        <w:tab/>
      </w:r>
      <w:r w:rsidRPr="000C6BF8">
        <w:tab/>
      </w:r>
      <w:r w:rsidR="00351272" w:rsidRPr="000C6BF8">
        <w:t>This instrument is</w:t>
      </w:r>
      <w:r w:rsidR="00CE493D" w:rsidRPr="000C6BF8">
        <w:t xml:space="preserve"> the </w:t>
      </w:r>
      <w:r w:rsidR="00DB29BA" w:rsidRPr="000C6BF8">
        <w:rPr>
          <w:i/>
          <w:noProof/>
        </w:rPr>
        <w:t>Remuneration Tribunal (Departmental Secretaries—Classification Structure and Terms and Conditions) Determination 2025</w:t>
      </w:r>
      <w:r w:rsidRPr="000C6BF8">
        <w:t>.</w:t>
      </w:r>
    </w:p>
    <w:p w14:paraId="6081EE5F" w14:textId="6C8C0A44" w:rsidR="00715914" w:rsidRPr="000C6BF8" w:rsidRDefault="00715914" w:rsidP="00715914">
      <w:pPr>
        <w:pStyle w:val="ActHead5"/>
      </w:pPr>
      <w:bookmarkStart w:id="3" w:name="_Toc200718610"/>
      <w:r w:rsidRPr="00D7332E">
        <w:rPr>
          <w:rStyle w:val="CharSectno"/>
        </w:rPr>
        <w:t>2</w:t>
      </w:r>
      <w:r w:rsidRPr="000C6BF8">
        <w:t xml:space="preserve">  Commencement</w:t>
      </w:r>
      <w:bookmarkEnd w:id="3"/>
    </w:p>
    <w:p w14:paraId="73A2A706" w14:textId="77777777" w:rsidR="00AE3652" w:rsidRPr="000C6BF8" w:rsidRDefault="00807626" w:rsidP="00AE3652">
      <w:pPr>
        <w:pStyle w:val="subsection"/>
      </w:pPr>
      <w:r w:rsidRPr="000C6BF8">
        <w:tab/>
      </w:r>
      <w:r w:rsidR="00AE3652" w:rsidRPr="000C6BF8">
        <w:t>(1)</w:t>
      </w:r>
      <w:r w:rsidR="00AE3652" w:rsidRPr="000C6BF8">
        <w:tab/>
        <w:t xml:space="preserve">Each provision of </w:t>
      </w:r>
      <w:r w:rsidR="00351272" w:rsidRPr="000C6BF8">
        <w:t>this instrument</w:t>
      </w:r>
      <w:r w:rsidR="00AE3652" w:rsidRPr="000C6BF8">
        <w:t xml:space="preserve"> specified in column 1 of the table commences, or is taken to have commenced, in accordance with column 2 of the table. Any other statement in column 2 has effect according to its terms.</w:t>
      </w:r>
    </w:p>
    <w:p w14:paraId="41EE7C54" w14:textId="77777777" w:rsidR="00AE3652" w:rsidRPr="000C6BF8"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C6BF8" w14:paraId="1253914A" w14:textId="77777777" w:rsidTr="00936F00">
        <w:trPr>
          <w:tblHeader/>
        </w:trPr>
        <w:tc>
          <w:tcPr>
            <w:tcW w:w="8364" w:type="dxa"/>
            <w:gridSpan w:val="3"/>
            <w:tcBorders>
              <w:top w:val="single" w:sz="12" w:space="0" w:color="auto"/>
              <w:bottom w:val="single" w:sz="6" w:space="0" w:color="auto"/>
            </w:tcBorders>
            <w:shd w:val="clear" w:color="auto" w:fill="auto"/>
            <w:hideMark/>
          </w:tcPr>
          <w:p w14:paraId="752472C3" w14:textId="77777777" w:rsidR="00AE3652" w:rsidRPr="000C6BF8" w:rsidRDefault="00AE3652" w:rsidP="00936F00">
            <w:pPr>
              <w:pStyle w:val="TableHeading"/>
            </w:pPr>
            <w:r w:rsidRPr="000C6BF8">
              <w:t>Commencement information</w:t>
            </w:r>
          </w:p>
        </w:tc>
      </w:tr>
      <w:tr w:rsidR="00AE3652" w:rsidRPr="000C6BF8" w14:paraId="0FC715A3" w14:textId="77777777" w:rsidTr="00936F00">
        <w:trPr>
          <w:tblHeader/>
        </w:trPr>
        <w:tc>
          <w:tcPr>
            <w:tcW w:w="2127" w:type="dxa"/>
            <w:tcBorders>
              <w:top w:val="single" w:sz="6" w:space="0" w:color="auto"/>
              <w:bottom w:val="single" w:sz="6" w:space="0" w:color="auto"/>
            </w:tcBorders>
            <w:shd w:val="clear" w:color="auto" w:fill="auto"/>
            <w:hideMark/>
          </w:tcPr>
          <w:p w14:paraId="2AF96D78" w14:textId="77777777" w:rsidR="00AE3652" w:rsidRPr="000C6BF8" w:rsidRDefault="00AE3652" w:rsidP="00936F00">
            <w:pPr>
              <w:pStyle w:val="TableHeading"/>
            </w:pPr>
            <w:r w:rsidRPr="000C6BF8">
              <w:t>Column 1</w:t>
            </w:r>
          </w:p>
        </w:tc>
        <w:tc>
          <w:tcPr>
            <w:tcW w:w="4394" w:type="dxa"/>
            <w:tcBorders>
              <w:top w:val="single" w:sz="6" w:space="0" w:color="auto"/>
              <w:bottom w:val="single" w:sz="6" w:space="0" w:color="auto"/>
            </w:tcBorders>
            <w:shd w:val="clear" w:color="auto" w:fill="auto"/>
            <w:hideMark/>
          </w:tcPr>
          <w:p w14:paraId="3DE9672A" w14:textId="77777777" w:rsidR="00AE3652" w:rsidRPr="000C6BF8" w:rsidRDefault="00AE3652" w:rsidP="00936F00">
            <w:pPr>
              <w:pStyle w:val="TableHeading"/>
            </w:pPr>
            <w:r w:rsidRPr="000C6BF8">
              <w:t>Column 2</w:t>
            </w:r>
          </w:p>
        </w:tc>
        <w:tc>
          <w:tcPr>
            <w:tcW w:w="1843" w:type="dxa"/>
            <w:tcBorders>
              <w:top w:val="single" w:sz="6" w:space="0" w:color="auto"/>
              <w:bottom w:val="single" w:sz="6" w:space="0" w:color="auto"/>
            </w:tcBorders>
            <w:shd w:val="clear" w:color="auto" w:fill="auto"/>
            <w:hideMark/>
          </w:tcPr>
          <w:p w14:paraId="3E27968B" w14:textId="77777777" w:rsidR="00AE3652" w:rsidRPr="000C6BF8" w:rsidRDefault="00AE3652" w:rsidP="00936F00">
            <w:pPr>
              <w:pStyle w:val="TableHeading"/>
            </w:pPr>
            <w:r w:rsidRPr="000C6BF8">
              <w:t>Column 3</w:t>
            </w:r>
          </w:p>
        </w:tc>
      </w:tr>
      <w:tr w:rsidR="00AE3652" w:rsidRPr="000C6BF8" w14:paraId="1227321C" w14:textId="77777777" w:rsidTr="00936F00">
        <w:trPr>
          <w:tblHeader/>
        </w:trPr>
        <w:tc>
          <w:tcPr>
            <w:tcW w:w="2127" w:type="dxa"/>
            <w:tcBorders>
              <w:top w:val="single" w:sz="6" w:space="0" w:color="auto"/>
              <w:bottom w:val="single" w:sz="12" w:space="0" w:color="auto"/>
            </w:tcBorders>
            <w:shd w:val="clear" w:color="auto" w:fill="auto"/>
            <w:hideMark/>
          </w:tcPr>
          <w:p w14:paraId="6395B819" w14:textId="77777777" w:rsidR="00AE3652" w:rsidRPr="000C6BF8" w:rsidRDefault="00AE3652" w:rsidP="00936F00">
            <w:pPr>
              <w:pStyle w:val="TableHeading"/>
            </w:pPr>
            <w:r w:rsidRPr="000C6BF8">
              <w:t>Provisions</w:t>
            </w:r>
          </w:p>
        </w:tc>
        <w:tc>
          <w:tcPr>
            <w:tcW w:w="4394" w:type="dxa"/>
            <w:tcBorders>
              <w:top w:val="single" w:sz="6" w:space="0" w:color="auto"/>
              <w:bottom w:val="single" w:sz="12" w:space="0" w:color="auto"/>
            </w:tcBorders>
            <w:shd w:val="clear" w:color="auto" w:fill="auto"/>
            <w:hideMark/>
          </w:tcPr>
          <w:p w14:paraId="01C48588" w14:textId="77777777" w:rsidR="00AE3652" w:rsidRPr="000C6BF8" w:rsidRDefault="00AE3652" w:rsidP="00936F00">
            <w:pPr>
              <w:pStyle w:val="TableHeading"/>
            </w:pPr>
            <w:r w:rsidRPr="000C6BF8">
              <w:t>Commencement</w:t>
            </w:r>
          </w:p>
        </w:tc>
        <w:tc>
          <w:tcPr>
            <w:tcW w:w="1843" w:type="dxa"/>
            <w:tcBorders>
              <w:top w:val="single" w:sz="6" w:space="0" w:color="auto"/>
              <w:bottom w:val="single" w:sz="12" w:space="0" w:color="auto"/>
            </w:tcBorders>
            <w:shd w:val="clear" w:color="auto" w:fill="auto"/>
            <w:hideMark/>
          </w:tcPr>
          <w:p w14:paraId="6B435BD7" w14:textId="77777777" w:rsidR="00AE3652" w:rsidRPr="000C6BF8" w:rsidRDefault="00AE3652" w:rsidP="00936F00">
            <w:pPr>
              <w:pStyle w:val="TableHeading"/>
            </w:pPr>
            <w:r w:rsidRPr="000C6BF8">
              <w:t>Date/Details</w:t>
            </w:r>
          </w:p>
        </w:tc>
      </w:tr>
      <w:tr w:rsidR="00AE3652" w:rsidRPr="000C6BF8" w14:paraId="5D78B84B" w14:textId="77777777" w:rsidTr="00936F00">
        <w:tc>
          <w:tcPr>
            <w:tcW w:w="2127" w:type="dxa"/>
            <w:tcBorders>
              <w:top w:val="single" w:sz="12" w:space="0" w:color="auto"/>
              <w:bottom w:val="single" w:sz="12" w:space="0" w:color="auto"/>
            </w:tcBorders>
            <w:shd w:val="clear" w:color="auto" w:fill="auto"/>
            <w:hideMark/>
          </w:tcPr>
          <w:p w14:paraId="04BA0F0D" w14:textId="77777777" w:rsidR="00AE3652" w:rsidRPr="000C6BF8" w:rsidRDefault="00AE3652" w:rsidP="00936F00">
            <w:pPr>
              <w:pStyle w:val="Tabletext"/>
            </w:pPr>
            <w:r w:rsidRPr="000C6BF8">
              <w:t xml:space="preserve">1.  The whole of </w:t>
            </w:r>
            <w:r w:rsidR="00351272" w:rsidRPr="000C6BF8">
              <w:t>this instrument</w:t>
            </w:r>
          </w:p>
        </w:tc>
        <w:tc>
          <w:tcPr>
            <w:tcW w:w="4394" w:type="dxa"/>
            <w:tcBorders>
              <w:top w:val="single" w:sz="12" w:space="0" w:color="auto"/>
              <w:bottom w:val="single" w:sz="12" w:space="0" w:color="auto"/>
            </w:tcBorders>
            <w:shd w:val="clear" w:color="auto" w:fill="auto"/>
            <w:hideMark/>
          </w:tcPr>
          <w:p w14:paraId="70E02602" w14:textId="34E7CAD5" w:rsidR="00AE3652" w:rsidRPr="000C6BF8" w:rsidRDefault="001A1263" w:rsidP="00936F00">
            <w:pPr>
              <w:pStyle w:val="Tabletext"/>
            </w:pPr>
            <w:r w:rsidRPr="000C6BF8">
              <w:t>1 July 2025</w:t>
            </w:r>
            <w:r w:rsidR="00AE3652" w:rsidRPr="000C6BF8">
              <w:t>.</w:t>
            </w:r>
          </w:p>
        </w:tc>
        <w:tc>
          <w:tcPr>
            <w:tcW w:w="1843" w:type="dxa"/>
            <w:tcBorders>
              <w:top w:val="single" w:sz="12" w:space="0" w:color="auto"/>
              <w:bottom w:val="single" w:sz="12" w:space="0" w:color="auto"/>
            </w:tcBorders>
            <w:shd w:val="clear" w:color="auto" w:fill="auto"/>
          </w:tcPr>
          <w:p w14:paraId="621F1515" w14:textId="3B5D0DF8" w:rsidR="00AE3652" w:rsidRPr="000C6BF8" w:rsidRDefault="001A1263" w:rsidP="00936F00">
            <w:pPr>
              <w:pStyle w:val="Tabletext"/>
            </w:pPr>
            <w:r w:rsidRPr="000C6BF8">
              <w:t>1 July 2025</w:t>
            </w:r>
          </w:p>
        </w:tc>
      </w:tr>
    </w:tbl>
    <w:p w14:paraId="7B430423" w14:textId="77777777" w:rsidR="00AE3652" w:rsidRPr="000C6BF8" w:rsidRDefault="00AE3652" w:rsidP="00AE3652">
      <w:pPr>
        <w:pStyle w:val="notetext"/>
      </w:pPr>
      <w:r w:rsidRPr="000C6BF8">
        <w:rPr>
          <w:snapToGrid w:val="0"/>
          <w:lang w:eastAsia="en-US"/>
        </w:rPr>
        <w:t>Note:</w:t>
      </w:r>
      <w:r w:rsidRPr="000C6BF8">
        <w:rPr>
          <w:snapToGrid w:val="0"/>
          <w:lang w:eastAsia="en-US"/>
        </w:rPr>
        <w:tab/>
        <w:t xml:space="preserve">This table relates only to the provisions of </w:t>
      </w:r>
      <w:r w:rsidR="00351272" w:rsidRPr="000C6BF8">
        <w:rPr>
          <w:snapToGrid w:val="0"/>
          <w:lang w:eastAsia="en-US"/>
        </w:rPr>
        <w:t>this instrument</w:t>
      </w:r>
      <w:r w:rsidRPr="000C6BF8">
        <w:t xml:space="preserve"> </w:t>
      </w:r>
      <w:r w:rsidRPr="000C6BF8">
        <w:rPr>
          <w:snapToGrid w:val="0"/>
          <w:lang w:eastAsia="en-US"/>
        </w:rPr>
        <w:t xml:space="preserve">as originally made. It will not be amended to deal with any later amendments of </w:t>
      </w:r>
      <w:r w:rsidR="00351272" w:rsidRPr="000C6BF8">
        <w:rPr>
          <w:snapToGrid w:val="0"/>
          <w:lang w:eastAsia="en-US"/>
        </w:rPr>
        <w:t>this instrument</w:t>
      </w:r>
      <w:r w:rsidRPr="000C6BF8">
        <w:rPr>
          <w:snapToGrid w:val="0"/>
          <w:lang w:eastAsia="en-US"/>
        </w:rPr>
        <w:t>.</w:t>
      </w:r>
    </w:p>
    <w:p w14:paraId="5502AC53" w14:textId="77777777" w:rsidR="00807626" w:rsidRPr="000C6BF8" w:rsidRDefault="00AE3652" w:rsidP="00AE3652">
      <w:pPr>
        <w:pStyle w:val="subsection"/>
      </w:pPr>
      <w:r w:rsidRPr="000C6BF8">
        <w:tab/>
        <w:t>(2)</w:t>
      </w:r>
      <w:r w:rsidRPr="000C6BF8">
        <w:tab/>
        <w:t xml:space="preserve">Any information in column 3 of the table is not part of </w:t>
      </w:r>
      <w:r w:rsidR="00351272" w:rsidRPr="000C6BF8">
        <w:t>this instrument</w:t>
      </w:r>
      <w:r w:rsidRPr="000C6BF8">
        <w:t xml:space="preserve">. Information may be inserted in this column, or information in it may be edited, in any published version of </w:t>
      </w:r>
      <w:r w:rsidR="00351272" w:rsidRPr="000C6BF8">
        <w:t>this instrument</w:t>
      </w:r>
      <w:r w:rsidRPr="000C6BF8">
        <w:t>.</w:t>
      </w:r>
    </w:p>
    <w:p w14:paraId="1D6982C6" w14:textId="77777777" w:rsidR="00351272" w:rsidRPr="000C6BF8" w:rsidRDefault="00351272" w:rsidP="00351272">
      <w:pPr>
        <w:pStyle w:val="ActHead5"/>
      </w:pPr>
      <w:bookmarkStart w:id="4" w:name="_Toc200718611"/>
      <w:r w:rsidRPr="00D7332E">
        <w:rPr>
          <w:rStyle w:val="CharSectno"/>
        </w:rPr>
        <w:t>3</w:t>
      </w:r>
      <w:r w:rsidRPr="000C6BF8">
        <w:t xml:space="preserve">  When this instrument takes effect</w:t>
      </w:r>
      <w:bookmarkEnd w:id="4"/>
    </w:p>
    <w:p w14:paraId="73CA950F" w14:textId="46AC6785" w:rsidR="00351272" w:rsidRPr="000C6BF8" w:rsidRDefault="00351272" w:rsidP="00351272">
      <w:pPr>
        <w:pStyle w:val="subsection"/>
      </w:pPr>
      <w:r w:rsidRPr="000C6BF8">
        <w:tab/>
      </w:r>
      <w:r w:rsidRPr="000C6BF8">
        <w:tab/>
        <w:t>This instrument takes effect at the start of 1 July 202</w:t>
      </w:r>
      <w:r w:rsidR="001A1263" w:rsidRPr="000C6BF8">
        <w:t>5</w:t>
      </w:r>
      <w:r w:rsidRPr="000C6BF8">
        <w:t>.</w:t>
      </w:r>
    </w:p>
    <w:p w14:paraId="3DC543F4" w14:textId="77777777" w:rsidR="00351272" w:rsidRPr="000C6BF8" w:rsidRDefault="00351272" w:rsidP="00351272">
      <w:pPr>
        <w:pStyle w:val="ActHead5"/>
      </w:pPr>
      <w:bookmarkStart w:id="5" w:name="_Toc200718612"/>
      <w:r w:rsidRPr="00D7332E">
        <w:rPr>
          <w:rStyle w:val="CharSectno"/>
        </w:rPr>
        <w:t>4</w:t>
      </w:r>
      <w:r w:rsidRPr="000C6BF8">
        <w:t xml:space="preserve">  Authority</w:t>
      </w:r>
      <w:bookmarkEnd w:id="5"/>
    </w:p>
    <w:p w14:paraId="53CCC9DF" w14:textId="77777777" w:rsidR="00351272" w:rsidRPr="000C6BF8" w:rsidRDefault="00351272" w:rsidP="00351272">
      <w:pPr>
        <w:pStyle w:val="subsection"/>
      </w:pPr>
      <w:r w:rsidRPr="000C6BF8">
        <w:tab/>
      </w:r>
      <w:r w:rsidRPr="000C6BF8">
        <w:tab/>
        <w:t xml:space="preserve">This instrument is made under Division 4 of Part II of the </w:t>
      </w:r>
      <w:r w:rsidRPr="000C6BF8">
        <w:rPr>
          <w:i/>
        </w:rPr>
        <w:t>Remuneration Tribunal Act 1973</w:t>
      </w:r>
      <w:r w:rsidRPr="000C6BF8">
        <w:t>.</w:t>
      </w:r>
    </w:p>
    <w:p w14:paraId="72694EDE" w14:textId="77777777" w:rsidR="00351272" w:rsidRPr="000C6BF8" w:rsidRDefault="00351272" w:rsidP="00351272">
      <w:pPr>
        <w:pStyle w:val="ActHead5"/>
      </w:pPr>
      <w:bookmarkStart w:id="6" w:name="_Toc200718613"/>
      <w:r w:rsidRPr="00D7332E">
        <w:rPr>
          <w:rStyle w:val="CharSectno"/>
        </w:rPr>
        <w:t>5</w:t>
      </w:r>
      <w:r w:rsidRPr="000C6BF8">
        <w:t xml:space="preserve">  Determination supersedes previous determination</w:t>
      </w:r>
      <w:bookmarkEnd w:id="6"/>
    </w:p>
    <w:p w14:paraId="4D039934" w14:textId="4BA1C4D3" w:rsidR="00351272" w:rsidRPr="000C6BF8" w:rsidRDefault="00351272" w:rsidP="00351272">
      <w:pPr>
        <w:pStyle w:val="subsection"/>
      </w:pPr>
      <w:r w:rsidRPr="000C6BF8">
        <w:tab/>
      </w:r>
      <w:r w:rsidRPr="000C6BF8">
        <w:tab/>
        <w:t xml:space="preserve">This instrument supersedes the </w:t>
      </w:r>
      <w:r w:rsidRPr="000C6BF8">
        <w:rPr>
          <w:i/>
        </w:rPr>
        <w:t xml:space="preserve">Remuneration Tribunal (Departmental Secretaries—Classification Structure and Terms and Conditions) </w:t>
      </w:r>
      <w:r w:rsidR="00DB29BA" w:rsidRPr="000C6BF8">
        <w:rPr>
          <w:i/>
        </w:rPr>
        <w:t>Determination 2</w:t>
      </w:r>
      <w:r w:rsidRPr="000C6BF8">
        <w:rPr>
          <w:i/>
        </w:rPr>
        <w:t>02</w:t>
      </w:r>
      <w:r w:rsidR="00DA67D9" w:rsidRPr="000C6BF8">
        <w:rPr>
          <w:i/>
        </w:rPr>
        <w:t>4</w:t>
      </w:r>
      <w:r w:rsidRPr="000C6BF8">
        <w:t>.</w:t>
      </w:r>
    </w:p>
    <w:p w14:paraId="1E1931CA" w14:textId="77777777" w:rsidR="00351272" w:rsidRPr="000C6BF8" w:rsidRDefault="00351272" w:rsidP="00351272">
      <w:pPr>
        <w:pStyle w:val="ActHead5"/>
      </w:pPr>
      <w:bookmarkStart w:id="7" w:name="_Toc200718614"/>
      <w:r w:rsidRPr="00D7332E">
        <w:rPr>
          <w:rStyle w:val="CharSectno"/>
        </w:rPr>
        <w:t>6</w:t>
      </w:r>
      <w:r w:rsidRPr="000C6BF8">
        <w:t xml:space="preserve">  Schedules</w:t>
      </w:r>
      <w:bookmarkEnd w:id="7"/>
    </w:p>
    <w:p w14:paraId="4797DA50" w14:textId="77777777" w:rsidR="00351272" w:rsidRPr="000C6BF8" w:rsidRDefault="00351272" w:rsidP="00351272">
      <w:pPr>
        <w:pStyle w:val="subsection"/>
      </w:pPr>
      <w:r w:rsidRPr="000C6BF8">
        <w:tab/>
      </w:r>
      <w:r w:rsidRPr="000C6BF8">
        <w:tab/>
        <w:t>Each instrument that is specified in a Schedule to this instrument is amended or repealed as set out in the applicable items in the Schedule concerned, and any other item in a Schedule to this instrument has effect according to its terms.</w:t>
      </w:r>
    </w:p>
    <w:p w14:paraId="279F174A" w14:textId="77777777" w:rsidR="00351272" w:rsidRPr="000C6BF8" w:rsidRDefault="00351272" w:rsidP="00351272">
      <w:pPr>
        <w:pStyle w:val="ActHead5"/>
      </w:pPr>
      <w:bookmarkStart w:id="8" w:name="_Toc200718615"/>
      <w:r w:rsidRPr="00D7332E">
        <w:rPr>
          <w:rStyle w:val="CharSectno"/>
        </w:rPr>
        <w:lastRenderedPageBreak/>
        <w:t>7</w:t>
      </w:r>
      <w:r w:rsidRPr="000C6BF8">
        <w:t xml:space="preserve">  Simplified outline of this instrument</w:t>
      </w:r>
      <w:bookmarkEnd w:id="8"/>
    </w:p>
    <w:p w14:paraId="1D4D3EC3" w14:textId="77777777" w:rsidR="00351272" w:rsidRPr="000C6BF8" w:rsidRDefault="00351272" w:rsidP="00351272">
      <w:pPr>
        <w:pStyle w:val="SOText"/>
      </w:pPr>
      <w:r w:rsidRPr="000C6BF8">
        <w:t>This instrument, among other things, does the following:</w:t>
      </w:r>
    </w:p>
    <w:p w14:paraId="376D8041" w14:textId="77777777" w:rsidR="00351272" w:rsidRPr="000C6BF8" w:rsidRDefault="00351272" w:rsidP="00351272">
      <w:pPr>
        <w:pStyle w:val="SOBullet"/>
      </w:pPr>
      <w:r w:rsidRPr="000C6BF8">
        <w:t>•</w:t>
      </w:r>
      <w:r w:rsidRPr="000C6BF8">
        <w:tab/>
        <w:t>determines a classification structure for offices of Secretary;</w:t>
      </w:r>
    </w:p>
    <w:p w14:paraId="7EDE070A" w14:textId="77777777" w:rsidR="00351272" w:rsidRPr="000C6BF8" w:rsidRDefault="00351272" w:rsidP="00351272">
      <w:pPr>
        <w:pStyle w:val="SOBullet"/>
      </w:pPr>
      <w:r w:rsidRPr="000C6BF8">
        <w:t>•</w:t>
      </w:r>
      <w:r w:rsidRPr="000C6BF8">
        <w:tab/>
        <w:t>specifies pay points for the classification structure;</w:t>
      </w:r>
    </w:p>
    <w:p w14:paraId="26C10B23" w14:textId="77777777" w:rsidR="00351272" w:rsidRPr="000C6BF8" w:rsidRDefault="00351272" w:rsidP="00351272">
      <w:pPr>
        <w:pStyle w:val="SOBullet"/>
      </w:pPr>
      <w:r w:rsidRPr="000C6BF8">
        <w:t>•</w:t>
      </w:r>
      <w:r w:rsidRPr="000C6BF8">
        <w:tab/>
        <w:t>assigns each office of Secretary to a classification;</w:t>
      </w:r>
    </w:p>
    <w:p w14:paraId="56D504F8" w14:textId="77777777" w:rsidR="00351272" w:rsidRPr="000C6BF8" w:rsidRDefault="00351272" w:rsidP="00351272">
      <w:pPr>
        <w:pStyle w:val="SOBullet"/>
      </w:pPr>
      <w:r w:rsidRPr="000C6BF8">
        <w:t>•</w:t>
      </w:r>
      <w:r w:rsidRPr="000C6BF8">
        <w:tab/>
        <w:t>sets terms and conditions for Secretaries;</w:t>
      </w:r>
    </w:p>
    <w:p w14:paraId="452C9455" w14:textId="77777777" w:rsidR="00351272" w:rsidRPr="000C6BF8" w:rsidRDefault="00351272" w:rsidP="00351272">
      <w:pPr>
        <w:pStyle w:val="SOBullet"/>
      </w:pPr>
      <w:r w:rsidRPr="000C6BF8">
        <w:t>•</w:t>
      </w:r>
      <w:r w:rsidRPr="000C6BF8">
        <w:tab/>
        <w:t>fixes the amount of remuneration that is to be paid to the Secretary of the Department of the Prime Minister and Cabinet and the Secretary of the Department of the Treasury.</w:t>
      </w:r>
    </w:p>
    <w:p w14:paraId="5A434C7B" w14:textId="77777777" w:rsidR="00351272" w:rsidRPr="000C6BF8" w:rsidRDefault="00351272" w:rsidP="00351272">
      <w:pPr>
        <w:pStyle w:val="SOText"/>
      </w:pPr>
      <w:r w:rsidRPr="000C6BF8">
        <w:t>Secretaries other than the Secretary of the Department of the Prime Minister and Cabinet and the Secretary of the Department of the Treasury are assigned to pay points by a separate instrument made by the Secretary of the Department of the Prime Minister and Cabinet under subsection 14(3) of the Act.</w:t>
      </w:r>
    </w:p>
    <w:p w14:paraId="62D9EF16" w14:textId="77777777" w:rsidR="00351272" w:rsidRPr="000C6BF8" w:rsidRDefault="00351272" w:rsidP="00351272">
      <w:pPr>
        <w:pStyle w:val="ActHead5"/>
      </w:pPr>
      <w:bookmarkStart w:id="9" w:name="_Toc200718616"/>
      <w:r w:rsidRPr="00D7332E">
        <w:rPr>
          <w:rStyle w:val="CharSectno"/>
        </w:rPr>
        <w:t>8</w:t>
      </w:r>
      <w:r w:rsidRPr="000C6BF8">
        <w:t xml:space="preserve">  Definitions</w:t>
      </w:r>
      <w:bookmarkEnd w:id="9"/>
    </w:p>
    <w:p w14:paraId="5DB6081D" w14:textId="77777777" w:rsidR="00351272" w:rsidRPr="000C6BF8" w:rsidRDefault="00351272" w:rsidP="00351272">
      <w:pPr>
        <w:pStyle w:val="notetext"/>
      </w:pPr>
      <w:r w:rsidRPr="000C6BF8">
        <w:t>Note:</w:t>
      </w:r>
      <w:r w:rsidRPr="000C6BF8">
        <w:tab/>
        <w:t>A number of expressions used in this instrument are defined in the Act, including Departmental Secretary and Australian Public Service Commissioner.</w:t>
      </w:r>
    </w:p>
    <w:p w14:paraId="2B623AAB" w14:textId="77777777" w:rsidR="00351272" w:rsidRPr="000C6BF8" w:rsidRDefault="00351272" w:rsidP="00351272">
      <w:pPr>
        <w:pStyle w:val="subsection"/>
      </w:pPr>
      <w:r w:rsidRPr="000C6BF8">
        <w:tab/>
      </w:r>
      <w:r w:rsidRPr="000C6BF8">
        <w:tab/>
        <w:t>In this instrument:</w:t>
      </w:r>
    </w:p>
    <w:p w14:paraId="72718ECE" w14:textId="77777777" w:rsidR="00351272" w:rsidRPr="000C6BF8" w:rsidRDefault="00351272" w:rsidP="00351272">
      <w:pPr>
        <w:pStyle w:val="Definition"/>
      </w:pPr>
      <w:r w:rsidRPr="000C6BF8">
        <w:rPr>
          <w:b/>
          <w:i/>
        </w:rPr>
        <w:t>Act</w:t>
      </w:r>
      <w:r w:rsidRPr="000C6BF8">
        <w:t xml:space="preserve"> means the </w:t>
      </w:r>
      <w:r w:rsidRPr="000C6BF8">
        <w:rPr>
          <w:i/>
        </w:rPr>
        <w:t>Remuneration Tribunal Act 1973</w:t>
      </w:r>
      <w:r w:rsidRPr="000C6BF8">
        <w:t>.</w:t>
      </w:r>
    </w:p>
    <w:p w14:paraId="09806921" w14:textId="77777777" w:rsidR="00351272" w:rsidRPr="000C6BF8" w:rsidRDefault="00351272" w:rsidP="00351272">
      <w:pPr>
        <w:pStyle w:val="Definition"/>
      </w:pPr>
      <w:r w:rsidRPr="000C6BF8">
        <w:rPr>
          <w:b/>
          <w:i/>
        </w:rPr>
        <w:t>APSC</w:t>
      </w:r>
      <w:r w:rsidRPr="000C6BF8">
        <w:t xml:space="preserve"> means the Australian Public Service Commission.</w:t>
      </w:r>
    </w:p>
    <w:p w14:paraId="1E4DC6DF" w14:textId="77777777" w:rsidR="00351272" w:rsidRPr="000C6BF8" w:rsidRDefault="00351272" w:rsidP="00351272">
      <w:pPr>
        <w:pStyle w:val="Definition"/>
      </w:pPr>
      <w:r w:rsidRPr="000C6BF8">
        <w:rPr>
          <w:b/>
          <w:i/>
        </w:rPr>
        <w:t>benefit</w:t>
      </w:r>
      <w:r w:rsidRPr="000C6BF8">
        <w:t xml:space="preserve"> means:</w:t>
      </w:r>
    </w:p>
    <w:p w14:paraId="28D30F1D" w14:textId="198D742B" w:rsidR="00351272" w:rsidRPr="000C6BF8" w:rsidRDefault="00351272" w:rsidP="00351272">
      <w:pPr>
        <w:pStyle w:val="paragraph"/>
      </w:pPr>
      <w:r w:rsidRPr="000C6BF8">
        <w:tab/>
        <w:t>(a)</w:t>
      </w:r>
      <w:r w:rsidRPr="000C6BF8">
        <w:tab/>
        <w:t>any non</w:t>
      </w:r>
      <w:r w:rsidR="000C6BF8">
        <w:noBreakHyphen/>
      </w:r>
      <w:r w:rsidRPr="000C6BF8">
        <w:t>monetary benefit provided to a Secretary at the Commonwealth’s expense, including:</w:t>
      </w:r>
    </w:p>
    <w:p w14:paraId="43F7848E" w14:textId="77777777" w:rsidR="00351272" w:rsidRPr="000C6BF8" w:rsidRDefault="00351272" w:rsidP="00351272">
      <w:pPr>
        <w:pStyle w:val="paragraphsub"/>
      </w:pPr>
      <w:r w:rsidRPr="000C6BF8">
        <w:tab/>
        <w:t>(i)</w:t>
      </w:r>
      <w:r w:rsidRPr="000C6BF8">
        <w:tab/>
        <w:t>a vehicle or the use of a vehicle (see section 16); and</w:t>
      </w:r>
    </w:p>
    <w:p w14:paraId="09A51E32" w14:textId="77777777" w:rsidR="00351272" w:rsidRPr="000C6BF8" w:rsidRDefault="00351272" w:rsidP="00351272">
      <w:pPr>
        <w:pStyle w:val="paragraphsub"/>
      </w:pPr>
      <w:r w:rsidRPr="000C6BF8">
        <w:tab/>
        <w:t>(ii)</w:t>
      </w:r>
      <w:r w:rsidRPr="000C6BF8">
        <w:tab/>
        <w:t>vehicle parking (see section 17); or</w:t>
      </w:r>
    </w:p>
    <w:p w14:paraId="1E841924" w14:textId="77777777" w:rsidR="00351272" w:rsidRPr="000C6BF8" w:rsidRDefault="00351272" w:rsidP="00351272">
      <w:pPr>
        <w:pStyle w:val="paragraph"/>
      </w:pPr>
      <w:r w:rsidRPr="000C6BF8">
        <w:tab/>
        <w:t>(b)</w:t>
      </w:r>
      <w:r w:rsidRPr="000C6BF8">
        <w:tab/>
        <w:t>any other benefit received by way of remuneration packaging (see section 13).</w:t>
      </w:r>
    </w:p>
    <w:p w14:paraId="4CC53DAA" w14:textId="77777777" w:rsidR="00351272" w:rsidRPr="000C6BF8" w:rsidRDefault="00351272" w:rsidP="00351272">
      <w:pPr>
        <w:pStyle w:val="Definition"/>
      </w:pPr>
      <w:r w:rsidRPr="000C6BF8">
        <w:rPr>
          <w:b/>
          <w:i/>
        </w:rPr>
        <w:t>business class</w:t>
      </w:r>
      <w:r w:rsidRPr="000C6BF8">
        <w:t xml:space="preserve"> means a standard of service equivalent to that offered by Qantas Airways Ltd in its Business Class.</w:t>
      </w:r>
    </w:p>
    <w:p w14:paraId="45DB7674" w14:textId="77777777" w:rsidR="00351272" w:rsidRPr="000C6BF8" w:rsidRDefault="00351272" w:rsidP="00351272">
      <w:pPr>
        <w:pStyle w:val="Definition"/>
      </w:pPr>
      <w:r w:rsidRPr="000C6BF8">
        <w:rPr>
          <w:b/>
          <w:i/>
        </w:rPr>
        <w:t>Commonwealth Allowance Subscription Service</w:t>
      </w:r>
      <w:r w:rsidRPr="000C6BF8">
        <w:t xml:space="preserve"> means the Commonwealth Allowance Subscription Service and any scheme of a similar nature that modifies, replaces or supersedes the Commonwealth Allowance Subscription Service.</w:t>
      </w:r>
    </w:p>
    <w:p w14:paraId="0F5C15DD" w14:textId="77777777" w:rsidR="00351272" w:rsidRPr="000C6BF8" w:rsidRDefault="00351272" w:rsidP="00351272">
      <w:pPr>
        <w:pStyle w:val="Definition"/>
      </w:pPr>
      <w:r w:rsidRPr="000C6BF8">
        <w:rPr>
          <w:b/>
          <w:i/>
        </w:rPr>
        <w:t>Commonwealth authority</w:t>
      </w:r>
      <w:r w:rsidRPr="000C6BF8">
        <w:t xml:space="preserve"> means:</w:t>
      </w:r>
    </w:p>
    <w:p w14:paraId="5ABF6AF8" w14:textId="77777777" w:rsidR="00351272" w:rsidRPr="000C6BF8" w:rsidRDefault="00351272" w:rsidP="00351272">
      <w:pPr>
        <w:pStyle w:val="paragraph"/>
      </w:pPr>
      <w:r w:rsidRPr="000C6BF8">
        <w:tab/>
        <w:t>(a)</w:t>
      </w:r>
      <w:r w:rsidRPr="000C6BF8">
        <w:tab/>
        <w:t>an authority or body, whether incorporated or not, established for a public purpose by or under a law of the Commonwealth or the Australian Capital Territory; or</w:t>
      </w:r>
    </w:p>
    <w:p w14:paraId="7C7781F5" w14:textId="77777777" w:rsidR="00351272" w:rsidRPr="000C6BF8" w:rsidRDefault="00351272" w:rsidP="00351272">
      <w:pPr>
        <w:pStyle w:val="paragraph"/>
      </w:pPr>
      <w:r w:rsidRPr="000C6BF8">
        <w:lastRenderedPageBreak/>
        <w:tab/>
        <w:t>(b)</w:t>
      </w:r>
      <w:r w:rsidRPr="000C6BF8">
        <w:tab/>
        <w:t>a body corporate:</w:t>
      </w:r>
    </w:p>
    <w:p w14:paraId="0FC19A5B" w14:textId="77777777" w:rsidR="00351272" w:rsidRPr="000C6BF8" w:rsidRDefault="00351272" w:rsidP="00351272">
      <w:pPr>
        <w:pStyle w:val="paragraphsub"/>
      </w:pPr>
      <w:r w:rsidRPr="000C6BF8">
        <w:tab/>
        <w:t>(i)</w:t>
      </w:r>
      <w:r w:rsidRPr="000C6BF8">
        <w:tab/>
        <w:t>incorporated under a law of the Commonwealth or a State or Territory; and</w:t>
      </w:r>
    </w:p>
    <w:p w14:paraId="114B3C66" w14:textId="77777777" w:rsidR="00351272" w:rsidRPr="000C6BF8" w:rsidRDefault="00351272" w:rsidP="00351272">
      <w:pPr>
        <w:pStyle w:val="paragraphsub"/>
      </w:pPr>
      <w:r w:rsidRPr="000C6BF8">
        <w:tab/>
        <w:t>(ii)</w:t>
      </w:r>
      <w:r w:rsidRPr="000C6BF8">
        <w:tab/>
        <w:t>in which the Commonwealth has a controlling interest.</w:t>
      </w:r>
    </w:p>
    <w:p w14:paraId="0E58D665" w14:textId="77777777" w:rsidR="00351272" w:rsidRPr="000C6BF8" w:rsidRDefault="00351272" w:rsidP="00351272">
      <w:pPr>
        <w:pStyle w:val="Definition"/>
      </w:pPr>
      <w:r w:rsidRPr="000C6BF8">
        <w:rPr>
          <w:b/>
          <w:i/>
        </w:rPr>
        <w:t>CSS</w:t>
      </w:r>
      <w:r w:rsidRPr="000C6BF8">
        <w:t xml:space="preserve"> (short for Commonwealth Superannuation Scheme) has the same meaning as in the </w:t>
      </w:r>
      <w:r w:rsidRPr="000C6BF8">
        <w:rPr>
          <w:i/>
        </w:rPr>
        <w:t>Superannuation Act 1976</w:t>
      </w:r>
      <w:r w:rsidRPr="000C6BF8">
        <w:t>.</w:t>
      </w:r>
    </w:p>
    <w:p w14:paraId="0125A328" w14:textId="77777777" w:rsidR="00351272" w:rsidRPr="000C6BF8" w:rsidRDefault="00351272" w:rsidP="00351272">
      <w:pPr>
        <w:pStyle w:val="Definition"/>
      </w:pPr>
      <w:r w:rsidRPr="000C6BF8">
        <w:rPr>
          <w:b/>
          <w:i/>
        </w:rPr>
        <w:t>DFRDB</w:t>
      </w:r>
      <w:r w:rsidRPr="000C6BF8">
        <w:t xml:space="preserve"> (short for Defence Force Retirement and Death Benefits) means the scheme established by the </w:t>
      </w:r>
      <w:r w:rsidRPr="000C6BF8">
        <w:rPr>
          <w:i/>
        </w:rPr>
        <w:t>Defence Force Retirement and Death Benefits Act 1973</w:t>
      </w:r>
      <w:r w:rsidRPr="000C6BF8">
        <w:t>.</w:t>
      </w:r>
    </w:p>
    <w:p w14:paraId="1BF0ED6E" w14:textId="77777777" w:rsidR="00351272" w:rsidRPr="000C6BF8" w:rsidRDefault="00351272" w:rsidP="00351272">
      <w:pPr>
        <w:pStyle w:val="Definition"/>
      </w:pPr>
      <w:r w:rsidRPr="000C6BF8">
        <w:rPr>
          <w:b/>
          <w:i/>
        </w:rPr>
        <w:t>employer superannuation contribution</w:t>
      </w:r>
      <w:r w:rsidRPr="000C6BF8">
        <w:t xml:space="preserve"> for a Secretary means:</w:t>
      </w:r>
    </w:p>
    <w:p w14:paraId="04D15BC6" w14:textId="77777777" w:rsidR="00351272" w:rsidRPr="000C6BF8" w:rsidRDefault="00351272" w:rsidP="00351272">
      <w:pPr>
        <w:pStyle w:val="paragraph"/>
      </w:pPr>
      <w:r w:rsidRPr="000C6BF8">
        <w:tab/>
        <w:t>(a)</w:t>
      </w:r>
      <w:r w:rsidRPr="000C6BF8">
        <w:tab/>
        <w:t>if the Secretary is a member of the CSS, PSS, DFRDB or MSBS—the value attributed to the employer superannuation contribution under subsection 15(1), (2), (3) or (4); or</w:t>
      </w:r>
    </w:p>
    <w:p w14:paraId="6EBA6C7E" w14:textId="77777777" w:rsidR="00351272" w:rsidRPr="000C6BF8" w:rsidRDefault="00351272" w:rsidP="00351272">
      <w:pPr>
        <w:pStyle w:val="paragraph"/>
      </w:pPr>
      <w:r w:rsidRPr="000C6BF8">
        <w:tab/>
        <w:t>(b)</w:t>
      </w:r>
      <w:r w:rsidRPr="000C6BF8">
        <w:tab/>
        <w:t xml:space="preserve">if the Secretary is a member of the PSSAP—15.4% of ordinary time earnings (within the meaning of the </w:t>
      </w:r>
      <w:r w:rsidRPr="000C6BF8">
        <w:rPr>
          <w:i/>
        </w:rPr>
        <w:t>Superannuation Guarantee (Administration) Act 1992</w:t>
      </w:r>
      <w:r w:rsidRPr="000C6BF8">
        <w:t>) for the Secretary; or</w:t>
      </w:r>
    </w:p>
    <w:p w14:paraId="00E110C1" w14:textId="77777777" w:rsidR="00351272" w:rsidRPr="000C6BF8" w:rsidRDefault="00351272" w:rsidP="00351272">
      <w:pPr>
        <w:pStyle w:val="paragraph"/>
      </w:pPr>
      <w:r w:rsidRPr="000C6BF8">
        <w:tab/>
        <w:t>(c)</w:t>
      </w:r>
      <w:r w:rsidRPr="000C6BF8">
        <w:tab/>
        <w:t>if the Secretary is a member of another superannuation fund—the amount worked out under subsection 15(6).</w:t>
      </w:r>
    </w:p>
    <w:p w14:paraId="554C786E" w14:textId="77777777" w:rsidR="00351272" w:rsidRPr="000C6BF8" w:rsidRDefault="00351272" w:rsidP="00351272">
      <w:pPr>
        <w:pStyle w:val="notetext"/>
      </w:pPr>
      <w:r w:rsidRPr="000C6BF8">
        <w:t>Note 1:</w:t>
      </w:r>
      <w:r w:rsidRPr="000C6BF8">
        <w:tab/>
        <w:t>A Secretary’s employer superannuation contribution is part of the Secretary’s total remuneration (see section 9).</w:t>
      </w:r>
    </w:p>
    <w:p w14:paraId="71B4F644" w14:textId="77777777" w:rsidR="00351272" w:rsidRPr="000C6BF8" w:rsidRDefault="00351272" w:rsidP="00351272">
      <w:pPr>
        <w:pStyle w:val="notetext"/>
      </w:pPr>
      <w:r w:rsidRPr="000C6BF8">
        <w:t>Note 2:</w:t>
      </w:r>
      <w:r w:rsidRPr="000C6BF8">
        <w:tab/>
        <w:t>Superannuation contributions made as a result of remuneration packaging do not form part of a Secretary’s employer superannuation contribution (see section 13).</w:t>
      </w:r>
    </w:p>
    <w:p w14:paraId="46587FFF" w14:textId="77777777" w:rsidR="00351272" w:rsidRPr="000C6BF8" w:rsidRDefault="00351272" w:rsidP="00351272">
      <w:pPr>
        <w:pStyle w:val="Definition"/>
      </w:pPr>
      <w:r w:rsidRPr="000C6BF8">
        <w:rPr>
          <w:b/>
          <w:i/>
        </w:rPr>
        <w:t>exclusion event</w:t>
      </w:r>
      <w:r w:rsidRPr="000C6BF8">
        <w:t xml:space="preserve"> has the meaning given by subsections 25(1A) and (2).</w:t>
      </w:r>
    </w:p>
    <w:p w14:paraId="4C3325B0" w14:textId="77777777" w:rsidR="00351272" w:rsidRPr="000C6BF8" w:rsidRDefault="00351272" w:rsidP="00351272">
      <w:pPr>
        <w:pStyle w:val="Definition"/>
      </w:pPr>
      <w:r w:rsidRPr="000C6BF8">
        <w:rPr>
          <w:b/>
          <w:i/>
        </w:rPr>
        <w:t>Executive Vehicle Scheme guidelines</w:t>
      </w:r>
      <w:r w:rsidRPr="000C6BF8">
        <w:t xml:space="preserve"> means:</w:t>
      </w:r>
    </w:p>
    <w:p w14:paraId="6139B8C9" w14:textId="77777777" w:rsidR="00351272" w:rsidRPr="000C6BF8" w:rsidRDefault="00351272" w:rsidP="00351272">
      <w:pPr>
        <w:pStyle w:val="paragraph"/>
      </w:pPr>
      <w:r w:rsidRPr="000C6BF8">
        <w:tab/>
        <w:t>(a)</w:t>
      </w:r>
      <w:r w:rsidRPr="000C6BF8">
        <w:tab/>
        <w:t>the guidelines published from time to time in respect of the Executive Vehicle Scheme by:</w:t>
      </w:r>
    </w:p>
    <w:p w14:paraId="7E72EDC7" w14:textId="77777777" w:rsidR="00351272" w:rsidRPr="000C6BF8" w:rsidRDefault="00351272" w:rsidP="00351272">
      <w:pPr>
        <w:pStyle w:val="paragraphsub"/>
      </w:pPr>
      <w:r w:rsidRPr="000C6BF8">
        <w:tab/>
        <w:t>(i)</w:t>
      </w:r>
      <w:r w:rsidRPr="000C6BF8">
        <w:tab/>
        <w:t>the APSC; or</w:t>
      </w:r>
    </w:p>
    <w:p w14:paraId="1A18E7AD" w14:textId="77777777" w:rsidR="00351272" w:rsidRPr="000C6BF8" w:rsidRDefault="00351272" w:rsidP="00351272">
      <w:pPr>
        <w:pStyle w:val="paragraphsub"/>
      </w:pPr>
      <w:r w:rsidRPr="000C6BF8">
        <w:tab/>
        <w:t>(ii)</w:t>
      </w:r>
      <w:r w:rsidRPr="000C6BF8">
        <w:tab/>
        <w:t>another Department or agency that has policy responsibility for the Scheme; or</w:t>
      </w:r>
    </w:p>
    <w:p w14:paraId="487C9F67" w14:textId="77777777" w:rsidR="00351272" w:rsidRPr="000C6BF8" w:rsidRDefault="00351272" w:rsidP="00351272">
      <w:pPr>
        <w:pStyle w:val="paragraph"/>
      </w:pPr>
      <w:r w:rsidRPr="000C6BF8">
        <w:tab/>
        <w:t>(b)</w:t>
      </w:r>
      <w:r w:rsidRPr="000C6BF8">
        <w:tab/>
        <w:t>any guidelines of a similar nature which modify, replace or supersede those guidelines; or</w:t>
      </w:r>
    </w:p>
    <w:p w14:paraId="6FFC1E2A" w14:textId="77777777" w:rsidR="00351272" w:rsidRPr="000C6BF8" w:rsidRDefault="00351272" w:rsidP="00351272">
      <w:pPr>
        <w:pStyle w:val="paragraph"/>
      </w:pPr>
      <w:r w:rsidRPr="000C6BF8">
        <w:tab/>
        <w:t>(c)</w:t>
      </w:r>
      <w:r w:rsidRPr="000C6BF8">
        <w:tab/>
        <w:t>guidelines to any scheme of a similar nature which modifies, replaces or supersedes the Executive Vehicle Scheme.</w:t>
      </w:r>
    </w:p>
    <w:p w14:paraId="361E12BE" w14:textId="77777777" w:rsidR="00351272" w:rsidRPr="000C6BF8" w:rsidRDefault="00351272" w:rsidP="00351272">
      <w:pPr>
        <w:pStyle w:val="Definition"/>
      </w:pPr>
      <w:r w:rsidRPr="000C6BF8">
        <w:rPr>
          <w:b/>
          <w:i/>
        </w:rPr>
        <w:t>family reunion</w:t>
      </w:r>
      <w:r w:rsidRPr="000C6BF8">
        <w:t>: see section 27.</w:t>
      </w:r>
    </w:p>
    <w:p w14:paraId="3AC1C2A3" w14:textId="77777777" w:rsidR="00351272" w:rsidRPr="000C6BF8" w:rsidRDefault="00351272" w:rsidP="00351272">
      <w:pPr>
        <w:pStyle w:val="Definition"/>
      </w:pPr>
      <w:r w:rsidRPr="000C6BF8">
        <w:rPr>
          <w:b/>
          <w:i/>
        </w:rPr>
        <w:t>fringe benefits tax</w:t>
      </w:r>
      <w:r w:rsidRPr="000C6BF8">
        <w:t xml:space="preserve"> means fringe benefits tax (within the meaning of the </w:t>
      </w:r>
      <w:r w:rsidRPr="000C6BF8">
        <w:rPr>
          <w:i/>
        </w:rPr>
        <w:t>Fringe Benefits Tax Assessment Act 1986</w:t>
      </w:r>
      <w:r w:rsidRPr="000C6BF8">
        <w:t xml:space="preserve"> as it applies of its own force or because of the </w:t>
      </w:r>
      <w:r w:rsidRPr="000C6BF8">
        <w:rPr>
          <w:i/>
        </w:rPr>
        <w:t>Fringe Benefits Tax (Application to the Commonwealth) Act 1986</w:t>
      </w:r>
      <w:r w:rsidRPr="000C6BF8">
        <w:t>).</w:t>
      </w:r>
    </w:p>
    <w:p w14:paraId="3654C939" w14:textId="77777777" w:rsidR="00351272" w:rsidRPr="000C6BF8" w:rsidRDefault="00351272" w:rsidP="00351272">
      <w:pPr>
        <w:pStyle w:val="Definition"/>
      </w:pPr>
      <w:r w:rsidRPr="000C6BF8">
        <w:rPr>
          <w:b/>
          <w:i/>
        </w:rPr>
        <w:t>home locality</w:t>
      </w:r>
      <w:r w:rsidRPr="000C6BF8">
        <w:t>: see section 27.</w:t>
      </w:r>
    </w:p>
    <w:p w14:paraId="6DB859A9" w14:textId="77777777" w:rsidR="00351272" w:rsidRPr="000C6BF8" w:rsidRDefault="00351272" w:rsidP="00351272">
      <w:pPr>
        <w:pStyle w:val="Definition"/>
      </w:pPr>
      <w:r w:rsidRPr="000C6BF8">
        <w:rPr>
          <w:b/>
          <w:i/>
        </w:rPr>
        <w:t>locality of the Australian Capital Territory</w:t>
      </w:r>
      <w:r w:rsidRPr="000C6BF8">
        <w:t>: see section 27.</w:t>
      </w:r>
    </w:p>
    <w:p w14:paraId="54548CF3" w14:textId="77777777" w:rsidR="00351272" w:rsidRPr="000C6BF8" w:rsidRDefault="00351272" w:rsidP="00351272">
      <w:pPr>
        <w:pStyle w:val="Definition"/>
      </w:pPr>
      <w:r w:rsidRPr="000C6BF8">
        <w:rPr>
          <w:b/>
          <w:i/>
        </w:rPr>
        <w:t>MSBS</w:t>
      </w:r>
      <w:r w:rsidRPr="000C6BF8">
        <w:t xml:space="preserve"> (short for Military Superannuation and Benefits Scheme) has the same meaning as </w:t>
      </w:r>
      <w:r w:rsidRPr="000C6BF8">
        <w:rPr>
          <w:b/>
          <w:i/>
        </w:rPr>
        <w:t>Scheme</w:t>
      </w:r>
      <w:r w:rsidRPr="000C6BF8">
        <w:t xml:space="preserve"> has in the </w:t>
      </w:r>
      <w:r w:rsidRPr="000C6BF8">
        <w:rPr>
          <w:i/>
        </w:rPr>
        <w:t>Military Superannuation and Benefits Act 1991</w:t>
      </w:r>
      <w:r w:rsidRPr="000C6BF8">
        <w:t>.</w:t>
      </w:r>
    </w:p>
    <w:p w14:paraId="4AB01720" w14:textId="77777777" w:rsidR="00351272" w:rsidRPr="000C6BF8" w:rsidRDefault="00351272" w:rsidP="00351272">
      <w:pPr>
        <w:pStyle w:val="Definition"/>
      </w:pPr>
      <w:r w:rsidRPr="000C6BF8">
        <w:rPr>
          <w:b/>
          <w:i/>
        </w:rPr>
        <w:lastRenderedPageBreak/>
        <w:t>new locality</w:t>
      </w:r>
      <w:r w:rsidRPr="000C6BF8">
        <w:t>: see section 27.</w:t>
      </w:r>
    </w:p>
    <w:p w14:paraId="60740016" w14:textId="2083474D" w:rsidR="00351272" w:rsidRPr="000C6BF8" w:rsidRDefault="00351272" w:rsidP="00351272">
      <w:pPr>
        <w:pStyle w:val="Definition"/>
      </w:pPr>
      <w:r w:rsidRPr="000C6BF8">
        <w:rPr>
          <w:b/>
          <w:i/>
        </w:rPr>
        <w:t>official travel determination</w:t>
      </w:r>
      <w:r w:rsidRPr="000C6BF8">
        <w:t xml:space="preserve"> means the </w:t>
      </w:r>
      <w:r w:rsidRPr="000C6BF8">
        <w:rPr>
          <w:i/>
        </w:rPr>
        <w:t xml:space="preserve">Remuneration Tribunal (Official Travel) </w:t>
      </w:r>
      <w:r w:rsidR="00DB29BA" w:rsidRPr="000C6BF8">
        <w:rPr>
          <w:i/>
        </w:rPr>
        <w:t>Determination 2</w:t>
      </w:r>
      <w:r w:rsidRPr="000C6BF8">
        <w:rPr>
          <w:i/>
        </w:rPr>
        <w:t>02</w:t>
      </w:r>
      <w:r w:rsidR="001709E2" w:rsidRPr="000C6BF8">
        <w:rPr>
          <w:i/>
        </w:rPr>
        <w:t>4</w:t>
      </w:r>
      <w:r w:rsidRPr="000C6BF8">
        <w:t xml:space="preserve"> (or any determination that supersedes that determination).</w:t>
      </w:r>
    </w:p>
    <w:p w14:paraId="5D34478C" w14:textId="77777777" w:rsidR="00351272" w:rsidRPr="000C6BF8" w:rsidRDefault="00351272" w:rsidP="00351272">
      <w:pPr>
        <w:pStyle w:val="Definition"/>
      </w:pPr>
      <w:r w:rsidRPr="000C6BF8">
        <w:rPr>
          <w:b/>
          <w:i/>
        </w:rPr>
        <w:t>pay point assignment</w:t>
      </w:r>
      <w:r w:rsidRPr="000C6BF8">
        <w:t xml:space="preserve"> means an instrument made by the Secretary of the Department of the Prime Minister and Cabinet under subsection 14(3) of the Act.</w:t>
      </w:r>
    </w:p>
    <w:p w14:paraId="39A9B3DB" w14:textId="77777777" w:rsidR="00351272" w:rsidRPr="000C6BF8" w:rsidRDefault="00351272" w:rsidP="00351272">
      <w:pPr>
        <w:pStyle w:val="Definition"/>
      </w:pPr>
      <w:r w:rsidRPr="000C6BF8">
        <w:rPr>
          <w:b/>
          <w:i/>
        </w:rPr>
        <w:t>PSS</w:t>
      </w:r>
      <w:r w:rsidRPr="000C6BF8">
        <w:t xml:space="preserve"> (short for Public Sector Superannuation Scheme) has the same meaning as </w:t>
      </w:r>
      <w:r w:rsidRPr="000C6BF8">
        <w:rPr>
          <w:b/>
          <w:i/>
        </w:rPr>
        <w:t>Public Sector Superannuation Scheme</w:t>
      </w:r>
      <w:r w:rsidRPr="000C6BF8">
        <w:t xml:space="preserve"> has in the </w:t>
      </w:r>
      <w:r w:rsidRPr="000C6BF8">
        <w:rPr>
          <w:i/>
        </w:rPr>
        <w:t>Superannuation Act 1990</w:t>
      </w:r>
      <w:r w:rsidRPr="000C6BF8">
        <w:t>.</w:t>
      </w:r>
    </w:p>
    <w:p w14:paraId="3E65A4E9" w14:textId="77777777" w:rsidR="00351272" w:rsidRPr="000C6BF8" w:rsidRDefault="00351272" w:rsidP="00351272">
      <w:pPr>
        <w:pStyle w:val="Definition"/>
        <w:rPr>
          <w:b/>
          <w:i/>
        </w:rPr>
      </w:pPr>
      <w:r w:rsidRPr="000C6BF8">
        <w:rPr>
          <w:b/>
          <w:i/>
        </w:rPr>
        <w:t>PSSAP</w:t>
      </w:r>
      <w:r w:rsidRPr="000C6BF8">
        <w:t xml:space="preserve"> (short for Public Sector Superannuation Accumulation Plan) has the same meaning as in the </w:t>
      </w:r>
      <w:r w:rsidRPr="000C6BF8">
        <w:rPr>
          <w:i/>
        </w:rPr>
        <w:t>Superannuation Act 2005</w:t>
      </w:r>
      <w:r w:rsidRPr="000C6BF8">
        <w:t>.</w:t>
      </w:r>
    </w:p>
    <w:p w14:paraId="5C745C01" w14:textId="77777777" w:rsidR="00351272" w:rsidRPr="000C6BF8" w:rsidRDefault="00351272" w:rsidP="00351272">
      <w:pPr>
        <w:pStyle w:val="Definition"/>
      </w:pPr>
      <w:r w:rsidRPr="000C6BF8">
        <w:rPr>
          <w:b/>
          <w:i/>
        </w:rPr>
        <w:t>reference salary</w:t>
      </w:r>
      <w:r w:rsidRPr="000C6BF8">
        <w:t xml:space="preserve"> means the Secretary’s total remuneration, less the rate of the employer superannuation contribution for the Secretary.</w:t>
      </w:r>
    </w:p>
    <w:p w14:paraId="76FA78A3" w14:textId="77777777" w:rsidR="00351272" w:rsidRPr="000C6BF8" w:rsidRDefault="00351272" w:rsidP="00351272">
      <w:pPr>
        <w:pStyle w:val="Definition"/>
      </w:pPr>
      <w:r w:rsidRPr="000C6BF8">
        <w:rPr>
          <w:b/>
          <w:i/>
        </w:rPr>
        <w:t>Secretary</w:t>
      </w:r>
      <w:r w:rsidRPr="000C6BF8">
        <w:t xml:space="preserve"> has the same meaning as in the </w:t>
      </w:r>
      <w:r w:rsidRPr="000C6BF8">
        <w:rPr>
          <w:i/>
        </w:rPr>
        <w:t>Public Service Act 1999</w:t>
      </w:r>
      <w:r w:rsidRPr="000C6BF8">
        <w:t>.</w:t>
      </w:r>
    </w:p>
    <w:p w14:paraId="01F30319" w14:textId="77777777" w:rsidR="00351272" w:rsidRPr="000C6BF8" w:rsidRDefault="00351272" w:rsidP="00351272">
      <w:pPr>
        <w:pStyle w:val="Definition"/>
      </w:pPr>
      <w:r w:rsidRPr="000C6BF8">
        <w:rPr>
          <w:b/>
          <w:i/>
        </w:rPr>
        <w:t>Secretary’s Minister</w:t>
      </w:r>
      <w:r w:rsidRPr="000C6BF8">
        <w:t>, in relation to a Secretary, means the senior portfolio Minister who administers the Department of which the Secretary has been appointed to the office of Secretary.</w:t>
      </w:r>
    </w:p>
    <w:p w14:paraId="62CA8F8D" w14:textId="77777777" w:rsidR="00351272" w:rsidRPr="000C6BF8" w:rsidRDefault="00351272" w:rsidP="00351272">
      <w:pPr>
        <w:pStyle w:val="Definition"/>
      </w:pPr>
      <w:r w:rsidRPr="000C6BF8">
        <w:rPr>
          <w:b/>
          <w:i/>
        </w:rPr>
        <w:t>superannuation salary</w:t>
      </w:r>
      <w:r w:rsidRPr="000C6BF8">
        <w:t>, for a Secretary, means 70% of the Secretary’s total remuneration (rounded up to the nearest $10).</w:t>
      </w:r>
    </w:p>
    <w:p w14:paraId="0FF1FA48" w14:textId="77777777" w:rsidR="00351272" w:rsidRPr="000C6BF8" w:rsidRDefault="00351272" w:rsidP="00351272">
      <w:pPr>
        <w:pStyle w:val="Definition"/>
      </w:pPr>
      <w:r w:rsidRPr="000C6BF8">
        <w:rPr>
          <w:b/>
          <w:i/>
        </w:rPr>
        <w:t>Table 2A</w:t>
      </w:r>
      <w:r w:rsidRPr="000C6BF8">
        <w:t xml:space="preserve"> means the table of the classification structure in subsection 11(1).</w:t>
      </w:r>
    </w:p>
    <w:p w14:paraId="511B4F68" w14:textId="77777777" w:rsidR="00351272" w:rsidRPr="000C6BF8" w:rsidRDefault="00351272" w:rsidP="00351272">
      <w:pPr>
        <w:pStyle w:val="Definition"/>
        <w:rPr>
          <w:b/>
          <w:i/>
        </w:rPr>
      </w:pPr>
      <w:r w:rsidRPr="000C6BF8">
        <w:rPr>
          <w:b/>
          <w:i/>
        </w:rPr>
        <w:t>Table 2B</w:t>
      </w:r>
      <w:r w:rsidRPr="000C6BF8">
        <w:t xml:space="preserve"> means the table of classification of offices of Secretary in subsection 11(2).</w:t>
      </w:r>
    </w:p>
    <w:p w14:paraId="1FC22BEA" w14:textId="77777777" w:rsidR="00351272" w:rsidRPr="000C6BF8" w:rsidRDefault="00351272" w:rsidP="00351272">
      <w:pPr>
        <w:pStyle w:val="Definition"/>
      </w:pPr>
      <w:r w:rsidRPr="000C6BF8">
        <w:rPr>
          <w:b/>
          <w:i/>
        </w:rPr>
        <w:t>total remuneration</w:t>
      </w:r>
      <w:r w:rsidRPr="000C6BF8">
        <w:t>: see section 9.</w:t>
      </w:r>
    </w:p>
    <w:p w14:paraId="771B6F65" w14:textId="77777777" w:rsidR="00351272" w:rsidRPr="000C6BF8" w:rsidRDefault="00351272" w:rsidP="00351272">
      <w:pPr>
        <w:pStyle w:val="ActHead5"/>
      </w:pPr>
      <w:bookmarkStart w:id="10" w:name="_Toc200718617"/>
      <w:r w:rsidRPr="00D7332E">
        <w:rPr>
          <w:rStyle w:val="CharSectno"/>
        </w:rPr>
        <w:t>9</w:t>
      </w:r>
      <w:r w:rsidRPr="000C6BF8">
        <w:t xml:space="preserve">  Meaning of </w:t>
      </w:r>
      <w:r w:rsidRPr="000C6BF8">
        <w:rPr>
          <w:i/>
        </w:rPr>
        <w:t>total remuneration</w:t>
      </w:r>
      <w:bookmarkEnd w:id="10"/>
    </w:p>
    <w:p w14:paraId="728D6927" w14:textId="77777777" w:rsidR="00351272" w:rsidRPr="000C6BF8" w:rsidRDefault="00351272" w:rsidP="00351272">
      <w:pPr>
        <w:pStyle w:val="subsection"/>
      </w:pPr>
      <w:r w:rsidRPr="000C6BF8">
        <w:tab/>
        <w:t>(1)</w:t>
      </w:r>
      <w:r w:rsidRPr="000C6BF8">
        <w:tab/>
        <w:t xml:space="preserve">For the purposes of this instrument, the </w:t>
      </w:r>
      <w:r w:rsidRPr="000C6BF8">
        <w:rPr>
          <w:b/>
          <w:i/>
        </w:rPr>
        <w:t>total remuneration</w:t>
      </w:r>
      <w:r w:rsidRPr="000C6BF8">
        <w:t xml:space="preserve"> of a Secretary is the amount, per year, in column 3 of Table 2A.</w:t>
      </w:r>
    </w:p>
    <w:p w14:paraId="3607F9ED" w14:textId="77777777" w:rsidR="00351272" w:rsidRPr="000C6BF8" w:rsidRDefault="00351272" w:rsidP="00351272">
      <w:pPr>
        <w:pStyle w:val="subsection"/>
      </w:pPr>
      <w:r w:rsidRPr="000C6BF8">
        <w:tab/>
        <w:t>(2)</w:t>
      </w:r>
      <w:r w:rsidRPr="000C6BF8">
        <w:tab/>
        <w:t>The total remuneration of a Secretary represents the value, calculated at the total cost to the Commonwealth (including fringe benefits tax), of the following in relation to the Secretary:</w:t>
      </w:r>
    </w:p>
    <w:p w14:paraId="6B0BBD35" w14:textId="77777777" w:rsidR="00351272" w:rsidRPr="000C6BF8" w:rsidRDefault="00351272" w:rsidP="00351272">
      <w:pPr>
        <w:pStyle w:val="paragraph"/>
      </w:pPr>
      <w:r w:rsidRPr="000C6BF8">
        <w:tab/>
        <w:t>(a)</w:t>
      </w:r>
      <w:r w:rsidRPr="000C6BF8">
        <w:tab/>
        <w:t>salary, allowances and lump sum payments;</w:t>
      </w:r>
    </w:p>
    <w:p w14:paraId="3C66785D" w14:textId="77777777" w:rsidR="00351272" w:rsidRPr="000C6BF8" w:rsidRDefault="00351272" w:rsidP="00351272">
      <w:pPr>
        <w:pStyle w:val="paragraph"/>
      </w:pPr>
      <w:r w:rsidRPr="000C6BF8">
        <w:tab/>
        <w:t>(b)</w:t>
      </w:r>
      <w:r w:rsidRPr="000C6BF8">
        <w:tab/>
        <w:t>benefits;</w:t>
      </w:r>
    </w:p>
    <w:p w14:paraId="42246705" w14:textId="77777777" w:rsidR="00351272" w:rsidRPr="000C6BF8" w:rsidRDefault="00351272" w:rsidP="00351272">
      <w:pPr>
        <w:pStyle w:val="paragraph"/>
      </w:pPr>
      <w:r w:rsidRPr="000C6BF8">
        <w:tab/>
        <w:t>(c)</w:t>
      </w:r>
      <w:r w:rsidRPr="000C6BF8">
        <w:tab/>
        <w:t>the employer superannuation contribution.</w:t>
      </w:r>
    </w:p>
    <w:p w14:paraId="0990FF7D" w14:textId="77777777" w:rsidR="00351272" w:rsidRPr="000C6BF8" w:rsidRDefault="00351272" w:rsidP="00351272">
      <w:pPr>
        <w:pStyle w:val="subsection"/>
      </w:pPr>
      <w:r w:rsidRPr="000C6BF8">
        <w:tab/>
        <w:t>(3)</w:t>
      </w:r>
      <w:r w:rsidRPr="000C6BF8">
        <w:tab/>
        <w:t>However, the total remuneration of a Secretary does not include the following:</w:t>
      </w:r>
    </w:p>
    <w:p w14:paraId="1AA61BA1" w14:textId="77777777" w:rsidR="00351272" w:rsidRPr="000C6BF8" w:rsidRDefault="00351272" w:rsidP="00351272">
      <w:pPr>
        <w:pStyle w:val="paragraph"/>
      </w:pPr>
      <w:r w:rsidRPr="000C6BF8">
        <w:tab/>
        <w:t>(a)</w:t>
      </w:r>
      <w:r w:rsidRPr="000C6BF8">
        <w:tab/>
        <w:t>the value of facilities provided as business support under section 18;</w:t>
      </w:r>
    </w:p>
    <w:p w14:paraId="717EB252" w14:textId="77777777" w:rsidR="00351272" w:rsidRPr="000C6BF8" w:rsidRDefault="00351272" w:rsidP="00351272">
      <w:pPr>
        <w:pStyle w:val="paragraph"/>
      </w:pPr>
      <w:r w:rsidRPr="000C6BF8">
        <w:tab/>
        <w:t>(b)</w:t>
      </w:r>
      <w:r w:rsidRPr="000C6BF8">
        <w:tab/>
        <w:t>payments under Part 6 (end of appointment);</w:t>
      </w:r>
    </w:p>
    <w:p w14:paraId="248BF4E4" w14:textId="77777777" w:rsidR="00351272" w:rsidRPr="000C6BF8" w:rsidRDefault="00351272" w:rsidP="00351272">
      <w:pPr>
        <w:pStyle w:val="paragraph"/>
      </w:pPr>
      <w:r w:rsidRPr="000C6BF8">
        <w:tab/>
        <w:t>(c)</w:t>
      </w:r>
      <w:r w:rsidRPr="000C6BF8">
        <w:tab/>
        <w:t>removal, relocation and family reunion assistance provided under Part 7;</w:t>
      </w:r>
    </w:p>
    <w:p w14:paraId="283EA778" w14:textId="77777777" w:rsidR="00351272" w:rsidRPr="000C6BF8" w:rsidRDefault="00351272" w:rsidP="00351272">
      <w:pPr>
        <w:pStyle w:val="paragraph"/>
      </w:pPr>
      <w:r w:rsidRPr="000C6BF8">
        <w:tab/>
        <w:t>(d)</w:t>
      </w:r>
      <w:r w:rsidRPr="000C6BF8">
        <w:tab/>
        <w:t>travel expenses and allowances under the official travel determination;</w:t>
      </w:r>
    </w:p>
    <w:p w14:paraId="06AB7BDE" w14:textId="77777777" w:rsidR="00351272" w:rsidRPr="000C6BF8" w:rsidRDefault="00351272" w:rsidP="00351272">
      <w:pPr>
        <w:pStyle w:val="paragraph"/>
      </w:pPr>
      <w:r w:rsidRPr="000C6BF8">
        <w:tab/>
        <w:t>(e)</w:t>
      </w:r>
      <w:r w:rsidRPr="000C6BF8">
        <w:tab/>
        <w:t>the value of any other benefits provided by the Commonwealth that the Tribunal determines should not be taken to be part of the total remuneration.</w:t>
      </w:r>
    </w:p>
    <w:p w14:paraId="7BBB9BE2" w14:textId="77777777" w:rsidR="00351272" w:rsidRPr="000C6BF8" w:rsidRDefault="00351272" w:rsidP="00351272">
      <w:pPr>
        <w:pStyle w:val="ActHead5"/>
      </w:pPr>
      <w:bookmarkStart w:id="11" w:name="_Toc200718618"/>
      <w:r w:rsidRPr="00D7332E">
        <w:rPr>
          <w:rStyle w:val="CharSectno"/>
        </w:rPr>
        <w:lastRenderedPageBreak/>
        <w:t>10</w:t>
      </w:r>
      <w:r w:rsidRPr="000C6BF8">
        <w:t xml:space="preserve">  Entitlements or conditions under other laws</w:t>
      </w:r>
      <w:bookmarkEnd w:id="11"/>
    </w:p>
    <w:p w14:paraId="67581BB2" w14:textId="77777777" w:rsidR="00351272" w:rsidRPr="000C6BF8" w:rsidRDefault="00351272" w:rsidP="00351272">
      <w:pPr>
        <w:pStyle w:val="subsection"/>
      </w:pPr>
      <w:r w:rsidRPr="000C6BF8">
        <w:tab/>
      </w:r>
      <w:r w:rsidRPr="000C6BF8">
        <w:tab/>
        <w:t>The provisions of this instrument are additional to and subject to any applicable statutory entitlements or conditions, including entitlements or conditions provided for by the following Acts and by instruments made under those Acts:</w:t>
      </w:r>
    </w:p>
    <w:p w14:paraId="3A2B5966" w14:textId="77777777" w:rsidR="00351272" w:rsidRPr="000C6BF8" w:rsidRDefault="00351272" w:rsidP="00351272">
      <w:pPr>
        <w:pStyle w:val="paragraph"/>
      </w:pPr>
      <w:r w:rsidRPr="000C6BF8">
        <w:tab/>
        <w:t>(a)</w:t>
      </w:r>
      <w:r w:rsidRPr="000C6BF8">
        <w:tab/>
        <w:t xml:space="preserve">the </w:t>
      </w:r>
      <w:r w:rsidRPr="000C6BF8">
        <w:rPr>
          <w:i/>
        </w:rPr>
        <w:t>Fair Work Act 2009</w:t>
      </w:r>
      <w:r w:rsidRPr="000C6BF8">
        <w:t>;</w:t>
      </w:r>
    </w:p>
    <w:p w14:paraId="2C1180D0" w14:textId="77777777" w:rsidR="00351272" w:rsidRPr="000C6BF8" w:rsidRDefault="00351272" w:rsidP="00351272">
      <w:pPr>
        <w:pStyle w:val="paragraph"/>
      </w:pPr>
      <w:r w:rsidRPr="000C6BF8">
        <w:tab/>
        <w:t>(b)</w:t>
      </w:r>
      <w:r w:rsidRPr="000C6BF8">
        <w:tab/>
        <w:t xml:space="preserve">the </w:t>
      </w:r>
      <w:r w:rsidRPr="000C6BF8">
        <w:rPr>
          <w:i/>
        </w:rPr>
        <w:t>Long Service Leave (Commonwealth Employees) Act 1976</w:t>
      </w:r>
      <w:r w:rsidRPr="000C6BF8">
        <w:t>;</w:t>
      </w:r>
    </w:p>
    <w:p w14:paraId="36876E79" w14:textId="77777777" w:rsidR="00351272" w:rsidRPr="000C6BF8" w:rsidRDefault="00351272" w:rsidP="00351272">
      <w:pPr>
        <w:pStyle w:val="paragraph"/>
      </w:pPr>
      <w:r w:rsidRPr="000C6BF8">
        <w:tab/>
        <w:t>(c)</w:t>
      </w:r>
      <w:r w:rsidRPr="000C6BF8">
        <w:tab/>
        <w:t xml:space="preserve">the </w:t>
      </w:r>
      <w:r w:rsidRPr="000C6BF8">
        <w:rPr>
          <w:i/>
        </w:rPr>
        <w:t>Maternity Leave (Commonwealth Employees) Act 1973</w:t>
      </w:r>
      <w:r w:rsidRPr="000C6BF8">
        <w:t>;</w:t>
      </w:r>
    </w:p>
    <w:p w14:paraId="04A5F9AB" w14:textId="77777777" w:rsidR="00351272" w:rsidRPr="000C6BF8" w:rsidRDefault="00351272" w:rsidP="00351272">
      <w:pPr>
        <w:pStyle w:val="paragraph"/>
      </w:pPr>
      <w:r w:rsidRPr="000C6BF8">
        <w:tab/>
        <w:t>(d)</w:t>
      </w:r>
      <w:r w:rsidRPr="000C6BF8">
        <w:tab/>
        <w:t xml:space="preserve">the </w:t>
      </w:r>
      <w:r w:rsidRPr="000C6BF8">
        <w:rPr>
          <w:i/>
        </w:rPr>
        <w:t>Public Governance, Performance and Accountability Act 2013</w:t>
      </w:r>
      <w:r w:rsidRPr="000C6BF8">
        <w:t>;</w:t>
      </w:r>
    </w:p>
    <w:p w14:paraId="6E67C333" w14:textId="77777777" w:rsidR="00351272" w:rsidRPr="000C6BF8" w:rsidRDefault="00351272" w:rsidP="00351272">
      <w:pPr>
        <w:pStyle w:val="paragraph"/>
      </w:pPr>
      <w:r w:rsidRPr="000C6BF8">
        <w:tab/>
        <w:t>(e)</w:t>
      </w:r>
      <w:r w:rsidRPr="000C6BF8">
        <w:tab/>
        <w:t xml:space="preserve">the </w:t>
      </w:r>
      <w:r w:rsidRPr="000C6BF8">
        <w:rPr>
          <w:i/>
        </w:rPr>
        <w:t>Public Service Act 1999</w:t>
      </w:r>
      <w:r w:rsidRPr="000C6BF8">
        <w:t>;</w:t>
      </w:r>
    </w:p>
    <w:p w14:paraId="1DB87091" w14:textId="77777777" w:rsidR="00351272" w:rsidRPr="000C6BF8" w:rsidRDefault="00351272" w:rsidP="00351272">
      <w:pPr>
        <w:pStyle w:val="paragraph"/>
      </w:pPr>
      <w:r w:rsidRPr="000C6BF8">
        <w:tab/>
        <w:t>(f)</w:t>
      </w:r>
      <w:r w:rsidRPr="000C6BF8">
        <w:tab/>
        <w:t xml:space="preserve">the </w:t>
      </w:r>
      <w:r w:rsidRPr="000C6BF8">
        <w:rPr>
          <w:i/>
        </w:rPr>
        <w:t>Safety, Rehabilitation and Compensation Act 1988</w:t>
      </w:r>
      <w:r w:rsidRPr="000C6BF8">
        <w:t>;</w:t>
      </w:r>
    </w:p>
    <w:p w14:paraId="47C33A06" w14:textId="77777777" w:rsidR="00351272" w:rsidRPr="000C6BF8" w:rsidRDefault="00351272" w:rsidP="00351272">
      <w:pPr>
        <w:pStyle w:val="paragraph"/>
      </w:pPr>
      <w:r w:rsidRPr="000C6BF8">
        <w:tab/>
        <w:t>(g)</w:t>
      </w:r>
      <w:r w:rsidRPr="000C6BF8">
        <w:tab/>
        <w:t xml:space="preserve">the </w:t>
      </w:r>
      <w:r w:rsidRPr="000C6BF8">
        <w:rPr>
          <w:i/>
        </w:rPr>
        <w:t>Superannuation Act 1976</w:t>
      </w:r>
      <w:r w:rsidRPr="000C6BF8">
        <w:t>;</w:t>
      </w:r>
    </w:p>
    <w:p w14:paraId="2795DFBB" w14:textId="77777777" w:rsidR="00351272" w:rsidRPr="000C6BF8" w:rsidRDefault="00351272" w:rsidP="00351272">
      <w:pPr>
        <w:pStyle w:val="paragraph"/>
      </w:pPr>
      <w:r w:rsidRPr="000C6BF8">
        <w:tab/>
        <w:t>(h)</w:t>
      </w:r>
      <w:r w:rsidRPr="000C6BF8">
        <w:tab/>
        <w:t xml:space="preserve">the </w:t>
      </w:r>
      <w:r w:rsidRPr="000C6BF8">
        <w:rPr>
          <w:i/>
        </w:rPr>
        <w:t>Superannuation Act 1990</w:t>
      </w:r>
      <w:r w:rsidRPr="000C6BF8">
        <w:t>;</w:t>
      </w:r>
    </w:p>
    <w:p w14:paraId="3BB4E3D2" w14:textId="77777777" w:rsidR="00351272" w:rsidRPr="000C6BF8" w:rsidRDefault="00351272" w:rsidP="00351272">
      <w:pPr>
        <w:pStyle w:val="paragraph"/>
      </w:pPr>
      <w:r w:rsidRPr="000C6BF8">
        <w:tab/>
        <w:t>(i)</w:t>
      </w:r>
      <w:r w:rsidRPr="000C6BF8">
        <w:tab/>
        <w:t xml:space="preserve">the </w:t>
      </w:r>
      <w:r w:rsidRPr="000C6BF8">
        <w:rPr>
          <w:i/>
        </w:rPr>
        <w:t>Superannuation Act 2005</w:t>
      </w:r>
      <w:r w:rsidRPr="000C6BF8">
        <w:t>;</w:t>
      </w:r>
    </w:p>
    <w:p w14:paraId="2594D5CB" w14:textId="77777777" w:rsidR="00351272" w:rsidRPr="000C6BF8" w:rsidRDefault="00351272" w:rsidP="00351272">
      <w:pPr>
        <w:pStyle w:val="paragraph"/>
      </w:pPr>
      <w:r w:rsidRPr="000C6BF8">
        <w:tab/>
        <w:t>(j)</w:t>
      </w:r>
      <w:r w:rsidRPr="000C6BF8">
        <w:tab/>
        <w:t xml:space="preserve">the </w:t>
      </w:r>
      <w:r w:rsidRPr="000C6BF8">
        <w:rPr>
          <w:i/>
        </w:rPr>
        <w:t>Superannuation Benefits (Supervisory Mechanisms) Act 1990</w:t>
      </w:r>
      <w:r w:rsidRPr="000C6BF8">
        <w:t>;</w:t>
      </w:r>
    </w:p>
    <w:p w14:paraId="59DA92CE" w14:textId="77777777" w:rsidR="00351272" w:rsidRPr="000C6BF8" w:rsidRDefault="00351272" w:rsidP="00351272">
      <w:pPr>
        <w:pStyle w:val="paragraph"/>
      </w:pPr>
      <w:r w:rsidRPr="000C6BF8">
        <w:tab/>
        <w:t>(k)</w:t>
      </w:r>
      <w:r w:rsidRPr="000C6BF8">
        <w:tab/>
        <w:t xml:space="preserve">the </w:t>
      </w:r>
      <w:r w:rsidRPr="000C6BF8">
        <w:rPr>
          <w:i/>
        </w:rPr>
        <w:t>Superannuation (Productivity Benefit) Act 1988</w:t>
      </w:r>
      <w:r w:rsidRPr="000C6BF8">
        <w:t>;</w:t>
      </w:r>
    </w:p>
    <w:p w14:paraId="313EBC4F" w14:textId="77777777" w:rsidR="00351272" w:rsidRPr="000C6BF8" w:rsidRDefault="00351272" w:rsidP="00351272">
      <w:pPr>
        <w:pStyle w:val="paragraph"/>
      </w:pPr>
      <w:r w:rsidRPr="000C6BF8">
        <w:tab/>
        <w:t>(l)</w:t>
      </w:r>
      <w:r w:rsidRPr="000C6BF8">
        <w:tab/>
        <w:t xml:space="preserve">the </w:t>
      </w:r>
      <w:r w:rsidRPr="000C6BF8">
        <w:rPr>
          <w:i/>
        </w:rPr>
        <w:t>Work Health and Safety Act 2011</w:t>
      </w:r>
      <w:r w:rsidRPr="000C6BF8">
        <w:t>.</w:t>
      </w:r>
    </w:p>
    <w:p w14:paraId="4ECAE383" w14:textId="77777777" w:rsidR="00351272" w:rsidRPr="000C6BF8" w:rsidRDefault="00351272" w:rsidP="00351272">
      <w:pPr>
        <w:pStyle w:val="ActHead2"/>
        <w:pageBreakBefore/>
      </w:pPr>
      <w:bookmarkStart w:id="12" w:name="_Toc200718619"/>
      <w:r w:rsidRPr="00D7332E">
        <w:rPr>
          <w:rStyle w:val="CharPartNo"/>
        </w:rPr>
        <w:lastRenderedPageBreak/>
        <w:t>Part 2</w:t>
      </w:r>
      <w:r w:rsidRPr="000C6BF8">
        <w:t>—</w:t>
      </w:r>
      <w:r w:rsidRPr="00D7332E">
        <w:rPr>
          <w:rStyle w:val="CharPartText"/>
        </w:rPr>
        <w:t>Classification, remuneration and related matters</w:t>
      </w:r>
      <w:bookmarkEnd w:id="12"/>
    </w:p>
    <w:p w14:paraId="5886F700"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4CBE8FBE" w14:textId="77777777" w:rsidR="00351272" w:rsidRPr="000C6BF8" w:rsidRDefault="00351272" w:rsidP="00351272">
      <w:pPr>
        <w:pStyle w:val="ActHead5"/>
      </w:pPr>
      <w:bookmarkStart w:id="13" w:name="_Toc200718620"/>
      <w:r w:rsidRPr="00D7332E">
        <w:rPr>
          <w:rStyle w:val="CharSectno"/>
        </w:rPr>
        <w:t>11</w:t>
      </w:r>
      <w:r w:rsidRPr="000C6BF8">
        <w:t xml:space="preserve">  Classification structure</w:t>
      </w:r>
      <w:bookmarkEnd w:id="13"/>
    </w:p>
    <w:p w14:paraId="459D5692" w14:textId="77777777" w:rsidR="00351272" w:rsidRPr="000C6BF8" w:rsidRDefault="00351272" w:rsidP="00351272">
      <w:pPr>
        <w:pStyle w:val="subsection"/>
      </w:pPr>
      <w:r w:rsidRPr="000C6BF8">
        <w:tab/>
        <w:t>(1)</w:t>
      </w:r>
      <w:r w:rsidRPr="000C6BF8">
        <w:tab/>
        <w:t>The following table (</w:t>
      </w:r>
      <w:r w:rsidRPr="000C6BF8">
        <w:rPr>
          <w:b/>
          <w:i/>
        </w:rPr>
        <w:t>Table 2A</w:t>
      </w:r>
      <w:r w:rsidRPr="000C6BF8">
        <w:t>) sets out:</w:t>
      </w:r>
    </w:p>
    <w:p w14:paraId="400F041E" w14:textId="77777777" w:rsidR="00351272" w:rsidRPr="000C6BF8" w:rsidRDefault="00351272" w:rsidP="00351272">
      <w:pPr>
        <w:pStyle w:val="paragraph"/>
      </w:pPr>
      <w:r w:rsidRPr="000C6BF8">
        <w:tab/>
        <w:t>(a)</w:t>
      </w:r>
      <w:r w:rsidRPr="000C6BF8">
        <w:tab/>
        <w:t>for the purposes of subsection 13(1) of the Act, the classification structure for offices of Departmental Secretary; and</w:t>
      </w:r>
    </w:p>
    <w:p w14:paraId="1B1DCE04" w14:textId="77777777" w:rsidR="00351272" w:rsidRPr="000C6BF8" w:rsidRDefault="00351272" w:rsidP="00351272">
      <w:pPr>
        <w:pStyle w:val="paragraph"/>
      </w:pPr>
      <w:r w:rsidRPr="000C6BF8">
        <w:tab/>
        <w:t>(b)</w:t>
      </w:r>
      <w:r w:rsidRPr="000C6BF8">
        <w:tab/>
        <w:t>the total remuneration, per year, for each level and pay point in the classification structure.</w:t>
      </w:r>
    </w:p>
    <w:p w14:paraId="61751E22" w14:textId="77777777" w:rsidR="00351272" w:rsidRPr="000C6BF8" w:rsidRDefault="00351272" w:rsidP="0035127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4643"/>
        <w:gridCol w:w="1844"/>
        <w:gridCol w:w="2042"/>
      </w:tblGrid>
      <w:tr w:rsidR="00351272" w:rsidRPr="000C6BF8" w14:paraId="5FD6CD45" w14:textId="77777777" w:rsidTr="00023904">
        <w:trPr>
          <w:tblHeader/>
        </w:trPr>
        <w:tc>
          <w:tcPr>
            <w:tcW w:w="3803" w:type="pct"/>
            <w:gridSpan w:val="2"/>
            <w:tcBorders>
              <w:top w:val="single" w:sz="12" w:space="0" w:color="auto"/>
              <w:bottom w:val="single" w:sz="6" w:space="0" w:color="auto"/>
            </w:tcBorders>
          </w:tcPr>
          <w:p w14:paraId="6511DE68" w14:textId="77777777" w:rsidR="00351272" w:rsidRPr="000C6BF8" w:rsidRDefault="00351272" w:rsidP="00023904">
            <w:pPr>
              <w:pStyle w:val="TableHeading"/>
            </w:pPr>
            <w:r w:rsidRPr="000C6BF8">
              <w:t>Table 2A—Classification structure</w:t>
            </w:r>
          </w:p>
        </w:tc>
        <w:tc>
          <w:tcPr>
            <w:tcW w:w="1197" w:type="pct"/>
            <w:tcBorders>
              <w:top w:val="single" w:sz="12" w:space="0" w:color="auto"/>
              <w:bottom w:val="single" w:sz="6" w:space="0" w:color="auto"/>
            </w:tcBorders>
          </w:tcPr>
          <w:p w14:paraId="798E36BC" w14:textId="77777777" w:rsidR="00351272" w:rsidRPr="000C6BF8" w:rsidRDefault="00351272" w:rsidP="00023904">
            <w:pPr>
              <w:pStyle w:val="TableHeading"/>
            </w:pPr>
          </w:p>
        </w:tc>
      </w:tr>
      <w:tr w:rsidR="00351272" w:rsidRPr="000C6BF8" w14:paraId="18504837" w14:textId="77777777" w:rsidTr="00023904">
        <w:trPr>
          <w:tblHeader/>
        </w:trPr>
        <w:tc>
          <w:tcPr>
            <w:tcW w:w="2722" w:type="pct"/>
            <w:tcBorders>
              <w:top w:val="single" w:sz="6" w:space="0" w:color="auto"/>
              <w:bottom w:val="single" w:sz="12" w:space="0" w:color="auto"/>
            </w:tcBorders>
          </w:tcPr>
          <w:p w14:paraId="4E8DBD63" w14:textId="77777777" w:rsidR="00351272" w:rsidRPr="000C6BF8" w:rsidRDefault="00351272" w:rsidP="00023904">
            <w:pPr>
              <w:pStyle w:val="TableHeading"/>
            </w:pPr>
            <w:r w:rsidRPr="000C6BF8">
              <w:t>Column 1</w:t>
            </w:r>
          </w:p>
          <w:p w14:paraId="2EA75954" w14:textId="77777777" w:rsidR="00351272" w:rsidRPr="000C6BF8" w:rsidRDefault="00351272" w:rsidP="00023904">
            <w:pPr>
              <w:pStyle w:val="TableHeading"/>
            </w:pPr>
            <w:r w:rsidRPr="000C6BF8">
              <w:t>Level</w:t>
            </w:r>
          </w:p>
        </w:tc>
        <w:tc>
          <w:tcPr>
            <w:tcW w:w="1081" w:type="pct"/>
            <w:tcBorders>
              <w:top w:val="single" w:sz="6" w:space="0" w:color="auto"/>
              <w:bottom w:val="single" w:sz="12" w:space="0" w:color="auto"/>
            </w:tcBorders>
          </w:tcPr>
          <w:p w14:paraId="651AC79A" w14:textId="77777777" w:rsidR="00351272" w:rsidRPr="000C6BF8" w:rsidRDefault="00351272" w:rsidP="00023904">
            <w:pPr>
              <w:pStyle w:val="TableHeading"/>
            </w:pPr>
            <w:r w:rsidRPr="000C6BF8">
              <w:t>Column 2</w:t>
            </w:r>
          </w:p>
          <w:p w14:paraId="4F6841DA" w14:textId="77777777" w:rsidR="00351272" w:rsidRPr="000C6BF8" w:rsidRDefault="00351272" w:rsidP="00023904">
            <w:pPr>
              <w:pStyle w:val="TableHeading"/>
            </w:pPr>
            <w:r w:rsidRPr="000C6BF8">
              <w:t>Pay point</w:t>
            </w:r>
          </w:p>
        </w:tc>
        <w:tc>
          <w:tcPr>
            <w:tcW w:w="1197" w:type="pct"/>
            <w:tcBorders>
              <w:top w:val="single" w:sz="6" w:space="0" w:color="auto"/>
              <w:bottom w:val="single" w:sz="12" w:space="0" w:color="auto"/>
            </w:tcBorders>
          </w:tcPr>
          <w:p w14:paraId="6DB3190A" w14:textId="77777777" w:rsidR="00351272" w:rsidRPr="000C6BF8" w:rsidRDefault="00351272" w:rsidP="00023904">
            <w:pPr>
              <w:pStyle w:val="TableHeading"/>
              <w:jc w:val="right"/>
            </w:pPr>
            <w:r w:rsidRPr="000C6BF8">
              <w:t>Column 3</w:t>
            </w:r>
          </w:p>
          <w:p w14:paraId="0AD49477" w14:textId="77777777" w:rsidR="00351272" w:rsidRPr="000C6BF8" w:rsidRDefault="00351272" w:rsidP="00023904">
            <w:pPr>
              <w:pStyle w:val="TableHeading"/>
              <w:jc w:val="right"/>
            </w:pPr>
            <w:r w:rsidRPr="000C6BF8">
              <w:t>Total remuneration (per year)</w:t>
            </w:r>
          </w:p>
        </w:tc>
      </w:tr>
      <w:tr w:rsidR="00AD216F" w:rsidRPr="000C6BF8" w14:paraId="242D4754" w14:textId="77777777" w:rsidTr="000E4D35">
        <w:tc>
          <w:tcPr>
            <w:tcW w:w="2722" w:type="pct"/>
            <w:tcBorders>
              <w:top w:val="single" w:sz="12" w:space="0" w:color="auto"/>
            </w:tcBorders>
            <w:vAlign w:val="center"/>
          </w:tcPr>
          <w:p w14:paraId="5AEF152F" w14:textId="77777777" w:rsidR="00AD216F" w:rsidRPr="000C6BF8" w:rsidRDefault="00AD216F" w:rsidP="00AD216F">
            <w:pPr>
              <w:pStyle w:val="Tabletext"/>
            </w:pPr>
            <w:r w:rsidRPr="000C6BF8">
              <w:t>Level 1 (the Prime Minister and Cabinet)</w:t>
            </w:r>
          </w:p>
        </w:tc>
        <w:tc>
          <w:tcPr>
            <w:tcW w:w="1081" w:type="pct"/>
            <w:tcBorders>
              <w:top w:val="single" w:sz="12" w:space="0" w:color="auto"/>
            </w:tcBorders>
            <w:vAlign w:val="center"/>
          </w:tcPr>
          <w:p w14:paraId="210C968D" w14:textId="77777777" w:rsidR="00AD216F" w:rsidRPr="000C6BF8" w:rsidRDefault="00AD216F" w:rsidP="00AD216F">
            <w:pPr>
              <w:pStyle w:val="Tabletext"/>
            </w:pPr>
          </w:p>
        </w:tc>
        <w:tc>
          <w:tcPr>
            <w:tcW w:w="1197" w:type="pct"/>
            <w:tcBorders>
              <w:top w:val="single" w:sz="12" w:space="0" w:color="auto"/>
            </w:tcBorders>
            <w:vAlign w:val="bottom"/>
          </w:tcPr>
          <w:p w14:paraId="7AF856F7" w14:textId="7257B152" w:rsidR="00AD216F" w:rsidRPr="000C6BF8" w:rsidRDefault="00AD216F" w:rsidP="00AD216F">
            <w:pPr>
              <w:pStyle w:val="Tabletext"/>
            </w:pPr>
            <w:r w:rsidRPr="000C6BF8">
              <w:t>$1,035,690</w:t>
            </w:r>
          </w:p>
        </w:tc>
      </w:tr>
      <w:tr w:rsidR="00AD216F" w:rsidRPr="000C6BF8" w14:paraId="5CBCEE54" w14:textId="77777777" w:rsidTr="000E4D35">
        <w:tc>
          <w:tcPr>
            <w:tcW w:w="2722" w:type="pct"/>
            <w:vAlign w:val="center"/>
          </w:tcPr>
          <w:p w14:paraId="78163642" w14:textId="77777777" w:rsidR="00AD216F" w:rsidRPr="000C6BF8" w:rsidRDefault="00AD216F" w:rsidP="00AD216F">
            <w:pPr>
              <w:pStyle w:val="Tabletext"/>
            </w:pPr>
            <w:r w:rsidRPr="000C6BF8">
              <w:t>Level 2 (the Treasury)</w:t>
            </w:r>
          </w:p>
        </w:tc>
        <w:tc>
          <w:tcPr>
            <w:tcW w:w="1081" w:type="pct"/>
            <w:vAlign w:val="center"/>
          </w:tcPr>
          <w:p w14:paraId="072C6C87" w14:textId="77777777" w:rsidR="00AD216F" w:rsidRPr="000C6BF8" w:rsidRDefault="00AD216F" w:rsidP="00AD216F">
            <w:pPr>
              <w:pStyle w:val="Tabletext"/>
            </w:pPr>
          </w:p>
        </w:tc>
        <w:tc>
          <w:tcPr>
            <w:tcW w:w="1197" w:type="pct"/>
            <w:vAlign w:val="bottom"/>
          </w:tcPr>
          <w:p w14:paraId="4E4C35E8" w14:textId="4574FA67" w:rsidR="00AD216F" w:rsidRPr="000C6BF8" w:rsidRDefault="00AD216F" w:rsidP="00AD216F">
            <w:pPr>
              <w:pStyle w:val="Tabletext"/>
            </w:pPr>
            <w:r w:rsidRPr="000C6BF8">
              <w:t>$1,009,790</w:t>
            </w:r>
          </w:p>
        </w:tc>
      </w:tr>
      <w:tr w:rsidR="00AD216F" w:rsidRPr="000C6BF8" w14:paraId="7136B7E9" w14:textId="77777777" w:rsidTr="000E4D35">
        <w:tc>
          <w:tcPr>
            <w:tcW w:w="2722" w:type="pct"/>
            <w:vAlign w:val="center"/>
          </w:tcPr>
          <w:p w14:paraId="570FFFAE" w14:textId="77777777" w:rsidR="00AD216F" w:rsidRPr="000C6BF8" w:rsidRDefault="00AD216F" w:rsidP="00AD216F">
            <w:pPr>
              <w:pStyle w:val="Tabletext"/>
            </w:pPr>
            <w:r w:rsidRPr="000C6BF8">
              <w:t>Level 3</w:t>
            </w:r>
          </w:p>
        </w:tc>
        <w:tc>
          <w:tcPr>
            <w:tcW w:w="1081" w:type="pct"/>
            <w:vAlign w:val="center"/>
          </w:tcPr>
          <w:p w14:paraId="1BD09705" w14:textId="77777777" w:rsidR="00AD216F" w:rsidRPr="000C6BF8" w:rsidRDefault="00AD216F" w:rsidP="00AD216F">
            <w:pPr>
              <w:pStyle w:val="Tabletext"/>
            </w:pPr>
            <w:r w:rsidRPr="000C6BF8">
              <w:t>1</w:t>
            </w:r>
          </w:p>
        </w:tc>
        <w:tc>
          <w:tcPr>
            <w:tcW w:w="1197" w:type="pct"/>
            <w:vAlign w:val="bottom"/>
          </w:tcPr>
          <w:p w14:paraId="2C3E685E" w14:textId="13191F17" w:rsidR="00AD216F" w:rsidRPr="000C6BF8" w:rsidRDefault="00AD216F" w:rsidP="00AD216F">
            <w:pPr>
              <w:pStyle w:val="Tabletext"/>
            </w:pPr>
            <w:r w:rsidRPr="000C6BF8">
              <w:t>$983,910</w:t>
            </w:r>
          </w:p>
        </w:tc>
      </w:tr>
      <w:tr w:rsidR="00AD216F" w:rsidRPr="000C6BF8" w14:paraId="2FCCE1C6" w14:textId="77777777" w:rsidTr="000E4D35">
        <w:tc>
          <w:tcPr>
            <w:tcW w:w="2722" w:type="pct"/>
            <w:vAlign w:val="center"/>
          </w:tcPr>
          <w:p w14:paraId="5B3A56B6" w14:textId="77777777" w:rsidR="00AD216F" w:rsidRPr="000C6BF8" w:rsidRDefault="00AD216F" w:rsidP="00AD216F">
            <w:pPr>
              <w:pStyle w:val="Tabletext"/>
            </w:pPr>
            <w:r w:rsidRPr="000C6BF8">
              <w:t>Level 3</w:t>
            </w:r>
          </w:p>
        </w:tc>
        <w:tc>
          <w:tcPr>
            <w:tcW w:w="1081" w:type="pct"/>
            <w:vAlign w:val="center"/>
          </w:tcPr>
          <w:p w14:paraId="681D61B3" w14:textId="77777777" w:rsidR="00AD216F" w:rsidRPr="000C6BF8" w:rsidRDefault="00AD216F" w:rsidP="00AD216F">
            <w:pPr>
              <w:pStyle w:val="Tabletext"/>
            </w:pPr>
            <w:r w:rsidRPr="000C6BF8">
              <w:t>2</w:t>
            </w:r>
          </w:p>
        </w:tc>
        <w:tc>
          <w:tcPr>
            <w:tcW w:w="1197" w:type="pct"/>
            <w:vAlign w:val="bottom"/>
          </w:tcPr>
          <w:p w14:paraId="4A3A0B36" w14:textId="0343CC9D" w:rsidR="00AD216F" w:rsidRPr="000C6BF8" w:rsidRDefault="00AD216F" w:rsidP="00AD216F">
            <w:pPr>
              <w:pStyle w:val="Tabletext"/>
            </w:pPr>
            <w:r w:rsidRPr="000C6BF8">
              <w:t>$932,120</w:t>
            </w:r>
          </w:p>
        </w:tc>
      </w:tr>
      <w:tr w:rsidR="00AD216F" w:rsidRPr="000C6BF8" w14:paraId="495ECCE5" w14:textId="77777777" w:rsidTr="000E4D35">
        <w:tc>
          <w:tcPr>
            <w:tcW w:w="2722" w:type="pct"/>
            <w:vAlign w:val="center"/>
          </w:tcPr>
          <w:p w14:paraId="61FE2386" w14:textId="77777777" w:rsidR="00AD216F" w:rsidRPr="000C6BF8" w:rsidRDefault="00AD216F" w:rsidP="00AD216F">
            <w:pPr>
              <w:pStyle w:val="Tabletext"/>
            </w:pPr>
            <w:r w:rsidRPr="000C6BF8">
              <w:t>Level 4</w:t>
            </w:r>
          </w:p>
        </w:tc>
        <w:tc>
          <w:tcPr>
            <w:tcW w:w="1081" w:type="pct"/>
            <w:vAlign w:val="center"/>
          </w:tcPr>
          <w:p w14:paraId="6DA5A72A" w14:textId="77777777" w:rsidR="00AD216F" w:rsidRPr="000C6BF8" w:rsidRDefault="00AD216F" w:rsidP="00AD216F">
            <w:pPr>
              <w:pStyle w:val="Tabletext"/>
            </w:pPr>
            <w:r w:rsidRPr="000C6BF8">
              <w:t>1</w:t>
            </w:r>
          </w:p>
        </w:tc>
        <w:tc>
          <w:tcPr>
            <w:tcW w:w="1197" w:type="pct"/>
            <w:vAlign w:val="bottom"/>
          </w:tcPr>
          <w:p w14:paraId="070AEE26" w14:textId="27EDE616" w:rsidR="00AD216F" w:rsidRPr="000C6BF8" w:rsidRDefault="00AD216F" w:rsidP="00AD216F">
            <w:pPr>
              <w:pStyle w:val="Tabletext"/>
            </w:pPr>
            <w:r w:rsidRPr="000C6BF8">
              <w:t>$880,340</w:t>
            </w:r>
          </w:p>
        </w:tc>
      </w:tr>
      <w:tr w:rsidR="00AD216F" w:rsidRPr="000C6BF8" w14:paraId="055DC5A3" w14:textId="77777777" w:rsidTr="000E4D35">
        <w:tc>
          <w:tcPr>
            <w:tcW w:w="2722" w:type="pct"/>
            <w:tcBorders>
              <w:bottom w:val="single" w:sz="12" w:space="0" w:color="auto"/>
            </w:tcBorders>
            <w:vAlign w:val="center"/>
          </w:tcPr>
          <w:p w14:paraId="54E743A8" w14:textId="77777777" w:rsidR="00AD216F" w:rsidRPr="000C6BF8" w:rsidRDefault="00AD216F" w:rsidP="00AD216F">
            <w:pPr>
              <w:pStyle w:val="Tabletext"/>
            </w:pPr>
            <w:r w:rsidRPr="000C6BF8">
              <w:t>Level 4</w:t>
            </w:r>
          </w:p>
        </w:tc>
        <w:tc>
          <w:tcPr>
            <w:tcW w:w="1081" w:type="pct"/>
            <w:tcBorders>
              <w:bottom w:val="single" w:sz="12" w:space="0" w:color="auto"/>
            </w:tcBorders>
            <w:vAlign w:val="center"/>
          </w:tcPr>
          <w:p w14:paraId="471B7566" w14:textId="77777777" w:rsidR="00AD216F" w:rsidRPr="000C6BF8" w:rsidRDefault="00AD216F" w:rsidP="00AD216F">
            <w:pPr>
              <w:pStyle w:val="Tabletext"/>
            </w:pPr>
            <w:r w:rsidRPr="000C6BF8">
              <w:t>2</w:t>
            </w:r>
          </w:p>
        </w:tc>
        <w:tc>
          <w:tcPr>
            <w:tcW w:w="1197" w:type="pct"/>
            <w:tcBorders>
              <w:bottom w:val="single" w:sz="12" w:space="0" w:color="auto"/>
            </w:tcBorders>
            <w:vAlign w:val="bottom"/>
          </w:tcPr>
          <w:p w14:paraId="03739D14" w14:textId="6B734BCF" w:rsidR="00AD216F" w:rsidRPr="000C6BF8" w:rsidRDefault="00AD216F" w:rsidP="00AD216F">
            <w:pPr>
              <w:pStyle w:val="Tabletext"/>
            </w:pPr>
            <w:r w:rsidRPr="000C6BF8">
              <w:t>$828,550</w:t>
            </w:r>
          </w:p>
        </w:tc>
      </w:tr>
    </w:tbl>
    <w:p w14:paraId="7973A89F" w14:textId="77777777" w:rsidR="00351272" w:rsidRPr="000C6BF8" w:rsidRDefault="00351272" w:rsidP="00351272">
      <w:pPr>
        <w:pStyle w:val="Tabletext"/>
      </w:pPr>
    </w:p>
    <w:p w14:paraId="6518D49E" w14:textId="77777777" w:rsidR="00351272" w:rsidRPr="000C6BF8" w:rsidRDefault="00351272" w:rsidP="00351272">
      <w:pPr>
        <w:pStyle w:val="subsection"/>
      </w:pPr>
      <w:r w:rsidRPr="000C6BF8">
        <w:tab/>
        <w:t>(2)</w:t>
      </w:r>
      <w:r w:rsidRPr="000C6BF8">
        <w:tab/>
        <w:t>The following table (</w:t>
      </w:r>
      <w:r w:rsidRPr="000C6BF8">
        <w:rPr>
          <w:b/>
          <w:i/>
        </w:rPr>
        <w:t>Table 2B</w:t>
      </w:r>
      <w:r w:rsidRPr="000C6BF8">
        <w:t>) sets out the classification level to which each office of Secretary is assigned, by reference to the Department to which the office relates.</w:t>
      </w:r>
    </w:p>
    <w:p w14:paraId="04A1B128" w14:textId="77777777" w:rsidR="00351272" w:rsidRPr="000C6BF8" w:rsidRDefault="00351272" w:rsidP="0035127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3050"/>
        <w:gridCol w:w="5479"/>
      </w:tblGrid>
      <w:tr w:rsidR="00351272" w:rsidRPr="000C6BF8" w14:paraId="47273572" w14:textId="77777777" w:rsidTr="00023904">
        <w:trPr>
          <w:tblHeader/>
        </w:trPr>
        <w:tc>
          <w:tcPr>
            <w:tcW w:w="5000" w:type="pct"/>
            <w:gridSpan w:val="2"/>
            <w:tcBorders>
              <w:top w:val="single" w:sz="12" w:space="0" w:color="auto"/>
              <w:bottom w:val="single" w:sz="6" w:space="0" w:color="auto"/>
            </w:tcBorders>
          </w:tcPr>
          <w:p w14:paraId="4A15F365" w14:textId="77777777" w:rsidR="00351272" w:rsidRPr="000C6BF8" w:rsidRDefault="00351272" w:rsidP="00023904">
            <w:pPr>
              <w:pStyle w:val="TableHeading"/>
            </w:pPr>
            <w:r w:rsidRPr="000C6BF8">
              <w:t>Table 2B—Classification of offices of Secretary</w:t>
            </w:r>
          </w:p>
        </w:tc>
      </w:tr>
      <w:tr w:rsidR="00351272" w:rsidRPr="000C6BF8" w14:paraId="03C0E724" w14:textId="77777777" w:rsidTr="00023904">
        <w:trPr>
          <w:tblHeader/>
        </w:trPr>
        <w:tc>
          <w:tcPr>
            <w:tcW w:w="1788" w:type="pct"/>
            <w:tcBorders>
              <w:top w:val="single" w:sz="6" w:space="0" w:color="auto"/>
              <w:bottom w:val="single" w:sz="12" w:space="0" w:color="auto"/>
            </w:tcBorders>
          </w:tcPr>
          <w:p w14:paraId="463A2264" w14:textId="77777777" w:rsidR="00351272" w:rsidRPr="000C6BF8" w:rsidRDefault="00351272" w:rsidP="00023904">
            <w:pPr>
              <w:pStyle w:val="TableHeading"/>
            </w:pPr>
            <w:r w:rsidRPr="000C6BF8">
              <w:t>Level</w:t>
            </w:r>
          </w:p>
        </w:tc>
        <w:tc>
          <w:tcPr>
            <w:tcW w:w="3212" w:type="pct"/>
            <w:tcBorders>
              <w:top w:val="single" w:sz="6" w:space="0" w:color="auto"/>
              <w:bottom w:val="single" w:sz="12" w:space="0" w:color="auto"/>
            </w:tcBorders>
          </w:tcPr>
          <w:p w14:paraId="3F463736" w14:textId="77777777" w:rsidR="00351272" w:rsidRPr="000C6BF8" w:rsidRDefault="00351272" w:rsidP="00023904">
            <w:pPr>
              <w:pStyle w:val="TableHeading"/>
            </w:pPr>
            <w:r w:rsidRPr="000C6BF8">
              <w:t>Departments</w:t>
            </w:r>
          </w:p>
        </w:tc>
      </w:tr>
      <w:tr w:rsidR="00351272" w:rsidRPr="000C6BF8" w14:paraId="17F2037E" w14:textId="77777777" w:rsidTr="00023904">
        <w:tc>
          <w:tcPr>
            <w:tcW w:w="1788" w:type="pct"/>
            <w:tcBorders>
              <w:top w:val="single" w:sz="12" w:space="0" w:color="auto"/>
            </w:tcBorders>
          </w:tcPr>
          <w:p w14:paraId="1A6FFF5C" w14:textId="77777777" w:rsidR="00351272" w:rsidRPr="000C6BF8" w:rsidRDefault="00351272" w:rsidP="00023904">
            <w:pPr>
              <w:pStyle w:val="Tabletext"/>
            </w:pPr>
            <w:r w:rsidRPr="000C6BF8">
              <w:t>Level 1</w:t>
            </w:r>
          </w:p>
        </w:tc>
        <w:tc>
          <w:tcPr>
            <w:tcW w:w="3212" w:type="pct"/>
            <w:tcBorders>
              <w:top w:val="single" w:sz="12" w:space="0" w:color="auto"/>
            </w:tcBorders>
          </w:tcPr>
          <w:p w14:paraId="55A43780" w14:textId="77777777" w:rsidR="00351272" w:rsidRPr="000C6BF8" w:rsidRDefault="00351272" w:rsidP="00023904">
            <w:pPr>
              <w:pStyle w:val="Tabletext"/>
            </w:pPr>
            <w:r w:rsidRPr="000C6BF8">
              <w:t>The Prime Minister and Cabinet</w:t>
            </w:r>
          </w:p>
        </w:tc>
      </w:tr>
      <w:tr w:rsidR="00351272" w:rsidRPr="000C6BF8" w14:paraId="3BD0E4B5" w14:textId="77777777" w:rsidTr="00023904">
        <w:tc>
          <w:tcPr>
            <w:tcW w:w="1788" w:type="pct"/>
          </w:tcPr>
          <w:p w14:paraId="3A7CB205" w14:textId="77777777" w:rsidR="00351272" w:rsidRPr="000C6BF8" w:rsidRDefault="00351272" w:rsidP="00023904">
            <w:pPr>
              <w:pStyle w:val="Tabletext"/>
            </w:pPr>
            <w:r w:rsidRPr="000C6BF8">
              <w:t>Level 2</w:t>
            </w:r>
          </w:p>
        </w:tc>
        <w:tc>
          <w:tcPr>
            <w:tcW w:w="3212" w:type="pct"/>
          </w:tcPr>
          <w:p w14:paraId="5CC63AF6" w14:textId="77777777" w:rsidR="00351272" w:rsidRPr="000C6BF8" w:rsidRDefault="00351272" w:rsidP="00023904">
            <w:pPr>
              <w:pStyle w:val="Tabletext"/>
            </w:pPr>
            <w:r w:rsidRPr="000C6BF8">
              <w:t>The Treasury</w:t>
            </w:r>
          </w:p>
        </w:tc>
      </w:tr>
      <w:tr w:rsidR="00351272" w:rsidRPr="000C6BF8" w14:paraId="56CAB03E" w14:textId="77777777" w:rsidTr="00023904">
        <w:tc>
          <w:tcPr>
            <w:tcW w:w="1788" w:type="pct"/>
          </w:tcPr>
          <w:p w14:paraId="57E2B876" w14:textId="77777777" w:rsidR="00351272" w:rsidRPr="000C6BF8" w:rsidRDefault="00351272" w:rsidP="00023904">
            <w:pPr>
              <w:pStyle w:val="Tabletext"/>
            </w:pPr>
            <w:r w:rsidRPr="000C6BF8">
              <w:t>Level 3</w:t>
            </w:r>
          </w:p>
        </w:tc>
        <w:tc>
          <w:tcPr>
            <w:tcW w:w="3212" w:type="pct"/>
          </w:tcPr>
          <w:p w14:paraId="2FCB765D" w14:textId="77777777" w:rsidR="00351272" w:rsidRPr="000C6BF8" w:rsidRDefault="00351272" w:rsidP="00023904">
            <w:pPr>
              <w:pStyle w:val="Tablea"/>
            </w:pPr>
            <w:r w:rsidRPr="000C6BF8">
              <w:t>The following Departments:</w:t>
            </w:r>
          </w:p>
          <w:p w14:paraId="40B7F714" w14:textId="3FC972F0" w:rsidR="00721ABB" w:rsidRPr="000C6BF8" w:rsidRDefault="00351272" w:rsidP="00BF76DA">
            <w:pPr>
              <w:pStyle w:val="Tablea"/>
            </w:pPr>
            <w:r w:rsidRPr="000C6BF8">
              <w:t xml:space="preserve">(a) </w:t>
            </w:r>
            <w:r w:rsidR="00721ABB" w:rsidRPr="000C6BF8">
              <w:t>Agriculture, Fisheries and Forestry;</w:t>
            </w:r>
          </w:p>
          <w:p w14:paraId="6C8E9633" w14:textId="77777777" w:rsidR="00721ABB" w:rsidRPr="000C6BF8" w:rsidRDefault="00721ABB" w:rsidP="00BF76DA">
            <w:pPr>
              <w:pStyle w:val="Tablea"/>
            </w:pPr>
            <w:r w:rsidRPr="000C6BF8">
              <w:t>(b) Climate Change, Energy, the Environment and Water;</w:t>
            </w:r>
          </w:p>
          <w:p w14:paraId="35251DDC" w14:textId="77777777" w:rsidR="00721ABB" w:rsidRPr="000C6BF8" w:rsidRDefault="00721ABB" w:rsidP="00BF76DA">
            <w:pPr>
              <w:pStyle w:val="Tablea"/>
            </w:pPr>
            <w:r w:rsidRPr="000C6BF8">
              <w:t>(c) Defence;</w:t>
            </w:r>
          </w:p>
          <w:p w14:paraId="6BF75A29" w14:textId="77777777" w:rsidR="00721ABB" w:rsidRPr="000C6BF8" w:rsidRDefault="00721ABB" w:rsidP="00BF76DA">
            <w:pPr>
              <w:pStyle w:val="Tablea"/>
            </w:pPr>
            <w:r w:rsidRPr="000C6BF8">
              <w:t>(d) Education;</w:t>
            </w:r>
          </w:p>
          <w:p w14:paraId="0B4ABD8D" w14:textId="77777777" w:rsidR="00721ABB" w:rsidRPr="000C6BF8" w:rsidRDefault="00721ABB" w:rsidP="00BF76DA">
            <w:pPr>
              <w:pStyle w:val="Tablea"/>
            </w:pPr>
            <w:r w:rsidRPr="000C6BF8">
              <w:t>(e) Employment and Workplace Relations;</w:t>
            </w:r>
          </w:p>
          <w:p w14:paraId="4D567801" w14:textId="77777777" w:rsidR="00721ABB" w:rsidRPr="000C6BF8" w:rsidRDefault="00721ABB" w:rsidP="00BF76DA">
            <w:pPr>
              <w:pStyle w:val="Tablea"/>
            </w:pPr>
            <w:r w:rsidRPr="000C6BF8">
              <w:t>(f) Finance;</w:t>
            </w:r>
          </w:p>
          <w:p w14:paraId="09469788" w14:textId="77777777" w:rsidR="00721ABB" w:rsidRPr="000C6BF8" w:rsidRDefault="00721ABB" w:rsidP="00BF76DA">
            <w:pPr>
              <w:pStyle w:val="Tablea"/>
            </w:pPr>
            <w:r w:rsidRPr="000C6BF8">
              <w:t>(g) Foreign Affairs and Trade;</w:t>
            </w:r>
          </w:p>
          <w:p w14:paraId="742FF5B9" w14:textId="77777777" w:rsidR="00721ABB" w:rsidRPr="000C6BF8" w:rsidRDefault="00721ABB" w:rsidP="00BF76DA">
            <w:pPr>
              <w:pStyle w:val="Tablea"/>
            </w:pPr>
            <w:r w:rsidRPr="000C6BF8">
              <w:t>(h) Health, Disability and Ageing;</w:t>
            </w:r>
          </w:p>
          <w:p w14:paraId="6EF2B8AF" w14:textId="77777777" w:rsidR="00721ABB" w:rsidRPr="000C6BF8" w:rsidRDefault="00721ABB" w:rsidP="00BF76DA">
            <w:pPr>
              <w:pStyle w:val="Tablea"/>
            </w:pPr>
            <w:r w:rsidRPr="000C6BF8">
              <w:t>(i) Home Affairs;</w:t>
            </w:r>
          </w:p>
          <w:p w14:paraId="277536F9" w14:textId="70A402CA" w:rsidR="00351272" w:rsidRPr="000C6BF8" w:rsidRDefault="00721ABB" w:rsidP="00BF76DA">
            <w:pPr>
              <w:pStyle w:val="Tablea"/>
            </w:pPr>
            <w:r w:rsidRPr="000C6BF8">
              <w:t>(j) Infrastructure, Transport, Regional Development, Communications, Sport and the Arts</w:t>
            </w:r>
          </w:p>
        </w:tc>
      </w:tr>
      <w:tr w:rsidR="00351272" w:rsidRPr="000C6BF8" w14:paraId="499D4E8C" w14:textId="77777777" w:rsidTr="00023904">
        <w:tc>
          <w:tcPr>
            <w:tcW w:w="1788" w:type="pct"/>
            <w:tcBorders>
              <w:bottom w:val="single" w:sz="12" w:space="0" w:color="auto"/>
            </w:tcBorders>
          </w:tcPr>
          <w:p w14:paraId="38D826CC" w14:textId="77777777" w:rsidR="00351272" w:rsidRPr="000C6BF8" w:rsidRDefault="00351272" w:rsidP="00023904">
            <w:pPr>
              <w:pStyle w:val="Tabletext"/>
            </w:pPr>
            <w:r w:rsidRPr="000C6BF8">
              <w:t>Level 4</w:t>
            </w:r>
          </w:p>
        </w:tc>
        <w:tc>
          <w:tcPr>
            <w:tcW w:w="3212" w:type="pct"/>
            <w:tcBorders>
              <w:bottom w:val="single" w:sz="12" w:space="0" w:color="auto"/>
            </w:tcBorders>
          </w:tcPr>
          <w:p w14:paraId="575525A4" w14:textId="77777777" w:rsidR="00351272" w:rsidRPr="000C6BF8" w:rsidRDefault="00351272" w:rsidP="00023904">
            <w:pPr>
              <w:pStyle w:val="Tablea"/>
            </w:pPr>
            <w:r w:rsidRPr="000C6BF8">
              <w:t>The following Departments:</w:t>
            </w:r>
          </w:p>
          <w:p w14:paraId="0EC67C53" w14:textId="5675D061" w:rsidR="00BF76DA" w:rsidRPr="000C6BF8" w:rsidRDefault="00BF76DA" w:rsidP="00BF76DA">
            <w:pPr>
              <w:pStyle w:val="Tablea"/>
            </w:pPr>
            <w:r w:rsidRPr="000C6BF8">
              <w:lastRenderedPageBreak/>
              <w:t>(a) Attorney</w:t>
            </w:r>
            <w:r w:rsidR="000C6BF8">
              <w:noBreakHyphen/>
            </w:r>
            <w:r w:rsidRPr="000C6BF8">
              <w:t>General</w:t>
            </w:r>
            <w:r w:rsidR="00FC7480" w:rsidRPr="000C6BF8">
              <w:t>’</w:t>
            </w:r>
            <w:r w:rsidRPr="000C6BF8">
              <w:t>s;</w:t>
            </w:r>
          </w:p>
          <w:p w14:paraId="6F9C34CC" w14:textId="77777777" w:rsidR="00BF76DA" w:rsidRPr="000C6BF8" w:rsidRDefault="00BF76DA" w:rsidP="00BF76DA">
            <w:pPr>
              <w:pStyle w:val="Tablea"/>
            </w:pPr>
            <w:r w:rsidRPr="000C6BF8">
              <w:t>(b) Industry, Science and Resources;</w:t>
            </w:r>
          </w:p>
          <w:p w14:paraId="56A25C3C" w14:textId="77777777" w:rsidR="00BF76DA" w:rsidRPr="000C6BF8" w:rsidRDefault="00BF76DA" w:rsidP="00BF76DA">
            <w:pPr>
              <w:pStyle w:val="Tablea"/>
            </w:pPr>
            <w:r w:rsidRPr="000C6BF8">
              <w:t>(c) Social Services;</w:t>
            </w:r>
          </w:p>
          <w:p w14:paraId="124A5B4D" w14:textId="4F10B20A" w:rsidR="00BF76DA" w:rsidRPr="000C6BF8" w:rsidRDefault="00BF76DA" w:rsidP="00BF76DA">
            <w:pPr>
              <w:pStyle w:val="Tablea"/>
            </w:pPr>
            <w:r w:rsidRPr="000C6BF8">
              <w:t>(d) Veterans</w:t>
            </w:r>
            <w:r w:rsidR="00FC7480" w:rsidRPr="000C6BF8">
              <w:t>’</w:t>
            </w:r>
            <w:r w:rsidRPr="000C6BF8">
              <w:t xml:space="preserve"> Affairs</w:t>
            </w:r>
          </w:p>
        </w:tc>
      </w:tr>
    </w:tbl>
    <w:p w14:paraId="32DB25D4" w14:textId="77777777" w:rsidR="00351272" w:rsidRPr="000C6BF8" w:rsidRDefault="00351272" w:rsidP="00351272">
      <w:pPr>
        <w:pStyle w:val="Tabletext"/>
      </w:pPr>
    </w:p>
    <w:p w14:paraId="1C470F1C" w14:textId="77777777" w:rsidR="00351272" w:rsidRPr="000C6BF8" w:rsidRDefault="00351272" w:rsidP="00351272">
      <w:pPr>
        <w:pStyle w:val="subsection"/>
      </w:pPr>
      <w:r w:rsidRPr="000C6BF8">
        <w:tab/>
        <w:t>(3)</w:t>
      </w:r>
      <w:r w:rsidRPr="000C6BF8">
        <w:tab/>
        <w:t>A Secretary at level 1 or level 2 is entitled to the total remuneration specified for that level in Table 2A.</w:t>
      </w:r>
    </w:p>
    <w:p w14:paraId="6D1B5785" w14:textId="77777777" w:rsidR="00351272" w:rsidRPr="000C6BF8" w:rsidRDefault="00351272" w:rsidP="00351272">
      <w:pPr>
        <w:pStyle w:val="subsection"/>
      </w:pPr>
      <w:r w:rsidRPr="000C6BF8">
        <w:tab/>
        <w:t>(4)</w:t>
      </w:r>
      <w:r w:rsidRPr="000C6BF8">
        <w:tab/>
        <w:t>Subject to section 12, a Secretary at level 3 or level 4 is entitled to the total remuneration specified for the pay point to which the office is assigned by a pay point assignment.</w:t>
      </w:r>
    </w:p>
    <w:p w14:paraId="4CF98BEA" w14:textId="77777777" w:rsidR="00351272" w:rsidRPr="000C6BF8" w:rsidRDefault="00351272" w:rsidP="00351272">
      <w:pPr>
        <w:pStyle w:val="subsection"/>
      </w:pPr>
      <w:r w:rsidRPr="000C6BF8">
        <w:tab/>
        <w:t>(5)</w:t>
      </w:r>
      <w:r w:rsidRPr="000C6BF8">
        <w:tab/>
        <w:t>If a person is appointed to more than one office of Secretary at the same time, the person is entitled to the total remuneration specified for the highest of the pay points that would apply in relation to any of the appointments on its own.</w:t>
      </w:r>
    </w:p>
    <w:p w14:paraId="1C7980ED" w14:textId="77777777" w:rsidR="00351272" w:rsidRPr="000C6BF8" w:rsidRDefault="00351272" w:rsidP="00351272">
      <w:pPr>
        <w:pStyle w:val="subsection"/>
      </w:pPr>
      <w:r w:rsidRPr="000C6BF8">
        <w:tab/>
        <w:t>(6)</w:t>
      </w:r>
      <w:r w:rsidRPr="000C6BF8">
        <w:tab/>
        <w:t>If a person is appointed to an office of Secretary that does not appear in the classification in Table 2B, then, until Table 2B has been amended to include the office and a pay point assignment has been made for the office, the Secretary is entitled to:</w:t>
      </w:r>
    </w:p>
    <w:p w14:paraId="7C53D3AB" w14:textId="77777777" w:rsidR="00351272" w:rsidRPr="000C6BF8" w:rsidRDefault="00351272" w:rsidP="00351272">
      <w:pPr>
        <w:pStyle w:val="paragraph"/>
      </w:pPr>
      <w:r w:rsidRPr="000C6BF8">
        <w:tab/>
        <w:t>(a)</w:t>
      </w:r>
      <w:r w:rsidRPr="000C6BF8">
        <w:tab/>
        <w:t>if the Secretary has been transferred from another office of Secretary—the total remuneration specified for the pay point that applied to the person in the Secretary’s former office; or</w:t>
      </w:r>
    </w:p>
    <w:p w14:paraId="36EC4394" w14:textId="77777777" w:rsidR="00351272" w:rsidRPr="000C6BF8" w:rsidRDefault="00351272" w:rsidP="00351272">
      <w:pPr>
        <w:pStyle w:val="paragraph"/>
      </w:pPr>
      <w:r w:rsidRPr="000C6BF8">
        <w:tab/>
        <w:t>(b)</w:t>
      </w:r>
      <w:r w:rsidRPr="000C6BF8">
        <w:tab/>
        <w:t>in any other case—the total remuneration specified for the lowest pay point for level 4.</w:t>
      </w:r>
    </w:p>
    <w:p w14:paraId="20E9535E" w14:textId="77777777" w:rsidR="00351272" w:rsidRPr="000C6BF8" w:rsidRDefault="00351272" w:rsidP="00351272">
      <w:pPr>
        <w:pStyle w:val="ActHead5"/>
      </w:pPr>
      <w:bookmarkStart w:id="14" w:name="_Toc200718621"/>
      <w:r w:rsidRPr="00D7332E">
        <w:rPr>
          <w:rStyle w:val="CharSectno"/>
        </w:rPr>
        <w:t>12</w:t>
      </w:r>
      <w:r w:rsidRPr="000C6BF8">
        <w:t xml:space="preserve">  Pay point assignments</w:t>
      </w:r>
      <w:bookmarkEnd w:id="14"/>
    </w:p>
    <w:p w14:paraId="32300561" w14:textId="77777777" w:rsidR="00351272" w:rsidRPr="000C6BF8" w:rsidRDefault="00351272" w:rsidP="00351272">
      <w:pPr>
        <w:pStyle w:val="subsection"/>
      </w:pPr>
      <w:r w:rsidRPr="000C6BF8">
        <w:tab/>
        <w:t>(1)</w:t>
      </w:r>
      <w:r w:rsidRPr="000C6BF8">
        <w:tab/>
        <w:t>Subject to this section, a pay point assignment must assign an office of Secretary to a pay point within the classification level of the office.</w:t>
      </w:r>
    </w:p>
    <w:p w14:paraId="774B37F8" w14:textId="77777777" w:rsidR="00351272" w:rsidRPr="000C6BF8" w:rsidRDefault="00351272" w:rsidP="00351272">
      <w:pPr>
        <w:pStyle w:val="SubsectionHead"/>
      </w:pPr>
      <w:r w:rsidRPr="000C6BF8">
        <w:t>Appointment to another office of Secretary</w:t>
      </w:r>
    </w:p>
    <w:p w14:paraId="1BAF2E37" w14:textId="77777777" w:rsidR="00351272" w:rsidRPr="000C6BF8" w:rsidRDefault="00351272" w:rsidP="00351272">
      <w:pPr>
        <w:pStyle w:val="subsection"/>
      </w:pPr>
      <w:r w:rsidRPr="000C6BF8">
        <w:tab/>
        <w:t>(2)</w:t>
      </w:r>
      <w:r w:rsidRPr="000C6BF8">
        <w:tab/>
        <w:t>If:</w:t>
      </w:r>
    </w:p>
    <w:p w14:paraId="2A8CB70B" w14:textId="77777777" w:rsidR="00351272" w:rsidRPr="000C6BF8" w:rsidRDefault="00351272" w:rsidP="00351272">
      <w:pPr>
        <w:pStyle w:val="paragraph"/>
      </w:pPr>
      <w:r w:rsidRPr="000C6BF8">
        <w:tab/>
        <w:t>(a)</w:t>
      </w:r>
      <w:r w:rsidRPr="000C6BF8">
        <w:tab/>
        <w:t xml:space="preserve">a person who holds an office of Secretary (the </w:t>
      </w:r>
      <w:r w:rsidRPr="000C6BF8">
        <w:rPr>
          <w:b/>
          <w:i/>
        </w:rPr>
        <w:t>former office</w:t>
      </w:r>
      <w:r w:rsidRPr="000C6BF8">
        <w:t>) is appointed to another office of Secretary; and</w:t>
      </w:r>
    </w:p>
    <w:p w14:paraId="7356EA46" w14:textId="77777777" w:rsidR="00351272" w:rsidRPr="000C6BF8" w:rsidRDefault="00351272" w:rsidP="00351272">
      <w:pPr>
        <w:pStyle w:val="paragraph"/>
      </w:pPr>
      <w:r w:rsidRPr="000C6BF8">
        <w:tab/>
        <w:t>(b)</w:t>
      </w:r>
      <w:r w:rsidRPr="000C6BF8">
        <w:tab/>
        <w:t>the other office is assigned to a pay point which is lower than the pay point that applied to the person in the former office;</w:t>
      </w:r>
    </w:p>
    <w:p w14:paraId="686671FE" w14:textId="77777777" w:rsidR="00351272" w:rsidRPr="000C6BF8" w:rsidRDefault="00351272" w:rsidP="00351272">
      <w:pPr>
        <w:pStyle w:val="subsection2"/>
      </w:pPr>
      <w:r w:rsidRPr="000C6BF8">
        <w:t>then, until the time when the instrument of appointment to the former office would have expired according to its terms, the Secretary is entitled to the total remuneration that applies, from time to time, to the pay point that would have applied to the Secretary in the former office.</w:t>
      </w:r>
    </w:p>
    <w:p w14:paraId="3D301323" w14:textId="77777777" w:rsidR="00351272" w:rsidRPr="000C6BF8" w:rsidRDefault="00351272" w:rsidP="00351272">
      <w:pPr>
        <w:pStyle w:val="SubsectionHead"/>
      </w:pPr>
      <w:r w:rsidRPr="000C6BF8">
        <w:t>Lowering of pay point</w:t>
      </w:r>
    </w:p>
    <w:p w14:paraId="785AF4D6" w14:textId="77777777" w:rsidR="00351272" w:rsidRPr="000C6BF8" w:rsidRDefault="00351272" w:rsidP="00351272">
      <w:pPr>
        <w:pStyle w:val="subsection"/>
      </w:pPr>
      <w:r w:rsidRPr="000C6BF8">
        <w:tab/>
        <w:t>(3)</w:t>
      </w:r>
      <w:r w:rsidRPr="000C6BF8">
        <w:tab/>
        <w:t xml:space="preserve">If, during the period of a person’s appointment to an office of Secretary, the pay point which applies to that office is lowered, the person is entitled, until that </w:t>
      </w:r>
      <w:r w:rsidRPr="000C6BF8">
        <w:lastRenderedPageBreak/>
        <w:t>period of appointment ends, to the total remuneration that applies, from time to time, to the pay point that would have applied to the Secretary if the pay point had not been lowered.</w:t>
      </w:r>
    </w:p>
    <w:p w14:paraId="546FAEC0" w14:textId="77777777" w:rsidR="00351272" w:rsidRPr="000C6BF8" w:rsidRDefault="00351272" w:rsidP="00351272">
      <w:pPr>
        <w:pStyle w:val="SubsectionHead"/>
      </w:pPr>
      <w:r w:rsidRPr="000C6BF8">
        <w:t>Maintaining pay point after expiry or end of previous appointment</w:t>
      </w:r>
    </w:p>
    <w:p w14:paraId="5B8FE313" w14:textId="77777777" w:rsidR="00351272" w:rsidRPr="000C6BF8" w:rsidRDefault="00351272" w:rsidP="00351272">
      <w:pPr>
        <w:pStyle w:val="subsection"/>
      </w:pPr>
      <w:r w:rsidRPr="000C6BF8">
        <w:tab/>
        <w:t>(4)</w:t>
      </w:r>
      <w:r w:rsidRPr="000C6BF8">
        <w:tab/>
        <w:t>If:</w:t>
      </w:r>
    </w:p>
    <w:p w14:paraId="3A073C40" w14:textId="77777777" w:rsidR="00351272" w:rsidRPr="000C6BF8" w:rsidRDefault="00351272" w:rsidP="00351272">
      <w:pPr>
        <w:pStyle w:val="paragraph"/>
      </w:pPr>
      <w:r w:rsidRPr="000C6BF8">
        <w:tab/>
        <w:t>(a)</w:t>
      </w:r>
      <w:r w:rsidRPr="000C6BF8">
        <w:tab/>
        <w:t>subsection (2) has applied to a person appointed to an office of Secretary; and</w:t>
      </w:r>
    </w:p>
    <w:p w14:paraId="429F2FC1" w14:textId="77777777" w:rsidR="00351272" w:rsidRPr="000C6BF8" w:rsidRDefault="00351272" w:rsidP="00351272">
      <w:pPr>
        <w:pStyle w:val="paragraph"/>
      </w:pPr>
      <w:r w:rsidRPr="000C6BF8">
        <w:tab/>
        <w:t>(b)</w:t>
      </w:r>
      <w:r w:rsidRPr="000C6BF8">
        <w:tab/>
        <w:t>at the time that the instrument of appointment to the former office would have expired according to its terms, the Secretary of the Department of the Prime Minister and Cabinet is satisfied, after consulting the President of the Tribunal and the Australian Public Service Commissioner, that it is appropriate in the circumstances to maintain the remuneration of the person at a higher level than would apply under subsection (1);</w:t>
      </w:r>
    </w:p>
    <w:p w14:paraId="6FF7C40B" w14:textId="77777777" w:rsidR="00351272" w:rsidRPr="000C6BF8" w:rsidRDefault="00351272" w:rsidP="00351272">
      <w:pPr>
        <w:pStyle w:val="subsection2"/>
      </w:pPr>
      <w:r w:rsidRPr="000C6BF8">
        <w:t>a pay point assignment may assign the person to a pay point not higher than the one that previously applied to the person.</w:t>
      </w:r>
    </w:p>
    <w:p w14:paraId="0F28DE66" w14:textId="77777777" w:rsidR="00351272" w:rsidRPr="000C6BF8" w:rsidRDefault="00351272" w:rsidP="00351272">
      <w:pPr>
        <w:pStyle w:val="subsection"/>
      </w:pPr>
      <w:r w:rsidRPr="000C6BF8">
        <w:tab/>
        <w:t>(5)</w:t>
      </w:r>
      <w:r w:rsidRPr="000C6BF8">
        <w:tab/>
        <w:t>If:</w:t>
      </w:r>
    </w:p>
    <w:p w14:paraId="2DE8A109" w14:textId="77777777" w:rsidR="00351272" w:rsidRPr="000C6BF8" w:rsidRDefault="00351272" w:rsidP="00351272">
      <w:pPr>
        <w:pStyle w:val="paragraph"/>
      </w:pPr>
      <w:r w:rsidRPr="000C6BF8">
        <w:tab/>
        <w:t>(a)</w:t>
      </w:r>
      <w:r w:rsidRPr="000C6BF8">
        <w:tab/>
        <w:t xml:space="preserve">at the end of the appointment (the </w:t>
      </w:r>
      <w:r w:rsidRPr="000C6BF8">
        <w:rPr>
          <w:b/>
          <w:i/>
        </w:rPr>
        <w:t>previous appointment</w:t>
      </w:r>
      <w:r w:rsidRPr="000C6BF8">
        <w:t xml:space="preserve">) of a person referred to in subsection (3), that person is appointed to another office of Secretary or reappointed to the same office of Secretary (the </w:t>
      </w:r>
      <w:r w:rsidRPr="000C6BF8">
        <w:rPr>
          <w:b/>
          <w:i/>
        </w:rPr>
        <w:t>current appointment</w:t>
      </w:r>
      <w:r w:rsidRPr="000C6BF8">
        <w:t>); and</w:t>
      </w:r>
    </w:p>
    <w:p w14:paraId="50768FAA" w14:textId="77777777" w:rsidR="00351272" w:rsidRPr="000C6BF8" w:rsidRDefault="00351272" w:rsidP="00351272">
      <w:pPr>
        <w:pStyle w:val="paragraph"/>
      </w:pPr>
      <w:r w:rsidRPr="000C6BF8">
        <w:tab/>
        <w:t>(b)</w:t>
      </w:r>
      <w:r w:rsidRPr="000C6BF8">
        <w:tab/>
        <w:t>the Secretary of the Department of the Prime Minister and Cabinet is satisfied, after consulting the President of the Tribunal and the Australian Public Service Commissioner, that it is appropriate for the remuneration of the person in respect of the current appointment to be at a higher level than would otherwise apply under subsection (1);</w:t>
      </w:r>
    </w:p>
    <w:p w14:paraId="6F724BD7" w14:textId="77777777" w:rsidR="00351272" w:rsidRPr="000C6BF8" w:rsidRDefault="00351272" w:rsidP="00351272">
      <w:pPr>
        <w:pStyle w:val="subsection2"/>
      </w:pPr>
      <w:r w:rsidRPr="000C6BF8">
        <w:t>a pay point assignment may assign the person to a pay point not higher than the one that applied to the person immediately before the end of the previous appointment.</w:t>
      </w:r>
    </w:p>
    <w:p w14:paraId="0ED46434" w14:textId="77777777" w:rsidR="00351272" w:rsidRPr="000C6BF8" w:rsidRDefault="00351272" w:rsidP="00351272">
      <w:pPr>
        <w:pStyle w:val="ActHead5"/>
      </w:pPr>
      <w:bookmarkStart w:id="15" w:name="_Toc200718622"/>
      <w:r w:rsidRPr="00D7332E">
        <w:rPr>
          <w:rStyle w:val="CharSectno"/>
        </w:rPr>
        <w:t>13</w:t>
      </w:r>
      <w:r w:rsidRPr="000C6BF8">
        <w:t xml:space="preserve">  Remuneration packaging</w:t>
      </w:r>
      <w:bookmarkEnd w:id="15"/>
    </w:p>
    <w:p w14:paraId="0514E45A" w14:textId="77777777" w:rsidR="00351272" w:rsidRPr="000C6BF8" w:rsidRDefault="00351272" w:rsidP="00351272">
      <w:pPr>
        <w:pStyle w:val="subsection"/>
      </w:pPr>
      <w:r w:rsidRPr="000C6BF8">
        <w:tab/>
        <w:t>(1)</w:t>
      </w:r>
      <w:r w:rsidRPr="000C6BF8">
        <w:tab/>
        <w:t>Subject to this Part, a Secretary may elect to receive the benefit of the total remuneration, other than the employer superannuation contribution, as salary or a combination of salary and benefits if:</w:t>
      </w:r>
    </w:p>
    <w:p w14:paraId="0D8912C9" w14:textId="77777777" w:rsidR="00351272" w:rsidRPr="000C6BF8" w:rsidRDefault="00351272" w:rsidP="00351272">
      <w:pPr>
        <w:pStyle w:val="paragraph"/>
      </w:pPr>
      <w:r w:rsidRPr="000C6BF8">
        <w:tab/>
        <w:t>(a)</w:t>
      </w:r>
      <w:r w:rsidRPr="000C6BF8">
        <w:tab/>
        <w:t>the election is consistent with relevant taxation laws and rulings or guidelines applicable to salary packaging schemes issued by the Australian Taxation Office; and</w:t>
      </w:r>
    </w:p>
    <w:p w14:paraId="5EA26470" w14:textId="77777777" w:rsidR="00351272" w:rsidRPr="000C6BF8" w:rsidRDefault="00351272" w:rsidP="00351272">
      <w:pPr>
        <w:pStyle w:val="paragraph"/>
      </w:pPr>
      <w:r w:rsidRPr="000C6BF8">
        <w:tab/>
        <w:t>(b)</w:t>
      </w:r>
      <w:r w:rsidRPr="000C6BF8">
        <w:tab/>
        <w:t>providing the benefit would not result in a cost to the Commonwealth (including any fringe benefits tax) that would not be incurred if the Secretary received the remuneration in the form of salary.</w:t>
      </w:r>
    </w:p>
    <w:p w14:paraId="16F3F81A" w14:textId="77777777" w:rsidR="00351272" w:rsidRPr="000C6BF8" w:rsidRDefault="00351272" w:rsidP="00351272">
      <w:pPr>
        <w:pStyle w:val="subsection"/>
      </w:pPr>
      <w:r w:rsidRPr="000C6BF8">
        <w:tab/>
        <w:t>(2)</w:t>
      </w:r>
      <w:r w:rsidRPr="000C6BF8">
        <w:tab/>
        <w:t>To avoid doubt, a superannuation contribution made as a result of an election by a Secretary under subsection (1) does not form part of the employer superannuation contribution for the Secretary.</w:t>
      </w:r>
    </w:p>
    <w:p w14:paraId="2881C800" w14:textId="77777777" w:rsidR="00351272" w:rsidRPr="000C6BF8" w:rsidRDefault="00351272" w:rsidP="00351272">
      <w:pPr>
        <w:pStyle w:val="ActHead5"/>
      </w:pPr>
      <w:bookmarkStart w:id="16" w:name="_Toc200718623"/>
      <w:r w:rsidRPr="00D7332E">
        <w:rPr>
          <w:rStyle w:val="CharSectno"/>
        </w:rPr>
        <w:lastRenderedPageBreak/>
        <w:t>14</w:t>
      </w:r>
      <w:r w:rsidRPr="000C6BF8">
        <w:t xml:space="preserve">  Travel tier</w:t>
      </w:r>
      <w:bookmarkEnd w:id="16"/>
    </w:p>
    <w:p w14:paraId="15E27794" w14:textId="77777777" w:rsidR="00351272" w:rsidRPr="000C6BF8" w:rsidRDefault="00351272" w:rsidP="00351272">
      <w:pPr>
        <w:pStyle w:val="subsection"/>
      </w:pPr>
      <w:r w:rsidRPr="000C6BF8">
        <w:tab/>
      </w:r>
      <w:r w:rsidRPr="000C6BF8">
        <w:tab/>
        <w:t>For the purposes of the official travel determination, travel tier 1 applies to a Secretary.</w:t>
      </w:r>
    </w:p>
    <w:p w14:paraId="2C12187F" w14:textId="77777777" w:rsidR="00351272" w:rsidRPr="000C6BF8" w:rsidRDefault="00351272" w:rsidP="00351272">
      <w:pPr>
        <w:pStyle w:val="ActHead2"/>
        <w:pageBreakBefore/>
      </w:pPr>
      <w:bookmarkStart w:id="17" w:name="_Toc200718624"/>
      <w:r w:rsidRPr="00D7332E">
        <w:rPr>
          <w:rStyle w:val="CharPartNo"/>
        </w:rPr>
        <w:lastRenderedPageBreak/>
        <w:t>Part 3</w:t>
      </w:r>
      <w:r w:rsidRPr="000C6BF8">
        <w:t>—</w:t>
      </w:r>
      <w:r w:rsidRPr="00D7332E">
        <w:rPr>
          <w:rStyle w:val="CharPartText"/>
        </w:rPr>
        <w:t>Superannuation</w:t>
      </w:r>
      <w:bookmarkEnd w:id="17"/>
    </w:p>
    <w:p w14:paraId="4D428EA9"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0D67D106" w14:textId="77777777" w:rsidR="00351272" w:rsidRPr="000C6BF8" w:rsidRDefault="00351272" w:rsidP="00351272">
      <w:pPr>
        <w:pStyle w:val="ActHead5"/>
      </w:pPr>
      <w:bookmarkStart w:id="18" w:name="_Toc200718625"/>
      <w:r w:rsidRPr="00D7332E">
        <w:rPr>
          <w:rStyle w:val="CharSectno"/>
        </w:rPr>
        <w:t>15</w:t>
      </w:r>
      <w:r w:rsidRPr="000C6BF8">
        <w:t xml:space="preserve">  Superannuation</w:t>
      </w:r>
      <w:bookmarkEnd w:id="18"/>
    </w:p>
    <w:p w14:paraId="62CA8EAC" w14:textId="77777777" w:rsidR="00351272" w:rsidRPr="000C6BF8" w:rsidRDefault="00351272" w:rsidP="00351272">
      <w:pPr>
        <w:pStyle w:val="SubsectionHead"/>
      </w:pPr>
      <w:r w:rsidRPr="000C6BF8">
        <w:t>Commonwealth Superannuation Scheme</w:t>
      </w:r>
    </w:p>
    <w:p w14:paraId="0FD03EDE" w14:textId="77777777" w:rsidR="00351272" w:rsidRPr="000C6BF8" w:rsidRDefault="00351272" w:rsidP="00351272">
      <w:pPr>
        <w:pStyle w:val="subsection"/>
      </w:pPr>
      <w:r w:rsidRPr="000C6BF8">
        <w:tab/>
        <w:t>(1)</w:t>
      </w:r>
      <w:r w:rsidRPr="000C6BF8">
        <w:tab/>
        <w:t>For a Secretary who is a member of the CSS:</w:t>
      </w:r>
    </w:p>
    <w:p w14:paraId="43089115" w14:textId="77777777" w:rsidR="00351272" w:rsidRPr="000C6BF8" w:rsidRDefault="00351272" w:rsidP="00351272">
      <w:pPr>
        <w:pStyle w:val="paragraph"/>
      </w:pPr>
      <w:r w:rsidRPr="000C6BF8">
        <w:tab/>
        <w:t>(a)</w:t>
      </w:r>
      <w:r w:rsidRPr="000C6BF8">
        <w:tab/>
        <w:t>the Secretary’s annual rate of salary for the purposes of the CSS is the Secretary’s superannuation salary; and</w:t>
      </w:r>
    </w:p>
    <w:p w14:paraId="3AB2A294" w14:textId="77777777" w:rsidR="00351272" w:rsidRPr="000C6BF8" w:rsidRDefault="00351272" w:rsidP="00351272">
      <w:pPr>
        <w:pStyle w:val="paragraph"/>
      </w:pPr>
      <w:r w:rsidRPr="000C6BF8">
        <w:tab/>
        <w:t>(b)</w:t>
      </w:r>
      <w:r w:rsidRPr="000C6BF8">
        <w:tab/>
        <w:t xml:space="preserve">for the purposes of paragraph (a) of the definition of </w:t>
      </w:r>
      <w:r w:rsidRPr="000C6BF8">
        <w:rPr>
          <w:b/>
          <w:i/>
        </w:rPr>
        <w:t>employer superannuation contribution</w:t>
      </w:r>
      <w:r w:rsidRPr="000C6BF8">
        <w:t xml:space="preserve"> in section 8, the value attributed to the employer superannuation contribution</w:t>
      </w:r>
      <w:r w:rsidRPr="000C6BF8">
        <w:rPr>
          <w:i/>
        </w:rPr>
        <w:t xml:space="preserve"> </w:t>
      </w:r>
      <w:r w:rsidRPr="000C6BF8">
        <w:t>for the Secretary is an amount equal to 15.4% of the Secretary’s superannuation salary.</w:t>
      </w:r>
    </w:p>
    <w:p w14:paraId="7213DA55" w14:textId="77777777" w:rsidR="00351272" w:rsidRPr="000C6BF8" w:rsidRDefault="00351272" w:rsidP="00351272">
      <w:pPr>
        <w:pStyle w:val="SubsectionHead"/>
      </w:pPr>
      <w:r w:rsidRPr="000C6BF8">
        <w:t>Public Sector Superannuation Scheme</w:t>
      </w:r>
    </w:p>
    <w:p w14:paraId="7EABF586" w14:textId="77777777" w:rsidR="00351272" w:rsidRPr="000C6BF8" w:rsidRDefault="00351272" w:rsidP="00351272">
      <w:pPr>
        <w:pStyle w:val="subsection"/>
      </w:pPr>
      <w:r w:rsidRPr="000C6BF8">
        <w:tab/>
        <w:t>(2)</w:t>
      </w:r>
      <w:r w:rsidRPr="000C6BF8">
        <w:tab/>
        <w:t>For a Secretary who is a member of the PSS:</w:t>
      </w:r>
    </w:p>
    <w:p w14:paraId="25F6FF41" w14:textId="77777777" w:rsidR="00351272" w:rsidRPr="000C6BF8" w:rsidRDefault="00351272" w:rsidP="00351272">
      <w:pPr>
        <w:pStyle w:val="paragraph"/>
      </w:pPr>
      <w:r w:rsidRPr="000C6BF8">
        <w:tab/>
        <w:t>(a)</w:t>
      </w:r>
      <w:r w:rsidRPr="000C6BF8">
        <w:tab/>
        <w:t>the Secretary’s basic salary for the purposes of the PSS is the Secretary’s superannuation salary; and</w:t>
      </w:r>
    </w:p>
    <w:p w14:paraId="0FAB37E8" w14:textId="77777777" w:rsidR="00351272" w:rsidRPr="000C6BF8" w:rsidRDefault="00351272" w:rsidP="00351272">
      <w:pPr>
        <w:pStyle w:val="paragraph"/>
      </w:pPr>
      <w:r w:rsidRPr="000C6BF8">
        <w:tab/>
        <w:t>(b)</w:t>
      </w:r>
      <w:r w:rsidRPr="000C6BF8">
        <w:tab/>
        <w:t>the amount of the Secretary’s recognised allowances for the purposes of the PSS is nil; and</w:t>
      </w:r>
    </w:p>
    <w:p w14:paraId="368C8A36" w14:textId="77777777" w:rsidR="00351272" w:rsidRPr="000C6BF8" w:rsidRDefault="00351272" w:rsidP="00351272">
      <w:pPr>
        <w:pStyle w:val="paragraph"/>
      </w:pPr>
      <w:r w:rsidRPr="000C6BF8">
        <w:tab/>
        <w:t>(c)</w:t>
      </w:r>
      <w:r w:rsidRPr="000C6BF8">
        <w:tab/>
        <w:t xml:space="preserve">for the purposes of paragraph (a) of the definition of </w:t>
      </w:r>
      <w:r w:rsidRPr="000C6BF8">
        <w:rPr>
          <w:b/>
          <w:i/>
        </w:rPr>
        <w:t>employer superannuation contribution</w:t>
      </w:r>
      <w:r w:rsidRPr="000C6BF8">
        <w:t xml:space="preserve"> in section 8, the value attributed to the employer superannuation contribution</w:t>
      </w:r>
      <w:r w:rsidRPr="000C6BF8">
        <w:rPr>
          <w:i/>
        </w:rPr>
        <w:t xml:space="preserve"> </w:t>
      </w:r>
      <w:r w:rsidRPr="000C6BF8">
        <w:t>for the Secretary is an amount equal to 15.4% of the Secretary’s superannuation salary.</w:t>
      </w:r>
    </w:p>
    <w:p w14:paraId="489F05AB" w14:textId="77777777" w:rsidR="00351272" w:rsidRPr="000C6BF8" w:rsidRDefault="00351272" w:rsidP="00351272">
      <w:pPr>
        <w:pStyle w:val="SubsectionHead"/>
      </w:pPr>
      <w:r w:rsidRPr="000C6BF8">
        <w:t>Defence Force Retirement and Death Benefits</w:t>
      </w:r>
    </w:p>
    <w:p w14:paraId="17A958F9" w14:textId="77777777" w:rsidR="00351272" w:rsidRPr="000C6BF8" w:rsidRDefault="00351272" w:rsidP="00351272">
      <w:pPr>
        <w:pStyle w:val="subsection"/>
      </w:pPr>
      <w:r w:rsidRPr="000C6BF8">
        <w:tab/>
        <w:t>(3)</w:t>
      </w:r>
      <w:r w:rsidRPr="000C6BF8">
        <w:tab/>
        <w:t>For a Secretary who is a member of the DFRDB:</w:t>
      </w:r>
    </w:p>
    <w:p w14:paraId="56C718DB" w14:textId="77777777" w:rsidR="00351272" w:rsidRPr="000C6BF8" w:rsidRDefault="00351272" w:rsidP="00351272">
      <w:pPr>
        <w:pStyle w:val="paragraph"/>
      </w:pPr>
      <w:r w:rsidRPr="000C6BF8">
        <w:tab/>
        <w:t>(a)</w:t>
      </w:r>
      <w:r w:rsidRPr="000C6BF8">
        <w:tab/>
        <w:t>the Secretary’s annual rate of salary for the purposes of the DFRDB is the Secretary’s superannuation salary; and</w:t>
      </w:r>
    </w:p>
    <w:p w14:paraId="2F115F94" w14:textId="77777777" w:rsidR="00351272" w:rsidRPr="000C6BF8" w:rsidRDefault="00351272" w:rsidP="00351272">
      <w:pPr>
        <w:pStyle w:val="paragraph"/>
      </w:pPr>
      <w:r w:rsidRPr="000C6BF8">
        <w:tab/>
        <w:t>(b)</w:t>
      </w:r>
      <w:r w:rsidRPr="000C6BF8">
        <w:tab/>
        <w:t xml:space="preserve">for the purposes of paragraph (a) of the definition of </w:t>
      </w:r>
      <w:r w:rsidRPr="000C6BF8">
        <w:rPr>
          <w:b/>
          <w:i/>
        </w:rPr>
        <w:t>employer superannuation contribution</w:t>
      </w:r>
      <w:r w:rsidRPr="000C6BF8">
        <w:t xml:space="preserve"> in section 8, the value attributed to the employer superannuation contribution</w:t>
      </w:r>
      <w:r w:rsidRPr="000C6BF8">
        <w:rPr>
          <w:i/>
        </w:rPr>
        <w:t xml:space="preserve"> </w:t>
      </w:r>
      <w:r w:rsidRPr="000C6BF8">
        <w:t>for the Secretary is an amount equal to 15.4% of the Secretary’s superannuation salary.</w:t>
      </w:r>
    </w:p>
    <w:p w14:paraId="488C7852" w14:textId="77777777" w:rsidR="00351272" w:rsidRPr="000C6BF8" w:rsidRDefault="00351272" w:rsidP="00351272">
      <w:pPr>
        <w:pStyle w:val="SubsectionHead"/>
      </w:pPr>
      <w:r w:rsidRPr="000C6BF8">
        <w:t>Military Superannuation and Benefits Scheme</w:t>
      </w:r>
    </w:p>
    <w:p w14:paraId="4FF0CD89" w14:textId="77777777" w:rsidR="00351272" w:rsidRPr="000C6BF8" w:rsidRDefault="00351272" w:rsidP="00351272">
      <w:pPr>
        <w:pStyle w:val="subsection"/>
      </w:pPr>
      <w:r w:rsidRPr="000C6BF8">
        <w:tab/>
        <w:t>(4)</w:t>
      </w:r>
      <w:r w:rsidRPr="000C6BF8">
        <w:tab/>
        <w:t>For a Secretary who is a member of the MSBS:</w:t>
      </w:r>
    </w:p>
    <w:p w14:paraId="6409E240" w14:textId="77777777" w:rsidR="00351272" w:rsidRPr="000C6BF8" w:rsidRDefault="00351272" w:rsidP="00351272">
      <w:pPr>
        <w:pStyle w:val="paragraph"/>
      </w:pPr>
      <w:r w:rsidRPr="000C6BF8">
        <w:tab/>
        <w:t>(a)</w:t>
      </w:r>
      <w:r w:rsidRPr="000C6BF8">
        <w:tab/>
        <w:t>the Secretary’s annual rate of salary for the purposes of the MSBS is the Secretary’s superannuation salary; and</w:t>
      </w:r>
    </w:p>
    <w:p w14:paraId="6A399726" w14:textId="77777777" w:rsidR="00351272" w:rsidRPr="000C6BF8" w:rsidRDefault="00351272" w:rsidP="00351272">
      <w:pPr>
        <w:pStyle w:val="paragraph"/>
      </w:pPr>
      <w:r w:rsidRPr="000C6BF8">
        <w:tab/>
        <w:t>(b)</w:t>
      </w:r>
      <w:r w:rsidRPr="000C6BF8">
        <w:tab/>
        <w:t xml:space="preserve">for the purposes of paragraph (a) of the definition of </w:t>
      </w:r>
      <w:r w:rsidRPr="000C6BF8">
        <w:rPr>
          <w:b/>
          <w:i/>
        </w:rPr>
        <w:t>employer superannuation contribution</w:t>
      </w:r>
      <w:r w:rsidRPr="000C6BF8">
        <w:t xml:space="preserve"> in section 8, the value attributed to the employer superannuation contribution</w:t>
      </w:r>
      <w:r w:rsidRPr="000C6BF8">
        <w:rPr>
          <w:i/>
        </w:rPr>
        <w:t xml:space="preserve"> </w:t>
      </w:r>
      <w:r w:rsidRPr="000C6BF8">
        <w:t>for the Secretary is an amount equal to 15.4% of the Secretary’s superannuation salary.</w:t>
      </w:r>
    </w:p>
    <w:p w14:paraId="3E688E35" w14:textId="77777777" w:rsidR="00351272" w:rsidRPr="000C6BF8" w:rsidRDefault="00351272" w:rsidP="00351272">
      <w:pPr>
        <w:pStyle w:val="SubsectionHead"/>
      </w:pPr>
      <w:r w:rsidRPr="000C6BF8">
        <w:lastRenderedPageBreak/>
        <w:t>Public Sector Superannuation Accumulation Plan</w:t>
      </w:r>
    </w:p>
    <w:p w14:paraId="4C245554" w14:textId="77777777" w:rsidR="00351272" w:rsidRPr="000C6BF8" w:rsidRDefault="00351272" w:rsidP="00351272">
      <w:pPr>
        <w:pStyle w:val="subsection"/>
      </w:pPr>
      <w:r w:rsidRPr="000C6BF8">
        <w:tab/>
        <w:t>(5)</w:t>
      </w:r>
      <w:r w:rsidRPr="000C6BF8">
        <w:tab/>
        <w:t xml:space="preserve">For a Secretary who is a member of PSSAP, the Secretary’s superannuation salary for the purposes of the </w:t>
      </w:r>
      <w:r w:rsidRPr="000C6BF8">
        <w:rPr>
          <w:i/>
        </w:rPr>
        <w:t>Superannuation (PSSAP) Trust Deed</w:t>
      </w:r>
      <w:r w:rsidRPr="000C6BF8">
        <w:t xml:space="preserve"> is the Secretary’s ordinary time earnings (within the meaning of the </w:t>
      </w:r>
      <w:r w:rsidRPr="000C6BF8">
        <w:rPr>
          <w:i/>
        </w:rPr>
        <w:t>Superannuation Guarantee (Administration) Act 1992</w:t>
      </w:r>
      <w:r w:rsidRPr="000C6BF8">
        <w:t>).</w:t>
      </w:r>
    </w:p>
    <w:p w14:paraId="28EA5BB2" w14:textId="77777777" w:rsidR="00351272" w:rsidRPr="000C6BF8" w:rsidRDefault="00351272" w:rsidP="00351272">
      <w:pPr>
        <w:pStyle w:val="SubsectionHead"/>
      </w:pPr>
      <w:r w:rsidRPr="000C6BF8">
        <w:t>Other superannuation funds</w:t>
      </w:r>
    </w:p>
    <w:p w14:paraId="41CC8FE2" w14:textId="77777777" w:rsidR="00351272" w:rsidRPr="000C6BF8" w:rsidRDefault="00351272" w:rsidP="00351272">
      <w:pPr>
        <w:pStyle w:val="subsection"/>
      </w:pPr>
      <w:r w:rsidRPr="000C6BF8">
        <w:tab/>
        <w:t>(6)</w:t>
      </w:r>
      <w:r w:rsidRPr="000C6BF8">
        <w:tab/>
        <w:t xml:space="preserve">For a Secretary who is a member of any other superannuation fund, the employer superannuation contribution is the minimum contribution that would, under section 23 of the </w:t>
      </w:r>
      <w:r w:rsidRPr="000C6BF8">
        <w:rPr>
          <w:i/>
        </w:rPr>
        <w:t>Superannuation Guarantee (Administration) Act 1992</w:t>
      </w:r>
      <w:r w:rsidRPr="000C6BF8">
        <w:t>, reduce the charge percentage for the Secretary to nil.</w:t>
      </w:r>
    </w:p>
    <w:p w14:paraId="5FB8B13C" w14:textId="77777777" w:rsidR="00351272" w:rsidRPr="000C6BF8" w:rsidRDefault="00351272" w:rsidP="00351272">
      <w:pPr>
        <w:pStyle w:val="notetext"/>
      </w:pPr>
      <w:r w:rsidRPr="000C6BF8">
        <w:t>Note:</w:t>
      </w:r>
      <w:r w:rsidRPr="000C6BF8">
        <w:tab/>
        <w:t xml:space="preserve">A Secretary’s superannuation salary is 70% of the Secretary’s total remuneration (see the definition of </w:t>
      </w:r>
      <w:r w:rsidRPr="000C6BF8">
        <w:rPr>
          <w:b/>
          <w:i/>
        </w:rPr>
        <w:t>superannuation salary</w:t>
      </w:r>
      <w:r w:rsidRPr="000C6BF8">
        <w:t xml:space="preserve"> in section 8).</w:t>
      </w:r>
    </w:p>
    <w:p w14:paraId="4B74265C" w14:textId="77777777" w:rsidR="00351272" w:rsidRPr="000C6BF8" w:rsidRDefault="00351272" w:rsidP="00351272">
      <w:pPr>
        <w:pStyle w:val="ActHead2"/>
        <w:pageBreakBefore/>
      </w:pPr>
      <w:bookmarkStart w:id="19" w:name="_Toc200718626"/>
      <w:r w:rsidRPr="00D7332E">
        <w:rPr>
          <w:rStyle w:val="CharPartNo"/>
        </w:rPr>
        <w:lastRenderedPageBreak/>
        <w:t>Part 4</w:t>
      </w:r>
      <w:r w:rsidRPr="000C6BF8">
        <w:t>—</w:t>
      </w:r>
      <w:r w:rsidRPr="00D7332E">
        <w:rPr>
          <w:rStyle w:val="CharPartText"/>
        </w:rPr>
        <w:t>Vehicles and business support</w:t>
      </w:r>
      <w:bookmarkEnd w:id="19"/>
    </w:p>
    <w:p w14:paraId="41F06FEA"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40022B57" w14:textId="77777777" w:rsidR="00351272" w:rsidRPr="000C6BF8" w:rsidRDefault="00351272" w:rsidP="00351272">
      <w:pPr>
        <w:pStyle w:val="ActHead5"/>
      </w:pPr>
      <w:bookmarkStart w:id="20" w:name="_Toc200718627"/>
      <w:r w:rsidRPr="00D7332E">
        <w:rPr>
          <w:rStyle w:val="CharSectno"/>
        </w:rPr>
        <w:t>16</w:t>
      </w:r>
      <w:r w:rsidRPr="000C6BF8">
        <w:t xml:space="preserve">  Vehicles</w:t>
      </w:r>
      <w:bookmarkEnd w:id="20"/>
    </w:p>
    <w:p w14:paraId="2E457F73" w14:textId="1171BBB1" w:rsidR="00351272" w:rsidRPr="000C6BF8" w:rsidRDefault="00351272" w:rsidP="00351272">
      <w:pPr>
        <w:pStyle w:val="subsection"/>
      </w:pPr>
      <w:r w:rsidRPr="000C6BF8">
        <w:tab/>
        <w:t>(1)</w:t>
      </w:r>
      <w:r w:rsidRPr="000C6BF8">
        <w:tab/>
        <w:t>A Secretary may elect to receive a Commonwealth</w:t>
      </w:r>
      <w:r w:rsidR="000C6BF8">
        <w:noBreakHyphen/>
      </w:r>
      <w:r w:rsidRPr="000C6BF8">
        <w:t>provided vehicle as a benefit. The value attributed to this benefit is to be the actual cost (including fringe benefits tax) of the vehicle to the Commonwealth.</w:t>
      </w:r>
    </w:p>
    <w:p w14:paraId="3B372642" w14:textId="77777777" w:rsidR="00351272" w:rsidRPr="000C6BF8" w:rsidRDefault="00351272" w:rsidP="00351272">
      <w:pPr>
        <w:pStyle w:val="subsection"/>
      </w:pPr>
      <w:r w:rsidRPr="000C6BF8">
        <w:tab/>
        <w:t>(2)</w:t>
      </w:r>
      <w:r w:rsidRPr="000C6BF8">
        <w:tab/>
        <w:t>The Executive Vehicle Scheme guidelines apply to the selection of a vehicle referred to in subsection (1).</w:t>
      </w:r>
    </w:p>
    <w:p w14:paraId="4DC396C1" w14:textId="79D3909C" w:rsidR="00351272" w:rsidRPr="000C6BF8" w:rsidRDefault="00351272" w:rsidP="00351272">
      <w:pPr>
        <w:pStyle w:val="subsection"/>
      </w:pPr>
      <w:r w:rsidRPr="000C6BF8">
        <w:tab/>
        <w:t>(3)</w:t>
      </w:r>
      <w:r w:rsidRPr="000C6BF8">
        <w:tab/>
        <w:t>A Secretary’s total remuneration includes provision for any use of a vehicle by the Secretary for business</w:t>
      </w:r>
      <w:r w:rsidR="000C6BF8">
        <w:noBreakHyphen/>
      </w:r>
      <w:r w:rsidRPr="000C6BF8">
        <w:t>related purposes.</w:t>
      </w:r>
    </w:p>
    <w:p w14:paraId="637B4FB7" w14:textId="77777777" w:rsidR="00351272" w:rsidRPr="000C6BF8" w:rsidRDefault="00351272" w:rsidP="00351272">
      <w:pPr>
        <w:pStyle w:val="ActHead5"/>
      </w:pPr>
      <w:bookmarkStart w:id="21" w:name="_Toc200718628"/>
      <w:r w:rsidRPr="00D7332E">
        <w:rPr>
          <w:rStyle w:val="CharSectno"/>
        </w:rPr>
        <w:t>17</w:t>
      </w:r>
      <w:r w:rsidRPr="000C6BF8">
        <w:t xml:space="preserve">  Vehicle parking</w:t>
      </w:r>
      <w:bookmarkEnd w:id="21"/>
    </w:p>
    <w:p w14:paraId="0CAE0503" w14:textId="77777777" w:rsidR="00351272" w:rsidRPr="000C6BF8" w:rsidRDefault="00351272" w:rsidP="00351272">
      <w:pPr>
        <w:pStyle w:val="subsection"/>
      </w:pPr>
      <w:r w:rsidRPr="000C6BF8">
        <w:tab/>
      </w:r>
      <w:r w:rsidRPr="000C6BF8">
        <w:tab/>
        <w:t>If a Secretary accepts an offer of a car park at Commonwealth expense, the actual cost (including fringe benefits tax) of the car park to the Secretary’s Department is taken to be a benefit.</w:t>
      </w:r>
    </w:p>
    <w:p w14:paraId="0B02FC4A" w14:textId="77777777" w:rsidR="00351272" w:rsidRPr="000C6BF8" w:rsidRDefault="00351272" w:rsidP="00351272">
      <w:pPr>
        <w:pStyle w:val="ActHead5"/>
      </w:pPr>
      <w:bookmarkStart w:id="22" w:name="_Toc200718629"/>
      <w:r w:rsidRPr="00D7332E">
        <w:rPr>
          <w:rStyle w:val="CharSectno"/>
        </w:rPr>
        <w:t>18</w:t>
      </w:r>
      <w:r w:rsidRPr="000C6BF8">
        <w:t xml:space="preserve">  Business support</w:t>
      </w:r>
      <w:bookmarkEnd w:id="22"/>
    </w:p>
    <w:p w14:paraId="0C955F34" w14:textId="77777777" w:rsidR="00351272" w:rsidRPr="000C6BF8" w:rsidRDefault="00351272" w:rsidP="00351272">
      <w:pPr>
        <w:pStyle w:val="subsection"/>
      </w:pPr>
      <w:r w:rsidRPr="000C6BF8">
        <w:tab/>
        <w:t>(1)</w:t>
      </w:r>
      <w:r w:rsidRPr="000C6BF8">
        <w:tab/>
        <w:t>A Secretary is entitled to the provision by the Secretary’s Department of communications, information technology and other office facilities necessary for the efficient conduct of the Commonwealth’s business, and such provision includes incidental private use of those facilities. Where required, separate telecommunications lines to a Secretary’s residence in support of these facilities may be provided at no cost to the Secretary.</w:t>
      </w:r>
    </w:p>
    <w:p w14:paraId="597209D5" w14:textId="77777777" w:rsidR="00351272" w:rsidRPr="000C6BF8" w:rsidRDefault="00351272" w:rsidP="00351272">
      <w:pPr>
        <w:pStyle w:val="subsection"/>
      </w:pPr>
      <w:r w:rsidRPr="000C6BF8">
        <w:tab/>
        <w:t>(2)</w:t>
      </w:r>
      <w:r w:rsidRPr="000C6BF8">
        <w:tab/>
        <w:t>A Secretary is entitled to be reimbursed by the Commonwealth for all costs of installation and rental of a telephone line and telephone at the Secretary’s residence and for all call charges on that telephone.</w:t>
      </w:r>
    </w:p>
    <w:p w14:paraId="06F01636" w14:textId="77777777" w:rsidR="00351272" w:rsidRPr="000C6BF8" w:rsidRDefault="00351272" w:rsidP="00351272">
      <w:pPr>
        <w:pStyle w:val="subsection"/>
      </w:pPr>
      <w:r w:rsidRPr="000C6BF8">
        <w:tab/>
        <w:t>(3)</w:t>
      </w:r>
      <w:r w:rsidRPr="000C6BF8">
        <w:tab/>
        <w:t>If a Secretary maintains 2 residences, the Secretary is entitled to be reimbursed by the Commonwealth under subsection (2) in relation to a telephone line and telephone at one of the Secretary’s residences and, in relation to the other residence, is entitled to be reimbursed only for 50% of the call charges and no other costs.</w:t>
      </w:r>
    </w:p>
    <w:p w14:paraId="4390C353" w14:textId="77777777" w:rsidR="00351272" w:rsidRPr="000C6BF8" w:rsidRDefault="00351272" w:rsidP="00351272">
      <w:pPr>
        <w:pStyle w:val="subsection"/>
      </w:pPr>
      <w:r w:rsidRPr="000C6BF8">
        <w:tab/>
        <w:t>(4)</w:t>
      </w:r>
      <w:r w:rsidRPr="000C6BF8">
        <w:tab/>
        <w:t>A Secretary is entitled to 2 domestic airline lounge memberships at Commonwealth expense.</w:t>
      </w:r>
    </w:p>
    <w:p w14:paraId="23A2195A" w14:textId="77777777" w:rsidR="00351272" w:rsidRPr="000C6BF8" w:rsidRDefault="00351272" w:rsidP="00351272">
      <w:pPr>
        <w:pStyle w:val="ActHead2"/>
        <w:pageBreakBefore/>
      </w:pPr>
      <w:bookmarkStart w:id="23" w:name="_Toc200718630"/>
      <w:r w:rsidRPr="00D7332E">
        <w:rPr>
          <w:rStyle w:val="CharPartNo"/>
        </w:rPr>
        <w:lastRenderedPageBreak/>
        <w:t>Part 5</w:t>
      </w:r>
      <w:r w:rsidRPr="000C6BF8">
        <w:t>—</w:t>
      </w:r>
      <w:r w:rsidRPr="00D7332E">
        <w:rPr>
          <w:rStyle w:val="CharPartText"/>
        </w:rPr>
        <w:t>Leave</w:t>
      </w:r>
      <w:bookmarkEnd w:id="23"/>
    </w:p>
    <w:p w14:paraId="1CB34F24"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25EFC975" w14:textId="77777777" w:rsidR="00351272" w:rsidRPr="000C6BF8" w:rsidRDefault="00351272" w:rsidP="00351272">
      <w:pPr>
        <w:pStyle w:val="ActHead5"/>
      </w:pPr>
      <w:bookmarkStart w:id="24" w:name="_Toc200718631"/>
      <w:r w:rsidRPr="00D7332E">
        <w:rPr>
          <w:rStyle w:val="CharSectno"/>
        </w:rPr>
        <w:t>19</w:t>
      </w:r>
      <w:r w:rsidRPr="000C6BF8">
        <w:t xml:space="preserve">  Normal duty</w:t>
      </w:r>
      <w:bookmarkEnd w:id="24"/>
    </w:p>
    <w:p w14:paraId="7B105BE0" w14:textId="77777777" w:rsidR="00351272" w:rsidRPr="000C6BF8" w:rsidRDefault="00351272" w:rsidP="00351272">
      <w:pPr>
        <w:pStyle w:val="subsection"/>
      </w:pPr>
      <w:r w:rsidRPr="000C6BF8">
        <w:tab/>
      </w:r>
      <w:r w:rsidRPr="000C6BF8">
        <w:tab/>
        <w:t>A Secretary is to be available for duty when required by the Secretary’s Minister and on all days that the Secretary’s Department is open for and conducts normal business.</w:t>
      </w:r>
    </w:p>
    <w:p w14:paraId="3DA1A06E" w14:textId="77777777" w:rsidR="00351272" w:rsidRPr="000C6BF8" w:rsidRDefault="00351272" w:rsidP="00351272">
      <w:pPr>
        <w:pStyle w:val="ActHead5"/>
      </w:pPr>
      <w:bookmarkStart w:id="25" w:name="_Toc200718632"/>
      <w:r w:rsidRPr="00D7332E">
        <w:rPr>
          <w:rStyle w:val="CharSectno"/>
        </w:rPr>
        <w:t>20</w:t>
      </w:r>
      <w:r w:rsidRPr="000C6BF8">
        <w:t xml:space="preserve">  Recreation (annual) leave</w:t>
      </w:r>
      <w:bookmarkEnd w:id="25"/>
    </w:p>
    <w:p w14:paraId="7C945FC5" w14:textId="77777777" w:rsidR="00351272" w:rsidRPr="000C6BF8" w:rsidRDefault="00351272" w:rsidP="00351272">
      <w:pPr>
        <w:pStyle w:val="subsection"/>
      </w:pPr>
      <w:r w:rsidRPr="000C6BF8">
        <w:tab/>
        <w:t>(1)</w:t>
      </w:r>
      <w:r w:rsidRPr="000C6BF8">
        <w:tab/>
        <w:t>A Secretary is entitled to recreation leave at a rate of 20 working days for each completed 12 months of service, or pro rata for lesser periods, to be credited in the same way as recreation leave entitlements are credited to employees generally in the Secretary’s Department.</w:t>
      </w:r>
    </w:p>
    <w:p w14:paraId="632AF12A" w14:textId="77777777" w:rsidR="00351272" w:rsidRPr="000C6BF8" w:rsidRDefault="00351272" w:rsidP="00351272">
      <w:pPr>
        <w:pStyle w:val="subsection"/>
      </w:pPr>
      <w:r w:rsidRPr="000C6BF8">
        <w:tab/>
        <w:t>(2)</w:t>
      </w:r>
      <w:r w:rsidRPr="000C6BF8">
        <w:tab/>
        <w:t>A Secretary’s recreation leave credit includes any existing recreation leave accrued either through prior service in the Australian Public Service or the ACT Government Service, or through employment in a Commonwealth authority, that in either case ceased not more than 2 months prior to the Secretary’s appointment as a Secretary.</w:t>
      </w:r>
    </w:p>
    <w:p w14:paraId="0172C7FB" w14:textId="77777777" w:rsidR="00351272" w:rsidRPr="000C6BF8" w:rsidRDefault="00351272" w:rsidP="00351272">
      <w:pPr>
        <w:pStyle w:val="subsection"/>
      </w:pPr>
      <w:r w:rsidRPr="000C6BF8">
        <w:tab/>
        <w:t>(3)</w:t>
      </w:r>
      <w:r w:rsidRPr="000C6BF8">
        <w:tab/>
        <w:t>If a Secretary ceases to be a Secretary, other than by death, and does not carry forward a recreation leave credit to other Commonwealth employment, the Secretary is entitled to be paid, at the reference salary rate at that time, for any recreation leave credit accrued and unused at the date the Secretary ceased to be a Secretary. If a Secretary dies, the Secretary’s Minister may authorise payment of this amount to a dependant of the Secretary or the Secretary’s legal personal representative.</w:t>
      </w:r>
    </w:p>
    <w:p w14:paraId="2B6E94FE" w14:textId="77777777" w:rsidR="00351272" w:rsidRPr="000C6BF8" w:rsidRDefault="00351272" w:rsidP="00351272">
      <w:pPr>
        <w:pStyle w:val="subsection"/>
      </w:pPr>
      <w:r w:rsidRPr="000C6BF8">
        <w:tab/>
        <w:t>(4)</w:t>
      </w:r>
      <w:r w:rsidRPr="000C6BF8">
        <w:tab/>
        <w:t>Subject to subsection (5), a Secretary may elect to cash out up to half of the Secretary’s annual recreation leave entitlement in any year, at the reference salary rate at the time of election. The balance of leave remaining must be at least 4 weeks after any cashing out.</w:t>
      </w:r>
    </w:p>
    <w:p w14:paraId="4C569F94" w14:textId="77777777" w:rsidR="00351272" w:rsidRPr="000C6BF8" w:rsidRDefault="00351272" w:rsidP="00351272">
      <w:pPr>
        <w:pStyle w:val="subsection"/>
      </w:pPr>
      <w:r w:rsidRPr="000C6BF8">
        <w:tab/>
        <w:t>(5)</w:t>
      </w:r>
      <w:r w:rsidRPr="000C6BF8">
        <w:tab/>
        <w:t>Subsection (4) applies only if the Secretary’s Department has a policy that allows employees generally in the Department to cash out some or all of their annual recreation leave entitlements.</w:t>
      </w:r>
    </w:p>
    <w:p w14:paraId="3234C4CD" w14:textId="77777777" w:rsidR="00351272" w:rsidRPr="000C6BF8" w:rsidRDefault="00351272" w:rsidP="00351272">
      <w:pPr>
        <w:pStyle w:val="ActHead5"/>
      </w:pPr>
      <w:bookmarkStart w:id="26" w:name="_Toc200718633"/>
      <w:r w:rsidRPr="00D7332E">
        <w:rPr>
          <w:rStyle w:val="CharSectno"/>
        </w:rPr>
        <w:t>21</w:t>
      </w:r>
      <w:r w:rsidRPr="000C6BF8">
        <w:t xml:space="preserve">  Personal leave</w:t>
      </w:r>
      <w:bookmarkEnd w:id="26"/>
    </w:p>
    <w:p w14:paraId="2D6EA7F8" w14:textId="77777777" w:rsidR="00351272" w:rsidRPr="000C6BF8" w:rsidRDefault="00351272" w:rsidP="00351272">
      <w:pPr>
        <w:pStyle w:val="subsection"/>
      </w:pPr>
      <w:r w:rsidRPr="000C6BF8">
        <w:tab/>
        <w:t>(1)</w:t>
      </w:r>
      <w:r w:rsidRPr="000C6BF8">
        <w:tab/>
        <w:t>A Secretary is entitled to personal leave, which may be accessed at full or half pay, to accommodate personal illness or injury, to care for a family member or to meet family responsibilities of an emergency and unscheduled nature.</w:t>
      </w:r>
    </w:p>
    <w:p w14:paraId="092E911D" w14:textId="77777777" w:rsidR="00351272" w:rsidRPr="000C6BF8" w:rsidRDefault="00351272" w:rsidP="00351272">
      <w:pPr>
        <w:pStyle w:val="subsection"/>
      </w:pPr>
      <w:r w:rsidRPr="000C6BF8">
        <w:tab/>
        <w:t>(2)</w:t>
      </w:r>
      <w:r w:rsidRPr="000C6BF8">
        <w:tab/>
        <w:t>A Secretary’s entitlement to personal leave accrues at the rate of 15 days full pay on the date of initial appointment plus a further 15 days at the end of each 12 months of service.</w:t>
      </w:r>
    </w:p>
    <w:p w14:paraId="5A81CBF7" w14:textId="77777777" w:rsidR="00351272" w:rsidRPr="000C6BF8" w:rsidRDefault="00351272" w:rsidP="00351272">
      <w:pPr>
        <w:pStyle w:val="subsection"/>
      </w:pPr>
      <w:r w:rsidRPr="000C6BF8">
        <w:tab/>
        <w:t>(3)</w:t>
      </w:r>
      <w:r w:rsidRPr="000C6BF8">
        <w:tab/>
        <w:t xml:space="preserve">In addition to the personal leave entitlement specified in subsection (2), a Secretary’s sick leave entitlements accrued either through prior service in the </w:t>
      </w:r>
      <w:r w:rsidRPr="000C6BF8">
        <w:lastRenderedPageBreak/>
        <w:t>Australian Public Service or in the service of a State or Territory government, or through employment in a Commonwealth authority, that in either case ceased not more than 2 months prior to being appointed a Secretary, is to be recognised as if accrued while a Secretary and is to be paid at full pay or half pay as recognised on appointment.</w:t>
      </w:r>
    </w:p>
    <w:p w14:paraId="407AB90B" w14:textId="77777777" w:rsidR="00351272" w:rsidRPr="000C6BF8" w:rsidRDefault="00351272" w:rsidP="00351272">
      <w:pPr>
        <w:pStyle w:val="subsection"/>
      </w:pPr>
      <w:r w:rsidRPr="000C6BF8">
        <w:tab/>
        <w:t>(4)</w:t>
      </w:r>
      <w:r w:rsidRPr="000C6BF8">
        <w:tab/>
        <w:t>Neither unused personal leave nor unused sick leave accrued through prior service referred to in subsection (3) are to be paid out if a Secretary ceases for whatever reason to be a Secretary.</w:t>
      </w:r>
    </w:p>
    <w:p w14:paraId="3F19AD91" w14:textId="77777777" w:rsidR="00351272" w:rsidRPr="000C6BF8" w:rsidRDefault="00351272" w:rsidP="00351272">
      <w:pPr>
        <w:pStyle w:val="subsection"/>
      </w:pPr>
      <w:r w:rsidRPr="000C6BF8">
        <w:tab/>
        <w:t>(5)</w:t>
      </w:r>
      <w:r w:rsidRPr="000C6BF8">
        <w:tab/>
        <w:t>The Secretary’s Minister may grant additional personal leave to a Secretary at the Secretary’s Minister’s discretion.</w:t>
      </w:r>
    </w:p>
    <w:p w14:paraId="572473F5" w14:textId="77777777" w:rsidR="00351272" w:rsidRPr="000C6BF8" w:rsidRDefault="00351272" w:rsidP="00351272">
      <w:pPr>
        <w:pStyle w:val="ActHead5"/>
      </w:pPr>
      <w:bookmarkStart w:id="27" w:name="_Toc200718634"/>
      <w:r w:rsidRPr="00D7332E">
        <w:rPr>
          <w:rStyle w:val="CharSectno"/>
        </w:rPr>
        <w:t>22</w:t>
      </w:r>
      <w:r w:rsidRPr="000C6BF8">
        <w:t xml:space="preserve">  Miscellaneous leave</w:t>
      </w:r>
      <w:bookmarkEnd w:id="27"/>
    </w:p>
    <w:p w14:paraId="2C816781" w14:textId="77777777" w:rsidR="00351272" w:rsidRPr="000C6BF8" w:rsidRDefault="00351272" w:rsidP="00351272">
      <w:pPr>
        <w:pStyle w:val="subsection"/>
      </w:pPr>
      <w:r w:rsidRPr="000C6BF8">
        <w:tab/>
      </w:r>
      <w:r w:rsidRPr="000C6BF8">
        <w:tab/>
        <w:t>The Prime Minister or the Prime Minister’s delegate may grant leave of absence to a Secretary for a purpose that the Prime Minister or the delegate considers to be in the interests of the Commonwealth. Such leave of absence may be with or without pay and subject to conditions at the discretion of the Prime Minister or the delegate.</w:t>
      </w:r>
    </w:p>
    <w:p w14:paraId="7B6C901C" w14:textId="77777777" w:rsidR="00351272" w:rsidRPr="000C6BF8" w:rsidRDefault="00351272" w:rsidP="00351272">
      <w:pPr>
        <w:pStyle w:val="ActHead5"/>
      </w:pPr>
      <w:bookmarkStart w:id="28" w:name="_Toc200718635"/>
      <w:r w:rsidRPr="00D7332E">
        <w:rPr>
          <w:rStyle w:val="CharSectno"/>
        </w:rPr>
        <w:t>23</w:t>
      </w:r>
      <w:r w:rsidRPr="000C6BF8">
        <w:t xml:space="preserve">  Statutory leave provisions</w:t>
      </w:r>
      <w:bookmarkEnd w:id="28"/>
    </w:p>
    <w:p w14:paraId="0EE1709F" w14:textId="77777777" w:rsidR="00351272" w:rsidRPr="000C6BF8" w:rsidRDefault="00351272" w:rsidP="00351272">
      <w:pPr>
        <w:pStyle w:val="subsection"/>
      </w:pPr>
      <w:r w:rsidRPr="000C6BF8">
        <w:tab/>
      </w:r>
      <w:r w:rsidRPr="000C6BF8">
        <w:tab/>
        <w:t xml:space="preserve">A Secretary is entitled to long service leave in accordance with the </w:t>
      </w:r>
      <w:r w:rsidRPr="000C6BF8">
        <w:rPr>
          <w:i/>
        </w:rPr>
        <w:t>Long Service Leave (Commonwealth Employees) Act 1976</w:t>
      </w:r>
      <w:r w:rsidRPr="000C6BF8">
        <w:t xml:space="preserve"> and maternity leave in accordance with the </w:t>
      </w:r>
      <w:r w:rsidRPr="000C6BF8">
        <w:rPr>
          <w:i/>
        </w:rPr>
        <w:t>Maternity Leave (Commonwealth Employees) Act 1973</w:t>
      </w:r>
      <w:r w:rsidRPr="000C6BF8">
        <w:t>.</w:t>
      </w:r>
    </w:p>
    <w:p w14:paraId="79AA2D58" w14:textId="77777777" w:rsidR="00351272" w:rsidRPr="000C6BF8" w:rsidRDefault="00351272" w:rsidP="00351272">
      <w:pPr>
        <w:pStyle w:val="ActHead5"/>
      </w:pPr>
      <w:bookmarkStart w:id="29" w:name="_Toc200718636"/>
      <w:r w:rsidRPr="00D7332E">
        <w:rPr>
          <w:rStyle w:val="CharSectno"/>
        </w:rPr>
        <w:t>24</w:t>
      </w:r>
      <w:r w:rsidRPr="000C6BF8">
        <w:t xml:space="preserve">  Application for leave</w:t>
      </w:r>
      <w:bookmarkEnd w:id="29"/>
    </w:p>
    <w:p w14:paraId="109A81E8" w14:textId="77777777" w:rsidR="00351272" w:rsidRPr="000C6BF8" w:rsidRDefault="00351272" w:rsidP="00351272">
      <w:pPr>
        <w:pStyle w:val="subsection"/>
      </w:pPr>
      <w:r w:rsidRPr="000C6BF8">
        <w:tab/>
      </w:r>
      <w:r w:rsidRPr="000C6BF8">
        <w:tab/>
        <w:t>If a Secretary wishes to take any recreation leave, long service leave, personal leave or maternity leave to which the Secretary is entitled, or a mixture of them, the Secretary must apply:</w:t>
      </w:r>
    </w:p>
    <w:p w14:paraId="12765B5B" w14:textId="77777777" w:rsidR="00351272" w:rsidRPr="000C6BF8" w:rsidRDefault="00351272" w:rsidP="00351272">
      <w:pPr>
        <w:pStyle w:val="paragraph"/>
      </w:pPr>
      <w:r w:rsidRPr="000C6BF8">
        <w:tab/>
        <w:t>(a)</w:t>
      </w:r>
      <w:r w:rsidRPr="000C6BF8">
        <w:tab/>
        <w:t>if the leave is for a total period of 3 months or less—to the Secretary’s Minister; or</w:t>
      </w:r>
    </w:p>
    <w:p w14:paraId="619B5CC4" w14:textId="77777777" w:rsidR="00351272" w:rsidRPr="000C6BF8" w:rsidRDefault="00351272" w:rsidP="00351272">
      <w:pPr>
        <w:pStyle w:val="paragraph"/>
      </w:pPr>
      <w:r w:rsidRPr="000C6BF8">
        <w:tab/>
        <w:t>(b)</w:t>
      </w:r>
      <w:r w:rsidRPr="000C6BF8">
        <w:tab/>
        <w:t>if the leave is for a total period of more than 3 months—to the Prime Minister or the Prime Minister’s delegate.</w:t>
      </w:r>
    </w:p>
    <w:p w14:paraId="2042B993" w14:textId="77777777" w:rsidR="00351272" w:rsidRPr="000C6BF8" w:rsidRDefault="00351272" w:rsidP="00351272">
      <w:pPr>
        <w:pStyle w:val="ActHead2"/>
        <w:pageBreakBefore/>
      </w:pPr>
      <w:bookmarkStart w:id="30" w:name="_Toc200718637"/>
      <w:r w:rsidRPr="00D7332E">
        <w:rPr>
          <w:rStyle w:val="CharPartNo"/>
        </w:rPr>
        <w:lastRenderedPageBreak/>
        <w:t>Part 6</w:t>
      </w:r>
      <w:r w:rsidRPr="000C6BF8">
        <w:t>—</w:t>
      </w:r>
      <w:r w:rsidRPr="00D7332E">
        <w:rPr>
          <w:rStyle w:val="CharPartText"/>
        </w:rPr>
        <w:t>End of appointment</w:t>
      </w:r>
      <w:bookmarkEnd w:id="30"/>
    </w:p>
    <w:p w14:paraId="3AD6053C"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3F93978D" w14:textId="77777777" w:rsidR="00351272" w:rsidRPr="000C6BF8" w:rsidRDefault="00351272" w:rsidP="00351272">
      <w:pPr>
        <w:pStyle w:val="ActHead5"/>
      </w:pPr>
      <w:bookmarkStart w:id="31" w:name="_Toc200718638"/>
      <w:r w:rsidRPr="00D7332E">
        <w:rPr>
          <w:rStyle w:val="CharSectno"/>
        </w:rPr>
        <w:t>25</w:t>
      </w:r>
      <w:r w:rsidRPr="000C6BF8">
        <w:t xml:space="preserve">  Compensation for loss of office</w:t>
      </w:r>
      <w:bookmarkEnd w:id="31"/>
    </w:p>
    <w:p w14:paraId="1C29E460" w14:textId="77777777" w:rsidR="00351272" w:rsidRPr="000C6BF8" w:rsidRDefault="00351272" w:rsidP="00351272">
      <w:pPr>
        <w:pStyle w:val="subsection"/>
      </w:pPr>
      <w:r w:rsidRPr="000C6BF8">
        <w:tab/>
        <w:t>(1)</w:t>
      </w:r>
      <w:r w:rsidRPr="000C6BF8">
        <w:tab/>
        <w:t xml:space="preserve">If a Secretary is terminated in accordance with subsection 56(2) or 59(1) of the </w:t>
      </w:r>
      <w:r w:rsidRPr="000C6BF8">
        <w:rPr>
          <w:i/>
        </w:rPr>
        <w:t>Public Service Act 1999</w:t>
      </w:r>
      <w:r w:rsidRPr="000C6BF8">
        <w:t>, and an exclusion event does not occur, the Secretary is entitled upon termination to be paid:</w:t>
      </w:r>
    </w:p>
    <w:p w14:paraId="0E2AFCC9" w14:textId="77777777" w:rsidR="00351272" w:rsidRPr="000C6BF8" w:rsidRDefault="00351272" w:rsidP="00351272">
      <w:pPr>
        <w:pStyle w:val="paragraph"/>
      </w:pPr>
      <w:r w:rsidRPr="000C6BF8">
        <w:tab/>
        <w:t>(a)</w:t>
      </w:r>
      <w:r w:rsidRPr="000C6BF8">
        <w:tab/>
        <w:t>for a termination 12 months or more before the end of the Secretary’s term of appointment—12 months’ reference salary at the time of termination; or</w:t>
      </w:r>
    </w:p>
    <w:p w14:paraId="2230708E" w14:textId="77777777" w:rsidR="00351272" w:rsidRPr="000C6BF8" w:rsidRDefault="00351272" w:rsidP="00351272">
      <w:pPr>
        <w:pStyle w:val="paragraph"/>
      </w:pPr>
      <w:r w:rsidRPr="000C6BF8">
        <w:tab/>
        <w:t>(b)</w:t>
      </w:r>
      <w:r w:rsidRPr="000C6BF8">
        <w:tab/>
        <w:t>for a termination less than 12 months before the end of the Secretary’s term of appointment—1 month’s reference salary for each full month of the balance of the term not served, subject to a minimum payment of 6 months’ reference salary at the time of termination.</w:t>
      </w:r>
    </w:p>
    <w:p w14:paraId="375AC0A4" w14:textId="77777777" w:rsidR="00351272" w:rsidRPr="000C6BF8" w:rsidRDefault="00351272" w:rsidP="00351272">
      <w:pPr>
        <w:pStyle w:val="SubsectionHead"/>
      </w:pPr>
      <w:bookmarkStart w:id="32" w:name="_Hlk153002924"/>
      <w:r w:rsidRPr="000C6BF8">
        <w:t>Exclusion events</w:t>
      </w:r>
    </w:p>
    <w:p w14:paraId="2F9D313D" w14:textId="77777777" w:rsidR="00351272" w:rsidRPr="000C6BF8" w:rsidRDefault="00351272" w:rsidP="00351272">
      <w:pPr>
        <w:pStyle w:val="subsection"/>
      </w:pPr>
      <w:r w:rsidRPr="000C6BF8">
        <w:tab/>
        <w:t>(1A)</w:t>
      </w:r>
      <w:r w:rsidRPr="000C6BF8">
        <w:tab/>
        <w:t xml:space="preserve">An </w:t>
      </w:r>
      <w:r w:rsidRPr="000C6BF8">
        <w:rPr>
          <w:b/>
          <w:i/>
        </w:rPr>
        <w:t>exclusion event</w:t>
      </w:r>
      <w:r w:rsidRPr="000C6BF8">
        <w:t xml:space="preserve"> is any of the following events:</w:t>
      </w:r>
    </w:p>
    <w:p w14:paraId="3C76CCF3" w14:textId="77777777" w:rsidR="00351272" w:rsidRPr="000C6BF8" w:rsidRDefault="00351272" w:rsidP="00351272">
      <w:pPr>
        <w:pStyle w:val="paragraph"/>
      </w:pPr>
      <w:r w:rsidRPr="000C6BF8">
        <w:tab/>
        <w:t>(a)</w:t>
      </w:r>
      <w:r w:rsidRPr="000C6BF8">
        <w:tab/>
        <w:t xml:space="preserve">the Secretary’s appointment is terminated under subsection 59(1) of the </w:t>
      </w:r>
      <w:r w:rsidRPr="000C6BF8">
        <w:rPr>
          <w:i/>
        </w:rPr>
        <w:t xml:space="preserve">Public Service Act 1999 </w:t>
      </w:r>
      <w:r w:rsidRPr="000C6BF8">
        <w:t>before the end of the Secretary’s term of appointment, and before that termination:</w:t>
      </w:r>
    </w:p>
    <w:p w14:paraId="34A14D4F" w14:textId="77777777" w:rsidR="00351272" w:rsidRPr="000C6BF8" w:rsidRDefault="00351272" w:rsidP="00351272">
      <w:pPr>
        <w:pStyle w:val="paragraphsub"/>
      </w:pPr>
      <w:r w:rsidRPr="000C6BF8">
        <w:tab/>
        <w:t>(i)</w:t>
      </w:r>
      <w:r w:rsidRPr="000C6BF8">
        <w:tab/>
        <w:t>under paragraph 41(2)(m) of that Act, the Australian Public Service Commissioner inquired, in accordance with section 41A of that Act, into an alleged breach of the APS Code of Conduct (within the meaning of that Act) by the Secretary; and</w:t>
      </w:r>
    </w:p>
    <w:p w14:paraId="2B1FB108" w14:textId="77777777" w:rsidR="00351272" w:rsidRPr="000C6BF8" w:rsidRDefault="00351272" w:rsidP="00351272">
      <w:pPr>
        <w:pStyle w:val="paragraphsub"/>
      </w:pPr>
      <w:r w:rsidRPr="000C6BF8">
        <w:tab/>
        <w:t>(ii)</w:t>
      </w:r>
      <w:r w:rsidRPr="000C6BF8">
        <w:tab/>
        <w:t>the Commissioner found that the Secretary breached the APS Code of Conduct; and</w:t>
      </w:r>
    </w:p>
    <w:p w14:paraId="79D757DE" w14:textId="77777777" w:rsidR="00351272" w:rsidRPr="000C6BF8" w:rsidRDefault="00351272" w:rsidP="00351272">
      <w:pPr>
        <w:pStyle w:val="paragraphsub"/>
      </w:pPr>
      <w:r w:rsidRPr="000C6BF8">
        <w:tab/>
        <w:t>(iii)</w:t>
      </w:r>
      <w:r w:rsidRPr="000C6BF8">
        <w:tab/>
        <w:t>the Commissioner made a finding in relation to the Secretary’s conduct, as set out in subsection (1B) of this section;</w:t>
      </w:r>
    </w:p>
    <w:p w14:paraId="5552E94A" w14:textId="77777777" w:rsidR="00351272" w:rsidRPr="000C6BF8" w:rsidRDefault="00351272" w:rsidP="00351272">
      <w:pPr>
        <w:pStyle w:val="paragraph"/>
      </w:pPr>
      <w:r w:rsidRPr="000C6BF8">
        <w:tab/>
        <w:t>(b)</w:t>
      </w:r>
      <w:r w:rsidRPr="000C6BF8">
        <w:tab/>
        <w:t xml:space="preserve">the Secretary’s appointment is terminated under subsection 59(1) of the </w:t>
      </w:r>
      <w:r w:rsidRPr="000C6BF8">
        <w:rPr>
          <w:i/>
        </w:rPr>
        <w:t xml:space="preserve">Public Service Act 1999 </w:t>
      </w:r>
      <w:r w:rsidRPr="000C6BF8">
        <w:t>before the end of the Secretary’s term of appointment, and before that termination:</w:t>
      </w:r>
    </w:p>
    <w:p w14:paraId="68CCAFA5" w14:textId="7337D24C" w:rsidR="00351272" w:rsidRPr="000C6BF8" w:rsidRDefault="00351272" w:rsidP="00351272">
      <w:pPr>
        <w:pStyle w:val="paragraphsub"/>
      </w:pPr>
      <w:r w:rsidRPr="000C6BF8">
        <w:tab/>
        <w:t>(i)</w:t>
      </w:r>
      <w:r w:rsidRPr="000C6BF8">
        <w:tab/>
        <w:t xml:space="preserve">under the </w:t>
      </w:r>
      <w:r w:rsidRPr="000C6BF8">
        <w:rPr>
          <w:i/>
        </w:rPr>
        <w:t>National Anti</w:t>
      </w:r>
      <w:r w:rsidR="000C6BF8">
        <w:rPr>
          <w:i/>
        </w:rPr>
        <w:noBreakHyphen/>
      </w:r>
      <w:r w:rsidRPr="000C6BF8">
        <w:rPr>
          <w:i/>
        </w:rPr>
        <w:t>Corruption Commission Act 2022</w:t>
      </w:r>
      <w:r w:rsidRPr="000C6BF8">
        <w:t>, the National Anti</w:t>
      </w:r>
      <w:r w:rsidR="000C6BF8">
        <w:noBreakHyphen/>
      </w:r>
      <w:r w:rsidRPr="000C6BF8">
        <w:t>Corruption Commissioner conducted a corruption investigation into the conduct of the Secretary; and</w:t>
      </w:r>
    </w:p>
    <w:p w14:paraId="0F7B3F23" w14:textId="77777777" w:rsidR="00351272" w:rsidRPr="000C6BF8" w:rsidRDefault="00351272" w:rsidP="00351272">
      <w:pPr>
        <w:pStyle w:val="paragraphsub"/>
      </w:pPr>
      <w:r w:rsidRPr="000C6BF8">
        <w:tab/>
        <w:t>(ii)</w:t>
      </w:r>
      <w:r w:rsidRPr="000C6BF8">
        <w:tab/>
        <w:t>the investigation report under section 149 of that Act included an opinion that the Secretary had engaged in corrupt conduct of a serious or systemic nature; and</w:t>
      </w:r>
    </w:p>
    <w:p w14:paraId="0631CE4D" w14:textId="77777777" w:rsidR="00351272" w:rsidRPr="000C6BF8" w:rsidRDefault="00351272" w:rsidP="00351272">
      <w:pPr>
        <w:pStyle w:val="paragraphsub"/>
      </w:pPr>
      <w:r w:rsidRPr="000C6BF8">
        <w:tab/>
        <w:t>(iii)</w:t>
      </w:r>
      <w:r w:rsidRPr="000C6BF8">
        <w:tab/>
        <w:t>the investigation report included a recommendation to terminate the appointment of the Secretary;</w:t>
      </w:r>
    </w:p>
    <w:p w14:paraId="3FC4165F" w14:textId="77777777" w:rsidR="00351272" w:rsidRPr="000C6BF8" w:rsidRDefault="00351272" w:rsidP="00351272">
      <w:pPr>
        <w:pStyle w:val="paragraph"/>
      </w:pPr>
      <w:r w:rsidRPr="000C6BF8">
        <w:tab/>
        <w:t>(c)</w:t>
      </w:r>
      <w:r w:rsidRPr="000C6BF8">
        <w:tab/>
        <w:t>the Commonwealth makes the Secretary an offer of suitable alternative employment.</w:t>
      </w:r>
    </w:p>
    <w:p w14:paraId="609B0F67" w14:textId="77777777" w:rsidR="00351272" w:rsidRPr="000C6BF8" w:rsidRDefault="00351272" w:rsidP="00351272">
      <w:pPr>
        <w:pStyle w:val="subsection"/>
      </w:pPr>
      <w:r w:rsidRPr="000C6BF8">
        <w:tab/>
        <w:t>(1B)</w:t>
      </w:r>
      <w:r w:rsidRPr="000C6BF8">
        <w:tab/>
        <w:t>For the purposes of subparagraph (1A)(a)(iii), the Commissioner made a finding that the Secretary’s conduct:</w:t>
      </w:r>
    </w:p>
    <w:p w14:paraId="37AADAE7" w14:textId="77777777" w:rsidR="00351272" w:rsidRPr="000C6BF8" w:rsidRDefault="00351272" w:rsidP="00351272">
      <w:pPr>
        <w:pStyle w:val="paragraph"/>
      </w:pPr>
      <w:r w:rsidRPr="000C6BF8">
        <w:tab/>
        <w:t>(a)</w:t>
      </w:r>
      <w:r w:rsidRPr="000C6BF8">
        <w:tab/>
        <w:t>constituted any one or more of the following:</w:t>
      </w:r>
    </w:p>
    <w:p w14:paraId="309CACC1" w14:textId="77777777" w:rsidR="00351272" w:rsidRPr="000C6BF8" w:rsidRDefault="00351272" w:rsidP="00351272">
      <w:pPr>
        <w:pStyle w:val="paragraphsub"/>
      </w:pPr>
      <w:r w:rsidRPr="000C6BF8">
        <w:tab/>
        <w:t>(i)</w:t>
      </w:r>
      <w:r w:rsidRPr="000C6BF8">
        <w:tab/>
        <w:t>sexual harassment;</w:t>
      </w:r>
    </w:p>
    <w:p w14:paraId="059C43FB" w14:textId="77777777" w:rsidR="00351272" w:rsidRPr="000C6BF8" w:rsidRDefault="00351272" w:rsidP="00351272">
      <w:pPr>
        <w:pStyle w:val="paragraphsub"/>
      </w:pPr>
      <w:r w:rsidRPr="000C6BF8">
        <w:lastRenderedPageBreak/>
        <w:tab/>
        <w:t>(ii)</w:t>
      </w:r>
      <w:r w:rsidRPr="000C6BF8">
        <w:tab/>
        <w:t xml:space="preserve">bullying at work (within the meaning of subsection 789FD(1) of the </w:t>
      </w:r>
      <w:r w:rsidRPr="000C6BF8">
        <w:rPr>
          <w:i/>
        </w:rPr>
        <w:t>Fair Work Act 2009</w:t>
      </w:r>
      <w:r w:rsidRPr="000C6BF8">
        <w:t>);</w:t>
      </w:r>
    </w:p>
    <w:p w14:paraId="56E89BD2" w14:textId="77777777" w:rsidR="00351272" w:rsidRPr="000C6BF8" w:rsidRDefault="00351272" w:rsidP="00351272">
      <w:pPr>
        <w:pStyle w:val="paragraphsub"/>
        <w:rPr>
          <w:szCs w:val="22"/>
        </w:rPr>
      </w:pPr>
      <w:r w:rsidRPr="000C6BF8">
        <w:tab/>
        <w:t>(iii)</w:t>
      </w:r>
      <w:r w:rsidRPr="000C6BF8">
        <w:tab/>
        <w:t>an improper use of the Secretary’s duties, status, power or authority to gain a benefit or advantage (whether financial or otherwise) for themselves or any other person; or</w:t>
      </w:r>
    </w:p>
    <w:p w14:paraId="34AEA480" w14:textId="77777777" w:rsidR="00351272" w:rsidRPr="000C6BF8" w:rsidRDefault="00351272" w:rsidP="00351272">
      <w:pPr>
        <w:pStyle w:val="paragraph"/>
      </w:pPr>
      <w:r w:rsidRPr="000C6BF8">
        <w:tab/>
        <w:t>(b)</w:t>
      </w:r>
      <w:r w:rsidRPr="000C6BF8">
        <w:tab/>
        <w:t xml:space="preserve">is likely to constitute </w:t>
      </w:r>
      <w:r w:rsidRPr="000C6BF8">
        <w:rPr>
          <w:szCs w:val="22"/>
        </w:rPr>
        <w:t>an offence against a law of the Commonwealth, a State or a Territory that is punishable by imprisonment.</w:t>
      </w:r>
    </w:p>
    <w:p w14:paraId="2AE99AD8" w14:textId="77777777" w:rsidR="00351272" w:rsidRPr="000C6BF8" w:rsidRDefault="00351272" w:rsidP="00351272">
      <w:pPr>
        <w:pStyle w:val="SubsectionHead"/>
      </w:pPr>
      <w:r w:rsidRPr="000C6BF8">
        <w:t>Offers of suitable alternative employment</w:t>
      </w:r>
    </w:p>
    <w:bookmarkEnd w:id="32"/>
    <w:p w14:paraId="5EE609DD" w14:textId="77777777" w:rsidR="00351272" w:rsidRPr="000C6BF8" w:rsidRDefault="00351272" w:rsidP="00351272">
      <w:pPr>
        <w:pStyle w:val="subsection"/>
      </w:pPr>
      <w:r w:rsidRPr="000C6BF8">
        <w:tab/>
        <w:t>(2)</w:t>
      </w:r>
      <w:r w:rsidRPr="000C6BF8">
        <w:tab/>
        <w:t>In determining whether, for the purposes of paragraph (1A)(c), there has been an offer of suitable alternative employment, take account of any offer of employment with any of the following:</w:t>
      </w:r>
    </w:p>
    <w:p w14:paraId="3A15425F" w14:textId="77777777" w:rsidR="00351272" w:rsidRPr="000C6BF8" w:rsidRDefault="00351272" w:rsidP="00351272">
      <w:pPr>
        <w:pStyle w:val="paragraph"/>
      </w:pPr>
      <w:r w:rsidRPr="000C6BF8">
        <w:tab/>
        <w:t>(a)</w:t>
      </w:r>
      <w:r w:rsidRPr="000C6BF8">
        <w:tab/>
        <w:t>the Commonwealth;</w:t>
      </w:r>
    </w:p>
    <w:p w14:paraId="5C9FFD3E" w14:textId="77777777" w:rsidR="00351272" w:rsidRPr="000C6BF8" w:rsidRDefault="00351272" w:rsidP="00351272">
      <w:pPr>
        <w:pStyle w:val="paragraph"/>
      </w:pPr>
      <w:r w:rsidRPr="000C6BF8">
        <w:tab/>
        <w:t>(b)</w:t>
      </w:r>
      <w:r w:rsidRPr="000C6BF8">
        <w:tab/>
        <w:t>the administration of a Territory;</w:t>
      </w:r>
    </w:p>
    <w:p w14:paraId="00C31F59" w14:textId="77777777" w:rsidR="00351272" w:rsidRPr="000C6BF8" w:rsidRDefault="00351272" w:rsidP="00351272">
      <w:pPr>
        <w:pStyle w:val="paragraph"/>
      </w:pPr>
      <w:r w:rsidRPr="000C6BF8">
        <w:tab/>
        <w:t>(c)</w:t>
      </w:r>
      <w:r w:rsidRPr="000C6BF8">
        <w:tab/>
        <w:t>a public statutory corporation referred to in paragraph 3(4)(d) of the Act;</w:t>
      </w:r>
    </w:p>
    <w:p w14:paraId="58965B6B" w14:textId="77777777" w:rsidR="00351272" w:rsidRPr="000C6BF8" w:rsidRDefault="00351272" w:rsidP="00351272">
      <w:pPr>
        <w:pStyle w:val="paragraph"/>
      </w:pPr>
      <w:r w:rsidRPr="000C6BF8">
        <w:tab/>
        <w:t>(d)</w:t>
      </w:r>
      <w:r w:rsidRPr="000C6BF8">
        <w:tab/>
        <w:t>an incorporated company all the stock or shares in the capital of which is or are beneficially owned by the Commonwealth or by a public statutory corporation;</w:t>
      </w:r>
    </w:p>
    <w:p w14:paraId="1B3DF9A8" w14:textId="77777777" w:rsidR="00351272" w:rsidRPr="000C6BF8" w:rsidRDefault="00351272" w:rsidP="00351272">
      <w:pPr>
        <w:pStyle w:val="paragraph"/>
      </w:pPr>
      <w:r w:rsidRPr="000C6BF8">
        <w:tab/>
        <w:t>(e)</w:t>
      </w:r>
      <w:r w:rsidRPr="000C6BF8">
        <w:tab/>
        <w:t>an incorporated company limited by guarantee where the interests and rights of the members in or in relation to the company are beneficially owned by the Commonwealth or by a public statutory corporation.</w:t>
      </w:r>
    </w:p>
    <w:p w14:paraId="339F628C" w14:textId="77777777" w:rsidR="00351272" w:rsidRPr="000C6BF8" w:rsidRDefault="00351272" w:rsidP="00351272">
      <w:pPr>
        <w:pStyle w:val="subsection"/>
      </w:pPr>
      <w:r w:rsidRPr="000C6BF8">
        <w:tab/>
        <w:t>(3)</w:t>
      </w:r>
      <w:r w:rsidRPr="000C6BF8">
        <w:tab/>
        <w:t>If:</w:t>
      </w:r>
    </w:p>
    <w:p w14:paraId="04945766" w14:textId="77777777" w:rsidR="00351272" w:rsidRPr="000C6BF8" w:rsidRDefault="00351272" w:rsidP="00351272">
      <w:pPr>
        <w:pStyle w:val="paragraph"/>
      </w:pPr>
      <w:r w:rsidRPr="000C6BF8">
        <w:tab/>
        <w:t>(a)</w:t>
      </w:r>
      <w:r w:rsidRPr="000C6BF8">
        <w:tab/>
        <w:t xml:space="preserve">a Secretary who has been terminated (the </w:t>
      </w:r>
      <w:r w:rsidRPr="000C6BF8">
        <w:rPr>
          <w:b/>
          <w:i/>
        </w:rPr>
        <w:t>former Secretary</w:t>
      </w:r>
      <w:r w:rsidRPr="000C6BF8">
        <w:t>) is appointed to suitable alternative employment in an office within the jurisdiction of the Tribunal; and</w:t>
      </w:r>
    </w:p>
    <w:p w14:paraId="49E9A2EB" w14:textId="77777777" w:rsidR="00351272" w:rsidRPr="000C6BF8" w:rsidRDefault="00351272" w:rsidP="00351272">
      <w:pPr>
        <w:pStyle w:val="paragraph"/>
      </w:pPr>
      <w:r w:rsidRPr="000C6BF8">
        <w:tab/>
        <w:t>(b)</w:t>
      </w:r>
      <w:r w:rsidRPr="000C6BF8">
        <w:tab/>
        <w:t>the total remuneration that applies to that position is less than the total remuneration for the lowest pay point in the classification level of the office from which the former Secretary has been terminated;</w:t>
      </w:r>
    </w:p>
    <w:p w14:paraId="231BFA6C" w14:textId="77777777" w:rsidR="00351272" w:rsidRPr="000C6BF8" w:rsidRDefault="00351272" w:rsidP="00351272">
      <w:pPr>
        <w:pStyle w:val="subsection2"/>
      </w:pPr>
      <w:r w:rsidRPr="000C6BF8">
        <w:t>then the Tribunal may determine that, for up to 12 months from the appointment:</w:t>
      </w:r>
    </w:p>
    <w:p w14:paraId="0362CE0A" w14:textId="77777777" w:rsidR="00351272" w:rsidRPr="000C6BF8" w:rsidRDefault="00351272" w:rsidP="00351272">
      <w:pPr>
        <w:pStyle w:val="paragraph"/>
      </w:pPr>
      <w:r w:rsidRPr="000C6BF8">
        <w:tab/>
        <w:t>(c)</w:t>
      </w:r>
      <w:r w:rsidRPr="000C6BF8">
        <w:tab/>
        <w:t>the former Secretary is entitled to total remuneration at that pay point; and</w:t>
      </w:r>
    </w:p>
    <w:p w14:paraId="00871015" w14:textId="77777777" w:rsidR="00351272" w:rsidRPr="000C6BF8" w:rsidRDefault="00351272" w:rsidP="00351272">
      <w:pPr>
        <w:pStyle w:val="paragraph"/>
      </w:pPr>
      <w:r w:rsidRPr="000C6BF8">
        <w:tab/>
        <w:t>(d)</w:t>
      </w:r>
      <w:r w:rsidRPr="000C6BF8">
        <w:tab/>
        <w:t>the former Secretary’s superannuation salary for the purposes of a Commonwealth defined benefits scheme is 70% of that total remuneration (rounded up to the nearest $10).</w:t>
      </w:r>
    </w:p>
    <w:p w14:paraId="58809CD1" w14:textId="77777777" w:rsidR="00351272" w:rsidRPr="000C6BF8" w:rsidRDefault="00351272" w:rsidP="00351272">
      <w:pPr>
        <w:pStyle w:val="notetext"/>
      </w:pPr>
      <w:r w:rsidRPr="000C6BF8">
        <w:t>Note:</w:t>
      </w:r>
      <w:r w:rsidRPr="000C6BF8">
        <w:tab/>
        <w:t>The Tribunal will make an individual determination in each case.</w:t>
      </w:r>
    </w:p>
    <w:p w14:paraId="590CD7B1" w14:textId="77777777" w:rsidR="00351272" w:rsidRPr="000C6BF8" w:rsidRDefault="00351272" w:rsidP="00351272">
      <w:pPr>
        <w:pStyle w:val="ActHead5"/>
      </w:pPr>
      <w:bookmarkStart w:id="33" w:name="_Toc200718639"/>
      <w:bookmarkStart w:id="34" w:name="_Hlk153003183"/>
      <w:r w:rsidRPr="00D7332E">
        <w:rPr>
          <w:rStyle w:val="CharSectno"/>
        </w:rPr>
        <w:t>26</w:t>
      </w:r>
      <w:r w:rsidRPr="000C6BF8">
        <w:t xml:space="preserve">  Notice of a decision not to reappoint</w:t>
      </w:r>
      <w:bookmarkEnd w:id="33"/>
    </w:p>
    <w:p w14:paraId="5CBB7778" w14:textId="77777777" w:rsidR="00351272" w:rsidRPr="000C6BF8" w:rsidRDefault="00351272" w:rsidP="00351272">
      <w:pPr>
        <w:pStyle w:val="subsection"/>
      </w:pPr>
      <w:r w:rsidRPr="000C6BF8">
        <w:tab/>
      </w:r>
      <w:r w:rsidRPr="000C6BF8">
        <w:tab/>
        <w:t>A Secretary who is not given 3 months’ notice that the Secretary will not be reappointed to an office of Secretary at the expiration of the Secretary’s current term is entitled to 3 months’ reference salary, unless an exclusion event occurs.</w:t>
      </w:r>
    </w:p>
    <w:p w14:paraId="1EE30C17" w14:textId="77777777" w:rsidR="00351272" w:rsidRPr="000C6BF8" w:rsidRDefault="00351272" w:rsidP="00351272">
      <w:pPr>
        <w:pStyle w:val="ActHead2"/>
        <w:pageBreakBefore/>
      </w:pPr>
      <w:bookmarkStart w:id="35" w:name="_Toc200718640"/>
      <w:bookmarkEnd w:id="34"/>
      <w:r w:rsidRPr="00D7332E">
        <w:rPr>
          <w:rStyle w:val="CharPartNo"/>
        </w:rPr>
        <w:lastRenderedPageBreak/>
        <w:t>Part 7</w:t>
      </w:r>
      <w:r w:rsidRPr="000C6BF8">
        <w:t>—</w:t>
      </w:r>
      <w:r w:rsidRPr="00D7332E">
        <w:rPr>
          <w:rStyle w:val="CharPartText"/>
        </w:rPr>
        <w:t>Removal, relocation and family reunion assistance</w:t>
      </w:r>
      <w:bookmarkEnd w:id="35"/>
    </w:p>
    <w:p w14:paraId="07538B80"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2B1B695F" w14:textId="77777777" w:rsidR="00351272" w:rsidRPr="000C6BF8" w:rsidRDefault="00351272" w:rsidP="00351272">
      <w:pPr>
        <w:pStyle w:val="ActHead5"/>
      </w:pPr>
      <w:bookmarkStart w:id="36" w:name="_Toc200718641"/>
      <w:r w:rsidRPr="00D7332E">
        <w:rPr>
          <w:rStyle w:val="CharSectno"/>
        </w:rPr>
        <w:t>27</w:t>
      </w:r>
      <w:r w:rsidRPr="000C6BF8">
        <w:t xml:space="preserve">  Definitions for Part 7</w:t>
      </w:r>
      <w:bookmarkEnd w:id="36"/>
    </w:p>
    <w:p w14:paraId="55A61A02" w14:textId="77777777" w:rsidR="00351272" w:rsidRPr="000C6BF8" w:rsidRDefault="00351272" w:rsidP="00351272">
      <w:pPr>
        <w:pStyle w:val="subsection"/>
      </w:pPr>
      <w:r w:rsidRPr="000C6BF8">
        <w:tab/>
      </w:r>
      <w:r w:rsidRPr="000C6BF8">
        <w:tab/>
        <w:t>In this Part:</w:t>
      </w:r>
    </w:p>
    <w:p w14:paraId="604096EA" w14:textId="77777777" w:rsidR="00351272" w:rsidRPr="000C6BF8" w:rsidRDefault="00351272" w:rsidP="00351272">
      <w:pPr>
        <w:pStyle w:val="Definition"/>
      </w:pPr>
      <w:r w:rsidRPr="000C6BF8">
        <w:rPr>
          <w:b/>
          <w:i/>
        </w:rPr>
        <w:t>family reunion</w:t>
      </w:r>
      <w:r w:rsidRPr="000C6BF8">
        <w:t xml:space="preserve"> means reunion between the Secretary and members of the Secretary’s immediate family who reside in the residence maintained by the Secretary in the Secretary’s home locality.</w:t>
      </w:r>
    </w:p>
    <w:p w14:paraId="28EA8732" w14:textId="77777777" w:rsidR="00351272" w:rsidRPr="000C6BF8" w:rsidRDefault="00351272" w:rsidP="00351272">
      <w:pPr>
        <w:pStyle w:val="Definition"/>
      </w:pPr>
      <w:r w:rsidRPr="000C6BF8">
        <w:rPr>
          <w:b/>
          <w:i/>
        </w:rPr>
        <w:t>home locality</w:t>
      </w:r>
      <w:r w:rsidRPr="000C6BF8">
        <w:t xml:space="preserve"> means the locality where the Secretary ordinarily lives immediately before the commencement of the term of appointment as Secretary takes place.</w:t>
      </w:r>
    </w:p>
    <w:p w14:paraId="48514A20" w14:textId="77777777" w:rsidR="00351272" w:rsidRPr="000C6BF8" w:rsidRDefault="00351272" w:rsidP="00351272">
      <w:pPr>
        <w:pStyle w:val="Definition"/>
      </w:pPr>
      <w:r w:rsidRPr="000C6BF8">
        <w:rPr>
          <w:b/>
          <w:i/>
        </w:rPr>
        <w:t>locality of the Australian Capital Territory</w:t>
      </w:r>
      <w:r w:rsidRPr="000C6BF8">
        <w:t xml:space="preserve"> means the Australian Capital Territory and those parts of New South Wales which fall within a 100 kilometre radius of Canberra.</w:t>
      </w:r>
    </w:p>
    <w:p w14:paraId="719599F8" w14:textId="77777777" w:rsidR="00351272" w:rsidRPr="000C6BF8" w:rsidRDefault="00351272" w:rsidP="00351272">
      <w:pPr>
        <w:pStyle w:val="Definition"/>
      </w:pPr>
      <w:r w:rsidRPr="000C6BF8">
        <w:rPr>
          <w:b/>
          <w:i/>
        </w:rPr>
        <w:t>new locality</w:t>
      </w:r>
      <w:r w:rsidRPr="000C6BF8">
        <w:t xml:space="preserve"> means the locality of the Australian Capital Territory.</w:t>
      </w:r>
    </w:p>
    <w:p w14:paraId="1340B1F6" w14:textId="77777777" w:rsidR="00351272" w:rsidRPr="000C6BF8" w:rsidRDefault="00351272" w:rsidP="00351272">
      <w:pPr>
        <w:pStyle w:val="ActHead5"/>
      </w:pPr>
      <w:bookmarkStart w:id="37" w:name="_Toc200718642"/>
      <w:r w:rsidRPr="00D7332E">
        <w:rPr>
          <w:rStyle w:val="CharSectno"/>
        </w:rPr>
        <w:t>28</w:t>
      </w:r>
      <w:r w:rsidRPr="000C6BF8">
        <w:t xml:space="preserve">  Relocation costs</w:t>
      </w:r>
      <w:bookmarkEnd w:id="37"/>
    </w:p>
    <w:p w14:paraId="33F7EF61" w14:textId="77777777" w:rsidR="00351272" w:rsidRPr="000C6BF8" w:rsidRDefault="00351272" w:rsidP="00351272">
      <w:pPr>
        <w:pStyle w:val="subsection"/>
      </w:pPr>
      <w:r w:rsidRPr="000C6BF8">
        <w:tab/>
        <w:t>(1)</w:t>
      </w:r>
      <w:r w:rsidRPr="000C6BF8">
        <w:tab/>
        <w:t>A Secretary is entitled to payment at Commonwealth expense of relocation costs from the Secretary’s home locality to the new locality in order to take up the appointment as a Secretary.</w:t>
      </w:r>
    </w:p>
    <w:p w14:paraId="49A71AE1" w14:textId="77777777" w:rsidR="00351272" w:rsidRPr="000C6BF8" w:rsidRDefault="00351272" w:rsidP="00351272">
      <w:pPr>
        <w:pStyle w:val="subsection"/>
      </w:pPr>
      <w:r w:rsidRPr="000C6BF8">
        <w:tab/>
        <w:t>(2)</w:t>
      </w:r>
      <w:r w:rsidRPr="000C6BF8">
        <w:tab/>
        <w:t>For the purposes of subsection (1), relocation costs include, as applicable:</w:t>
      </w:r>
    </w:p>
    <w:p w14:paraId="2ABEFDE2" w14:textId="77777777" w:rsidR="00351272" w:rsidRPr="000C6BF8" w:rsidRDefault="00351272" w:rsidP="00351272">
      <w:pPr>
        <w:pStyle w:val="paragraph"/>
      </w:pPr>
      <w:r w:rsidRPr="000C6BF8">
        <w:tab/>
        <w:t>(a)</w:t>
      </w:r>
      <w:r w:rsidRPr="000C6BF8">
        <w:tab/>
        <w:t>transportation of the Secretary and the Secretary’s partner and dependants, if any, from the home locality to the new locality, and their return to the home locality when the Secretary ceases to hold office as Secretary for whatever reason; and</w:t>
      </w:r>
    </w:p>
    <w:p w14:paraId="7C1EA043" w14:textId="77777777" w:rsidR="00351272" w:rsidRPr="000C6BF8" w:rsidRDefault="00351272" w:rsidP="00351272">
      <w:pPr>
        <w:pStyle w:val="paragraph"/>
      </w:pPr>
      <w:r w:rsidRPr="000C6BF8">
        <w:tab/>
        <w:t>(b)</w:t>
      </w:r>
      <w:r w:rsidRPr="000C6BF8">
        <w:tab/>
        <w:t>the insured removal of the furniture, household effects and domestic animals of the Secretary and the Secretary’s partner and dependants from the home locality to the new locality, and their return to the home locality when the Secretary ceases to hold office as Secretary for whatever reason.</w:t>
      </w:r>
    </w:p>
    <w:p w14:paraId="3DF73063" w14:textId="77777777" w:rsidR="00351272" w:rsidRPr="000C6BF8" w:rsidRDefault="00351272" w:rsidP="00351272">
      <w:pPr>
        <w:pStyle w:val="ActHead5"/>
      </w:pPr>
      <w:bookmarkStart w:id="38" w:name="_Toc200718643"/>
      <w:r w:rsidRPr="00D7332E">
        <w:rPr>
          <w:rStyle w:val="CharSectno"/>
        </w:rPr>
        <w:t>29</w:t>
      </w:r>
      <w:r w:rsidRPr="000C6BF8">
        <w:t xml:space="preserve">  Settling out allowance</w:t>
      </w:r>
      <w:bookmarkEnd w:id="38"/>
    </w:p>
    <w:p w14:paraId="4F081E28" w14:textId="77777777" w:rsidR="00351272" w:rsidRPr="000C6BF8" w:rsidRDefault="00351272" w:rsidP="00351272">
      <w:pPr>
        <w:pStyle w:val="subsection"/>
      </w:pPr>
      <w:r w:rsidRPr="000C6BF8">
        <w:tab/>
        <w:t>(1)</w:t>
      </w:r>
      <w:r w:rsidRPr="000C6BF8">
        <w:tab/>
        <w:t xml:space="preserve">The </w:t>
      </w:r>
      <w:r w:rsidRPr="000C6BF8">
        <w:rPr>
          <w:b/>
          <w:i/>
        </w:rPr>
        <w:t>settling out period</w:t>
      </w:r>
      <w:r w:rsidRPr="000C6BF8">
        <w:t xml:space="preserve"> is the period of up to 7 days beginning on the day when the furniture and other household effects of the Secretary and the Secretary’s dependants, if any, are removed from the residence of the Secretary at the home locality.</w:t>
      </w:r>
    </w:p>
    <w:p w14:paraId="0579B65B" w14:textId="77777777" w:rsidR="00351272" w:rsidRPr="000C6BF8" w:rsidRDefault="00351272" w:rsidP="00351272">
      <w:pPr>
        <w:pStyle w:val="subsection"/>
      </w:pPr>
      <w:r w:rsidRPr="000C6BF8">
        <w:tab/>
        <w:t>(2)</w:t>
      </w:r>
      <w:r w:rsidRPr="000C6BF8">
        <w:tab/>
        <w:t>During the settling out period, the Secretary is entitled to settling out allowance of:</w:t>
      </w:r>
    </w:p>
    <w:p w14:paraId="29558206" w14:textId="77777777" w:rsidR="00351272" w:rsidRPr="000C6BF8" w:rsidRDefault="00351272" w:rsidP="00351272">
      <w:pPr>
        <w:pStyle w:val="paragraph"/>
      </w:pPr>
      <w:r w:rsidRPr="000C6BF8">
        <w:tab/>
        <w:t>(a)</w:t>
      </w:r>
      <w:r w:rsidRPr="000C6BF8">
        <w:tab/>
        <w:t>in relation to the costs of accommodation—$1,727 per week; and</w:t>
      </w:r>
    </w:p>
    <w:p w14:paraId="5069E629" w14:textId="77777777" w:rsidR="00351272" w:rsidRPr="000C6BF8" w:rsidRDefault="00351272" w:rsidP="00351272">
      <w:pPr>
        <w:pStyle w:val="paragraph"/>
      </w:pPr>
      <w:r w:rsidRPr="000C6BF8">
        <w:tab/>
        <w:t>(b)</w:t>
      </w:r>
      <w:r w:rsidRPr="000C6BF8">
        <w:tab/>
        <w:t>in relation to meals and incidentals—up to the rate per week applicable to an SES employee as advised from time to time under the Commonwealth Allowance Subscription Service for temporary accommodation allowances.</w:t>
      </w:r>
    </w:p>
    <w:p w14:paraId="09AFA5C3" w14:textId="77777777" w:rsidR="00351272" w:rsidRPr="000C6BF8" w:rsidRDefault="00351272" w:rsidP="00351272">
      <w:pPr>
        <w:pStyle w:val="ActHead5"/>
      </w:pPr>
      <w:bookmarkStart w:id="39" w:name="_Toc200718644"/>
      <w:r w:rsidRPr="00D7332E">
        <w:rPr>
          <w:rStyle w:val="CharSectno"/>
        </w:rPr>
        <w:lastRenderedPageBreak/>
        <w:t>30</w:t>
      </w:r>
      <w:r w:rsidRPr="000C6BF8">
        <w:t xml:space="preserve">  Settling in allowance</w:t>
      </w:r>
      <w:bookmarkEnd w:id="39"/>
    </w:p>
    <w:p w14:paraId="3276EEC6" w14:textId="77777777" w:rsidR="00351272" w:rsidRPr="000C6BF8" w:rsidRDefault="00351272" w:rsidP="00351272">
      <w:pPr>
        <w:pStyle w:val="subsection"/>
      </w:pPr>
      <w:r w:rsidRPr="000C6BF8">
        <w:tab/>
        <w:t>(1)</w:t>
      </w:r>
      <w:r w:rsidRPr="000C6BF8">
        <w:tab/>
        <w:t xml:space="preserve">The </w:t>
      </w:r>
      <w:r w:rsidRPr="000C6BF8">
        <w:rPr>
          <w:b/>
          <w:i/>
        </w:rPr>
        <w:t>settling in period</w:t>
      </w:r>
      <w:r w:rsidRPr="000C6BF8">
        <w:t xml:space="preserve"> is the period beginning up to 7 days before the day when the Secretary begins duty at the new locality and ending on the earlier of:</w:t>
      </w:r>
    </w:p>
    <w:p w14:paraId="17B2FFF8" w14:textId="77777777" w:rsidR="00351272" w:rsidRPr="000C6BF8" w:rsidRDefault="00351272" w:rsidP="00351272">
      <w:pPr>
        <w:pStyle w:val="paragraph"/>
      </w:pPr>
      <w:r w:rsidRPr="000C6BF8">
        <w:tab/>
        <w:t>(a)</w:t>
      </w:r>
      <w:r w:rsidRPr="000C6BF8">
        <w:tab/>
        <w:t>the day when suitable accommodation or suitable temporary accommodation becomes available at the new locality; or</w:t>
      </w:r>
    </w:p>
    <w:p w14:paraId="49127EFF" w14:textId="77777777" w:rsidR="00351272" w:rsidRPr="000C6BF8" w:rsidRDefault="00351272" w:rsidP="00351272">
      <w:pPr>
        <w:pStyle w:val="paragraph"/>
      </w:pPr>
      <w:r w:rsidRPr="000C6BF8">
        <w:tab/>
        <w:t>(b)</w:t>
      </w:r>
      <w:r w:rsidRPr="000C6BF8">
        <w:tab/>
        <w:t>the day 13 weeks after the day when the Secretary begins duty at the new locality.</w:t>
      </w:r>
    </w:p>
    <w:p w14:paraId="659ED56D" w14:textId="77777777" w:rsidR="00351272" w:rsidRPr="000C6BF8" w:rsidRDefault="00351272" w:rsidP="00351272">
      <w:pPr>
        <w:pStyle w:val="subsection"/>
      </w:pPr>
      <w:r w:rsidRPr="000C6BF8">
        <w:tab/>
        <w:t>(2)</w:t>
      </w:r>
      <w:r w:rsidRPr="000C6BF8">
        <w:tab/>
        <w:t>During the settling in period, the Secretary is entitled to settling in allowance of:</w:t>
      </w:r>
    </w:p>
    <w:p w14:paraId="196E99CE" w14:textId="77777777" w:rsidR="00351272" w:rsidRPr="000C6BF8" w:rsidRDefault="00351272" w:rsidP="00351272">
      <w:pPr>
        <w:pStyle w:val="paragraph"/>
      </w:pPr>
      <w:r w:rsidRPr="000C6BF8">
        <w:tab/>
        <w:t>(a)</w:t>
      </w:r>
      <w:r w:rsidRPr="000C6BF8">
        <w:tab/>
        <w:t>in relation to the costs of accommodation—$1,727 per week; and</w:t>
      </w:r>
    </w:p>
    <w:p w14:paraId="430F3A32" w14:textId="77777777" w:rsidR="00351272" w:rsidRPr="000C6BF8" w:rsidRDefault="00351272" w:rsidP="00351272">
      <w:pPr>
        <w:pStyle w:val="paragraph"/>
      </w:pPr>
      <w:r w:rsidRPr="000C6BF8">
        <w:tab/>
        <w:t>(b)</w:t>
      </w:r>
      <w:r w:rsidRPr="000C6BF8">
        <w:tab/>
        <w:t>in relation to meals and incidentals—up to the rate per week applicable to an SES employee as advised from time to time under the Commonwealth Allowance Subscription Service for temporary accommodation allowances.</w:t>
      </w:r>
    </w:p>
    <w:p w14:paraId="3A385925" w14:textId="77777777" w:rsidR="00351272" w:rsidRPr="000C6BF8" w:rsidRDefault="00351272" w:rsidP="00351272">
      <w:pPr>
        <w:pStyle w:val="ActHead5"/>
      </w:pPr>
      <w:bookmarkStart w:id="40" w:name="_Toc200718645"/>
      <w:r w:rsidRPr="00D7332E">
        <w:rPr>
          <w:rStyle w:val="CharSectno"/>
        </w:rPr>
        <w:t>31</w:t>
      </w:r>
      <w:r w:rsidRPr="000C6BF8">
        <w:t xml:space="preserve">  Accommodation support</w:t>
      </w:r>
      <w:bookmarkEnd w:id="40"/>
    </w:p>
    <w:p w14:paraId="1EC0B723" w14:textId="77777777" w:rsidR="00351272" w:rsidRPr="000C6BF8" w:rsidRDefault="00351272" w:rsidP="00351272">
      <w:pPr>
        <w:pStyle w:val="subsection"/>
      </w:pPr>
      <w:r w:rsidRPr="000C6BF8">
        <w:tab/>
      </w:r>
      <w:r w:rsidRPr="000C6BF8">
        <w:tab/>
        <w:t>A Secretary who did not live in the locality of the Australian Capital Territory immediately before the commencement of the term of appointment as Secretary is entitled to accommodation support of an amount per week equal to $34,500 per year for the duration of the Secretary’s term and any subsequent term as Secretary if the Secretary:</w:t>
      </w:r>
    </w:p>
    <w:p w14:paraId="623E7342" w14:textId="77777777" w:rsidR="00351272" w:rsidRPr="000C6BF8" w:rsidRDefault="00351272" w:rsidP="00351272">
      <w:pPr>
        <w:pStyle w:val="paragraph"/>
      </w:pPr>
      <w:r w:rsidRPr="000C6BF8">
        <w:tab/>
        <w:t>(a)</w:t>
      </w:r>
      <w:r w:rsidRPr="000C6BF8">
        <w:tab/>
        <w:t>continues to maintain a residence in the Secretary’s home locality; and</w:t>
      </w:r>
    </w:p>
    <w:p w14:paraId="10D89800" w14:textId="77777777" w:rsidR="00351272" w:rsidRPr="000C6BF8" w:rsidRDefault="00351272" w:rsidP="00351272">
      <w:pPr>
        <w:pStyle w:val="paragraph"/>
      </w:pPr>
      <w:r w:rsidRPr="000C6BF8">
        <w:tab/>
        <w:t>(b)</w:t>
      </w:r>
      <w:r w:rsidRPr="000C6BF8">
        <w:tab/>
        <w:t>does not buy a property in the locality of the Australian Capital Territory.</w:t>
      </w:r>
    </w:p>
    <w:p w14:paraId="604BF67D" w14:textId="77777777" w:rsidR="00351272" w:rsidRPr="000C6BF8" w:rsidRDefault="00351272" w:rsidP="00351272">
      <w:pPr>
        <w:pStyle w:val="ActHead5"/>
      </w:pPr>
      <w:bookmarkStart w:id="41" w:name="_Toc200718646"/>
      <w:r w:rsidRPr="00D7332E">
        <w:rPr>
          <w:rStyle w:val="CharSectno"/>
        </w:rPr>
        <w:t>32</w:t>
      </w:r>
      <w:r w:rsidRPr="000C6BF8">
        <w:t xml:space="preserve">  Reunion travel</w:t>
      </w:r>
      <w:bookmarkEnd w:id="41"/>
    </w:p>
    <w:p w14:paraId="5D3C05FB" w14:textId="77777777" w:rsidR="00351272" w:rsidRPr="000C6BF8" w:rsidRDefault="00351272" w:rsidP="00351272">
      <w:pPr>
        <w:pStyle w:val="subsection"/>
      </w:pPr>
      <w:r w:rsidRPr="000C6BF8">
        <w:tab/>
        <w:t>(1)</w:t>
      </w:r>
      <w:r w:rsidRPr="000C6BF8">
        <w:tab/>
        <w:t>This section applies to a Secretary who:</w:t>
      </w:r>
    </w:p>
    <w:p w14:paraId="62BE4F97" w14:textId="77777777" w:rsidR="00351272" w:rsidRPr="000C6BF8" w:rsidRDefault="00351272" w:rsidP="00351272">
      <w:pPr>
        <w:pStyle w:val="paragraph"/>
      </w:pPr>
      <w:r w:rsidRPr="000C6BF8">
        <w:tab/>
        <w:t>(a)</w:t>
      </w:r>
      <w:r w:rsidRPr="000C6BF8">
        <w:tab/>
        <w:t>did not, immediately before the commencement of the Secretary’s initial term of appointment as a Secretary, ordinarily live in the locality of the Australian Capital Territory; and</w:t>
      </w:r>
    </w:p>
    <w:p w14:paraId="3A0032CA" w14:textId="77777777" w:rsidR="00351272" w:rsidRPr="000C6BF8" w:rsidRDefault="00351272" w:rsidP="00351272">
      <w:pPr>
        <w:pStyle w:val="paragraph"/>
      </w:pPr>
      <w:r w:rsidRPr="000C6BF8">
        <w:tab/>
        <w:t>(b)</w:t>
      </w:r>
      <w:r w:rsidRPr="000C6BF8">
        <w:tab/>
        <w:t>maintains a principal place of residence elsewhere in Australia during the initial term of appointment as a Secretary and during any successive term of appointment as a Secretary.</w:t>
      </w:r>
    </w:p>
    <w:p w14:paraId="34A94E8B" w14:textId="77777777" w:rsidR="00351272" w:rsidRPr="000C6BF8" w:rsidRDefault="00351272" w:rsidP="00351272">
      <w:pPr>
        <w:pStyle w:val="subsection"/>
      </w:pPr>
      <w:r w:rsidRPr="000C6BF8">
        <w:tab/>
        <w:t>(2)</w:t>
      </w:r>
      <w:r w:rsidRPr="000C6BF8">
        <w:tab/>
        <w:t>The Secretary is entitled, for the purposes of family reunion, in each 12 months of service, at the Secretary’s election at the time of appointment or reappointment to:</w:t>
      </w:r>
    </w:p>
    <w:p w14:paraId="5E36F832" w14:textId="77777777" w:rsidR="00351272" w:rsidRPr="000C6BF8" w:rsidRDefault="00351272" w:rsidP="00351272">
      <w:pPr>
        <w:pStyle w:val="paragraph"/>
      </w:pPr>
      <w:r w:rsidRPr="000C6BF8">
        <w:tab/>
        <w:t>(a)</w:t>
      </w:r>
      <w:r w:rsidRPr="000C6BF8">
        <w:tab/>
        <w:t>12 business class return airfares between Canberra and the capital city nearest the Secretary’s principal place of residence; or</w:t>
      </w:r>
    </w:p>
    <w:p w14:paraId="7DDC7DDD" w14:textId="77777777" w:rsidR="00351272" w:rsidRPr="000C6BF8" w:rsidRDefault="00351272" w:rsidP="00351272">
      <w:pPr>
        <w:pStyle w:val="paragraph"/>
      </w:pPr>
      <w:r w:rsidRPr="000C6BF8">
        <w:tab/>
        <w:t>(b)</w:t>
      </w:r>
      <w:r w:rsidRPr="000C6BF8">
        <w:tab/>
        <w:t>travel for the purposes of reunion up to the value of 12 business class return fares between Canberra and the capital city nearest the principal place of residence.</w:t>
      </w:r>
    </w:p>
    <w:p w14:paraId="0ED5701D" w14:textId="77777777" w:rsidR="00351272" w:rsidRPr="000C6BF8" w:rsidRDefault="00351272" w:rsidP="00351272">
      <w:pPr>
        <w:pStyle w:val="subsection"/>
      </w:pPr>
      <w:r w:rsidRPr="000C6BF8">
        <w:tab/>
        <w:t>(3)</w:t>
      </w:r>
      <w:r w:rsidRPr="000C6BF8">
        <w:tab/>
        <w:t>The travel entitlement provided to the Secretary under subsection (2) may be used by the Secretary and the Secretary’s immediate family members. Where business travel to the capital city nearest to the Secretary’s principal place of residence provides an opportunity for family reunion (such as when the business travel is adjacent to a weekend), the reunion fare entitlement is to be reduced by the equivalent of one return business class fare.</w:t>
      </w:r>
    </w:p>
    <w:p w14:paraId="2D3AC082" w14:textId="77777777" w:rsidR="00351272" w:rsidRPr="000C6BF8" w:rsidRDefault="00351272" w:rsidP="00351272">
      <w:pPr>
        <w:pStyle w:val="subsection"/>
      </w:pPr>
      <w:r w:rsidRPr="000C6BF8">
        <w:lastRenderedPageBreak/>
        <w:tab/>
        <w:t>(4)</w:t>
      </w:r>
      <w:r w:rsidRPr="000C6BF8">
        <w:tab/>
        <w:t>Travel provided to the Secretary under subsection (2) may be undertaken only while the Secretary occupies the office of a Secretary. Any travel not taken by the day a Secretary ceases to occupy the office of a Secretary ceases to be available.</w:t>
      </w:r>
    </w:p>
    <w:p w14:paraId="41F80901" w14:textId="77777777" w:rsidR="00351272" w:rsidRPr="000C6BF8" w:rsidRDefault="00351272" w:rsidP="00351272">
      <w:pPr>
        <w:pStyle w:val="subsection"/>
      </w:pPr>
      <w:r w:rsidRPr="000C6BF8">
        <w:tab/>
        <w:t>(5)</w:t>
      </w:r>
      <w:r w:rsidRPr="000C6BF8">
        <w:tab/>
        <w:t>The value of the travel provided to a Secretary under subsection (2) may not be taken as a cash equivalent or converted to any other use.</w:t>
      </w:r>
    </w:p>
    <w:p w14:paraId="637E33AB" w14:textId="77777777" w:rsidR="00351272" w:rsidRPr="000C6BF8" w:rsidRDefault="00351272" w:rsidP="00351272">
      <w:pPr>
        <w:pStyle w:val="ActHead2"/>
        <w:pageBreakBefore/>
      </w:pPr>
      <w:bookmarkStart w:id="42" w:name="_Toc200718647"/>
      <w:r w:rsidRPr="00D7332E">
        <w:rPr>
          <w:rStyle w:val="CharPartNo"/>
        </w:rPr>
        <w:lastRenderedPageBreak/>
        <w:t>Part 8</w:t>
      </w:r>
      <w:r w:rsidRPr="000C6BF8">
        <w:t>—</w:t>
      </w:r>
      <w:r w:rsidRPr="00D7332E">
        <w:rPr>
          <w:rStyle w:val="CharPartText"/>
        </w:rPr>
        <w:t>Assistance for training and development</w:t>
      </w:r>
      <w:bookmarkEnd w:id="42"/>
    </w:p>
    <w:p w14:paraId="7B910BD2"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067F7C4A" w14:textId="77777777" w:rsidR="00351272" w:rsidRPr="000C6BF8" w:rsidRDefault="00351272" w:rsidP="00351272">
      <w:pPr>
        <w:pStyle w:val="ActHead5"/>
      </w:pPr>
      <w:bookmarkStart w:id="43" w:name="_Toc200718648"/>
      <w:r w:rsidRPr="00D7332E">
        <w:rPr>
          <w:rStyle w:val="CharSectno"/>
        </w:rPr>
        <w:t>33</w:t>
      </w:r>
      <w:r w:rsidRPr="000C6BF8">
        <w:t xml:space="preserve">  Leave for training and development</w:t>
      </w:r>
      <w:bookmarkEnd w:id="43"/>
    </w:p>
    <w:p w14:paraId="63CFE63E" w14:textId="77777777" w:rsidR="00351272" w:rsidRPr="000C6BF8" w:rsidRDefault="00351272" w:rsidP="00351272">
      <w:pPr>
        <w:pStyle w:val="subsection"/>
      </w:pPr>
      <w:r w:rsidRPr="000C6BF8">
        <w:tab/>
      </w:r>
      <w:r w:rsidRPr="000C6BF8">
        <w:tab/>
        <w:t>The Prime Minister or the Prime Minister’s delegate may grant leave of absence with pay to a Secretary to enable the Secretary to pursue training or development activities that the Prime Minister or the Prime Minister’s delegate considers to be in the interests of the Commonwealth. Such leave of absence may be subject to conditions at the discretion of the Prime Minister or the Prime Minister’s delegate.</w:t>
      </w:r>
    </w:p>
    <w:p w14:paraId="39C0BDAD" w14:textId="77777777" w:rsidR="00351272" w:rsidRPr="000C6BF8" w:rsidRDefault="00351272" w:rsidP="00351272">
      <w:pPr>
        <w:pStyle w:val="ActHead5"/>
      </w:pPr>
      <w:bookmarkStart w:id="44" w:name="_Toc200718649"/>
      <w:r w:rsidRPr="00D7332E">
        <w:rPr>
          <w:rStyle w:val="CharSectno"/>
        </w:rPr>
        <w:t>34</w:t>
      </w:r>
      <w:r w:rsidRPr="000C6BF8">
        <w:t xml:space="preserve">  Costs of training and development</w:t>
      </w:r>
      <w:bookmarkEnd w:id="44"/>
    </w:p>
    <w:p w14:paraId="323977EE" w14:textId="77777777" w:rsidR="00351272" w:rsidRPr="000C6BF8" w:rsidRDefault="00351272" w:rsidP="00351272">
      <w:pPr>
        <w:pStyle w:val="subsection"/>
      </w:pPr>
      <w:r w:rsidRPr="000C6BF8">
        <w:tab/>
      </w:r>
      <w:r w:rsidRPr="000C6BF8">
        <w:tab/>
        <w:t>A Secretary’s Minister may approve reimbursement of costs incurred by the Secretary in connection with training or development activities. Such reimbursement is at the discretion of the Secretary’s Minister, may be in full or in part, and may be subject to conditions.</w:t>
      </w:r>
    </w:p>
    <w:p w14:paraId="61BAB662" w14:textId="77777777" w:rsidR="00351272" w:rsidRPr="000C6BF8" w:rsidRDefault="00351272" w:rsidP="00351272">
      <w:pPr>
        <w:pStyle w:val="ActHead2"/>
        <w:pageBreakBefore/>
      </w:pPr>
      <w:bookmarkStart w:id="45" w:name="f_Check_Lines_above"/>
      <w:bookmarkStart w:id="46" w:name="_Toc200718650"/>
      <w:bookmarkEnd w:id="45"/>
      <w:r w:rsidRPr="00D7332E">
        <w:rPr>
          <w:rStyle w:val="CharPartNo"/>
        </w:rPr>
        <w:lastRenderedPageBreak/>
        <w:t>Part 9</w:t>
      </w:r>
      <w:r w:rsidRPr="000C6BF8">
        <w:t>—</w:t>
      </w:r>
      <w:r w:rsidRPr="00D7332E">
        <w:rPr>
          <w:rStyle w:val="CharPartText"/>
        </w:rPr>
        <w:t>Delegation</w:t>
      </w:r>
      <w:bookmarkEnd w:id="46"/>
    </w:p>
    <w:p w14:paraId="52F3AE09" w14:textId="77777777" w:rsidR="00351272" w:rsidRPr="00D7332E" w:rsidRDefault="00351272" w:rsidP="00351272">
      <w:pPr>
        <w:pStyle w:val="Header"/>
      </w:pPr>
      <w:r w:rsidRPr="00D7332E">
        <w:rPr>
          <w:rStyle w:val="CharDivNo"/>
        </w:rPr>
        <w:t xml:space="preserve"> </w:t>
      </w:r>
      <w:r w:rsidRPr="00D7332E">
        <w:rPr>
          <w:rStyle w:val="CharDivText"/>
        </w:rPr>
        <w:t xml:space="preserve"> </w:t>
      </w:r>
    </w:p>
    <w:p w14:paraId="69686057" w14:textId="77777777" w:rsidR="00351272" w:rsidRPr="000C6BF8" w:rsidRDefault="00351272" w:rsidP="00351272">
      <w:pPr>
        <w:pStyle w:val="ActHead5"/>
      </w:pPr>
      <w:bookmarkStart w:id="47" w:name="_Toc200718651"/>
      <w:r w:rsidRPr="00D7332E">
        <w:rPr>
          <w:rStyle w:val="CharSectno"/>
        </w:rPr>
        <w:t>35</w:t>
      </w:r>
      <w:r w:rsidRPr="000C6BF8">
        <w:t xml:space="preserve">  Secretary’s Minister may delegate functions</w:t>
      </w:r>
      <w:bookmarkEnd w:id="47"/>
    </w:p>
    <w:p w14:paraId="6444D7F9" w14:textId="77777777" w:rsidR="00351272" w:rsidRPr="000C6BF8" w:rsidRDefault="00351272" w:rsidP="00351272">
      <w:pPr>
        <w:pStyle w:val="subsection"/>
      </w:pPr>
      <w:r w:rsidRPr="000C6BF8">
        <w:tab/>
      </w:r>
      <w:r w:rsidRPr="000C6BF8">
        <w:tab/>
        <w:t>A Secretary’s Minister may delegate any of the Minister’s functions under this instrument to another Minister.</w:t>
      </w:r>
    </w:p>
    <w:p w14:paraId="73B1FAAE" w14:textId="77777777" w:rsidR="00E831DF" w:rsidRPr="000C6BF8" w:rsidRDefault="00E831DF">
      <w:pPr>
        <w:sectPr w:rsidR="00E831DF" w:rsidRPr="000C6BF8" w:rsidSect="00FB53F5">
          <w:headerReference w:type="even" r:id="rId24"/>
          <w:headerReference w:type="default" r:id="rId25"/>
          <w:footerReference w:type="even" r:id="rId26"/>
          <w:footerReference w:type="default" r:id="rId27"/>
          <w:footerReference w:type="first" r:id="rId28"/>
          <w:pgSz w:w="11907" w:h="16839" w:code="9"/>
          <w:pgMar w:top="2233" w:right="1797" w:bottom="1440" w:left="1797" w:header="720" w:footer="709" w:gutter="0"/>
          <w:pgNumType w:start="1"/>
          <w:cols w:space="720"/>
          <w:docGrid w:linePitch="299"/>
        </w:sectPr>
      </w:pPr>
    </w:p>
    <w:p w14:paraId="0DEACBB7" w14:textId="288CF10A" w:rsidR="00E831DF" w:rsidRPr="000C6BF8" w:rsidRDefault="00DB29BA" w:rsidP="00E831DF">
      <w:pPr>
        <w:pStyle w:val="ActHead6"/>
      </w:pPr>
      <w:bookmarkStart w:id="48" w:name="_Toc200718652"/>
      <w:r w:rsidRPr="00D7332E">
        <w:rPr>
          <w:rStyle w:val="CharAmSchNo"/>
        </w:rPr>
        <w:lastRenderedPageBreak/>
        <w:t>Schedule 1</w:t>
      </w:r>
      <w:r w:rsidR="00E831DF" w:rsidRPr="000C6BF8">
        <w:t>—</w:t>
      </w:r>
      <w:r w:rsidR="00E831DF" w:rsidRPr="00D7332E">
        <w:rPr>
          <w:rStyle w:val="CharAmSchText"/>
        </w:rPr>
        <w:t>Repeals</w:t>
      </w:r>
      <w:bookmarkEnd w:id="48"/>
    </w:p>
    <w:p w14:paraId="0395F18B" w14:textId="77777777" w:rsidR="00E831DF" w:rsidRPr="00D7332E" w:rsidRDefault="00E831DF">
      <w:pPr>
        <w:pStyle w:val="Header"/>
      </w:pPr>
      <w:r w:rsidRPr="00D7332E">
        <w:rPr>
          <w:rStyle w:val="CharAmPartNo"/>
        </w:rPr>
        <w:t xml:space="preserve"> </w:t>
      </w:r>
      <w:r w:rsidRPr="00D7332E">
        <w:rPr>
          <w:rStyle w:val="CharAmPartText"/>
        </w:rPr>
        <w:t xml:space="preserve"> </w:t>
      </w:r>
    </w:p>
    <w:p w14:paraId="044229C2" w14:textId="78BCC6D5" w:rsidR="003A4A56" w:rsidRPr="000C6BF8" w:rsidRDefault="003A4A56" w:rsidP="003A4A56">
      <w:pPr>
        <w:pStyle w:val="ActHead9"/>
      </w:pPr>
      <w:bookmarkStart w:id="49" w:name="_Toc200718653"/>
      <w:r w:rsidRPr="000C6BF8">
        <w:t xml:space="preserve">Remuneration Tribunal (Departmental Secretaries—Classification Structure and Terms and Conditions) </w:t>
      </w:r>
      <w:r w:rsidR="00DB29BA" w:rsidRPr="000C6BF8">
        <w:t>Determination 2</w:t>
      </w:r>
      <w:r w:rsidRPr="000C6BF8">
        <w:t>024</w:t>
      </w:r>
      <w:bookmarkEnd w:id="49"/>
    </w:p>
    <w:p w14:paraId="7948BCEF" w14:textId="77777777" w:rsidR="003A4A56" w:rsidRPr="000C6BF8" w:rsidRDefault="003A4A56" w:rsidP="003A4A56">
      <w:pPr>
        <w:pStyle w:val="ItemHead"/>
      </w:pPr>
      <w:r w:rsidRPr="000C6BF8">
        <w:t>1  The whole of the instrument</w:t>
      </w:r>
    </w:p>
    <w:p w14:paraId="2A600E9B" w14:textId="7BD8C3FF" w:rsidR="00E831DF" w:rsidRPr="000C6BF8" w:rsidRDefault="003A4A56" w:rsidP="003A4A56">
      <w:pPr>
        <w:pStyle w:val="Item"/>
      </w:pPr>
      <w:r w:rsidRPr="000C6BF8">
        <w:t>Repeal the instrument.</w:t>
      </w:r>
    </w:p>
    <w:p w14:paraId="421D111F" w14:textId="77777777" w:rsidR="00E831DF" w:rsidRPr="000C6BF8" w:rsidRDefault="00E831DF">
      <w:pPr>
        <w:sectPr w:rsidR="00E831DF" w:rsidRPr="000C6BF8" w:rsidSect="00FB53F5">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pPr>
    </w:p>
    <w:p w14:paraId="34673549" w14:textId="744118CD" w:rsidR="007F08BB" w:rsidRPr="000C6BF8" w:rsidRDefault="007F08BB" w:rsidP="00DC051C"/>
    <w:sectPr w:rsidR="007F08BB" w:rsidRPr="000C6BF8" w:rsidSect="00FB53F5">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BBF3" w14:textId="77777777" w:rsidR="00351272" w:rsidRDefault="00351272" w:rsidP="00715914">
      <w:pPr>
        <w:spacing w:line="240" w:lineRule="auto"/>
      </w:pPr>
      <w:r>
        <w:separator/>
      </w:r>
    </w:p>
  </w:endnote>
  <w:endnote w:type="continuationSeparator" w:id="0">
    <w:p w14:paraId="2F2330FB" w14:textId="77777777" w:rsidR="00351272" w:rsidRDefault="0035127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7662" w14:textId="2FA80935" w:rsidR="00D7332E" w:rsidRPr="00FB53F5" w:rsidRDefault="00FB53F5" w:rsidP="00FB53F5">
    <w:pPr>
      <w:pStyle w:val="Footer"/>
      <w:rPr>
        <w:i/>
        <w:sz w:val="18"/>
      </w:rPr>
    </w:pPr>
    <w:r w:rsidRPr="00FB53F5">
      <w:rPr>
        <w:i/>
        <w:sz w:val="18"/>
      </w:rPr>
      <w:t>OPC67422 - 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462A5" w14:textId="77777777" w:rsidR="00E831DF" w:rsidRPr="00D90ABA" w:rsidRDefault="00E831DF" w:rsidP="00E831D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E831DF" w14:paraId="44658E9B" w14:textId="77777777" w:rsidTr="007518BC">
      <w:tc>
        <w:tcPr>
          <w:tcW w:w="942" w:type="pct"/>
        </w:tcPr>
        <w:p w14:paraId="5E19156D" w14:textId="77777777" w:rsidR="00E831DF" w:rsidRDefault="00E831DF" w:rsidP="00764DBA">
          <w:pPr>
            <w:spacing w:line="0" w:lineRule="atLeast"/>
            <w:rPr>
              <w:sz w:val="18"/>
            </w:rPr>
          </w:pPr>
        </w:p>
      </w:tc>
      <w:tc>
        <w:tcPr>
          <w:tcW w:w="3671" w:type="pct"/>
        </w:tcPr>
        <w:p w14:paraId="0357ED5D" w14:textId="3478B6C1" w:rsidR="00E831DF" w:rsidRDefault="00E831DF"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387" w:type="pct"/>
        </w:tcPr>
        <w:p w14:paraId="5F39B870" w14:textId="77777777" w:rsidR="00E831DF" w:rsidRDefault="00E831DF"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390B0E94" w14:textId="435D7E25" w:rsidR="00E831DF" w:rsidRPr="00FB53F5" w:rsidRDefault="00FB53F5" w:rsidP="00FB53F5">
    <w:pPr>
      <w:rPr>
        <w:rFonts w:cs="Times New Roman"/>
        <w:i/>
        <w:sz w:val="18"/>
      </w:rPr>
    </w:pPr>
    <w:r w:rsidRPr="00FB53F5">
      <w:rPr>
        <w:rFonts w:cs="Times New Roman"/>
        <w:i/>
        <w:sz w:val="18"/>
      </w:rPr>
      <w:t>OPC67422 - 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AA9D" w14:textId="77777777" w:rsidR="00E831DF" w:rsidRDefault="00E831DF">
    <w:pPr>
      <w:pBdr>
        <w:top w:val="single" w:sz="6" w:space="1" w:color="auto"/>
      </w:pBdr>
      <w:rPr>
        <w:sz w:val="18"/>
      </w:rPr>
    </w:pPr>
  </w:p>
  <w:p w14:paraId="60FB20ED" w14:textId="72B51A83" w:rsidR="00E831DF" w:rsidRDefault="00E831DF">
    <w:pPr>
      <w:jc w:val="right"/>
      <w:rPr>
        <w:i/>
        <w:sz w:val="18"/>
      </w:rPr>
    </w:pPr>
    <w:r>
      <w:rPr>
        <w:i/>
        <w:sz w:val="18"/>
      </w:rPr>
      <w:fldChar w:fldCharType="begin"/>
    </w:r>
    <w:r>
      <w:rPr>
        <w:i/>
        <w:sz w:val="18"/>
      </w:rPr>
      <w:instrText xml:space="preserve"> STYLEREF ShortT </w:instrText>
    </w:r>
    <w:r>
      <w:rPr>
        <w:i/>
        <w:sz w:val="18"/>
      </w:rPr>
      <w:fldChar w:fldCharType="separate"/>
    </w:r>
    <w:r w:rsidR="00FB69A9">
      <w:rPr>
        <w:i/>
        <w:noProof/>
        <w:sz w:val="18"/>
      </w:rPr>
      <w:t>Remuneration Tribunal (Departmental Secretaries—Classification Structure and Terms and Conditions) Determination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B69A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1D2B0069" w14:textId="18409A2F" w:rsidR="00E831DF" w:rsidRPr="00FB53F5" w:rsidRDefault="00FB53F5" w:rsidP="00FB53F5">
    <w:pPr>
      <w:rPr>
        <w:rFonts w:cs="Times New Roman"/>
        <w:i/>
        <w:sz w:val="18"/>
      </w:rPr>
    </w:pPr>
    <w:r w:rsidRPr="00FB53F5">
      <w:rPr>
        <w:rFonts w:cs="Times New Roman"/>
        <w:i/>
        <w:sz w:val="18"/>
      </w:rPr>
      <w:t>OPC67422 - A</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7C64" w14:textId="77777777" w:rsidR="007500C8" w:rsidRPr="00E33C1C" w:rsidRDefault="007500C8" w:rsidP="00E831D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5EBD6C43" w14:textId="77777777" w:rsidTr="00D7332E">
      <w:tc>
        <w:tcPr>
          <w:tcW w:w="709" w:type="dxa"/>
          <w:tcBorders>
            <w:top w:val="nil"/>
            <w:left w:val="nil"/>
            <w:bottom w:val="nil"/>
            <w:right w:val="nil"/>
          </w:tcBorders>
        </w:tcPr>
        <w:p w14:paraId="762AC3E5"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61AA118A" w14:textId="64E21C3E"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1384" w:type="dxa"/>
          <w:tcBorders>
            <w:top w:val="nil"/>
            <w:left w:val="nil"/>
            <w:bottom w:val="nil"/>
            <w:right w:val="nil"/>
          </w:tcBorders>
        </w:tcPr>
        <w:p w14:paraId="546FC3F5" w14:textId="77777777" w:rsidR="007500C8" w:rsidRDefault="007500C8" w:rsidP="00830B62">
          <w:pPr>
            <w:spacing w:line="0" w:lineRule="atLeast"/>
            <w:jc w:val="right"/>
            <w:rPr>
              <w:sz w:val="18"/>
            </w:rPr>
          </w:pPr>
        </w:p>
      </w:tc>
    </w:tr>
  </w:tbl>
  <w:p w14:paraId="229F7EC9" w14:textId="7C8190E4" w:rsidR="007500C8" w:rsidRPr="00FB53F5" w:rsidRDefault="00FB53F5" w:rsidP="00FB53F5">
    <w:pPr>
      <w:rPr>
        <w:rFonts w:cs="Times New Roman"/>
        <w:i/>
        <w:sz w:val="18"/>
      </w:rPr>
    </w:pPr>
    <w:r w:rsidRPr="00FB53F5">
      <w:rPr>
        <w:rFonts w:cs="Times New Roman"/>
        <w:i/>
        <w:sz w:val="18"/>
      </w:rPr>
      <w:t>OPC67422 - A</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2374" w14:textId="77777777" w:rsidR="00472DBE" w:rsidRPr="00E33C1C" w:rsidRDefault="00472DBE" w:rsidP="00E831D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1A326932" w14:textId="77777777" w:rsidTr="008067B4">
      <w:tc>
        <w:tcPr>
          <w:tcW w:w="1384" w:type="dxa"/>
          <w:tcBorders>
            <w:top w:val="nil"/>
            <w:left w:val="nil"/>
            <w:bottom w:val="nil"/>
            <w:right w:val="nil"/>
          </w:tcBorders>
        </w:tcPr>
        <w:p w14:paraId="41B1F574" w14:textId="77777777" w:rsidR="00472DBE" w:rsidRDefault="00472DBE" w:rsidP="008067B4">
          <w:pPr>
            <w:spacing w:line="0" w:lineRule="atLeast"/>
            <w:rPr>
              <w:sz w:val="18"/>
            </w:rPr>
          </w:pPr>
        </w:p>
      </w:tc>
      <w:tc>
        <w:tcPr>
          <w:tcW w:w="6379" w:type="dxa"/>
          <w:tcBorders>
            <w:top w:val="nil"/>
            <w:left w:val="nil"/>
            <w:bottom w:val="nil"/>
            <w:right w:val="nil"/>
          </w:tcBorders>
        </w:tcPr>
        <w:p w14:paraId="63223496" w14:textId="4421EC6A"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709" w:type="dxa"/>
          <w:tcBorders>
            <w:top w:val="nil"/>
            <w:left w:val="nil"/>
            <w:bottom w:val="nil"/>
            <w:right w:val="nil"/>
          </w:tcBorders>
        </w:tcPr>
        <w:p w14:paraId="32484957"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49B377DB" w14:textId="0487C4E5" w:rsidR="00472DBE" w:rsidRPr="00FB53F5" w:rsidRDefault="00FB53F5" w:rsidP="00FB53F5">
    <w:pPr>
      <w:rPr>
        <w:rFonts w:cs="Times New Roman"/>
        <w:i/>
        <w:sz w:val="18"/>
      </w:rPr>
    </w:pPr>
    <w:r w:rsidRPr="00FB53F5">
      <w:rPr>
        <w:rFonts w:cs="Times New Roman"/>
        <w:i/>
        <w:sz w:val="18"/>
      </w:rPr>
      <w:t>OPC67422 - A</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ADFC"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7A2F6463" w14:textId="77777777" w:rsidTr="00B33709">
      <w:tc>
        <w:tcPr>
          <w:tcW w:w="1384" w:type="dxa"/>
          <w:tcBorders>
            <w:top w:val="nil"/>
            <w:left w:val="nil"/>
            <w:bottom w:val="nil"/>
            <w:right w:val="nil"/>
          </w:tcBorders>
        </w:tcPr>
        <w:p w14:paraId="01219E1A" w14:textId="77777777" w:rsidR="007500C8" w:rsidRDefault="007500C8" w:rsidP="00830B62">
          <w:pPr>
            <w:spacing w:line="0" w:lineRule="atLeast"/>
            <w:rPr>
              <w:sz w:val="18"/>
            </w:rPr>
          </w:pPr>
        </w:p>
      </w:tc>
      <w:tc>
        <w:tcPr>
          <w:tcW w:w="6379" w:type="dxa"/>
          <w:tcBorders>
            <w:top w:val="nil"/>
            <w:left w:val="nil"/>
            <w:bottom w:val="nil"/>
            <w:right w:val="nil"/>
          </w:tcBorders>
        </w:tcPr>
        <w:p w14:paraId="01BB012C" w14:textId="5528AD53"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709" w:type="dxa"/>
          <w:tcBorders>
            <w:top w:val="nil"/>
            <w:left w:val="nil"/>
            <w:bottom w:val="nil"/>
            <w:right w:val="nil"/>
          </w:tcBorders>
        </w:tcPr>
        <w:p w14:paraId="7E28B186"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2A0A4C31" w14:textId="67993B37" w:rsidR="007500C8" w:rsidRPr="00FB53F5" w:rsidRDefault="00FB53F5" w:rsidP="00FB53F5">
    <w:pPr>
      <w:rPr>
        <w:rFonts w:cs="Times New Roman"/>
        <w:i/>
        <w:sz w:val="18"/>
      </w:rPr>
    </w:pPr>
    <w:r w:rsidRPr="00FB53F5">
      <w:rPr>
        <w:rFonts w:cs="Times New Roman"/>
        <w:i/>
        <w:sz w:val="18"/>
      </w:rPr>
      <w:t>OPC67422 -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702A" w14:textId="77777777" w:rsidR="00715914" w:rsidRDefault="00715914" w:rsidP="00E831DF">
    <w:pPr>
      <w:pStyle w:val="Footer"/>
      <w:spacing w:before="120"/>
    </w:pPr>
  </w:p>
  <w:p w14:paraId="772C00ED" w14:textId="26C3CD29" w:rsidR="00756272" w:rsidRPr="00FB53F5" w:rsidRDefault="00FB53F5" w:rsidP="00FB53F5">
    <w:pPr>
      <w:pStyle w:val="Footer"/>
      <w:rPr>
        <w:i/>
        <w:sz w:val="18"/>
      </w:rPr>
    </w:pPr>
    <w:r w:rsidRPr="00FB53F5">
      <w:rPr>
        <w:i/>
        <w:sz w:val="18"/>
      </w:rPr>
      <w:t>OPC67422 - 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58D55" w14:textId="104AE68D" w:rsidR="00715914" w:rsidRPr="00FB53F5" w:rsidRDefault="00FB53F5" w:rsidP="00FB53F5">
    <w:pPr>
      <w:pStyle w:val="Footer"/>
      <w:tabs>
        <w:tab w:val="clear" w:pos="4153"/>
        <w:tab w:val="clear" w:pos="8306"/>
        <w:tab w:val="center" w:pos="4150"/>
        <w:tab w:val="right" w:pos="8307"/>
      </w:tabs>
      <w:spacing w:before="120"/>
      <w:rPr>
        <w:i/>
        <w:sz w:val="18"/>
      </w:rPr>
    </w:pPr>
    <w:r w:rsidRPr="00FB53F5">
      <w:rPr>
        <w:i/>
        <w:sz w:val="18"/>
      </w:rPr>
      <w:t>OPC67422 -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6830E" w14:textId="77777777" w:rsidR="007500C8" w:rsidRPr="00E33C1C" w:rsidRDefault="007500C8" w:rsidP="00E831D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52C5478D" w14:textId="77777777" w:rsidTr="00D7332E">
      <w:tc>
        <w:tcPr>
          <w:tcW w:w="709" w:type="dxa"/>
          <w:tcBorders>
            <w:top w:val="nil"/>
            <w:left w:val="nil"/>
            <w:bottom w:val="nil"/>
            <w:right w:val="nil"/>
          </w:tcBorders>
        </w:tcPr>
        <w:p w14:paraId="057EA85A" w14:textId="72787563"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69A9">
            <w:rPr>
              <w:i/>
              <w:noProof/>
              <w:sz w:val="18"/>
            </w:rPr>
            <w:t>ii</w:t>
          </w:r>
          <w:r w:rsidRPr="00ED79B6">
            <w:rPr>
              <w:i/>
              <w:sz w:val="18"/>
            </w:rPr>
            <w:fldChar w:fldCharType="end"/>
          </w:r>
        </w:p>
      </w:tc>
      <w:tc>
        <w:tcPr>
          <w:tcW w:w="6379" w:type="dxa"/>
          <w:tcBorders>
            <w:top w:val="nil"/>
            <w:left w:val="nil"/>
            <w:bottom w:val="nil"/>
            <w:right w:val="nil"/>
          </w:tcBorders>
        </w:tcPr>
        <w:p w14:paraId="670D2643" w14:textId="62AD29FC"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1384" w:type="dxa"/>
          <w:tcBorders>
            <w:top w:val="nil"/>
            <w:left w:val="nil"/>
            <w:bottom w:val="nil"/>
            <w:right w:val="nil"/>
          </w:tcBorders>
        </w:tcPr>
        <w:p w14:paraId="7E81C090" w14:textId="77777777" w:rsidR="007500C8" w:rsidRDefault="007500C8" w:rsidP="00830B62">
          <w:pPr>
            <w:spacing w:line="0" w:lineRule="atLeast"/>
            <w:jc w:val="right"/>
            <w:rPr>
              <w:sz w:val="18"/>
            </w:rPr>
          </w:pPr>
        </w:p>
      </w:tc>
    </w:tr>
  </w:tbl>
  <w:p w14:paraId="18D5A309" w14:textId="247B61F3" w:rsidR="007500C8" w:rsidRPr="00FB53F5" w:rsidRDefault="00FB53F5" w:rsidP="00FB53F5">
    <w:pPr>
      <w:rPr>
        <w:rFonts w:cs="Times New Roman"/>
        <w:i/>
        <w:sz w:val="18"/>
      </w:rPr>
    </w:pPr>
    <w:r w:rsidRPr="00FB53F5">
      <w:rPr>
        <w:rFonts w:cs="Times New Roman"/>
        <w:i/>
        <w:sz w:val="18"/>
      </w:rPr>
      <w:t>OPC67422 -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6EE9" w14:textId="77777777" w:rsidR="007500C8" w:rsidRPr="00E33C1C" w:rsidRDefault="007500C8" w:rsidP="00E831DF">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16AD16CA" w14:textId="77777777" w:rsidTr="00B33709">
      <w:tc>
        <w:tcPr>
          <w:tcW w:w="1383" w:type="dxa"/>
          <w:tcBorders>
            <w:top w:val="nil"/>
            <w:left w:val="nil"/>
            <w:bottom w:val="nil"/>
            <w:right w:val="nil"/>
          </w:tcBorders>
        </w:tcPr>
        <w:p w14:paraId="18B6D4A3" w14:textId="77777777" w:rsidR="007500C8" w:rsidRDefault="007500C8" w:rsidP="00830B62">
          <w:pPr>
            <w:spacing w:line="0" w:lineRule="atLeast"/>
            <w:rPr>
              <w:sz w:val="18"/>
            </w:rPr>
          </w:pPr>
        </w:p>
      </w:tc>
      <w:tc>
        <w:tcPr>
          <w:tcW w:w="6380" w:type="dxa"/>
          <w:tcBorders>
            <w:top w:val="nil"/>
            <w:left w:val="nil"/>
            <w:bottom w:val="nil"/>
            <w:right w:val="nil"/>
          </w:tcBorders>
        </w:tcPr>
        <w:p w14:paraId="39082B96" w14:textId="6C28B20B"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709" w:type="dxa"/>
          <w:tcBorders>
            <w:top w:val="nil"/>
            <w:left w:val="nil"/>
            <w:bottom w:val="nil"/>
            <w:right w:val="nil"/>
          </w:tcBorders>
        </w:tcPr>
        <w:p w14:paraId="097CE014" w14:textId="0ADD5DFB"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69A9">
            <w:rPr>
              <w:i/>
              <w:noProof/>
              <w:sz w:val="18"/>
            </w:rPr>
            <w:t>i</w:t>
          </w:r>
          <w:r w:rsidRPr="00ED79B6">
            <w:rPr>
              <w:i/>
              <w:sz w:val="18"/>
            </w:rPr>
            <w:fldChar w:fldCharType="end"/>
          </w:r>
        </w:p>
      </w:tc>
    </w:tr>
  </w:tbl>
  <w:p w14:paraId="0AE5F444" w14:textId="5C761244" w:rsidR="007500C8" w:rsidRPr="00FB53F5" w:rsidRDefault="00FB53F5" w:rsidP="00FB53F5">
    <w:pPr>
      <w:rPr>
        <w:rFonts w:cs="Times New Roman"/>
        <w:i/>
        <w:sz w:val="18"/>
      </w:rPr>
    </w:pPr>
    <w:r w:rsidRPr="00FB53F5">
      <w:rPr>
        <w:rFonts w:cs="Times New Roman"/>
        <w:i/>
        <w:sz w:val="18"/>
      </w:rPr>
      <w:t>OPC67422 - 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193C" w14:textId="77777777" w:rsidR="00E831DF" w:rsidRPr="00D90ABA" w:rsidRDefault="00E831DF" w:rsidP="00E831D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831DF" w14:paraId="02031E7E" w14:textId="77777777" w:rsidTr="007518BC">
      <w:tc>
        <w:tcPr>
          <w:tcW w:w="365" w:type="pct"/>
        </w:tcPr>
        <w:p w14:paraId="4231DF39" w14:textId="26763A46" w:rsidR="00E831DF" w:rsidRDefault="00E831DF"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69A9">
            <w:rPr>
              <w:i/>
              <w:noProof/>
              <w:sz w:val="18"/>
            </w:rPr>
            <w:t>18</w:t>
          </w:r>
          <w:r w:rsidRPr="00ED79B6">
            <w:rPr>
              <w:i/>
              <w:sz w:val="18"/>
            </w:rPr>
            <w:fldChar w:fldCharType="end"/>
          </w:r>
        </w:p>
      </w:tc>
      <w:tc>
        <w:tcPr>
          <w:tcW w:w="3688" w:type="pct"/>
        </w:tcPr>
        <w:p w14:paraId="0E4D720A" w14:textId="51D1DF2C" w:rsidR="00E831DF" w:rsidRDefault="00E831DF"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947" w:type="pct"/>
        </w:tcPr>
        <w:p w14:paraId="4C1CA56D" w14:textId="77777777" w:rsidR="00E831DF" w:rsidRDefault="00E831DF" w:rsidP="00764DBA">
          <w:pPr>
            <w:spacing w:line="0" w:lineRule="atLeast"/>
            <w:jc w:val="right"/>
            <w:rPr>
              <w:sz w:val="18"/>
            </w:rPr>
          </w:pPr>
        </w:p>
      </w:tc>
    </w:tr>
  </w:tbl>
  <w:p w14:paraId="78244F84" w14:textId="0E3FDF12" w:rsidR="00E831DF" w:rsidRPr="00FB53F5" w:rsidRDefault="00FB53F5" w:rsidP="00FB53F5">
    <w:pPr>
      <w:rPr>
        <w:rFonts w:cs="Times New Roman"/>
        <w:i/>
        <w:sz w:val="18"/>
      </w:rPr>
    </w:pPr>
    <w:r w:rsidRPr="00FB53F5">
      <w:rPr>
        <w:rFonts w:cs="Times New Roman"/>
        <w:i/>
        <w:sz w:val="18"/>
      </w:rPr>
      <w:t>OPC67422 - 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6D8E" w14:textId="77777777" w:rsidR="00E831DF" w:rsidRPr="00D90ABA" w:rsidRDefault="00E831DF" w:rsidP="00E831D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E831DF" w14:paraId="234A365E" w14:textId="77777777" w:rsidTr="007518BC">
      <w:tc>
        <w:tcPr>
          <w:tcW w:w="947" w:type="pct"/>
        </w:tcPr>
        <w:p w14:paraId="7714DD6A" w14:textId="77777777" w:rsidR="00E831DF" w:rsidRDefault="00E831DF" w:rsidP="00764DBA">
          <w:pPr>
            <w:spacing w:line="0" w:lineRule="atLeast"/>
            <w:rPr>
              <w:sz w:val="18"/>
            </w:rPr>
          </w:pPr>
        </w:p>
      </w:tc>
      <w:tc>
        <w:tcPr>
          <w:tcW w:w="3688" w:type="pct"/>
        </w:tcPr>
        <w:p w14:paraId="767F1CDF" w14:textId="63879EAB" w:rsidR="00E831DF" w:rsidRDefault="00E831DF"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365" w:type="pct"/>
        </w:tcPr>
        <w:p w14:paraId="05839079" w14:textId="2504C71B" w:rsidR="00E831DF" w:rsidRDefault="00E831DF"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69A9">
            <w:rPr>
              <w:i/>
              <w:noProof/>
              <w:sz w:val="18"/>
            </w:rPr>
            <w:t>1</w:t>
          </w:r>
          <w:r w:rsidRPr="00ED79B6">
            <w:rPr>
              <w:i/>
              <w:sz w:val="18"/>
            </w:rPr>
            <w:fldChar w:fldCharType="end"/>
          </w:r>
        </w:p>
      </w:tc>
    </w:tr>
  </w:tbl>
  <w:p w14:paraId="6BBA7CAA" w14:textId="2C697FFE" w:rsidR="00E831DF" w:rsidRPr="00FB53F5" w:rsidRDefault="00FB53F5" w:rsidP="00FB53F5">
    <w:pPr>
      <w:rPr>
        <w:rFonts w:cs="Times New Roman"/>
        <w:i/>
        <w:sz w:val="18"/>
      </w:rPr>
    </w:pPr>
    <w:r w:rsidRPr="00FB53F5">
      <w:rPr>
        <w:rFonts w:cs="Times New Roman"/>
        <w:i/>
        <w:sz w:val="18"/>
      </w:rPr>
      <w:t>OPC67422 - 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F4859" w14:textId="77777777" w:rsidR="00E831DF" w:rsidRPr="00E33C1C" w:rsidRDefault="00E831DF" w:rsidP="00E831D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831DF" w14:paraId="5E9B99A9" w14:textId="77777777" w:rsidTr="00E27FAA">
      <w:tc>
        <w:tcPr>
          <w:tcW w:w="1384" w:type="dxa"/>
          <w:tcBorders>
            <w:top w:val="nil"/>
            <w:left w:val="nil"/>
            <w:bottom w:val="nil"/>
            <w:right w:val="nil"/>
          </w:tcBorders>
        </w:tcPr>
        <w:p w14:paraId="58174537" w14:textId="77777777" w:rsidR="00E831DF" w:rsidRDefault="00E831DF" w:rsidP="00E831DF">
          <w:pPr>
            <w:spacing w:line="0" w:lineRule="atLeast"/>
            <w:rPr>
              <w:sz w:val="18"/>
            </w:rPr>
          </w:pPr>
        </w:p>
      </w:tc>
      <w:tc>
        <w:tcPr>
          <w:tcW w:w="6379" w:type="dxa"/>
          <w:tcBorders>
            <w:top w:val="nil"/>
            <w:left w:val="nil"/>
            <w:bottom w:val="nil"/>
            <w:right w:val="nil"/>
          </w:tcBorders>
        </w:tcPr>
        <w:p w14:paraId="0FC730BF" w14:textId="58A10B3D" w:rsidR="00E831DF" w:rsidRDefault="00E831DF" w:rsidP="00E831D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709" w:type="dxa"/>
          <w:tcBorders>
            <w:top w:val="nil"/>
            <w:left w:val="nil"/>
            <w:bottom w:val="nil"/>
            <w:right w:val="nil"/>
          </w:tcBorders>
        </w:tcPr>
        <w:p w14:paraId="67A5CC4D" w14:textId="77777777" w:rsidR="00E831DF" w:rsidRDefault="00E831DF" w:rsidP="00E831D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559509E" w14:textId="77777777" w:rsidR="00E831DF" w:rsidRPr="00ED79B6" w:rsidRDefault="00E831DF" w:rsidP="00E831DF">
    <w:pPr>
      <w:rPr>
        <w:i/>
        <w:sz w:val="18"/>
      </w:rPr>
    </w:pPr>
  </w:p>
  <w:p w14:paraId="2C2CA7E7" w14:textId="66600F82" w:rsidR="00E831DF" w:rsidRPr="00FB53F5" w:rsidRDefault="00FB53F5" w:rsidP="00FB53F5">
    <w:pPr>
      <w:pStyle w:val="Footer"/>
      <w:rPr>
        <w:i/>
        <w:sz w:val="18"/>
      </w:rPr>
    </w:pPr>
    <w:r w:rsidRPr="00FB53F5">
      <w:rPr>
        <w:i/>
        <w:sz w:val="18"/>
      </w:rPr>
      <w:t>OPC67422 - 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D5D7" w14:textId="77777777" w:rsidR="00E831DF" w:rsidRPr="00D90ABA" w:rsidRDefault="00E831DF" w:rsidP="00E831D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831DF" w14:paraId="194A8379" w14:textId="77777777" w:rsidTr="007518BC">
      <w:tc>
        <w:tcPr>
          <w:tcW w:w="365" w:type="pct"/>
        </w:tcPr>
        <w:p w14:paraId="7701A5AB" w14:textId="6344988E" w:rsidR="00E831DF" w:rsidRDefault="00E831DF"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69A9">
            <w:rPr>
              <w:i/>
              <w:noProof/>
              <w:sz w:val="18"/>
            </w:rPr>
            <w:t>22</w:t>
          </w:r>
          <w:r w:rsidRPr="00ED79B6">
            <w:rPr>
              <w:i/>
              <w:sz w:val="18"/>
            </w:rPr>
            <w:fldChar w:fldCharType="end"/>
          </w:r>
        </w:p>
      </w:tc>
      <w:tc>
        <w:tcPr>
          <w:tcW w:w="3688" w:type="pct"/>
        </w:tcPr>
        <w:p w14:paraId="153D8809" w14:textId="467EE620" w:rsidR="00E831DF" w:rsidRDefault="00E831DF"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69A9">
            <w:rPr>
              <w:i/>
              <w:sz w:val="18"/>
            </w:rPr>
            <w:t>Remuneration Tribunal (Departmental Secretaries—Classification Structure and Terms and Conditions) Determination 2025</w:t>
          </w:r>
          <w:r w:rsidRPr="007A1328">
            <w:rPr>
              <w:i/>
              <w:sz w:val="18"/>
            </w:rPr>
            <w:fldChar w:fldCharType="end"/>
          </w:r>
        </w:p>
      </w:tc>
      <w:tc>
        <w:tcPr>
          <w:tcW w:w="947" w:type="pct"/>
        </w:tcPr>
        <w:p w14:paraId="74987EEF" w14:textId="77777777" w:rsidR="00E831DF" w:rsidRDefault="00E831DF" w:rsidP="00764DBA">
          <w:pPr>
            <w:spacing w:line="0" w:lineRule="atLeast"/>
            <w:jc w:val="right"/>
            <w:rPr>
              <w:sz w:val="18"/>
            </w:rPr>
          </w:pPr>
        </w:p>
      </w:tc>
    </w:tr>
  </w:tbl>
  <w:p w14:paraId="6923B598" w14:textId="0167C1F0" w:rsidR="00E831DF" w:rsidRPr="00FB53F5" w:rsidRDefault="00FB53F5" w:rsidP="00FB53F5">
    <w:pPr>
      <w:rPr>
        <w:rFonts w:cs="Times New Roman"/>
        <w:i/>
        <w:sz w:val="18"/>
      </w:rPr>
    </w:pPr>
    <w:r w:rsidRPr="00FB53F5">
      <w:rPr>
        <w:rFonts w:cs="Times New Roman"/>
        <w:i/>
        <w:sz w:val="18"/>
      </w:rPr>
      <w:t>OPC67422 -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480B" w14:textId="77777777" w:rsidR="00351272" w:rsidRDefault="00351272" w:rsidP="00715914">
      <w:pPr>
        <w:spacing w:line="240" w:lineRule="auto"/>
      </w:pPr>
      <w:r>
        <w:separator/>
      </w:r>
    </w:p>
  </w:footnote>
  <w:footnote w:type="continuationSeparator" w:id="0">
    <w:p w14:paraId="6EF7BD45" w14:textId="77777777" w:rsidR="00351272" w:rsidRDefault="0035127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DDE1" w14:textId="2F00E382"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D796" w14:textId="53BA304A" w:rsidR="00E831DF" w:rsidRDefault="00E831DF">
    <w:pPr>
      <w:jc w:val="right"/>
      <w:rPr>
        <w:sz w:val="20"/>
      </w:rPr>
    </w:pPr>
    <w:r>
      <w:rPr>
        <w:sz w:val="20"/>
      </w:rPr>
      <w:fldChar w:fldCharType="begin"/>
    </w:r>
    <w:r>
      <w:rPr>
        <w:sz w:val="20"/>
      </w:rPr>
      <w:instrText xml:space="preserve"> STYLEREF CharAmSchText </w:instrText>
    </w:r>
    <w:r>
      <w:rPr>
        <w:sz w:val="20"/>
      </w:rPr>
      <w:fldChar w:fldCharType="separate"/>
    </w:r>
    <w:r w:rsidR="00FB69A9">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FB69A9">
      <w:rPr>
        <w:b/>
        <w:noProof/>
        <w:sz w:val="20"/>
      </w:rPr>
      <w:t>Schedule 1</w:t>
    </w:r>
    <w:r>
      <w:rPr>
        <w:b/>
        <w:sz w:val="20"/>
      </w:rPr>
      <w:fldChar w:fldCharType="end"/>
    </w:r>
  </w:p>
  <w:p w14:paraId="483C53D5" w14:textId="6D2DBF82" w:rsidR="00E831DF" w:rsidRDefault="00E831DF">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4D68F103" w14:textId="77777777" w:rsidR="00E831DF" w:rsidRDefault="00E831DF" w:rsidP="00E831DF">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92EA" w14:textId="77777777" w:rsidR="00E831DF" w:rsidRDefault="00E831D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9D2D7" w14:textId="76CF01C8"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625A56FF" w14:textId="5D77E84A"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FB69A9">
      <w:rPr>
        <w:b/>
        <w:noProof/>
        <w:sz w:val="20"/>
      </w:rPr>
      <w:t>Part 9</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FB69A9">
      <w:rPr>
        <w:noProof/>
        <w:sz w:val="20"/>
      </w:rPr>
      <w:t>Delegation</w:t>
    </w:r>
    <w:r>
      <w:rPr>
        <w:sz w:val="20"/>
      </w:rPr>
      <w:fldChar w:fldCharType="end"/>
    </w:r>
  </w:p>
  <w:p w14:paraId="3EC86D1F" w14:textId="5190B048"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2A0F1B19" w14:textId="77777777" w:rsidR="00715914" w:rsidRPr="007A1328" w:rsidRDefault="00715914" w:rsidP="00715914">
    <w:pPr>
      <w:rPr>
        <w:b/>
        <w:sz w:val="24"/>
      </w:rPr>
    </w:pPr>
  </w:p>
  <w:p w14:paraId="208F69F2" w14:textId="0B430362" w:rsidR="00715914" w:rsidRPr="007A1328" w:rsidRDefault="007E163D" w:rsidP="00E831DF">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FB69A9">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B69A9">
      <w:rPr>
        <w:noProof/>
        <w:sz w:val="24"/>
      </w:rPr>
      <w:t>35</w:t>
    </w:r>
    <w:r w:rsidR="00F83989"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8C39" w14:textId="1AB4E9B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12BB18B0" w14:textId="1D4FD0BD"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FB69A9">
      <w:rPr>
        <w:noProof/>
        <w:sz w:val="20"/>
      </w:rPr>
      <w:t>Delegation</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FB69A9">
      <w:rPr>
        <w:b/>
        <w:noProof/>
        <w:sz w:val="20"/>
      </w:rPr>
      <w:t>Part 9</w:t>
    </w:r>
    <w:r>
      <w:rPr>
        <w:b/>
        <w:sz w:val="20"/>
      </w:rPr>
      <w:fldChar w:fldCharType="end"/>
    </w:r>
  </w:p>
  <w:p w14:paraId="2EAED155" w14:textId="56DFECF2"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03A188F8" w14:textId="77777777" w:rsidR="00715914" w:rsidRPr="007A1328" w:rsidRDefault="00715914" w:rsidP="00715914">
    <w:pPr>
      <w:jc w:val="right"/>
      <w:rPr>
        <w:b/>
        <w:sz w:val="24"/>
      </w:rPr>
    </w:pPr>
  </w:p>
  <w:p w14:paraId="67103276" w14:textId="743CBD29" w:rsidR="00715914" w:rsidRPr="007A1328" w:rsidRDefault="007E163D" w:rsidP="00E831DF">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FB69A9">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B69A9">
      <w:rPr>
        <w:noProof/>
        <w:sz w:val="24"/>
      </w:rPr>
      <w:t>35</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FB9B"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436" w14:textId="621DDF00"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71DD"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24A2" w14:textId="1990E7F8"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3D8" w14:textId="7FF5F3A4"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F3DA"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E45A" w14:textId="6357B2EB" w:rsidR="00E831DF" w:rsidRDefault="00E831DF">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41FF0153" w14:textId="1F9E4FB7" w:rsidR="00E831DF" w:rsidRDefault="00E831DF">
    <w:pPr>
      <w:rPr>
        <w:b/>
        <w:sz w:val="20"/>
      </w:rPr>
    </w:pPr>
    <w:r>
      <w:rPr>
        <w:b/>
        <w:sz w:val="20"/>
      </w:rPr>
      <w:fldChar w:fldCharType="begin"/>
    </w:r>
    <w:r>
      <w:rPr>
        <w:b/>
        <w:sz w:val="20"/>
      </w:rPr>
      <w:instrText xml:space="preserve"> STYLEREF CharPartNo </w:instrText>
    </w:r>
    <w:r w:rsidR="00FB69A9">
      <w:rPr>
        <w:b/>
        <w:sz w:val="20"/>
      </w:rPr>
      <w:fldChar w:fldCharType="separate"/>
    </w:r>
    <w:r w:rsidR="00FB69A9">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sidR="00FB69A9">
      <w:rPr>
        <w:sz w:val="20"/>
      </w:rPr>
      <w:fldChar w:fldCharType="separate"/>
    </w:r>
    <w:r w:rsidR="00FB69A9">
      <w:rPr>
        <w:noProof/>
        <w:sz w:val="20"/>
      </w:rPr>
      <w:t>Removal, relocation and family reunion assistance</w:t>
    </w:r>
    <w:r>
      <w:rPr>
        <w:sz w:val="20"/>
      </w:rPr>
      <w:fldChar w:fldCharType="end"/>
    </w:r>
  </w:p>
  <w:p w14:paraId="6EE2A291" w14:textId="2354DDED" w:rsidR="00E831DF" w:rsidRDefault="00E831D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07839794" w14:textId="77777777" w:rsidR="00E831DF" w:rsidRDefault="00E831DF">
    <w:pPr>
      <w:rPr>
        <w:b/>
        <w:sz w:val="24"/>
      </w:rPr>
    </w:pPr>
  </w:p>
  <w:p w14:paraId="5E5AC8D4" w14:textId="6F5B6DE0" w:rsidR="00E831DF" w:rsidRDefault="00E831DF" w:rsidP="00E831DF">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FB69A9">
      <w:rPr>
        <w:noProof/>
        <w:sz w:val="24"/>
      </w:rPr>
      <w:t>30</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9D2F" w14:textId="7AF35748" w:rsidR="00E831DF" w:rsidRDefault="00E831DF">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4A31FAE0" w14:textId="24ACB8F4" w:rsidR="00E831DF" w:rsidRDefault="00E831DF">
    <w:pPr>
      <w:jc w:val="right"/>
      <w:rPr>
        <w:b/>
        <w:sz w:val="20"/>
      </w:rPr>
    </w:pPr>
    <w:r>
      <w:rPr>
        <w:sz w:val="20"/>
      </w:rPr>
      <w:fldChar w:fldCharType="begin"/>
    </w:r>
    <w:r>
      <w:rPr>
        <w:sz w:val="20"/>
      </w:rPr>
      <w:instrText xml:space="preserve"> STYLEREF CharPartText </w:instrText>
    </w:r>
    <w:r w:rsidR="00FB69A9">
      <w:rPr>
        <w:sz w:val="20"/>
      </w:rPr>
      <w:fldChar w:fldCharType="separate"/>
    </w:r>
    <w:r w:rsidR="00FB69A9">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FB69A9">
      <w:rPr>
        <w:b/>
        <w:sz w:val="20"/>
      </w:rPr>
      <w:fldChar w:fldCharType="separate"/>
    </w:r>
    <w:r w:rsidR="00FB69A9">
      <w:rPr>
        <w:b/>
        <w:noProof/>
        <w:sz w:val="20"/>
      </w:rPr>
      <w:t>Part 1</w:t>
    </w:r>
    <w:r>
      <w:rPr>
        <w:b/>
        <w:sz w:val="20"/>
      </w:rPr>
      <w:fldChar w:fldCharType="end"/>
    </w:r>
  </w:p>
  <w:p w14:paraId="7A72454E" w14:textId="50FB9706" w:rsidR="00E831DF" w:rsidRDefault="00E831D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CD9AAB0" w14:textId="77777777" w:rsidR="00E831DF" w:rsidRDefault="00E831DF">
    <w:pPr>
      <w:jc w:val="right"/>
      <w:rPr>
        <w:b/>
        <w:sz w:val="24"/>
      </w:rPr>
    </w:pPr>
  </w:p>
  <w:p w14:paraId="1575E467" w14:textId="7906642A" w:rsidR="00E831DF" w:rsidRDefault="00E831DF" w:rsidP="00E831DF">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FB69A9">
      <w:rPr>
        <w:noProof/>
        <w:sz w:val="24"/>
      </w:rPr>
      <w:t>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D896" w14:textId="5D909E4B" w:rsidR="00E831DF" w:rsidRDefault="00E831DF">
    <w:pPr>
      <w:rPr>
        <w:sz w:val="20"/>
      </w:rPr>
    </w:pPr>
    <w:r>
      <w:rPr>
        <w:b/>
        <w:sz w:val="20"/>
      </w:rPr>
      <w:fldChar w:fldCharType="begin"/>
    </w:r>
    <w:r>
      <w:rPr>
        <w:b/>
        <w:sz w:val="20"/>
      </w:rPr>
      <w:instrText xml:space="preserve"> STYLEREF CharAmSchNo </w:instrText>
    </w:r>
    <w:r>
      <w:rPr>
        <w:b/>
        <w:sz w:val="20"/>
      </w:rPr>
      <w:fldChar w:fldCharType="separate"/>
    </w:r>
    <w:r w:rsidR="00FB69A9">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FB69A9">
      <w:rPr>
        <w:noProof/>
        <w:sz w:val="20"/>
      </w:rPr>
      <w:t>Repeals</w:t>
    </w:r>
    <w:r>
      <w:rPr>
        <w:sz w:val="20"/>
      </w:rPr>
      <w:fldChar w:fldCharType="end"/>
    </w:r>
  </w:p>
  <w:p w14:paraId="476CDA7E" w14:textId="0EC7C4BD" w:rsidR="00E831DF" w:rsidRDefault="00E831DF">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3606F21C" w14:textId="77777777" w:rsidR="00E831DF" w:rsidRDefault="00E831DF" w:rsidP="00E831DF">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72"/>
    <w:rsid w:val="00004470"/>
    <w:rsid w:val="000136AF"/>
    <w:rsid w:val="00023F08"/>
    <w:rsid w:val="000437C1"/>
    <w:rsid w:val="0005365D"/>
    <w:rsid w:val="000545F8"/>
    <w:rsid w:val="000614BF"/>
    <w:rsid w:val="00065050"/>
    <w:rsid w:val="0007210D"/>
    <w:rsid w:val="00073D39"/>
    <w:rsid w:val="000B58FA"/>
    <w:rsid w:val="000B7E30"/>
    <w:rsid w:val="000C3082"/>
    <w:rsid w:val="000C3393"/>
    <w:rsid w:val="000C6BF8"/>
    <w:rsid w:val="000D05EF"/>
    <w:rsid w:val="000E2261"/>
    <w:rsid w:val="000F21C1"/>
    <w:rsid w:val="0010644E"/>
    <w:rsid w:val="0010745C"/>
    <w:rsid w:val="00132CEB"/>
    <w:rsid w:val="00140A08"/>
    <w:rsid w:val="00142B62"/>
    <w:rsid w:val="00142FC6"/>
    <w:rsid w:val="0014539C"/>
    <w:rsid w:val="00153893"/>
    <w:rsid w:val="00157B8B"/>
    <w:rsid w:val="00166C2F"/>
    <w:rsid w:val="0017048D"/>
    <w:rsid w:val="001709E2"/>
    <w:rsid w:val="00171D1C"/>
    <w:rsid w:val="001721AC"/>
    <w:rsid w:val="001769A7"/>
    <w:rsid w:val="001809D7"/>
    <w:rsid w:val="001900C0"/>
    <w:rsid w:val="001939E1"/>
    <w:rsid w:val="00194C3E"/>
    <w:rsid w:val="00195382"/>
    <w:rsid w:val="001A0B20"/>
    <w:rsid w:val="001A1263"/>
    <w:rsid w:val="001A391A"/>
    <w:rsid w:val="001B32D0"/>
    <w:rsid w:val="001C41C5"/>
    <w:rsid w:val="001C61C5"/>
    <w:rsid w:val="001C69C4"/>
    <w:rsid w:val="001D37EF"/>
    <w:rsid w:val="001E3590"/>
    <w:rsid w:val="001E7407"/>
    <w:rsid w:val="001F098B"/>
    <w:rsid w:val="001F5D5E"/>
    <w:rsid w:val="001F6219"/>
    <w:rsid w:val="001F6CD4"/>
    <w:rsid w:val="00206C4D"/>
    <w:rsid w:val="0021053C"/>
    <w:rsid w:val="002150FD"/>
    <w:rsid w:val="00215AF1"/>
    <w:rsid w:val="00226562"/>
    <w:rsid w:val="002321E8"/>
    <w:rsid w:val="00232FA0"/>
    <w:rsid w:val="00236EEC"/>
    <w:rsid w:val="0024010F"/>
    <w:rsid w:val="00240749"/>
    <w:rsid w:val="00243018"/>
    <w:rsid w:val="0024664A"/>
    <w:rsid w:val="002564A4"/>
    <w:rsid w:val="0026736C"/>
    <w:rsid w:val="00270BEB"/>
    <w:rsid w:val="002767AC"/>
    <w:rsid w:val="00281308"/>
    <w:rsid w:val="00284719"/>
    <w:rsid w:val="00285293"/>
    <w:rsid w:val="00297ECB"/>
    <w:rsid w:val="002A7BCF"/>
    <w:rsid w:val="002C4A40"/>
    <w:rsid w:val="002D043A"/>
    <w:rsid w:val="002D6224"/>
    <w:rsid w:val="002E3F4B"/>
    <w:rsid w:val="003045DD"/>
    <w:rsid w:val="00304F8B"/>
    <w:rsid w:val="00320A94"/>
    <w:rsid w:val="003354D2"/>
    <w:rsid w:val="00335BC6"/>
    <w:rsid w:val="003415D3"/>
    <w:rsid w:val="0034184A"/>
    <w:rsid w:val="00344701"/>
    <w:rsid w:val="00351272"/>
    <w:rsid w:val="00352B0F"/>
    <w:rsid w:val="00356509"/>
    <w:rsid w:val="00356690"/>
    <w:rsid w:val="00357E48"/>
    <w:rsid w:val="00360459"/>
    <w:rsid w:val="00361D2A"/>
    <w:rsid w:val="00377E86"/>
    <w:rsid w:val="003A4A56"/>
    <w:rsid w:val="003B77A7"/>
    <w:rsid w:val="003C488C"/>
    <w:rsid w:val="003C6231"/>
    <w:rsid w:val="003D0BFE"/>
    <w:rsid w:val="003D5700"/>
    <w:rsid w:val="003E341B"/>
    <w:rsid w:val="003E7D51"/>
    <w:rsid w:val="00400247"/>
    <w:rsid w:val="004116CD"/>
    <w:rsid w:val="004144EC"/>
    <w:rsid w:val="00417EB9"/>
    <w:rsid w:val="00424CA9"/>
    <w:rsid w:val="00431E9B"/>
    <w:rsid w:val="004379E3"/>
    <w:rsid w:val="00437E5C"/>
    <w:rsid w:val="0044015E"/>
    <w:rsid w:val="0044291A"/>
    <w:rsid w:val="00444ABD"/>
    <w:rsid w:val="00461C81"/>
    <w:rsid w:val="00466C42"/>
    <w:rsid w:val="00467661"/>
    <w:rsid w:val="004705B7"/>
    <w:rsid w:val="00472DBE"/>
    <w:rsid w:val="00474A19"/>
    <w:rsid w:val="00495BC3"/>
    <w:rsid w:val="00496F97"/>
    <w:rsid w:val="004C6959"/>
    <w:rsid w:val="004C6AE8"/>
    <w:rsid w:val="004D3593"/>
    <w:rsid w:val="004E063A"/>
    <w:rsid w:val="004E7BEC"/>
    <w:rsid w:val="004F53FA"/>
    <w:rsid w:val="00505D3D"/>
    <w:rsid w:val="00505EB1"/>
    <w:rsid w:val="00506AF6"/>
    <w:rsid w:val="00516B8D"/>
    <w:rsid w:val="00537FBC"/>
    <w:rsid w:val="0054235D"/>
    <w:rsid w:val="00554954"/>
    <w:rsid w:val="005574D1"/>
    <w:rsid w:val="00561510"/>
    <w:rsid w:val="00584811"/>
    <w:rsid w:val="00585784"/>
    <w:rsid w:val="00593AA6"/>
    <w:rsid w:val="00594161"/>
    <w:rsid w:val="00594749"/>
    <w:rsid w:val="005B4067"/>
    <w:rsid w:val="005C3F41"/>
    <w:rsid w:val="005D2D09"/>
    <w:rsid w:val="005D3C14"/>
    <w:rsid w:val="005D4A51"/>
    <w:rsid w:val="00600219"/>
    <w:rsid w:val="00603DC4"/>
    <w:rsid w:val="00620076"/>
    <w:rsid w:val="00620BB9"/>
    <w:rsid w:val="00622233"/>
    <w:rsid w:val="006615DF"/>
    <w:rsid w:val="00670EA1"/>
    <w:rsid w:val="006715DB"/>
    <w:rsid w:val="00677CC2"/>
    <w:rsid w:val="00686E25"/>
    <w:rsid w:val="006905DE"/>
    <w:rsid w:val="0069207B"/>
    <w:rsid w:val="006944A8"/>
    <w:rsid w:val="006B5789"/>
    <w:rsid w:val="006C30C5"/>
    <w:rsid w:val="006C7F8C"/>
    <w:rsid w:val="006D2EFF"/>
    <w:rsid w:val="006D43F4"/>
    <w:rsid w:val="006E1E3B"/>
    <w:rsid w:val="006E6246"/>
    <w:rsid w:val="006F318F"/>
    <w:rsid w:val="006F4226"/>
    <w:rsid w:val="0070017E"/>
    <w:rsid w:val="00700B2C"/>
    <w:rsid w:val="007050A2"/>
    <w:rsid w:val="00713084"/>
    <w:rsid w:val="00714F20"/>
    <w:rsid w:val="0071590F"/>
    <w:rsid w:val="00715914"/>
    <w:rsid w:val="00721ABB"/>
    <w:rsid w:val="00731E00"/>
    <w:rsid w:val="007440B7"/>
    <w:rsid w:val="007500C8"/>
    <w:rsid w:val="00756272"/>
    <w:rsid w:val="0076681A"/>
    <w:rsid w:val="007715C9"/>
    <w:rsid w:val="00771613"/>
    <w:rsid w:val="00774EDD"/>
    <w:rsid w:val="007757EC"/>
    <w:rsid w:val="00783E89"/>
    <w:rsid w:val="00793915"/>
    <w:rsid w:val="007A4D7C"/>
    <w:rsid w:val="007C2253"/>
    <w:rsid w:val="007D5A63"/>
    <w:rsid w:val="007D7B81"/>
    <w:rsid w:val="007E163D"/>
    <w:rsid w:val="007E667A"/>
    <w:rsid w:val="007F08BB"/>
    <w:rsid w:val="007F28C9"/>
    <w:rsid w:val="00803587"/>
    <w:rsid w:val="00807626"/>
    <w:rsid w:val="00810A84"/>
    <w:rsid w:val="008117E9"/>
    <w:rsid w:val="00823429"/>
    <w:rsid w:val="00824498"/>
    <w:rsid w:val="00825BB6"/>
    <w:rsid w:val="00856A31"/>
    <w:rsid w:val="00864B24"/>
    <w:rsid w:val="00867B37"/>
    <w:rsid w:val="008700DD"/>
    <w:rsid w:val="008754D0"/>
    <w:rsid w:val="008855C9"/>
    <w:rsid w:val="00886456"/>
    <w:rsid w:val="008966C8"/>
    <w:rsid w:val="008A46E1"/>
    <w:rsid w:val="008A4F43"/>
    <w:rsid w:val="008B2706"/>
    <w:rsid w:val="008D0EE0"/>
    <w:rsid w:val="008D68B0"/>
    <w:rsid w:val="008E6067"/>
    <w:rsid w:val="008F319D"/>
    <w:rsid w:val="008F43A4"/>
    <w:rsid w:val="008F54E7"/>
    <w:rsid w:val="00903422"/>
    <w:rsid w:val="00915DF9"/>
    <w:rsid w:val="009254C3"/>
    <w:rsid w:val="00932377"/>
    <w:rsid w:val="00937498"/>
    <w:rsid w:val="00947D5A"/>
    <w:rsid w:val="009532A5"/>
    <w:rsid w:val="00982242"/>
    <w:rsid w:val="009868E9"/>
    <w:rsid w:val="00990F4B"/>
    <w:rsid w:val="0099557E"/>
    <w:rsid w:val="009B5AB3"/>
    <w:rsid w:val="009C2BF1"/>
    <w:rsid w:val="009E1604"/>
    <w:rsid w:val="009E32A8"/>
    <w:rsid w:val="009E5CFC"/>
    <w:rsid w:val="00A079CB"/>
    <w:rsid w:val="00A12128"/>
    <w:rsid w:val="00A22C98"/>
    <w:rsid w:val="00A231E2"/>
    <w:rsid w:val="00A64912"/>
    <w:rsid w:val="00A70A74"/>
    <w:rsid w:val="00AD216F"/>
    <w:rsid w:val="00AD5641"/>
    <w:rsid w:val="00AD7889"/>
    <w:rsid w:val="00AE3652"/>
    <w:rsid w:val="00AF021B"/>
    <w:rsid w:val="00AF06CF"/>
    <w:rsid w:val="00B05CF4"/>
    <w:rsid w:val="00B07CDB"/>
    <w:rsid w:val="00B16A31"/>
    <w:rsid w:val="00B17DFD"/>
    <w:rsid w:val="00B308FE"/>
    <w:rsid w:val="00B33709"/>
    <w:rsid w:val="00B33B3C"/>
    <w:rsid w:val="00B50ADC"/>
    <w:rsid w:val="00B566B1"/>
    <w:rsid w:val="00B56F46"/>
    <w:rsid w:val="00B63834"/>
    <w:rsid w:val="00B65F8A"/>
    <w:rsid w:val="00B72734"/>
    <w:rsid w:val="00B75D86"/>
    <w:rsid w:val="00B80199"/>
    <w:rsid w:val="00B83204"/>
    <w:rsid w:val="00BA0C87"/>
    <w:rsid w:val="00BA220B"/>
    <w:rsid w:val="00BA3A57"/>
    <w:rsid w:val="00BA691F"/>
    <w:rsid w:val="00BB4E1A"/>
    <w:rsid w:val="00BC015E"/>
    <w:rsid w:val="00BC0D9B"/>
    <w:rsid w:val="00BC76AC"/>
    <w:rsid w:val="00BD0ECB"/>
    <w:rsid w:val="00BE2155"/>
    <w:rsid w:val="00BE2213"/>
    <w:rsid w:val="00BE719A"/>
    <w:rsid w:val="00BE720A"/>
    <w:rsid w:val="00BF0D73"/>
    <w:rsid w:val="00BF2465"/>
    <w:rsid w:val="00BF76DA"/>
    <w:rsid w:val="00C25E7F"/>
    <w:rsid w:val="00C2746F"/>
    <w:rsid w:val="00C324A0"/>
    <w:rsid w:val="00C3300F"/>
    <w:rsid w:val="00C42BF8"/>
    <w:rsid w:val="00C50043"/>
    <w:rsid w:val="00C53CD7"/>
    <w:rsid w:val="00C7573B"/>
    <w:rsid w:val="00C93C03"/>
    <w:rsid w:val="00CA6796"/>
    <w:rsid w:val="00CA7513"/>
    <w:rsid w:val="00CB2C8E"/>
    <w:rsid w:val="00CB602E"/>
    <w:rsid w:val="00CE051D"/>
    <w:rsid w:val="00CE1335"/>
    <w:rsid w:val="00CE493D"/>
    <w:rsid w:val="00CE4AC6"/>
    <w:rsid w:val="00CE528A"/>
    <w:rsid w:val="00CE603F"/>
    <w:rsid w:val="00CF07FA"/>
    <w:rsid w:val="00CF0BB2"/>
    <w:rsid w:val="00CF3EE8"/>
    <w:rsid w:val="00D0404F"/>
    <w:rsid w:val="00D050E6"/>
    <w:rsid w:val="00D13441"/>
    <w:rsid w:val="00D150E7"/>
    <w:rsid w:val="00D32F65"/>
    <w:rsid w:val="00D52DC2"/>
    <w:rsid w:val="00D534CA"/>
    <w:rsid w:val="00D53BCC"/>
    <w:rsid w:val="00D67E8A"/>
    <w:rsid w:val="00D70DFB"/>
    <w:rsid w:val="00D7332E"/>
    <w:rsid w:val="00D766DF"/>
    <w:rsid w:val="00D854A9"/>
    <w:rsid w:val="00D85DE3"/>
    <w:rsid w:val="00DA186E"/>
    <w:rsid w:val="00DA4116"/>
    <w:rsid w:val="00DA67D9"/>
    <w:rsid w:val="00DB251C"/>
    <w:rsid w:val="00DB29BA"/>
    <w:rsid w:val="00DB4630"/>
    <w:rsid w:val="00DC051C"/>
    <w:rsid w:val="00DC4F88"/>
    <w:rsid w:val="00E05704"/>
    <w:rsid w:val="00E11E44"/>
    <w:rsid w:val="00E3270E"/>
    <w:rsid w:val="00E338EF"/>
    <w:rsid w:val="00E544BB"/>
    <w:rsid w:val="00E62B6E"/>
    <w:rsid w:val="00E662CB"/>
    <w:rsid w:val="00E74351"/>
    <w:rsid w:val="00E74DC7"/>
    <w:rsid w:val="00E76806"/>
    <w:rsid w:val="00E8075A"/>
    <w:rsid w:val="00E831DF"/>
    <w:rsid w:val="00E94D5E"/>
    <w:rsid w:val="00EA7100"/>
    <w:rsid w:val="00EA7F9F"/>
    <w:rsid w:val="00EB1274"/>
    <w:rsid w:val="00EB6AD0"/>
    <w:rsid w:val="00EC6F8E"/>
    <w:rsid w:val="00ED2BB6"/>
    <w:rsid w:val="00ED34E1"/>
    <w:rsid w:val="00ED3B8D"/>
    <w:rsid w:val="00ED659C"/>
    <w:rsid w:val="00ED74C0"/>
    <w:rsid w:val="00EF2E3A"/>
    <w:rsid w:val="00F040F7"/>
    <w:rsid w:val="00F072A7"/>
    <w:rsid w:val="00F078DC"/>
    <w:rsid w:val="00F32BA8"/>
    <w:rsid w:val="00F349F1"/>
    <w:rsid w:val="00F37216"/>
    <w:rsid w:val="00F4350D"/>
    <w:rsid w:val="00F53BE6"/>
    <w:rsid w:val="00F567F7"/>
    <w:rsid w:val="00F62036"/>
    <w:rsid w:val="00F65B52"/>
    <w:rsid w:val="00F67BCA"/>
    <w:rsid w:val="00F73BD6"/>
    <w:rsid w:val="00F83989"/>
    <w:rsid w:val="00F85099"/>
    <w:rsid w:val="00F9379C"/>
    <w:rsid w:val="00F9632C"/>
    <w:rsid w:val="00FA1E52"/>
    <w:rsid w:val="00FB1409"/>
    <w:rsid w:val="00FB53F5"/>
    <w:rsid w:val="00FB69A9"/>
    <w:rsid w:val="00FC7480"/>
    <w:rsid w:val="00FD08AE"/>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1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29BA"/>
    <w:pPr>
      <w:spacing w:line="260" w:lineRule="atLeast"/>
    </w:pPr>
    <w:rPr>
      <w:sz w:val="22"/>
    </w:rPr>
  </w:style>
  <w:style w:type="paragraph" w:styleId="Heading1">
    <w:name w:val="heading 1"/>
    <w:basedOn w:val="Normal"/>
    <w:next w:val="Normal"/>
    <w:link w:val="Heading1Char"/>
    <w:uiPriority w:val="9"/>
    <w:qFormat/>
    <w:rsid w:val="00DB29B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29B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29B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29B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29B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B29B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B29B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29B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B29B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B29BA"/>
  </w:style>
  <w:style w:type="paragraph" w:customStyle="1" w:styleId="OPCParaBase">
    <w:name w:val="OPCParaBase"/>
    <w:qFormat/>
    <w:rsid w:val="00DB29BA"/>
    <w:pPr>
      <w:spacing w:line="260" w:lineRule="atLeast"/>
    </w:pPr>
    <w:rPr>
      <w:rFonts w:eastAsia="Times New Roman" w:cs="Times New Roman"/>
      <w:sz w:val="22"/>
      <w:lang w:eastAsia="en-AU"/>
    </w:rPr>
  </w:style>
  <w:style w:type="paragraph" w:customStyle="1" w:styleId="ShortT">
    <w:name w:val="ShortT"/>
    <w:basedOn w:val="OPCParaBase"/>
    <w:next w:val="Normal"/>
    <w:qFormat/>
    <w:rsid w:val="00DB29BA"/>
    <w:pPr>
      <w:spacing w:line="240" w:lineRule="auto"/>
    </w:pPr>
    <w:rPr>
      <w:b/>
      <w:sz w:val="40"/>
    </w:rPr>
  </w:style>
  <w:style w:type="paragraph" w:customStyle="1" w:styleId="ActHead1">
    <w:name w:val="ActHead 1"/>
    <w:aliases w:val="c"/>
    <w:basedOn w:val="OPCParaBase"/>
    <w:next w:val="Normal"/>
    <w:qFormat/>
    <w:rsid w:val="00DB29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B29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B29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29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29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29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29B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29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29B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B29BA"/>
  </w:style>
  <w:style w:type="paragraph" w:customStyle="1" w:styleId="Blocks">
    <w:name w:val="Blocks"/>
    <w:aliases w:val="bb"/>
    <w:basedOn w:val="OPCParaBase"/>
    <w:qFormat/>
    <w:rsid w:val="00DB29BA"/>
    <w:pPr>
      <w:spacing w:line="240" w:lineRule="auto"/>
    </w:pPr>
    <w:rPr>
      <w:sz w:val="24"/>
    </w:rPr>
  </w:style>
  <w:style w:type="paragraph" w:customStyle="1" w:styleId="BoxText">
    <w:name w:val="BoxText"/>
    <w:aliases w:val="bt"/>
    <w:basedOn w:val="OPCParaBase"/>
    <w:qFormat/>
    <w:rsid w:val="00DB29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29BA"/>
    <w:rPr>
      <w:b/>
    </w:rPr>
  </w:style>
  <w:style w:type="paragraph" w:customStyle="1" w:styleId="BoxHeadItalic">
    <w:name w:val="BoxHeadItalic"/>
    <w:aliases w:val="bhi"/>
    <w:basedOn w:val="BoxText"/>
    <w:next w:val="BoxStep"/>
    <w:qFormat/>
    <w:rsid w:val="00DB29BA"/>
    <w:rPr>
      <w:i/>
    </w:rPr>
  </w:style>
  <w:style w:type="paragraph" w:customStyle="1" w:styleId="BoxList">
    <w:name w:val="BoxList"/>
    <w:aliases w:val="bl"/>
    <w:basedOn w:val="BoxText"/>
    <w:qFormat/>
    <w:rsid w:val="00DB29BA"/>
    <w:pPr>
      <w:ind w:left="1559" w:hanging="425"/>
    </w:pPr>
  </w:style>
  <w:style w:type="paragraph" w:customStyle="1" w:styleId="BoxNote">
    <w:name w:val="BoxNote"/>
    <w:aliases w:val="bn"/>
    <w:basedOn w:val="BoxText"/>
    <w:qFormat/>
    <w:rsid w:val="00DB29BA"/>
    <w:pPr>
      <w:tabs>
        <w:tab w:val="left" w:pos="1985"/>
      </w:tabs>
      <w:spacing w:before="122" w:line="198" w:lineRule="exact"/>
      <w:ind w:left="2948" w:hanging="1814"/>
    </w:pPr>
    <w:rPr>
      <w:sz w:val="18"/>
    </w:rPr>
  </w:style>
  <w:style w:type="paragraph" w:customStyle="1" w:styleId="BoxPara">
    <w:name w:val="BoxPara"/>
    <w:aliases w:val="bp"/>
    <w:basedOn w:val="BoxText"/>
    <w:qFormat/>
    <w:rsid w:val="00DB29BA"/>
    <w:pPr>
      <w:tabs>
        <w:tab w:val="right" w:pos="2268"/>
      </w:tabs>
      <w:ind w:left="2552" w:hanging="1418"/>
    </w:pPr>
  </w:style>
  <w:style w:type="paragraph" w:customStyle="1" w:styleId="BoxStep">
    <w:name w:val="BoxStep"/>
    <w:aliases w:val="bs"/>
    <w:basedOn w:val="BoxText"/>
    <w:qFormat/>
    <w:rsid w:val="00DB29BA"/>
    <w:pPr>
      <w:ind w:left="1985" w:hanging="851"/>
    </w:pPr>
  </w:style>
  <w:style w:type="character" w:customStyle="1" w:styleId="CharAmPartNo">
    <w:name w:val="CharAmPartNo"/>
    <w:basedOn w:val="OPCCharBase"/>
    <w:qFormat/>
    <w:rsid w:val="00DB29BA"/>
  </w:style>
  <w:style w:type="character" w:customStyle="1" w:styleId="CharAmPartText">
    <w:name w:val="CharAmPartText"/>
    <w:basedOn w:val="OPCCharBase"/>
    <w:qFormat/>
    <w:rsid w:val="00DB29BA"/>
  </w:style>
  <w:style w:type="character" w:customStyle="1" w:styleId="CharAmSchNo">
    <w:name w:val="CharAmSchNo"/>
    <w:basedOn w:val="OPCCharBase"/>
    <w:qFormat/>
    <w:rsid w:val="00DB29BA"/>
  </w:style>
  <w:style w:type="character" w:customStyle="1" w:styleId="CharAmSchText">
    <w:name w:val="CharAmSchText"/>
    <w:basedOn w:val="OPCCharBase"/>
    <w:qFormat/>
    <w:rsid w:val="00DB29BA"/>
  </w:style>
  <w:style w:type="character" w:customStyle="1" w:styleId="CharBoldItalic">
    <w:name w:val="CharBoldItalic"/>
    <w:basedOn w:val="OPCCharBase"/>
    <w:uiPriority w:val="1"/>
    <w:qFormat/>
    <w:rsid w:val="00DB29BA"/>
    <w:rPr>
      <w:b/>
      <w:i/>
    </w:rPr>
  </w:style>
  <w:style w:type="character" w:customStyle="1" w:styleId="CharChapNo">
    <w:name w:val="CharChapNo"/>
    <w:basedOn w:val="OPCCharBase"/>
    <w:uiPriority w:val="1"/>
    <w:qFormat/>
    <w:rsid w:val="00DB29BA"/>
  </w:style>
  <w:style w:type="character" w:customStyle="1" w:styleId="CharChapText">
    <w:name w:val="CharChapText"/>
    <w:basedOn w:val="OPCCharBase"/>
    <w:uiPriority w:val="1"/>
    <w:qFormat/>
    <w:rsid w:val="00DB29BA"/>
  </w:style>
  <w:style w:type="character" w:customStyle="1" w:styleId="CharDivNo">
    <w:name w:val="CharDivNo"/>
    <w:basedOn w:val="OPCCharBase"/>
    <w:uiPriority w:val="1"/>
    <w:qFormat/>
    <w:rsid w:val="00DB29BA"/>
  </w:style>
  <w:style w:type="character" w:customStyle="1" w:styleId="CharDivText">
    <w:name w:val="CharDivText"/>
    <w:basedOn w:val="OPCCharBase"/>
    <w:uiPriority w:val="1"/>
    <w:qFormat/>
    <w:rsid w:val="00DB29BA"/>
  </w:style>
  <w:style w:type="character" w:customStyle="1" w:styleId="CharItalic">
    <w:name w:val="CharItalic"/>
    <w:basedOn w:val="OPCCharBase"/>
    <w:uiPriority w:val="1"/>
    <w:qFormat/>
    <w:rsid w:val="00DB29BA"/>
    <w:rPr>
      <w:i/>
    </w:rPr>
  </w:style>
  <w:style w:type="character" w:customStyle="1" w:styleId="CharPartNo">
    <w:name w:val="CharPartNo"/>
    <w:basedOn w:val="OPCCharBase"/>
    <w:uiPriority w:val="1"/>
    <w:qFormat/>
    <w:rsid w:val="00DB29BA"/>
  </w:style>
  <w:style w:type="character" w:customStyle="1" w:styleId="CharPartText">
    <w:name w:val="CharPartText"/>
    <w:basedOn w:val="OPCCharBase"/>
    <w:uiPriority w:val="1"/>
    <w:qFormat/>
    <w:rsid w:val="00DB29BA"/>
  </w:style>
  <w:style w:type="character" w:customStyle="1" w:styleId="CharSectno">
    <w:name w:val="CharSectno"/>
    <w:basedOn w:val="OPCCharBase"/>
    <w:qFormat/>
    <w:rsid w:val="00DB29BA"/>
  </w:style>
  <w:style w:type="character" w:customStyle="1" w:styleId="CharSubdNo">
    <w:name w:val="CharSubdNo"/>
    <w:basedOn w:val="OPCCharBase"/>
    <w:uiPriority w:val="1"/>
    <w:qFormat/>
    <w:rsid w:val="00DB29BA"/>
  </w:style>
  <w:style w:type="character" w:customStyle="1" w:styleId="CharSubdText">
    <w:name w:val="CharSubdText"/>
    <w:basedOn w:val="OPCCharBase"/>
    <w:uiPriority w:val="1"/>
    <w:qFormat/>
    <w:rsid w:val="00DB29BA"/>
  </w:style>
  <w:style w:type="paragraph" w:customStyle="1" w:styleId="CTA--">
    <w:name w:val="CTA --"/>
    <w:basedOn w:val="OPCParaBase"/>
    <w:next w:val="Normal"/>
    <w:rsid w:val="00DB29BA"/>
    <w:pPr>
      <w:spacing w:before="60" w:line="240" w:lineRule="atLeast"/>
      <w:ind w:left="142" w:hanging="142"/>
    </w:pPr>
    <w:rPr>
      <w:sz w:val="20"/>
    </w:rPr>
  </w:style>
  <w:style w:type="paragraph" w:customStyle="1" w:styleId="CTA-">
    <w:name w:val="CTA -"/>
    <w:basedOn w:val="OPCParaBase"/>
    <w:rsid w:val="00DB29BA"/>
    <w:pPr>
      <w:spacing w:before="60" w:line="240" w:lineRule="atLeast"/>
      <w:ind w:left="85" w:hanging="85"/>
    </w:pPr>
    <w:rPr>
      <w:sz w:val="20"/>
    </w:rPr>
  </w:style>
  <w:style w:type="paragraph" w:customStyle="1" w:styleId="CTA---">
    <w:name w:val="CTA ---"/>
    <w:basedOn w:val="OPCParaBase"/>
    <w:next w:val="Normal"/>
    <w:rsid w:val="00DB29BA"/>
    <w:pPr>
      <w:spacing w:before="60" w:line="240" w:lineRule="atLeast"/>
      <w:ind w:left="198" w:hanging="198"/>
    </w:pPr>
    <w:rPr>
      <w:sz w:val="20"/>
    </w:rPr>
  </w:style>
  <w:style w:type="paragraph" w:customStyle="1" w:styleId="CTA----">
    <w:name w:val="CTA ----"/>
    <w:basedOn w:val="OPCParaBase"/>
    <w:next w:val="Normal"/>
    <w:rsid w:val="00DB29BA"/>
    <w:pPr>
      <w:spacing w:before="60" w:line="240" w:lineRule="atLeast"/>
      <w:ind w:left="255" w:hanging="255"/>
    </w:pPr>
    <w:rPr>
      <w:sz w:val="20"/>
    </w:rPr>
  </w:style>
  <w:style w:type="paragraph" w:customStyle="1" w:styleId="CTA1a">
    <w:name w:val="CTA 1(a)"/>
    <w:basedOn w:val="OPCParaBase"/>
    <w:rsid w:val="00DB29BA"/>
    <w:pPr>
      <w:tabs>
        <w:tab w:val="right" w:pos="414"/>
      </w:tabs>
      <w:spacing w:before="40" w:line="240" w:lineRule="atLeast"/>
      <w:ind w:left="675" w:hanging="675"/>
    </w:pPr>
    <w:rPr>
      <w:sz w:val="20"/>
    </w:rPr>
  </w:style>
  <w:style w:type="paragraph" w:customStyle="1" w:styleId="CTA1ai">
    <w:name w:val="CTA 1(a)(i)"/>
    <w:basedOn w:val="OPCParaBase"/>
    <w:rsid w:val="00DB29BA"/>
    <w:pPr>
      <w:tabs>
        <w:tab w:val="right" w:pos="1004"/>
      </w:tabs>
      <w:spacing w:before="40" w:line="240" w:lineRule="atLeast"/>
      <w:ind w:left="1253" w:hanging="1253"/>
    </w:pPr>
    <w:rPr>
      <w:sz w:val="20"/>
    </w:rPr>
  </w:style>
  <w:style w:type="paragraph" w:customStyle="1" w:styleId="CTA2a">
    <w:name w:val="CTA 2(a)"/>
    <w:basedOn w:val="OPCParaBase"/>
    <w:rsid w:val="00DB29BA"/>
    <w:pPr>
      <w:tabs>
        <w:tab w:val="right" w:pos="482"/>
      </w:tabs>
      <w:spacing w:before="40" w:line="240" w:lineRule="atLeast"/>
      <w:ind w:left="748" w:hanging="748"/>
    </w:pPr>
    <w:rPr>
      <w:sz w:val="20"/>
    </w:rPr>
  </w:style>
  <w:style w:type="paragraph" w:customStyle="1" w:styleId="CTA2ai">
    <w:name w:val="CTA 2(a)(i)"/>
    <w:basedOn w:val="OPCParaBase"/>
    <w:rsid w:val="00DB29BA"/>
    <w:pPr>
      <w:tabs>
        <w:tab w:val="right" w:pos="1089"/>
      </w:tabs>
      <w:spacing w:before="40" w:line="240" w:lineRule="atLeast"/>
      <w:ind w:left="1327" w:hanging="1327"/>
    </w:pPr>
    <w:rPr>
      <w:sz w:val="20"/>
    </w:rPr>
  </w:style>
  <w:style w:type="paragraph" w:customStyle="1" w:styleId="CTA3a">
    <w:name w:val="CTA 3(a)"/>
    <w:basedOn w:val="OPCParaBase"/>
    <w:rsid w:val="00DB29BA"/>
    <w:pPr>
      <w:tabs>
        <w:tab w:val="right" w:pos="556"/>
      </w:tabs>
      <w:spacing w:before="40" w:line="240" w:lineRule="atLeast"/>
      <w:ind w:left="805" w:hanging="805"/>
    </w:pPr>
    <w:rPr>
      <w:sz w:val="20"/>
    </w:rPr>
  </w:style>
  <w:style w:type="paragraph" w:customStyle="1" w:styleId="CTA3ai">
    <w:name w:val="CTA 3(a)(i)"/>
    <w:basedOn w:val="OPCParaBase"/>
    <w:rsid w:val="00DB29BA"/>
    <w:pPr>
      <w:tabs>
        <w:tab w:val="right" w:pos="1140"/>
      </w:tabs>
      <w:spacing w:before="40" w:line="240" w:lineRule="atLeast"/>
      <w:ind w:left="1361" w:hanging="1361"/>
    </w:pPr>
    <w:rPr>
      <w:sz w:val="20"/>
    </w:rPr>
  </w:style>
  <w:style w:type="paragraph" w:customStyle="1" w:styleId="CTA4a">
    <w:name w:val="CTA 4(a)"/>
    <w:basedOn w:val="OPCParaBase"/>
    <w:rsid w:val="00DB29BA"/>
    <w:pPr>
      <w:tabs>
        <w:tab w:val="right" w:pos="624"/>
      </w:tabs>
      <w:spacing w:before="40" w:line="240" w:lineRule="atLeast"/>
      <w:ind w:left="873" w:hanging="873"/>
    </w:pPr>
    <w:rPr>
      <w:sz w:val="20"/>
    </w:rPr>
  </w:style>
  <w:style w:type="paragraph" w:customStyle="1" w:styleId="CTA4ai">
    <w:name w:val="CTA 4(a)(i)"/>
    <w:basedOn w:val="OPCParaBase"/>
    <w:rsid w:val="00DB29BA"/>
    <w:pPr>
      <w:tabs>
        <w:tab w:val="right" w:pos="1213"/>
      </w:tabs>
      <w:spacing w:before="40" w:line="240" w:lineRule="atLeast"/>
      <w:ind w:left="1452" w:hanging="1452"/>
    </w:pPr>
    <w:rPr>
      <w:sz w:val="20"/>
    </w:rPr>
  </w:style>
  <w:style w:type="paragraph" w:customStyle="1" w:styleId="CTACAPS">
    <w:name w:val="CTA CAPS"/>
    <w:basedOn w:val="OPCParaBase"/>
    <w:rsid w:val="00DB29BA"/>
    <w:pPr>
      <w:spacing w:before="60" w:line="240" w:lineRule="atLeast"/>
    </w:pPr>
    <w:rPr>
      <w:sz w:val="20"/>
    </w:rPr>
  </w:style>
  <w:style w:type="paragraph" w:customStyle="1" w:styleId="CTAright">
    <w:name w:val="CTA right"/>
    <w:basedOn w:val="OPCParaBase"/>
    <w:rsid w:val="00DB29BA"/>
    <w:pPr>
      <w:spacing w:before="60" w:line="240" w:lineRule="auto"/>
      <w:jc w:val="right"/>
    </w:pPr>
    <w:rPr>
      <w:sz w:val="20"/>
    </w:rPr>
  </w:style>
  <w:style w:type="paragraph" w:customStyle="1" w:styleId="subsection">
    <w:name w:val="subsection"/>
    <w:aliases w:val="ss"/>
    <w:basedOn w:val="OPCParaBase"/>
    <w:link w:val="subsectionChar"/>
    <w:rsid w:val="00DB29BA"/>
    <w:pPr>
      <w:tabs>
        <w:tab w:val="right" w:pos="1021"/>
      </w:tabs>
      <w:spacing w:before="180" w:line="240" w:lineRule="auto"/>
      <w:ind w:left="1134" w:hanging="1134"/>
    </w:pPr>
  </w:style>
  <w:style w:type="paragraph" w:customStyle="1" w:styleId="Definition">
    <w:name w:val="Definition"/>
    <w:aliases w:val="dd"/>
    <w:basedOn w:val="OPCParaBase"/>
    <w:rsid w:val="00DB29BA"/>
    <w:pPr>
      <w:spacing w:before="180" w:line="240" w:lineRule="auto"/>
      <w:ind w:left="1134"/>
    </w:pPr>
  </w:style>
  <w:style w:type="paragraph" w:customStyle="1" w:styleId="EndNotespara">
    <w:name w:val="EndNotes(para)"/>
    <w:aliases w:val="eta"/>
    <w:basedOn w:val="OPCParaBase"/>
    <w:next w:val="EndNotessubpara"/>
    <w:rsid w:val="00DB29B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29B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29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29BA"/>
    <w:pPr>
      <w:tabs>
        <w:tab w:val="right" w:pos="1412"/>
      </w:tabs>
      <w:spacing w:before="60" w:line="240" w:lineRule="auto"/>
      <w:ind w:left="1525" w:hanging="1525"/>
    </w:pPr>
    <w:rPr>
      <w:sz w:val="20"/>
    </w:rPr>
  </w:style>
  <w:style w:type="paragraph" w:customStyle="1" w:styleId="Formula">
    <w:name w:val="Formula"/>
    <w:basedOn w:val="OPCParaBase"/>
    <w:rsid w:val="00DB29BA"/>
    <w:pPr>
      <w:spacing w:line="240" w:lineRule="auto"/>
      <w:ind w:left="1134"/>
    </w:pPr>
    <w:rPr>
      <w:sz w:val="20"/>
    </w:rPr>
  </w:style>
  <w:style w:type="paragraph" w:styleId="Header">
    <w:name w:val="header"/>
    <w:basedOn w:val="OPCParaBase"/>
    <w:link w:val="HeaderChar"/>
    <w:unhideWhenUsed/>
    <w:rsid w:val="00DB29B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B29BA"/>
    <w:rPr>
      <w:rFonts w:eastAsia="Times New Roman" w:cs="Times New Roman"/>
      <w:sz w:val="16"/>
      <w:lang w:eastAsia="en-AU"/>
    </w:rPr>
  </w:style>
  <w:style w:type="paragraph" w:customStyle="1" w:styleId="House">
    <w:name w:val="House"/>
    <w:basedOn w:val="OPCParaBase"/>
    <w:rsid w:val="00DB29BA"/>
    <w:pPr>
      <w:spacing w:line="240" w:lineRule="auto"/>
    </w:pPr>
    <w:rPr>
      <w:sz w:val="28"/>
    </w:rPr>
  </w:style>
  <w:style w:type="paragraph" w:customStyle="1" w:styleId="Item">
    <w:name w:val="Item"/>
    <w:aliases w:val="i"/>
    <w:basedOn w:val="OPCParaBase"/>
    <w:next w:val="ItemHead"/>
    <w:rsid w:val="00DB29BA"/>
    <w:pPr>
      <w:keepLines/>
      <w:spacing w:before="80" w:line="240" w:lineRule="auto"/>
      <w:ind w:left="709"/>
    </w:pPr>
  </w:style>
  <w:style w:type="paragraph" w:customStyle="1" w:styleId="ItemHead">
    <w:name w:val="ItemHead"/>
    <w:aliases w:val="ih"/>
    <w:basedOn w:val="OPCParaBase"/>
    <w:next w:val="Item"/>
    <w:rsid w:val="00DB29B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B29BA"/>
    <w:pPr>
      <w:spacing w:line="240" w:lineRule="auto"/>
    </w:pPr>
    <w:rPr>
      <w:b/>
      <w:sz w:val="32"/>
    </w:rPr>
  </w:style>
  <w:style w:type="paragraph" w:customStyle="1" w:styleId="notedraft">
    <w:name w:val="note(draft)"/>
    <w:aliases w:val="nd"/>
    <w:basedOn w:val="OPCParaBase"/>
    <w:rsid w:val="00DB29BA"/>
    <w:pPr>
      <w:spacing w:before="240" w:line="240" w:lineRule="auto"/>
      <w:ind w:left="284" w:hanging="284"/>
    </w:pPr>
    <w:rPr>
      <w:i/>
      <w:sz w:val="24"/>
    </w:rPr>
  </w:style>
  <w:style w:type="paragraph" w:customStyle="1" w:styleId="notemargin">
    <w:name w:val="note(margin)"/>
    <w:aliases w:val="nm"/>
    <w:basedOn w:val="OPCParaBase"/>
    <w:rsid w:val="00DB29BA"/>
    <w:pPr>
      <w:tabs>
        <w:tab w:val="left" w:pos="709"/>
      </w:tabs>
      <w:spacing w:before="122" w:line="198" w:lineRule="exact"/>
      <w:ind w:left="709" w:hanging="709"/>
    </w:pPr>
    <w:rPr>
      <w:sz w:val="18"/>
    </w:rPr>
  </w:style>
  <w:style w:type="paragraph" w:customStyle="1" w:styleId="noteToPara">
    <w:name w:val="noteToPara"/>
    <w:aliases w:val="ntp"/>
    <w:basedOn w:val="OPCParaBase"/>
    <w:rsid w:val="00DB29BA"/>
    <w:pPr>
      <w:spacing w:before="122" w:line="198" w:lineRule="exact"/>
      <w:ind w:left="2353" w:hanging="709"/>
    </w:pPr>
    <w:rPr>
      <w:sz w:val="18"/>
    </w:rPr>
  </w:style>
  <w:style w:type="paragraph" w:customStyle="1" w:styleId="noteParlAmend">
    <w:name w:val="note(ParlAmend)"/>
    <w:aliases w:val="npp"/>
    <w:basedOn w:val="OPCParaBase"/>
    <w:next w:val="ParlAmend"/>
    <w:rsid w:val="00DB29BA"/>
    <w:pPr>
      <w:spacing w:line="240" w:lineRule="auto"/>
      <w:jc w:val="right"/>
    </w:pPr>
    <w:rPr>
      <w:rFonts w:ascii="Arial" w:hAnsi="Arial"/>
      <w:b/>
      <w:i/>
    </w:rPr>
  </w:style>
  <w:style w:type="paragraph" w:customStyle="1" w:styleId="Page1">
    <w:name w:val="Page1"/>
    <w:basedOn w:val="OPCParaBase"/>
    <w:rsid w:val="00DB29BA"/>
    <w:pPr>
      <w:spacing w:before="5600" w:line="240" w:lineRule="auto"/>
    </w:pPr>
    <w:rPr>
      <w:b/>
      <w:sz w:val="32"/>
    </w:rPr>
  </w:style>
  <w:style w:type="paragraph" w:customStyle="1" w:styleId="PageBreak">
    <w:name w:val="PageBreak"/>
    <w:aliases w:val="pb"/>
    <w:basedOn w:val="OPCParaBase"/>
    <w:rsid w:val="00DB29BA"/>
    <w:pPr>
      <w:spacing w:line="240" w:lineRule="auto"/>
    </w:pPr>
    <w:rPr>
      <w:sz w:val="20"/>
    </w:rPr>
  </w:style>
  <w:style w:type="paragraph" w:customStyle="1" w:styleId="paragraphsub">
    <w:name w:val="paragraph(sub)"/>
    <w:aliases w:val="aa"/>
    <w:basedOn w:val="OPCParaBase"/>
    <w:rsid w:val="00DB29BA"/>
    <w:pPr>
      <w:tabs>
        <w:tab w:val="right" w:pos="1985"/>
      </w:tabs>
      <w:spacing w:before="40" w:line="240" w:lineRule="auto"/>
      <w:ind w:left="2098" w:hanging="2098"/>
    </w:pPr>
  </w:style>
  <w:style w:type="paragraph" w:customStyle="1" w:styleId="paragraphsub-sub">
    <w:name w:val="paragraph(sub-sub)"/>
    <w:aliases w:val="aaa"/>
    <w:basedOn w:val="OPCParaBase"/>
    <w:rsid w:val="00DB29BA"/>
    <w:pPr>
      <w:tabs>
        <w:tab w:val="right" w:pos="2722"/>
      </w:tabs>
      <w:spacing w:before="40" w:line="240" w:lineRule="auto"/>
      <w:ind w:left="2835" w:hanging="2835"/>
    </w:pPr>
  </w:style>
  <w:style w:type="paragraph" w:customStyle="1" w:styleId="paragraph">
    <w:name w:val="paragraph"/>
    <w:aliases w:val="a"/>
    <w:basedOn w:val="OPCParaBase"/>
    <w:rsid w:val="00DB29BA"/>
    <w:pPr>
      <w:tabs>
        <w:tab w:val="right" w:pos="1531"/>
      </w:tabs>
      <w:spacing w:before="40" w:line="240" w:lineRule="auto"/>
      <w:ind w:left="1644" w:hanging="1644"/>
    </w:pPr>
  </w:style>
  <w:style w:type="paragraph" w:customStyle="1" w:styleId="ParlAmend">
    <w:name w:val="ParlAmend"/>
    <w:aliases w:val="pp"/>
    <w:basedOn w:val="OPCParaBase"/>
    <w:rsid w:val="00DB29BA"/>
    <w:pPr>
      <w:spacing w:before="240" w:line="240" w:lineRule="atLeast"/>
      <w:ind w:hanging="567"/>
    </w:pPr>
    <w:rPr>
      <w:sz w:val="24"/>
    </w:rPr>
  </w:style>
  <w:style w:type="paragraph" w:customStyle="1" w:styleId="Penalty">
    <w:name w:val="Penalty"/>
    <w:basedOn w:val="OPCParaBase"/>
    <w:rsid w:val="00DB29BA"/>
    <w:pPr>
      <w:tabs>
        <w:tab w:val="left" w:pos="2977"/>
      </w:tabs>
      <w:spacing w:before="180" w:line="240" w:lineRule="auto"/>
      <w:ind w:left="1985" w:hanging="851"/>
    </w:pPr>
  </w:style>
  <w:style w:type="paragraph" w:customStyle="1" w:styleId="Portfolio">
    <w:name w:val="Portfolio"/>
    <w:basedOn w:val="OPCParaBase"/>
    <w:rsid w:val="00DB29BA"/>
    <w:pPr>
      <w:spacing w:line="240" w:lineRule="auto"/>
    </w:pPr>
    <w:rPr>
      <w:i/>
      <w:sz w:val="20"/>
    </w:rPr>
  </w:style>
  <w:style w:type="paragraph" w:customStyle="1" w:styleId="Preamble">
    <w:name w:val="Preamble"/>
    <w:basedOn w:val="OPCParaBase"/>
    <w:next w:val="Normal"/>
    <w:rsid w:val="00DB29B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29BA"/>
    <w:pPr>
      <w:spacing w:line="240" w:lineRule="auto"/>
    </w:pPr>
    <w:rPr>
      <w:i/>
      <w:sz w:val="20"/>
    </w:rPr>
  </w:style>
  <w:style w:type="paragraph" w:customStyle="1" w:styleId="Session">
    <w:name w:val="Session"/>
    <w:basedOn w:val="OPCParaBase"/>
    <w:rsid w:val="00DB29BA"/>
    <w:pPr>
      <w:spacing w:line="240" w:lineRule="auto"/>
    </w:pPr>
    <w:rPr>
      <w:sz w:val="28"/>
    </w:rPr>
  </w:style>
  <w:style w:type="paragraph" w:customStyle="1" w:styleId="Sponsor">
    <w:name w:val="Sponsor"/>
    <w:basedOn w:val="OPCParaBase"/>
    <w:rsid w:val="00DB29BA"/>
    <w:pPr>
      <w:spacing w:line="240" w:lineRule="auto"/>
    </w:pPr>
    <w:rPr>
      <w:i/>
    </w:rPr>
  </w:style>
  <w:style w:type="paragraph" w:customStyle="1" w:styleId="Subitem">
    <w:name w:val="Subitem"/>
    <w:aliases w:val="iss"/>
    <w:basedOn w:val="OPCParaBase"/>
    <w:rsid w:val="00DB29BA"/>
    <w:pPr>
      <w:spacing w:before="180" w:line="240" w:lineRule="auto"/>
      <w:ind w:left="709" w:hanging="709"/>
    </w:pPr>
  </w:style>
  <w:style w:type="paragraph" w:customStyle="1" w:styleId="SubitemHead">
    <w:name w:val="SubitemHead"/>
    <w:aliases w:val="issh"/>
    <w:basedOn w:val="OPCParaBase"/>
    <w:rsid w:val="00DB29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29BA"/>
    <w:pPr>
      <w:spacing w:before="40" w:line="240" w:lineRule="auto"/>
      <w:ind w:left="1134"/>
    </w:pPr>
  </w:style>
  <w:style w:type="paragraph" w:customStyle="1" w:styleId="SubsectionHead">
    <w:name w:val="SubsectionHead"/>
    <w:aliases w:val="ssh"/>
    <w:basedOn w:val="OPCParaBase"/>
    <w:next w:val="subsection"/>
    <w:rsid w:val="00DB29BA"/>
    <w:pPr>
      <w:keepNext/>
      <w:keepLines/>
      <w:spacing w:before="240" w:line="240" w:lineRule="auto"/>
      <w:ind w:left="1134"/>
    </w:pPr>
    <w:rPr>
      <w:i/>
    </w:rPr>
  </w:style>
  <w:style w:type="paragraph" w:customStyle="1" w:styleId="Tablea">
    <w:name w:val="Table(a)"/>
    <w:aliases w:val="ta"/>
    <w:basedOn w:val="OPCParaBase"/>
    <w:rsid w:val="00DB29BA"/>
    <w:pPr>
      <w:spacing w:before="60" w:line="240" w:lineRule="auto"/>
      <w:ind w:left="284" w:hanging="284"/>
    </w:pPr>
    <w:rPr>
      <w:sz w:val="20"/>
    </w:rPr>
  </w:style>
  <w:style w:type="paragraph" w:customStyle="1" w:styleId="TableAA">
    <w:name w:val="Table(AA)"/>
    <w:aliases w:val="taaa"/>
    <w:basedOn w:val="OPCParaBase"/>
    <w:rsid w:val="00DB29B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B29B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B29BA"/>
    <w:pPr>
      <w:spacing w:before="60" w:line="240" w:lineRule="atLeast"/>
    </w:pPr>
    <w:rPr>
      <w:sz w:val="20"/>
    </w:rPr>
  </w:style>
  <w:style w:type="paragraph" w:customStyle="1" w:styleId="TLPBoxTextnote">
    <w:name w:val="TLPBoxText(note"/>
    <w:aliases w:val="right)"/>
    <w:basedOn w:val="OPCParaBase"/>
    <w:rsid w:val="00DB29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29BA"/>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29BA"/>
    <w:pPr>
      <w:spacing w:before="122" w:line="198" w:lineRule="exact"/>
      <w:ind w:left="1985" w:hanging="851"/>
      <w:jc w:val="right"/>
    </w:pPr>
    <w:rPr>
      <w:sz w:val="18"/>
    </w:rPr>
  </w:style>
  <w:style w:type="paragraph" w:customStyle="1" w:styleId="TLPTableBullet">
    <w:name w:val="TLPTableBullet"/>
    <w:aliases w:val="ttb"/>
    <w:basedOn w:val="OPCParaBase"/>
    <w:rsid w:val="00DB29BA"/>
    <w:pPr>
      <w:spacing w:line="240" w:lineRule="exact"/>
      <w:ind w:left="284" w:hanging="284"/>
    </w:pPr>
    <w:rPr>
      <w:sz w:val="20"/>
    </w:rPr>
  </w:style>
  <w:style w:type="paragraph" w:styleId="TOC1">
    <w:name w:val="toc 1"/>
    <w:basedOn w:val="Normal"/>
    <w:next w:val="Normal"/>
    <w:uiPriority w:val="39"/>
    <w:unhideWhenUsed/>
    <w:rsid w:val="00DB29B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B29B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B29B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B29B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B29B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B29B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B29B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B29B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B29B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B29BA"/>
    <w:pPr>
      <w:keepLines/>
      <w:spacing w:before="240" w:after="120" w:line="240" w:lineRule="auto"/>
      <w:ind w:left="794"/>
    </w:pPr>
    <w:rPr>
      <w:b/>
      <w:kern w:val="28"/>
      <w:sz w:val="20"/>
    </w:rPr>
  </w:style>
  <w:style w:type="paragraph" w:customStyle="1" w:styleId="TofSectsHeading">
    <w:name w:val="TofSects(Heading)"/>
    <w:basedOn w:val="OPCParaBase"/>
    <w:rsid w:val="00DB29BA"/>
    <w:pPr>
      <w:spacing w:before="240" w:after="120" w:line="240" w:lineRule="auto"/>
    </w:pPr>
    <w:rPr>
      <w:b/>
      <w:sz w:val="24"/>
    </w:rPr>
  </w:style>
  <w:style w:type="paragraph" w:customStyle="1" w:styleId="TofSectsSection">
    <w:name w:val="TofSects(Section)"/>
    <w:basedOn w:val="OPCParaBase"/>
    <w:rsid w:val="00DB29BA"/>
    <w:pPr>
      <w:keepLines/>
      <w:spacing w:before="40" w:line="240" w:lineRule="auto"/>
      <w:ind w:left="1588" w:hanging="794"/>
    </w:pPr>
    <w:rPr>
      <w:kern w:val="28"/>
      <w:sz w:val="18"/>
    </w:rPr>
  </w:style>
  <w:style w:type="paragraph" w:customStyle="1" w:styleId="TofSectsSubdiv">
    <w:name w:val="TofSects(Subdiv)"/>
    <w:basedOn w:val="OPCParaBase"/>
    <w:rsid w:val="00DB29BA"/>
    <w:pPr>
      <w:keepLines/>
      <w:spacing w:before="80" w:line="240" w:lineRule="auto"/>
      <w:ind w:left="1588" w:hanging="794"/>
    </w:pPr>
    <w:rPr>
      <w:kern w:val="28"/>
    </w:rPr>
  </w:style>
  <w:style w:type="paragraph" w:customStyle="1" w:styleId="WRStyle">
    <w:name w:val="WR Style"/>
    <w:aliases w:val="WR"/>
    <w:basedOn w:val="OPCParaBase"/>
    <w:rsid w:val="00DB29BA"/>
    <w:pPr>
      <w:spacing w:before="240" w:line="240" w:lineRule="auto"/>
      <w:ind w:left="284" w:hanging="284"/>
    </w:pPr>
    <w:rPr>
      <w:b/>
      <w:i/>
      <w:kern w:val="28"/>
      <w:sz w:val="24"/>
    </w:rPr>
  </w:style>
  <w:style w:type="paragraph" w:customStyle="1" w:styleId="notepara">
    <w:name w:val="note(para)"/>
    <w:aliases w:val="na"/>
    <w:basedOn w:val="OPCParaBase"/>
    <w:rsid w:val="00DB29BA"/>
    <w:pPr>
      <w:spacing w:before="40" w:line="198" w:lineRule="exact"/>
      <w:ind w:left="2354" w:hanging="369"/>
    </w:pPr>
    <w:rPr>
      <w:sz w:val="18"/>
    </w:rPr>
  </w:style>
  <w:style w:type="paragraph" w:styleId="Footer">
    <w:name w:val="footer"/>
    <w:link w:val="FooterChar"/>
    <w:rsid w:val="00DB29B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B29BA"/>
    <w:rPr>
      <w:rFonts w:eastAsia="Times New Roman" w:cs="Times New Roman"/>
      <w:sz w:val="22"/>
      <w:szCs w:val="24"/>
      <w:lang w:eastAsia="en-AU"/>
    </w:rPr>
  </w:style>
  <w:style w:type="character" w:styleId="LineNumber">
    <w:name w:val="line number"/>
    <w:basedOn w:val="OPCCharBase"/>
    <w:uiPriority w:val="99"/>
    <w:unhideWhenUsed/>
    <w:rsid w:val="00DB29BA"/>
    <w:rPr>
      <w:sz w:val="16"/>
    </w:rPr>
  </w:style>
  <w:style w:type="table" w:customStyle="1" w:styleId="CFlag">
    <w:name w:val="CFlag"/>
    <w:basedOn w:val="TableNormal"/>
    <w:uiPriority w:val="99"/>
    <w:rsid w:val="00DB29BA"/>
    <w:rPr>
      <w:rFonts w:eastAsia="Times New Roman" w:cs="Times New Roman"/>
      <w:lang w:eastAsia="en-AU"/>
    </w:rPr>
    <w:tblPr/>
  </w:style>
  <w:style w:type="paragraph" w:styleId="BalloonText">
    <w:name w:val="Balloon Text"/>
    <w:basedOn w:val="Normal"/>
    <w:link w:val="BalloonTextChar"/>
    <w:uiPriority w:val="99"/>
    <w:unhideWhenUsed/>
    <w:rsid w:val="00DB2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B29BA"/>
    <w:rPr>
      <w:rFonts w:ascii="Tahoma" w:hAnsi="Tahoma" w:cs="Tahoma"/>
      <w:sz w:val="16"/>
      <w:szCs w:val="16"/>
    </w:rPr>
  </w:style>
  <w:style w:type="table" w:styleId="TableGrid">
    <w:name w:val="Table Grid"/>
    <w:basedOn w:val="TableNormal"/>
    <w:uiPriority w:val="59"/>
    <w:rsid w:val="00DB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B29BA"/>
    <w:rPr>
      <w:b/>
      <w:sz w:val="28"/>
      <w:szCs w:val="32"/>
    </w:rPr>
  </w:style>
  <w:style w:type="paragraph" w:customStyle="1" w:styleId="LegislationMadeUnder">
    <w:name w:val="LegislationMadeUnder"/>
    <w:basedOn w:val="OPCParaBase"/>
    <w:next w:val="Normal"/>
    <w:rsid w:val="00DB29BA"/>
    <w:rPr>
      <w:i/>
      <w:sz w:val="32"/>
      <w:szCs w:val="32"/>
    </w:rPr>
  </w:style>
  <w:style w:type="paragraph" w:customStyle="1" w:styleId="SignCoverPageEnd">
    <w:name w:val="SignCoverPageEnd"/>
    <w:basedOn w:val="OPCParaBase"/>
    <w:next w:val="Normal"/>
    <w:rsid w:val="00DB29B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29BA"/>
    <w:pPr>
      <w:pBdr>
        <w:top w:val="single" w:sz="4" w:space="1" w:color="auto"/>
      </w:pBdr>
      <w:spacing w:before="360"/>
      <w:ind w:right="397"/>
      <w:jc w:val="both"/>
    </w:pPr>
  </w:style>
  <w:style w:type="paragraph" w:customStyle="1" w:styleId="NotesHeading1">
    <w:name w:val="NotesHeading 1"/>
    <w:basedOn w:val="OPCParaBase"/>
    <w:next w:val="Normal"/>
    <w:rsid w:val="00DB29BA"/>
    <w:rPr>
      <w:b/>
      <w:sz w:val="28"/>
      <w:szCs w:val="28"/>
    </w:rPr>
  </w:style>
  <w:style w:type="paragraph" w:customStyle="1" w:styleId="NotesHeading2">
    <w:name w:val="NotesHeading 2"/>
    <w:basedOn w:val="OPCParaBase"/>
    <w:next w:val="Normal"/>
    <w:rsid w:val="00DB29BA"/>
    <w:rPr>
      <w:b/>
      <w:sz w:val="28"/>
      <w:szCs w:val="28"/>
    </w:rPr>
  </w:style>
  <w:style w:type="paragraph" w:customStyle="1" w:styleId="CompiledActNo">
    <w:name w:val="CompiledActNo"/>
    <w:basedOn w:val="OPCParaBase"/>
    <w:next w:val="Normal"/>
    <w:rsid w:val="00DB29BA"/>
    <w:rPr>
      <w:b/>
      <w:sz w:val="24"/>
      <w:szCs w:val="24"/>
    </w:rPr>
  </w:style>
  <w:style w:type="paragraph" w:customStyle="1" w:styleId="ENotesText">
    <w:name w:val="ENotesText"/>
    <w:aliases w:val="Ent"/>
    <w:basedOn w:val="OPCParaBase"/>
    <w:next w:val="Normal"/>
    <w:rsid w:val="00DB29BA"/>
    <w:pPr>
      <w:spacing w:before="120"/>
    </w:pPr>
  </w:style>
  <w:style w:type="paragraph" w:customStyle="1" w:styleId="CompiledMadeUnder">
    <w:name w:val="CompiledMadeUnder"/>
    <w:basedOn w:val="OPCParaBase"/>
    <w:next w:val="Normal"/>
    <w:rsid w:val="00DB29BA"/>
    <w:rPr>
      <w:i/>
      <w:sz w:val="24"/>
      <w:szCs w:val="24"/>
    </w:rPr>
  </w:style>
  <w:style w:type="paragraph" w:customStyle="1" w:styleId="Paragraphsub-sub-sub">
    <w:name w:val="Paragraph(sub-sub-sub)"/>
    <w:aliases w:val="aaaa"/>
    <w:basedOn w:val="OPCParaBase"/>
    <w:rsid w:val="00DB29BA"/>
    <w:pPr>
      <w:tabs>
        <w:tab w:val="right" w:pos="3402"/>
      </w:tabs>
      <w:spacing w:before="40" w:line="240" w:lineRule="auto"/>
      <w:ind w:left="3402" w:hanging="3402"/>
    </w:pPr>
  </w:style>
  <w:style w:type="paragraph" w:customStyle="1" w:styleId="TableTextEndNotes">
    <w:name w:val="TableTextEndNotes"/>
    <w:aliases w:val="Tten"/>
    <w:basedOn w:val="Normal"/>
    <w:rsid w:val="00DB29BA"/>
    <w:pPr>
      <w:spacing w:before="60" w:line="240" w:lineRule="auto"/>
    </w:pPr>
    <w:rPr>
      <w:rFonts w:cs="Arial"/>
      <w:sz w:val="20"/>
      <w:szCs w:val="22"/>
    </w:rPr>
  </w:style>
  <w:style w:type="paragraph" w:customStyle="1" w:styleId="NoteToSubpara">
    <w:name w:val="NoteToSubpara"/>
    <w:aliases w:val="nts"/>
    <w:basedOn w:val="OPCParaBase"/>
    <w:rsid w:val="00DB29BA"/>
    <w:pPr>
      <w:spacing w:before="40" w:line="198" w:lineRule="exact"/>
      <w:ind w:left="2835" w:hanging="709"/>
    </w:pPr>
    <w:rPr>
      <w:sz w:val="18"/>
    </w:rPr>
  </w:style>
  <w:style w:type="paragraph" w:customStyle="1" w:styleId="ENoteTableHeading">
    <w:name w:val="ENoteTableHeading"/>
    <w:aliases w:val="enth"/>
    <w:basedOn w:val="OPCParaBase"/>
    <w:rsid w:val="00DB29BA"/>
    <w:pPr>
      <w:keepNext/>
      <w:spacing w:before="60" w:line="240" w:lineRule="atLeast"/>
    </w:pPr>
    <w:rPr>
      <w:rFonts w:ascii="Arial" w:hAnsi="Arial"/>
      <w:b/>
      <w:sz w:val="16"/>
    </w:rPr>
  </w:style>
  <w:style w:type="paragraph" w:customStyle="1" w:styleId="ENoteTTi">
    <w:name w:val="ENoteTTi"/>
    <w:aliases w:val="entti"/>
    <w:basedOn w:val="OPCParaBase"/>
    <w:rsid w:val="00DB29BA"/>
    <w:pPr>
      <w:keepNext/>
      <w:spacing w:before="60" w:line="240" w:lineRule="atLeast"/>
      <w:ind w:left="170"/>
    </w:pPr>
    <w:rPr>
      <w:sz w:val="16"/>
    </w:rPr>
  </w:style>
  <w:style w:type="paragraph" w:customStyle="1" w:styleId="ENotesHeading1">
    <w:name w:val="ENotesHeading 1"/>
    <w:aliases w:val="Enh1"/>
    <w:basedOn w:val="OPCParaBase"/>
    <w:next w:val="Normal"/>
    <w:rsid w:val="00DB29BA"/>
    <w:pPr>
      <w:spacing w:before="120"/>
      <w:outlineLvl w:val="0"/>
    </w:pPr>
    <w:rPr>
      <w:b/>
      <w:sz w:val="28"/>
      <w:szCs w:val="28"/>
    </w:rPr>
  </w:style>
  <w:style w:type="paragraph" w:customStyle="1" w:styleId="ENotesHeading2">
    <w:name w:val="ENotesHeading 2"/>
    <w:aliases w:val="Enh2"/>
    <w:basedOn w:val="OPCParaBase"/>
    <w:next w:val="Normal"/>
    <w:rsid w:val="00DB29BA"/>
    <w:pPr>
      <w:spacing w:before="120" w:after="120"/>
      <w:outlineLvl w:val="1"/>
    </w:pPr>
    <w:rPr>
      <w:b/>
      <w:sz w:val="24"/>
      <w:szCs w:val="28"/>
    </w:rPr>
  </w:style>
  <w:style w:type="paragraph" w:customStyle="1" w:styleId="ENoteTTIndentHeading">
    <w:name w:val="ENoteTTIndentHeading"/>
    <w:aliases w:val="enTTHi"/>
    <w:basedOn w:val="OPCParaBase"/>
    <w:rsid w:val="00DB29B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B29BA"/>
    <w:pPr>
      <w:spacing w:before="60" w:line="240" w:lineRule="atLeast"/>
    </w:pPr>
    <w:rPr>
      <w:sz w:val="16"/>
    </w:rPr>
  </w:style>
  <w:style w:type="paragraph" w:customStyle="1" w:styleId="MadeunderText">
    <w:name w:val="MadeunderText"/>
    <w:basedOn w:val="OPCParaBase"/>
    <w:next w:val="Normal"/>
    <w:rsid w:val="00DB29BA"/>
    <w:pPr>
      <w:spacing w:before="240"/>
    </w:pPr>
    <w:rPr>
      <w:sz w:val="24"/>
      <w:szCs w:val="24"/>
    </w:rPr>
  </w:style>
  <w:style w:type="paragraph" w:customStyle="1" w:styleId="ENotesHeading3">
    <w:name w:val="ENotesHeading 3"/>
    <w:aliases w:val="Enh3"/>
    <w:basedOn w:val="OPCParaBase"/>
    <w:next w:val="Normal"/>
    <w:rsid w:val="00DB29BA"/>
    <w:pPr>
      <w:keepNext/>
      <w:spacing w:before="120" w:line="240" w:lineRule="auto"/>
      <w:outlineLvl w:val="4"/>
    </w:pPr>
    <w:rPr>
      <w:b/>
      <w:szCs w:val="24"/>
    </w:rPr>
  </w:style>
  <w:style w:type="character" w:customStyle="1" w:styleId="CharSubPartTextCASA">
    <w:name w:val="CharSubPartText(CASA)"/>
    <w:basedOn w:val="OPCCharBase"/>
    <w:uiPriority w:val="1"/>
    <w:rsid w:val="00DB29BA"/>
  </w:style>
  <w:style w:type="character" w:customStyle="1" w:styleId="CharSubPartNoCASA">
    <w:name w:val="CharSubPartNo(CASA)"/>
    <w:basedOn w:val="OPCCharBase"/>
    <w:uiPriority w:val="1"/>
    <w:rsid w:val="00DB29BA"/>
  </w:style>
  <w:style w:type="paragraph" w:customStyle="1" w:styleId="ENoteTTIndentHeadingSub">
    <w:name w:val="ENoteTTIndentHeadingSub"/>
    <w:aliases w:val="enTTHis"/>
    <w:basedOn w:val="OPCParaBase"/>
    <w:rsid w:val="00DB29BA"/>
    <w:pPr>
      <w:keepNext/>
      <w:spacing w:before="60" w:line="240" w:lineRule="atLeast"/>
      <w:ind w:left="340"/>
    </w:pPr>
    <w:rPr>
      <w:b/>
      <w:sz w:val="16"/>
    </w:rPr>
  </w:style>
  <w:style w:type="paragraph" w:customStyle="1" w:styleId="ENoteTTiSub">
    <w:name w:val="ENoteTTiSub"/>
    <w:aliases w:val="enttis"/>
    <w:basedOn w:val="OPCParaBase"/>
    <w:rsid w:val="00DB29BA"/>
    <w:pPr>
      <w:keepNext/>
      <w:spacing w:before="60" w:line="240" w:lineRule="atLeast"/>
      <w:ind w:left="340"/>
    </w:pPr>
    <w:rPr>
      <w:sz w:val="16"/>
    </w:rPr>
  </w:style>
  <w:style w:type="paragraph" w:customStyle="1" w:styleId="SubDivisionMigration">
    <w:name w:val="SubDivisionMigration"/>
    <w:aliases w:val="sdm"/>
    <w:basedOn w:val="OPCParaBase"/>
    <w:rsid w:val="00DB29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29B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B29BA"/>
    <w:pPr>
      <w:spacing w:before="122" w:line="240" w:lineRule="auto"/>
      <w:ind w:left="1985" w:hanging="851"/>
    </w:pPr>
    <w:rPr>
      <w:sz w:val="18"/>
    </w:rPr>
  </w:style>
  <w:style w:type="paragraph" w:customStyle="1" w:styleId="FreeForm">
    <w:name w:val="FreeForm"/>
    <w:rsid w:val="00DB29BA"/>
    <w:rPr>
      <w:rFonts w:ascii="Arial" w:hAnsi="Arial"/>
      <w:sz w:val="22"/>
    </w:rPr>
  </w:style>
  <w:style w:type="paragraph" w:customStyle="1" w:styleId="SOText">
    <w:name w:val="SO Text"/>
    <w:aliases w:val="sot"/>
    <w:link w:val="SOTextChar"/>
    <w:rsid w:val="00DB29B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B29BA"/>
    <w:rPr>
      <w:sz w:val="22"/>
    </w:rPr>
  </w:style>
  <w:style w:type="paragraph" w:customStyle="1" w:styleId="SOTextNote">
    <w:name w:val="SO TextNote"/>
    <w:aliases w:val="sont"/>
    <w:basedOn w:val="SOText"/>
    <w:qFormat/>
    <w:rsid w:val="00DB29BA"/>
    <w:pPr>
      <w:spacing w:before="122" w:line="198" w:lineRule="exact"/>
      <w:ind w:left="1843" w:hanging="709"/>
    </w:pPr>
    <w:rPr>
      <w:sz w:val="18"/>
    </w:rPr>
  </w:style>
  <w:style w:type="paragraph" w:customStyle="1" w:styleId="SOPara">
    <w:name w:val="SO Para"/>
    <w:aliases w:val="soa"/>
    <w:basedOn w:val="SOText"/>
    <w:link w:val="SOParaChar"/>
    <w:qFormat/>
    <w:rsid w:val="00DB29BA"/>
    <w:pPr>
      <w:tabs>
        <w:tab w:val="right" w:pos="1786"/>
      </w:tabs>
      <w:spacing w:before="40"/>
      <w:ind w:left="2070" w:hanging="936"/>
    </w:pPr>
  </w:style>
  <w:style w:type="character" w:customStyle="1" w:styleId="SOParaChar">
    <w:name w:val="SO Para Char"/>
    <w:aliases w:val="soa Char"/>
    <w:basedOn w:val="DefaultParagraphFont"/>
    <w:link w:val="SOPara"/>
    <w:rsid w:val="00DB29BA"/>
    <w:rPr>
      <w:sz w:val="22"/>
    </w:rPr>
  </w:style>
  <w:style w:type="paragraph" w:customStyle="1" w:styleId="FileName">
    <w:name w:val="FileName"/>
    <w:basedOn w:val="Normal"/>
    <w:rsid w:val="00DB29BA"/>
  </w:style>
  <w:style w:type="paragraph" w:customStyle="1" w:styleId="TableHeading">
    <w:name w:val="TableHeading"/>
    <w:aliases w:val="th"/>
    <w:basedOn w:val="OPCParaBase"/>
    <w:next w:val="Tabletext"/>
    <w:rsid w:val="00DB29BA"/>
    <w:pPr>
      <w:keepNext/>
      <w:spacing w:before="60" w:line="240" w:lineRule="atLeast"/>
    </w:pPr>
    <w:rPr>
      <w:b/>
      <w:sz w:val="20"/>
    </w:rPr>
  </w:style>
  <w:style w:type="paragraph" w:customStyle="1" w:styleId="SOHeadBold">
    <w:name w:val="SO HeadBold"/>
    <w:aliases w:val="sohb"/>
    <w:basedOn w:val="SOText"/>
    <w:next w:val="SOText"/>
    <w:link w:val="SOHeadBoldChar"/>
    <w:qFormat/>
    <w:rsid w:val="00DB29BA"/>
    <w:rPr>
      <w:b/>
    </w:rPr>
  </w:style>
  <w:style w:type="character" w:customStyle="1" w:styleId="SOHeadBoldChar">
    <w:name w:val="SO HeadBold Char"/>
    <w:aliases w:val="sohb Char"/>
    <w:basedOn w:val="DefaultParagraphFont"/>
    <w:link w:val="SOHeadBold"/>
    <w:rsid w:val="00DB29BA"/>
    <w:rPr>
      <w:b/>
      <w:sz w:val="22"/>
    </w:rPr>
  </w:style>
  <w:style w:type="paragraph" w:customStyle="1" w:styleId="SOHeadItalic">
    <w:name w:val="SO HeadItalic"/>
    <w:aliases w:val="sohi"/>
    <w:basedOn w:val="SOText"/>
    <w:next w:val="SOText"/>
    <w:link w:val="SOHeadItalicChar"/>
    <w:qFormat/>
    <w:rsid w:val="00DB29BA"/>
    <w:rPr>
      <w:i/>
    </w:rPr>
  </w:style>
  <w:style w:type="character" w:customStyle="1" w:styleId="SOHeadItalicChar">
    <w:name w:val="SO HeadItalic Char"/>
    <w:aliases w:val="sohi Char"/>
    <w:basedOn w:val="DefaultParagraphFont"/>
    <w:link w:val="SOHeadItalic"/>
    <w:rsid w:val="00DB29BA"/>
    <w:rPr>
      <w:i/>
      <w:sz w:val="22"/>
    </w:rPr>
  </w:style>
  <w:style w:type="paragraph" w:customStyle="1" w:styleId="SOBullet">
    <w:name w:val="SO Bullet"/>
    <w:aliases w:val="sotb"/>
    <w:basedOn w:val="SOText"/>
    <w:link w:val="SOBulletChar"/>
    <w:qFormat/>
    <w:rsid w:val="00DB29BA"/>
    <w:pPr>
      <w:ind w:left="1559" w:hanging="425"/>
    </w:pPr>
  </w:style>
  <w:style w:type="character" w:customStyle="1" w:styleId="SOBulletChar">
    <w:name w:val="SO Bullet Char"/>
    <w:aliases w:val="sotb Char"/>
    <w:basedOn w:val="DefaultParagraphFont"/>
    <w:link w:val="SOBullet"/>
    <w:rsid w:val="00DB29BA"/>
    <w:rPr>
      <w:sz w:val="22"/>
    </w:rPr>
  </w:style>
  <w:style w:type="paragraph" w:customStyle="1" w:styleId="SOBulletNote">
    <w:name w:val="SO BulletNote"/>
    <w:aliases w:val="sonb"/>
    <w:basedOn w:val="SOTextNote"/>
    <w:link w:val="SOBulletNoteChar"/>
    <w:qFormat/>
    <w:rsid w:val="00DB29BA"/>
    <w:pPr>
      <w:tabs>
        <w:tab w:val="left" w:pos="1560"/>
      </w:tabs>
      <w:ind w:left="2268" w:hanging="1134"/>
    </w:pPr>
  </w:style>
  <w:style w:type="character" w:customStyle="1" w:styleId="SOBulletNoteChar">
    <w:name w:val="SO BulletNote Char"/>
    <w:aliases w:val="sonb Char"/>
    <w:basedOn w:val="DefaultParagraphFont"/>
    <w:link w:val="SOBulletNote"/>
    <w:rsid w:val="00DB29BA"/>
    <w:rPr>
      <w:sz w:val="18"/>
    </w:rPr>
  </w:style>
  <w:style w:type="paragraph" w:customStyle="1" w:styleId="SOText2">
    <w:name w:val="SO Text2"/>
    <w:aliases w:val="sot2"/>
    <w:basedOn w:val="Normal"/>
    <w:next w:val="SOText"/>
    <w:link w:val="SOText2Char"/>
    <w:rsid w:val="00DB29B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B29BA"/>
    <w:rPr>
      <w:sz w:val="22"/>
    </w:rPr>
  </w:style>
  <w:style w:type="paragraph" w:customStyle="1" w:styleId="SubPartCASA">
    <w:name w:val="SubPart(CASA)"/>
    <w:aliases w:val="csp"/>
    <w:basedOn w:val="OPCParaBase"/>
    <w:next w:val="ActHead3"/>
    <w:rsid w:val="00DB29B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B29BA"/>
    <w:rPr>
      <w:rFonts w:eastAsia="Times New Roman" w:cs="Times New Roman"/>
      <w:sz w:val="22"/>
      <w:lang w:eastAsia="en-AU"/>
    </w:rPr>
  </w:style>
  <w:style w:type="character" w:customStyle="1" w:styleId="notetextChar">
    <w:name w:val="note(text) Char"/>
    <w:aliases w:val="n Char"/>
    <w:basedOn w:val="DefaultParagraphFont"/>
    <w:link w:val="notetext"/>
    <w:rsid w:val="00DB29BA"/>
    <w:rPr>
      <w:rFonts w:eastAsia="Times New Roman" w:cs="Times New Roman"/>
      <w:sz w:val="18"/>
      <w:lang w:eastAsia="en-AU"/>
    </w:rPr>
  </w:style>
  <w:style w:type="character" w:customStyle="1" w:styleId="Heading1Char">
    <w:name w:val="Heading 1 Char"/>
    <w:basedOn w:val="DefaultParagraphFont"/>
    <w:link w:val="Heading1"/>
    <w:uiPriority w:val="9"/>
    <w:rsid w:val="00DB29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9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29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B29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B29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B29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B29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B29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B29B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B29BA"/>
    <w:rPr>
      <w:rFonts w:ascii="Arial" w:hAnsi="Arial" w:cs="Arial" w:hint="default"/>
      <w:b/>
      <w:bCs/>
      <w:sz w:val="28"/>
      <w:szCs w:val="28"/>
    </w:rPr>
  </w:style>
  <w:style w:type="paragraph" w:styleId="Index1">
    <w:name w:val="index 1"/>
    <w:basedOn w:val="Normal"/>
    <w:next w:val="Normal"/>
    <w:autoRedefine/>
    <w:rsid w:val="00DB29BA"/>
    <w:pPr>
      <w:ind w:left="240" w:hanging="240"/>
    </w:pPr>
  </w:style>
  <w:style w:type="paragraph" w:styleId="Index2">
    <w:name w:val="index 2"/>
    <w:basedOn w:val="Normal"/>
    <w:next w:val="Normal"/>
    <w:autoRedefine/>
    <w:rsid w:val="00DB29BA"/>
    <w:pPr>
      <w:ind w:left="480" w:hanging="240"/>
    </w:pPr>
  </w:style>
  <w:style w:type="paragraph" w:styleId="Index3">
    <w:name w:val="index 3"/>
    <w:basedOn w:val="Normal"/>
    <w:next w:val="Normal"/>
    <w:autoRedefine/>
    <w:rsid w:val="00DB29BA"/>
    <w:pPr>
      <w:ind w:left="720" w:hanging="240"/>
    </w:pPr>
  </w:style>
  <w:style w:type="paragraph" w:styleId="Index4">
    <w:name w:val="index 4"/>
    <w:basedOn w:val="Normal"/>
    <w:next w:val="Normal"/>
    <w:autoRedefine/>
    <w:rsid w:val="00DB29BA"/>
    <w:pPr>
      <w:ind w:left="960" w:hanging="240"/>
    </w:pPr>
  </w:style>
  <w:style w:type="paragraph" w:styleId="Index5">
    <w:name w:val="index 5"/>
    <w:basedOn w:val="Normal"/>
    <w:next w:val="Normal"/>
    <w:autoRedefine/>
    <w:rsid w:val="00DB29BA"/>
    <w:pPr>
      <w:ind w:left="1200" w:hanging="240"/>
    </w:pPr>
  </w:style>
  <w:style w:type="paragraph" w:styleId="Index6">
    <w:name w:val="index 6"/>
    <w:basedOn w:val="Normal"/>
    <w:next w:val="Normal"/>
    <w:autoRedefine/>
    <w:rsid w:val="00DB29BA"/>
    <w:pPr>
      <w:ind w:left="1440" w:hanging="240"/>
    </w:pPr>
  </w:style>
  <w:style w:type="paragraph" w:styleId="Index7">
    <w:name w:val="index 7"/>
    <w:basedOn w:val="Normal"/>
    <w:next w:val="Normal"/>
    <w:autoRedefine/>
    <w:rsid w:val="00DB29BA"/>
    <w:pPr>
      <w:ind w:left="1680" w:hanging="240"/>
    </w:pPr>
  </w:style>
  <w:style w:type="paragraph" w:styleId="Index8">
    <w:name w:val="index 8"/>
    <w:basedOn w:val="Normal"/>
    <w:next w:val="Normal"/>
    <w:autoRedefine/>
    <w:rsid w:val="00DB29BA"/>
    <w:pPr>
      <w:ind w:left="1920" w:hanging="240"/>
    </w:pPr>
  </w:style>
  <w:style w:type="paragraph" w:styleId="Index9">
    <w:name w:val="index 9"/>
    <w:basedOn w:val="Normal"/>
    <w:next w:val="Normal"/>
    <w:autoRedefine/>
    <w:rsid w:val="00DB29BA"/>
    <w:pPr>
      <w:ind w:left="2160" w:hanging="240"/>
    </w:pPr>
  </w:style>
  <w:style w:type="paragraph" w:styleId="NormalIndent">
    <w:name w:val="Normal Indent"/>
    <w:basedOn w:val="Normal"/>
    <w:rsid w:val="00DB29BA"/>
    <w:pPr>
      <w:ind w:left="720"/>
    </w:pPr>
  </w:style>
  <w:style w:type="paragraph" w:styleId="FootnoteText">
    <w:name w:val="footnote text"/>
    <w:basedOn w:val="Normal"/>
    <w:link w:val="FootnoteTextChar"/>
    <w:rsid w:val="00DB29BA"/>
    <w:rPr>
      <w:sz w:val="20"/>
    </w:rPr>
  </w:style>
  <w:style w:type="character" w:customStyle="1" w:styleId="FootnoteTextChar">
    <w:name w:val="Footnote Text Char"/>
    <w:basedOn w:val="DefaultParagraphFont"/>
    <w:link w:val="FootnoteText"/>
    <w:rsid w:val="00DB29BA"/>
  </w:style>
  <w:style w:type="paragraph" w:styleId="CommentText">
    <w:name w:val="annotation text"/>
    <w:basedOn w:val="Normal"/>
    <w:link w:val="CommentTextChar"/>
    <w:rsid w:val="00DB29BA"/>
    <w:rPr>
      <w:sz w:val="20"/>
    </w:rPr>
  </w:style>
  <w:style w:type="character" w:customStyle="1" w:styleId="CommentTextChar">
    <w:name w:val="Comment Text Char"/>
    <w:basedOn w:val="DefaultParagraphFont"/>
    <w:link w:val="CommentText"/>
    <w:rsid w:val="00DB29BA"/>
  </w:style>
  <w:style w:type="paragraph" w:styleId="IndexHeading">
    <w:name w:val="index heading"/>
    <w:basedOn w:val="Normal"/>
    <w:next w:val="Index1"/>
    <w:rsid w:val="00DB29BA"/>
    <w:rPr>
      <w:rFonts w:ascii="Arial" w:hAnsi="Arial" w:cs="Arial"/>
      <w:b/>
      <w:bCs/>
    </w:rPr>
  </w:style>
  <w:style w:type="paragraph" w:styleId="Caption">
    <w:name w:val="caption"/>
    <w:basedOn w:val="Normal"/>
    <w:next w:val="Normal"/>
    <w:qFormat/>
    <w:rsid w:val="00DB29BA"/>
    <w:pPr>
      <w:spacing w:before="120" w:after="120"/>
    </w:pPr>
    <w:rPr>
      <w:b/>
      <w:bCs/>
      <w:sz w:val="20"/>
    </w:rPr>
  </w:style>
  <w:style w:type="paragraph" w:styleId="TableofFigures">
    <w:name w:val="table of figures"/>
    <w:basedOn w:val="Normal"/>
    <w:next w:val="Normal"/>
    <w:rsid w:val="00DB29BA"/>
    <w:pPr>
      <w:ind w:left="480" w:hanging="480"/>
    </w:pPr>
  </w:style>
  <w:style w:type="paragraph" w:styleId="EnvelopeAddress">
    <w:name w:val="envelope address"/>
    <w:basedOn w:val="Normal"/>
    <w:rsid w:val="00DB29B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B29BA"/>
    <w:rPr>
      <w:rFonts w:ascii="Arial" w:hAnsi="Arial" w:cs="Arial"/>
      <w:sz w:val="20"/>
    </w:rPr>
  </w:style>
  <w:style w:type="character" w:styleId="FootnoteReference">
    <w:name w:val="footnote reference"/>
    <w:basedOn w:val="DefaultParagraphFont"/>
    <w:rsid w:val="00DB29BA"/>
    <w:rPr>
      <w:rFonts w:ascii="Times New Roman" w:hAnsi="Times New Roman"/>
      <w:sz w:val="20"/>
      <w:vertAlign w:val="superscript"/>
    </w:rPr>
  </w:style>
  <w:style w:type="character" w:styleId="CommentReference">
    <w:name w:val="annotation reference"/>
    <w:basedOn w:val="DefaultParagraphFont"/>
    <w:rsid w:val="00DB29BA"/>
    <w:rPr>
      <w:sz w:val="16"/>
      <w:szCs w:val="16"/>
    </w:rPr>
  </w:style>
  <w:style w:type="character" w:styleId="PageNumber">
    <w:name w:val="page number"/>
    <w:basedOn w:val="DefaultParagraphFont"/>
    <w:rsid w:val="00DB29BA"/>
  </w:style>
  <w:style w:type="character" w:styleId="EndnoteReference">
    <w:name w:val="endnote reference"/>
    <w:basedOn w:val="DefaultParagraphFont"/>
    <w:rsid w:val="00DB29BA"/>
    <w:rPr>
      <w:vertAlign w:val="superscript"/>
    </w:rPr>
  </w:style>
  <w:style w:type="paragraph" w:styleId="EndnoteText">
    <w:name w:val="endnote text"/>
    <w:basedOn w:val="Normal"/>
    <w:link w:val="EndnoteTextChar"/>
    <w:rsid w:val="00DB29BA"/>
    <w:rPr>
      <w:sz w:val="20"/>
    </w:rPr>
  </w:style>
  <w:style w:type="character" w:customStyle="1" w:styleId="EndnoteTextChar">
    <w:name w:val="Endnote Text Char"/>
    <w:basedOn w:val="DefaultParagraphFont"/>
    <w:link w:val="EndnoteText"/>
    <w:rsid w:val="00DB29BA"/>
  </w:style>
  <w:style w:type="paragraph" w:styleId="TableofAuthorities">
    <w:name w:val="table of authorities"/>
    <w:basedOn w:val="Normal"/>
    <w:next w:val="Normal"/>
    <w:rsid w:val="00DB29BA"/>
    <w:pPr>
      <w:ind w:left="240" w:hanging="240"/>
    </w:pPr>
  </w:style>
  <w:style w:type="paragraph" w:styleId="MacroText">
    <w:name w:val="macro"/>
    <w:link w:val="MacroTextChar"/>
    <w:rsid w:val="00DB29B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B29BA"/>
    <w:rPr>
      <w:rFonts w:ascii="Courier New" w:eastAsia="Times New Roman" w:hAnsi="Courier New" w:cs="Courier New"/>
      <w:lang w:eastAsia="en-AU"/>
    </w:rPr>
  </w:style>
  <w:style w:type="paragraph" w:styleId="TOAHeading">
    <w:name w:val="toa heading"/>
    <w:basedOn w:val="Normal"/>
    <w:next w:val="Normal"/>
    <w:rsid w:val="00DB29BA"/>
    <w:pPr>
      <w:spacing w:before="120"/>
    </w:pPr>
    <w:rPr>
      <w:rFonts w:ascii="Arial" w:hAnsi="Arial" w:cs="Arial"/>
      <w:b/>
      <w:bCs/>
    </w:rPr>
  </w:style>
  <w:style w:type="paragraph" w:styleId="List">
    <w:name w:val="List"/>
    <w:basedOn w:val="Normal"/>
    <w:rsid w:val="00DB29BA"/>
    <w:pPr>
      <w:ind w:left="283" w:hanging="283"/>
    </w:pPr>
  </w:style>
  <w:style w:type="paragraph" w:styleId="ListBullet">
    <w:name w:val="List Bullet"/>
    <w:basedOn w:val="Normal"/>
    <w:autoRedefine/>
    <w:rsid w:val="00DB29BA"/>
    <w:pPr>
      <w:tabs>
        <w:tab w:val="num" w:pos="360"/>
      </w:tabs>
      <w:ind w:left="360" w:hanging="360"/>
    </w:pPr>
  </w:style>
  <w:style w:type="paragraph" w:styleId="ListNumber">
    <w:name w:val="List Number"/>
    <w:basedOn w:val="Normal"/>
    <w:rsid w:val="00DB29BA"/>
    <w:pPr>
      <w:tabs>
        <w:tab w:val="num" w:pos="360"/>
      </w:tabs>
      <w:ind w:left="360" w:hanging="360"/>
    </w:pPr>
  </w:style>
  <w:style w:type="paragraph" w:styleId="List2">
    <w:name w:val="List 2"/>
    <w:basedOn w:val="Normal"/>
    <w:rsid w:val="00DB29BA"/>
    <w:pPr>
      <w:ind w:left="566" w:hanging="283"/>
    </w:pPr>
  </w:style>
  <w:style w:type="paragraph" w:styleId="List3">
    <w:name w:val="List 3"/>
    <w:basedOn w:val="Normal"/>
    <w:rsid w:val="00DB29BA"/>
    <w:pPr>
      <w:ind w:left="849" w:hanging="283"/>
    </w:pPr>
  </w:style>
  <w:style w:type="paragraph" w:styleId="List4">
    <w:name w:val="List 4"/>
    <w:basedOn w:val="Normal"/>
    <w:rsid w:val="00DB29BA"/>
    <w:pPr>
      <w:ind w:left="1132" w:hanging="283"/>
    </w:pPr>
  </w:style>
  <w:style w:type="paragraph" w:styleId="List5">
    <w:name w:val="List 5"/>
    <w:basedOn w:val="Normal"/>
    <w:rsid w:val="00DB29BA"/>
    <w:pPr>
      <w:ind w:left="1415" w:hanging="283"/>
    </w:pPr>
  </w:style>
  <w:style w:type="paragraph" w:styleId="ListBullet2">
    <w:name w:val="List Bullet 2"/>
    <w:basedOn w:val="Normal"/>
    <w:autoRedefine/>
    <w:rsid w:val="00DB29BA"/>
    <w:pPr>
      <w:tabs>
        <w:tab w:val="num" w:pos="360"/>
      </w:tabs>
    </w:pPr>
  </w:style>
  <w:style w:type="paragraph" w:styleId="ListBullet3">
    <w:name w:val="List Bullet 3"/>
    <w:basedOn w:val="Normal"/>
    <w:autoRedefine/>
    <w:rsid w:val="00DB29BA"/>
    <w:pPr>
      <w:tabs>
        <w:tab w:val="num" w:pos="926"/>
      </w:tabs>
      <w:ind w:left="926" w:hanging="360"/>
    </w:pPr>
  </w:style>
  <w:style w:type="paragraph" w:styleId="ListBullet4">
    <w:name w:val="List Bullet 4"/>
    <w:basedOn w:val="Normal"/>
    <w:autoRedefine/>
    <w:rsid w:val="00DB29BA"/>
    <w:pPr>
      <w:tabs>
        <w:tab w:val="num" w:pos="1209"/>
      </w:tabs>
      <w:ind w:left="1209" w:hanging="360"/>
    </w:pPr>
  </w:style>
  <w:style w:type="paragraph" w:styleId="ListBullet5">
    <w:name w:val="List Bullet 5"/>
    <w:basedOn w:val="Normal"/>
    <w:autoRedefine/>
    <w:rsid w:val="00DB29BA"/>
    <w:pPr>
      <w:tabs>
        <w:tab w:val="num" w:pos="1492"/>
      </w:tabs>
      <w:ind w:left="1492" w:hanging="360"/>
    </w:pPr>
  </w:style>
  <w:style w:type="paragraph" w:styleId="ListNumber2">
    <w:name w:val="List Number 2"/>
    <w:basedOn w:val="Normal"/>
    <w:rsid w:val="00DB29BA"/>
    <w:pPr>
      <w:tabs>
        <w:tab w:val="num" w:pos="643"/>
      </w:tabs>
      <w:ind w:left="643" w:hanging="360"/>
    </w:pPr>
  </w:style>
  <w:style w:type="paragraph" w:styleId="ListNumber3">
    <w:name w:val="List Number 3"/>
    <w:basedOn w:val="Normal"/>
    <w:rsid w:val="00DB29BA"/>
    <w:pPr>
      <w:tabs>
        <w:tab w:val="num" w:pos="926"/>
      </w:tabs>
      <w:ind w:left="926" w:hanging="360"/>
    </w:pPr>
  </w:style>
  <w:style w:type="paragraph" w:styleId="ListNumber4">
    <w:name w:val="List Number 4"/>
    <w:basedOn w:val="Normal"/>
    <w:rsid w:val="00DB29BA"/>
    <w:pPr>
      <w:tabs>
        <w:tab w:val="num" w:pos="1209"/>
      </w:tabs>
      <w:ind w:left="1209" w:hanging="360"/>
    </w:pPr>
  </w:style>
  <w:style w:type="paragraph" w:styleId="ListNumber5">
    <w:name w:val="List Number 5"/>
    <w:basedOn w:val="Normal"/>
    <w:rsid w:val="00DB29BA"/>
    <w:pPr>
      <w:tabs>
        <w:tab w:val="num" w:pos="1492"/>
      </w:tabs>
      <w:ind w:left="1492" w:hanging="360"/>
    </w:pPr>
  </w:style>
  <w:style w:type="paragraph" w:styleId="Title">
    <w:name w:val="Title"/>
    <w:basedOn w:val="Normal"/>
    <w:link w:val="TitleChar"/>
    <w:qFormat/>
    <w:rsid w:val="00DB29BA"/>
    <w:pPr>
      <w:spacing w:before="240" w:after="60"/>
    </w:pPr>
    <w:rPr>
      <w:rFonts w:ascii="Arial" w:hAnsi="Arial" w:cs="Arial"/>
      <w:b/>
      <w:bCs/>
      <w:sz w:val="40"/>
      <w:szCs w:val="40"/>
    </w:rPr>
  </w:style>
  <w:style w:type="character" w:customStyle="1" w:styleId="TitleChar">
    <w:name w:val="Title Char"/>
    <w:basedOn w:val="DefaultParagraphFont"/>
    <w:link w:val="Title"/>
    <w:rsid w:val="00DB29BA"/>
    <w:rPr>
      <w:rFonts w:ascii="Arial" w:hAnsi="Arial" w:cs="Arial"/>
      <w:b/>
      <w:bCs/>
      <w:sz w:val="40"/>
      <w:szCs w:val="40"/>
    </w:rPr>
  </w:style>
  <w:style w:type="paragraph" w:styleId="Closing">
    <w:name w:val="Closing"/>
    <w:basedOn w:val="Normal"/>
    <w:link w:val="ClosingChar"/>
    <w:rsid w:val="00DB29BA"/>
    <w:pPr>
      <w:ind w:left="4252"/>
    </w:pPr>
  </w:style>
  <w:style w:type="character" w:customStyle="1" w:styleId="ClosingChar">
    <w:name w:val="Closing Char"/>
    <w:basedOn w:val="DefaultParagraphFont"/>
    <w:link w:val="Closing"/>
    <w:rsid w:val="00DB29BA"/>
    <w:rPr>
      <w:sz w:val="22"/>
    </w:rPr>
  </w:style>
  <w:style w:type="paragraph" w:styleId="Signature">
    <w:name w:val="Signature"/>
    <w:basedOn w:val="Normal"/>
    <w:link w:val="SignatureChar"/>
    <w:rsid w:val="00DB29BA"/>
    <w:pPr>
      <w:ind w:left="4252"/>
    </w:pPr>
  </w:style>
  <w:style w:type="character" w:customStyle="1" w:styleId="SignatureChar">
    <w:name w:val="Signature Char"/>
    <w:basedOn w:val="DefaultParagraphFont"/>
    <w:link w:val="Signature"/>
    <w:rsid w:val="00DB29BA"/>
    <w:rPr>
      <w:sz w:val="22"/>
    </w:rPr>
  </w:style>
  <w:style w:type="paragraph" w:styleId="BodyText">
    <w:name w:val="Body Text"/>
    <w:basedOn w:val="Normal"/>
    <w:link w:val="BodyTextChar"/>
    <w:rsid w:val="00DB29BA"/>
    <w:pPr>
      <w:spacing w:after="120"/>
    </w:pPr>
  </w:style>
  <w:style w:type="character" w:customStyle="1" w:styleId="BodyTextChar">
    <w:name w:val="Body Text Char"/>
    <w:basedOn w:val="DefaultParagraphFont"/>
    <w:link w:val="BodyText"/>
    <w:rsid w:val="00DB29BA"/>
    <w:rPr>
      <w:sz w:val="22"/>
    </w:rPr>
  </w:style>
  <w:style w:type="paragraph" w:styleId="BodyTextIndent">
    <w:name w:val="Body Text Indent"/>
    <w:basedOn w:val="Normal"/>
    <w:link w:val="BodyTextIndentChar"/>
    <w:rsid w:val="00DB29BA"/>
    <w:pPr>
      <w:spacing w:after="120"/>
      <w:ind w:left="283"/>
    </w:pPr>
  </w:style>
  <w:style w:type="character" w:customStyle="1" w:styleId="BodyTextIndentChar">
    <w:name w:val="Body Text Indent Char"/>
    <w:basedOn w:val="DefaultParagraphFont"/>
    <w:link w:val="BodyTextIndent"/>
    <w:rsid w:val="00DB29BA"/>
    <w:rPr>
      <w:sz w:val="22"/>
    </w:rPr>
  </w:style>
  <w:style w:type="paragraph" w:styleId="ListContinue">
    <w:name w:val="List Continue"/>
    <w:basedOn w:val="Normal"/>
    <w:rsid w:val="00DB29BA"/>
    <w:pPr>
      <w:spacing w:after="120"/>
      <w:ind w:left="283"/>
    </w:pPr>
  </w:style>
  <w:style w:type="paragraph" w:styleId="ListContinue2">
    <w:name w:val="List Continue 2"/>
    <w:basedOn w:val="Normal"/>
    <w:rsid w:val="00DB29BA"/>
    <w:pPr>
      <w:spacing w:after="120"/>
      <w:ind w:left="566"/>
    </w:pPr>
  </w:style>
  <w:style w:type="paragraph" w:styleId="ListContinue3">
    <w:name w:val="List Continue 3"/>
    <w:basedOn w:val="Normal"/>
    <w:rsid w:val="00DB29BA"/>
    <w:pPr>
      <w:spacing w:after="120"/>
      <w:ind w:left="849"/>
    </w:pPr>
  </w:style>
  <w:style w:type="paragraph" w:styleId="ListContinue4">
    <w:name w:val="List Continue 4"/>
    <w:basedOn w:val="Normal"/>
    <w:rsid w:val="00DB29BA"/>
    <w:pPr>
      <w:spacing w:after="120"/>
      <w:ind w:left="1132"/>
    </w:pPr>
  </w:style>
  <w:style w:type="paragraph" w:styleId="ListContinue5">
    <w:name w:val="List Continue 5"/>
    <w:basedOn w:val="Normal"/>
    <w:rsid w:val="00DB29BA"/>
    <w:pPr>
      <w:spacing w:after="120"/>
      <w:ind w:left="1415"/>
    </w:pPr>
  </w:style>
  <w:style w:type="paragraph" w:styleId="MessageHeader">
    <w:name w:val="Message Header"/>
    <w:basedOn w:val="Normal"/>
    <w:link w:val="MessageHeaderChar"/>
    <w:rsid w:val="00DB29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B29BA"/>
    <w:rPr>
      <w:rFonts w:ascii="Arial" w:hAnsi="Arial" w:cs="Arial"/>
      <w:sz w:val="22"/>
      <w:shd w:val="pct20" w:color="auto" w:fill="auto"/>
    </w:rPr>
  </w:style>
  <w:style w:type="paragraph" w:styleId="Subtitle">
    <w:name w:val="Subtitle"/>
    <w:basedOn w:val="Normal"/>
    <w:link w:val="SubtitleChar"/>
    <w:qFormat/>
    <w:rsid w:val="00DB29BA"/>
    <w:pPr>
      <w:spacing w:after="60"/>
      <w:jc w:val="center"/>
      <w:outlineLvl w:val="1"/>
    </w:pPr>
    <w:rPr>
      <w:rFonts w:ascii="Arial" w:hAnsi="Arial" w:cs="Arial"/>
    </w:rPr>
  </w:style>
  <w:style w:type="character" w:customStyle="1" w:styleId="SubtitleChar">
    <w:name w:val="Subtitle Char"/>
    <w:basedOn w:val="DefaultParagraphFont"/>
    <w:link w:val="Subtitle"/>
    <w:rsid w:val="00DB29BA"/>
    <w:rPr>
      <w:rFonts w:ascii="Arial" w:hAnsi="Arial" w:cs="Arial"/>
      <w:sz w:val="22"/>
    </w:rPr>
  </w:style>
  <w:style w:type="paragraph" w:styleId="Salutation">
    <w:name w:val="Salutation"/>
    <w:basedOn w:val="Normal"/>
    <w:next w:val="Normal"/>
    <w:link w:val="SalutationChar"/>
    <w:rsid w:val="00DB29BA"/>
  </w:style>
  <w:style w:type="character" w:customStyle="1" w:styleId="SalutationChar">
    <w:name w:val="Salutation Char"/>
    <w:basedOn w:val="DefaultParagraphFont"/>
    <w:link w:val="Salutation"/>
    <w:rsid w:val="00DB29BA"/>
    <w:rPr>
      <w:sz w:val="22"/>
    </w:rPr>
  </w:style>
  <w:style w:type="paragraph" w:styleId="Date">
    <w:name w:val="Date"/>
    <w:basedOn w:val="Normal"/>
    <w:next w:val="Normal"/>
    <w:link w:val="DateChar"/>
    <w:rsid w:val="00DB29BA"/>
  </w:style>
  <w:style w:type="character" w:customStyle="1" w:styleId="DateChar">
    <w:name w:val="Date Char"/>
    <w:basedOn w:val="DefaultParagraphFont"/>
    <w:link w:val="Date"/>
    <w:rsid w:val="00DB29BA"/>
    <w:rPr>
      <w:sz w:val="22"/>
    </w:rPr>
  </w:style>
  <w:style w:type="paragraph" w:styleId="BodyTextFirstIndent">
    <w:name w:val="Body Text First Indent"/>
    <w:basedOn w:val="BodyText"/>
    <w:link w:val="BodyTextFirstIndentChar"/>
    <w:rsid w:val="00DB29BA"/>
    <w:pPr>
      <w:ind w:firstLine="210"/>
    </w:pPr>
  </w:style>
  <w:style w:type="character" w:customStyle="1" w:styleId="BodyTextFirstIndentChar">
    <w:name w:val="Body Text First Indent Char"/>
    <w:basedOn w:val="BodyTextChar"/>
    <w:link w:val="BodyTextFirstIndent"/>
    <w:rsid w:val="00DB29BA"/>
    <w:rPr>
      <w:sz w:val="22"/>
    </w:rPr>
  </w:style>
  <w:style w:type="paragraph" w:styleId="BodyTextFirstIndent2">
    <w:name w:val="Body Text First Indent 2"/>
    <w:basedOn w:val="BodyTextIndent"/>
    <w:link w:val="BodyTextFirstIndent2Char"/>
    <w:rsid w:val="00DB29BA"/>
    <w:pPr>
      <w:ind w:firstLine="210"/>
    </w:pPr>
  </w:style>
  <w:style w:type="character" w:customStyle="1" w:styleId="BodyTextFirstIndent2Char">
    <w:name w:val="Body Text First Indent 2 Char"/>
    <w:basedOn w:val="BodyTextIndentChar"/>
    <w:link w:val="BodyTextFirstIndent2"/>
    <w:rsid w:val="00DB29BA"/>
    <w:rPr>
      <w:sz w:val="22"/>
    </w:rPr>
  </w:style>
  <w:style w:type="paragraph" w:styleId="BodyText2">
    <w:name w:val="Body Text 2"/>
    <w:basedOn w:val="Normal"/>
    <w:link w:val="BodyText2Char"/>
    <w:rsid w:val="00DB29BA"/>
    <w:pPr>
      <w:spacing w:after="120" w:line="480" w:lineRule="auto"/>
    </w:pPr>
  </w:style>
  <w:style w:type="character" w:customStyle="1" w:styleId="BodyText2Char">
    <w:name w:val="Body Text 2 Char"/>
    <w:basedOn w:val="DefaultParagraphFont"/>
    <w:link w:val="BodyText2"/>
    <w:rsid w:val="00DB29BA"/>
    <w:rPr>
      <w:sz w:val="22"/>
    </w:rPr>
  </w:style>
  <w:style w:type="paragraph" w:styleId="BodyText3">
    <w:name w:val="Body Text 3"/>
    <w:basedOn w:val="Normal"/>
    <w:link w:val="BodyText3Char"/>
    <w:rsid w:val="00DB29BA"/>
    <w:pPr>
      <w:spacing w:after="120"/>
    </w:pPr>
    <w:rPr>
      <w:sz w:val="16"/>
      <w:szCs w:val="16"/>
    </w:rPr>
  </w:style>
  <w:style w:type="character" w:customStyle="1" w:styleId="BodyText3Char">
    <w:name w:val="Body Text 3 Char"/>
    <w:basedOn w:val="DefaultParagraphFont"/>
    <w:link w:val="BodyText3"/>
    <w:rsid w:val="00DB29BA"/>
    <w:rPr>
      <w:sz w:val="16"/>
      <w:szCs w:val="16"/>
    </w:rPr>
  </w:style>
  <w:style w:type="paragraph" w:styleId="BodyTextIndent2">
    <w:name w:val="Body Text Indent 2"/>
    <w:basedOn w:val="Normal"/>
    <w:link w:val="BodyTextIndent2Char"/>
    <w:rsid w:val="00DB29BA"/>
    <w:pPr>
      <w:spacing w:after="120" w:line="480" w:lineRule="auto"/>
      <w:ind w:left="283"/>
    </w:pPr>
  </w:style>
  <w:style w:type="character" w:customStyle="1" w:styleId="BodyTextIndent2Char">
    <w:name w:val="Body Text Indent 2 Char"/>
    <w:basedOn w:val="DefaultParagraphFont"/>
    <w:link w:val="BodyTextIndent2"/>
    <w:rsid w:val="00DB29BA"/>
    <w:rPr>
      <w:sz w:val="22"/>
    </w:rPr>
  </w:style>
  <w:style w:type="paragraph" w:styleId="BodyTextIndent3">
    <w:name w:val="Body Text Indent 3"/>
    <w:basedOn w:val="Normal"/>
    <w:link w:val="BodyTextIndent3Char"/>
    <w:rsid w:val="00DB29BA"/>
    <w:pPr>
      <w:spacing w:after="120"/>
      <w:ind w:left="283"/>
    </w:pPr>
    <w:rPr>
      <w:sz w:val="16"/>
      <w:szCs w:val="16"/>
    </w:rPr>
  </w:style>
  <w:style w:type="character" w:customStyle="1" w:styleId="BodyTextIndent3Char">
    <w:name w:val="Body Text Indent 3 Char"/>
    <w:basedOn w:val="DefaultParagraphFont"/>
    <w:link w:val="BodyTextIndent3"/>
    <w:rsid w:val="00DB29BA"/>
    <w:rPr>
      <w:sz w:val="16"/>
      <w:szCs w:val="16"/>
    </w:rPr>
  </w:style>
  <w:style w:type="paragraph" w:styleId="BlockText">
    <w:name w:val="Block Text"/>
    <w:basedOn w:val="Normal"/>
    <w:rsid w:val="00DB29BA"/>
    <w:pPr>
      <w:spacing w:after="120"/>
      <w:ind w:left="1440" w:right="1440"/>
    </w:pPr>
  </w:style>
  <w:style w:type="character" w:styleId="Hyperlink">
    <w:name w:val="Hyperlink"/>
    <w:basedOn w:val="DefaultParagraphFont"/>
    <w:rsid w:val="00DB29BA"/>
    <w:rPr>
      <w:color w:val="0000FF"/>
      <w:u w:val="single"/>
    </w:rPr>
  </w:style>
  <w:style w:type="character" w:styleId="FollowedHyperlink">
    <w:name w:val="FollowedHyperlink"/>
    <w:basedOn w:val="DefaultParagraphFont"/>
    <w:rsid w:val="00DB29BA"/>
    <w:rPr>
      <w:color w:val="800080"/>
      <w:u w:val="single"/>
    </w:rPr>
  </w:style>
  <w:style w:type="character" w:styleId="Strong">
    <w:name w:val="Strong"/>
    <w:basedOn w:val="DefaultParagraphFont"/>
    <w:qFormat/>
    <w:rsid w:val="00DB29BA"/>
    <w:rPr>
      <w:b/>
      <w:bCs/>
    </w:rPr>
  </w:style>
  <w:style w:type="character" w:styleId="Emphasis">
    <w:name w:val="Emphasis"/>
    <w:basedOn w:val="DefaultParagraphFont"/>
    <w:qFormat/>
    <w:rsid w:val="00DB29BA"/>
    <w:rPr>
      <w:i/>
      <w:iCs/>
    </w:rPr>
  </w:style>
  <w:style w:type="paragraph" w:styleId="DocumentMap">
    <w:name w:val="Document Map"/>
    <w:basedOn w:val="Normal"/>
    <w:link w:val="DocumentMapChar"/>
    <w:rsid w:val="00DB29BA"/>
    <w:pPr>
      <w:shd w:val="clear" w:color="auto" w:fill="000080"/>
    </w:pPr>
    <w:rPr>
      <w:rFonts w:ascii="Tahoma" w:hAnsi="Tahoma" w:cs="Tahoma"/>
    </w:rPr>
  </w:style>
  <w:style w:type="character" w:customStyle="1" w:styleId="DocumentMapChar">
    <w:name w:val="Document Map Char"/>
    <w:basedOn w:val="DefaultParagraphFont"/>
    <w:link w:val="DocumentMap"/>
    <w:rsid w:val="00DB29BA"/>
    <w:rPr>
      <w:rFonts w:ascii="Tahoma" w:hAnsi="Tahoma" w:cs="Tahoma"/>
      <w:sz w:val="22"/>
      <w:shd w:val="clear" w:color="auto" w:fill="000080"/>
    </w:rPr>
  </w:style>
  <w:style w:type="paragraph" w:styleId="PlainText">
    <w:name w:val="Plain Text"/>
    <w:basedOn w:val="Normal"/>
    <w:link w:val="PlainTextChar"/>
    <w:rsid w:val="00DB29BA"/>
    <w:rPr>
      <w:rFonts w:ascii="Courier New" w:hAnsi="Courier New" w:cs="Courier New"/>
      <w:sz w:val="20"/>
    </w:rPr>
  </w:style>
  <w:style w:type="character" w:customStyle="1" w:styleId="PlainTextChar">
    <w:name w:val="Plain Text Char"/>
    <w:basedOn w:val="DefaultParagraphFont"/>
    <w:link w:val="PlainText"/>
    <w:rsid w:val="00DB29BA"/>
    <w:rPr>
      <w:rFonts w:ascii="Courier New" w:hAnsi="Courier New" w:cs="Courier New"/>
    </w:rPr>
  </w:style>
  <w:style w:type="paragraph" w:styleId="E-mailSignature">
    <w:name w:val="E-mail Signature"/>
    <w:basedOn w:val="Normal"/>
    <w:link w:val="E-mailSignatureChar"/>
    <w:rsid w:val="00DB29BA"/>
  </w:style>
  <w:style w:type="character" w:customStyle="1" w:styleId="E-mailSignatureChar">
    <w:name w:val="E-mail Signature Char"/>
    <w:basedOn w:val="DefaultParagraphFont"/>
    <w:link w:val="E-mailSignature"/>
    <w:rsid w:val="00DB29BA"/>
    <w:rPr>
      <w:sz w:val="22"/>
    </w:rPr>
  </w:style>
  <w:style w:type="paragraph" w:styleId="NormalWeb">
    <w:name w:val="Normal (Web)"/>
    <w:basedOn w:val="Normal"/>
    <w:rsid w:val="00DB29BA"/>
  </w:style>
  <w:style w:type="character" w:styleId="HTMLAcronym">
    <w:name w:val="HTML Acronym"/>
    <w:basedOn w:val="DefaultParagraphFont"/>
    <w:rsid w:val="00DB29BA"/>
  </w:style>
  <w:style w:type="paragraph" w:styleId="HTMLAddress">
    <w:name w:val="HTML Address"/>
    <w:basedOn w:val="Normal"/>
    <w:link w:val="HTMLAddressChar"/>
    <w:rsid w:val="00DB29BA"/>
    <w:rPr>
      <w:i/>
      <w:iCs/>
    </w:rPr>
  </w:style>
  <w:style w:type="character" w:customStyle="1" w:styleId="HTMLAddressChar">
    <w:name w:val="HTML Address Char"/>
    <w:basedOn w:val="DefaultParagraphFont"/>
    <w:link w:val="HTMLAddress"/>
    <w:rsid w:val="00DB29BA"/>
    <w:rPr>
      <w:i/>
      <w:iCs/>
      <w:sz w:val="22"/>
    </w:rPr>
  </w:style>
  <w:style w:type="character" w:styleId="HTMLCite">
    <w:name w:val="HTML Cite"/>
    <w:basedOn w:val="DefaultParagraphFont"/>
    <w:rsid w:val="00DB29BA"/>
    <w:rPr>
      <w:i/>
      <w:iCs/>
    </w:rPr>
  </w:style>
  <w:style w:type="character" w:styleId="HTMLCode">
    <w:name w:val="HTML Code"/>
    <w:basedOn w:val="DefaultParagraphFont"/>
    <w:rsid w:val="00DB29BA"/>
    <w:rPr>
      <w:rFonts w:ascii="Courier New" w:hAnsi="Courier New" w:cs="Courier New"/>
      <w:sz w:val="20"/>
      <w:szCs w:val="20"/>
    </w:rPr>
  </w:style>
  <w:style w:type="character" w:styleId="HTMLDefinition">
    <w:name w:val="HTML Definition"/>
    <w:basedOn w:val="DefaultParagraphFont"/>
    <w:rsid w:val="00DB29BA"/>
    <w:rPr>
      <w:i/>
      <w:iCs/>
    </w:rPr>
  </w:style>
  <w:style w:type="character" w:styleId="HTMLKeyboard">
    <w:name w:val="HTML Keyboard"/>
    <w:basedOn w:val="DefaultParagraphFont"/>
    <w:rsid w:val="00DB29BA"/>
    <w:rPr>
      <w:rFonts w:ascii="Courier New" w:hAnsi="Courier New" w:cs="Courier New"/>
      <w:sz w:val="20"/>
      <w:szCs w:val="20"/>
    </w:rPr>
  </w:style>
  <w:style w:type="paragraph" w:styleId="HTMLPreformatted">
    <w:name w:val="HTML Preformatted"/>
    <w:basedOn w:val="Normal"/>
    <w:link w:val="HTMLPreformattedChar"/>
    <w:rsid w:val="00DB29BA"/>
    <w:rPr>
      <w:rFonts w:ascii="Courier New" w:hAnsi="Courier New" w:cs="Courier New"/>
      <w:sz w:val="20"/>
    </w:rPr>
  </w:style>
  <w:style w:type="character" w:customStyle="1" w:styleId="HTMLPreformattedChar">
    <w:name w:val="HTML Preformatted Char"/>
    <w:basedOn w:val="DefaultParagraphFont"/>
    <w:link w:val="HTMLPreformatted"/>
    <w:rsid w:val="00DB29BA"/>
    <w:rPr>
      <w:rFonts w:ascii="Courier New" w:hAnsi="Courier New" w:cs="Courier New"/>
    </w:rPr>
  </w:style>
  <w:style w:type="character" w:styleId="HTMLSample">
    <w:name w:val="HTML Sample"/>
    <w:basedOn w:val="DefaultParagraphFont"/>
    <w:rsid w:val="00DB29BA"/>
    <w:rPr>
      <w:rFonts w:ascii="Courier New" w:hAnsi="Courier New" w:cs="Courier New"/>
    </w:rPr>
  </w:style>
  <w:style w:type="character" w:styleId="HTMLTypewriter">
    <w:name w:val="HTML Typewriter"/>
    <w:basedOn w:val="DefaultParagraphFont"/>
    <w:rsid w:val="00DB29BA"/>
    <w:rPr>
      <w:rFonts w:ascii="Courier New" w:hAnsi="Courier New" w:cs="Courier New"/>
      <w:sz w:val="20"/>
      <w:szCs w:val="20"/>
    </w:rPr>
  </w:style>
  <w:style w:type="character" w:styleId="HTMLVariable">
    <w:name w:val="HTML Variable"/>
    <w:basedOn w:val="DefaultParagraphFont"/>
    <w:rsid w:val="00DB29BA"/>
    <w:rPr>
      <w:i/>
      <w:iCs/>
    </w:rPr>
  </w:style>
  <w:style w:type="paragraph" w:styleId="CommentSubject">
    <w:name w:val="annotation subject"/>
    <w:basedOn w:val="CommentText"/>
    <w:next w:val="CommentText"/>
    <w:link w:val="CommentSubjectChar"/>
    <w:rsid w:val="00DB29BA"/>
    <w:rPr>
      <w:b/>
      <w:bCs/>
    </w:rPr>
  </w:style>
  <w:style w:type="character" w:customStyle="1" w:styleId="CommentSubjectChar">
    <w:name w:val="Comment Subject Char"/>
    <w:basedOn w:val="CommentTextChar"/>
    <w:link w:val="CommentSubject"/>
    <w:rsid w:val="00DB29BA"/>
    <w:rPr>
      <w:b/>
      <w:bCs/>
    </w:rPr>
  </w:style>
  <w:style w:type="numbering" w:styleId="1ai">
    <w:name w:val="Outline List 1"/>
    <w:basedOn w:val="NoList"/>
    <w:rsid w:val="00DB29BA"/>
    <w:pPr>
      <w:numPr>
        <w:numId w:val="14"/>
      </w:numPr>
    </w:pPr>
  </w:style>
  <w:style w:type="numbering" w:styleId="111111">
    <w:name w:val="Outline List 2"/>
    <w:basedOn w:val="NoList"/>
    <w:rsid w:val="00DB29BA"/>
    <w:pPr>
      <w:numPr>
        <w:numId w:val="15"/>
      </w:numPr>
    </w:pPr>
  </w:style>
  <w:style w:type="numbering" w:styleId="ArticleSection">
    <w:name w:val="Outline List 3"/>
    <w:basedOn w:val="NoList"/>
    <w:rsid w:val="00DB29BA"/>
    <w:pPr>
      <w:numPr>
        <w:numId w:val="17"/>
      </w:numPr>
    </w:pPr>
  </w:style>
  <w:style w:type="table" w:styleId="TableSimple1">
    <w:name w:val="Table Simple 1"/>
    <w:basedOn w:val="TableNormal"/>
    <w:rsid w:val="00DB29B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B29B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B29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B29B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B29B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B29B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B29B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B29B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B29B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B29B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B29B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B29B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B29B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B29B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B29B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B29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B29B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B29B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B29B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B29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B29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B29B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B29B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B29B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B29B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B29B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B29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B29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B29B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B29B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B29B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B29B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B29B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B29B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B29B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B29B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B29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B29B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B29B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B29B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B29B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B29B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B29B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B29BA"/>
    <w:rPr>
      <w:rFonts w:eastAsia="Times New Roman" w:cs="Times New Roman"/>
      <w:b/>
      <w:kern w:val="28"/>
      <w:sz w:val="24"/>
      <w:lang w:eastAsia="en-AU"/>
    </w:rPr>
  </w:style>
  <w:style w:type="paragraph" w:customStyle="1" w:styleId="ETAsubitem">
    <w:name w:val="ETA(subitem)"/>
    <w:basedOn w:val="OPCParaBase"/>
    <w:rsid w:val="00DB29BA"/>
    <w:pPr>
      <w:tabs>
        <w:tab w:val="right" w:pos="340"/>
      </w:tabs>
      <w:spacing w:before="60" w:line="240" w:lineRule="auto"/>
      <w:ind w:left="454" w:hanging="454"/>
    </w:pPr>
    <w:rPr>
      <w:sz w:val="20"/>
    </w:rPr>
  </w:style>
  <w:style w:type="paragraph" w:customStyle="1" w:styleId="ETApara">
    <w:name w:val="ETA(para)"/>
    <w:basedOn w:val="OPCParaBase"/>
    <w:rsid w:val="00DB29BA"/>
    <w:pPr>
      <w:tabs>
        <w:tab w:val="right" w:pos="754"/>
      </w:tabs>
      <w:spacing w:before="60" w:line="240" w:lineRule="auto"/>
      <w:ind w:left="828" w:hanging="828"/>
    </w:pPr>
    <w:rPr>
      <w:sz w:val="20"/>
    </w:rPr>
  </w:style>
  <w:style w:type="paragraph" w:customStyle="1" w:styleId="ETAsubpara">
    <w:name w:val="ETA(subpara)"/>
    <w:basedOn w:val="OPCParaBase"/>
    <w:rsid w:val="00DB29BA"/>
    <w:pPr>
      <w:tabs>
        <w:tab w:val="right" w:pos="1083"/>
      </w:tabs>
      <w:spacing w:before="60" w:line="240" w:lineRule="auto"/>
      <w:ind w:left="1191" w:hanging="1191"/>
    </w:pPr>
    <w:rPr>
      <w:sz w:val="20"/>
    </w:rPr>
  </w:style>
  <w:style w:type="paragraph" w:customStyle="1" w:styleId="ETAsub-subpara">
    <w:name w:val="ETA(sub-subpara)"/>
    <w:basedOn w:val="OPCParaBase"/>
    <w:rsid w:val="00DB29B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B29BA"/>
  </w:style>
  <w:style w:type="paragraph" w:styleId="Bibliography">
    <w:name w:val="Bibliography"/>
    <w:basedOn w:val="Normal"/>
    <w:next w:val="Normal"/>
    <w:uiPriority w:val="37"/>
    <w:semiHidden/>
    <w:unhideWhenUsed/>
    <w:rsid w:val="00DB29BA"/>
  </w:style>
  <w:style w:type="character" w:styleId="BookTitle">
    <w:name w:val="Book Title"/>
    <w:basedOn w:val="DefaultParagraphFont"/>
    <w:uiPriority w:val="33"/>
    <w:qFormat/>
    <w:rsid w:val="00DB29BA"/>
    <w:rPr>
      <w:b/>
      <w:bCs/>
      <w:i/>
      <w:iCs/>
      <w:spacing w:val="5"/>
    </w:rPr>
  </w:style>
  <w:style w:type="table" w:styleId="ColorfulGrid">
    <w:name w:val="Colorful Grid"/>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B29B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B29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29B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B29B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B29B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B29B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B29B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B29B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B29B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29B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29B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29B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B29B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29B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29B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B29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29B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B29B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B29B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B29B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B29B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B29B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DB29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29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29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29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29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29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29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29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29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B29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B29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B29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B29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B29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B29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29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B29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B29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B29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B29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B29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B29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29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B29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B29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B29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B29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B29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B29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B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29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B29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B29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B29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B29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B29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B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29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B29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B29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B29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B29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B29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DB29BA"/>
    <w:rPr>
      <w:color w:val="2B579A"/>
      <w:shd w:val="clear" w:color="auto" w:fill="E1DFDD"/>
    </w:rPr>
  </w:style>
  <w:style w:type="character" w:styleId="IntenseEmphasis">
    <w:name w:val="Intense Emphasis"/>
    <w:basedOn w:val="DefaultParagraphFont"/>
    <w:uiPriority w:val="21"/>
    <w:qFormat/>
    <w:rsid w:val="00DB29BA"/>
    <w:rPr>
      <w:i/>
      <w:iCs/>
      <w:color w:val="4F81BD" w:themeColor="accent1"/>
    </w:rPr>
  </w:style>
  <w:style w:type="paragraph" w:styleId="IntenseQuote">
    <w:name w:val="Intense Quote"/>
    <w:basedOn w:val="Normal"/>
    <w:next w:val="Normal"/>
    <w:link w:val="IntenseQuoteChar"/>
    <w:uiPriority w:val="30"/>
    <w:qFormat/>
    <w:rsid w:val="00DB29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B29BA"/>
    <w:rPr>
      <w:i/>
      <w:iCs/>
      <w:color w:val="4F81BD" w:themeColor="accent1"/>
      <w:sz w:val="22"/>
    </w:rPr>
  </w:style>
  <w:style w:type="character" w:styleId="IntenseReference">
    <w:name w:val="Intense Reference"/>
    <w:basedOn w:val="DefaultParagraphFont"/>
    <w:uiPriority w:val="32"/>
    <w:qFormat/>
    <w:rsid w:val="00DB29BA"/>
    <w:rPr>
      <w:b/>
      <w:bCs/>
      <w:smallCaps/>
      <w:color w:val="4F81BD" w:themeColor="accent1"/>
      <w:spacing w:val="5"/>
    </w:rPr>
  </w:style>
  <w:style w:type="table" w:styleId="LightGrid">
    <w:name w:val="Light Grid"/>
    <w:basedOn w:val="TableNormal"/>
    <w:uiPriority w:val="62"/>
    <w:semiHidden/>
    <w:unhideWhenUsed/>
    <w:rsid w:val="00DB29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29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B29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B29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B29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B29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B29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B29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29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B29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B29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B29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B29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B29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B29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29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B29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B29B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B29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B29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B29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B29BA"/>
    <w:pPr>
      <w:ind w:left="720"/>
      <w:contextualSpacing/>
    </w:pPr>
  </w:style>
  <w:style w:type="table" w:styleId="ListTable1Light">
    <w:name w:val="List Table 1 Light"/>
    <w:basedOn w:val="TableNormal"/>
    <w:uiPriority w:val="46"/>
    <w:rsid w:val="00DB29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29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B29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B29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B29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B29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B29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B29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29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B29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B29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B29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B29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B29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B29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29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B29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B29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B29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B29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B29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B29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29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B29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B29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B29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B29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B29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B29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29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29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29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29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29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29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29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29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B29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B29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B29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B29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B29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B29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29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29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29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29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29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29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B29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29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B29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B29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B29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B29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B29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B29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B29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29B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B29B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B29B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B29B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B29B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B29B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29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29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29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29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29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29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29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29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29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DB29BA"/>
    <w:rPr>
      <w:color w:val="2B579A"/>
      <w:shd w:val="clear" w:color="auto" w:fill="E1DFDD"/>
    </w:rPr>
  </w:style>
  <w:style w:type="paragraph" w:styleId="NoSpacing">
    <w:name w:val="No Spacing"/>
    <w:uiPriority w:val="1"/>
    <w:qFormat/>
    <w:rsid w:val="00DB29BA"/>
    <w:rPr>
      <w:sz w:val="22"/>
    </w:rPr>
  </w:style>
  <w:style w:type="paragraph" w:styleId="NoteHeading">
    <w:name w:val="Note Heading"/>
    <w:basedOn w:val="Normal"/>
    <w:next w:val="Normal"/>
    <w:link w:val="NoteHeadingChar"/>
    <w:uiPriority w:val="99"/>
    <w:semiHidden/>
    <w:unhideWhenUsed/>
    <w:rsid w:val="00DB29BA"/>
    <w:pPr>
      <w:spacing w:line="240" w:lineRule="auto"/>
    </w:pPr>
  </w:style>
  <w:style w:type="character" w:customStyle="1" w:styleId="NoteHeadingChar">
    <w:name w:val="Note Heading Char"/>
    <w:basedOn w:val="DefaultParagraphFont"/>
    <w:link w:val="NoteHeading"/>
    <w:uiPriority w:val="99"/>
    <w:semiHidden/>
    <w:rsid w:val="00DB29BA"/>
    <w:rPr>
      <w:sz w:val="22"/>
    </w:rPr>
  </w:style>
  <w:style w:type="character" w:styleId="PlaceholderText">
    <w:name w:val="Placeholder Text"/>
    <w:basedOn w:val="DefaultParagraphFont"/>
    <w:uiPriority w:val="99"/>
    <w:semiHidden/>
    <w:rsid w:val="00DB29BA"/>
    <w:rPr>
      <w:color w:val="808080"/>
    </w:rPr>
  </w:style>
  <w:style w:type="table" w:styleId="PlainTable1">
    <w:name w:val="Plain Table 1"/>
    <w:basedOn w:val="TableNormal"/>
    <w:uiPriority w:val="41"/>
    <w:rsid w:val="00DB29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29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29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29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29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B29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29BA"/>
    <w:rPr>
      <w:i/>
      <w:iCs/>
      <w:color w:val="404040" w:themeColor="text1" w:themeTint="BF"/>
      <w:sz w:val="22"/>
    </w:rPr>
  </w:style>
  <w:style w:type="character" w:customStyle="1" w:styleId="SmartHyperlink">
    <w:name w:val="Smart Hyperlink"/>
    <w:basedOn w:val="DefaultParagraphFont"/>
    <w:uiPriority w:val="99"/>
    <w:semiHidden/>
    <w:unhideWhenUsed/>
    <w:rsid w:val="00DB29BA"/>
    <w:rPr>
      <w:u w:val="dotted"/>
    </w:rPr>
  </w:style>
  <w:style w:type="character" w:styleId="SubtleEmphasis">
    <w:name w:val="Subtle Emphasis"/>
    <w:basedOn w:val="DefaultParagraphFont"/>
    <w:uiPriority w:val="19"/>
    <w:qFormat/>
    <w:rsid w:val="00DB29BA"/>
    <w:rPr>
      <w:i/>
      <w:iCs/>
      <w:color w:val="404040" w:themeColor="text1" w:themeTint="BF"/>
    </w:rPr>
  </w:style>
  <w:style w:type="character" w:styleId="SubtleReference">
    <w:name w:val="Subtle Reference"/>
    <w:basedOn w:val="DefaultParagraphFont"/>
    <w:uiPriority w:val="31"/>
    <w:qFormat/>
    <w:rsid w:val="00DB29BA"/>
    <w:rPr>
      <w:smallCaps/>
      <w:color w:val="5A5A5A" w:themeColor="text1" w:themeTint="A5"/>
    </w:rPr>
  </w:style>
  <w:style w:type="table" w:styleId="TableGridLight">
    <w:name w:val="Grid Table Light"/>
    <w:basedOn w:val="TableNormal"/>
    <w:uiPriority w:val="40"/>
    <w:rsid w:val="00DB29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DB29BA"/>
    <w:pPr>
      <w:numPr>
        <w:numId w:val="0"/>
      </w:numPr>
      <w:spacing w:before="240"/>
      <w:outlineLvl w:val="9"/>
    </w:pPr>
    <w:rPr>
      <w:b w:val="0"/>
      <w:bCs w:val="0"/>
      <w:sz w:val="32"/>
      <w:szCs w:val="32"/>
    </w:rPr>
  </w:style>
  <w:style w:type="character" w:customStyle="1" w:styleId="UnresolvedMention">
    <w:name w:val="Unresolved Mention"/>
    <w:basedOn w:val="DefaultParagraphFont"/>
    <w:uiPriority w:val="99"/>
    <w:semiHidden/>
    <w:unhideWhenUsed/>
    <w:rsid w:val="00DB2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b77999-d5d7-44f3-8dd0-caf71a7f76a5">
      <Terms xmlns="http://schemas.microsoft.com/office/infopath/2007/PartnerControls"/>
    </lcf76f155ced4ddcb4097134ff3c332f>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APSCdoc-806379271-18358</_dlc_DocId>
    <_dlc_DocIdUrl xmlns="9eb1f307-a489-40bf-8d3d-f7559b8c4701">
      <Url>https://pmc01.sharepoint.com/sites/apsc-rt/_layouts/15/DocIdRedir.aspx?ID=APSCdoc-806379271-18358</Url>
      <Description>APSCdoc-806379271-18358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2917-7C57-45B6-981E-AACD4385C2E9}">
  <ds:schemaRefs>
    <ds:schemaRef ds:uri="http://schemas.microsoft.com/sharepoint/v3/contenttype/forms"/>
  </ds:schemaRefs>
</ds:datastoreItem>
</file>

<file path=customXml/itemProps2.xml><?xml version="1.0" encoding="utf-8"?>
<ds:datastoreItem xmlns:ds="http://schemas.openxmlformats.org/officeDocument/2006/customXml" ds:itemID="{FE36E327-C743-44CB-8F5F-DEFA17C53BAE}">
  <ds:schemaRefs>
    <ds:schemaRef ds:uri="http://schemas.microsoft.com/sharepoint/events"/>
  </ds:schemaRefs>
</ds:datastoreItem>
</file>

<file path=customXml/itemProps3.xml><?xml version="1.0" encoding="utf-8"?>
<ds:datastoreItem xmlns:ds="http://schemas.openxmlformats.org/officeDocument/2006/customXml" ds:itemID="{72CCD1E9-124B-4551-B6A3-060FB4418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61AF0-1259-4F73-B9DF-D8C23024F8EB}">
  <ds:schemaRef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76b77999-d5d7-44f3-8dd0-caf71a7f76a5"/>
    <ds:schemaRef ds:uri="http://purl.org/dc/terms/"/>
    <ds:schemaRef ds:uri="http://schemas.openxmlformats.org/package/2006/metadata/core-properties"/>
    <ds:schemaRef ds:uri="http://schemas.microsoft.com/office/2006/documentManagement/types"/>
    <ds:schemaRef ds:uri="9eb1f307-a489-40bf-8d3d-f7559b8c4701"/>
    <ds:schemaRef ds:uri="http://www.w3.org/XML/1998/namespace"/>
    <ds:schemaRef ds:uri="http://purl.org/dc/dcmitype/"/>
  </ds:schemaRefs>
</ds:datastoreItem>
</file>

<file path=customXml/itemProps5.xml><?xml version="1.0" encoding="utf-8"?>
<ds:datastoreItem xmlns:ds="http://schemas.openxmlformats.org/officeDocument/2006/customXml" ds:itemID="{B4E92742-D4C1-4C01-B42B-99215F85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26</Pages>
  <Words>5673</Words>
  <Characters>32338</Characters>
  <Application>Microsoft Office Word</Application>
  <DocSecurity>0</DocSecurity>
  <PresentationFormat/>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2025-06-17T01:26:00Z</dcterms:created>
  <dcterms:modified xsi:type="dcterms:W3CDTF">2025-06-19T03:59:00Z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Remuneration Tribunal (Departmental Secretaries—Classification Structure and Terms and Conditions) Determination 2025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OPC67422</vt:lpwstr>
  </property>
  <property fmtid="{D5CDD505-2E9C-101B-9397-08002B2CF9AE}" pid="12" name="DLM">
    <vt:lpwstr> </vt:lpwstr>
  </property>
  <property fmtid="{D5CDD505-2E9C-101B-9397-08002B2CF9AE}" pid="13" name="Classification">
    <vt:lpwstr> </vt:lpwstr>
  </property>
  <property fmtid="{D5CDD505-2E9C-101B-9397-08002B2CF9AE}" pid="14" name="Number">
    <vt:lpwstr>A</vt:lpwstr>
  </property>
  <property fmtid="{D5CDD505-2E9C-101B-9397-08002B2CF9AE}" pid="15" name="CounterSign">
    <vt:lpwstr/>
  </property>
  <property fmtid="{D5CDD505-2E9C-101B-9397-08002B2CF9AE}" pid="16" name="ContentTypeId">
    <vt:lpwstr>0x010100A6848CCBD29CB447934E396F5725575D</vt:lpwstr>
  </property>
  <property fmtid="{D5CDD505-2E9C-101B-9397-08002B2CF9AE}" pid="17" name="SecurityClassification">
    <vt:lpwstr>4;#OFFICIAL|9e0ec9cb-4e7f-4d4a-bd32-1ee7525c6d87</vt:lpwstr>
  </property>
  <property fmtid="{D5CDD505-2E9C-101B-9397-08002B2CF9AE}" pid="18" name="_dlc_DocIdItemGuid">
    <vt:lpwstr>b9efed2b-20f3-47cf-920b-d2b4b1e4cfeb</vt:lpwstr>
  </property>
  <property fmtid="{D5CDD505-2E9C-101B-9397-08002B2CF9AE}" pid="19" name="TaxKeyword">
    <vt:lpwstr/>
  </property>
  <property fmtid="{D5CDD505-2E9C-101B-9397-08002B2CF9AE}" pid="20" name="MediaServiceImageTags">
    <vt:lpwstr/>
  </property>
  <property fmtid="{D5CDD505-2E9C-101B-9397-08002B2CF9AE}" pid="21" name="InformationMarker">
    <vt:lpwstr/>
  </property>
</Properties>
</file>