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6C1A" w14:textId="77777777" w:rsidR="00DF363B" w:rsidRPr="00D72A53" w:rsidRDefault="00DF363B" w:rsidP="00D72A53">
      <w:pPr>
        <w:widowControl w:val="0"/>
        <w:tabs>
          <w:tab w:val="left" w:pos="835"/>
          <w:tab w:val="left" w:pos="1706"/>
          <w:tab w:val="left" w:pos="2562"/>
          <w:tab w:val="left" w:pos="3433"/>
          <w:tab w:val="left" w:pos="4304"/>
          <w:tab w:val="left" w:pos="5115"/>
          <w:tab w:val="left" w:pos="5985"/>
          <w:tab w:val="left" w:pos="6905"/>
          <w:tab w:val="left" w:pos="7731"/>
          <w:tab w:val="left" w:pos="8602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Cs/>
          <w:color w:val="000000"/>
          <w:kern w:val="0"/>
          <w:sz w:val="24"/>
          <w:szCs w:val="24"/>
          <w14:ligatures w14:val="none"/>
        </w:rPr>
      </w:pPr>
      <w:r w:rsidRPr="00D72A53">
        <w:rPr>
          <w:rFonts w:ascii="Times New Roman" w:eastAsia="Times New Roman" w:hAnsi="Times New Roman" w:cs="Arial"/>
          <w:b/>
          <w:bCs/>
          <w:iCs/>
          <w:color w:val="000000"/>
          <w:kern w:val="0"/>
          <w:sz w:val="24"/>
          <w:szCs w:val="24"/>
          <w14:ligatures w14:val="none"/>
        </w:rPr>
        <w:t>EXPLANATORY STATEMENT</w:t>
      </w:r>
    </w:p>
    <w:p w14:paraId="506EEE19" w14:textId="77777777" w:rsidR="00DF363B" w:rsidRPr="00D72A53" w:rsidRDefault="00DF363B" w:rsidP="00DF363B">
      <w:pPr>
        <w:widowControl w:val="0"/>
        <w:tabs>
          <w:tab w:val="left" w:pos="835"/>
          <w:tab w:val="left" w:pos="1706"/>
          <w:tab w:val="left" w:pos="2562"/>
          <w:tab w:val="left" w:pos="3433"/>
          <w:tab w:val="left" w:pos="4304"/>
          <w:tab w:val="left" w:pos="5115"/>
          <w:tab w:val="left" w:pos="5985"/>
          <w:tab w:val="left" w:pos="6905"/>
          <w:tab w:val="left" w:pos="7731"/>
          <w:tab w:val="left" w:pos="8602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Cs/>
          <w:color w:val="000000"/>
          <w:kern w:val="0"/>
          <w:sz w:val="24"/>
          <w:szCs w:val="24"/>
          <w14:ligatures w14:val="none"/>
        </w:rPr>
      </w:pPr>
      <w:r w:rsidRPr="00D72A53">
        <w:rPr>
          <w:rFonts w:ascii="Times New Roman" w:eastAsia="Times New Roman" w:hAnsi="Times New Roman" w:cs="Arial"/>
          <w:b/>
          <w:bCs/>
          <w:iCs/>
          <w:color w:val="000000"/>
          <w:kern w:val="0"/>
          <w:sz w:val="24"/>
          <w:szCs w:val="24"/>
          <w14:ligatures w14:val="none"/>
        </w:rPr>
        <w:t>Issued by authority of the Minister for Finance</w:t>
      </w:r>
    </w:p>
    <w:p w14:paraId="4AB107F4" w14:textId="191CA7BD" w:rsidR="00DF363B" w:rsidRPr="00DF363B" w:rsidRDefault="00FD2599" w:rsidP="00DF363B">
      <w:pPr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 xml:space="preserve">Parliamentary Contributory Superannuation Act 1948, Superannuation Act 1922 and </w:t>
      </w:r>
      <w:r w:rsidR="00DF363B" w:rsidRPr="00DF363B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Superannuation Act 1976</w:t>
      </w:r>
    </w:p>
    <w:p w14:paraId="68B1595A" w14:textId="769D5BA9" w:rsidR="00106179" w:rsidRDefault="00DF363B" w:rsidP="00DF36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DF363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Superannuation Legislation </w:t>
      </w:r>
      <w:r w:rsidR="00FD259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Amendment (Family Law) Orders </w:t>
      </w:r>
      <w:r w:rsidR="004B1841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2025</w:t>
      </w:r>
    </w:p>
    <w:p w14:paraId="5C1B4953" w14:textId="77777777" w:rsidR="00DF363B" w:rsidRDefault="00DF363B" w:rsidP="00DF36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5FFD298C" w14:textId="418FDA0F" w:rsidR="00FD2599" w:rsidRDefault="00DF363B" w:rsidP="00DF363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The </w:t>
      </w:r>
      <w:r w:rsidR="00FD2599" w:rsidRPr="003A5E8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Parliamentary Contributory Superannuation Act 1948</w:t>
      </w:r>
      <w:r w:rsidR="00FD259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(1948 Act) makes provision for and in relation to the Parliamentary Contributory Superannuation Scheme (PCSS) which is established to provide superannuation benefits for </w:t>
      </w:r>
      <w:r w:rsid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parliamentarians who entered Federal Parliament prior to 9 October 2004 and certain other persons.</w:t>
      </w:r>
      <w:r w:rsidR="00FD259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5B2CD495" w14:textId="77777777" w:rsidR="00FD2599" w:rsidRDefault="00FD2599" w:rsidP="00DF363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5E7E5A4" w14:textId="5DEA0375" w:rsidR="00DF363B" w:rsidRDefault="00FD2599" w:rsidP="00DF363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The </w:t>
      </w:r>
      <w:r w:rsidRPr="00FD259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Superannuation Act 1922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3865F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(1922 Act)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and the </w:t>
      </w:r>
      <w:r w:rsidR="00DF363B" w:rsidRPr="00DF363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Superannuation Act 197</w:t>
      </w:r>
      <w:r w:rsidR="00DF363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6</w:t>
      </w:r>
      <w:r w:rsidR="003375F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(1976 Act)</w:t>
      </w:r>
      <w:r w:rsidR="00DF363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make provision for and in relation to the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1922 Scheme and the </w:t>
      </w:r>
      <w:r w:rsidR="00DF363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Commonwealth Superannuation Scheme (CSS), respectively, which </w:t>
      </w:r>
      <w:r w:rsidR="00FB2BF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are</w:t>
      </w:r>
      <w:r w:rsidR="00BB28C5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established to provide superannuation benefits</w:t>
      </w:r>
      <w:r w:rsidR="00DF363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for persons employed by the Commonwealth and certain other persons.</w:t>
      </w:r>
    </w:p>
    <w:p w14:paraId="08655571" w14:textId="77777777" w:rsidR="003375FC" w:rsidRDefault="003375FC" w:rsidP="00DF363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FA8C80A" w14:textId="61E43809" w:rsidR="003375FC" w:rsidRPr="003375FC" w:rsidRDefault="00FD2599" w:rsidP="00DF363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14:ligatures w14:val="none"/>
        </w:rPr>
        <w:t>P</w:t>
      </w:r>
      <w:r w:rsidR="003375FC" w:rsidRPr="003375FC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14:ligatures w14:val="none"/>
        </w:rPr>
        <w:t>CSS</w:t>
      </w:r>
    </w:p>
    <w:p w14:paraId="7D752451" w14:textId="77777777" w:rsidR="00DF363B" w:rsidRDefault="00DF363B" w:rsidP="00DF363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5285C06" w14:textId="5E1EB098" w:rsidR="002D283A" w:rsidRDefault="002D283A" w:rsidP="002D283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Part VAA of the </w:t>
      </w:r>
      <w:r w:rsidR="004B184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1948</w:t>
      </w:r>
      <w:r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Act </w:t>
      </w:r>
      <w:r w:rsidR="004929B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makes specific provision for the splitting of a superannuation interest under the Act</w:t>
      </w:r>
      <w:r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when the </w:t>
      </w:r>
      <w:r w:rsidR="009A7B2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Secretary of the Department of Finance</w:t>
      </w:r>
      <w:r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9A7B2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receives</w:t>
      </w:r>
      <w:r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 superannuation splitting agreement or order </w:t>
      </w:r>
      <w:r w:rsidR="004929B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as a result of actions taken under the </w:t>
      </w:r>
      <w:r w:rsidRPr="002D28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Family</w:t>
      </w:r>
      <w:r w:rsidR="00492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r w:rsidRPr="002D28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Law</w:t>
      </w:r>
      <w:r w:rsidR="004929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r w:rsidRPr="002D28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Act 1975</w:t>
      </w:r>
      <w:r w:rsidR="004B1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B1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(Family Law Act)</w:t>
      </w:r>
      <w:r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 Part VAA allows for a separate interest to be created in the PCSS for the non-member (former) spouse of a PCSS member who has been allocated a part of the member spouse’s interest in the PCSS under a superannuation splitting agreement or order</w:t>
      </w:r>
      <w:r w:rsidR="006D024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for the reduction to a scheme member’s benefit</w:t>
      </w:r>
      <w:r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6E5A5969" w14:textId="77777777" w:rsidR="00593C2D" w:rsidRDefault="00593C2D" w:rsidP="002D283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07AC49D8" w14:textId="3CFC4A4E" w:rsidR="002D283A" w:rsidRPr="002D283A" w:rsidRDefault="00462DCD" w:rsidP="002D283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Subs</w:t>
      </w:r>
      <w:r w:rsidR="002D283A"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ection 22CK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(1)</w:t>
      </w:r>
      <w:r w:rsidR="002D283A"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the </w:t>
      </w:r>
      <w:r w:rsidR="004B184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1948</w:t>
      </w:r>
      <w:r w:rsidR="002D283A"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Act provides that the Minister may</w:t>
      </w:r>
      <w:r w:rsidR="0084225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2D283A"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make Orders prescribing matters required or permitted </w:t>
      </w:r>
      <w:r w:rsidR="0084225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to be prescribed </w:t>
      </w:r>
      <w:r w:rsidR="002D283A"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by Part VAA of the </w:t>
      </w:r>
      <w:r w:rsidR="004B184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1948</w:t>
      </w:r>
      <w:r w:rsidR="002D283A" w:rsidRP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Act.</w:t>
      </w:r>
      <w:r w:rsidR="002D283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2D283A"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2D283A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Superannuation (Family Law </w:t>
      </w:r>
      <w:r w:rsidR="00081BC3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="002D283A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Parliamentary Contributory Superannuation Act 1948) Orders 2004</w:t>
      </w:r>
      <w:r w:rsidR="002D283A"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prescribe the matters required or permitted by Part </w:t>
      </w:r>
      <w:r w:rsidR="002D28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r w:rsidR="009A7B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2D283A"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6D87C17" w14:textId="77777777" w:rsidR="002D283A" w:rsidRDefault="002D283A" w:rsidP="00DF363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012FDE1" w14:textId="1DC492A2" w:rsidR="003375FC" w:rsidRPr="003375FC" w:rsidRDefault="00FD2599" w:rsidP="00BC43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1922 Scheme</w:t>
      </w:r>
    </w:p>
    <w:p w14:paraId="4E9AECB7" w14:textId="77777777" w:rsidR="005F39C6" w:rsidRPr="005F39C6" w:rsidRDefault="005F39C6" w:rsidP="005F39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A139C0" w14:textId="384F17DD" w:rsidR="005F39C6" w:rsidRDefault="005F39C6" w:rsidP="005F39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 VA of the </w:t>
      </w:r>
      <w:r w:rsidR="003865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1922 </w:t>
      </w:r>
      <w:r w:rsidRP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 makes specific provision for the splitting of a superannuation interest under the Act when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06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trustee of the 1922 Scheme, that is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Commonwealth Superannuation Corporation (CSC)</w:t>
      </w:r>
      <w:r w:rsidR="003E5A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served with an agreement or order in relation to that interest as a result of actions taken under Family Law Act.</w:t>
      </w:r>
      <w:r w:rsidR="00817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a split occurs the former spouse of the member (described in Part VA as the non-member spouse) is allocated a separate interest in the scheme provided for by the Act and becomes entitled to an associate pension from the operative time of the agreement or order</w:t>
      </w:r>
      <w:r w:rsidR="006D0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member</w:t>
      </w:r>
      <w:r w:rsidR="00A26C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’s</w:t>
      </w:r>
      <w:r w:rsidR="006D0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pension is reduced</w:t>
      </w:r>
      <w:r w:rsidRP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432140" w14:textId="77777777" w:rsidR="00593C2D" w:rsidRDefault="00593C2D" w:rsidP="005F39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314A2C" w14:textId="7DB86430" w:rsidR="005F39C6" w:rsidRPr="005F39C6" w:rsidRDefault="00462DCD" w:rsidP="005F39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</w:t>
      </w:r>
      <w:r w:rsidR="005F39C6" w:rsidRP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ection 93DE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</w:t>
      </w:r>
      <w:r w:rsidR="005F39C6" w:rsidRP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</w:t>
      </w:r>
      <w:r w:rsidR="00817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1922 </w:t>
      </w:r>
      <w:r w:rsidR="005F39C6" w:rsidRP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 provides that the Minister may make Orders prescribing matters required or permitted to be prescribed by Part VA of the Act.</w:t>
      </w:r>
      <w:r w:rsid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F39C6"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5F39C6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Superannuation (Family Law</w:t>
      </w:r>
      <w:r w:rsidR="00180BE8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0137C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="005F39C6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1922) Orders 2004</w:t>
      </w:r>
      <w:r w:rsidR="005F39C6"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prescribe the matters required or permitted by Part </w:t>
      </w:r>
      <w:r w:rsid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r w:rsidR="005F39C6"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</w:t>
      </w:r>
      <w:r w:rsidR="008170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1922 </w:t>
      </w:r>
      <w:r w:rsidR="005F39C6"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Act.</w:t>
      </w:r>
    </w:p>
    <w:p w14:paraId="6D6552CC" w14:textId="77777777" w:rsidR="00BC43FB" w:rsidRPr="003375FC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3B915DD8" w14:textId="39B80857" w:rsidR="00C673C7" w:rsidRDefault="00FD2599" w:rsidP="00593C2D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lastRenderedPageBreak/>
        <w:t>CSS</w:t>
      </w:r>
    </w:p>
    <w:p w14:paraId="6467232C" w14:textId="77777777" w:rsidR="00593C2D" w:rsidRDefault="00593C2D" w:rsidP="00593C2D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027FE1A5" w14:textId="495301D5" w:rsidR="0014403F" w:rsidRDefault="0014403F" w:rsidP="001440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 IXB of the 1976 Act makes specific provision for the splitting of a superannuation interest </w:t>
      </w:r>
      <w:r w:rsidR="004929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under the Act </w:t>
      </w: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the trustee of the CSS, </w:t>
      </w:r>
      <w:r w:rsid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is, CSC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receives a splitting agreement or splitting order in relation to that interest as a result of actions taken under the</w:t>
      </w:r>
      <w:r w:rsid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Law Act</w:t>
      </w: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Part</w:t>
      </w:r>
      <w:r w:rsidR="005F39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IXB allows for a separate interest to be created in the CSS for the former spouse of a CSS member who has been allocated a part of the member’s interest in the CSS under such a splitting agreement or splitting order</w:t>
      </w:r>
      <w:r w:rsidR="006D0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reduction to the scheme member’s benefit</w:t>
      </w: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03C517" w14:textId="0BEC62EC" w:rsidR="0014403F" w:rsidRPr="0014403F" w:rsidRDefault="0014403F" w:rsidP="001440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002000" w14:textId="0AE7C479" w:rsidR="0014403F" w:rsidRPr="0014403F" w:rsidRDefault="0014403F" w:rsidP="001440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Subsection 146MH(1) of the 1976 Act provides that the Minister may make Orders prescribing matters required or permitted to be prescribed by Part IXB</w:t>
      </w:r>
      <w:r w:rsidR="008422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Act</w:t>
      </w: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</w:t>
      </w:r>
      <w:r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Superannuation</w:t>
      </w:r>
      <w:r w:rsidR="004929B2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r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(Family Law </w:t>
      </w:r>
      <w:r w:rsidR="00081BC3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1976) Orders 2004</w:t>
      </w:r>
      <w:r w:rsidRP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prescribe the matters required or permitted by Part IXB of the Act.</w:t>
      </w:r>
    </w:p>
    <w:p w14:paraId="2EC91920" w14:textId="77777777" w:rsidR="00BC43FB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D93CAC" w14:textId="236B1A68" w:rsidR="00BB28C5" w:rsidRDefault="00BB28C5" w:rsidP="00BC43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B2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Amendment </w:t>
      </w:r>
      <w:r w:rsidR="00C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Instrument</w:t>
      </w:r>
    </w:p>
    <w:p w14:paraId="51D479B2" w14:textId="77777777" w:rsidR="00BC43FB" w:rsidRDefault="00BC43FB" w:rsidP="00BC43FB">
      <w:pPr>
        <w:widowControl w:val="0"/>
        <w:tabs>
          <w:tab w:val="left" w:pos="835"/>
          <w:tab w:val="left" w:pos="1706"/>
          <w:tab w:val="left" w:pos="2562"/>
          <w:tab w:val="left" w:pos="3433"/>
          <w:tab w:val="left" w:pos="4304"/>
          <w:tab w:val="left" w:pos="5115"/>
          <w:tab w:val="left" w:pos="5985"/>
          <w:tab w:val="left" w:pos="6905"/>
          <w:tab w:val="left" w:pos="7731"/>
          <w:tab w:val="left" w:pos="86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F7E7AB" w14:textId="07464A7E" w:rsidR="00FD2599" w:rsidRDefault="00BC43FB" w:rsidP="0006758E">
      <w:pPr>
        <w:widowControl w:val="0"/>
        <w:tabs>
          <w:tab w:val="left" w:pos="835"/>
          <w:tab w:val="left" w:pos="1706"/>
          <w:tab w:val="left" w:pos="2562"/>
          <w:tab w:val="left" w:pos="3433"/>
          <w:tab w:val="left" w:pos="4304"/>
          <w:tab w:val="left" w:pos="5115"/>
          <w:tab w:val="left" w:pos="5985"/>
          <w:tab w:val="left" w:pos="6905"/>
          <w:tab w:val="left" w:pos="7731"/>
          <w:tab w:val="left" w:pos="86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EF550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Superannuation Legislation Amendment </w:t>
      </w:r>
      <w:r w:rsidR="00FD259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(Family Law) Orders </w:t>
      </w:r>
      <w:r w:rsidRPr="007927E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202</w:t>
      </w:r>
      <w:r w:rsidR="001256A7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5</w:t>
      </w:r>
      <w:r w:rsidRPr="00792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</w:t>
      </w:r>
      <w:r w:rsidR="006A32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mending Order</w:t>
      </w:r>
      <w:r w:rsid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792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amend</w:t>
      </w:r>
      <w:r w:rsidR="00AB08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25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06758E"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Superannuation (Family Law – Parliamentary Contributory Superannuation Act 1948) Orders 2004</w:t>
      </w:r>
      <w:r w:rsidR="0006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="0006758E"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Superannuation (Family Law</w:t>
      </w:r>
      <w:r w:rsidR="00081BC3"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—</w:t>
      </w:r>
      <w:r w:rsidR="0006758E"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1922) Orders 2004</w:t>
      </w:r>
      <w:r w:rsidR="0006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</w:t>
      </w:r>
      <w:r w:rsidR="0006758E"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Superannuation (Family Law </w:t>
      </w:r>
      <w:r w:rsidR="00D21472"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="0006758E"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1976) Orders 2004</w:t>
      </w:r>
      <w:r w:rsidR="0006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(principal </w:t>
      </w:r>
      <w:r w:rsidR="006A32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</w:t>
      </w:r>
      <w:r w:rsidR="0006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2A69D715" w14:textId="77777777" w:rsidR="0006758E" w:rsidRDefault="0006758E" w:rsidP="00BC43FB">
      <w:pPr>
        <w:widowControl w:val="0"/>
        <w:tabs>
          <w:tab w:val="left" w:pos="835"/>
          <w:tab w:val="left" w:pos="1706"/>
          <w:tab w:val="left" w:pos="2562"/>
          <w:tab w:val="left" w:pos="3433"/>
          <w:tab w:val="left" w:pos="4304"/>
          <w:tab w:val="left" w:pos="5115"/>
          <w:tab w:val="left" w:pos="5985"/>
          <w:tab w:val="left" w:pos="6905"/>
          <w:tab w:val="left" w:pos="7731"/>
          <w:tab w:val="left" w:pos="86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4F6B4A" w14:textId="086F96D2" w:rsidR="00EA16FC" w:rsidRDefault="00EA16FC" w:rsidP="004D506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purpose of the </w:t>
      </w:r>
      <w:r w:rsidR="00462D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Amending Orders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to amend the principal </w:t>
      </w:r>
      <w:r w:rsidR="006A32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because of the </w:t>
      </w:r>
      <w:r w:rsidRPr="006A3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Family Law (Superannuation) Regulations 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repeal </w:t>
      </w:r>
      <w:r w:rsidR="00AC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inoperative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definitions and correct a </w:t>
      </w:r>
      <w:r w:rsidR="003679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typographical </w:t>
      </w:r>
      <w:r w:rsidR="00E171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error,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respectively.</w:t>
      </w:r>
    </w:p>
    <w:p w14:paraId="48A2CA45" w14:textId="2EA46737" w:rsidR="006D1807" w:rsidRDefault="006D1807" w:rsidP="00A17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Details of the </w:t>
      </w:r>
      <w:r w:rsidR="00593C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Amending Order</w:t>
      </w:r>
      <w:r w:rsid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set out in </w:t>
      </w:r>
      <w:r w:rsidRPr="006D180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Attachment 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C79967" w14:textId="77777777" w:rsidR="00A17030" w:rsidRDefault="00A17030" w:rsidP="00A17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1322FE" w14:textId="78322683" w:rsidR="0046183A" w:rsidRDefault="0046183A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18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Subsection 33(3) of the </w:t>
      </w:r>
      <w:r w:rsidRPr="00827E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Acts Interpretation Act 1901</w:t>
      </w:r>
      <w:r w:rsidRPr="004618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provides that where an Act confers a power to make, grant or issue any instrument of a legislative or administrative character (including rules, regulations or by-laws) the power shall be construed as including a power exercisable in the like manner and subject to the like conditions (if any) to repeal, rescind, revoke, amend or vary any such instrument.</w:t>
      </w:r>
    </w:p>
    <w:p w14:paraId="65579607" w14:textId="77777777" w:rsidR="00BC43FB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76E594" w14:textId="2E84F7E6" w:rsidR="001C0DE7" w:rsidRPr="00827E09" w:rsidRDefault="00827E09" w:rsidP="00BC43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827E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Legislation Act 2003</w:t>
      </w:r>
    </w:p>
    <w:p w14:paraId="74E02BD0" w14:textId="77777777" w:rsidR="00BC43FB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CD10CF" w14:textId="3C9A6933" w:rsidR="002D283A" w:rsidRDefault="002D283A" w:rsidP="0074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EA16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Amending Order</w:t>
      </w:r>
      <w:r w:rsidR="00462D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A16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6C4C48">
        <w:rPr>
          <w:rFonts w:ascii="Times New Roman" w:hAnsi="Times New Roman" w:cs="Times New Roman"/>
          <w:sz w:val="24"/>
          <w:szCs w:val="24"/>
        </w:rPr>
        <w:t xml:space="preserve">legislative instrument for the purposes of the </w:t>
      </w:r>
      <w:r w:rsidRPr="006C4C48">
        <w:rPr>
          <w:rFonts w:ascii="Times New Roman" w:hAnsi="Times New Roman" w:cs="Times New Roman"/>
          <w:i/>
          <w:iCs/>
          <w:sz w:val="24"/>
          <w:szCs w:val="24"/>
        </w:rPr>
        <w:t>Legislation</w:t>
      </w:r>
      <w:r w:rsidR="006A329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C4C48">
        <w:rPr>
          <w:rFonts w:ascii="Times New Roman" w:hAnsi="Times New Roman" w:cs="Times New Roman"/>
          <w:i/>
          <w:iCs/>
          <w:sz w:val="24"/>
          <w:szCs w:val="24"/>
        </w:rPr>
        <w:t>Act</w:t>
      </w:r>
      <w:r w:rsidR="00EA16F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C4C48">
        <w:rPr>
          <w:rFonts w:ascii="Times New Roman" w:hAnsi="Times New Roman" w:cs="Times New Roman"/>
          <w:i/>
          <w:iCs/>
          <w:sz w:val="24"/>
          <w:szCs w:val="24"/>
        </w:rPr>
        <w:t>2003</w:t>
      </w:r>
      <w:r w:rsidRPr="006C4C48">
        <w:rPr>
          <w:rFonts w:ascii="Times New Roman" w:hAnsi="Times New Roman" w:cs="Times New Roman"/>
          <w:sz w:val="24"/>
          <w:szCs w:val="24"/>
        </w:rPr>
        <w:t xml:space="preserve">. </w:t>
      </w:r>
      <w:r w:rsidR="00462DCD">
        <w:rPr>
          <w:rFonts w:ascii="Times New Roman" w:hAnsi="Times New Roman" w:cs="Times New Roman"/>
          <w:sz w:val="24"/>
          <w:szCs w:val="24"/>
        </w:rPr>
        <w:t>Subs</w:t>
      </w:r>
      <w:r w:rsidRPr="006C4C48">
        <w:rPr>
          <w:rFonts w:ascii="Times New Roman" w:hAnsi="Times New Roman" w:cs="Times New Roman"/>
          <w:sz w:val="24"/>
          <w:szCs w:val="24"/>
        </w:rPr>
        <w:t>ection 22CK</w:t>
      </w:r>
      <w:r w:rsidR="00462DCD">
        <w:rPr>
          <w:rFonts w:ascii="Times New Roman" w:hAnsi="Times New Roman" w:cs="Times New Roman"/>
          <w:sz w:val="24"/>
          <w:szCs w:val="24"/>
        </w:rPr>
        <w:t>(2)</w:t>
      </w:r>
      <w:r w:rsidRPr="006C4C48">
        <w:rPr>
          <w:rFonts w:ascii="Times New Roman" w:hAnsi="Times New Roman" w:cs="Times New Roman"/>
          <w:sz w:val="24"/>
          <w:szCs w:val="24"/>
        </w:rPr>
        <w:t xml:space="preserve"> of the </w:t>
      </w:r>
      <w:r w:rsidR="00EA16FC">
        <w:rPr>
          <w:rFonts w:ascii="Times New Roman" w:hAnsi="Times New Roman" w:cs="Times New Roman"/>
          <w:sz w:val="24"/>
          <w:szCs w:val="24"/>
        </w:rPr>
        <w:t>1948</w:t>
      </w:r>
      <w:r w:rsidRPr="006C4C48">
        <w:rPr>
          <w:rFonts w:ascii="Times New Roman" w:hAnsi="Times New Roman" w:cs="Times New Roman"/>
          <w:sz w:val="24"/>
          <w:szCs w:val="24"/>
        </w:rPr>
        <w:t xml:space="preserve"> Act</w:t>
      </w:r>
      <w:r w:rsidR="00EA16FC">
        <w:rPr>
          <w:rFonts w:ascii="Times New Roman" w:hAnsi="Times New Roman" w:cs="Times New Roman"/>
          <w:sz w:val="24"/>
          <w:szCs w:val="24"/>
        </w:rPr>
        <w:t xml:space="preserve">, </w:t>
      </w:r>
      <w:r w:rsidR="00462DCD">
        <w:rPr>
          <w:rFonts w:ascii="Times New Roman" w:hAnsi="Times New Roman" w:cs="Times New Roman"/>
          <w:sz w:val="24"/>
          <w:szCs w:val="24"/>
        </w:rPr>
        <w:t>sub</w:t>
      </w:r>
      <w:r w:rsidR="00EA16FC">
        <w:rPr>
          <w:rFonts w:ascii="Times New Roman" w:hAnsi="Times New Roman" w:cs="Times New Roman"/>
          <w:sz w:val="24"/>
          <w:szCs w:val="24"/>
        </w:rPr>
        <w:t xml:space="preserve">section </w:t>
      </w:r>
      <w:r w:rsidR="00744377">
        <w:rPr>
          <w:rFonts w:ascii="Times New Roman" w:hAnsi="Times New Roman" w:cs="Times New Roman"/>
          <w:sz w:val="24"/>
          <w:szCs w:val="24"/>
        </w:rPr>
        <w:t>93DE</w:t>
      </w:r>
      <w:r w:rsidR="00462DCD">
        <w:rPr>
          <w:rFonts w:ascii="Times New Roman" w:hAnsi="Times New Roman" w:cs="Times New Roman"/>
          <w:sz w:val="24"/>
          <w:szCs w:val="24"/>
        </w:rPr>
        <w:t>(2)</w:t>
      </w:r>
      <w:r w:rsidR="00EA16FC">
        <w:rPr>
          <w:rFonts w:ascii="Times New Roman" w:hAnsi="Times New Roman" w:cs="Times New Roman"/>
          <w:sz w:val="24"/>
          <w:szCs w:val="24"/>
        </w:rPr>
        <w:t xml:space="preserve"> of the 1922 Act and </w:t>
      </w:r>
      <w:r w:rsidR="00462DCD">
        <w:rPr>
          <w:rFonts w:ascii="Times New Roman" w:hAnsi="Times New Roman" w:cs="Times New Roman"/>
          <w:sz w:val="24"/>
          <w:szCs w:val="24"/>
        </w:rPr>
        <w:t>subsection</w:t>
      </w:r>
      <w:r w:rsidR="00EA16FC">
        <w:rPr>
          <w:rFonts w:ascii="Times New Roman" w:hAnsi="Times New Roman" w:cs="Times New Roman"/>
          <w:sz w:val="24"/>
          <w:szCs w:val="24"/>
        </w:rPr>
        <w:t xml:space="preserve"> 146MH</w:t>
      </w:r>
      <w:r w:rsidR="00462DCD">
        <w:rPr>
          <w:rFonts w:ascii="Times New Roman" w:hAnsi="Times New Roman" w:cs="Times New Roman"/>
          <w:sz w:val="24"/>
          <w:szCs w:val="24"/>
        </w:rPr>
        <w:t>(2)</w:t>
      </w:r>
      <w:r w:rsidR="00EA16FC">
        <w:rPr>
          <w:rFonts w:ascii="Times New Roman" w:hAnsi="Times New Roman" w:cs="Times New Roman"/>
          <w:sz w:val="24"/>
          <w:szCs w:val="24"/>
        </w:rPr>
        <w:t xml:space="preserve"> of the 1976 Act</w:t>
      </w:r>
      <w:r w:rsidRPr="006C4C48">
        <w:rPr>
          <w:rFonts w:ascii="Times New Roman" w:hAnsi="Times New Roman" w:cs="Times New Roman"/>
          <w:sz w:val="24"/>
          <w:szCs w:val="24"/>
        </w:rPr>
        <w:t xml:space="preserve"> provide that despite anything in regulations made for the purposes of paragraph 44(2)(b) of the </w:t>
      </w:r>
      <w:r w:rsidRPr="006C4C48">
        <w:rPr>
          <w:rFonts w:ascii="Times New Roman" w:hAnsi="Times New Roman" w:cs="Times New Roman"/>
          <w:i/>
          <w:iCs/>
          <w:sz w:val="24"/>
          <w:szCs w:val="24"/>
        </w:rPr>
        <w:t>Legislation Act 2003</w:t>
      </w:r>
      <w:r w:rsidRPr="006C4C48">
        <w:rPr>
          <w:rFonts w:ascii="Times New Roman" w:hAnsi="Times New Roman" w:cs="Times New Roman"/>
          <w:sz w:val="24"/>
          <w:szCs w:val="24"/>
        </w:rPr>
        <w:t xml:space="preserve">, section 42 (disallowance) of that Act applies to the orders made under </w:t>
      </w:r>
      <w:r w:rsidR="00462DCD">
        <w:rPr>
          <w:rFonts w:ascii="Times New Roman" w:hAnsi="Times New Roman" w:cs="Times New Roman"/>
          <w:sz w:val="24"/>
          <w:szCs w:val="24"/>
        </w:rPr>
        <w:t>sub</w:t>
      </w:r>
      <w:r w:rsidRPr="006C4C48">
        <w:rPr>
          <w:rFonts w:ascii="Times New Roman" w:hAnsi="Times New Roman" w:cs="Times New Roman"/>
          <w:sz w:val="24"/>
          <w:szCs w:val="24"/>
        </w:rPr>
        <w:t>section 22CK</w:t>
      </w:r>
      <w:r w:rsidR="00462DCD">
        <w:rPr>
          <w:rFonts w:ascii="Times New Roman" w:hAnsi="Times New Roman" w:cs="Times New Roman"/>
          <w:sz w:val="24"/>
          <w:szCs w:val="24"/>
        </w:rPr>
        <w:t>(1)</w:t>
      </w:r>
      <w:r w:rsidR="00EA16FC">
        <w:rPr>
          <w:rFonts w:ascii="Times New Roman" w:hAnsi="Times New Roman" w:cs="Times New Roman"/>
          <w:sz w:val="24"/>
          <w:szCs w:val="24"/>
        </w:rPr>
        <w:t xml:space="preserve"> of the 1948</w:t>
      </w:r>
      <w:r w:rsidR="00462DCD">
        <w:rPr>
          <w:rFonts w:ascii="Times New Roman" w:hAnsi="Times New Roman" w:cs="Times New Roman"/>
          <w:sz w:val="24"/>
          <w:szCs w:val="24"/>
        </w:rPr>
        <w:t> </w:t>
      </w:r>
      <w:r w:rsidR="00EA16FC">
        <w:rPr>
          <w:rFonts w:ascii="Times New Roman" w:hAnsi="Times New Roman" w:cs="Times New Roman"/>
          <w:sz w:val="24"/>
          <w:szCs w:val="24"/>
        </w:rPr>
        <w:t xml:space="preserve">Act, </w:t>
      </w:r>
      <w:r w:rsidR="00462DCD">
        <w:rPr>
          <w:rFonts w:ascii="Times New Roman" w:hAnsi="Times New Roman" w:cs="Times New Roman"/>
          <w:sz w:val="24"/>
          <w:szCs w:val="24"/>
        </w:rPr>
        <w:t>subsection</w:t>
      </w:r>
      <w:r w:rsidR="00744377">
        <w:rPr>
          <w:rFonts w:ascii="Times New Roman" w:hAnsi="Times New Roman" w:cs="Times New Roman"/>
          <w:sz w:val="24"/>
          <w:szCs w:val="24"/>
        </w:rPr>
        <w:t xml:space="preserve"> 93DE</w:t>
      </w:r>
      <w:r w:rsidR="00462DCD">
        <w:rPr>
          <w:rFonts w:ascii="Times New Roman" w:hAnsi="Times New Roman" w:cs="Times New Roman"/>
          <w:sz w:val="24"/>
          <w:szCs w:val="24"/>
        </w:rPr>
        <w:t>(1)</w:t>
      </w:r>
      <w:r w:rsidR="00EA16FC">
        <w:rPr>
          <w:rFonts w:ascii="Times New Roman" w:hAnsi="Times New Roman" w:cs="Times New Roman"/>
          <w:sz w:val="24"/>
          <w:szCs w:val="24"/>
        </w:rPr>
        <w:t xml:space="preserve"> of the 1922</w:t>
      </w:r>
      <w:r w:rsidR="00E75146">
        <w:rPr>
          <w:rFonts w:ascii="Times New Roman" w:hAnsi="Times New Roman" w:cs="Times New Roman"/>
          <w:sz w:val="24"/>
          <w:szCs w:val="24"/>
        </w:rPr>
        <w:t> </w:t>
      </w:r>
      <w:r w:rsidR="00EA16FC">
        <w:rPr>
          <w:rFonts w:ascii="Times New Roman" w:hAnsi="Times New Roman" w:cs="Times New Roman"/>
          <w:sz w:val="24"/>
          <w:szCs w:val="24"/>
        </w:rPr>
        <w:t xml:space="preserve">Act and </w:t>
      </w:r>
      <w:r w:rsidR="00462DCD">
        <w:rPr>
          <w:rFonts w:ascii="Times New Roman" w:hAnsi="Times New Roman" w:cs="Times New Roman"/>
          <w:sz w:val="24"/>
          <w:szCs w:val="24"/>
        </w:rPr>
        <w:t>sub</w:t>
      </w:r>
      <w:r w:rsidR="00EA16FC">
        <w:rPr>
          <w:rFonts w:ascii="Times New Roman" w:hAnsi="Times New Roman" w:cs="Times New Roman"/>
          <w:sz w:val="24"/>
          <w:szCs w:val="24"/>
        </w:rPr>
        <w:t>section 146MH</w:t>
      </w:r>
      <w:r w:rsidR="00462DCD">
        <w:rPr>
          <w:rFonts w:ascii="Times New Roman" w:hAnsi="Times New Roman" w:cs="Times New Roman"/>
          <w:sz w:val="24"/>
          <w:szCs w:val="24"/>
        </w:rPr>
        <w:t>(1)</w:t>
      </w:r>
      <w:r w:rsidR="00EA16FC">
        <w:rPr>
          <w:rFonts w:ascii="Times New Roman" w:hAnsi="Times New Roman" w:cs="Times New Roman"/>
          <w:sz w:val="24"/>
          <w:szCs w:val="24"/>
        </w:rPr>
        <w:t xml:space="preserve"> of the 1976</w:t>
      </w:r>
      <w:r w:rsidR="00E75146">
        <w:rPr>
          <w:rFonts w:ascii="Times New Roman" w:hAnsi="Times New Roman" w:cs="Times New Roman"/>
          <w:sz w:val="24"/>
          <w:szCs w:val="24"/>
        </w:rPr>
        <w:t> </w:t>
      </w:r>
      <w:r w:rsidR="00EA16FC">
        <w:rPr>
          <w:rFonts w:ascii="Times New Roman" w:hAnsi="Times New Roman" w:cs="Times New Roman"/>
          <w:sz w:val="24"/>
          <w:szCs w:val="24"/>
        </w:rPr>
        <w:t>Act</w:t>
      </w:r>
      <w:r w:rsidR="002B50DE">
        <w:rPr>
          <w:rFonts w:ascii="Times New Roman" w:hAnsi="Times New Roman" w:cs="Times New Roman"/>
          <w:sz w:val="24"/>
          <w:szCs w:val="24"/>
        </w:rPr>
        <w:t xml:space="preserve"> respectively</w:t>
      </w:r>
      <w:r w:rsidRPr="006C4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DCAB0" w14:textId="77777777" w:rsidR="00744377" w:rsidRPr="006C4C48" w:rsidRDefault="00744377" w:rsidP="00744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6D0426E7" w14:textId="5CA2499D" w:rsidR="002D283A" w:rsidRDefault="007731B0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</w:t>
      </w:r>
      <w:r w:rsidR="00744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mending Orders </w:t>
      </w: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the </w:t>
      </w:r>
      <w:r w:rsidR="00F55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principal </w:t>
      </w:r>
      <w:r w:rsidR="006A32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</w:t>
      </w:r>
      <w:r w:rsid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it amends are not subject to sunsetting</w:t>
      </w:r>
      <w:r w:rsidR="00BC2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C2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ection 11 of the </w:t>
      </w:r>
      <w:r w:rsidRPr="009A5DC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Legislation (Exemptions and Other Matters) Regulation 2015</w:t>
      </w: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specifies, via item 6 of the table in that section, </w:t>
      </w:r>
      <w:r w:rsidR="00E0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‘</w:t>
      </w: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instrument (other than a regulation) relating to superannuation</w:t>
      </w:r>
      <w:r w:rsidR="00E06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</w:t>
      </w: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 a class of legislative instrument that is not subject to sunsetting under Part 4 of Chapter 3 of the </w:t>
      </w:r>
      <w:r w:rsidRPr="009A5DC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Legislation Act 2003</w:t>
      </w:r>
      <w:r w:rsidRPr="009A5D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D283A" w:rsidRPr="006C4C4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Instruments pertaining to family law superannuation splitting in the PCSS</w:t>
      </w:r>
      <w:r w:rsidR="002D283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1922 Scheme and the CSS </w:t>
      </w:r>
      <w:r w:rsidR="002D283A" w:rsidRPr="006C4C4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are intended to have enduring operation and the existence of uncertainty in respect of an individual’s scheme </w:t>
      </w:r>
      <w:r w:rsidR="002D283A" w:rsidRPr="006C4C4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t>entitlements would not be appropriate.</w:t>
      </w:r>
      <w:r w:rsidR="002D283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36793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Once the </w:t>
      </w:r>
      <w:r w:rsidR="0074437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Amending Order</w:t>
      </w:r>
      <w:r w:rsidR="004A634D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 w:rsidR="0074437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36793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are </w:t>
      </w:r>
      <w:r w:rsidR="00EA02E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made,</w:t>
      </w:r>
      <w:r w:rsidR="00BC225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they</w:t>
      </w:r>
      <w:r w:rsidR="0036793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will be automatically repealed under section 48A of the </w:t>
      </w:r>
      <w:r w:rsidR="00367934" w:rsidRPr="00367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Legislation Act 2003</w:t>
      </w:r>
      <w:r w:rsidR="0036793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0B8CBC31" w14:textId="77777777" w:rsidR="002D283A" w:rsidRDefault="002D283A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9E956C" w14:textId="68F3B83D" w:rsidR="004D0F02" w:rsidRDefault="007731B0" w:rsidP="00BC43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73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Consultation</w:t>
      </w:r>
    </w:p>
    <w:p w14:paraId="5FDB3022" w14:textId="77777777" w:rsidR="00BC43FB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6C5BE0" w14:textId="0AC2A757" w:rsidR="007731B0" w:rsidRDefault="007731B0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31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Section 17 of the </w:t>
      </w:r>
      <w:r w:rsidRPr="006D18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Legislation Act 2003</w:t>
      </w:r>
      <w:r w:rsidRPr="007731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specifies that rule-makers should consult before making legislative instruments. </w:t>
      </w:r>
      <w:r w:rsid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CSC</w:t>
      </w:r>
      <w:r w:rsidR="00C3753D" w:rsidRPr="009B76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trustee of the </w:t>
      </w:r>
      <w:r w:rsidR="00FD25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1922 Scheme and the </w:t>
      </w:r>
      <w:r w:rsidR="00C3753D" w:rsidRPr="009B76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CSS</w:t>
      </w:r>
      <w:r w:rsidR="00374B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D25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753D" w:rsidRPr="009B76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was consulted </w:t>
      </w:r>
      <w:r w:rsidR="00FD25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the </w:t>
      </w:r>
      <w:r w:rsid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amendments to the </w:t>
      </w:r>
      <w:r w:rsidR="002826E0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Superannuation (Family Law </w:t>
      </w:r>
      <w:r w:rsidR="00D21472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="002826E0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1922) Orders 2004</w:t>
      </w:r>
      <w:r w:rsid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</w:t>
      </w:r>
      <w:r w:rsidR="002826E0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Superannuation (Family Law </w:t>
      </w:r>
      <w:r w:rsidR="00D21472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="002826E0" w:rsidRPr="00462D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1976) Orders 2004</w:t>
      </w:r>
      <w:r w:rsid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set out in the Amend</w:t>
      </w:r>
      <w:r w:rsidR="00C748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 Order</w:t>
      </w:r>
      <w:r w:rsidR="00462D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</w:t>
      </w:r>
      <w:r w:rsidR="009B76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advised that it has no concerns with </w:t>
      </w:r>
      <w:r w:rsidR="00144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</w:t>
      </w:r>
      <w:r w:rsidR="00D23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r w:rsid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amendments</w:t>
      </w:r>
      <w:r w:rsidR="00C3753D" w:rsidRPr="009B76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8F561A" w14:textId="77777777" w:rsidR="009939D6" w:rsidRDefault="009939D6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31EDA9" w14:textId="3677A09E" w:rsidR="002826E0" w:rsidRPr="002826E0" w:rsidRDefault="002826E0" w:rsidP="002826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2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by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CSC</w:t>
      </w:r>
    </w:p>
    <w:p w14:paraId="58212474" w14:textId="77777777" w:rsidR="002826E0" w:rsidRDefault="002826E0" w:rsidP="002826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7736DF" w14:textId="28961512" w:rsidR="002826E0" w:rsidRPr="002826E0" w:rsidRDefault="002826E0" w:rsidP="002826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Section 167AB of the </w:t>
      </w:r>
      <w:r w:rsidR="00462D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1976 </w:t>
      </w: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 provides that the Minister may not make Orders under </w:t>
      </w:r>
      <w:r w:rsidR="00D23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  <w:r w:rsidR="00C748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D23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146MH of </w:t>
      </w: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1976 </w:t>
      </w: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 without the </w:t>
      </w:r>
      <w:r w:rsidR="00D23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consent</w:t>
      </w: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CSC</w:t>
      </w: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except in certain limited circumstances.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CSC</w:t>
      </w: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</w:t>
      </w:r>
      <w:r w:rsidRP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consented</w:t>
      </w: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amendment to the </w:t>
      </w:r>
      <w:r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Superannuation (Family Law </w:t>
      </w:r>
      <w:r w:rsidR="00D21472"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Pr="004A63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1976) Orders 2004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set out in the Amending </w:t>
      </w:r>
      <w:r w:rsidR="00D23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</w:t>
      </w:r>
      <w:r w:rsid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2826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A7149C" w14:textId="77777777" w:rsidR="00BC43FB" w:rsidRPr="007731B0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7CFA86" w14:textId="4D3F01ED" w:rsidR="00A40C28" w:rsidRDefault="00A40C28" w:rsidP="00BC43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40C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Commencement</w:t>
      </w:r>
    </w:p>
    <w:p w14:paraId="5DC06973" w14:textId="77777777" w:rsidR="00BC43FB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6F8AB0" w14:textId="45883EE1" w:rsidR="00AC17A4" w:rsidRDefault="00AC17A4" w:rsidP="004A63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Amending Orders commence on the day</w:t>
      </w:r>
      <w:r w:rsid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after they are registered on the </w:t>
      </w:r>
      <w:r w:rsidRPr="00AC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Federal Register of Legislation</w:t>
      </w:r>
      <w:r w:rsid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0069C9" w14:textId="77777777" w:rsidR="00BC43FB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472231" w14:textId="77777777" w:rsidR="00A82DA8" w:rsidRDefault="00A82DA8" w:rsidP="00BC43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82D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Statement of Compatibility with Human Rights</w:t>
      </w:r>
    </w:p>
    <w:p w14:paraId="3A75FDCF" w14:textId="77777777" w:rsidR="00BC43FB" w:rsidRPr="00BC43FB" w:rsidRDefault="00BC43FB" w:rsidP="00BC4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277465" w14:textId="069AA8DB" w:rsidR="00A82DA8" w:rsidRDefault="00A82DA8" w:rsidP="007731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Statement of Compatibility with Human Rights is at </w:t>
      </w:r>
      <w:r w:rsidRPr="00BC3FE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Attachment B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7875A5A" w14:textId="2EA21653" w:rsidR="003E494E" w:rsidRDefault="003E494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7C18B94A" w14:textId="206FD3DB" w:rsidR="003E494E" w:rsidRPr="00E90714" w:rsidRDefault="002B58C3" w:rsidP="003E494E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907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Attachment A</w:t>
      </w:r>
    </w:p>
    <w:p w14:paraId="3E376655" w14:textId="77777777" w:rsidR="002571C5" w:rsidRPr="002571C5" w:rsidRDefault="002B58C3" w:rsidP="002571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2B58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Details of the </w:t>
      </w:r>
      <w:r w:rsidR="002571C5" w:rsidRPr="002571C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Superannuation Legislation Amendment (Family Law) Orders 2025</w:t>
      </w:r>
    </w:p>
    <w:p w14:paraId="3012CDBA" w14:textId="77777777" w:rsidR="002B58C3" w:rsidRPr="002B58C3" w:rsidRDefault="002B58C3" w:rsidP="003E49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</w:p>
    <w:p w14:paraId="72A025E8" w14:textId="0622C492" w:rsidR="007731B0" w:rsidRPr="002F48DB" w:rsidRDefault="002571C5" w:rsidP="003E49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F48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Section 1</w:t>
      </w:r>
      <w:r w:rsidRPr="002F48DB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—</w:t>
      </w:r>
      <w:r w:rsidR="002F48DB" w:rsidRPr="002F48DB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Name </w:t>
      </w:r>
    </w:p>
    <w:p w14:paraId="2848A16C" w14:textId="77777777" w:rsidR="002F48DB" w:rsidRDefault="002F48DB" w:rsidP="002F48DB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D1CD40" w14:textId="5867FC58" w:rsidR="003E494E" w:rsidRDefault="00C73AC3" w:rsidP="002F48DB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0D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Section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provides that the name of the instrument is the </w:t>
      </w:r>
      <w:r w:rsidRPr="00C73AC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Superannuation Legislation </w:t>
      </w:r>
      <w:r w:rsidR="00FF25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Amendment (Family Law) Orders 2025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(the Amend</w:t>
      </w:r>
      <w:r w:rsidR="00D23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 Orders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4DE0C122" w14:textId="77777777" w:rsidR="00C73AC3" w:rsidRDefault="00C73AC3" w:rsidP="00941C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7CF2C2" w14:textId="2D98C923" w:rsidR="00AC7CBE" w:rsidRPr="00AC7CBE" w:rsidRDefault="002F48DB" w:rsidP="00AC7C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F48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2F48DB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—</w:t>
      </w:r>
      <w:r w:rsidR="00C73AC3" w:rsidRPr="002F48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Commencement</w:t>
      </w:r>
      <w:r w:rsidR="00AC7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63731447" w14:textId="08B6FFB8" w:rsidR="004A634D" w:rsidRPr="004A634D" w:rsidRDefault="00C73AC3" w:rsidP="00AC7CB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0D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Section 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sets out the commencement provision for the Amend</w:t>
      </w:r>
      <w:r w:rsidR="00D23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 Orders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Item</w:t>
      </w:r>
      <w:r w:rsidR="00451B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in the table in subsection 2(1) provides that the whole of the Amend</w:t>
      </w:r>
      <w:r w:rsidR="00D23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 Orders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commence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the </w:t>
      </w:r>
      <w:r w:rsid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day after they are registered on the Federal Register of Legislation.</w:t>
      </w:r>
      <w:r w:rsidR="00462D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note under the table informs the reader that the tables </w:t>
      </w:r>
      <w:proofErr w:type="gramStart"/>
      <w:r w:rsidR="00462D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relates</w:t>
      </w:r>
      <w:proofErr w:type="gramEnd"/>
      <w:r w:rsidR="00462D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only to the provision of the instrument as originally made and will not be amended to deal with any later amendments of the instrument.</w:t>
      </w:r>
    </w:p>
    <w:p w14:paraId="37E3AB56" w14:textId="57C99896" w:rsidR="00C73AC3" w:rsidRPr="004A634D" w:rsidRDefault="00C73AC3" w:rsidP="00AC7CB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Subsection 2(2) provides that any information in column 3 of the table is not part of the Amend</w:t>
      </w:r>
      <w:r w:rsidR="00AC17A4" w:rsidRP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 Orders</w:t>
      </w:r>
      <w:r w:rsidRPr="004A63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A0CF88" w14:textId="77777777" w:rsidR="00C73AC3" w:rsidRDefault="00C73AC3" w:rsidP="00C73AC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EDDCF6" w14:textId="47E6BB71" w:rsidR="00C73AC3" w:rsidRPr="00AC7CBE" w:rsidRDefault="00AC7CBE" w:rsidP="00C73AC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C7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Section </w:t>
      </w:r>
      <w:r w:rsidRPr="00AC7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AC7CB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—</w:t>
      </w:r>
      <w:r w:rsidR="00C73AC3" w:rsidRPr="00AC7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Authority</w:t>
      </w:r>
    </w:p>
    <w:p w14:paraId="7184EDA8" w14:textId="77777777" w:rsidR="00C673C7" w:rsidRDefault="00C673C7" w:rsidP="00C73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94C6CF" w14:textId="61599D8D" w:rsidR="00C73AC3" w:rsidRDefault="00C73AC3" w:rsidP="00AC7CB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0D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Section 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identifies the authority for the Amend</w:t>
      </w:r>
      <w:r w:rsidR="00AC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 Orders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as:</w:t>
      </w:r>
    </w:p>
    <w:p w14:paraId="6765F008" w14:textId="159D586E" w:rsidR="00FF25EA" w:rsidRPr="00AC17A4" w:rsidRDefault="00FF25EA" w:rsidP="00AC17A4">
      <w:pPr>
        <w:pStyle w:val="ListParagraph"/>
        <w:numPr>
          <w:ilvl w:val="0"/>
          <w:numId w:val="5"/>
        </w:numPr>
        <w:spacing w:after="120" w:line="24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section 22CK of the </w:t>
      </w:r>
      <w:r w:rsidRPr="00AC17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Parliamentary Contributory Superannuation Act </w:t>
      </w:r>
      <w:proofErr w:type="gramStart"/>
      <w:r w:rsidRPr="00AC17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1948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5BC26219" w14:textId="2B3BC6A2" w:rsidR="00FF25EA" w:rsidRPr="00AC17A4" w:rsidRDefault="00FF25EA" w:rsidP="00AC17A4">
      <w:pPr>
        <w:pStyle w:val="ListParagraph"/>
        <w:numPr>
          <w:ilvl w:val="0"/>
          <w:numId w:val="5"/>
        </w:numPr>
        <w:spacing w:after="120" w:line="24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section 93DE of the </w:t>
      </w:r>
      <w:r w:rsidRPr="00AC17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Superannuation Act 1922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and</w:t>
      </w:r>
    </w:p>
    <w:p w14:paraId="09AF15BF" w14:textId="0E1E22D5" w:rsidR="00FF25EA" w:rsidRPr="00AC17A4" w:rsidRDefault="00FF25EA" w:rsidP="00AC17A4">
      <w:pPr>
        <w:pStyle w:val="ListParagraph"/>
        <w:numPr>
          <w:ilvl w:val="0"/>
          <w:numId w:val="5"/>
        </w:numPr>
        <w:spacing w:after="120" w:line="24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section 146MH of the </w:t>
      </w:r>
      <w:r w:rsidRPr="00AC17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Superannuation Act 1976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14D324" w14:textId="77777777" w:rsidR="00FF25EA" w:rsidRPr="00FF25EA" w:rsidRDefault="00FF25EA" w:rsidP="00FF25EA">
      <w:pPr>
        <w:pStyle w:val="ListParagraph"/>
        <w:spacing w:after="240" w:line="240" w:lineRule="auto"/>
        <w:ind w:left="426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EDD3BD7" w14:textId="7BB8D6E7" w:rsidR="000330A2" w:rsidRPr="000330A2" w:rsidRDefault="0005473E" w:rsidP="00742AFD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F48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Section </w:t>
      </w:r>
      <w:r w:rsidR="00E3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2F48DB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—</w:t>
      </w:r>
      <w:r w:rsidR="000330A2" w:rsidRPr="00054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Schedules</w:t>
      </w:r>
    </w:p>
    <w:p w14:paraId="55B30AD6" w14:textId="77777777" w:rsidR="003375FC" w:rsidRDefault="003375FC" w:rsidP="00DF363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2F9BC08" w14:textId="212B8F58" w:rsidR="00386002" w:rsidRDefault="00386002" w:rsidP="00054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462DC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Section 4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FA321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rovides that each instrument specified in a Schedule to the Amend</w:t>
      </w:r>
      <w:r w:rsidR="00AC17A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ing Orders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is amended or repealed as set out in the applicable items in the Schedule concerned, and any other item in a Schedule to the Amend</w:t>
      </w:r>
      <w:r w:rsidR="00AC17A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ing Orders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has effect according to its terms.</w:t>
      </w:r>
    </w:p>
    <w:p w14:paraId="2F46E154" w14:textId="77777777" w:rsidR="00386002" w:rsidRDefault="00386002" w:rsidP="0038600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73E5AA4" w14:textId="488E0A24" w:rsidR="00386002" w:rsidRPr="0005473E" w:rsidRDefault="00386002" w:rsidP="0005473E">
      <w:pP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05473E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Schedule 1</w:t>
      </w:r>
      <w:r w:rsidR="00B4760A" w:rsidRPr="0005473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—</w:t>
      </w:r>
      <w:r w:rsidRPr="0005473E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Amendments</w:t>
      </w:r>
    </w:p>
    <w:p w14:paraId="71C4E4BE" w14:textId="4E4CEDCB" w:rsidR="00386002" w:rsidRPr="0005473E" w:rsidRDefault="00386002" w:rsidP="003860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05473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>Superannuation (</w:t>
      </w:r>
      <w:r w:rsidR="00B624B5" w:rsidRPr="0005473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Family Law </w:t>
      </w:r>
      <w:r w:rsidR="00D21472" w:rsidRPr="00054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—</w:t>
      </w:r>
      <w:r w:rsidR="00B624B5" w:rsidRPr="0005473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Parliamentary Contributory Superannuation Act 1948) Orders 2004</w:t>
      </w:r>
      <w:r w:rsidR="00845869" w:rsidRPr="0005473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(PCSS Orders)</w:t>
      </w:r>
    </w:p>
    <w:p w14:paraId="6FE4E7FF" w14:textId="77777777" w:rsidR="00386002" w:rsidRDefault="00386002" w:rsidP="0038600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D08591F" w14:textId="08D223E2" w:rsidR="00031B63" w:rsidRDefault="00E509C9" w:rsidP="0005473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9F191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Item 1</w:t>
      </w:r>
      <w:r w:rsidRPr="00E509C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031B63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repeals the definition of </w:t>
      </w:r>
      <w:r w:rsidR="00031B63" w:rsidRPr="00031B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FLS Regulations</w:t>
      </w:r>
      <w:r w:rsidR="00031B63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subsection 1.03(1) of the </w:t>
      </w:r>
      <w:r w:rsidR="00E5649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PCSS </w:t>
      </w:r>
      <w:r w:rsidR="00031B63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Orders.</w:t>
      </w:r>
      <w:r w:rsidR="00E5649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This is an inoperative definition as it is not reference</w:t>
      </w:r>
      <w:r w:rsidR="000E44A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</w:t>
      </w:r>
      <w:r w:rsidR="00E5649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elsewhere in the PCSS Orders.</w:t>
      </w:r>
    </w:p>
    <w:p w14:paraId="24655369" w14:textId="556F0BE8" w:rsidR="00031B63" w:rsidRPr="00442B50" w:rsidRDefault="00031B63" w:rsidP="0005473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031B6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Item 2 </w:t>
      </w:r>
      <w:r w:rsidR="00D979F9" w:rsidRPr="00D979F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amends</w:t>
      </w:r>
      <w:r w:rsidR="00442B5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the definition of </w:t>
      </w:r>
      <w:r w:rsidR="00442B50" w:rsidRPr="00442B5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Secretary</w:t>
      </w:r>
      <w:r w:rsidR="00442B5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subsection 1.03(1) of the </w:t>
      </w:r>
      <w:r w:rsidR="00E5649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PCSS </w:t>
      </w:r>
      <w:r w:rsidR="00442B5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Orders by omitting the reference to the ‘Department of Finance and Administration’ and substituting a reference to the ‘Finance Department’.</w:t>
      </w:r>
      <w:r w:rsidR="005657B3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4E4FE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This is consistent with the terminology in the </w:t>
      </w:r>
      <w:r w:rsidR="000B6F3A" w:rsidRPr="004A634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Parliamentary Contributory Superannuation Act </w:t>
      </w:r>
      <w:r w:rsidR="004E4FEE" w:rsidRPr="004A634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1948</w:t>
      </w:r>
      <w:r w:rsidR="004E4FE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21774766" w14:textId="784B5764" w:rsidR="0001547B" w:rsidRPr="00845869" w:rsidRDefault="00442B50" w:rsidP="00054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Item 3 </w:t>
      </w:r>
      <w:r w:rsidR="00D979F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amends</w:t>
      </w:r>
      <w:r w:rsidR="0036084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the formula in </w:t>
      </w:r>
      <w:r w:rsidR="00087D2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table item 2 in c</w:t>
      </w:r>
      <w:r w:rsidR="0036084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lause 2 of Part 1 of Schedule</w:t>
      </w:r>
      <w:r w:rsidR="00087D2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1 of the </w:t>
      </w:r>
      <w:r w:rsidR="00E5649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PCSS </w:t>
      </w:r>
      <w:r w:rsidR="00087D2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Orders to correct a </w:t>
      </w:r>
      <w:r w:rsidR="0036793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typographical</w:t>
      </w:r>
      <w:r w:rsidR="00087D2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error</w:t>
      </w:r>
      <w:r w:rsidR="0001547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by omitting ‘DPFy+</w:t>
      </w:r>
      <w:proofErr w:type="gramStart"/>
      <w:r w:rsidR="0001547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m,s</w:t>
      </w:r>
      <w:proofErr w:type="gramEnd"/>
      <w:r w:rsidR="0001547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’ and substituting ‘DPFy+m’. Item 2 of the table in clause 2 of Part 1 of Schedule 1 sets out the method to be used to determine the scheme value at the operative time where the PCSS member has a deferred </w:t>
      </w:r>
      <w:r w:rsidR="0001547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lastRenderedPageBreak/>
        <w:t>pension in the PCSS. Since the November 2001 general election new Senators and Members who qualify for a pe</w:t>
      </w:r>
      <w:r w:rsidR="008011F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</w:t>
      </w:r>
      <w:r w:rsidR="00EF0F7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sion</w:t>
      </w:r>
      <w:r w:rsidR="0001547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on leaving Parliament before age 55 generally will have payment of that pension deferred until age 55.</w:t>
      </w:r>
    </w:p>
    <w:p w14:paraId="770B8267" w14:textId="77777777" w:rsidR="00845869" w:rsidRDefault="00845869" w:rsidP="0084586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03289E5B" w14:textId="7D647E93" w:rsidR="00031B63" w:rsidRPr="0005473E" w:rsidRDefault="00D979F9" w:rsidP="00F34C22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05473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Superannuation (Family Law </w:t>
      </w:r>
      <w:r w:rsidR="00D21472" w:rsidRPr="00054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—</w:t>
      </w:r>
      <w:r w:rsidRPr="0005473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Superannuation Act 1922) Orders 2004 (1922 Orders)</w:t>
      </w:r>
    </w:p>
    <w:p w14:paraId="29A11CC3" w14:textId="77777777" w:rsidR="00D979F9" w:rsidRDefault="00D979F9" w:rsidP="00F34C22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3994B56F" w14:textId="1358D94C" w:rsidR="00D979F9" w:rsidRDefault="00D979F9" w:rsidP="0005473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D979F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Item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amends the definition of </w:t>
      </w:r>
      <w:r w:rsidRPr="00D979F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FLS Regulations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subsection 3(1) of the 1922</w:t>
      </w:r>
      <w:r w:rsidR="0090017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 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Orders to omit the reference to the </w:t>
      </w:r>
      <w:r w:rsidRPr="00C2232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 2001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substitute a reference to the </w:t>
      </w:r>
      <w:r w:rsidRPr="00C2232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 2025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53CC2EDD" w14:textId="1749DD9D" w:rsidR="00C553D4" w:rsidRPr="004A634D" w:rsidRDefault="00D979F9" w:rsidP="0005473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D979F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Item </w:t>
      </w:r>
      <w:r w:rsidR="0092441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omits the reference to subclause 2(2) of </w:t>
      </w:r>
      <w:r w:rsidR="00462DC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Schedule 4 of 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the </w:t>
      </w:r>
      <w:r w:rsidR="00C553D4" w:rsidRPr="00E771D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 2001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Step 2 of section 4 of the 1922 Orders and substitutes a reference to clause 3 of Schedule 5 of the </w:t>
      </w:r>
      <w:r w:rsidR="00C553D4" w:rsidRPr="00E771D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 2025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59A7F1D1" w14:textId="36E9D163" w:rsidR="00C553D4" w:rsidRPr="00C553D4" w:rsidRDefault="00D474F4" w:rsidP="0005473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Section 4 of the 1922 Orders provides for the calculation of the annual rate of associate pension payable to a former spouse</w:t>
      </w:r>
      <w:r w:rsidR="00B3106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where these has been a family law split of a 1922 Scheme member’s pension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The </w:t>
      </w:r>
      <w:r w:rsidR="00D221B3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process has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three steps. Step 2 requires a factor to be identified for the former spouse that is equal to a value currently specified in subclause 2(2) of </w:t>
      </w:r>
      <w:r w:rsidR="00D979F9"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Schedule 4 of the </w:t>
      </w:r>
      <w:r w:rsidR="00D979F9" w:rsidRPr="00C553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</w:t>
      </w:r>
      <w:r w:rsidRPr="00C553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amily Law (Superannuation) Regulations 2001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Under the </w:t>
      </w:r>
      <w:r w:rsidRPr="00C553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 2025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the relevant factor</w:t>
      </w:r>
      <w:r w:rsidR="00F00AD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is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set out in clause</w:t>
      </w:r>
      <w:r w:rsidR="00FA22F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 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3 of Schedule 5 of the Regulations. </w:t>
      </w:r>
    </w:p>
    <w:p w14:paraId="4276F40D" w14:textId="66FD8276" w:rsidR="00C553D4" w:rsidRDefault="00D979F9" w:rsidP="0005473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Item </w:t>
      </w:r>
      <w:r w:rsidR="0003154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omits the reference to subclause 2(2) of </w:t>
      </w:r>
      <w:r w:rsidR="00462DC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Schedule 4 of 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the </w:t>
      </w:r>
      <w:r w:rsidR="00C553D4" w:rsidRPr="00E771D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 2001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step</w:t>
      </w:r>
      <w:r w:rsidR="006D739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3A and 3B of section 6 of the 1922 Orders and substitutes a reference to clause 3 of Schedule 5 of the </w:t>
      </w:r>
      <w:r w:rsidR="00C553D4" w:rsidRPr="00E771D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 2025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2908D151" w14:textId="7D835D76" w:rsidR="00760BF8" w:rsidRDefault="00BF146B" w:rsidP="0005473E">
      <w:pPr>
        <w:pStyle w:val="ListParagraph"/>
        <w:spacing w:after="0" w:line="240" w:lineRule="atLeast"/>
        <w:ind w:left="0"/>
        <w:contextualSpacing w:val="0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Section 6 of the 1922 Orders provides for the calculation to reduce a 1922 scheme </w:t>
      </w:r>
      <w:r w:rsidR="00B3106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member’s pension where there has been a family law split of that pension.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221B3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The process has seven possible steps. 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Steps 3A and 3B require a factor to be identified for the pensioner</w:t>
      </w:r>
      <w:r w:rsidR="0083502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that is equal to a value currently specified in subclause 2(2) of Schedule 4 of the </w:t>
      </w:r>
      <w:r w:rsidRPr="00C553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</w:t>
      </w:r>
      <w:r w:rsidR="00E771DF" w:rsidRPr="00C553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 </w:t>
      </w:r>
      <w:r w:rsidRPr="00C553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2001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  <w:r w:rsid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Under the </w:t>
      </w:r>
      <w:r w:rsidRPr="00C553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Family Law (Superannuation) Regulations</w:t>
      </w:r>
      <w:r w:rsidR="006A3DD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 </w:t>
      </w:r>
      <w:r w:rsidRPr="00C553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2025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the relevant factor</w:t>
      </w:r>
      <w:r w:rsidR="00494CC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is</w:t>
      </w:r>
      <w:r w:rsidRPr="00C553D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set out in clause 3 of Schedule 5 of the Regulations. </w:t>
      </w:r>
    </w:p>
    <w:p w14:paraId="4EAAAA23" w14:textId="77777777" w:rsidR="00760BF8" w:rsidRDefault="00760BF8" w:rsidP="004A634D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32D87A5C" w14:textId="551F6762" w:rsidR="00C22329" w:rsidRPr="0005473E" w:rsidRDefault="00C22329" w:rsidP="00760BF8">
      <w:pPr>
        <w:pStyle w:val="ListParagraph"/>
        <w:keepNext/>
        <w:spacing w:after="0" w:line="240" w:lineRule="atLeast"/>
        <w:ind w:left="0"/>
        <w:contextualSpacing w:val="0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05473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Superannuation (Family Law </w:t>
      </w:r>
      <w:r w:rsidR="00DC1DC4" w:rsidRPr="00054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—</w:t>
      </w:r>
      <w:r w:rsidRPr="0005473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Superannuation Act 1976) Orders 2004 (1976 Orders)</w:t>
      </w:r>
    </w:p>
    <w:p w14:paraId="7EC60289" w14:textId="77777777" w:rsidR="00844693" w:rsidRPr="004A634D" w:rsidRDefault="00844693" w:rsidP="004A634D">
      <w:pPr>
        <w:pStyle w:val="ListParagraph"/>
        <w:spacing w:after="0" w:line="240" w:lineRule="atLeast"/>
        <w:ind w:left="0"/>
        <w:contextualSpacing w:val="0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0679DD0F" w14:textId="69ED9049" w:rsidR="00C22329" w:rsidRPr="00FA0103" w:rsidRDefault="00C22329" w:rsidP="0005473E">
      <w:pPr>
        <w:pStyle w:val="ListParagraph"/>
        <w:spacing w:after="120" w:line="240" w:lineRule="atLeast"/>
        <w:ind w:left="0"/>
        <w:contextualSpacing w:val="0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Item </w:t>
      </w:r>
      <w:r w:rsidR="00BE20B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repeals the definition of </w:t>
      </w:r>
      <w:r w:rsidRPr="00031B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FLS Regulations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subsection 1.03(1) of the 1976 Orders. This is an inoperative definition as it is not referenced elsewhere in the 1976 Orders.</w:t>
      </w:r>
    </w:p>
    <w:p w14:paraId="4C32E53A" w14:textId="1754512D" w:rsidR="007927E3" w:rsidRPr="0005473E" w:rsidRDefault="007927E3" w:rsidP="000A27C5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05473E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14:ligatures w14:val="none"/>
        </w:rPr>
        <w:br w:type="page"/>
      </w:r>
      <w:r w:rsidR="0005473E" w:rsidRPr="00054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Attachment B</w:t>
      </w:r>
    </w:p>
    <w:p w14:paraId="553ABE33" w14:textId="77777777" w:rsidR="00D40F38" w:rsidRPr="0005473E" w:rsidRDefault="00D40F38" w:rsidP="0005473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73E">
        <w:rPr>
          <w:rFonts w:ascii="Times New Roman" w:hAnsi="Times New Roman"/>
          <w:b/>
          <w:sz w:val="24"/>
          <w:szCs w:val="24"/>
        </w:rPr>
        <w:t>Statement of Compatibility with Human Rights</w:t>
      </w:r>
    </w:p>
    <w:p w14:paraId="499F8A10" w14:textId="77777777" w:rsidR="00D40F38" w:rsidRDefault="00D40F38" w:rsidP="00490A07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90A07">
        <w:rPr>
          <w:rFonts w:ascii="Times New Roman" w:hAnsi="Times New Roman"/>
          <w:iCs/>
          <w:sz w:val="24"/>
          <w:szCs w:val="24"/>
        </w:rPr>
        <w:t>Prepared in accordance with Part 3 of the</w:t>
      </w:r>
      <w:r>
        <w:rPr>
          <w:rFonts w:ascii="Times New Roman" w:hAnsi="Times New Roman"/>
          <w:i/>
          <w:sz w:val="24"/>
          <w:szCs w:val="24"/>
        </w:rPr>
        <w:t xml:space="preserve"> Human Rights (Parliamentary Scrutiny) Act 2011</w:t>
      </w:r>
    </w:p>
    <w:p w14:paraId="61D610D8" w14:textId="5D942839" w:rsidR="00D40F38" w:rsidRPr="00490A07" w:rsidRDefault="00C748BC" w:rsidP="00490A07">
      <w:pPr>
        <w:spacing w:before="120" w:after="12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490A07">
        <w:rPr>
          <w:rFonts w:ascii="Times New Roman" w:hAnsi="Times New Roman"/>
          <w:b/>
          <w:i/>
          <w:iCs/>
          <w:sz w:val="24"/>
          <w:szCs w:val="24"/>
        </w:rPr>
        <w:t>Superannuation Legislation Amendment (Family Law) Orders 2025</w:t>
      </w:r>
      <w:r w:rsidR="00D40F38" w:rsidRPr="00490A0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6C51217B" w14:textId="63733568" w:rsidR="00D40F38" w:rsidRDefault="00D40F38" w:rsidP="00490A07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C748B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isallowable </w:t>
      </w:r>
      <w:r w:rsidR="00C748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egislative </w:t>
      </w:r>
      <w:r w:rsidR="00C748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nstrument is compatible with the human rights and freedoms recognised or declared in the international instruments listed in section 3 of the </w:t>
      </w:r>
      <w:r>
        <w:rPr>
          <w:rFonts w:ascii="Times New Roman" w:hAnsi="Times New Roman"/>
          <w:i/>
          <w:sz w:val="24"/>
          <w:szCs w:val="24"/>
        </w:rPr>
        <w:t>Human Rights (Parliamentary Scrutiny) Act 2011</w:t>
      </w:r>
      <w:r>
        <w:rPr>
          <w:rFonts w:ascii="Times New Roman" w:hAnsi="Times New Roman"/>
          <w:sz w:val="24"/>
          <w:szCs w:val="24"/>
        </w:rPr>
        <w:t>.</w:t>
      </w:r>
    </w:p>
    <w:p w14:paraId="2EF26151" w14:textId="43588C31" w:rsidR="00D40F38" w:rsidRPr="00490A07" w:rsidRDefault="00D40F38" w:rsidP="00490A07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490A07">
        <w:rPr>
          <w:rFonts w:ascii="Times New Roman" w:hAnsi="Times New Roman"/>
          <w:b/>
          <w:sz w:val="24"/>
          <w:szCs w:val="24"/>
        </w:rPr>
        <w:t xml:space="preserve">Overview of the </w:t>
      </w:r>
      <w:r w:rsidR="00C748BC" w:rsidRPr="00490A07">
        <w:rPr>
          <w:rFonts w:ascii="Times New Roman" w:hAnsi="Times New Roman"/>
          <w:b/>
          <w:sz w:val="24"/>
          <w:szCs w:val="24"/>
        </w:rPr>
        <w:t>d</w:t>
      </w:r>
      <w:r w:rsidRPr="00490A07">
        <w:rPr>
          <w:rFonts w:ascii="Times New Roman" w:hAnsi="Times New Roman"/>
          <w:b/>
          <w:sz w:val="24"/>
          <w:szCs w:val="24"/>
        </w:rPr>
        <w:t xml:space="preserve">isallowable </w:t>
      </w:r>
      <w:r w:rsidR="00C748BC" w:rsidRPr="00490A07">
        <w:rPr>
          <w:rFonts w:ascii="Times New Roman" w:hAnsi="Times New Roman"/>
          <w:b/>
          <w:sz w:val="24"/>
          <w:szCs w:val="24"/>
        </w:rPr>
        <w:t>l</w:t>
      </w:r>
      <w:r w:rsidRPr="00490A07">
        <w:rPr>
          <w:rFonts w:ascii="Times New Roman" w:hAnsi="Times New Roman"/>
          <w:b/>
          <w:sz w:val="24"/>
          <w:szCs w:val="24"/>
        </w:rPr>
        <w:t xml:space="preserve">egislative </w:t>
      </w:r>
      <w:r w:rsidR="00C748BC" w:rsidRPr="00490A07">
        <w:rPr>
          <w:rFonts w:ascii="Times New Roman" w:hAnsi="Times New Roman"/>
          <w:b/>
          <w:sz w:val="24"/>
          <w:szCs w:val="24"/>
        </w:rPr>
        <w:t>i</w:t>
      </w:r>
      <w:r w:rsidRPr="00490A07">
        <w:rPr>
          <w:rFonts w:ascii="Times New Roman" w:hAnsi="Times New Roman"/>
          <w:b/>
          <w:sz w:val="24"/>
          <w:szCs w:val="24"/>
        </w:rPr>
        <w:t>nstrument</w:t>
      </w:r>
    </w:p>
    <w:p w14:paraId="7753D25B" w14:textId="4BB74241" w:rsidR="006F301B" w:rsidRDefault="006F301B" w:rsidP="006F301B">
      <w:pPr>
        <w:widowControl w:val="0"/>
        <w:tabs>
          <w:tab w:val="left" w:pos="835"/>
          <w:tab w:val="left" w:pos="1706"/>
          <w:tab w:val="left" w:pos="2562"/>
          <w:tab w:val="left" w:pos="3433"/>
          <w:tab w:val="left" w:pos="4304"/>
          <w:tab w:val="left" w:pos="5115"/>
          <w:tab w:val="left" w:pos="5985"/>
          <w:tab w:val="left" w:pos="6905"/>
          <w:tab w:val="left" w:pos="7731"/>
          <w:tab w:val="left" w:pos="86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EA02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Superannuation Legislation Amendment (Family Law) Orders 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amend the </w:t>
      </w:r>
      <w:r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Superannuation (Family Law </w:t>
      </w:r>
      <w:r w:rsidR="00DC1DC4"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Parliamentary Contributory Superannuation Act 1948) Orders 2004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Superannuation (Family Law</w:t>
      </w:r>
      <w:r w:rsidR="00DC1DC4"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—</w:t>
      </w:r>
      <w:r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1922) Orders 2004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</w:t>
      </w:r>
      <w:r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Superannuation (Family Law </w:t>
      </w:r>
      <w:r w:rsidR="000A4F2D"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—</w:t>
      </w:r>
      <w:r w:rsidRPr="00BB1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Superannuation Act 1976) Orders 2004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A02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a result of the new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A3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Family</w:t>
      </w:r>
      <w:r w:rsidR="008458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r w:rsidRPr="006A3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Law (Superannuation) Regulations 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repeal inoperative definitions and correct a </w:t>
      </w:r>
      <w:r w:rsidR="003679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typographical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error respectively.</w:t>
      </w:r>
    </w:p>
    <w:p w14:paraId="56438500" w14:textId="77777777" w:rsidR="00D40F38" w:rsidRPr="00490A07" w:rsidRDefault="00D40F38" w:rsidP="00490A07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490A07">
        <w:rPr>
          <w:rFonts w:ascii="Times New Roman" w:hAnsi="Times New Roman"/>
          <w:b/>
          <w:sz w:val="24"/>
          <w:szCs w:val="24"/>
        </w:rPr>
        <w:t>Human rights implications</w:t>
      </w:r>
    </w:p>
    <w:p w14:paraId="77523ACC" w14:textId="06B2D831" w:rsidR="00D40F38" w:rsidRDefault="00D40F38" w:rsidP="00D40F3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C748B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isallowable </w:t>
      </w:r>
      <w:r w:rsidR="00C748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egislative </w:t>
      </w:r>
      <w:r w:rsidR="00C748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nstrument does not engage any of the applicable rights or freedoms.</w:t>
      </w:r>
    </w:p>
    <w:p w14:paraId="7DF6A4DB" w14:textId="77777777" w:rsidR="00D40F38" w:rsidRPr="00490A07" w:rsidRDefault="00D40F38" w:rsidP="00490A07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490A07">
        <w:rPr>
          <w:rFonts w:ascii="Times New Roman" w:hAnsi="Times New Roman"/>
          <w:b/>
          <w:sz w:val="24"/>
          <w:szCs w:val="24"/>
        </w:rPr>
        <w:t>Conclusion</w:t>
      </w:r>
    </w:p>
    <w:p w14:paraId="7A1F64B5" w14:textId="54D91727" w:rsidR="00D40F38" w:rsidRDefault="00D40F38" w:rsidP="00D40F3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C748B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isallowable </w:t>
      </w:r>
      <w:r w:rsidR="00C748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egislative </w:t>
      </w:r>
      <w:r w:rsidR="00C748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nstrument is compatible with human rights as it does not raise any human rights issues.</w:t>
      </w:r>
    </w:p>
    <w:p w14:paraId="21677D66" w14:textId="77777777" w:rsidR="00D40F38" w:rsidRDefault="00D40F38" w:rsidP="00D40F3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42375F9C" w14:textId="25831B3F" w:rsidR="00EA02E7" w:rsidRPr="00EA02E7" w:rsidRDefault="00EA02E7" w:rsidP="00EA02E7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02E7">
        <w:rPr>
          <w:rFonts w:ascii="Times New Roman" w:hAnsi="Times New Roman"/>
          <w:b/>
          <w:bCs/>
          <w:sz w:val="24"/>
          <w:szCs w:val="24"/>
        </w:rPr>
        <w:t>Senator the Hon Katy Gallagher, Minister for Finance</w:t>
      </w:r>
    </w:p>
    <w:p w14:paraId="2E7CDB0B" w14:textId="77777777" w:rsidR="00D40F38" w:rsidRDefault="00D40F38" w:rsidP="000A27C5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D40F38" w:rsidSect="00C3753D">
      <w:headerReference w:type="default" r:id="rId12"/>
      <w:footerReference w:type="default" r:id="rId13"/>
      <w:footerReference w:type="first" r:id="rId14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C679" w14:textId="77777777" w:rsidR="00DF363B" w:rsidRDefault="00DF363B" w:rsidP="00DF363B">
      <w:pPr>
        <w:spacing w:after="0" w:line="240" w:lineRule="auto"/>
      </w:pPr>
      <w:r>
        <w:separator/>
      </w:r>
    </w:p>
  </w:endnote>
  <w:endnote w:type="continuationSeparator" w:id="0">
    <w:p w14:paraId="55918529" w14:textId="77777777" w:rsidR="00DF363B" w:rsidRDefault="00DF363B" w:rsidP="00DF363B">
      <w:pPr>
        <w:spacing w:after="0" w:line="240" w:lineRule="auto"/>
      </w:pPr>
      <w:r>
        <w:continuationSeparator/>
      </w:r>
    </w:p>
  </w:endnote>
  <w:endnote w:type="continuationNotice" w:id="1">
    <w:p w14:paraId="1C18F244" w14:textId="77777777" w:rsidR="00173BC6" w:rsidRDefault="00173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028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F9B29" w14:textId="6C5BBB1D" w:rsidR="00B934E1" w:rsidRDefault="00B934E1">
        <w:pPr>
          <w:pStyle w:val="Footer"/>
          <w:jc w:val="center"/>
        </w:pPr>
        <w:r w:rsidRPr="0005473E">
          <w:rPr>
            <w:rFonts w:ascii="Times New Roman" w:hAnsi="Times New Roman" w:cs="Times New Roman"/>
          </w:rPr>
          <w:fldChar w:fldCharType="begin"/>
        </w:r>
        <w:r w:rsidRPr="0005473E">
          <w:rPr>
            <w:rFonts w:ascii="Times New Roman" w:hAnsi="Times New Roman" w:cs="Times New Roman"/>
          </w:rPr>
          <w:instrText xml:space="preserve"> PAGE   \* MERGEFORMAT </w:instrText>
        </w:r>
        <w:r w:rsidRPr="0005473E">
          <w:rPr>
            <w:rFonts w:ascii="Times New Roman" w:hAnsi="Times New Roman" w:cs="Times New Roman"/>
          </w:rPr>
          <w:fldChar w:fldCharType="separate"/>
        </w:r>
        <w:r w:rsidRPr="0005473E">
          <w:rPr>
            <w:rFonts w:ascii="Times New Roman" w:hAnsi="Times New Roman" w:cs="Times New Roman"/>
            <w:noProof/>
          </w:rPr>
          <w:t>2</w:t>
        </w:r>
        <w:r w:rsidRPr="0005473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4F0F9F" w14:textId="77777777" w:rsidR="004351B0" w:rsidRDefault="00435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9074" w14:textId="0AFE2C53" w:rsidR="00B934E1" w:rsidRPr="00B934E1" w:rsidRDefault="00B934E1" w:rsidP="00B934E1">
    <w:pPr>
      <w:pStyle w:val="Footer"/>
      <w:jc w:val="center"/>
      <w:rPr>
        <w:rFonts w:ascii="Times New Roman" w:hAnsi="Times New Roman" w:cs="Times New Roman"/>
      </w:rPr>
    </w:pPr>
    <w:r w:rsidRPr="00B934E1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2065" w14:textId="77777777" w:rsidR="00DF363B" w:rsidRDefault="00DF363B" w:rsidP="00DF363B">
      <w:pPr>
        <w:spacing w:after="0" w:line="240" w:lineRule="auto"/>
      </w:pPr>
      <w:r>
        <w:separator/>
      </w:r>
    </w:p>
  </w:footnote>
  <w:footnote w:type="continuationSeparator" w:id="0">
    <w:p w14:paraId="4357742D" w14:textId="77777777" w:rsidR="00DF363B" w:rsidRDefault="00DF363B" w:rsidP="00DF363B">
      <w:pPr>
        <w:spacing w:after="0" w:line="240" w:lineRule="auto"/>
      </w:pPr>
      <w:r>
        <w:continuationSeparator/>
      </w:r>
    </w:p>
  </w:footnote>
  <w:footnote w:type="continuationNotice" w:id="1">
    <w:p w14:paraId="542D64D6" w14:textId="77777777" w:rsidR="00173BC6" w:rsidRDefault="00173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C389" w14:textId="4A79452C" w:rsidR="00195F62" w:rsidRPr="00C3753D" w:rsidRDefault="00195F62" w:rsidP="00B934E1">
    <w:pPr>
      <w:pStyle w:val="Header"/>
      <w:rPr>
        <w:rFonts w:ascii="Times New Roman" w:hAnsi="Times New Roman" w:cs="Times New Roman"/>
      </w:rPr>
    </w:pPr>
  </w:p>
  <w:p w14:paraId="21E37DEC" w14:textId="77777777" w:rsidR="00195F62" w:rsidRDefault="00195F62" w:rsidP="00C375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3F3"/>
    <w:multiLevelType w:val="hybridMultilevel"/>
    <w:tmpl w:val="6BAC382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D34981"/>
    <w:multiLevelType w:val="hybridMultilevel"/>
    <w:tmpl w:val="C678A53C"/>
    <w:lvl w:ilvl="0" w:tplc="9B267B2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55EC"/>
    <w:multiLevelType w:val="hybridMultilevel"/>
    <w:tmpl w:val="C032BC2A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48316A0"/>
    <w:multiLevelType w:val="hybridMultilevel"/>
    <w:tmpl w:val="3CB09E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6A07BB"/>
    <w:multiLevelType w:val="hybridMultilevel"/>
    <w:tmpl w:val="940AD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A0DDA"/>
    <w:multiLevelType w:val="hybridMultilevel"/>
    <w:tmpl w:val="14DCADCC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39C6609"/>
    <w:multiLevelType w:val="hybridMultilevel"/>
    <w:tmpl w:val="70A4C17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807280052">
    <w:abstractNumId w:val="1"/>
  </w:num>
  <w:num w:numId="2" w16cid:durableId="1119881422">
    <w:abstractNumId w:val="2"/>
  </w:num>
  <w:num w:numId="3" w16cid:durableId="667487724">
    <w:abstractNumId w:val="3"/>
  </w:num>
  <w:num w:numId="4" w16cid:durableId="1920363610">
    <w:abstractNumId w:val="5"/>
  </w:num>
  <w:num w:numId="5" w16cid:durableId="2043508500">
    <w:abstractNumId w:val="0"/>
  </w:num>
  <w:num w:numId="6" w16cid:durableId="1431005447">
    <w:abstractNumId w:val="6"/>
  </w:num>
  <w:num w:numId="7" w16cid:durableId="130064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E7"/>
    <w:rsid w:val="00000EF5"/>
    <w:rsid w:val="0000229E"/>
    <w:rsid w:val="00003D6F"/>
    <w:rsid w:val="000067CB"/>
    <w:rsid w:val="00007051"/>
    <w:rsid w:val="0000764A"/>
    <w:rsid w:val="0001547B"/>
    <w:rsid w:val="00015AE4"/>
    <w:rsid w:val="0001777B"/>
    <w:rsid w:val="00020AFC"/>
    <w:rsid w:val="00021820"/>
    <w:rsid w:val="0002233C"/>
    <w:rsid w:val="000230FF"/>
    <w:rsid w:val="000243B7"/>
    <w:rsid w:val="000247D7"/>
    <w:rsid w:val="00025704"/>
    <w:rsid w:val="00030F6E"/>
    <w:rsid w:val="00031549"/>
    <w:rsid w:val="00031B63"/>
    <w:rsid w:val="000330A2"/>
    <w:rsid w:val="00035002"/>
    <w:rsid w:val="00046C9D"/>
    <w:rsid w:val="00047637"/>
    <w:rsid w:val="00047B55"/>
    <w:rsid w:val="00050341"/>
    <w:rsid w:val="0005473E"/>
    <w:rsid w:val="000548E4"/>
    <w:rsid w:val="0006758E"/>
    <w:rsid w:val="00070B57"/>
    <w:rsid w:val="00073823"/>
    <w:rsid w:val="000745EB"/>
    <w:rsid w:val="00075C37"/>
    <w:rsid w:val="00076EC6"/>
    <w:rsid w:val="00081BC3"/>
    <w:rsid w:val="00083746"/>
    <w:rsid w:val="0008782B"/>
    <w:rsid w:val="00087D2A"/>
    <w:rsid w:val="000A0513"/>
    <w:rsid w:val="000A08AB"/>
    <w:rsid w:val="000A27C5"/>
    <w:rsid w:val="000A4572"/>
    <w:rsid w:val="000A4B10"/>
    <w:rsid w:val="000A4F2D"/>
    <w:rsid w:val="000B4F07"/>
    <w:rsid w:val="000B6F3A"/>
    <w:rsid w:val="000B77FA"/>
    <w:rsid w:val="000C4140"/>
    <w:rsid w:val="000C6090"/>
    <w:rsid w:val="000D0A3E"/>
    <w:rsid w:val="000D7351"/>
    <w:rsid w:val="000D7B16"/>
    <w:rsid w:val="000E052F"/>
    <w:rsid w:val="000E20E4"/>
    <w:rsid w:val="000E44AB"/>
    <w:rsid w:val="000E6F1F"/>
    <w:rsid w:val="000E6F4F"/>
    <w:rsid w:val="001022CA"/>
    <w:rsid w:val="00105AA6"/>
    <w:rsid w:val="00106179"/>
    <w:rsid w:val="001129C7"/>
    <w:rsid w:val="0011367F"/>
    <w:rsid w:val="0011472E"/>
    <w:rsid w:val="001256A7"/>
    <w:rsid w:val="00131DE8"/>
    <w:rsid w:val="00141087"/>
    <w:rsid w:val="001425ED"/>
    <w:rsid w:val="00143734"/>
    <w:rsid w:val="0014403F"/>
    <w:rsid w:val="001441F5"/>
    <w:rsid w:val="00145A7F"/>
    <w:rsid w:val="00146A83"/>
    <w:rsid w:val="001531F7"/>
    <w:rsid w:val="00153813"/>
    <w:rsid w:val="001576D1"/>
    <w:rsid w:val="0017271D"/>
    <w:rsid w:val="00172F4C"/>
    <w:rsid w:val="00173BC6"/>
    <w:rsid w:val="00180BE8"/>
    <w:rsid w:val="00195DBB"/>
    <w:rsid w:val="00195F62"/>
    <w:rsid w:val="001A4163"/>
    <w:rsid w:val="001A7EE8"/>
    <w:rsid w:val="001B1FCB"/>
    <w:rsid w:val="001B4104"/>
    <w:rsid w:val="001C0DE7"/>
    <w:rsid w:val="001D66C0"/>
    <w:rsid w:val="001E0E18"/>
    <w:rsid w:val="001E4721"/>
    <w:rsid w:val="001E69F2"/>
    <w:rsid w:val="001F20F9"/>
    <w:rsid w:val="001F64EE"/>
    <w:rsid w:val="00202892"/>
    <w:rsid w:val="00202CE7"/>
    <w:rsid w:val="00205286"/>
    <w:rsid w:val="00205590"/>
    <w:rsid w:val="002074B8"/>
    <w:rsid w:val="00210121"/>
    <w:rsid w:val="002106F3"/>
    <w:rsid w:val="002119AE"/>
    <w:rsid w:val="00211A89"/>
    <w:rsid w:val="00216048"/>
    <w:rsid w:val="002178BC"/>
    <w:rsid w:val="00220D82"/>
    <w:rsid w:val="00222AC8"/>
    <w:rsid w:val="00225C93"/>
    <w:rsid w:val="0022687C"/>
    <w:rsid w:val="002335E8"/>
    <w:rsid w:val="00234F39"/>
    <w:rsid w:val="00240187"/>
    <w:rsid w:val="002547FE"/>
    <w:rsid w:val="00254AC8"/>
    <w:rsid w:val="00254E83"/>
    <w:rsid w:val="002571C5"/>
    <w:rsid w:val="00275007"/>
    <w:rsid w:val="0028191D"/>
    <w:rsid w:val="002826E0"/>
    <w:rsid w:val="00282C41"/>
    <w:rsid w:val="00284AEF"/>
    <w:rsid w:val="00284DD8"/>
    <w:rsid w:val="00284E3B"/>
    <w:rsid w:val="002A500D"/>
    <w:rsid w:val="002B3709"/>
    <w:rsid w:val="002B4333"/>
    <w:rsid w:val="002B50DE"/>
    <w:rsid w:val="002B512F"/>
    <w:rsid w:val="002B58C3"/>
    <w:rsid w:val="002B5C59"/>
    <w:rsid w:val="002C0FD2"/>
    <w:rsid w:val="002C215B"/>
    <w:rsid w:val="002C4515"/>
    <w:rsid w:val="002D0224"/>
    <w:rsid w:val="002D283A"/>
    <w:rsid w:val="002D6115"/>
    <w:rsid w:val="002E0F2C"/>
    <w:rsid w:val="002E6067"/>
    <w:rsid w:val="002F0DF7"/>
    <w:rsid w:val="002F2A7F"/>
    <w:rsid w:val="002F48DB"/>
    <w:rsid w:val="00301985"/>
    <w:rsid w:val="003053FE"/>
    <w:rsid w:val="00310E79"/>
    <w:rsid w:val="00311643"/>
    <w:rsid w:val="0031170C"/>
    <w:rsid w:val="00316373"/>
    <w:rsid w:val="003164FD"/>
    <w:rsid w:val="00324046"/>
    <w:rsid w:val="0032478F"/>
    <w:rsid w:val="003262F4"/>
    <w:rsid w:val="003375FC"/>
    <w:rsid w:val="003401E9"/>
    <w:rsid w:val="00340232"/>
    <w:rsid w:val="00340BC7"/>
    <w:rsid w:val="00346314"/>
    <w:rsid w:val="00350E6D"/>
    <w:rsid w:val="00355DD2"/>
    <w:rsid w:val="003567B6"/>
    <w:rsid w:val="00360844"/>
    <w:rsid w:val="00361645"/>
    <w:rsid w:val="00367934"/>
    <w:rsid w:val="00373EC6"/>
    <w:rsid w:val="00374BAD"/>
    <w:rsid w:val="00375717"/>
    <w:rsid w:val="00377530"/>
    <w:rsid w:val="0038024B"/>
    <w:rsid w:val="0038129B"/>
    <w:rsid w:val="00383218"/>
    <w:rsid w:val="003848A4"/>
    <w:rsid w:val="00386002"/>
    <w:rsid w:val="003865F0"/>
    <w:rsid w:val="00387FF4"/>
    <w:rsid w:val="003A0100"/>
    <w:rsid w:val="003A428F"/>
    <w:rsid w:val="003A5E8C"/>
    <w:rsid w:val="003B76A3"/>
    <w:rsid w:val="003C148F"/>
    <w:rsid w:val="003D5C52"/>
    <w:rsid w:val="003D62E5"/>
    <w:rsid w:val="003D6701"/>
    <w:rsid w:val="003E346A"/>
    <w:rsid w:val="003E3673"/>
    <w:rsid w:val="003E494E"/>
    <w:rsid w:val="003E5824"/>
    <w:rsid w:val="003E5A22"/>
    <w:rsid w:val="003F3C37"/>
    <w:rsid w:val="003F5465"/>
    <w:rsid w:val="0041047F"/>
    <w:rsid w:val="00416594"/>
    <w:rsid w:val="00417F2B"/>
    <w:rsid w:val="00434FE4"/>
    <w:rsid w:val="004351B0"/>
    <w:rsid w:val="004370CD"/>
    <w:rsid w:val="00442B50"/>
    <w:rsid w:val="00444265"/>
    <w:rsid w:val="00451B90"/>
    <w:rsid w:val="00451FFC"/>
    <w:rsid w:val="00452AE4"/>
    <w:rsid w:val="0045504A"/>
    <w:rsid w:val="0045750B"/>
    <w:rsid w:val="0046183A"/>
    <w:rsid w:val="00462D73"/>
    <w:rsid w:val="00462DCD"/>
    <w:rsid w:val="00463872"/>
    <w:rsid w:val="00465288"/>
    <w:rsid w:val="00472E6C"/>
    <w:rsid w:val="004744DF"/>
    <w:rsid w:val="00474A61"/>
    <w:rsid w:val="00481150"/>
    <w:rsid w:val="004812D0"/>
    <w:rsid w:val="004839D6"/>
    <w:rsid w:val="00490612"/>
    <w:rsid w:val="00490A07"/>
    <w:rsid w:val="004929B2"/>
    <w:rsid w:val="00492CA1"/>
    <w:rsid w:val="00493DFF"/>
    <w:rsid w:val="00494CCB"/>
    <w:rsid w:val="004A58AF"/>
    <w:rsid w:val="004A634D"/>
    <w:rsid w:val="004B1841"/>
    <w:rsid w:val="004B1AA3"/>
    <w:rsid w:val="004B1AF1"/>
    <w:rsid w:val="004B5077"/>
    <w:rsid w:val="004C3099"/>
    <w:rsid w:val="004C6231"/>
    <w:rsid w:val="004C6FC2"/>
    <w:rsid w:val="004C7515"/>
    <w:rsid w:val="004D09F0"/>
    <w:rsid w:val="004D0F02"/>
    <w:rsid w:val="004D3E9F"/>
    <w:rsid w:val="004D5064"/>
    <w:rsid w:val="004D5168"/>
    <w:rsid w:val="004D5AE2"/>
    <w:rsid w:val="004D5F71"/>
    <w:rsid w:val="004E4FEE"/>
    <w:rsid w:val="004E7E6F"/>
    <w:rsid w:val="004F06EB"/>
    <w:rsid w:val="004F148A"/>
    <w:rsid w:val="004F3361"/>
    <w:rsid w:val="004F4110"/>
    <w:rsid w:val="004F4602"/>
    <w:rsid w:val="004F6B43"/>
    <w:rsid w:val="005020CE"/>
    <w:rsid w:val="005051C9"/>
    <w:rsid w:val="005057C0"/>
    <w:rsid w:val="00511641"/>
    <w:rsid w:val="00514EDF"/>
    <w:rsid w:val="0052050D"/>
    <w:rsid w:val="00525E85"/>
    <w:rsid w:val="00536CB1"/>
    <w:rsid w:val="00540345"/>
    <w:rsid w:val="00550BF5"/>
    <w:rsid w:val="00552B0B"/>
    <w:rsid w:val="00552B4A"/>
    <w:rsid w:val="00552DDC"/>
    <w:rsid w:val="00554B2B"/>
    <w:rsid w:val="00555D63"/>
    <w:rsid w:val="00561A31"/>
    <w:rsid w:val="005652F8"/>
    <w:rsid w:val="005657B3"/>
    <w:rsid w:val="005779EA"/>
    <w:rsid w:val="00580FD6"/>
    <w:rsid w:val="0058384B"/>
    <w:rsid w:val="0058433C"/>
    <w:rsid w:val="00593C2D"/>
    <w:rsid w:val="00596C65"/>
    <w:rsid w:val="00596E46"/>
    <w:rsid w:val="005A1C4F"/>
    <w:rsid w:val="005A44BB"/>
    <w:rsid w:val="005A6467"/>
    <w:rsid w:val="005A7A50"/>
    <w:rsid w:val="005B0A96"/>
    <w:rsid w:val="005B1E50"/>
    <w:rsid w:val="005B3F07"/>
    <w:rsid w:val="005B70EB"/>
    <w:rsid w:val="005C1BB9"/>
    <w:rsid w:val="005C3A79"/>
    <w:rsid w:val="005C5FC8"/>
    <w:rsid w:val="005D3264"/>
    <w:rsid w:val="005D531B"/>
    <w:rsid w:val="005E0873"/>
    <w:rsid w:val="005E28A1"/>
    <w:rsid w:val="005E3580"/>
    <w:rsid w:val="005F39C6"/>
    <w:rsid w:val="005F5BD6"/>
    <w:rsid w:val="00603504"/>
    <w:rsid w:val="006052C0"/>
    <w:rsid w:val="00621C60"/>
    <w:rsid w:val="00622056"/>
    <w:rsid w:val="00625F07"/>
    <w:rsid w:val="00626D1D"/>
    <w:rsid w:val="00637762"/>
    <w:rsid w:val="00645FD7"/>
    <w:rsid w:val="006502A9"/>
    <w:rsid w:val="00653B3D"/>
    <w:rsid w:val="006569B6"/>
    <w:rsid w:val="00660535"/>
    <w:rsid w:val="00661739"/>
    <w:rsid w:val="006661F0"/>
    <w:rsid w:val="00673B00"/>
    <w:rsid w:val="00673C75"/>
    <w:rsid w:val="006A329B"/>
    <w:rsid w:val="006A3DD9"/>
    <w:rsid w:val="006A71BE"/>
    <w:rsid w:val="006B3888"/>
    <w:rsid w:val="006B460C"/>
    <w:rsid w:val="006B5083"/>
    <w:rsid w:val="006B79C5"/>
    <w:rsid w:val="006D0248"/>
    <w:rsid w:val="006D1807"/>
    <w:rsid w:val="006D2C82"/>
    <w:rsid w:val="006D7390"/>
    <w:rsid w:val="006E5E23"/>
    <w:rsid w:val="006E6150"/>
    <w:rsid w:val="006F022B"/>
    <w:rsid w:val="006F0D35"/>
    <w:rsid w:val="006F301B"/>
    <w:rsid w:val="0070454B"/>
    <w:rsid w:val="00705185"/>
    <w:rsid w:val="007055DE"/>
    <w:rsid w:val="0070604C"/>
    <w:rsid w:val="00706560"/>
    <w:rsid w:val="00716378"/>
    <w:rsid w:val="0072406F"/>
    <w:rsid w:val="00730640"/>
    <w:rsid w:val="00734C6D"/>
    <w:rsid w:val="00742AFD"/>
    <w:rsid w:val="0074324A"/>
    <w:rsid w:val="00744377"/>
    <w:rsid w:val="00744F5B"/>
    <w:rsid w:val="007468AE"/>
    <w:rsid w:val="007507B8"/>
    <w:rsid w:val="00752216"/>
    <w:rsid w:val="00760BF8"/>
    <w:rsid w:val="0076450F"/>
    <w:rsid w:val="00767A84"/>
    <w:rsid w:val="00773082"/>
    <w:rsid w:val="007731B0"/>
    <w:rsid w:val="00773F51"/>
    <w:rsid w:val="00775DB6"/>
    <w:rsid w:val="00787E7B"/>
    <w:rsid w:val="007927E3"/>
    <w:rsid w:val="00796CEE"/>
    <w:rsid w:val="007A067B"/>
    <w:rsid w:val="007A067C"/>
    <w:rsid w:val="007A098F"/>
    <w:rsid w:val="007A1129"/>
    <w:rsid w:val="007A3497"/>
    <w:rsid w:val="007A583F"/>
    <w:rsid w:val="007C008E"/>
    <w:rsid w:val="007C29B7"/>
    <w:rsid w:val="007C5055"/>
    <w:rsid w:val="007C5BFC"/>
    <w:rsid w:val="007D2149"/>
    <w:rsid w:val="007D3E6C"/>
    <w:rsid w:val="007D4495"/>
    <w:rsid w:val="007D63B3"/>
    <w:rsid w:val="007D73C3"/>
    <w:rsid w:val="007D7BDE"/>
    <w:rsid w:val="007E0D90"/>
    <w:rsid w:val="007E1FFD"/>
    <w:rsid w:val="007E323B"/>
    <w:rsid w:val="007E4165"/>
    <w:rsid w:val="007E6862"/>
    <w:rsid w:val="007F274D"/>
    <w:rsid w:val="007F648B"/>
    <w:rsid w:val="008011F0"/>
    <w:rsid w:val="00810E03"/>
    <w:rsid w:val="008170F3"/>
    <w:rsid w:val="00827E09"/>
    <w:rsid w:val="00832CEB"/>
    <w:rsid w:val="00834060"/>
    <w:rsid w:val="00834E23"/>
    <w:rsid w:val="0083502A"/>
    <w:rsid w:val="00835422"/>
    <w:rsid w:val="00842259"/>
    <w:rsid w:val="0084229B"/>
    <w:rsid w:val="00842DF1"/>
    <w:rsid w:val="00844693"/>
    <w:rsid w:val="00845869"/>
    <w:rsid w:val="00845F86"/>
    <w:rsid w:val="00857736"/>
    <w:rsid w:val="00863CA9"/>
    <w:rsid w:val="00865848"/>
    <w:rsid w:val="00875CA2"/>
    <w:rsid w:val="00877F2E"/>
    <w:rsid w:val="00882603"/>
    <w:rsid w:val="00884FCA"/>
    <w:rsid w:val="00890A7A"/>
    <w:rsid w:val="008935A8"/>
    <w:rsid w:val="0089382F"/>
    <w:rsid w:val="00894EDD"/>
    <w:rsid w:val="008A1D3F"/>
    <w:rsid w:val="008B7786"/>
    <w:rsid w:val="008B7EBA"/>
    <w:rsid w:val="008C4AC8"/>
    <w:rsid w:val="008E134D"/>
    <w:rsid w:val="008E3DD6"/>
    <w:rsid w:val="008E4D20"/>
    <w:rsid w:val="008F0CB0"/>
    <w:rsid w:val="008F1A64"/>
    <w:rsid w:val="00900171"/>
    <w:rsid w:val="00900952"/>
    <w:rsid w:val="00900B20"/>
    <w:rsid w:val="00907CCE"/>
    <w:rsid w:val="009135C5"/>
    <w:rsid w:val="00913CC5"/>
    <w:rsid w:val="00914700"/>
    <w:rsid w:val="00920CE7"/>
    <w:rsid w:val="0092441A"/>
    <w:rsid w:val="00925A67"/>
    <w:rsid w:val="0092600B"/>
    <w:rsid w:val="00941CBF"/>
    <w:rsid w:val="00942341"/>
    <w:rsid w:val="00943705"/>
    <w:rsid w:val="00945047"/>
    <w:rsid w:val="00951E0C"/>
    <w:rsid w:val="00953220"/>
    <w:rsid w:val="009543B2"/>
    <w:rsid w:val="00957E81"/>
    <w:rsid w:val="009629A1"/>
    <w:rsid w:val="0096790F"/>
    <w:rsid w:val="00972A05"/>
    <w:rsid w:val="009750C6"/>
    <w:rsid w:val="00981510"/>
    <w:rsid w:val="009862A8"/>
    <w:rsid w:val="00990A0C"/>
    <w:rsid w:val="00990B71"/>
    <w:rsid w:val="009939D6"/>
    <w:rsid w:val="00993D50"/>
    <w:rsid w:val="00995315"/>
    <w:rsid w:val="009A5DC3"/>
    <w:rsid w:val="009A7329"/>
    <w:rsid w:val="009A7B22"/>
    <w:rsid w:val="009B3D0B"/>
    <w:rsid w:val="009B6EC9"/>
    <w:rsid w:val="009B7645"/>
    <w:rsid w:val="009C3B30"/>
    <w:rsid w:val="009C5A0C"/>
    <w:rsid w:val="009C6C9C"/>
    <w:rsid w:val="009D239E"/>
    <w:rsid w:val="009D3211"/>
    <w:rsid w:val="009D796C"/>
    <w:rsid w:val="009E1C85"/>
    <w:rsid w:val="009E2267"/>
    <w:rsid w:val="009F1917"/>
    <w:rsid w:val="009F5A0D"/>
    <w:rsid w:val="00A03D64"/>
    <w:rsid w:val="00A065AF"/>
    <w:rsid w:val="00A07019"/>
    <w:rsid w:val="00A11A1C"/>
    <w:rsid w:val="00A14D22"/>
    <w:rsid w:val="00A17030"/>
    <w:rsid w:val="00A26C69"/>
    <w:rsid w:val="00A27600"/>
    <w:rsid w:val="00A40C28"/>
    <w:rsid w:val="00A413B4"/>
    <w:rsid w:val="00A478A6"/>
    <w:rsid w:val="00A57512"/>
    <w:rsid w:val="00A65395"/>
    <w:rsid w:val="00A663A1"/>
    <w:rsid w:val="00A66EDA"/>
    <w:rsid w:val="00A71C25"/>
    <w:rsid w:val="00A82DA8"/>
    <w:rsid w:val="00A92D04"/>
    <w:rsid w:val="00A93EBE"/>
    <w:rsid w:val="00A97283"/>
    <w:rsid w:val="00AA46E8"/>
    <w:rsid w:val="00AA513D"/>
    <w:rsid w:val="00AA5EB1"/>
    <w:rsid w:val="00AB08A2"/>
    <w:rsid w:val="00AB132C"/>
    <w:rsid w:val="00AC03BA"/>
    <w:rsid w:val="00AC17A4"/>
    <w:rsid w:val="00AC222B"/>
    <w:rsid w:val="00AC7CBE"/>
    <w:rsid w:val="00AC7E7D"/>
    <w:rsid w:val="00AD01D3"/>
    <w:rsid w:val="00AD2A62"/>
    <w:rsid w:val="00AD361F"/>
    <w:rsid w:val="00AD60F0"/>
    <w:rsid w:val="00AD7AD6"/>
    <w:rsid w:val="00AF15F5"/>
    <w:rsid w:val="00AF2FA2"/>
    <w:rsid w:val="00B0137C"/>
    <w:rsid w:val="00B01659"/>
    <w:rsid w:val="00B01CA5"/>
    <w:rsid w:val="00B046EF"/>
    <w:rsid w:val="00B12441"/>
    <w:rsid w:val="00B13684"/>
    <w:rsid w:val="00B13729"/>
    <w:rsid w:val="00B16F38"/>
    <w:rsid w:val="00B31060"/>
    <w:rsid w:val="00B31D2E"/>
    <w:rsid w:val="00B32FA2"/>
    <w:rsid w:val="00B350CA"/>
    <w:rsid w:val="00B35DA1"/>
    <w:rsid w:val="00B40633"/>
    <w:rsid w:val="00B4760A"/>
    <w:rsid w:val="00B539FB"/>
    <w:rsid w:val="00B61911"/>
    <w:rsid w:val="00B624B5"/>
    <w:rsid w:val="00B628D0"/>
    <w:rsid w:val="00B62C6D"/>
    <w:rsid w:val="00B70708"/>
    <w:rsid w:val="00B71364"/>
    <w:rsid w:val="00B738CE"/>
    <w:rsid w:val="00B75508"/>
    <w:rsid w:val="00B75710"/>
    <w:rsid w:val="00B80638"/>
    <w:rsid w:val="00B8381E"/>
    <w:rsid w:val="00B90C4C"/>
    <w:rsid w:val="00B911B0"/>
    <w:rsid w:val="00B925FA"/>
    <w:rsid w:val="00B92EDC"/>
    <w:rsid w:val="00B92F25"/>
    <w:rsid w:val="00B934E1"/>
    <w:rsid w:val="00B93B21"/>
    <w:rsid w:val="00BA2BB9"/>
    <w:rsid w:val="00BA2D97"/>
    <w:rsid w:val="00BA5268"/>
    <w:rsid w:val="00BB15EB"/>
    <w:rsid w:val="00BB2280"/>
    <w:rsid w:val="00BB28C5"/>
    <w:rsid w:val="00BC0767"/>
    <w:rsid w:val="00BC2163"/>
    <w:rsid w:val="00BC225A"/>
    <w:rsid w:val="00BC3D8E"/>
    <w:rsid w:val="00BC3FEC"/>
    <w:rsid w:val="00BC40C5"/>
    <w:rsid w:val="00BC43FB"/>
    <w:rsid w:val="00BD2221"/>
    <w:rsid w:val="00BE0655"/>
    <w:rsid w:val="00BE15F5"/>
    <w:rsid w:val="00BE20BF"/>
    <w:rsid w:val="00BE418D"/>
    <w:rsid w:val="00BE4ED4"/>
    <w:rsid w:val="00BF146B"/>
    <w:rsid w:val="00C021C1"/>
    <w:rsid w:val="00C0697A"/>
    <w:rsid w:val="00C10DDC"/>
    <w:rsid w:val="00C10F23"/>
    <w:rsid w:val="00C12623"/>
    <w:rsid w:val="00C22329"/>
    <w:rsid w:val="00C26BA6"/>
    <w:rsid w:val="00C30A69"/>
    <w:rsid w:val="00C3126A"/>
    <w:rsid w:val="00C323EE"/>
    <w:rsid w:val="00C3438A"/>
    <w:rsid w:val="00C35347"/>
    <w:rsid w:val="00C3753D"/>
    <w:rsid w:val="00C402A8"/>
    <w:rsid w:val="00C46AA7"/>
    <w:rsid w:val="00C5455D"/>
    <w:rsid w:val="00C553D4"/>
    <w:rsid w:val="00C652FF"/>
    <w:rsid w:val="00C66663"/>
    <w:rsid w:val="00C6698E"/>
    <w:rsid w:val="00C66A19"/>
    <w:rsid w:val="00C671E6"/>
    <w:rsid w:val="00C673C7"/>
    <w:rsid w:val="00C710FF"/>
    <w:rsid w:val="00C73AC3"/>
    <w:rsid w:val="00C748BC"/>
    <w:rsid w:val="00C76806"/>
    <w:rsid w:val="00C7708F"/>
    <w:rsid w:val="00C83BAA"/>
    <w:rsid w:val="00C841AB"/>
    <w:rsid w:val="00C85A0B"/>
    <w:rsid w:val="00CA0A56"/>
    <w:rsid w:val="00CA1D5E"/>
    <w:rsid w:val="00CA4043"/>
    <w:rsid w:val="00CB13E0"/>
    <w:rsid w:val="00CB78E4"/>
    <w:rsid w:val="00CB7EEE"/>
    <w:rsid w:val="00CC5809"/>
    <w:rsid w:val="00CC5A58"/>
    <w:rsid w:val="00CD0C47"/>
    <w:rsid w:val="00CD10DA"/>
    <w:rsid w:val="00CD1FC8"/>
    <w:rsid w:val="00CD236C"/>
    <w:rsid w:val="00CD698D"/>
    <w:rsid w:val="00D01FCC"/>
    <w:rsid w:val="00D06942"/>
    <w:rsid w:val="00D11BA7"/>
    <w:rsid w:val="00D14A44"/>
    <w:rsid w:val="00D21472"/>
    <w:rsid w:val="00D21B70"/>
    <w:rsid w:val="00D221B3"/>
    <w:rsid w:val="00D233E3"/>
    <w:rsid w:val="00D32B08"/>
    <w:rsid w:val="00D342DD"/>
    <w:rsid w:val="00D40F38"/>
    <w:rsid w:val="00D43226"/>
    <w:rsid w:val="00D4704C"/>
    <w:rsid w:val="00D474F4"/>
    <w:rsid w:val="00D50447"/>
    <w:rsid w:val="00D5124D"/>
    <w:rsid w:val="00D55D08"/>
    <w:rsid w:val="00D60E10"/>
    <w:rsid w:val="00D6390E"/>
    <w:rsid w:val="00D6540C"/>
    <w:rsid w:val="00D708E9"/>
    <w:rsid w:val="00D71DF2"/>
    <w:rsid w:val="00D72A53"/>
    <w:rsid w:val="00D735B4"/>
    <w:rsid w:val="00D7521F"/>
    <w:rsid w:val="00D75D06"/>
    <w:rsid w:val="00D807CB"/>
    <w:rsid w:val="00D82D3A"/>
    <w:rsid w:val="00D94194"/>
    <w:rsid w:val="00D94849"/>
    <w:rsid w:val="00D97469"/>
    <w:rsid w:val="00D979F9"/>
    <w:rsid w:val="00DA0797"/>
    <w:rsid w:val="00DA2B41"/>
    <w:rsid w:val="00DA761F"/>
    <w:rsid w:val="00DB1675"/>
    <w:rsid w:val="00DB4F6A"/>
    <w:rsid w:val="00DB6181"/>
    <w:rsid w:val="00DC1DC4"/>
    <w:rsid w:val="00DD351D"/>
    <w:rsid w:val="00DE1359"/>
    <w:rsid w:val="00DE2D2D"/>
    <w:rsid w:val="00DE5684"/>
    <w:rsid w:val="00DF0EC4"/>
    <w:rsid w:val="00DF113C"/>
    <w:rsid w:val="00DF2EAC"/>
    <w:rsid w:val="00DF363B"/>
    <w:rsid w:val="00DF75A5"/>
    <w:rsid w:val="00E023EC"/>
    <w:rsid w:val="00E06D6F"/>
    <w:rsid w:val="00E104E8"/>
    <w:rsid w:val="00E1713B"/>
    <w:rsid w:val="00E2171D"/>
    <w:rsid w:val="00E2504F"/>
    <w:rsid w:val="00E256B3"/>
    <w:rsid w:val="00E25EBD"/>
    <w:rsid w:val="00E3038E"/>
    <w:rsid w:val="00E32198"/>
    <w:rsid w:val="00E34A4D"/>
    <w:rsid w:val="00E355E9"/>
    <w:rsid w:val="00E42D86"/>
    <w:rsid w:val="00E509C9"/>
    <w:rsid w:val="00E56497"/>
    <w:rsid w:val="00E5728E"/>
    <w:rsid w:val="00E57B99"/>
    <w:rsid w:val="00E61941"/>
    <w:rsid w:val="00E64A19"/>
    <w:rsid w:val="00E720B5"/>
    <w:rsid w:val="00E73BA4"/>
    <w:rsid w:val="00E75146"/>
    <w:rsid w:val="00E771DF"/>
    <w:rsid w:val="00E8672C"/>
    <w:rsid w:val="00E90714"/>
    <w:rsid w:val="00E9127D"/>
    <w:rsid w:val="00E930C2"/>
    <w:rsid w:val="00EA02E7"/>
    <w:rsid w:val="00EA16FC"/>
    <w:rsid w:val="00EA25DA"/>
    <w:rsid w:val="00EA58C8"/>
    <w:rsid w:val="00EB0B9A"/>
    <w:rsid w:val="00EB1B21"/>
    <w:rsid w:val="00EB2A43"/>
    <w:rsid w:val="00EC111B"/>
    <w:rsid w:val="00EC7DC8"/>
    <w:rsid w:val="00ED2E9D"/>
    <w:rsid w:val="00ED42E7"/>
    <w:rsid w:val="00EE2024"/>
    <w:rsid w:val="00EE3DEF"/>
    <w:rsid w:val="00EF0F7F"/>
    <w:rsid w:val="00EF2204"/>
    <w:rsid w:val="00EF2841"/>
    <w:rsid w:val="00EF3818"/>
    <w:rsid w:val="00EF3B85"/>
    <w:rsid w:val="00EF3C09"/>
    <w:rsid w:val="00EF5503"/>
    <w:rsid w:val="00EF62B9"/>
    <w:rsid w:val="00F00AD7"/>
    <w:rsid w:val="00F07909"/>
    <w:rsid w:val="00F11E36"/>
    <w:rsid w:val="00F125AF"/>
    <w:rsid w:val="00F131CF"/>
    <w:rsid w:val="00F14C4B"/>
    <w:rsid w:val="00F20AB4"/>
    <w:rsid w:val="00F20F4B"/>
    <w:rsid w:val="00F216AB"/>
    <w:rsid w:val="00F21FFE"/>
    <w:rsid w:val="00F2700E"/>
    <w:rsid w:val="00F272FC"/>
    <w:rsid w:val="00F300D5"/>
    <w:rsid w:val="00F33329"/>
    <w:rsid w:val="00F33391"/>
    <w:rsid w:val="00F333A8"/>
    <w:rsid w:val="00F347B0"/>
    <w:rsid w:val="00F34C22"/>
    <w:rsid w:val="00F5012F"/>
    <w:rsid w:val="00F51FEC"/>
    <w:rsid w:val="00F556A6"/>
    <w:rsid w:val="00F707D1"/>
    <w:rsid w:val="00F70DEB"/>
    <w:rsid w:val="00F72AC3"/>
    <w:rsid w:val="00F73BF6"/>
    <w:rsid w:val="00F74464"/>
    <w:rsid w:val="00F74B83"/>
    <w:rsid w:val="00F74E06"/>
    <w:rsid w:val="00F750D1"/>
    <w:rsid w:val="00F75780"/>
    <w:rsid w:val="00F77CF3"/>
    <w:rsid w:val="00F91856"/>
    <w:rsid w:val="00F9668A"/>
    <w:rsid w:val="00FA0103"/>
    <w:rsid w:val="00FA0248"/>
    <w:rsid w:val="00FA22FE"/>
    <w:rsid w:val="00FA3085"/>
    <w:rsid w:val="00FA3212"/>
    <w:rsid w:val="00FA7912"/>
    <w:rsid w:val="00FB09C9"/>
    <w:rsid w:val="00FB2BF4"/>
    <w:rsid w:val="00FB7B94"/>
    <w:rsid w:val="00FC0DD3"/>
    <w:rsid w:val="00FD2599"/>
    <w:rsid w:val="00FD360E"/>
    <w:rsid w:val="00FE0B05"/>
    <w:rsid w:val="00FF0792"/>
    <w:rsid w:val="00FF25EA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308A7442"/>
  <w15:chartTrackingRefBased/>
  <w15:docId w15:val="{DA423B75-6C49-4F29-AE8D-05A3E59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C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B2BF4"/>
    <w:rPr>
      <w:i/>
      <w:iCs/>
    </w:rPr>
  </w:style>
  <w:style w:type="paragraph" w:styleId="Revision">
    <w:name w:val="Revision"/>
    <w:hidden/>
    <w:uiPriority w:val="99"/>
    <w:semiHidden/>
    <w:rsid w:val="001576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62"/>
  </w:style>
  <w:style w:type="paragraph" w:styleId="Footer">
    <w:name w:val="footer"/>
    <w:basedOn w:val="Normal"/>
    <w:link w:val="FooterChar"/>
    <w:uiPriority w:val="99"/>
    <w:unhideWhenUsed/>
    <w:rsid w:val="0019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62"/>
  </w:style>
  <w:style w:type="paragraph" w:styleId="BalloonText">
    <w:name w:val="Balloon Text"/>
    <w:basedOn w:val="Normal"/>
    <w:link w:val="BalloonTextChar"/>
    <w:uiPriority w:val="99"/>
    <w:semiHidden/>
    <w:unhideWhenUsed/>
    <w:rsid w:val="007E6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2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26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 D O C U M E N T S ! 5 3 5 6 9 8 6 2 . 1 < / d o c u m e n t i d >  
     < s e n d e r i d > P E R D I E < / s e n d e r i d >  
     < s e n d e r e m a i l > E L E N . P E R D I K O G I A N N I S @ A G S . G O V . A U < / s e n d e r e m a i l >  
     < l a s t m o d i f i e d > 2 0 2 5 - 0 1 - 0 2 T 1 3 : 4 0 : 0 0 . 0 0 0 0 0 0 0 + 1 1 : 0 0 < / l a s t m o d i f i e d >  
     < d a t a b a s e > D O C U M E N T S 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2381B7572137F4282888C1FF3296B2D" ma:contentTypeVersion="" ma:contentTypeDescription="PDMS Document Site Content Type" ma:contentTypeScope="" ma:versionID="f5b77f3f096a033268d552bb8c7073fc">
  <xsd:schema xmlns:xsd="http://www.w3.org/2001/XMLSchema" xmlns:xs="http://www.w3.org/2001/XMLSchema" xmlns:p="http://schemas.microsoft.com/office/2006/metadata/properties" xmlns:ns2="7D0A7FE4-F31B-413E-855C-F276F80D6836" targetNamespace="http://schemas.microsoft.com/office/2006/metadata/properties" ma:root="true" ma:fieldsID="0878e71a729265f5f98d14cb667ae080" ns2:_="">
    <xsd:import namespace="7D0A7FE4-F31B-413E-855C-F276F80D68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7FE4-F31B-413E-855C-F276F80D68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D0A7FE4-F31B-413E-855C-F276F80D6836" xsi:nil="true"/>
  </documentManagement>
</p:properties>
</file>

<file path=customXml/itemProps1.xml><?xml version="1.0" encoding="utf-8"?>
<ds:datastoreItem xmlns:ds="http://schemas.openxmlformats.org/officeDocument/2006/customXml" ds:itemID="{0D528472-F96B-4437-9261-C875C3FE505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5C2C359-8F83-41E2-B7E8-C034C93D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A7FE4-F31B-413E-855C-F276F80D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56927-EE33-44C4-B631-A4BE9B2B7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37357-FE4B-4BA2-A8C1-FC082EA48C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FAC0A1-74DE-4DFE-AC4E-85E6D3A5066D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D0A7FE4-F31B-413E-855C-F276F80D6836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2054</Words>
  <Characters>10931</Characters>
  <Application>Microsoft Office Word</Application>
  <DocSecurity>0</DocSecurity>
  <Lines>227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Devi</dc:creator>
  <cp:keywords>[SEC=OFFICIAL]</cp:keywords>
  <dc:description/>
  <cp:lastModifiedBy>Barr, Camilea</cp:lastModifiedBy>
  <cp:revision>15</cp:revision>
  <cp:lastPrinted>2024-12-31T12:16:00Z</cp:lastPrinted>
  <dcterms:created xsi:type="dcterms:W3CDTF">2025-06-16T04:36:00Z</dcterms:created>
  <dcterms:modified xsi:type="dcterms:W3CDTF">2025-06-18T04:26:00Z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v=2022.1;a=SHA256;h=7EE22D76C27521B26054A2D4C0E1B44226E44FAE60C7BBB844F3D790CE6D6794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2024-06-26T06:31:11Z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8B6CB5A9848E84D0E631D4EB8946627F84E6E83E430B1EC8EA9A5C494A9806DB</vt:lpwstr>
  </property>
  <property fmtid="{D5CDD505-2E9C-101B-9397-08002B2CF9AE}" pid="16" name="MSIP_Label_87d6481e-ccdd-4ab6-8b26-05a0df5699e7_SetDate">
    <vt:lpwstr>2024-06-26T06:31:11Z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aa06764e102741be8f5a427b60fce86f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00620598792B63AD93F06FB504F7309BFD250588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B05BAD37091E4E9DA12DFAB2BFD77BF3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6D89BF27BF73638B5F34D70C9FD18C00</vt:lpwstr>
  </property>
  <property fmtid="{D5CDD505-2E9C-101B-9397-08002B2CF9AE}" pid="32" name="PM_Hash_Salt">
    <vt:lpwstr>51705A3316E0FDE7DB991F190B82E64E</vt:lpwstr>
  </property>
  <property fmtid="{D5CDD505-2E9C-101B-9397-08002B2CF9AE}" pid="33" name="PM_Hash_SHA1">
    <vt:lpwstr>7CB4094F2F8EDD00BD97977328EDA65C55886D27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heckForSharePointFields">
    <vt:lpwstr>False</vt:lpwstr>
  </property>
  <property fmtid="{D5CDD505-2E9C-101B-9397-08002B2CF9AE}" pid="37" name="Template Filename">
    <vt:lpwstr/>
  </property>
  <property fmtid="{D5CDD505-2E9C-101B-9397-08002B2CF9AE}" pid="38" name="ObjectiveRef">
    <vt:lpwstr>Removed</vt:lpwstr>
  </property>
  <property fmtid="{D5CDD505-2E9C-101B-9397-08002B2CF9AE}" pid="39" name="iManageRef">
    <vt:lpwstr>Updated</vt:lpwstr>
  </property>
  <property fmtid="{D5CDD505-2E9C-101B-9397-08002B2CF9AE}" pid="40" name="LeadingLawyers">
    <vt:lpwstr>Removed</vt:lpwstr>
  </property>
  <property fmtid="{D5CDD505-2E9C-101B-9397-08002B2CF9AE}" pid="41" name="ContentTypeId">
    <vt:lpwstr>0x010100266966F133664895A6EE3632470D45F50032381B7572137F4282888C1FF3296B2D</vt:lpwstr>
  </property>
  <property fmtid="{D5CDD505-2E9C-101B-9397-08002B2CF9AE}" pid="42" name="TaxKeyword">
    <vt:lpwstr>17;#[SEC=OFFICIAL]|07351cc0-de73-4913-be2f-56f124cbf8bb</vt:lpwstr>
  </property>
  <property fmtid="{D5CDD505-2E9C-101B-9397-08002B2CF9AE}" pid="43" name="Initiating Entity">
    <vt:lpwstr>1;#Department of Finance|fd660e8f-8f31-49bd-92a3-d31d4da31afe</vt:lpwstr>
  </property>
  <property fmtid="{D5CDD505-2E9C-101B-9397-08002B2CF9AE}" pid="44" name="Organisation Unit">
    <vt:lpwstr>2;#Superannuation Policy and Governance|4085b8bc-bbe0-4d33-88c5-ab96d60919ab</vt:lpwstr>
  </property>
  <property fmtid="{D5CDD505-2E9C-101B-9397-08002B2CF9AE}" pid="45" name="_dlc_DocIdItemGuid">
    <vt:lpwstr>959af4ad-2f86-420c-b7ac-73c443d9e072</vt:lpwstr>
  </property>
  <property fmtid="{D5CDD505-2E9C-101B-9397-08002B2CF9AE}" pid="46" name="About Entity">
    <vt:lpwstr>1;#Department of Finance|fd660e8f-8f31-49bd-92a3-d31d4da31afe</vt:lpwstr>
  </property>
  <property fmtid="{D5CDD505-2E9C-101B-9397-08002B2CF9AE}" pid="47" name="Organisation_x0020_Unit">
    <vt:lpwstr>2;#Superannuation Policy and Governance|4085b8bc-bbe0-4d33-88c5-ab96d60919ab</vt:lpwstr>
  </property>
  <property fmtid="{D5CDD505-2E9C-101B-9397-08002B2CF9AE}" pid="48" name="MediaServiceImageTags">
    <vt:lpwstr/>
  </property>
  <property fmtid="{D5CDD505-2E9C-101B-9397-08002B2CF9AE}" pid="49" name="About_x0020_Entity">
    <vt:lpwstr>1;#Department of Finance|fd660e8f-8f31-49bd-92a3-d31d4da31afe</vt:lpwstr>
  </property>
  <property fmtid="{D5CDD505-2E9C-101B-9397-08002B2CF9AE}" pid="50" name="Initiating_x0020_Entity">
    <vt:lpwstr>1;#Department of Finance|fd660e8f-8f31-49bd-92a3-d31d4da31afe</vt:lpwstr>
  </property>
  <property fmtid="{D5CDD505-2E9C-101B-9397-08002B2CF9AE}" pid="51" name="Function and Activity">
    <vt:lpwstr/>
  </property>
  <property fmtid="{D5CDD505-2E9C-101B-9397-08002B2CF9AE}" pid="52" name="Function_x0020_and_x0020_Activity">
    <vt:lpwstr/>
  </property>
</Properties>
</file>