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A4EEDB" w14:textId="58107070" w:rsidR="00486185" w:rsidRDefault="00486185" w:rsidP="00682847">
      <w:pPr>
        <w:pStyle w:val="ActHead6"/>
        <w:jc w:val="center"/>
      </w:pPr>
      <w:r>
        <w:t>EXPLANATORY STATEMENT</w:t>
      </w:r>
    </w:p>
    <w:p w14:paraId="09B65707" w14:textId="2F56DC40" w:rsidR="00EB762A" w:rsidRPr="00EB762A" w:rsidRDefault="00EB762A" w:rsidP="00EB762A">
      <w:pPr>
        <w:pStyle w:val="Heading6"/>
        <w:jc w:val="center"/>
      </w:pPr>
      <w:bookmarkStart w:id="0" w:name="_GoBack"/>
      <w:bookmarkEnd w:id="0"/>
      <w:r w:rsidRPr="00EB762A">
        <w:t>Defence (Individual benefits) Determination (No. 10) 2025.</w:t>
      </w:r>
    </w:p>
    <w:p w14:paraId="383649D3" w14:textId="507833E7" w:rsidR="001E51FE" w:rsidRDefault="001E51FE" w:rsidP="00EC45EE">
      <w:pPr>
        <w:pStyle w:val="Sectiontext"/>
        <w:tabs>
          <w:tab w:val="left" w:pos="7380"/>
        </w:tabs>
      </w:pPr>
      <w:r w:rsidRPr="000D4FC9">
        <w:t xml:space="preserve">This Determination </w:t>
      </w:r>
      <w:proofErr w:type="gramStart"/>
      <w:r w:rsidR="003D173F">
        <w:t xml:space="preserve">is </w:t>
      </w:r>
      <w:r w:rsidRPr="000D4FC9">
        <w:t>made</w:t>
      </w:r>
      <w:proofErr w:type="gramEnd"/>
      <w:r w:rsidRPr="000D4FC9">
        <w:t xml:space="preserve"> under section 58B of the </w:t>
      </w:r>
      <w:r w:rsidR="00255473">
        <w:rPr>
          <w:i/>
        </w:rPr>
        <w:t>Defence Act 1903</w:t>
      </w:r>
      <w:r w:rsidR="00D516AD">
        <w:t xml:space="preserve"> </w:t>
      </w:r>
      <w:r w:rsidRPr="000D4FC9">
        <w:t xml:space="preserve">and in accordance with subsection 33(3) of the </w:t>
      </w:r>
      <w:r w:rsidRPr="00D84477">
        <w:rPr>
          <w:i/>
        </w:rPr>
        <w:t>Acts Interpretation Act 1901</w:t>
      </w:r>
      <w:r w:rsidR="00557413">
        <w:t xml:space="preserve"> (AI</w:t>
      </w:r>
      <w:r w:rsidRPr="000D4FC9">
        <w:t xml:space="preserve"> Act). </w:t>
      </w:r>
    </w:p>
    <w:p w14:paraId="15BAF105" w14:textId="7897381C" w:rsidR="001E51FE" w:rsidRPr="00255473" w:rsidRDefault="001E51FE" w:rsidP="001E51FE">
      <w:pPr>
        <w:pStyle w:val="Sectiontext"/>
        <w:tabs>
          <w:tab w:val="left" w:pos="7380"/>
        </w:tabs>
      </w:pPr>
      <w:r w:rsidRPr="000D4FC9">
        <w:t>Determinations made under section 58B of the Defence Act are disallowable legislative instruments</w:t>
      </w:r>
      <w:r>
        <w:t xml:space="preserve"> subject to the </w:t>
      </w:r>
      <w:r>
        <w:rPr>
          <w:i/>
        </w:rPr>
        <w:t>Legislation Act 2003</w:t>
      </w:r>
      <w:r>
        <w:t>. These instruments</w:t>
      </w:r>
      <w:r w:rsidRPr="000D4FC9">
        <w:t xml:space="preserve"> are </w:t>
      </w:r>
      <w:r>
        <w:t xml:space="preserve">also </w:t>
      </w:r>
      <w:r w:rsidRPr="000D4FC9">
        <w:t>subject to the interpret</w:t>
      </w:r>
      <w:r w:rsidR="00557413">
        <w:t>ation principles in the AI</w:t>
      </w:r>
      <w:r>
        <w:t xml:space="preserve"> Act</w:t>
      </w:r>
      <w:r w:rsidRPr="000D4FC9">
        <w:t xml:space="preserve">. </w:t>
      </w:r>
    </w:p>
    <w:p w14:paraId="41EF0E3E" w14:textId="28AD15E4" w:rsidR="00682847" w:rsidRDefault="00682847" w:rsidP="00682847">
      <w:pPr>
        <w:pStyle w:val="Sectiontext"/>
        <w:tabs>
          <w:tab w:val="left" w:pos="7380"/>
        </w:tabs>
        <w:jc w:val="center"/>
        <w:rPr>
          <w:b/>
        </w:rPr>
      </w:pPr>
      <w:r>
        <w:rPr>
          <w:b/>
        </w:rPr>
        <w:t>Purpose</w:t>
      </w:r>
    </w:p>
    <w:p w14:paraId="62203180" w14:textId="45E28DDD" w:rsidR="004E146B" w:rsidRDefault="004E146B" w:rsidP="004E146B">
      <w:pPr>
        <w:pStyle w:val="Sectiontext"/>
        <w:tabs>
          <w:tab w:val="left" w:pos="7380"/>
        </w:tabs>
      </w:pPr>
      <w:r w:rsidRPr="004E146B">
        <w:t xml:space="preserve">The purpose of this Determination </w:t>
      </w:r>
      <w:r w:rsidR="009855DE">
        <w:t xml:space="preserve">is to </w:t>
      </w:r>
      <w:r w:rsidRPr="004E146B">
        <w:t xml:space="preserve">make a home the member owns not to be a suitable own home due to the unique circumstances that apply. </w:t>
      </w:r>
    </w:p>
    <w:p w14:paraId="604AE69D" w14:textId="56219A10" w:rsidR="00682847" w:rsidRDefault="006422B7" w:rsidP="00682847">
      <w:pPr>
        <w:pStyle w:val="Sectiontext"/>
        <w:tabs>
          <w:tab w:val="left" w:pos="7380"/>
        </w:tabs>
        <w:jc w:val="center"/>
        <w:rPr>
          <w:b/>
        </w:rPr>
      </w:pPr>
      <w:r>
        <w:rPr>
          <w:b/>
        </w:rPr>
        <w:t>Operational d</w:t>
      </w:r>
      <w:r w:rsidR="00682847">
        <w:rPr>
          <w:b/>
        </w:rPr>
        <w:t>etails</w:t>
      </w:r>
    </w:p>
    <w:p w14:paraId="7EFA54F1" w14:textId="02F02193" w:rsidR="00682847" w:rsidRPr="00682847" w:rsidRDefault="00682847" w:rsidP="00682847">
      <w:pPr>
        <w:pStyle w:val="Sectiontext"/>
        <w:tabs>
          <w:tab w:val="left" w:pos="7380"/>
        </w:tabs>
      </w:pPr>
      <w:r>
        <w:t xml:space="preserve">Details of the operation of the Determination </w:t>
      </w:r>
      <w:proofErr w:type="gramStart"/>
      <w:r>
        <w:t>are provided</w:t>
      </w:r>
      <w:proofErr w:type="gramEnd"/>
      <w:r>
        <w:t xml:space="preserve"> at annex A.</w:t>
      </w:r>
    </w:p>
    <w:p w14:paraId="5CD30C56" w14:textId="7AFDE128" w:rsidR="00682847" w:rsidRPr="004E146B" w:rsidRDefault="00682847" w:rsidP="00EC45EE">
      <w:pPr>
        <w:pStyle w:val="Sectiontext"/>
        <w:tabs>
          <w:tab w:val="left" w:pos="7380"/>
        </w:tabs>
        <w:jc w:val="center"/>
        <w:rPr>
          <w:b/>
        </w:rPr>
      </w:pPr>
      <w:r w:rsidRPr="004E146B">
        <w:rPr>
          <w:b/>
        </w:rPr>
        <w:t>R</w:t>
      </w:r>
      <w:r w:rsidR="00AA0D47" w:rsidRPr="004E146B">
        <w:rPr>
          <w:b/>
        </w:rPr>
        <w:t>etrospective application</w:t>
      </w:r>
    </w:p>
    <w:p w14:paraId="5B5E109C" w14:textId="70B846A9" w:rsidR="00AA0D47" w:rsidRPr="004E146B" w:rsidRDefault="00AA0D47" w:rsidP="00AA0D47">
      <w:pPr>
        <w:pStyle w:val="Sectiontext"/>
        <w:tabs>
          <w:tab w:val="left" w:pos="7380"/>
        </w:tabs>
        <w:rPr>
          <w:b/>
        </w:rPr>
      </w:pPr>
      <w:r w:rsidRPr="004E146B">
        <w:t>The retrospective application of this Determination does not affect the rights of a person (other than the Commonwealth) in a manner prejudicial to that person, nor does it impose any liability on such person</w:t>
      </w:r>
      <w:r w:rsidR="00E81ECD" w:rsidRPr="004E146B">
        <w:t>.</w:t>
      </w:r>
    </w:p>
    <w:p w14:paraId="2A7303DD" w14:textId="77777777" w:rsidR="00AA0D47" w:rsidRPr="00172267" w:rsidRDefault="00AA0D47" w:rsidP="00AA0D47">
      <w:pPr>
        <w:pStyle w:val="Sectiontext"/>
        <w:jc w:val="center"/>
        <w:rPr>
          <w:b/>
          <w:snapToGrid w:val="0"/>
        </w:rPr>
      </w:pPr>
      <w:r w:rsidRPr="00172267">
        <w:rPr>
          <w:b/>
          <w:snapToGrid w:val="0"/>
        </w:rPr>
        <w:t>Human rights compatibility</w:t>
      </w:r>
    </w:p>
    <w:p w14:paraId="19681186" w14:textId="77777777" w:rsidR="00AA0D47" w:rsidRDefault="00AA0D47" w:rsidP="00AA0D47">
      <w:pPr>
        <w:pStyle w:val="Sectiontext"/>
        <w:rPr>
          <w:snapToGrid w:val="0"/>
        </w:rPr>
      </w:pPr>
      <w:r>
        <w:rPr>
          <w:snapToGrid w:val="0"/>
        </w:rPr>
        <w:t xml:space="preserve">The statement of compatibility </w:t>
      </w:r>
      <w:r w:rsidRPr="001739E7">
        <w:rPr>
          <w:snapToGrid w:val="0"/>
        </w:rPr>
        <w:t xml:space="preserve">under subsection 9(1) of the </w:t>
      </w:r>
      <w:r w:rsidRPr="001739E7">
        <w:rPr>
          <w:i/>
          <w:snapToGrid w:val="0"/>
        </w:rPr>
        <w:t>Human Righ</w:t>
      </w:r>
      <w:r>
        <w:rPr>
          <w:i/>
          <w:snapToGrid w:val="0"/>
        </w:rPr>
        <w:t>ts (Parliamentary Scrutiny) Act </w:t>
      </w:r>
      <w:r w:rsidRPr="001739E7">
        <w:rPr>
          <w:i/>
          <w:snapToGrid w:val="0"/>
        </w:rPr>
        <w:t>2011</w:t>
      </w:r>
      <w:r>
        <w:rPr>
          <w:snapToGrid w:val="0"/>
        </w:rPr>
        <w:t xml:space="preserve"> for this Determination is at annex B.</w:t>
      </w:r>
    </w:p>
    <w:p w14:paraId="48750C29" w14:textId="77777777" w:rsidR="00AA0D47" w:rsidRPr="00172267" w:rsidRDefault="00AA0D47" w:rsidP="00AA0D47">
      <w:pPr>
        <w:pStyle w:val="Sectiontext"/>
        <w:jc w:val="center"/>
        <w:rPr>
          <w:b/>
          <w:snapToGrid w:val="0"/>
        </w:rPr>
      </w:pPr>
      <w:r w:rsidRPr="00172267">
        <w:rPr>
          <w:b/>
          <w:snapToGrid w:val="0"/>
        </w:rPr>
        <w:t>Review options</w:t>
      </w:r>
    </w:p>
    <w:p w14:paraId="4D604980" w14:textId="663178BF" w:rsidR="00AA0D47" w:rsidRDefault="00AA0D47" w:rsidP="00AA0D47">
      <w:pPr>
        <w:pStyle w:val="Sectiontext"/>
        <w:rPr>
          <w:snapToGrid w:val="0"/>
        </w:rPr>
      </w:pPr>
      <w:r w:rsidRPr="00F46ABF">
        <w:rPr>
          <w:snapToGrid w:val="0"/>
        </w:rPr>
        <w:t xml:space="preserve">Decisions that </w:t>
      </w:r>
      <w:proofErr w:type="gramStart"/>
      <w:r w:rsidRPr="00F46ABF">
        <w:rPr>
          <w:snapToGrid w:val="0"/>
        </w:rPr>
        <w:t>are made</w:t>
      </w:r>
      <w:proofErr w:type="gramEnd"/>
      <w:r w:rsidRPr="00F46ABF">
        <w:rPr>
          <w:snapToGrid w:val="0"/>
        </w:rPr>
        <w:t xml:space="preserve"> under </w:t>
      </w:r>
      <w:r w:rsidR="00E3356A">
        <w:rPr>
          <w:snapToGrid w:val="0"/>
        </w:rPr>
        <w:t xml:space="preserve">this Determination </w:t>
      </w:r>
      <w:r w:rsidRPr="00F46ABF">
        <w:rPr>
          <w:snapToGrid w:val="0"/>
        </w:rPr>
        <w:t xml:space="preserve">may be subject to inquiry under the ADF redress of grievance system provided under Part 7 of </w:t>
      </w:r>
      <w:r w:rsidRPr="00255473">
        <w:rPr>
          <w:snapToGrid w:val="0"/>
        </w:rPr>
        <w:t xml:space="preserve">the Defence Regulation. </w:t>
      </w:r>
      <w:proofErr w:type="gramStart"/>
      <w:r w:rsidRPr="00255473">
        <w:rPr>
          <w:snapToGrid w:val="0"/>
        </w:rPr>
        <w:t>Also</w:t>
      </w:r>
      <w:proofErr w:type="gramEnd"/>
      <w:r w:rsidRPr="00255473">
        <w:rPr>
          <w:snapToGrid w:val="0"/>
        </w:rPr>
        <w:t xml:space="preserve">, a </w:t>
      </w:r>
      <w:r w:rsidRPr="00F46ABF">
        <w:rPr>
          <w:snapToGrid w:val="0"/>
        </w:rPr>
        <w:t>person may make a complaint to the Defence Force Ombudsman.</w:t>
      </w:r>
    </w:p>
    <w:p w14:paraId="047973A2" w14:textId="77777777" w:rsidR="00AA0D47" w:rsidRPr="0021243D" w:rsidRDefault="00AA0D47" w:rsidP="00AA0D47">
      <w:pPr>
        <w:pStyle w:val="Sectiontext"/>
        <w:jc w:val="center"/>
        <w:rPr>
          <w:rFonts w:cs="Arial"/>
          <w:snapToGrid w:val="0"/>
          <w:color w:val="000000"/>
        </w:rPr>
      </w:pPr>
      <w:r w:rsidRPr="0021243D">
        <w:rPr>
          <w:rFonts w:cs="Arial"/>
          <w:b/>
          <w:color w:val="000000"/>
        </w:rPr>
        <w:t>Consultation</w:t>
      </w:r>
    </w:p>
    <w:p w14:paraId="3E30BDC2" w14:textId="3F2D2444" w:rsidR="00AA0D47" w:rsidRDefault="00AA0D47" w:rsidP="00AA0D47">
      <w:pPr>
        <w:pStyle w:val="Sectiontext"/>
        <w:rPr>
          <w:snapToGrid w:val="0"/>
        </w:rPr>
      </w:pPr>
      <w:r>
        <w:rPr>
          <w:snapToGrid w:val="0"/>
        </w:rPr>
        <w:t>Bef</w:t>
      </w:r>
      <w:r w:rsidR="00C40348">
        <w:rPr>
          <w:snapToGrid w:val="0"/>
        </w:rPr>
        <w:t xml:space="preserve">ore this Determination </w:t>
      </w:r>
      <w:proofErr w:type="gramStart"/>
      <w:r w:rsidR="00C40348">
        <w:rPr>
          <w:snapToGrid w:val="0"/>
        </w:rPr>
        <w:t>was made</w:t>
      </w:r>
      <w:proofErr w:type="gramEnd"/>
      <w:r>
        <w:rPr>
          <w:snapToGrid w:val="0"/>
        </w:rPr>
        <w:t>, the consultation was undertaken</w:t>
      </w:r>
      <w:r w:rsidR="00E81ECD">
        <w:rPr>
          <w:snapToGrid w:val="0"/>
        </w:rPr>
        <w:t xml:space="preserve"> with</w:t>
      </w:r>
      <w:r w:rsidR="009855DE">
        <w:rPr>
          <w:snapToGrid w:val="0"/>
        </w:rPr>
        <w:t xml:space="preserve"> the Directorate of Relocations</w:t>
      </w:r>
      <w:r w:rsidR="004E146B">
        <w:rPr>
          <w:snapToGrid w:val="0"/>
        </w:rPr>
        <w:t xml:space="preserve"> and Housing and the Directorate of Personnel Policy Operations. </w:t>
      </w:r>
    </w:p>
    <w:p w14:paraId="064A18AC" w14:textId="68FDDE12" w:rsidR="00C72AFD" w:rsidRPr="00A575F1" w:rsidRDefault="00C72AFD" w:rsidP="00C72AFD">
      <w:pPr>
        <w:pStyle w:val="Sectiontext"/>
        <w:rPr>
          <w:snapToGrid w:val="0"/>
        </w:rPr>
      </w:pPr>
      <w:r w:rsidRPr="00A575F1">
        <w:rPr>
          <w:snapToGrid w:val="0"/>
        </w:rPr>
        <w:t>Th</w:t>
      </w:r>
      <w:r w:rsidR="00C40348">
        <w:rPr>
          <w:snapToGrid w:val="0"/>
        </w:rPr>
        <w:t>e rule maker was satisfied that</w:t>
      </w:r>
      <w:r>
        <w:rPr>
          <w:snapToGrid w:val="0"/>
        </w:rPr>
        <w:t xml:space="preserve"> further</w:t>
      </w:r>
      <w:r w:rsidRPr="00A575F1">
        <w:rPr>
          <w:snapToGrid w:val="0"/>
        </w:rPr>
        <w:t xml:space="preserve"> consultation was not required</w:t>
      </w:r>
      <w:r>
        <w:rPr>
          <w:snapToGrid w:val="0"/>
        </w:rPr>
        <w:t>.</w:t>
      </w:r>
    </w:p>
    <w:p w14:paraId="717E9E4E" w14:textId="77777777" w:rsidR="00AA0D47" w:rsidRDefault="00AA0D47" w:rsidP="00AA0D47">
      <w:pPr>
        <w:pStyle w:val="Sectiont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AA0D47" w14:paraId="70C43414" w14:textId="77777777" w:rsidTr="00E817E9">
        <w:tc>
          <w:tcPr>
            <w:tcW w:w="4672" w:type="dxa"/>
          </w:tcPr>
          <w:p w14:paraId="218C04DB" w14:textId="77777777" w:rsidR="00AA0D47" w:rsidRDefault="00AA0D47" w:rsidP="00E817E9">
            <w:pPr>
              <w:keepNext/>
              <w:jc w:val="right"/>
              <w:rPr>
                <w:rFonts w:ascii="Arial" w:hAnsi="Arial" w:cs="Arial"/>
                <w:b/>
                <w:sz w:val="20"/>
              </w:rPr>
            </w:pPr>
            <w:r>
              <w:rPr>
                <w:rFonts w:ascii="Arial" w:hAnsi="Arial" w:cs="Arial"/>
                <w:b/>
                <w:sz w:val="20"/>
              </w:rPr>
              <w:t>Approved by:</w:t>
            </w:r>
          </w:p>
        </w:tc>
        <w:tc>
          <w:tcPr>
            <w:tcW w:w="4673" w:type="dxa"/>
          </w:tcPr>
          <w:p w14:paraId="13A31C67" w14:textId="1B857971" w:rsidR="00AA0D47" w:rsidRPr="00BE28F0" w:rsidRDefault="004E146B" w:rsidP="00E817E9">
            <w:pPr>
              <w:keepNext/>
              <w:jc w:val="right"/>
              <w:rPr>
                <w:rFonts w:ascii="Arial" w:hAnsi="Arial" w:cs="Arial"/>
                <w:b/>
                <w:sz w:val="20"/>
              </w:rPr>
            </w:pPr>
            <w:r>
              <w:rPr>
                <w:rFonts w:ascii="Arial" w:hAnsi="Arial" w:cs="Arial"/>
                <w:b/>
                <w:sz w:val="20"/>
              </w:rPr>
              <w:t>Sarah Kate McGregor</w:t>
            </w:r>
          </w:p>
          <w:p w14:paraId="738562E6" w14:textId="68978993" w:rsidR="00AA0D47" w:rsidRDefault="004E146B" w:rsidP="00E817E9">
            <w:pPr>
              <w:keepNext/>
              <w:jc w:val="right"/>
              <w:rPr>
                <w:rFonts w:ascii="Arial" w:hAnsi="Arial" w:cs="Arial"/>
                <w:sz w:val="20"/>
              </w:rPr>
            </w:pPr>
            <w:r>
              <w:rPr>
                <w:rFonts w:ascii="Arial" w:hAnsi="Arial" w:cs="Arial"/>
                <w:sz w:val="20"/>
              </w:rPr>
              <w:t xml:space="preserve">Acting </w:t>
            </w:r>
            <w:r w:rsidR="00255473">
              <w:rPr>
                <w:rFonts w:ascii="Arial" w:hAnsi="Arial" w:cs="Arial"/>
                <w:sz w:val="20"/>
              </w:rPr>
              <w:t>Director General</w:t>
            </w:r>
          </w:p>
          <w:p w14:paraId="5F2FF655" w14:textId="77777777" w:rsidR="00AA0D47" w:rsidRPr="00263C24" w:rsidRDefault="00AA0D47" w:rsidP="00E817E9">
            <w:pPr>
              <w:keepNext/>
              <w:jc w:val="right"/>
              <w:rPr>
                <w:rFonts w:ascii="Arial" w:hAnsi="Arial" w:cs="Arial"/>
                <w:sz w:val="20"/>
              </w:rPr>
            </w:pPr>
            <w:r w:rsidRPr="00263C24">
              <w:rPr>
                <w:rFonts w:ascii="Arial" w:hAnsi="Arial" w:cs="Arial"/>
                <w:sz w:val="20"/>
              </w:rPr>
              <w:t>People Policy and Employment Conditions</w:t>
            </w:r>
          </w:p>
          <w:p w14:paraId="4E0A008E" w14:textId="77777777" w:rsidR="00AA0D47" w:rsidRDefault="00AA0D47" w:rsidP="00E817E9">
            <w:pPr>
              <w:keepNext/>
              <w:jc w:val="right"/>
              <w:rPr>
                <w:rFonts w:ascii="Arial" w:hAnsi="Arial" w:cs="Arial"/>
                <w:b/>
                <w:sz w:val="20"/>
              </w:rPr>
            </w:pPr>
          </w:p>
        </w:tc>
      </w:tr>
      <w:tr w:rsidR="00AA0D47" w:rsidRPr="006109CE" w14:paraId="2232ED17" w14:textId="77777777" w:rsidTr="00E817E9">
        <w:tc>
          <w:tcPr>
            <w:tcW w:w="4672" w:type="dxa"/>
          </w:tcPr>
          <w:p w14:paraId="320EE412" w14:textId="77777777" w:rsidR="00AA0D47" w:rsidRPr="006109CE" w:rsidRDefault="00AA0D47" w:rsidP="00E817E9">
            <w:pPr>
              <w:keepNext/>
              <w:jc w:val="right"/>
              <w:rPr>
                <w:rFonts w:ascii="Arial" w:hAnsi="Arial" w:cs="Arial"/>
                <w:b/>
                <w:sz w:val="20"/>
              </w:rPr>
            </w:pPr>
            <w:r w:rsidRPr="006109CE">
              <w:rPr>
                <w:rFonts w:ascii="Arial" w:hAnsi="Arial" w:cs="Arial"/>
                <w:b/>
                <w:sz w:val="20"/>
              </w:rPr>
              <w:t>Authority:</w:t>
            </w:r>
          </w:p>
        </w:tc>
        <w:tc>
          <w:tcPr>
            <w:tcW w:w="4673" w:type="dxa"/>
          </w:tcPr>
          <w:p w14:paraId="0050434F" w14:textId="77777777" w:rsidR="00AA0D47" w:rsidRPr="006109CE" w:rsidRDefault="00AA0D47" w:rsidP="00E817E9">
            <w:pPr>
              <w:keepNext/>
              <w:jc w:val="right"/>
              <w:rPr>
                <w:rFonts w:ascii="Arial" w:hAnsi="Arial" w:cs="Arial"/>
                <w:b/>
                <w:sz w:val="20"/>
              </w:rPr>
            </w:pPr>
            <w:r w:rsidRPr="006109CE">
              <w:rPr>
                <w:rFonts w:ascii="Arial" w:hAnsi="Arial" w:cs="Arial"/>
                <w:sz w:val="20"/>
              </w:rPr>
              <w:t xml:space="preserve">Section 58B of the </w:t>
            </w:r>
            <w:r w:rsidRPr="006109CE">
              <w:rPr>
                <w:rFonts w:ascii="Arial" w:hAnsi="Arial" w:cs="Arial"/>
                <w:sz w:val="20"/>
              </w:rPr>
              <w:br/>
            </w:r>
            <w:r w:rsidRPr="006109CE">
              <w:rPr>
                <w:rFonts w:ascii="Arial" w:hAnsi="Arial" w:cs="Arial"/>
                <w:i/>
                <w:sz w:val="20"/>
              </w:rPr>
              <w:t>Defence Act 1903</w:t>
            </w:r>
          </w:p>
        </w:tc>
      </w:tr>
    </w:tbl>
    <w:p w14:paraId="5A00904B" w14:textId="77777777" w:rsidR="00AA0D47" w:rsidRDefault="00AA0D47" w:rsidP="001E51FE">
      <w:pPr>
        <w:pStyle w:val="Sectiontext"/>
        <w:rPr>
          <w:snapToGrid w:val="0"/>
        </w:rPr>
      </w:pPr>
    </w:p>
    <w:p w14:paraId="750CC8D9" w14:textId="77777777" w:rsidR="00AA0D47" w:rsidRDefault="00AA0D47">
      <w:pPr>
        <w:spacing w:line="240" w:lineRule="auto"/>
        <w:rPr>
          <w:rFonts w:ascii="Arial" w:eastAsia="Times New Roman" w:hAnsi="Arial" w:cs="Times New Roman"/>
          <w:snapToGrid w:val="0"/>
          <w:sz w:val="20"/>
          <w:lang w:eastAsia="en-AU"/>
        </w:rPr>
      </w:pPr>
      <w:r>
        <w:rPr>
          <w:snapToGrid w:val="0"/>
        </w:rPr>
        <w:br w:type="page"/>
      </w:r>
    </w:p>
    <w:p w14:paraId="6DB2C115" w14:textId="5D540EB7" w:rsidR="00AA0D47" w:rsidRPr="00737505" w:rsidRDefault="00AA0D47" w:rsidP="00AA0D47">
      <w:pPr>
        <w:pStyle w:val="Sectiontext"/>
        <w:jc w:val="right"/>
        <w:rPr>
          <w:b/>
          <w:snapToGrid w:val="0"/>
        </w:rPr>
      </w:pPr>
      <w:r w:rsidRPr="00737505">
        <w:rPr>
          <w:b/>
          <w:snapToGrid w:val="0"/>
        </w:rPr>
        <w:lastRenderedPageBreak/>
        <w:t>Annex A</w:t>
      </w:r>
    </w:p>
    <w:p w14:paraId="43253389" w14:textId="3D5C4683" w:rsidR="00417CDA" w:rsidRDefault="004E146B" w:rsidP="00AA0D47">
      <w:pPr>
        <w:pStyle w:val="Sectiontext"/>
        <w:jc w:val="center"/>
        <w:rPr>
          <w:b/>
          <w:bCs/>
          <w:i/>
          <w:noProof/>
          <w:snapToGrid w:val="0"/>
          <w:lang w:val="en-US"/>
        </w:rPr>
      </w:pPr>
      <w:r w:rsidRPr="004E146B">
        <w:rPr>
          <w:b/>
          <w:bCs/>
          <w:i/>
          <w:noProof/>
          <w:snapToGrid w:val="0"/>
          <w:lang w:val="en-US"/>
        </w:rPr>
        <w:t xml:space="preserve">Defence (Individual </w:t>
      </w:r>
      <w:r w:rsidR="00D01DFD">
        <w:rPr>
          <w:b/>
          <w:bCs/>
          <w:i/>
          <w:noProof/>
          <w:snapToGrid w:val="0"/>
          <w:lang w:val="en-US"/>
        </w:rPr>
        <w:t xml:space="preserve">benefits) Determination (No. </w:t>
      </w:r>
      <w:r w:rsidR="00A93703">
        <w:rPr>
          <w:b/>
          <w:bCs/>
          <w:i/>
          <w:noProof/>
          <w:snapToGrid w:val="0"/>
          <w:lang w:val="en-US"/>
        </w:rPr>
        <w:t>10</w:t>
      </w:r>
      <w:r w:rsidRPr="004E146B">
        <w:rPr>
          <w:b/>
          <w:bCs/>
          <w:i/>
          <w:noProof/>
          <w:snapToGrid w:val="0"/>
          <w:lang w:val="en-US"/>
        </w:rPr>
        <w:t>) 2025.</w:t>
      </w:r>
    </w:p>
    <w:p w14:paraId="1CBBBDEE" w14:textId="4FA33496" w:rsidR="00AA0D47" w:rsidRDefault="00AA0D47" w:rsidP="00AA0D47">
      <w:pPr>
        <w:pStyle w:val="Sectiontext"/>
        <w:jc w:val="center"/>
        <w:rPr>
          <w:b/>
          <w:bCs/>
          <w:i/>
          <w:noProof/>
          <w:snapToGrid w:val="0"/>
          <w:lang w:val="en-US"/>
        </w:rPr>
      </w:pPr>
      <w:r w:rsidRPr="001739E7">
        <w:rPr>
          <w:b/>
          <w:bCs/>
          <w:i/>
          <w:noProof/>
          <w:snapToGrid w:val="0"/>
          <w:lang w:val="en-US"/>
        </w:rPr>
        <w:t>Operational details</w:t>
      </w:r>
    </w:p>
    <w:p w14:paraId="02DC0CEE" w14:textId="77777777" w:rsidR="00AA0D47" w:rsidRDefault="00AA0D47" w:rsidP="00AA0D47">
      <w:pPr>
        <w:pStyle w:val="Sectiontext"/>
        <w:rPr>
          <w:snapToGrid w:val="0"/>
        </w:rPr>
      </w:pPr>
      <w:r>
        <w:rPr>
          <w:snapToGrid w:val="0"/>
        </w:rPr>
        <w:t xml:space="preserve">Section 1 of this Determination sets out the manner in which this Determination </w:t>
      </w:r>
      <w:proofErr w:type="gramStart"/>
      <w:r>
        <w:rPr>
          <w:snapToGrid w:val="0"/>
        </w:rPr>
        <w:t>may be cited</w:t>
      </w:r>
      <w:proofErr w:type="gramEnd"/>
      <w:r>
        <w:rPr>
          <w:snapToGrid w:val="0"/>
        </w:rPr>
        <w:t>.</w:t>
      </w:r>
    </w:p>
    <w:p w14:paraId="4EE8C121" w14:textId="55771406" w:rsidR="00AA0D47" w:rsidRDefault="00AA0D47" w:rsidP="00AA0D47">
      <w:pPr>
        <w:pStyle w:val="Sectiontext"/>
        <w:rPr>
          <w:snapToGrid w:val="0"/>
        </w:rPr>
      </w:pPr>
      <w:r w:rsidRPr="00263C24">
        <w:rPr>
          <w:snapToGrid w:val="0"/>
        </w:rPr>
        <w:t xml:space="preserve">Section 2 provides </w:t>
      </w:r>
      <w:r w:rsidR="000B54A3">
        <w:rPr>
          <w:snapToGrid w:val="0"/>
        </w:rPr>
        <w:t xml:space="preserve">that </w:t>
      </w:r>
      <w:r w:rsidRPr="00263C24">
        <w:rPr>
          <w:snapToGrid w:val="0"/>
        </w:rPr>
        <w:t xml:space="preserve">the </w:t>
      </w:r>
      <w:r w:rsidR="00E3356A">
        <w:rPr>
          <w:snapToGrid w:val="0"/>
        </w:rPr>
        <w:t>Determination</w:t>
      </w:r>
      <w:r w:rsidR="004E146B">
        <w:rPr>
          <w:snapToGrid w:val="0"/>
        </w:rPr>
        <w:t xml:space="preserve"> </w:t>
      </w:r>
      <w:proofErr w:type="gramStart"/>
      <w:r w:rsidR="004E146B">
        <w:rPr>
          <w:snapToGrid w:val="0"/>
        </w:rPr>
        <w:t>commences</w:t>
      </w:r>
      <w:proofErr w:type="gramEnd"/>
      <w:r w:rsidR="004E146B">
        <w:rPr>
          <w:snapToGrid w:val="0"/>
        </w:rPr>
        <w:t xml:space="preserve"> on the day after it is registered. </w:t>
      </w:r>
    </w:p>
    <w:p w14:paraId="66C3A9CC" w14:textId="523AAA89" w:rsidR="001E51FE" w:rsidRDefault="001E51FE" w:rsidP="001E51FE">
      <w:pPr>
        <w:pStyle w:val="Sectiontext"/>
        <w:rPr>
          <w:snapToGrid w:val="0"/>
        </w:rPr>
      </w:pPr>
      <w:r>
        <w:rPr>
          <w:snapToGrid w:val="0"/>
        </w:rPr>
        <w:t xml:space="preserve">Section 3 provides that </w:t>
      </w:r>
      <w:r w:rsidR="000B54A3">
        <w:rPr>
          <w:snapToGrid w:val="0"/>
        </w:rPr>
        <w:t>the</w:t>
      </w:r>
      <w:r>
        <w:rPr>
          <w:snapToGrid w:val="0"/>
        </w:rPr>
        <w:t xml:space="preserve"> </w:t>
      </w:r>
      <w:r w:rsidR="00E3356A">
        <w:rPr>
          <w:snapToGrid w:val="0"/>
        </w:rPr>
        <w:t>Determination</w:t>
      </w:r>
      <w:r>
        <w:rPr>
          <w:snapToGrid w:val="0"/>
        </w:rPr>
        <w:t xml:space="preserve"> </w:t>
      </w:r>
      <w:proofErr w:type="gramStart"/>
      <w:r>
        <w:rPr>
          <w:snapToGrid w:val="0"/>
        </w:rPr>
        <w:t>has</w:t>
      </w:r>
      <w:proofErr w:type="gramEnd"/>
      <w:r>
        <w:rPr>
          <w:snapToGrid w:val="0"/>
        </w:rPr>
        <w:t xml:space="preserve"> authority under section 58B of the </w:t>
      </w:r>
      <w:r w:rsidRPr="00FA083A">
        <w:rPr>
          <w:snapToGrid w:val="0"/>
        </w:rPr>
        <w:t>Defence Act</w:t>
      </w:r>
      <w:r>
        <w:rPr>
          <w:snapToGrid w:val="0"/>
        </w:rPr>
        <w:t>.</w:t>
      </w:r>
    </w:p>
    <w:p w14:paraId="0B5D23D9" w14:textId="77777777" w:rsidR="00A93703" w:rsidRDefault="00A93703" w:rsidP="00A93703">
      <w:pPr>
        <w:pStyle w:val="Sectiontext"/>
        <w:rPr>
          <w:snapToGrid w:val="0"/>
        </w:rPr>
      </w:pPr>
      <w:r w:rsidRPr="00194BD6">
        <w:rPr>
          <w:snapToGrid w:val="0"/>
        </w:rPr>
        <w:t xml:space="preserve">Section 4 provides that each instrument that </w:t>
      </w:r>
      <w:proofErr w:type="gramStart"/>
      <w:r w:rsidRPr="00194BD6">
        <w:rPr>
          <w:snapToGrid w:val="0"/>
        </w:rPr>
        <w:t>is specified</w:t>
      </w:r>
      <w:proofErr w:type="gramEnd"/>
      <w:r w:rsidRPr="00194BD6">
        <w:rPr>
          <w:snapToGrid w:val="0"/>
        </w:rPr>
        <w:t xml:space="preserve"> in a Schedule to this instrument is amended or repealed as set out in the applicable items in the Schedule concerned, and any other item in a Schedule to this instrument has effect according to its terms.</w:t>
      </w:r>
    </w:p>
    <w:p w14:paraId="7E39EDB8" w14:textId="1CF09074" w:rsidR="004E146B" w:rsidRDefault="00A93703" w:rsidP="001E51FE">
      <w:pPr>
        <w:pStyle w:val="Sectiontext"/>
      </w:pPr>
      <w:r>
        <w:rPr>
          <w:snapToGrid w:val="0"/>
        </w:rPr>
        <w:t>Section 5</w:t>
      </w:r>
      <w:r w:rsidR="004E146B">
        <w:rPr>
          <w:snapToGrid w:val="0"/>
        </w:rPr>
        <w:t xml:space="preserve"> provides the purpose of the Determination, which is to </w:t>
      </w:r>
      <w:r w:rsidR="004E146B">
        <w:t>make a home the member owns not a suitable own home due to the unique circumstances that apply.</w:t>
      </w:r>
    </w:p>
    <w:p w14:paraId="27F605C1" w14:textId="7BA813A8" w:rsidR="004E146B" w:rsidRDefault="00A93703" w:rsidP="001E51FE">
      <w:pPr>
        <w:pStyle w:val="Sectiontext"/>
      </w:pPr>
      <w:r>
        <w:t>Section 6</w:t>
      </w:r>
      <w:r w:rsidR="004E146B">
        <w:t xml:space="preserve"> provides that the Determination </w:t>
      </w:r>
      <w:proofErr w:type="gramStart"/>
      <w:r w:rsidR="004E146B">
        <w:t>applies</w:t>
      </w:r>
      <w:proofErr w:type="gramEnd"/>
      <w:r w:rsidR="004E146B">
        <w:t xml:space="preserve"> to the member who holds employee identification number </w:t>
      </w:r>
      <w:r w:rsidR="004E146B" w:rsidRPr="004E146B">
        <w:t>8559423</w:t>
      </w:r>
      <w:r w:rsidR="004E146B">
        <w:t xml:space="preserve"> during the period starting on 12 July 2024 and ending on 30 June 2026.</w:t>
      </w:r>
    </w:p>
    <w:p w14:paraId="02C0AE4A" w14:textId="60B04B43" w:rsidR="004E146B" w:rsidRDefault="00A93703" w:rsidP="001E51FE">
      <w:pPr>
        <w:pStyle w:val="Sectiontext"/>
        <w:rPr>
          <w:snapToGrid w:val="0"/>
        </w:rPr>
      </w:pPr>
      <w:r>
        <w:rPr>
          <w:snapToGrid w:val="0"/>
        </w:rPr>
        <w:t>Section 7</w:t>
      </w:r>
      <w:r w:rsidR="00E3356A">
        <w:rPr>
          <w:snapToGrid w:val="0"/>
        </w:rPr>
        <w:t xml:space="preserve"> defines “</w:t>
      </w:r>
      <w:r w:rsidR="004E146B">
        <w:rPr>
          <w:snapToGrid w:val="0"/>
        </w:rPr>
        <w:t xml:space="preserve">Defence Determination” for the purpose of the Determination as </w:t>
      </w:r>
      <w:r w:rsidR="004E146B" w:rsidRPr="004E146B">
        <w:rPr>
          <w:snapToGrid w:val="0"/>
        </w:rPr>
        <w:t>mean</w:t>
      </w:r>
      <w:r w:rsidR="004E146B">
        <w:rPr>
          <w:snapToGrid w:val="0"/>
        </w:rPr>
        <w:t>ing</w:t>
      </w:r>
      <w:r w:rsidR="004E146B" w:rsidRPr="004E146B">
        <w:rPr>
          <w:snapToGrid w:val="0"/>
        </w:rPr>
        <w:t xml:space="preserve"> </w:t>
      </w:r>
      <w:r w:rsidR="004E146B" w:rsidRPr="004E146B">
        <w:rPr>
          <w:i/>
          <w:snapToGrid w:val="0"/>
        </w:rPr>
        <w:t>Defence Determination 2016/19, Conditions of service</w:t>
      </w:r>
      <w:r w:rsidR="004E146B" w:rsidRPr="004E146B">
        <w:rPr>
          <w:snapToGrid w:val="0"/>
        </w:rPr>
        <w:t>, as in force from time to time.</w:t>
      </w:r>
    </w:p>
    <w:p w14:paraId="430C7088" w14:textId="610F79CA" w:rsidR="004E146B" w:rsidRDefault="00A93703" w:rsidP="001E51FE">
      <w:pPr>
        <w:pStyle w:val="Sectiontext"/>
        <w:rPr>
          <w:snapToGrid w:val="0"/>
        </w:rPr>
      </w:pPr>
      <w:r>
        <w:rPr>
          <w:snapToGrid w:val="0"/>
        </w:rPr>
        <w:t>Section 8</w:t>
      </w:r>
      <w:r w:rsidR="009855DE">
        <w:rPr>
          <w:snapToGrid w:val="0"/>
        </w:rPr>
        <w:t xml:space="preserve"> provides</w:t>
      </w:r>
      <w:r w:rsidR="004E146B">
        <w:rPr>
          <w:snapToGrid w:val="0"/>
        </w:rPr>
        <w:t xml:space="preserve"> that the </w:t>
      </w:r>
      <w:r w:rsidR="000704E9">
        <w:rPr>
          <w:snapToGrid w:val="0"/>
        </w:rPr>
        <w:t xml:space="preserve">member’s home on </w:t>
      </w:r>
      <w:r w:rsidR="004E146B" w:rsidRPr="004E146B">
        <w:rPr>
          <w:snapToGrid w:val="0"/>
        </w:rPr>
        <w:t>Scarborough Close, Port Macquarie, New South Wales, is not a suitable own home.</w:t>
      </w:r>
    </w:p>
    <w:p w14:paraId="452E13A0" w14:textId="75C99EF1" w:rsidR="007D25F1" w:rsidRPr="004E146B" w:rsidRDefault="00A93703" w:rsidP="001E51FE">
      <w:pPr>
        <w:pStyle w:val="Sectiontext"/>
        <w:rPr>
          <w:snapToGrid w:val="0"/>
        </w:rPr>
      </w:pPr>
      <w:r>
        <w:rPr>
          <w:snapToGrid w:val="0"/>
        </w:rPr>
        <w:t>Section 9</w:t>
      </w:r>
      <w:r w:rsidR="007D25F1">
        <w:rPr>
          <w:snapToGrid w:val="0"/>
        </w:rPr>
        <w:t xml:space="preserve"> provides that the Determination </w:t>
      </w:r>
      <w:proofErr w:type="gramStart"/>
      <w:r w:rsidR="007D25F1">
        <w:rPr>
          <w:snapToGrid w:val="0"/>
        </w:rPr>
        <w:t>is</w:t>
      </w:r>
      <w:proofErr w:type="gramEnd"/>
      <w:r w:rsidR="007D25F1">
        <w:rPr>
          <w:snapToGrid w:val="0"/>
        </w:rPr>
        <w:t xml:space="preserve"> </w:t>
      </w:r>
      <w:r w:rsidR="00025BFA">
        <w:rPr>
          <w:snapToGrid w:val="0"/>
        </w:rPr>
        <w:t xml:space="preserve">repealed </w:t>
      </w:r>
      <w:r w:rsidR="007D25F1">
        <w:rPr>
          <w:snapToGrid w:val="0"/>
        </w:rPr>
        <w:t>on 1 July 2026.</w:t>
      </w:r>
    </w:p>
    <w:p w14:paraId="15B8EEC9" w14:textId="15D24958" w:rsidR="00A93703" w:rsidRDefault="00A93703" w:rsidP="00A93703">
      <w:pPr>
        <w:pStyle w:val="Sectiontext"/>
        <w:rPr>
          <w:i/>
          <w:snapToGrid w:val="0"/>
          <w:u w:val="single"/>
        </w:rPr>
      </w:pPr>
      <w:r>
        <w:rPr>
          <w:i/>
          <w:snapToGrid w:val="0"/>
          <w:u w:val="single"/>
        </w:rPr>
        <w:t>Schedule 1</w:t>
      </w:r>
      <w:r>
        <w:rPr>
          <w:rFonts w:cs="Arial"/>
          <w:i/>
          <w:snapToGrid w:val="0"/>
          <w:u w:val="single"/>
        </w:rPr>
        <w:t>—</w:t>
      </w:r>
      <w:r>
        <w:rPr>
          <w:i/>
          <w:snapToGrid w:val="0"/>
          <w:u w:val="single"/>
        </w:rPr>
        <w:t>Repeals</w:t>
      </w:r>
    </w:p>
    <w:p w14:paraId="3F5481A9" w14:textId="4DC7A923" w:rsidR="00A93703" w:rsidRPr="00A93703" w:rsidRDefault="00A93703" w:rsidP="00A93703">
      <w:pPr>
        <w:pStyle w:val="Sectiontext"/>
        <w:rPr>
          <w:snapToGrid w:val="0"/>
        </w:rPr>
      </w:pPr>
      <w:r>
        <w:rPr>
          <w:snapToGrid w:val="0"/>
        </w:rPr>
        <w:t xml:space="preserve">Item </w:t>
      </w:r>
      <w:proofErr w:type="gramStart"/>
      <w:r>
        <w:rPr>
          <w:snapToGrid w:val="0"/>
        </w:rPr>
        <w:t>1</w:t>
      </w:r>
      <w:proofErr w:type="gramEnd"/>
      <w:r>
        <w:rPr>
          <w:snapToGrid w:val="0"/>
        </w:rPr>
        <w:t xml:space="preserve"> provides that </w:t>
      </w:r>
      <w:r w:rsidRPr="00A93703">
        <w:rPr>
          <w:i/>
          <w:snapToGrid w:val="0"/>
        </w:rPr>
        <w:t>Defence (Individual benefits) Determination (No. 7) 2025</w:t>
      </w:r>
      <w:r>
        <w:rPr>
          <w:snapToGrid w:val="0"/>
        </w:rPr>
        <w:t xml:space="preserve">, which was made under section 58B of the </w:t>
      </w:r>
      <w:r w:rsidRPr="00A93703">
        <w:rPr>
          <w:i/>
          <w:snapToGrid w:val="0"/>
        </w:rPr>
        <w:t>Defence Act 1903</w:t>
      </w:r>
      <w:r>
        <w:rPr>
          <w:snapToGrid w:val="0"/>
        </w:rPr>
        <w:t xml:space="preserve"> on 20 May 2025, is repealed.</w:t>
      </w:r>
    </w:p>
    <w:p w14:paraId="73AC8C21" w14:textId="523CD4FE" w:rsidR="1B0BDFBF" w:rsidRDefault="1B0BDFBF" w:rsidP="1B0BDFBF">
      <w:pPr>
        <w:spacing w:after="200" w:line="240" w:lineRule="auto"/>
        <w:rPr>
          <w:rFonts w:ascii="Arial" w:hAnsi="Arial" w:cs="Arial"/>
          <w:color w:val="FF0000"/>
          <w:sz w:val="20"/>
        </w:rPr>
      </w:pPr>
    </w:p>
    <w:p w14:paraId="7B7CB0E8" w14:textId="77777777" w:rsidR="001E51FE" w:rsidRPr="00CA5BE0" w:rsidRDefault="001E51FE" w:rsidP="001E51FE">
      <w:pPr>
        <w:autoSpaceDE w:val="0"/>
        <w:autoSpaceDN w:val="0"/>
        <w:adjustRightInd w:val="0"/>
        <w:rPr>
          <w:snapToGrid w:val="0"/>
          <w:sz w:val="20"/>
        </w:rPr>
      </w:pPr>
    </w:p>
    <w:p w14:paraId="2831585B" w14:textId="77777777" w:rsidR="001E51FE" w:rsidRDefault="001E51FE" w:rsidP="001E51FE">
      <w:pPr>
        <w:pStyle w:val="Sectiontext"/>
        <w:jc w:val="center"/>
        <w:rPr>
          <w:b/>
        </w:rPr>
        <w:sectPr w:rsidR="001E51FE" w:rsidSect="008417DF">
          <w:footerReference w:type="default" r:id="rId11"/>
          <w:footerReference w:type="first" r:id="rId12"/>
          <w:pgSz w:w="11907" w:h="16839"/>
          <w:pgMar w:top="1134" w:right="1134" w:bottom="992" w:left="1418" w:header="720" w:footer="709" w:gutter="0"/>
          <w:pgNumType w:start="1"/>
          <w:cols w:space="708"/>
          <w:titlePg/>
          <w:docGrid w:linePitch="360"/>
        </w:sectPr>
      </w:pPr>
    </w:p>
    <w:p w14:paraId="1BF58F94" w14:textId="10E69501" w:rsidR="00737505" w:rsidRPr="00737505" w:rsidRDefault="00737505" w:rsidP="00737505">
      <w:pPr>
        <w:pStyle w:val="Sectiontext"/>
        <w:jc w:val="right"/>
        <w:rPr>
          <w:b/>
          <w:snapToGrid w:val="0"/>
        </w:rPr>
      </w:pPr>
      <w:r w:rsidRPr="00737505">
        <w:rPr>
          <w:b/>
          <w:snapToGrid w:val="0"/>
        </w:rPr>
        <w:lastRenderedPageBreak/>
        <w:t xml:space="preserve">Annex </w:t>
      </w:r>
      <w:r>
        <w:rPr>
          <w:b/>
          <w:snapToGrid w:val="0"/>
        </w:rPr>
        <w:t>B</w:t>
      </w:r>
    </w:p>
    <w:p w14:paraId="4271B09D" w14:textId="5D3C64F3" w:rsidR="007D25F1" w:rsidRDefault="007D25F1" w:rsidP="007D25F1">
      <w:pPr>
        <w:pStyle w:val="Sectiontext"/>
        <w:jc w:val="center"/>
        <w:rPr>
          <w:b/>
          <w:bCs/>
          <w:i/>
          <w:noProof/>
          <w:snapToGrid w:val="0"/>
          <w:lang w:val="en-US"/>
        </w:rPr>
      </w:pPr>
      <w:r w:rsidRPr="004E146B">
        <w:rPr>
          <w:b/>
          <w:bCs/>
          <w:i/>
          <w:noProof/>
          <w:snapToGrid w:val="0"/>
          <w:lang w:val="en-US"/>
        </w:rPr>
        <w:t xml:space="preserve">Defence (Individual benefits) Determination (No. </w:t>
      </w:r>
      <w:r w:rsidR="00A93703">
        <w:rPr>
          <w:b/>
          <w:bCs/>
          <w:i/>
          <w:noProof/>
          <w:snapToGrid w:val="0"/>
          <w:lang w:val="en-US"/>
        </w:rPr>
        <w:t>10</w:t>
      </w:r>
      <w:r w:rsidRPr="004E146B">
        <w:rPr>
          <w:b/>
          <w:bCs/>
          <w:i/>
          <w:noProof/>
          <w:snapToGrid w:val="0"/>
          <w:lang w:val="en-US"/>
        </w:rPr>
        <w:t>) 2025.</w:t>
      </w:r>
    </w:p>
    <w:p w14:paraId="0C64CA0C" w14:textId="3774B220" w:rsidR="00737505" w:rsidRPr="009A6866" w:rsidRDefault="00737505" w:rsidP="00486185">
      <w:pPr>
        <w:pStyle w:val="BlockText-Plain"/>
        <w:jc w:val="center"/>
        <w:rPr>
          <w:b/>
          <w:i/>
          <w:snapToGrid w:val="0"/>
        </w:rPr>
      </w:pPr>
      <w:r>
        <w:rPr>
          <w:b/>
          <w:i/>
          <w:snapToGrid w:val="0"/>
        </w:rPr>
        <w:t>Statement of Compatibility with Human Rights</w:t>
      </w:r>
    </w:p>
    <w:p w14:paraId="72AD4000" w14:textId="77777777" w:rsidR="00737505" w:rsidRDefault="00737505" w:rsidP="00737505">
      <w:pPr>
        <w:pStyle w:val="Sectiontext"/>
        <w:jc w:val="center"/>
        <w:rPr>
          <w:i/>
          <w:snapToGrid w:val="0"/>
        </w:rPr>
      </w:pPr>
      <w:r>
        <w:rPr>
          <w:i/>
          <w:snapToGrid w:val="0"/>
        </w:rPr>
        <w:t>Prepared in accordance with Part 3 of the Human Rights (Parliamentary Scrutiny) Act 2011</w:t>
      </w:r>
    </w:p>
    <w:p w14:paraId="06067794" w14:textId="77777777" w:rsidR="001E51FE" w:rsidRPr="0021243D" w:rsidRDefault="001E51FE" w:rsidP="007753AD">
      <w:pPr>
        <w:spacing w:after="200" w:line="240" w:lineRule="auto"/>
        <w:rPr>
          <w:rFonts w:ascii="Arial" w:hAnsi="Arial" w:cs="Arial"/>
          <w:b/>
          <w:sz w:val="20"/>
        </w:rPr>
      </w:pPr>
      <w:r w:rsidRPr="0021243D">
        <w:rPr>
          <w:rFonts w:ascii="Arial" w:hAnsi="Arial" w:cs="Arial"/>
          <w:b/>
          <w:sz w:val="20"/>
        </w:rPr>
        <w:t>Overview of the Determination</w:t>
      </w:r>
    </w:p>
    <w:p w14:paraId="425559BA" w14:textId="59FEAB20" w:rsidR="007D25F1" w:rsidRDefault="007D25F1" w:rsidP="007753AD">
      <w:pPr>
        <w:spacing w:after="200" w:line="240" w:lineRule="auto"/>
        <w:rPr>
          <w:rFonts w:ascii="Arial" w:eastAsia="Times New Roman" w:hAnsi="Arial" w:cs="Times New Roman"/>
          <w:sz w:val="20"/>
          <w:lang w:eastAsia="en-AU"/>
        </w:rPr>
      </w:pPr>
      <w:r w:rsidRPr="007D25F1">
        <w:rPr>
          <w:rFonts w:ascii="Arial" w:eastAsia="Times New Roman" w:hAnsi="Arial" w:cs="Times New Roman"/>
          <w:sz w:val="20"/>
          <w:lang w:eastAsia="en-AU"/>
        </w:rPr>
        <w:t>The purpose of this Determination</w:t>
      </w:r>
      <w:r w:rsidR="009855DE">
        <w:rPr>
          <w:rFonts w:ascii="Arial" w:eastAsia="Times New Roman" w:hAnsi="Arial" w:cs="Times New Roman"/>
          <w:sz w:val="20"/>
          <w:lang w:eastAsia="en-AU"/>
        </w:rPr>
        <w:t xml:space="preserve"> is to</w:t>
      </w:r>
      <w:r w:rsidRPr="007D25F1">
        <w:rPr>
          <w:rFonts w:ascii="Arial" w:eastAsia="Times New Roman" w:hAnsi="Arial" w:cs="Times New Roman"/>
          <w:sz w:val="20"/>
          <w:lang w:eastAsia="en-AU"/>
        </w:rPr>
        <w:t xml:space="preserve"> make a home the member owns not to be a suitable own home due to the unique circumstances that apply </w:t>
      </w:r>
    </w:p>
    <w:p w14:paraId="38FFFAF4" w14:textId="03E6A505" w:rsidR="001E51FE" w:rsidRDefault="001E51FE" w:rsidP="007753AD">
      <w:pPr>
        <w:spacing w:after="200" w:line="240" w:lineRule="auto"/>
        <w:rPr>
          <w:rFonts w:ascii="Arial" w:hAnsi="Arial" w:cs="Arial"/>
          <w:b/>
          <w:sz w:val="20"/>
        </w:rPr>
      </w:pPr>
      <w:r w:rsidRPr="0021243D">
        <w:rPr>
          <w:rFonts w:ascii="Arial" w:hAnsi="Arial" w:cs="Arial"/>
          <w:b/>
          <w:sz w:val="20"/>
        </w:rPr>
        <w:t>Human rights implications</w:t>
      </w:r>
    </w:p>
    <w:p w14:paraId="6FE8C13D" w14:textId="77777777" w:rsidR="002A3EC7" w:rsidRPr="0021243D" w:rsidRDefault="002A3EC7" w:rsidP="007753AD">
      <w:pPr>
        <w:spacing w:after="200" w:line="240" w:lineRule="auto"/>
        <w:rPr>
          <w:rFonts w:ascii="Arial" w:hAnsi="Arial" w:cs="Arial"/>
          <w:sz w:val="24"/>
          <w:szCs w:val="24"/>
        </w:rPr>
      </w:pPr>
      <w:r w:rsidRPr="0021243D">
        <w:rPr>
          <w:rFonts w:ascii="Arial" w:hAnsi="Arial" w:cs="Arial"/>
          <w:i/>
          <w:sz w:val="20"/>
        </w:rPr>
        <w:t xml:space="preserve">Right to </w:t>
      </w:r>
      <w:r>
        <w:rPr>
          <w:rFonts w:ascii="Arial" w:hAnsi="Arial" w:cs="Arial"/>
          <w:i/>
          <w:sz w:val="20"/>
        </w:rPr>
        <w:t>an adequate standard of living</w:t>
      </w:r>
    </w:p>
    <w:p w14:paraId="4F4A3E37" w14:textId="62690EF3" w:rsidR="002A3EC7" w:rsidRDefault="002A3EC7" w:rsidP="007753AD">
      <w:pPr>
        <w:pStyle w:val="Sectiontext"/>
        <w:rPr>
          <w:snapToGrid w:val="0"/>
        </w:rPr>
      </w:pPr>
      <w:r w:rsidRPr="00A575F1">
        <w:rPr>
          <w:snapToGrid w:val="0"/>
        </w:rPr>
        <w:t>The protection of a person's right to an adequate standard of living engages Article 11 of the International Covenant on Economic, Social and Cultural Rights. Article 11 recognises the right of everyone to an adequate standard of living for them and their family, including adequate food, clothing and housing, and to the continuous improvement of living conditions.</w:t>
      </w:r>
    </w:p>
    <w:p w14:paraId="08EBD08E" w14:textId="0CC6187C" w:rsidR="00BC00AA" w:rsidRDefault="00737505" w:rsidP="007753AD">
      <w:pPr>
        <w:shd w:val="clear" w:color="auto" w:fill="FFFFFF"/>
        <w:spacing w:before="100" w:beforeAutospacing="1" w:after="200" w:line="240" w:lineRule="auto"/>
        <w:rPr>
          <w:rFonts w:ascii="Arial" w:hAnsi="Arial" w:cs="Arial"/>
          <w:b/>
          <w:i/>
          <w:iCs/>
          <w:sz w:val="20"/>
        </w:rPr>
      </w:pPr>
      <w:r>
        <w:rPr>
          <w:rFonts w:ascii="Arial" w:hAnsi="Arial" w:cs="Arial"/>
          <w:b/>
          <w:i/>
          <w:iCs/>
          <w:sz w:val="20"/>
        </w:rPr>
        <w:t>Assessment of compatibility</w:t>
      </w:r>
    </w:p>
    <w:p w14:paraId="26A607A5" w14:textId="5D2C5E2F" w:rsidR="00737505" w:rsidRPr="00737505" w:rsidRDefault="00737505" w:rsidP="007753AD">
      <w:pPr>
        <w:shd w:val="clear" w:color="auto" w:fill="FFFFFF"/>
        <w:spacing w:before="100" w:beforeAutospacing="1" w:after="200" w:line="240" w:lineRule="auto"/>
        <w:rPr>
          <w:rFonts w:ascii="Arial" w:hAnsi="Arial" w:cs="Arial"/>
          <w:iCs/>
          <w:sz w:val="20"/>
        </w:rPr>
      </w:pPr>
      <w:r w:rsidRPr="00737505">
        <w:rPr>
          <w:rFonts w:ascii="Arial" w:hAnsi="Arial" w:cs="Arial"/>
          <w:iCs/>
          <w:sz w:val="20"/>
        </w:rPr>
        <w:t xml:space="preserve">Schedule 1 </w:t>
      </w:r>
      <w:r>
        <w:rPr>
          <w:rFonts w:ascii="Arial" w:hAnsi="Arial" w:cs="Arial"/>
          <w:iCs/>
          <w:sz w:val="20"/>
        </w:rPr>
        <w:t xml:space="preserve">is compatible with human rights as </w:t>
      </w:r>
      <w:r w:rsidR="007D25F1">
        <w:rPr>
          <w:rFonts w:ascii="Arial" w:hAnsi="Arial" w:cs="Arial"/>
          <w:iCs/>
          <w:sz w:val="20"/>
        </w:rPr>
        <w:t>its promotes a member’s right to an adequate standard of living by ensuring a home the member owns is not considered a suitable own home due to the unique circumstances that apply. This ensures that the member has access to other forms of housing assistance provided by Defence</w:t>
      </w:r>
      <w:r w:rsidR="00E3356A">
        <w:rPr>
          <w:rFonts w:ascii="Arial" w:hAnsi="Arial" w:cs="Arial"/>
          <w:iCs/>
          <w:sz w:val="20"/>
        </w:rPr>
        <w:t xml:space="preserve"> as a part of their conditions of service</w:t>
      </w:r>
      <w:r w:rsidR="007D25F1">
        <w:rPr>
          <w:rFonts w:ascii="Arial" w:hAnsi="Arial" w:cs="Arial"/>
          <w:iCs/>
          <w:sz w:val="20"/>
        </w:rPr>
        <w:t>.</w:t>
      </w:r>
    </w:p>
    <w:p w14:paraId="494DEA52" w14:textId="77777777" w:rsidR="001E51FE" w:rsidRPr="0021243D" w:rsidRDefault="001E51FE" w:rsidP="007753AD">
      <w:pPr>
        <w:spacing w:after="200" w:line="240" w:lineRule="auto"/>
        <w:rPr>
          <w:rFonts w:ascii="Arial" w:hAnsi="Arial" w:cs="Arial"/>
          <w:b/>
          <w:sz w:val="20"/>
        </w:rPr>
      </w:pPr>
      <w:r w:rsidRPr="0021243D">
        <w:rPr>
          <w:rFonts w:ascii="Arial" w:hAnsi="Arial" w:cs="Arial"/>
          <w:b/>
          <w:sz w:val="20"/>
        </w:rPr>
        <w:t>Conclusion</w:t>
      </w:r>
    </w:p>
    <w:p w14:paraId="4D231897" w14:textId="1F8A86B3" w:rsidR="001E51FE" w:rsidRPr="00A575F1" w:rsidRDefault="001E51FE" w:rsidP="007753AD">
      <w:pPr>
        <w:pStyle w:val="Sectiontext"/>
        <w:rPr>
          <w:snapToGrid w:val="0"/>
        </w:rPr>
      </w:pPr>
      <w:r w:rsidRPr="00A575F1">
        <w:rPr>
          <w:snapToGrid w:val="0"/>
        </w:rPr>
        <w:t>This Determination is compa</w:t>
      </w:r>
      <w:r w:rsidR="00737505">
        <w:rPr>
          <w:snapToGrid w:val="0"/>
        </w:rPr>
        <w:t xml:space="preserve">tible with human rights and freedoms recognised or declared in the international instruments listed in section 3 of the </w:t>
      </w:r>
      <w:r w:rsidR="00737505">
        <w:rPr>
          <w:i/>
          <w:snapToGrid w:val="0"/>
        </w:rPr>
        <w:t>Human Rights (Parliamentary Scrutiny) Act 2011</w:t>
      </w:r>
      <w:r w:rsidRPr="00A575F1">
        <w:rPr>
          <w:snapToGrid w:val="0"/>
        </w:rPr>
        <w:t>.</w:t>
      </w:r>
    </w:p>
    <w:p w14:paraId="4D3CB653" w14:textId="77777777" w:rsidR="001E51FE" w:rsidRPr="00D15A4D" w:rsidRDefault="001E51FE" w:rsidP="006065DA">
      <w:pPr>
        <w:pStyle w:val="subsection"/>
      </w:pPr>
    </w:p>
    <w:sectPr w:rsidR="001E51FE" w:rsidRPr="00D15A4D" w:rsidSect="00C72AFD">
      <w:headerReference w:type="first" r:id="rId13"/>
      <w:pgSz w:w="11907" w:h="16839"/>
      <w:pgMar w:top="1134" w:right="1134" w:bottom="992" w:left="1418" w:header="72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81A4F5" w14:textId="77777777" w:rsidR="005C6104" w:rsidRDefault="005C6104" w:rsidP="0048364F">
      <w:pPr>
        <w:spacing w:line="240" w:lineRule="auto"/>
      </w:pPr>
      <w:r>
        <w:separator/>
      </w:r>
    </w:p>
  </w:endnote>
  <w:endnote w:type="continuationSeparator" w:id="0">
    <w:p w14:paraId="226601DF" w14:textId="77777777" w:rsidR="005C6104" w:rsidRDefault="005C6104"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3120083"/>
      <w:docPartObj>
        <w:docPartGallery w:val="Page Numbers (Bottom of Page)"/>
        <w:docPartUnique/>
      </w:docPartObj>
    </w:sdtPr>
    <w:sdtEndPr>
      <w:rPr>
        <w:noProof/>
      </w:rPr>
    </w:sdtEndPr>
    <w:sdtContent>
      <w:p w14:paraId="786DDF70" w14:textId="5F07DD37" w:rsidR="00FA083A" w:rsidRDefault="00FA083A">
        <w:pPr>
          <w:pStyle w:val="Footer"/>
          <w:jc w:val="right"/>
        </w:pPr>
        <w:r>
          <w:fldChar w:fldCharType="begin"/>
        </w:r>
        <w:r>
          <w:instrText xml:space="preserve"> PAGE   \* MERGEFORMAT </w:instrText>
        </w:r>
        <w:r>
          <w:fldChar w:fldCharType="separate"/>
        </w:r>
        <w:r w:rsidR="00EB762A">
          <w:rPr>
            <w:noProof/>
          </w:rPr>
          <w:t>2</w:t>
        </w:r>
        <w:r>
          <w:rPr>
            <w:noProof/>
          </w:rPr>
          <w:fldChar w:fldCharType="end"/>
        </w:r>
      </w:p>
    </w:sdtContent>
  </w:sdt>
  <w:p w14:paraId="080BA358" w14:textId="77777777" w:rsidR="00E86DED" w:rsidRPr="00ED79B6" w:rsidRDefault="00E86DED" w:rsidP="007A6863">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6602690"/>
      <w:docPartObj>
        <w:docPartGallery w:val="Page Numbers (Bottom of Page)"/>
        <w:docPartUnique/>
      </w:docPartObj>
    </w:sdtPr>
    <w:sdtEndPr>
      <w:rPr>
        <w:noProof/>
        <w:sz w:val="18"/>
        <w:szCs w:val="18"/>
      </w:rPr>
    </w:sdtEndPr>
    <w:sdtContent>
      <w:p w14:paraId="15A37926" w14:textId="3FBEB8B0" w:rsidR="00FA083A" w:rsidRPr="00A36CD7" w:rsidRDefault="00FA083A">
        <w:pPr>
          <w:pStyle w:val="Footer"/>
          <w:jc w:val="right"/>
          <w:rPr>
            <w:sz w:val="18"/>
            <w:szCs w:val="18"/>
          </w:rPr>
        </w:pPr>
        <w:r w:rsidRPr="00A36CD7">
          <w:rPr>
            <w:sz w:val="18"/>
            <w:szCs w:val="18"/>
          </w:rPr>
          <w:fldChar w:fldCharType="begin"/>
        </w:r>
        <w:r w:rsidRPr="00A36CD7">
          <w:rPr>
            <w:sz w:val="18"/>
            <w:szCs w:val="18"/>
          </w:rPr>
          <w:instrText xml:space="preserve"> PAGE   \* MERGEFORMAT </w:instrText>
        </w:r>
        <w:r w:rsidRPr="00A36CD7">
          <w:rPr>
            <w:sz w:val="18"/>
            <w:szCs w:val="18"/>
          </w:rPr>
          <w:fldChar w:fldCharType="separate"/>
        </w:r>
        <w:r w:rsidR="00EB762A">
          <w:rPr>
            <w:noProof/>
            <w:sz w:val="18"/>
            <w:szCs w:val="18"/>
          </w:rPr>
          <w:t>3</w:t>
        </w:r>
        <w:r w:rsidRPr="00A36CD7">
          <w:rPr>
            <w:noProof/>
            <w:sz w:val="18"/>
            <w:szCs w:val="18"/>
          </w:rPr>
          <w:fldChar w:fldCharType="end"/>
        </w:r>
      </w:p>
    </w:sdtContent>
  </w:sdt>
  <w:p w14:paraId="53A836F1" w14:textId="77777777" w:rsidR="002C71AE" w:rsidRPr="00ED79B6" w:rsidRDefault="002C71AE" w:rsidP="00A136F5">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A24EFF" w14:textId="77777777" w:rsidR="005C6104" w:rsidRDefault="005C6104" w:rsidP="0048364F">
      <w:pPr>
        <w:spacing w:line="240" w:lineRule="auto"/>
      </w:pPr>
      <w:r>
        <w:separator/>
      </w:r>
    </w:p>
  </w:footnote>
  <w:footnote w:type="continuationSeparator" w:id="0">
    <w:p w14:paraId="5679D3E8" w14:textId="77777777" w:rsidR="005C6104" w:rsidRDefault="005C6104"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F27EC" w14:textId="638C0BDE" w:rsidR="001E51FE" w:rsidRPr="00486185" w:rsidRDefault="001E51FE" w:rsidP="004861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85228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000DEB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9CE2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176F7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1864FC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76281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08FE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D0CD0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05E81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6F85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2DF2C0E"/>
    <w:multiLevelType w:val="hybridMultilevel"/>
    <w:tmpl w:val="C624EF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B03710E"/>
    <w:multiLevelType w:val="hybridMultilevel"/>
    <w:tmpl w:val="6F7076BC"/>
    <w:styleLink w:val="OPCBodyList"/>
    <w:lvl w:ilvl="0" w:tplc="EDD0FD74">
      <w:start w:val="1"/>
      <w:numFmt w:val="decimal"/>
      <w:pStyle w:val="BodyNum"/>
      <w:lvlText w:val="%1"/>
      <w:lvlJc w:val="left"/>
      <w:pPr>
        <w:tabs>
          <w:tab w:val="num" w:pos="720"/>
        </w:tabs>
        <w:ind w:left="0" w:firstLine="0"/>
      </w:pPr>
      <w:rPr>
        <w:rFonts w:hint="default"/>
      </w:rPr>
    </w:lvl>
    <w:lvl w:ilvl="1" w:tplc="14B25948">
      <w:start w:val="1"/>
      <w:numFmt w:val="lowerLetter"/>
      <w:pStyle w:val="BodyPara"/>
      <w:lvlText w:val="(%2)"/>
      <w:lvlJc w:val="left"/>
      <w:pPr>
        <w:tabs>
          <w:tab w:val="num" w:pos="1440"/>
        </w:tabs>
        <w:ind w:left="1440" w:hanging="720"/>
      </w:pPr>
      <w:rPr>
        <w:rFonts w:hint="default"/>
      </w:rPr>
    </w:lvl>
    <w:lvl w:ilvl="2" w:tplc="91F283FC">
      <w:start w:val="1"/>
      <w:numFmt w:val="bullet"/>
      <w:lvlText w:val=""/>
      <w:lvlJc w:val="left"/>
      <w:pPr>
        <w:tabs>
          <w:tab w:val="num" w:pos="1440"/>
        </w:tabs>
        <w:ind w:left="1440" w:hanging="720"/>
      </w:pPr>
      <w:rPr>
        <w:rFonts w:ascii="Symbol" w:hAnsi="Symbol" w:hint="default"/>
      </w:rPr>
    </w:lvl>
    <w:lvl w:ilvl="3" w:tplc="D2FCCBE8">
      <w:start w:val="1"/>
      <w:numFmt w:val="lowerRoman"/>
      <w:lvlText w:val="(%4)"/>
      <w:lvlJc w:val="left"/>
      <w:pPr>
        <w:tabs>
          <w:tab w:val="num" w:pos="2160"/>
        </w:tabs>
        <w:ind w:left="2160" w:hanging="720"/>
      </w:pPr>
      <w:rPr>
        <w:rFonts w:hint="default"/>
      </w:rPr>
    </w:lvl>
    <w:lvl w:ilvl="4" w:tplc="3F5CF6D2">
      <w:start w:val="1"/>
      <w:numFmt w:val="lowerLetter"/>
      <w:lvlText w:val="(%5)"/>
      <w:lvlJc w:val="left"/>
      <w:pPr>
        <w:ind w:left="1800" w:hanging="360"/>
      </w:pPr>
      <w:rPr>
        <w:rFonts w:hint="default"/>
      </w:rPr>
    </w:lvl>
    <w:lvl w:ilvl="5" w:tplc="7AAC74A6">
      <w:start w:val="1"/>
      <w:numFmt w:val="lowerRoman"/>
      <w:lvlText w:val="(%6)"/>
      <w:lvlJc w:val="left"/>
      <w:pPr>
        <w:ind w:left="2160" w:hanging="360"/>
      </w:pPr>
      <w:rPr>
        <w:rFonts w:hint="default"/>
      </w:rPr>
    </w:lvl>
    <w:lvl w:ilvl="6" w:tplc="72943198">
      <w:start w:val="1"/>
      <w:numFmt w:val="decimal"/>
      <w:lvlText w:val="%7."/>
      <w:lvlJc w:val="left"/>
      <w:pPr>
        <w:ind w:left="2520" w:hanging="360"/>
      </w:pPr>
      <w:rPr>
        <w:rFonts w:hint="default"/>
      </w:rPr>
    </w:lvl>
    <w:lvl w:ilvl="7" w:tplc="1DCC5D16">
      <w:start w:val="1"/>
      <w:numFmt w:val="lowerLetter"/>
      <w:lvlText w:val="%8."/>
      <w:lvlJc w:val="left"/>
      <w:pPr>
        <w:ind w:left="2880" w:hanging="360"/>
      </w:pPr>
      <w:rPr>
        <w:rFonts w:hint="default"/>
      </w:rPr>
    </w:lvl>
    <w:lvl w:ilvl="8" w:tplc="6E703288">
      <w:start w:val="1"/>
      <w:numFmt w:val="lowerRoman"/>
      <w:lvlText w:val="%9."/>
      <w:lvlJc w:val="left"/>
      <w:pPr>
        <w:ind w:left="3240" w:hanging="360"/>
      </w:pPr>
      <w:rPr>
        <w:rFonts w:hint="default"/>
      </w:rPr>
    </w:lvl>
  </w:abstractNum>
  <w:abstractNum w:abstractNumId="13" w15:restartNumberingAfterBreak="0">
    <w:nsid w:val="23F226CA"/>
    <w:multiLevelType w:val="hybridMultilevel"/>
    <w:tmpl w:val="99C251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E372AB0"/>
    <w:multiLevelType w:val="hybridMultilevel"/>
    <w:tmpl w:val="A75882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3D7B4757"/>
    <w:multiLevelType w:val="hybridMultilevel"/>
    <w:tmpl w:val="2B8CEE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ED821AC"/>
    <w:multiLevelType w:val="hybridMultilevel"/>
    <w:tmpl w:val="1D50E7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14A4ED3"/>
    <w:multiLevelType w:val="hybridMultilevel"/>
    <w:tmpl w:val="7D524C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BBF7794"/>
    <w:multiLevelType w:val="hybridMultilevel"/>
    <w:tmpl w:val="8F345C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3D824EA"/>
    <w:multiLevelType w:val="hybridMultilevel"/>
    <w:tmpl w:val="B91611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0"/>
  </w:num>
  <w:num w:numId="13">
    <w:abstractNumId w:val="12"/>
  </w:num>
  <w:num w:numId="14">
    <w:abstractNumId w:val="17"/>
  </w:num>
  <w:num w:numId="15">
    <w:abstractNumId w:val="20"/>
  </w:num>
  <w:num w:numId="16">
    <w:abstractNumId w:val="18"/>
  </w:num>
  <w:num w:numId="17">
    <w:abstractNumId w:val="11"/>
  </w:num>
  <w:num w:numId="18">
    <w:abstractNumId w:val="16"/>
  </w:num>
  <w:num w:numId="19">
    <w:abstractNumId w:val="14"/>
  </w:num>
  <w:num w:numId="20">
    <w:abstractNumId w:val="13"/>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06B"/>
    <w:rsid w:val="00000263"/>
    <w:rsid w:val="000113BC"/>
    <w:rsid w:val="000136AF"/>
    <w:rsid w:val="00025BFA"/>
    <w:rsid w:val="00034420"/>
    <w:rsid w:val="0004044E"/>
    <w:rsid w:val="00050390"/>
    <w:rsid w:val="0005120E"/>
    <w:rsid w:val="00054577"/>
    <w:rsid w:val="000614BF"/>
    <w:rsid w:val="000704E9"/>
    <w:rsid w:val="0007169C"/>
    <w:rsid w:val="00077593"/>
    <w:rsid w:val="0008037A"/>
    <w:rsid w:val="00083F48"/>
    <w:rsid w:val="000A479A"/>
    <w:rsid w:val="000A7DF9"/>
    <w:rsid w:val="000B54A3"/>
    <w:rsid w:val="000C3AA3"/>
    <w:rsid w:val="000C696D"/>
    <w:rsid w:val="000D05EF"/>
    <w:rsid w:val="000D3FB9"/>
    <w:rsid w:val="000D5485"/>
    <w:rsid w:val="000E598E"/>
    <w:rsid w:val="000E5A3D"/>
    <w:rsid w:val="000F0ADA"/>
    <w:rsid w:val="000F21C1"/>
    <w:rsid w:val="0010745C"/>
    <w:rsid w:val="001122FF"/>
    <w:rsid w:val="00116410"/>
    <w:rsid w:val="00160BD7"/>
    <w:rsid w:val="001643C9"/>
    <w:rsid w:val="00164901"/>
    <w:rsid w:val="00165568"/>
    <w:rsid w:val="00166082"/>
    <w:rsid w:val="00166C2F"/>
    <w:rsid w:val="001716C9"/>
    <w:rsid w:val="00184261"/>
    <w:rsid w:val="00193461"/>
    <w:rsid w:val="001939E1"/>
    <w:rsid w:val="0019452E"/>
    <w:rsid w:val="00195382"/>
    <w:rsid w:val="001A3B9F"/>
    <w:rsid w:val="001A5520"/>
    <w:rsid w:val="001A65C0"/>
    <w:rsid w:val="001B7A5D"/>
    <w:rsid w:val="001C69C4"/>
    <w:rsid w:val="001D6B30"/>
    <w:rsid w:val="001D75D3"/>
    <w:rsid w:val="001E0A8D"/>
    <w:rsid w:val="001E3590"/>
    <w:rsid w:val="001E51FE"/>
    <w:rsid w:val="001E7407"/>
    <w:rsid w:val="001F1A46"/>
    <w:rsid w:val="00201D27"/>
    <w:rsid w:val="0021153A"/>
    <w:rsid w:val="0021243D"/>
    <w:rsid w:val="0022229F"/>
    <w:rsid w:val="002245A6"/>
    <w:rsid w:val="002302EA"/>
    <w:rsid w:val="00237614"/>
    <w:rsid w:val="00240749"/>
    <w:rsid w:val="002468D7"/>
    <w:rsid w:val="00247E97"/>
    <w:rsid w:val="00255473"/>
    <w:rsid w:val="00256C81"/>
    <w:rsid w:val="00285CDD"/>
    <w:rsid w:val="00290F1C"/>
    <w:rsid w:val="00291167"/>
    <w:rsid w:val="0029489E"/>
    <w:rsid w:val="00297ECB"/>
    <w:rsid w:val="002A3EC7"/>
    <w:rsid w:val="002B1B7A"/>
    <w:rsid w:val="002C152A"/>
    <w:rsid w:val="002C71AE"/>
    <w:rsid w:val="002D043A"/>
    <w:rsid w:val="0031713F"/>
    <w:rsid w:val="003222D1"/>
    <w:rsid w:val="0032750F"/>
    <w:rsid w:val="003415D3"/>
    <w:rsid w:val="003442F6"/>
    <w:rsid w:val="00346335"/>
    <w:rsid w:val="00352B0F"/>
    <w:rsid w:val="003561B0"/>
    <w:rsid w:val="00372E78"/>
    <w:rsid w:val="00397893"/>
    <w:rsid w:val="003A15AC"/>
    <w:rsid w:val="003B0627"/>
    <w:rsid w:val="003C5F2B"/>
    <w:rsid w:val="003C7D35"/>
    <w:rsid w:val="003D0BFE"/>
    <w:rsid w:val="003D173F"/>
    <w:rsid w:val="003D5700"/>
    <w:rsid w:val="003F506B"/>
    <w:rsid w:val="003F6F52"/>
    <w:rsid w:val="004022CA"/>
    <w:rsid w:val="004116CD"/>
    <w:rsid w:val="00414ADE"/>
    <w:rsid w:val="00417CDA"/>
    <w:rsid w:val="00424CA9"/>
    <w:rsid w:val="004257BB"/>
    <w:rsid w:val="0044291A"/>
    <w:rsid w:val="004600B0"/>
    <w:rsid w:val="00460499"/>
    <w:rsid w:val="00460FBA"/>
    <w:rsid w:val="00470B1E"/>
    <w:rsid w:val="00474835"/>
    <w:rsid w:val="004819C7"/>
    <w:rsid w:val="0048364F"/>
    <w:rsid w:val="004840EA"/>
    <w:rsid w:val="00486185"/>
    <w:rsid w:val="004877FC"/>
    <w:rsid w:val="00490F2E"/>
    <w:rsid w:val="00496F97"/>
    <w:rsid w:val="004A53EA"/>
    <w:rsid w:val="004B35E7"/>
    <w:rsid w:val="004C5A5D"/>
    <w:rsid w:val="004E146B"/>
    <w:rsid w:val="004F1FAC"/>
    <w:rsid w:val="004F676E"/>
    <w:rsid w:val="004F71C0"/>
    <w:rsid w:val="00500E9C"/>
    <w:rsid w:val="00506A01"/>
    <w:rsid w:val="00516B8D"/>
    <w:rsid w:val="00516D3D"/>
    <w:rsid w:val="0052756C"/>
    <w:rsid w:val="00530230"/>
    <w:rsid w:val="00530CC9"/>
    <w:rsid w:val="00531B46"/>
    <w:rsid w:val="005320C4"/>
    <w:rsid w:val="00537FBC"/>
    <w:rsid w:val="00541D73"/>
    <w:rsid w:val="00543469"/>
    <w:rsid w:val="00546FA3"/>
    <w:rsid w:val="00557413"/>
    <w:rsid w:val="00557C7A"/>
    <w:rsid w:val="00562A58"/>
    <w:rsid w:val="0056541A"/>
    <w:rsid w:val="005803CD"/>
    <w:rsid w:val="00581211"/>
    <w:rsid w:val="00584811"/>
    <w:rsid w:val="00593AA6"/>
    <w:rsid w:val="00594161"/>
    <w:rsid w:val="00594749"/>
    <w:rsid w:val="00594956"/>
    <w:rsid w:val="005B1555"/>
    <w:rsid w:val="005B4067"/>
    <w:rsid w:val="005C3F41"/>
    <w:rsid w:val="005C4EF0"/>
    <w:rsid w:val="005C6104"/>
    <w:rsid w:val="005D1A20"/>
    <w:rsid w:val="005D5EA1"/>
    <w:rsid w:val="005E098C"/>
    <w:rsid w:val="005E1F8D"/>
    <w:rsid w:val="005E317F"/>
    <w:rsid w:val="005E61D3"/>
    <w:rsid w:val="00600219"/>
    <w:rsid w:val="006065DA"/>
    <w:rsid w:val="00606AA4"/>
    <w:rsid w:val="0061058B"/>
    <w:rsid w:val="006252AD"/>
    <w:rsid w:val="00640402"/>
    <w:rsid w:val="00640F78"/>
    <w:rsid w:val="006422B7"/>
    <w:rsid w:val="00655D6A"/>
    <w:rsid w:val="00656DE9"/>
    <w:rsid w:val="00672876"/>
    <w:rsid w:val="00677CC2"/>
    <w:rsid w:val="00682847"/>
    <w:rsid w:val="00685F42"/>
    <w:rsid w:val="0069207B"/>
    <w:rsid w:val="00697CB2"/>
    <w:rsid w:val="006A297B"/>
    <w:rsid w:val="006A304E"/>
    <w:rsid w:val="006B7006"/>
    <w:rsid w:val="006B7FE3"/>
    <w:rsid w:val="006C7F8C"/>
    <w:rsid w:val="006D7AB9"/>
    <w:rsid w:val="00700B2C"/>
    <w:rsid w:val="00713084"/>
    <w:rsid w:val="00717463"/>
    <w:rsid w:val="00720FC2"/>
    <w:rsid w:val="00722E89"/>
    <w:rsid w:val="00724541"/>
    <w:rsid w:val="00731E00"/>
    <w:rsid w:val="007339C7"/>
    <w:rsid w:val="00737505"/>
    <w:rsid w:val="007440B7"/>
    <w:rsid w:val="00747993"/>
    <w:rsid w:val="00747A1B"/>
    <w:rsid w:val="007551C1"/>
    <w:rsid w:val="007634AD"/>
    <w:rsid w:val="007715C9"/>
    <w:rsid w:val="00774EDD"/>
    <w:rsid w:val="007753AD"/>
    <w:rsid w:val="007757EC"/>
    <w:rsid w:val="007952E9"/>
    <w:rsid w:val="007A6863"/>
    <w:rsid w:val="007B51E4"/>
    <w:rsid w:val="007B7E65"/>
    <w:rsid w:val="007C78B4"/>
    <w:rsid w:val="007D25F1"/>
    <w:rsid w:val="007E0853"/>
    <w:rsid w:val="007E32B6"/>
    <w:rsid w:val="007E3976"/>
    <w:rsid w:val="007E486B"/>
    <w:rsid w:val="007E7D4A"/>
    <w:rsid w:val="007F48ED"/>
    <w:rsid w:val="007F5E3F"/>
    <w:rsid w:val="00812F45"/>
    <w:rsid w:val="008278DA"/>
    <w:rsid w:val="00836FE9"/>
    <w:rsid w:val="0084172C"/>
    <w:rsid w:val="008417DF"/>
    <w:rsid w:val="0085175E"/>
    <w:rsid w:val="00856A31"/>
    <w:rsid w:val="00864A66"/>
    <w:rsid w:val="008754D0"/>
    <w:rsid w:val="00877C69"/>
    <w:rsid w:val="00877D48"/>
    <w:rsid w:val="0088345B"/>
    <w:rsid w:val="008A16A5"/>
    <w:rsid w:val="008A5C57"/>
    <w:rsid w:val="008C0629"/>
    <w:rsid w:val="008C6FF0"/>
    <w:rsid w:val="008D0EE0"/>
    <w:rsid w:val="008D7A27"/>
    <w:rsid w:val="008E4702"/>
    <w:rsid w:val="008E69AA"/>
    <w:rsid w:val="008F4F1C"/>
    <w:rsid w:val="009069AD"/>
    <w:rsid w:val="00910E64"/>
    <w:rsid w:val="00922764"/>
    <w:rsid w:val="009278C1"/>
    <w:rsid w:val="00932377"/>
    <w:rsid w:val="009346E3"/>
    <w:rsid w:val="0094523D"/>
    <w:rsid w:val="00976A63"/>
    <w:rsid w:val="009855DE"/>
    <w:rsid w:val="00991733"/>
    <w:rsid w:val="009A6866"/>
    <w:rsid w:val="009B2490"/>
    <w:rsid w:val="009B50E5"/>
    <w:rsid w:val="009C3431"/>
    <w:rsid w:val="009C5989"/>
    <w:rsid w:val="009C6A32"/>
    <w:rsid w:val="009D08DA"/>
    <w:rsid w:val="009D2F48"/>
    <w:rsid w:val="009D3C6C"/>
    <w:rsid w:val="009F1229"/>
    <w:rsid w:val="00A003BB"/>
    <w:rsid w:val="00A06860"/>
    <w:rsid w:val="00A07DDE"/>
    <w:rsid w:val="00A136F5"/>
    <w:rsid w:val="00A2047D"/>
    <w:rsid w:val="00A231E2"/>
    <w:rsid w:val="00A2550D"/>
    <w:rsid w:val="00A36CD7"/>
    <w:rsid w:val="00A379BB"/>
    <w:rsid w:val="00A4169B"/>
    <w:rsid w:val="00A44F44"/>
    <w:rsid w:val="00A50D55"/>
    <w:rsid w:val="00A52FDA"/>
    <w:rsid w:val="00A575F1"/>
    <w:rsid w:val="00A6282F"/>
    <w:rsid w:val="00A6327D"/>
    <w:rsid w:val="00A64912"/>
    <w:rsid w:val="00A70A74"/>
    <w:rsid w:val="00A905DB"/>
    <w:rsid w:val="00A9231A"/>
    <w:rsid w:val="00A93703"/>
    <w:rsid w:val="00A93CFA"/>
    <w:rsid w:val="00A95BC7"/>
    <w:rsid w:val="00AA0343"/>
    <w:rsid w:val="00AA0D47"/>
    <w:rsid w:val="00AA78CE"/>
    <w:rsid w:val="00AA7B26"/>
    <w:rsid w:val="00AB2B71"/>
    <w:rsid w:val="00AC767C"/>
    <w:rsid w:val="00AD3467"/>
    <w:rsid w:val="00AD5641"/>
    <w:rsid w:val="00AF33DB"/>
    <w:rsid w:val="00AF6E41"/>
    <w:rsid w:val="00B032D8"/>
    <w:rsid w:val="00B039C8"/>
    <w:rsid w:val="00B05D72"/>
    <w:rsid w:val="00B20990"/>
    <w:rsid w:val="00B23770"/>
    <w:rsid w:val="00B23FAF"/>
    <w:rsid w:val="00B26ED7"/>
    <w:rsid w:val="00B33B3C"/>
    <w:rsid w:val="00B40D74"/>
    <w:rsid w:val="00B42649"/>
    <w:rsid w:val="00B46467"/>
    <w:rsid w:val="00B516C8"/>
    <w:rsid w:val="00B52663"/>
    <w:rsid w:val="00B56DCB"/>
    <w:rsid w:val="00B61728"/>
    <w:rsid w:val="00B770D2"/>
    <w:rsid w:val="00B908E1"/>
    <w:rsid w:val="00B93516"/>
    <w:rsid w:val="00B96776"/>
    <w:rsid w:val="00B973E5"/>
    <w:rsid w:val="00BA0F45"/>
    <w:rsid w:val="00BA47A3"/>
    <w:rsid w:val="00BA5026"/>
    <w:rsid w:val="00BA7B5B"/>
    <w:rsid w:val="00BB6E79"/>
    <w:rsid w:val="00BC00AA"/>
    <w:rsid w:val="00BE42C5"/>
    <w:rsid w:val="00BE719A"/>
    <w:rsid w:val="00BE720A"/>
    <w:rsid w:val="00BF0723"/>
    <w:rsid w:val="00BF6650"/>
    <w:rsid w:val="00C067E5"/>
    <w:rsid w:val="00C164CA"/>
    <w:rsid w:val="00C26051"/>
    <w:rsid w:val="00C40348"/>
    <w:rsid w:val="00C42BF8"/>
    <w:rsid w:val="00C460AE"/>
    <w:rsid w:val="00C50043"/>
    <w:rsid w:val="00C5015F"/>
    <w:rsid w:val="00C50A0F"/>
    <w:rsid w:val="00C50F4A"/>
    <w:rsid w:val="00C72AFD"/>
    <w:rsid w:val="00C72D10"/>
    <w:rsid w:val="00C7573B"/>
    <w:rsid w:val="00C76CF3"/>
    <w:rsid w:val="00C93205"/>
    <w:rsid w:val="00C945DC"/>
    <w:rsid w:val="00CA7844"/>
    <w:rsid w:val="00CB5822"/>
    <w:rsid w:val="00CB58EF"/>
    <w:rsid w:val="00CC3872"/>
    <w:rsid w:val="00CE0A93"/>
    <w:rsid w:val="00CF0BB2"/>
    <w:rsid w:val="00CF7C4E"/>
    <w:rsid w:val="00D01DFD"/>
    <w:rsid w:val="00D12B0D"/>
    <w:rsid w:val="00D13441"/>
    <w:rsid w:val="00D15A4D"/>
    <w:rsid w:val="00D211E0"/>
    <w:rsid w:val="00D243A3"/>
    <w:rsid w:val="00D33440"/>
    <w:rsid w:val="00D516AD"/>
    <w:rsid w:val="00D52EFE"/>
    <w:rsid w:val="00D55AEE"/>
    <w:rsid w:val="00D567A2"/>
    <w:rsid w:val="00D56A0D"/>
    <w:rsid w:val="00D63EF6"/>
    <w:rsid w:val="00D66518"/>
    <w:rsid w:val="00D70DFB"/>
    <w:rsid w:val="00D71EEA"/>
    <w:rsid w:val="00D735CD"/>
    <w:rsid w:val="00D766DF"/>
    <w:rsid w:val="00D84477"/>
    <w:rsid w:val="00D90841"/>
    <w:rsid w:val="00D94896"/>
    <w:rsid w:val="00D954D8"/>
    <w:rsid w:val="00DA2439"/>
    <w:rsid w:val="00DA6F05"/>
    <w:rsid w:val="00DB64FC"/>
    <w:rsid w:val="00DE149E"/>
    <w:rsid w:val="00E034DB"/>
    <w:rsid w:val="00E05704"/>
    <w:rsid w:val="00E12F1A"/>
    <w:rsid w:val="00E14113"/>
    <w:rsid w:val="00E22935"/>
    <w:rsid w:val="00E232C6"/>
    <w:rsid w:val="00E26604"/>
    <w:rsid w:val="00E3356A"/>
    <w:rsid w:val="00E54292"/>
    <w:rsid w:val="00E54D2B"/>
    <w:rsid w:val="00E60191"/>
    <w:rsid w:val="00E74DC7"/>
    <w:rsid w:val="00E81ECD"/>
    <w:rsid w:val="00E86DED"/>
    <w:rsid w:val="00E87699"/>
    <w:rsid w:val="00E92E27"/>
    <w:rsid w:val="00E9586B"/>
    <w:rsid w:val="00E97334"/>
    <w:rsid w:val="00EB3A99"/>
    <w:rsid w:val="00EB65F8"/>
    <w:rsid w:val="00EB762A"/>
    <w:rsid w:val="00EC45EE"/>
    <w:rsid w:val="00EC7475"/>
    <w:rsid w:val="00ED4928"/>
    <w:rsid w:val="00EE3FFE"/>
    <w:rsid w:val="00EE57E8"/>
    <w:rsid w:val="00EE6190"/>
    <w:rsid w:val="00EF2E3A"/>
    <w:rsid w:val="00EF6402"/>
    <w:rsid w:val="00F047E2"/>
    <w:rsid w:val="00F04D57"/>
    <w:rsid w:val="00F078DC"/>
    <w:rsid w:val="00F13E86"/>
    <w:rsid w:val="00F20B52"/>
    <w:rsid w:val="00F32FCB"/>
    <w:rsid w:val="00F33523"/>
    <w:rsid w:val="00F677A9"/>
    <w:rsid w:val="00F774DD"/>
    <w:rsid w:val="00F8121C"/>
    <w:rsid w:val="00F84735"/>
    <w:rsid w:val="00F84CF5"/>
    <w:rsid w:val="00F8612E"/>
    <w:rsid w:val="00F94583"/>
    <w:rsid w:val="00FA083A"/>
    <w:rsid w:val="00FA420B"/>
    <w:rsid w:val="00FB6AEE"/>
    <w:rsid w:val="00FC3EAC"/>
    <w:rsid w:val="00FD4920"/>
    <w:rsid w:val="00FF39DE"/>
    <w:rsid w:val="1B0BDFBF"/>
    <w:rsid w:val="26C6BB2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85B1FB"/>
  <w15:docId w15:val="{B22B057F-1E63-4E2A-9585-AE3F07D2C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1">
    <w:lsdException w:name="Normal" w:uiPriority="0"/>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74835"/>
    <w:pPr>
      <w:spacing w:line="260" w:lineRule="atLeast"/>
    </w:pPr>
    <w:rPr>
      <w:sz w:val="22"/>
    </w:rPr>
  </w:style>
  <w:style w:type="paragraph" w:styleId="Heading1">
    <w:name w:val="heading 1"/>
    <w:aliases w:val="Document/Determination Title"/>
    <w:basedOn w:val="Normal"/>
    <w:next w:val="Normal"/>
    <w:link w:val="Heading1Char"/>
    <w:qFormat/>
    <w:rsid w:val="00DB64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Chapter"/>
    <w:basedOn w:val="Normal"/>
    <w:next w:val="Normal"/>
    <w:link w:val="Heading2Char"/>
    <w:uiPriority w:val="9"/>
    <w:unhideWhenUsed/>
    <w:qFormat/>
    <w:rsid w:val="004C5A5D"/>
    <w:pPr>
      <w:outlineLvl w:val="1"/>
    </w:pPr>
    <w:rPr>
      <w:rFonts w:ascii="Arial" w:eastAsia="Times New Roman" w:hAnsi="Arial" w:cs="Times New Roman"/>
      <w:b/>
      <w:sz w:val="30"/>
      <w:lang w:eastAsia="en-AU"/>
    </w:rPr>
  </w:style>
  <w:style w:type="paragraph" w:styleId="Heading3">
    <w:name w:val="heading 3"/>
    <w:aliases w:val="Part"/>
    <w:basedOn w:val="Normal"/>
    <w:next w:val="Normal"/>
    <w:link w:val="Heading3Char"/>
    <w:uiPriority w:val="9"/>
    <w:unhideWhenUsed/>
    <w:qFormat/>
    <w:rsid w:val="004C5A5D"/>
    <w:pPr>
      <w:keepNext/>
      <w:keepLines/>
      <w:spacing w:before="200"/>
      <w:outlineLvl w:val="2"/>
    </w:pPr>
    <w:rPr>
      <w:rFonts w:ascii="Arial Bold" w:eastAsia="Times New Roman" w:hAnsi="Arial Bold" w:cs="Times New Roman"/>
      <w:sz w:val="27"/>
      <w:lang w:eastAsia="en-AU"/>
    </w:rPr>
  </w:style>
  <w:style w:type="paragraph" w:styleId="Heading4">
    <w:name w:val="heading 4"/>
    <w:aliases w:val="Division"/>
    <w:basedOn w:val="Heading3"/>
    <w:next w:val="Normal"/>
    <w:link w:val="Heading4Char"/>
    <w:uiPriority w:val="9"/>
    <w:unhideWhenUsed/>
    <w:qFormat/>
    <w:rsid w:val="004C5A5D"/>
    <w:pPr>
      <w:outlineLvl w:val="3"/>
    </w:pPr>
    <w:rPr>
      <w:b/>
      <w:bCs/>
    </w:rPr>
  </w:style>
  <w:style w:type="paragraph" w:styleId="Heading5">
    <w:name w:val="heading 5"/>
    <w:aliases w:val="Clause/Block Label"/>
    <w:basedOn w:val="Normal"/>
    <w:next w:val="Normal"/>
    <w:link w:val="Heading5Char"/>
    <w:unhideWhenUsed/>
    <w:qFormat/>
    <w:rsid w:val="00991733"/>
    <w:pPr>
      <w:keepNext/>
      <w:keepLines/>
      <w:spacing w:before="360" w:after="120" w:line="240" w:lineRule="auto"/>
      <w:outlineLvl w:val="4"/>
    </w:pPr>
    <w:rPr>
      <w:rFonts w:ascii="Arial" w:eastAsiaTheme="majorEastAsia" w:hAnsi="Arial" w:cstheme="majorBidi"/>
      <w:b/>
    </w:rPr>
  </w:style>
  <w:style w:type="paragraph" w:styleId="Heading6">
    <w:name w:val="heading 6"/>
    <w:aliases w:val="ES-HRS Title"/>
    <w:basedOn w:val="ActHead7"/>
    <w:next w:val="Normal"/>
    <w:link w:val="Heading6Char"/>
    <w:qFormat/>
    <w:rsid w:val="009A6866"/>
    <w:pPr>
      <w:spacing w:after="280"/>
      <w:outlineLvl w:val="5"/>
    </w:pPr>
    <w:rPr>
      <w:rFonts w:ascii="Arial" w:hAnsi="Arial"/>
      <w:noProof/>
    </w:rPr>
  </w:style>
  <w:style w:type="paragraph" w:styleId="Heading7">
    <w:name w:val="heading 7"/>
    <w:basedOn w:val="Normal"/>
    <w:next w:val="Normal"/>
    <w:link w:val="Heading7Char"/>
    <w:uiPriority w:val="9"/>
    <w:semiHidden/>
    <w:unhideWhenUsed/>
    <w:qFormat/>
    <w:rsid w:val="00DB64F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B64F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B64F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2A3EC7"/>
    <w:pPr>
      <w:keepNext/>
      <w:keepLines/>
      <w:spacing w:before="280" w:line="240" w:lineRule="auto"/>
      <w:outlineLvl w:val="6"/>
    </w:pPr>
    <w:rPr>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2A3EC7"/>
    <w:pPr>
      <w:keepNext/>
      <w:keepLines/>
      <w:spacing w:before="280" w:line="240" w:lineRule="auto"/>
      <w:ind w:left="1134" w:hanging="1134"/>
      <w:outlineLvl w:val="8"/>
    </w:pPr>
    <w:rPr>
      <w:rFonts w:ascii="Arial" w:hAnsi="Arial"/>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4799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D52EFE"/>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B40D74"/>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B40D74"/>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B40D74"/>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B40D74"/>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B20990"/>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B40D74"/>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B40D74"/>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40D74"/>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B40D74"/>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uiPriority w:val="99"/>
    <w:rsid w:val="0048364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uiPriority w:val="99"/>
    <w:rsid w:val="0048364F"/>
    <w:rPr>
      <w:rFonts w:eastAsia="Times New Roman" w:cs="Times New Roman"/>
      <w:sz w:val="22"/>
      <w:szCs w:val="24"/>
      <w:lang w:eastAsia="en-AU"/>
    </w:rPr>
  </w:style>
  <w:style w:type="character" w:styleId="LineNumber">
    <w:name w:val="line number"/>
    <w:basedOn w:val="OPCCharBase"/>
    <w:uiPriority w:val="99"/>
    <w:semiHidden/>
    <w:unhideWhenUsed/>
    <w:rsid w:val="00FA420B"/>
    <w:rPr>
      <w:sz w:val="16"/>
    </w:rPr>
  </w:style>
  <w:style w:type="table" w:customStyle="1" w:styleId="CFlag">
    <w:name w:val="CFlag"/>
    <w:basedOn w:val="TableNormal"/>
    <w:uiPriority w:val="99"/>
    <w:rsid w:val="003C5F2B"/>
    <w:rPr>
      <w:rFonts w:eastAsia="Times New Roman" w:cs="Times New Roman"/>
      <w:lang w:eastAsia="en-AU"/>
    </w:rPr>
    <w:tblPr/>
  </w:style>
  <w:style w:type="paragraph" w:styleId="BalloonText">
    <w:name w:val="Balloon Text"/>
    <w:basedOn w:val="Normal"/>
    <w:link w:val="BalloonTextChar"/>
    <w:uiPriority w:val="99"/>
    <w:semiHidden/>
    <w:unhideWhenUsed/>
    <w:rsid w:val="001934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461"/>
    <w:rPr>
      <w:rFonts w:ascii="Tahoma" w:hAnsi="Tahoma" w:cs="Tahoma"/>
      <w:sz w:val="16"/>
      <w:szCs w:val="16"/>
    </w:rPr>
  </w:style>
  <w:style w:type="table" w:styleId="TableGrid">
    <w:name w:val="Table Grid"/>
    <w:basedOn w:val="TableNormal"/>
    <w:uiPriority w:val="59"/>
    <w:rsid w:val="00A13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3A15AC"/>
    <w:rPr>
      <w:b/>
      <w:sz w:val="28"/>
      <w:szCs w:val="32"/>
    </w:rPr>
  </w:style>
  <w:style w:type="paragraph" w:customStyle="1" w:styleId="LegislationMadeUnder">
    <w:name w:val="LegislationMadeUnder"/>
    <w:basedOn w:val="OPCParaBase"/>
    <w:next w:val="Normal"/>
    <w:rsid w:val="00E60191"/>
    <w:rPr>
      <w:i/>
      <w:sz w:val="32"/>
      <w:szCs w:val="32"/>
    </w:rPr>
  </w:style>
  <w:style w:type="paragraph" w:customStyle="1" w:styleId="SignCoverPageEnd">
    <w:name w:val="SignCoverPageEnd"/>
    <w:basedOn w:val="OPCParaBase"/>
    <w:next w:val="Normal"/>
    <w:rsid w:val="008E69AA"/>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054577"/>
    <w:pPr>
      <w:pBdr>
        <w:top w:val="single" w:sz="4" w:space="1" w:color="auto"/>
      </w:pBdr>
      <w:spacing w:before="360"/>
      <w:ind w:right="397"/>
      <w:jc w:val="both"/>
    </w:pPr>
  </w:style>
  <w:style w:type="paragraph" w:customStyle="1" w:styleId="NotesHeading1">
    <w:name w:val="NotesHeading 1"/>
    <w:basedOn w:val="OPCParaBase"/>
    <w:next w:val="Normal"/>
    <w:rsid w:val="00054577"/>
    <w:rPr>
      <w:b/>
      <w:sz w:val="28"/>
      <w:szCs w:val="28"/>
    </w:rPr>
  </w:style>
  <w:style w:type="paragraph" w:customStyle="1" w:styleId="NotesHeading2">
    <w:name w:val="NotesHeading 2"/>
    <w:basedOn w:val="OPCParaBase"/>
    <w:next w:val="Normal"/>
    <w:rsid w:val="00054577"/>
    <w:rPr>
      <w:b/>
      <w:sz w:val="28"/>
      <w:szCs w:val="28"/>
    </w:rPr>
  </w:style>
  <w:style w:type="paragraph" w:customStyle="1" w:styleId="ENotesText">
    <w:name w:val="ENotesText"/>
    <w:aliases w:val="Ent"/>
    <w:basedOn w:val="OPCParaBase"/>
    <w:next w:val="Normal"/>
    <w:rsid w:val="006B7006"/>
    <w:pPr>
      <w:spacing w:before="120"/>
    </w:pPr>
  </w:style>
  <w:style w:type="paragraph" w:customStyle="1" w:styleId="CompiledActNo">
    <w:name w:val="CompiledActNo"/>
    <w:basedOn w:val="OPCParaBase"/>
    <w:next w:val="Normal"/>
    <w:rsid w:val="00AD3467"/>
    <w:rPr>
      <w:b/>
      <w:sz w:val="24"/>
      <w:szCs w:val="24"/>
    </w:rPr>
  </w:style>
  <w:style w:type="paragraph" w:customStyle="1" w:styleId="CompiledMadeUnder">
    <w:name w:val="CompiledMadeUnder"/>
    <w:basedOn w:val="OPCParaBase"/>
    <w:next w:val="Normal"/>
    <w:rsid w:val="00AD3467"/>
    <w:rPr>
      <w:i/>
      <w:sz w:val="24"/>
      <w:szCs w:val="24"/>
    </w:rPr>
  </w:style>
  <w:style w:type="paragraph" w:customStyle="1" w:styleId="Paragraphsub-sub-sub">
    <w:name w:val="Paragraph(sub-sub-sub)"/>
    <w:aliases w:val="aaaa"/>
    <w:basedOn w:val="OPCParaBase"/>
    <w:rsid w:val="00A0686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41D7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41D7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41D7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41D7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B7006"/>
    <w:pPr>
      <w:spacing w:before="60" w:line="240" w:lineRule="auto"/>
    </w:pPr>
    <w:rPr>
      <w:rFonts w:cs="Arial"/>
      <w:sz w:val="20"/>
      <w:szCs w:val="22"/>
    </w:rPr>
  </w:style>
  <w:style w:type="paragraph" w:customStyle="1" w:styleId="NoteToSubpara">
    <w:name w:val="NoteToSubpara"/>
    <w:aliases w:val="nts"/>
    <w:basedOn w:val="OPCParaBase"/>
    <w:rsid w:val="00922764"/>
    <w:pPr>
      <w:spacing w:before="40" w:line="198" w:lineRule="exact"/>
      <w:ind w:left="2835" w:hanging="709"/>
    </w:pPr>
    <w:rPr>
      <w:sz w:val="18"/>
    </w:rPr>
  </w:style>
  <w:style w:type="paragraph" w:customStyle="1" w:styleId="ENoteTableHeading">
    <w:name w:val="ENoteTableHeading"/>
    <w:aliases w:val="enth"/>
    <w:basedOn w:val="OPCParaBase"/>
    <w:rsid w:val="001E0A8D"/>
    <w:pPr>
      <w:keepNext/>
      <w:spacing w:before="60" w:line="240" w:lineRule="atLeast"/>
    </w:pPr>
    <w:rPr>
      <w:rFonts w:ascii="Arial" w:hAnsi="Arial"/>
      <w:b/>
      <w:sz w:val="16"/>
    </w:rPr>
  </w:style>
  <w:style w:type="paragraph" w:customStyle="1" w:styleId="ENoteTTi">
    <w:name w:val="ENoteTTi"/>
    <w:aliases w:val="entti"/>
    <w:basedOn w:val="OPCParaBase"/>
    <w:rsid w:val="00640402"/>
    <w:pPr>
      <w:keepNext/>
      <w:spacing w:before="60" w:line="240" w:lineRule="atLeast"/>
      <w:ind w:left="170"/>
    </w:pPr>
    <w:rPr>
      <w:sz w:val="16"/>
    </w:rPr>
  </w:style>
  <w:style w:type="paragraph" w:customStyle="1" w:styleId="ENotesHeading1">
    <w:name w:val="ENotesHeading 1"/>
    <w:aliases w:val="Enh1"/>
    <w:basedOn w:val="OPCParaBase"/>
    <w:next w:val="Normal"/>
    <w:rsid w:val="00000263"/>
    <w:pPr>
      <w:spacing w:before="120"/>
      <w:outlineLvl w:val="1"/>
    </w:pPr>
    <w:rPr>
      <w:b/>
      <w:sz w:val="28"/>
      <w:szCs w:val="28"/>
    </w:rPr>
  </w:style>
  <w:style w:type="paragraph" w:customStyle="1" w:styleId="ENotesHeading2">
    <w:name w:val="ENotesHeading 2"/>
    <w:aliases w:val="Enh2"/>
    <w:basedOn w:val="OPCParaBase"/>
    <w:next w:val="Normal"/>
    <w:rsid w:val="00976A63"/>
    <w:pPr>
      <w:spacing w:before="120" w:after="120"/>
      <w:outlineLvl w:val="2"/>
    </w:pPr>
    <w:rPr>
      <w:b/>
      <w:sz w:val="24"/>
      <w:szCs w:val="28"/>
    </w:rPr>
  </w:style>
  <w:style w:type="paragraph" w:customStyle="1" w:styleId="ENoteTTIndentHeading">
    <w:name w:val="ENoteTTIndentHeading"/>
    <w:aliases w:val="enTTHi"/>
    <w:basedOn w:val="OPCParaBase"/>
    <w:rsid w:val="008A16A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A47A3"/>
    <w:pPr>
      <w:spacing w:before="60" w:line="240" w:lineRule="atLeast"/>
    </w:pPr>
    <w:rPr>
      <w:sz w:val="16"/>
    </w:rPr>
  </w:style>
  <w:style w:type="paragraph" w:customStyle="1" w:styleId="MadeunderText">
    <w:name w:val="MadeunderText"/>
    <w:basedOn w:val="OPCParaBase"/>
    <w:next w:val="CompiledMadeUnder"/>
    <w:rsid w:val="00F8612E"/>
    <w:pPr>
      <w:spacing w:before="240"/>
    </w:pPr>
    <w:rPr>
      <w:sz w:val="24"/>
      <w:szCs w:val="24"/>
    </w:rPr>
  </w:style>
  <w:style w:type="paragraph" w:customStyle="1" w:styleId="ENotesHeading3">
    <w:name w:val="ENotesHeading 3"/>
    <w:aliases w:val="Enh3"/>
    <w:basedOn w:val="OPCParaBase"/>
    <w:next w:val="Normal"/>
    <w:rsid w:val="004819C7"/>
    <w:pPr>
      <w:keepNext/>
      <w:spacing w:before="120" w:line="240" w:lineRule="auto"/>
      <w:outlineLvl w:val="4"/>
    </w:pPr>
    <w:rPr>
      <w:b/>
      <w:szCs w:val="24"/>
    </w:rPr>
  </w:style>
  <w:style w:type="paragraph" w:customStyle="1" w:styleId="SubPartCASA">
    <w:name w:val="SubPart(CASA)"/>
    <w:aliases w:val="csp"/>
    <w:basedOn w:val="OPCParaBase"/>
    <w:next w:val="ActHead3"/>
    <w:rsid w:val="00530CC9"/>
    <w:pPr>
      <w:keepNext/>
      <w:keepLines/>
      <w:spacing w:before="280"/>
      <w:outlineLvl w:val="1"/>
    </w:pPr>
    <w:rPr>
      <w:b/>
      <w:kern w:val="28"/>
      <w:sz w:val="32"/>
    </w:rPr>
  </w:style>
  <w:style w:type="character" w:customStyle="1" w:styleId="CharSubPartTextCASA">
    <w:name w:val="CharSubPartText(CASA)"/>
    <w:basedOn w:val="OPCCharBase"/>
    <w:uiPriority w:val="1"/>
    <w:rsid w:val="000D5485"/>
  </w:style>
  <w:style w:type="character" w:customStyle="1" w:styleId="CharSubPartNoCASA">
    <w:name w:val="CharSubPartNo(CASA)"/>
    <w:basedOn w:val="OPCCharBase"/>
    <w:uiPriority w:val="1"/>
    <w:rsid w:val="0007169C"/>
  </w:style>
  <w:style w:type="paragraph" w:customStyle="1" w:styleId="ENoteTTIndentHeadingSub">
    <w:name w:val="ENoteTTIndentHeadingSub"/>
    <w:aliases w:val="enTTHis"/>
    <w:basedOn w:val="OPCParaBase"/>
    <w:rsid w:val="00A50D55"/>
    <w:pPr>
      <w:keepNext/>
      <w:spacing w:before="60" w:line="240" w:lineRule="atLeast"/>
      <w:ind w:left="340"/>
    </w:pPr>
    <w:rPr>
      <w:b/>
      <w:sz w:val="16"/>
    </w:rPr>
  </w:style>
  <w:style w:type="paragraph" w:customStyle="1" w:styleId="ENoteTTiSub">
    <w:name w:val="ENoteTTiSub"/>
    <w:aliases w:val="enttis"/>
    <w:basedOn w:val="OPCParaBase"/>
    <w:rsid w:val="00CA7844"/>
    <w:pPr>
      <w:keepNext/>
      <w:spacing w:before="60" w:line="240" w:lineRule="atLeast"/>
      <w:ind w:left="340"/>
    </w:pPr>
    <w:rPr>
      <w:sz w:val="16"/>
    </w:rPr>
  </w:style>
  <w:style w:type="paragraph" w:customStyle="1" w:styleId="SubDivisionMigration">
    <w:name w:val="SubDivisionMigration"/>
    <w:aliases w:val="sdm"/>
    <w:basedOn w:val="OPCParaBase"/>
    <w:rsid w:val="004022C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5120E"/>
    <w:pPr>
      <w:keepNext/>
      <w:keepLines/>
      <w:spacing w:before="240" w:line="240" w:lineRule="auto"/>
      <w:ind w:left="1134" w:hanging="1134"/>
    </w:pPr>
    <w:rPr>
      <w:b/>
      <w:sz w:val="28"/>
    </w:rPr>
  </w:style>
  <w:style w:type="paragraph" w:customStyle="1" w:styleId="FreeForm">
    <w:name w:val="FreeForm"/>
    <w:rsid w:val="00FC3EAC"/>
    <w:rPr>
      <w:rFonts w:ascii="Arial" w:hAnsi="Arial"/>
      <w:sz w:val="22"/>
    </w:rPr>
  </w:style>
  <w:style w:type="paragraph" w:customStyle="1" w:styleId="SOText">
    <w:name w:val="SO Text"/>
    <w:aliases w:val="sot"/>
    <w:link w:val="SOTextChar"/>
    <w:rsid w:val="00DA6F0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A6F05"/>
    <w:rPr>
      <w:sz w:val="22"/>
    </w:rPr>
  </w:style>
  <w:style w:type="paragraph" w:customStyle="1" w:styleId="SOTextNote">
    <w:name w:val="SO TextNote"/>
    <w:aliases w:val="sont"/>
    <w:basedOn w:val="SOText"/>
    <w:qFormat/>
    <w:rsid w:val="00B23FAF"/>
    <w:pPr>
      <w:spacing w:before="122" w:line="198" w:lineRule="exact"/>
      <w:ind w:left="1843" w:hanging="709"/>
    </w:pPr>
    <w:rPr>
      <w:sz w:val="18"/>
    </w:rPr>
  </w:style>
  <w:style w:type="paragraph" w:customStyle="1" w:styleId="SOPara">
    <w:name w:val="SO Para"/>
    <w:aliases w:val="soa"/>
    <w:basedOn w:val="SOText"/>
    <w:link w:val="SOParaChar"/>
    <w:qFormat/>
    <w:rsid w:val="00460FBA"/>
    <w:pPr>
      <w:tabs>
        <w:tab w:val="right" w:pos="1786"/>
      </w:tabs>
      <w:spacing w:before="40"/>
      <w:ind w:left="2070" w:hanging="936"/>
    </w:pPr>
  </w:style>
  <w:style w:type="character" w:customStyle="1" w:styleId="SOParaChar">
    <w:name w:val="SO Para Char"/>
    <w:aliases w:val="soa Char"/>
    <w:basedOn w:val="DefaultParagraphFont"/>
    <w:link w:val="SOPara"/>
    <w:rsid w:val="00460FBA"/>
    <w:rPr>
      <w:sz w:val="22"/>
    </w:rPr>
  </w:style>
  <w:style w:type="paragraph" w:customStyle="1" w:styleId="FileName">
    <w:name w:val="FileName"/>
    <w:basedOn w:val="Normal"/>
    <w:rsid w:val="00A379BB"/>
  </w:style>
  <w:style w:type="paragraph" w:customStyle="1" w:styleId="TableHeading">
    <w:name w:val="TableHeading"/>
    <w:aliases w:val="th"/>
    <w:basedOn w:val="OPCParaBase"/>
    <w:next w:val="Tabletext"/>
    <w:rsid w:val="00594956"/>
    <w:pPr>
      <w:keepNext/>
      <w:spacing w:before="60" w:line="240" w:lineRule="atLeast"/>
    </w:pPr>
    <w:rPr>
      <w:b/>
      <w:sz w:val="20"/>
    </w:rPr>
  </w:style>
  <w:style w:type="paragraph" w:customStyle="1" w:styleId="SOHeadBold">
    <w:name w:val="SO HeadBold"/>
    <w:aliases w:val="sohb"/>
    <w:basedOn w:val="SOText"/>
    <w:next w:val="SOText"/>
    <w:link w:val="SOHeadBoldChar"/>
    <w:qFormat/>
    <w:rsid w:val="004600B0"/>
    <w:rPr>
      <w:b/>
    </w:rPr>
  </w:style>
  <w:style w:type="character" w:customStyle="1" w:styleId="SOHeadBoldChar">
    <w:name w:val="SO HeadBold Char"/>
    <w:aliases w:val="sohb Char"/>
    <w:basedOn w:val="DefaultParagraphFont"/>
    <w:link w:val="SOHeadBold"/>
    <w:rsid w:val="004600B0"/>
    <w:rPr>
      <w:b/>
      <w:sz w:val="22"/>
    </w:rPr>
  </w:style>
  <w:style w:type="paragraph" w:customStyle="1" w:styleId="SOHeadItalic">
    <w:name w:val="SO HeadItalic"/>
    <w:aliases w:val="sohi"/>
    <w:basedOn w:val="SOText"/>
    <w:next w:val="SOText"/>
    <w:link w:val="SOHeadItalicChar"/>
    <w:qFormat/>
    <w:rsid w:val="00BA7B5B"/>
    <w:rPr>
      <w:i/>
    </w:rPr>
  </w:style>
  <w:style w:type="character" w:customStyle="1" w:styleId="SOHeadItalicChar">
    <w:name w:val="SO HeadItalic Char"/>
    <w:aliases w:val="sohi Char"/>
    <w:basedOn w:val="DefaultParagraphFont"/>
    <w:link w:val="SOHeadItalic"/>
    <w:rsid w:val="00BA7B5B"/>
    <w:rPr>
      <w:i/>
      <w:sz w:val="22"/>
    </w:rPr>
  </w:style>
  <w:style w:type="paragraph" w:customStyle="1" w:styleId="SOBullet">
    <w:name w:val="SO Bullet"/>
    <w:aliases w:val="sotb"/>
    <w:basedOn w:val="SOText"/>
    <w:link w:val="SOBulletChar"/>
    <w:qFormat/>
    <w:rsid w:val="003222D1"/>
    <w:pPr>
      <w:ind w:left="1559" w:hanging="425"/>
    </w:pPr>
  </w:style>
  <w:style w:type="character" w:customStyle="1" w:styleId="SOBulletChar">
    <w:name w:val="SO Bullet Char"/>
    <w:aliases w:val="sotb Char"/>
    <w:basedOn w:val="DefaultParagraphFont"/>
    <w:link w:val="SOBullet"/>
    <w:rsid w:val="003222D1"/>
    <w:rPr>
      <w:sz w:val="22"/>
    </w:rPr>
  </w:style>
  <w:style w:type="paragraph" w:customStyle="1" w:styleId="SOBulletNote">
    <w:name w:val="SO BulletNote"/>
    <w:aliases w:val="sonb"/>
    <w:basedOn w:val="SOTextNote"/>
    <w:link w:val="SOBulletNoteChar"/>
    <w:qFormat/>
    <w:rsid w:val="00C50F4A"/>
    <w:pPr>
      <w:tabs>
        <w:tab w:val="left" w:pos="1560"/>
      </w:tabs>
      <w:ind w:left="2268" w:hanging="1134"/>
    </w:pPr>
  </w:style>
  <w:style w:type="character" w:customStyle="1" w:styleId="SOBulletNoteChar">
    <w:name w:val="SO BulletNote Char"/>
    <w:aliases w:val="sonb Char"/>
    <w:basedOn w:val="DefaultParagraphFont"/>
    <w:link w:val="SOBulletNote"/>
    <w:rsid w:val="00C50F4A"/>
    <w:rPr>
      <w:sz w:val="18"/>
    </w:rPr>
  </w:style>
  <w:style w:type="character" w:customStyle="1" w:styleId="subsectionChar">
    <w:name w:val="subsection Char"/>
    <w:aliases w:val="ss Char"/>
    <w:basedOn w:val="DefaultParagraphFont"/>
    <w:link w:val="subsection"/>
    <w:locked/>
    <w:rsid w:val="006065DA"/>
    <w:rPr>
      <w:rFonts w:eastAsia="Times New Roman" w:cs="Times New Roman"/>
      <w:sz w:val="22"/>
      <w:lang w:eastAsia="en-AU"/>
    </w:rPr>
  </w:style>
  <w:style w:type="paragraph" w:customStyle="1" w:styleId="BodyNum">
    <w:name w:val="BodyNum"/>
    <w:aliases w:val="b1"/>
    <w:basedOn w:val="OPCParaBase"/>
    <w:rsid w:val="006065DA"/>
    <w:pPr>
      <w:numPr>
        <w:numId w:val="13"/>
      </w:numPr>
      <w:spacing w:before="240" w:line="240" w:lineRule="auto"/>
    </w:pPr>
    <w:rPr>
      <w:sz w:val="24"/>
    </w:rPr>
  </w:style>
  <w:style w:type="paragraph" w:customStyle="1" w:styleId="BodyPara">
    <w:name w:val="BodyPara"/>
    <w:aliases w:val="ba"/>
    <w:basedOn w:val="OPCParaBase"/>
    <w:rsid w:val="006065DA"/>
    <w:pPr>
      <w:numPr>
        <w:ilvl w:val="1"/>
        <w:numId w:val="13"/>
      </w:numPr>
      <w:spacing w:before="240" w:line="240" w:lineRule="auto"/>
    </w:pPr>
    <w:rPr>
      <w:sz w:val="24"/>
    </w:rPr>
  </w:style>
  <w:style w:type="numbering" w:customStyle="1" w:styleId="OPCBodyList">
    <w:name w:val="OPCBodyList"/>
    <w:uiPriority w:val="99"/>
    <w:rsid w:val="006065DA"/>
    <w:pPr>
      <w:numPr>
        <w:numId w:val="13"/>
      </w:numPr>
    </w:pPr>
  </w:style>
  <w:style w:type="paragraph" w:customStyle="1" w:styleId="Head1">
    <w:name w:val="Head 1"/>
    <w:aliases w:val="1"/>
    <w:basedOn w:val="OPCParaBase"/>
    <w:next w:val="BodyNum"/>
    <w:rsid w:val="006065DA"/>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6065DA"/>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6065DA"/>
    <w:pPr>
      <w:keepNext/>
      <w:spacing w:before="240" w:after="60" w:line="240" w:lineRule="auto"/>
      <w:outlineLvl w:val="2"/>
    </w:pPr>
    <w:rPr>
      <w:rFonts w:ascii="Arial" w:hAnsi="Arial"/>
      <w:b/>
      <w:i/>
      <w:kern w:val="28"/>
      <w:sz w:val="26"/>
    </w:rPr>
  </w:style>
  <w:style w:type="character" w:customStyle="1" w:styleId="Heading6Char">
    <w:name w:val="Heading 6 Char"/>
    <w:aliases w:val="ES-HRS Title Char"/>
    <w:basedOn w:val="DefaultParagraphFont"/>
    <w:link w:val="Heading6"/>
    <w:rsid w:val="009A6866"/>
    <w:rPr>
      <w:rFonts w:ascii="Arial" w:eastAsia="Times New Roman" w:hAnsi="Arial" w:cs="Times New Roman"/>
      <w:b/>
      <w:noProof/>
      <w:kern w:val="28"/>
      <w:sz w:val="28"/>
      <w:lang w:eastAsia="en-AU"/>
    </w:rPr>
  </w:style>
  <w:style w:type="character" w:customStyle="1" w:styleId="Heading1Char">
    <w:name w:val="Heading 1 Char"/>
    <w:aliases w:val="Document/Determination Title Char"/>
    <w:basedOn w:val="DefaultParagraphFont"/>
    <w:link w:val="Heading1"/>
    <w:rsid w:val="00DB64F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Chapter Char"/>
    <w:basedOn w:val="DefaultParagraphFont"/>
    <w:link w:val="Heading2"/>
    <w:uiPriority w:val="9"/>
    <w:rsid w:val="004C5A5D"/>
    <w:rPr>
      <w:rFonts w:ascii="Arial" w:eastAsia="Times New Roman" w:hAnsi="Arial" w:cs="Times New Roman"/>
      <w:b/>
      <w:sz w:val="30"/>
      <w:lang w:eastAsia="en-AU"/>
    </w:rPr>
  </w:style>
  <w:style w:type="character" w:customStyle="1" w:styleId="Heading3Char">
    <w:name w:val="Heading 3 Char"/>
    <w:aliases w:val="Part Char"/>
    <w:basedOn w:val="DefaultParagraphFont"/>
    <w:link w:val="Heading3"/>
    <w:uiPriority w:val="9"/>
    <w:rsid w:val="004C5A5D"/>
    <w:rPr>
      <w:rFonts w:ascii="Arial Bold" w:eastAsia="Times New Roman" w:hAnsi="Arial Bold" w:cs="Times New Roman"/>
      <w:sz w:val="27"/>
      <w:lang w:eastAsia="en-AU"/>
    </w:rPr>
  </w:style>
  <w:style w:type="character" w:customStyle="1" w:styleId="Heading4Char">
    <w:name w:val="Heading 4 Char"/>
    <w:aliases w:val="Division Char"/>
    <w:basedOn w:val="DefaultParagraphFont"/>
    <w:link w:val="Heading4"/>
    <w:uiPriority w:val="9"/>
    <w:rsid w:val="004C5A5D"/>
    <w:rPr>
      <w:rFonts w:ascii="Arial Bold" w:eastAsia="Times New Roman" w:hAnsi="Arial Bold" w:cs="Times New Roman"/>
      <w:sz w:val="27"/>
      <w:lang w:eastAsia="en-AU"/>
    </w:rPr>
  </w:style>
  <w:style w:type="character" w:customStyle="1" w:styleId="Heading5Char">
    <w:name w:val="Heading 5 Char"/>
    <w:aliases w:val="Clause/Block Label Char"/>
    <w:basedOn w:val="DefaultParagraphFont"/>
    <w:link w:val="Heading5"/>
    <w:rsid w:val="00991733"/>
    <w:rPr>
      <w:rFonts w:ascii="Arial" w:eastAsiaTheme="majorEastAsia" w:hAnsi="Arial" w:cstheme="majorBidi"/>
      <w:b/>
      <w:sz w:val="22"/>
    </w:rPr>
  </w:style>
  <w:style w:type="character" w:customStyle="1" w:styleId="Heading7Char">
    <w:name w:val="Heading 7 Char"/>
    <w:basedOn w:val="DefaultParagraphFont"/>
    <w:link w:val="Heading7"/>
    <w:uiPriority w:val="9"/>
    <w:semiHidden/>
    <w:rsid w:val="00DB64F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DB64F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B64FC"/>
    <w:rPr>
      <w:rFonts w:asciiTheme="majorHAnsi" w:eastAsiaTheme="majorEastAsia" w:hAnsiTheme="majorHAnsi" w:cstheme="majorBidi"/>
      <w:i/>
      <w:iCs/>
      <w:color w:val="404040" w:themeColor="text1" w:themeTint="BF"/>
    </w:rPr>
  </w:style>
  <w:style w:type="paragraph" w:customStyle="1" w:styleId="Sectiontext">
    <w:name w:val="Section text"/>
    <w:basedOn w:val="Normal"/>
    <w:link w:val="SectiontextChar"/>
    <w:qFormat/>
    <w:rsid w:val="003F506B"/>
    <w:pPr>
      <w:spacing w:after="200" w:line="240" w:lineRule="auto"/>
    </w:pPr>
    <w:rPr>
      <w:rFonts w:ascii="Arial" w:eastAsia="Times New Roman" w:hAnsi="Arial" w:cs="Times New Roman"/>
      <w:sz w:val="20"/>
      <w:lang w:eastAsia="en-AU"/>
    </w:rPr>
  </w:style>
  <w:style w:type="character" w:customStyle="1" w:styleId="SectiontextChar">
    <w:name w:val="Section text Char"/>
    <w:basedOn w:val="DefaultParagraphFont"/>
    <w:link w:val="Sectiontext"/>
    <w:rsid w:val="003F506B"/>
    <w:rPr>
      <w:rFonts w:ascii="Arial" w:eastAsia="Times New Roman" w:hAnsi="Arial" w:cs="Times New Roman"/>
      <w:lang w:eastAsia="en-AU"/>
    </w:rPr>
  </w:style>
  <w:style w:type="character" w:styleId="CommentReference">
    <w:name w:val="annotation reference"/>
    <w:basedOn w:val="DefaultParagraphFont"/>
    <w:uiPriority w:val="99"/>
    <w:semiHidden/>
    <w:unhideWhenUsed/>
    <w:rsid w:val="00E86DED"/>
    <w:rPr>
      <w:sz w:val="16"/>
      <w:szCs w:val="16"/>
    </w:rPr>
  </w:style>
  <w:style w:type="paragraph" w:styleId="CommentText">
    <w:name w:val="annotation text"/>
    <w:basedOn w:val="Normal"/>
    <w:link w:val="CommentTextChar"/>
    <w:uiPriority w:val="99"/>
    <w:semiHidden/>
    <w:unhideWhenUsed/>
    <w:rsid w:val="00E86DED"/>
    <w:pPr>
      <w:spacing w:line="240" w:lineRule="auto"/>
    </w:pPr>
    <w:rPr>
      <w:sz w:val="20"/>
    </w:rPr>
  </w:style>
  <w:style w:type="character" w:customStyle="1" w:styleId="CommentTextChar">
    <w:name w:val="Comment Text Char"/>
    <w:basedOn w:val="DefaultParagraphFont"/>
    <w:link w:val="CommentText"/>
    <w:uiPriority w:val="99"/>
    <w:semiHidden/>
    <w:rsid w:val="00E86DED"/>
  </w:style>
  <w:style w:type="paragraph" w:styleId="CommentSubject">
    <w:name w:val="annotation subject"/>
    <w:basedOn w:val="CommentText"/>
    <w:next w:val="CommentText"/>
    <w:link w:val="CommentSubjectChar"/>
    <w:uiPriority w:val="99"/>
    <w:semiHidden/>
    <w:unhideWhenUsed/>
    <w:rsid w:val="00E86DED"/>
    <w:rPr>
      <w:b/>
      <w:bCs/>
    </w:rPr>
  </w:style>
  <w:style w:type="character" w:customStyle="1" w:styleId="CommentSubjectChar">
    <w:name w:val="Comment Subject Char"/>
    <w:basedOn w:val="CommentTextChar"/>
    <w:link w:val="CommentSubject"/>
    <w:uiPriority w:val="99"/>
    <w:semiHidden/>
    <w:rsid w:val="00E86DED"/>
    <w:rPr>
      <w:b/>
      <w:bCs/>
    </w:rPr>
  </w:style>
  <w:style w:type="paragraph" w:customStyle="1" w:styleId="TableHeaderArial">
    <w:name w:val="Table Header (Arial)"/>
    <w:basedOn w:val="Normal"/>
    <w:rsid w:val="004C5A5D"/>
    <w:pPr>
      <w:keepNext/>
      <w:keepLines/>
      <w:spacing w:before="40" w:after="20" w:line="240" w:lineRule="auto"/>
      <w:jc w:val="center"/>
    </w:pPr>
    <w:rPr>
      <w:rFonts w:ascii="Arial" w:eastAsia="Times New Roman" w:hAnsi="Arial" w:cs="Times New Roman"/>
      <w:b/>
      <w:sz w:val="20"/>
      <w:lang w:eastAsia="en-AU"/>
    </w:rPr>
  </w:style>
  <w:style w:type="paragraph" w:customStyle="1" w:styleId="TableTextArial-left">
    <w:name w:val="Table Text (Arial - left)"/>
    <w:basedOn w:val="Normal"/>
    <w:rsid w:val="004C5A5D"/>
    <w:pPr>
      <w:spacing w:before="20" w:after="20" w:line="240" w:lineRule="auto"/>
    </w:pPr>
    <w:rPr>
      <w:rFonts w:ascii="Arial" w:eastAsia="Times New Roman" w:hAnsi="Arial" w:cs="Times New Roman"/>
      <w:sz w:val="20"/>
      <w:lang w:eastAsia="en-AU"/>
    </w:rPr>
  </w:style>
  <w:style w:type="paragraph" w:customStyle="1" w:styleId="TableTextArial-ctrd">
    <w:name w:val="Table Text (Arial - ctrd)"/>
    <w:basedOn w:val="Normal"/>
    <w:rsid w:val="004C5A5D"/>
    <w:pPr>
      <w:widowControl w:val="0"/>
      <w:numPr>
        <w:ilvl w:val="12"/>
      </w:numPr>
      <w:spacing w:before="20" w:line="240" w:lineRule="auto"/>
      <w:jc w:val="center"/>
    </w:pPr>
    <w:rPr>
      <w:rFonts w:ascii="Arial" w:eastAsia="Times New Roman" w:hAnsi="Arial" w:cs="Times New Roman"/>
      <w:sz w:val="20"/>
      <w:lang w:eastAsia="en-AU"/>
    </w:rPr>
  </w:style>
  <w:style w:type="paragraph" w:customStyle="1" w:styleId="BlockText-PlainNoSpacing">
    <w:name w:val="Block Text - Plain (No Spacing)"/>
    <w:basedOn w:val="Normal"/>
    <w:link w:val="BlockText-PlainNoSpacingChar"/>
    <w:rsid w:val="000C696D"/>
    <w:pPr>
      <w:keepNext/>
      <w:keepLines/>
      <w:spacing w:before="20" w:after="20" w:line="240" w:lineRule="auto"/>
    </w:pPr>
    <w:rPr>
      <w:rFonts w:ascii="Arial" w:eastAsia="Times New Roman" w:hAnsi="Arial" w:cs="Times New Roman"/>
      <w:sz w:val="20"/>
      <w:lang w:eastAsia="en-AU"/>
    </w:rPr>
  </w:style>
  <w:style w:type="character" w:customStyle="1" w:styleId="BlockText-PlainNoSpacingChar">
    <w:name w:val="Block Text - Plain (No Spacing) Char"/>
    <w:link w:val="BlockText-PlainNoSpacing"/>
    <w:rsid w:val="000C696D"/>
    <w:rPr>
      <w:rFonts w:ascii="Arial" w:eastAsia="Times New Roman" w:hAnsi="Arial" w:cs="Times New Roman"/>
      <w:lang w:eastAsia="en-AU"/>
    </w:rPr>
  </w:style>
  <w:style w:type="character" w:styleId="PlaceholderText">
    <w:name w:val="Placeholder Text"/>
    <w:basedOn w:val="DefaultParagraphFont"/>
    <w:uiPriority w:val="99"/>
    <w:semiHidden/>
    <w:rsid w:val="007E3976"/>
    <w:rPr>
      <w:color w:val="808080"/>
    </w:rPr>
  </w:style>
  <w:style w:type="paragraph" w:customStyle="1" w:styleId="BlockText-Plain">
    <w:name w:val="Block Text- Plain"/>
    <w:basedOn w:val="Normal"/>
    <w:link w:val="BlockText-PlainChar"/>
    <w:rsid w:val="00BC00AA"/>
    <w:pPr>
      <w:spacing w:after="200" w:line="240" w:lineRule="auto"/>
    </w:pPr>
    <w:rPr>
      <w:rFonts w:ascii="Arial" w:eastAsia="Times New Roman" w:hAnsi="Arial" w:cs="Times New Roman"/>
      <w:sz w:val="20"/>
      <w:lang w:eastAsia="en-AU"/>
    </w:rPr>
  </w:style>
  <w:style w:type="character" w:customStyle="1" w:styleId="BlockText-PlainChar">
    <w:name w:val="Block Text- Plain Char"/>
    <w:basedOn w:val="DefaultParagraphFont"/>
    <w:link w:val="BlockText-Plain"/>
    <w:rsid w:val="00BC00AA"/>
    <w:rPr>
      <w:rFonts w:ascii="Arial" w:eastAsia="Times New Roman" w:hAnsi="Arial" w:cs="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484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mcculloch1\AppData\Local\Microsoft\Windows\INetCache\IE\3F7IOAGJ\template_-_amending_instr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d4956981-af34-43b5-9bb9-127b84748104" xsi:nil="true"/>
    <Drafter xmlns="d4956981-af34-43b5-9bb9-127b84748104"/>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97A4D2AC3D9C944A3BA2E3956678696" ma:contentTypeVersion="19" ma:contentTypeDescription="Create a new document." ma:contentTypeScope="" ma:versionID="f16467a35a7962543327fd4c0ae2f62f">
  <xsd:schema xmlns:xsd="http://www.w3.org/2001/XMLSchema" xmlns:xs="http://www.w3.org/2001/XMLSchema" xmlns:p="http://schemas.microsoft.com/office/2006/metadata/properties" xmlns:ns2="d4956981-af34-43b5-9bb9-127b84748104" xmlns:ns3="8a6f563f-2bdb-41f3-82d1-8dc8753557f6" targetNamespace="http://schemas.microsoft.com/office/2006/metadata/properties" ma:root="true" ma:fieldsID="036868ca51fd2b2b108cb6a3e0e1af30" ns2:_="" ns3:_="">
    <xsd:import namespace="d4956981-af34-43b5-9bb9-127b84748104"/>
    <xsd:import namespace="8a6f563f-2bdb-41f3-82d1-8dc8753557f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AutoKeyPoints" minOccurs="0"/>
                <xsd:element ref="ns2:MediaServiceKeyPoints" minOccurs="0"/>
                <xsd:element ref="ns2:MediaServiceDateTaken" minOccurs="0"/>
                <xsd:element ref="ns2:_Flow_SignoffStatus" minOccurs="0"/>
                <xsd:element ref="ns2:MediaServiceLocation" minOccurs="0"/>
                <xsd:element ref="ns2:Draf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956981-af34-43b5-9bb9-127b847481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_Flow_SignoffStatus" ma:index="19" nillable="true" ma:displayName="Sign-off status" ma:internalName="Sign_x002d_off_x0020_status">
      <xsd:simpleType>
        <xsd:restriction base="dms:Text"/>
      </xsd:simpleType>
    </xsd:element>
    <xsd:element name="MediaServiceLocation" ma:index="20" nillable="true" ma:displayName="Location" ma:internalName="MediaServiceLocation" ma:readOnly="true">
      <xsd:simpleType>
        <xsd:restriction base="dms:Text"/>
      </xsd:simpleType>
    </xsd:element>
    <xsd:element name="Drafter" ma:index="21" nillable="true" ma:displayName="Drafter" ma:format="Dropdown" ma:internalName="Drafter">
      <xsd:complexType>
        <xsd:complexContent>
          <xsd:extension base="dms:MultiChoice">
            <xsd:sequence>
              <xsd:element name="Value" maxOccurs="unbounded" minOccurs="0" nillable="true">
                <xsd:simpleType>
                  <xsd:restriction base="dms:Choice">
                    <xsd:enumeration value="Jeremy"/>
                    <xsd:enumeration value="Yvette"/>
                    <xsd:enumeration value="Debbie"/>
                    <xsd:enumeration value="Karen"/>
                    <xsd:enumeration value="Jenn"/>
                    <xsd:enumeration value="David"/>
                    <xsd:enumeration value="Michael"/>
                    <xsd:enumeration value="Leah"/>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a6f563f-2bdb-41f3-82d1-8dc8753557f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AE5566-4E0C-4E7D-9999-5C4E0E14F6C9}">
  <ds:schemaRefs>
    <ds:schemaRef ds:uri="http://schemas.microsoft.com/sharepoint/v3/contenttype/forms"/>
  </ds:schemaRefs>
</ds:datastoreItem>
</file>

<file path=customXml/itemProps2.xml><?xml version="1.0" encoding="utf-8"?>
<ds:datastoreItem xmlns:ds="http://schemas.openxmlformats.org/officeDocument/2006/customXml" ds:itemID="{2DA11F83-DD14-4CEE-AC23-8FE7D146EB58}">
  <ds:schemaRefs>
    <ds:schemaRef ds:uri="http://schemas.microsoft.com/office/2006/metadata/properties"/>
    <ds:schemaRef ds:uri="http://schemas.microsoft.com/office/infopath/2007/PartnerControls"/>
    <ds:schemaRef ds:uri="d4956981-af34-43b5-9bb9-127b84748104"/>
  </ds:schemaRefs>
</ds:datastoreItem>
</file>

<file path=customXml/itemProps3.xml><?xml version="1.0" encoding="utf-8"?>
<ds:datastoreItem xmlns:ds="http://schemas.openxmlformats.org/officeDocument/2006/customXml" ds:itemID="{90058D4B-7D34-4682-88AA-568606BEB4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956981-af34-43b5-9bb9-127b84748104"/>
    <ds:schemaRef ds:uri="8a6f563f-2bdb-41f3-82d1-8dc8753557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544044-B91F-4267-9CCB-17055ABDF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template_-_amending_instrument.dotx</Template>
  <TotalTime>103</TotalTime>
  <Pages>3</Pages>
  <Words>701</Words>
  <Characters>3996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McCulloch, Michael MR 1</dc:creator>
  <cp:lastModifiedBy>Bellew, Leah MS</cp:lastModifiedBy>
  <cp:revision>47</cp:revision>
  <cp:lastPrinted>2019-05-12T23:26:00Z</cp:lastPrinted>
  <dcterms:created xsi:type="dcterms:W3CDTF">2020-02-12T02:58:00Z</dcterms:created>
  <dcterms:modified xsi:type="dcterms:W3CDTF">2025-06-22T23:45:00Z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BN101876047</vt:lpwstr>
  </property>
  <property fmtid="{D5CDD505-2E9C-101B-9397-08002B2CF9AE}" pid="4" name="Objective-Title">
    <vt:lpwstr>ES - Individual det - SGT SMITH - suitable own home</vt:lpwstr>
  </property>
  <property fmtid="{D5CDD505-2E9C-101B-9397-08002B2CF9AE}" pid="5" name="Objective-Comment">
    <vt:lpwstr/>
  </property>
  <property fmtid="{D5CDD505-2E9C-101B-9397-08002B2CF9AE}" pid="6" name="Objective-CreationStamp">
    <vt:filetime>2025-05-16T03:48:00Z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2025-06-22T23:46:00Z</vt:filetime>
  </property>
  <property fmtid="{D5CDD505-2E9C-101B-9397-08002B2CF9AE}" pid="10" name="Objective-ModificationStamp">
    <vt:filetime>2025-06-22T23:46:00Z</vt:filetime>
  </property>
  <property fmtid="{D5CDD505-2E9C-101B-9397-08002B2CF9AE}" pid="11" name="Objective-Owner">
    <vt:lpwstr>Bellew, Leah Ms</vt:lpwstr>
  </property>
  <property fmtid="{D5CDD505-2E9C-101B-9397-08002B2CF9AE}" pid="12" name="Objective-Path">
    <vt:lpwstr>Objective Global Folder - PROD:Defence Business Units:Associate Secretary Organisation:Defence People Group:DEPSEC - People Strategy Organisation:People Policy &amp; Development:PPEC : Personnel Policy and Employment Conditions:20 - Directorates:20 Drafting and Engagement:02. Legislative Drafting team:02. DE Instruments:02. Determinations and Instruments:Defence Act 1903:s58B Defence Act 1903:02. 2025 Individual Determinations 58B:58B - 2025/10 - Individual determination - 8559423 SGT J Smith - suitable own home:02. Determination:</vt:lpwstr>
  </property>
  <property fmtid="{D5CDD505-2E9C-101B-9397-08002B2CF9AE}" pid="13" name="Objective-Parent">
    <vt:lpwstr>02. Determination</vt:lpwstr>
  </property>
  <property fmtid="{D5CDD505-2E9C-101B-9397-08002B2CF9AE}" pid="14" name="Objective-State">
    <vt:lpwstr>Published</vt:lpwstr>
  </property>
  <property fmtid="{D5CDD505-2E9C-101B-9397-08002B2CF9AE}" pid="15" name="Objective-Version">
    <vt:lpwstr>10.0</vt:lpwstr>
  </property>
  <property fmtid="{D5CDD505-2E9C-101B-9397-08002B2CF9AE}" pid="16" name="Objective-VersionNumber">
    <vt:i4>12</vt:i4>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Official]</vt:lpwstr>
  </property>
  <property fmtid="{D5CDD505-2E9C-101B-9397-08002B2CF9AE}" pid="20" name="Objective-Caveats">
    <vt:lpwstr/>
  </property>
  <property fmtid="{D5CDD505-2E9C-101B-9397-08002B2CF9AE}" pid="21" name="Objective-Document Type [system]">
    <vt:lpwstr/>
  </property>
  <property fmtid="{D5CDD505-2E9C-101B-9397-08002B2CF9AE}" pid="22" name="ContentTypeId">
    <vt:lpwstr>0x010100897A4D2AC3D9C944A3BA2E3956678696</vt:lpwstr>
  </property>
  <property fmtid="{D5CDD505-2E9C-101B-9397-08002B2CF9AE}" pid="23" name="Objective-Reason for Security Classification Change [system]">
    <vt:lpwstr/>
  </property>
</Properties>
</file>