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8F39F6" w:rsidRDefault="368418BA" w:rsidP="000C310A">
      <w:pPr>
        <w:pStyle w:val="Title"/>
      </w:pPr>
      <w:r>
        <w:t>EXPLANATORY STATEMENT</w:t>
      </w:r>
    </w:p>
    <w:p w14:paraId="0A64FA7B" w14:textId="77777777" w:rsidR="009B7CC2" w:rsidRPr="000C310A" w:rsidRDefault="009B7CC2" w:rsidP="009B7CC2">
      <w:pPr>
        <w:pStyle w:val="Subtitle"/>
        <w:rPr>
          <w:rStyle w:val="IntenseEmphasis"/>
          <w:color w:val="auto"/>
          <w:highlight w:val="yellow"/>
        </w:rPr>
      </w:pPr>
      <w:r w:rsidRPr="000C310A">
        <w:rPr>
          <w:rStyle w:val="IntenseEmphasis"/>
          <w:color w:val="auto"/>
        </w:rPr>
        <w:t>Issued by the authority o</w:t>
      </w:r>
      <w:r>
        <w:rPr>
          <w:rStyle w:val="IntenseEmphasis"/>
          <w:color w:val="auto"/>
        </w:rPr>
        <w:t>f the Minister for Education</w:t>
      </w:r>
    </w:p>
    <w:p w14:paraId="12EB6806" w14:textId="5EE9F117" w:rsidR="00455C2A" w:rsidRPr="009D0999" w:rsidRDefault="009B7CC2" w:rsidP="009B7CC2">
      <w:pPr>
        <w:pStyle w:val="Subtitle"/>
        <w:rPr>
          <w:highlight w:val="yellow"/>
        </w:rPr>
      </w:pPr>
      <w:r w:rsidRPr="00A90E04">
        <w:t>Higher Education Support Act 2003</w:t>
      </w:r>
    </w:p>
    <w:p w14:paraId="6C026A0C" w14:textId="026450EC" w:rsidR="00503218" w:rsidRPr="0088497A" w:rsidRDefault="003A0666" w:rsidP="000C310A">
      <w:pPr>
        <w:pStyle w:val="Subtitle"/>
      </w:pPr>
      <w:r w:rsidRPr="7BC75282">
        <w:t xml:space="preserve">Higher Education Support (Other Grants) Amendment (Commonwealth </w:t>
      </w:r>
      <w:proofErr w:type="spellStart"/>
      <w:r w:rsidRPr="7BC75282">
        <w:t>Prac</w:t>
      </w:r>
      <w:proofErr w:type="spellEnd"/>
      <w:r w:rsidRPr="7BC75282">
        <w:t xml:space="preserve"> Payment) Guidelines 202</w:t>
      </w:r>
      <w:r w:rsidR="000F1BE6" w:rsidRPr="7BC75282">
        <w:t>5</w:t>
      </w:r>
    </w:p>
    <w:p w14:paraId="33AB2D38" w14:textId="77777777" w:rsidR="00455C2A" w:rsidRPr="009D0999" w:rsidRDefault="00144950" w:rsidP="000C310A">
      <w:pPr>
        <w:pStyle w:val="Heading1"/>
      </w:pPr>
      <w:bookmarkStart w:id="0" w:name="_Toc23942238"/>
      <w:bookmarkStart w:id="1" w:name="_Toc34293358"/>
      <w:r w:rsidRPr="009D0999">
        <w:t>AUTHORITY</w:t>
      </w:r>
    </w:p>
    <w:p w14:paraId="51C83623" w14:textId="752B1175" w:rsidR="00925230" w:rsidRPr="00D70F64" w:rsidRDefault="7F1C318A" w:rsidP="367BCE8E">
      <w:pPr>
        <w:spacing w:before="120" w:after="120"/>
        <w:rPr>
          <w:rFonts w:asciiTheme="minorHAnsi" w:hAnsiTheme="minorHAnsi"/>
        </w:rPr>
      </w:pPr>
      <w:r w:rsidRPr="367BCE8E">
        <w:rPr>
          <w:rFonts w:asciiTheme="minorHAnsi" w:hAnsiTheme="minorHAnsi"/>
        </w:rPr>
        <w:t xml:space="preserve">Section 238-10 of the </w:t>
      </w:r>
      <w:r w:rsidRPr="367BCE8E">
        <w:rPr>
          <w:rFonts w:asciiTheme="minorHAnsi" w:hAnsiTheme="minorHAnsi"/>
          <w:i/>
          <w:iCs/>
        </w:rPr>
        <w:t>Higher Education Support Act 2003</w:t>
      </w:r>
      <w:r w:rsidRPr="367BCE8E">
        <w:rPr>
          <w:rFonts w:asciiTheme="minorHAnsi" w:hAnsiTheme="minorHAnsi"/>
        </w:rPr>
        <w:t xml:space="preserve"> (</w:t>
      </w:r>
      <w:r w:rsidR="24E5186A" w:rsidRPr="367BCE8E">
        <w:rPr>
          <w:rFonts w:asciiTheme="minorHAnsi" w:hAnsiTheme="minorHAnsi"/>
        </w:rPr>
        <w:t>the Act</w:t>
      </w:r>
      <w:r w:rsidRPr="367BCE8E">
        <w:rPr>
          <w:rFonts w:asciiTheme="minorHAnsi" w:hAnsiTheme="minorHAnsi"/>
        </w:rPr>
        <w:t xml:space="preserve">) provides that the Minister may make guidelines for the purposes of the Act. </w:t>
      </w:r>
      <w:proofErr w:type="gramStart"/>
      <w:r w:rsidRPr="367BCE8E">
        <w:rPr>
          <w:rFonts w:asciiTheme="minorHAnsi" w:hAnsiTheme="minorHAnsi"/>
        </w:rPr>
        <w:t>In particular, item</w:t>
      </w:r>
      <w:proofErr w:type="gramEnd"/>
      <w:r w:rsidRPr="367BCE8E">
        <w:rPr>
          <w:rFonts w:asciiTheme="minorHAnsi" w:hAnsiTheme="minorHAnsi"/>
        </w:rPr>
        <w:t xml:space="preserve"> </w:t>
      </w:r>
      <w:r w:rsidR="20D6103D" w:rsidRPr="367BCE8E">
        <w:rPr>
          <w:rFonts w:asciiTheme="minorHAnsi" w:hAnsiTheme="minorHAnsi"/>
        </w:rPr>
        <w:t>8</w:t>
      </w:r>
      <w:r w:rsidRPr="367BCE8E">
        <w:rPr>
          <w:rFonts w:asciiTheme="minorHAnsi" w:hAnsiTheme="minorHAnsi"/>
        </w:rPr>
        <w:t xml:space="preserve"> of the table at s</w:t>
      </w:r>
      <w:r w:rsidR="3F552C7F" w:rsidRPr="367BCE8E">
        <w:rPr>
          <w:rFonts w:asciiTheme="minorHAnsi" w:hAnsiTheme="minorHAnsi"/>
        </w:rPr>
        <w:t>ubs</w:t>
      </w:r>
      <w:r w:rsidRPr="367BCE8E">
        <w:rPr>
          <w:rFonts w:asciiTheme="minorHAnsi" w:hAnsiTheme="minorHAnsi"/>
        </w:rPr>
        <w:t>ection</w:t>
      </w:r>
      <w:r w:rsidR="0C316B65" w:rsidRPr="367BCE8E">
        <w:rPr>
          <w:rFonts w:asciiTheme="minorHAnsi" w:hAnsiTheme="minorHAnsi"/>
        </w:rPr>
        <w:t> </w:t>
      </w:r>
      <w:r w:rsidRPr="367BCE8E">
        <w:rPr>
          <w:rFonts w:asciiTheme="minorHAnsi" w:hAnsiTheme="minorHAnsi"/>
        </w:rPr>
        <w:t>238-10</w:t>
      </w:r>
      <w:r w:rsidR="3F552C7F" w:rsidRPr="367BCE8E">
        <w:rPr>
          <w:rFonts w:asciiTheme="minorHAnsi" w:hAnsiTheme="minorHAnsi"/>
        </w:rPr>
        <w:t>(1)</w:t>
      </w:r>
      <w:r w:rsidRPr="367BCE8E">
        <w:rPr>
          <w:rFonts w:asciiTheme="minorHAnsi" w:hAnsiTheme="minorHAnsi"/>
        </w:rPr>
        <w:t xml:space="preserve"> </w:t>
      </w:r>
      <w:r w:rsidR="58770B30" w:rsidRPr="367BCE8E">
        <w:rPr>
          <w:rFonts w:asciiTheme="minorHAnsi" w:hAnsiTheme="minorHAnsi"/>
        </w:rPr>
        <w:t xml:space="preserve">specifies that the Minister may make </w:t>
      </w:r>
      <w:r w:rsidR="53C59572" w:rsidRPr="367BCE8E">
        <w:rPr>
          <w:rFonts w:asciiTheme="minorHAnsi" w:hAnsiTheme="minorHAnsi"/>
        </w:rPr>
        <w:t xml:space="preserve">Other Grants Guidelines to, amongst other things, provide for matters necessary or convenient to be provided </w:t>
      </w:r>
      <w:proofErr w:type="gramStart"/>
      <w:r w:rsidR="53C59572" w:rsidRPr="367BCE8E">
        <w:rPr>
          <w:rFonts w:asciiTheme="minorHAnsi" w:hAnsiTheme="minorHAnsi"/>
        </w:rPr>
        <w:t>in order to</w:t>
      </w:r>
      <w:proofErr w:type="gramEnd"/>
      <w:r w:rsidR="53C59572" w:rsidRPr="367BCE8E">
        <w:rPr>
          <w:rFonts w:asciiTheme="minorHAnsi" w:hAnsiTheme="minorHAnsi"/>
        </w:rPr>
        <w:t xml:space="preserve"> carry out or give effect to Part 2-3 of </w:t>
      </w:r>
      <w:r w:rsidR="24E5186A" w:rsidRPr="367BCE8E">
        <w:rPr>
          <w:rFonts w:asciiTheme="minorHAnsi" w:hAnsiTheme="minorHAnsi"/>
        </w:rPr>
        <w:t xml:space="preserve">the Act </w:t>
      </w:r>
      <w:r w:rsidR="53C59572" w:rsidRPr="367BCE8E">
        <w:rPr>
          <w:rFonts w:asciiTheme="minorHAnsi" w:hAnsiTheme="minorHAnsi"/>
        </w:rPr>
        <w:t>in relation to grants payable under that Part</w:t>
      </w:r>
      <w:r w:rsidRPr="367BCE8E">
        <w:rPr>
          <w:rFonts w:asciiTheme="minorHAnsi" w:hAnsiTheme="minorHAnsi"/>
        </w:rPr>
        <w:t>.</w:t>
      </w:r>
    </w:p>
    <w:p w14:paraId="0378932B" w14:textId="5D811598" w:rsidR="009478E4" w:rsidRDefault="79D0CB91" w:rsidP="7BC75282">
      <w:pPr>
        <w:spacing w:before="120" w:after="120"/>
        <w:rPr>
          <w:rFonts w:asciiTheme="minorHAnsi" w:hAnsiTheme="minorHAnsi"/>
        </w:rPr>
      </w:pPr>
      <w:r w:rsidRPr="7BC75282">
        <w:rPr>
          <w:rFonts w:asciiTheme="minorHAnsi" w:hAnsiTheme="minorHAnsi"/>
        </w:rPr>
        <w:t>Under subsection 33(3) of the </w:t>
      </w:r>
      <w:r w:rsidRPr="7BC75282">
        <w:rPr>
          <w:rFonts w:asciiTheme="minorHAnsi" w:hAnsiTheme="minorHAnsi"/>
          <w:i/>
          <w:iCs/>
        </w:rPr>
        <w:t>Acts Interpretation Act 1901</w:t>
      </w:r>
      <w:r w:rsidRPr="7BC75282">
        <w:rPr>
          <w:rFonts w:asciiTheme="minorHAnsi" w:hAnsiTheme="minorHAnsi"/>
        </w:rPr>
        <w:t>, where an Act confers a power to make, grant or issue any instrument of a legislative or administrative character (including rules, regulations, or by</w:t>
      </w:r>
      <w:r w:rsidR="27F8CF48" w:rsidRPr="7BC75282">
        <w:rPr>
          <w:rFonts w:asciiTheme="minorHAnsi" w:hAnsiTheme="minorHAnsi"/>
        </w:rPr>
        <w:t xml:space="preserve"> </w:t>
      </w:r>
      <w:r w:rsidRPr="7BC75282">
        <w:rPr>
          <w:rFonts w:asciiTheme="minorHAnsi" w:hAnsiTheme="minorHAnsi"/>
        </w:rPr>
        <w:t>laws), the power shall be construed as including a power exercisable in the like manner and subject to the like conditions (if any) to repeal, rescind, revoke, amend, or vary any such instrument. The amendments to the</w:t>
      </w:r>
      <w:r w:rsidR="63BC9244" w:rsidRPr="7BC75282">
        <w:rPr>
          <w:rFonts w:asciiTheme="minorHAnsi" w:hAnsiTheme="minorHAnsi"/>
        </w:rPr>
        <w:t xml:space="preserve"> </w:t>
      </w:r>
      <w:r w:rsidRPr="7BC75282">
        <w:rPr>
          <w:rFonts w:asciiTheme="minorHAnsi" w:hAnsiTheme="minorHAnsi"/>
          <w:i/>
          <w:iCs/>
        </w:rPr>
        <w:t xml:space="preserve">Higher Education Support (Other Grants) Guidelines 2022 </w:t>
      </w:r>
      <w:r w:rsidR="5D2ECE45" w:rsidRPr="7BC75282">
        <w:rPr>
          <w:rFonts w:asciiTheme="minorHAnsi" w:hAnsiTheme="minorHAnsi"/>
        </w:rPr>
        <w:t xml:space="preserve">(the </w:t>
      </w:r>
      <w:r w:rsidR="3F552C7F" w:rsidRPr="7BC75282">
        <w:rPr>
          <w:rFonts w:asciiTheme="minorHAnsi" w:hAnsiTheme="minorHAnsi"/>
        </w:rPr>
        <w:t>Principal Instrument</w:t>
      </w:r>
      <w:r w:rsidR="4F56D750" w:rsidRPr="7BC75282">
        <w:rPr>
          <w:rFonts w:asciiTheme="minorHAnsi" w:hAnsiTheme="minorHAnsi"/>
        </w:rPr>
        <w:t xml:space="preserve">) </w:t>
      </w:r>
      <w:r w:rsidRPr="7BC75282">
        <w:rPr>
          <w:rFonts w:asciiTheme="minorHAnsi" w:hAnsiTheme="minorHAnsi"/>
        </w:rPr>
        <w:t xml:space="preserve">made by the </w:t>
      </w:r>
      <w:r w:rsidR="433CC58B" w:rsidRPr="7BC75282">
        <w:rPr>
          <w:rFonts w:asciiTheme="minorHAnsi" w:hAnsiTheme="minorHAnsi"/>
          <w:i/>
          <w:iCs/>
        </w:rPr>
        <w:t xml:space="preserve">Higher Education Support </w:t>
      </w:r>
      <w:r w:rsidR="48B87FBC" w:rsidRPr="7BC75282">
        <w:rPr>
          <w:rFonts w:asciiTheme="minorHAnsi" w:hAnsiTheme="minorHAnsi"/>
          <w:i/>
          <w:iCs/>
        </w:rPr>
        <w:t xml:space="preserve">(Other Grants) </w:t>
      </w:r>
      <w:r w:rsidR="433CC58B" w:rsidRPr="7BC75282">
        <w:rPr>
          <w:rFonts w:asciiTheme="minorHAnsi" w:hAnsiTheme="minorHAnsi"/>
          <w:i/>
          <w:iCs/>
        </w:rPr>
        <w:t>Amendment (</w:t>
      </w:r>
      <w:r w:rsidR="48B87FBC" w:rsidRPr="7BC75282">
        <w:rPr>
          <w:rFonts w:asciiTheme="minorHAnsi" w:hAnsiTheme="minorHAnsi"/>
          <w:i/>
          <w:iCs/>
        </w:rPr>
        <w:t xml:space="preserve">Commonwealth </w:t>
      </w:r>
      <w:proofErr w:type="spellStart"/>
      <w:r w:rsidR="48B87FBC" w:rsidRPr="7BC75282">
        <w:rPr>
          <w:rFonts w:asciiTheme="minorHAnsi" w:hAnsiTheme="minorHAnsi"/>
          <w:i/>
          <w:iCs/>
        </w:rPr>
        <w:t>Prac</w:t>
      </w:r>
      <w:proofErr w:type="spellEnd"/>
      <w:r w:rsidR="48B87FBC" w:rsidRPr="7BC75282">
        <w:rPr>
          <w:rFonts w:asciiTheme="minorHAnsi" w:hAnsiTheme="minorHAnsi"/>
          <w:i/>
          <w:iCs/>
        </w:rPr>
        <w:t xml:space="preserve"> Payment</w:t>
      </w:r>
      <w:r w:rsidR="433CC58B" w:rsidRPr="7BC75282">
        <w:rPr>
          <w:rFonts w:asciiTheme="minorHAnsi" w:hAnsiTheme="minorHAnsi"/>
          <w:i/>
          <w:iCs/>
        </w:rPr>
        <w:t>) Guidelines 202</w:t>
      </w:r>
      <w:r w:rsidR="007026E6" w:rsidRPr="7BC75282">
        <w:rPr>
          <w:rFonts w:asciiTheme="minorHAnsi" w:hAnsiTheme="minorHAnsi"/>
          <w:i/>
          <w:iCs/>
        </w:rPr>
        <w:t>5</w:t>
      </w:r>
      <w:r w:rsidR="433CC58B" w:rsidRPr="7BC75282">
        <w:rPr>
          <w:rFonts w:asciiTheme="minorHAnsi" w:hAnsiTheme="minorHAnsi"/>
          <w:i/>
          <w:iCs/>
        </w:rPr>
        <w:t xml:space="preserve"> </w:t>
      </w:r>
      <w:r w:rsidRPr="7BC75282">
        <w:rPr>
          <w:rFonts w:asciiTheme="minorHAnsi" w:hAnsiTheme="minorHAnsi"/>
        </w:rPr>
        <w:t xml:space="preserve">(the </w:t>
      </w:r>
      <w:r w:rsidR="3F552C7F" w:rsidRPr="7BC75282">
        <w:rPr>
          <w:rFonts w:asciiTheme="minorHAnsi" w:hAnsiTheme="minorHAnsi"/>
        </w:rPr>
        <w:t xml:space="preserve">Amendment </w:t>
      </w:r>
      <w:r w:rsidRPr="7BC75282">
        <w:rPr>
          <w:rFonts w:asciiTheme="minorHAnsi" w:hAnsiTheme="minorHAnsi"/>
        </w:rPr>
        <w:t>Instrument) rely on this provision.</w:t>
      </w:r>
    </w:p>
    <w:bookmarkEnd w:id="0"/>
    <w:bookmarkEnd w:id="1"/>
    <w:p w14:paraId="56CDA376" w14:textId="77777777" w:rsidR="00DA552F" w:rsidRPr="008134D5" w:rsidRDefault="00144950" w:rsidP="000C310A">
      <w:pPr>
        <w:pStyle w:val="Heading1"/>
      </w:pPr>
      <w:r>
        <w:t>PURPOSE AND OPERATION</w:t>
      </w:r>
    </w:p>
    <w:p w14:paraId="6BC6F74F" w14:textId="3CCB9E31" w:rsidR="00C91EDB" w:rsidRDefault="287E763F" w:rsidP="7BC75282">
      <w:pPr>
        <w:rPr>
          <w:rFonts w:asciiTheme="minorHAnsi" w:hAnsiTheme="minorHAnsi"/>
        </w:rPr>
      </w:pPr>
      <w:r w:rsidRPr="7BC75282">
        <w:rPr>
          <w:rFonts w:asciiTheme="minorHAnsi" w:hAnsiTheme="minorHAnsi"/>
        </w:rPr>
        <w:t>The</w:t>
      </w:r>
      <w:r w:rsidR="3F552C7F" w:rsidRPr="7BC75282">
        <w:rPr>
          <w:rFonts w:asciiTheme="minorHAnsi" w:hAnsiTheme="minorHAnsi"/>
        </w:rPr>
        <w:t xml:space="preserve"> Amendment</w:t>
      </w:r>
      <w:r w:rsidRPr="7BC75282">
        <w:rPr>
          <w:rFonts w:asciiTheme="minorHAnsi" w:hAnsiTheme="minorHAnsi"/>
        </w:rPr>
        <w:t xml:space="preserve"> Instrument amends the </w:t>
      </w:r>
      <w:r w:rsidR="3F552C7F" w:rsidRPr="7BC75282">
        <w:rPr>
          <w:rFonts w:asciiTheme="minorHAnsi" w:hAnsiTheme="minorHAnsi"/>
        </w:rPr>
        <w:t>Principal Instrument</w:t>
      </w:r>
      <w:r w:rsidR="5CB20C93" w:rsidRPr="7BC75282">
        <w:rPr>
          <w:rFonts w:asciiTheme="minorHAnsi" w:hAnsiTheme="minorHAnsi"/>
        </w:rPr>
        <w:t xml:space="preserve"> </w:t>
      </w:r>
      <w:r w:rsidRPr="7BC75282">
        <w:rPr>
          <w:rFonts w:asciiTheme="minorHAnsi" w:hAnsiTheme="minorHAnsi"/>
        </w:rPr>
        <w:t>to</w:t>
      </w:r>
      <w:r w:rsidR="4F56D750" w:rsidRPr="7BC75282">
        <w:rPr>
          <w:rFonts w:asciiTheme="minorHAnsi" w:hAnsiTheme="minorHAnsi"/>
        </w:rPr>
        <w:t xml:space="preserve"> </w:t>
      </w:r>
      <w:r w:rsidR="3F552C7F" w:rsidRPr="7BC75282">
        <w:rPr>
          <w:rFonts w:asciiTheme="minorHAnsi" w:hAnsiTheme="minorHAnsi"/>
        </w:rPr>
        <w:t>specify a new program under which grants can be made</w:t>
      </w:r>
      <w:r w:rsidR="002D5BEC">
        <w:rPr>
          <w:rFonts w:asciiTheme="minorHAnsi" w:hAnsiTheme="minorHAnsi"/>
        </w:rPr>
        <w:t>,</w:t>
      </w:r>
      <w:r w:rsidR="2A203EDE" w:rsidRPr="7BC75282">
        <w:rPr>
          <w:rFonts w:asciiTheme="minorHAnsi" w:hAnsiTheme="minorHAnsi"/>
        </w:rPr>
        <w:t xml:space="preserve"> being</w:t>
      </w:r>
      <w:r w:rsidR="3F552C7F" w:rsidRPr="7BC75282">
        <w:rPr>
          <w:rFonts w:asciiTheme="minorHAnsi" w:hAnsiTheme="minorHAnsi"/>
        </w:rPr>
        <w:t xml:space="preserve"> the </w:t>
      </w:r>
      <w:r w:rsidR="719D1848" w:rsidRPr="7BC75282">
        <w:rPr>
          <w:rFonts w:asciiTheme="minorHAnsi" w:hAnsiTheme="minorHAnsi"/>
        </w:rPr>
        <w:t xml:space="preserve">Commonwealth </w:t>
      </w:r>
      <w:proofErr w:type="spellStart"/>
      <w:r w:rsidR="719D1848" w:rsidRPr="7BC75282">
        <w:rPr>
          <w:rFonts w:asciiTheme="minorHAnsi" w:hAnsiTheme="minorHAnsi"/>
        </w:rPr>
        <w:t>Prac</w:t>
      </w:r>
      <w:proofErr w:type="spellEnd"/>
      <w:r w:rsidR="719D1848" w:rsidRPr="7BC75282">
        <w:rPr>
          <w:rFonts w:asciiTheme="minorHAnsi" w:hAnsiTheme="minorHAnsi"/>
        </w:rPr>
        <w:t xml:space="preserve"> Payment </w:t>
      </w:r>
      <w:r w:rsidR="3F552C7F" w:rsidRPr="7BC75282">
        <w:rPr>
          <w:rFonts w:asciiTheme="minorHAnsi" w:hAnsiTheme="minorHAnsi"/>
        </w:rPr>
        <w:t xml:space="preserve">program </w:t>
      </w:r>
      <w:r w:rsidR="7AA9BA27" w:rsidRPr="7BC75282">
        <w:rPr>
          <w:rFonts w:asciiTheme="minorHAnsi" w:hAnsiTheme="minorHAnsi"/>
        </w:rPr>
        <w:t>(CPP)</w:t>
      </w:r>
      <w:r w:rsidR="3F552C7F" w:rsidRPr="7BC75282">
        <w:rPr>
          <w:rFonts w:asciiTheme="minorHAnsi" w:hAnsiTheme="minorHAnsi"/>
        </w:rPr>
        <w:t>, which will</w:t>
      </w:r>
      <w:r w:rsidR="719D1848" w:rsidRPr="7BC75282">
        <w:rPr>
          <w:rFonts w:asciiTheme="minorHAnsi" w:hAnsiTheme="minorHAnsi"/>
        </w:rPr>
        <w:t xml:space="preserve"> support teaching, nursing</w:t>
      </w:r>
      <w:r w:rsidR="3F552C7F" w:rsidRPr="7BC75282">
        <w:rPr>
          <w:rFonts w:asciiTheme="minorHAnsi" w:hAnsiTheme="minorHAnsi"/>
        </w:rPr>
        <w:t>,</w:t>
      </w:r>
      <w:r w:rsidR="719D1848" w:rsidRPr="7BC75282">
        <w:rPr>
          <w:rFonts w:asciiTheme="minorHAnsi" w:hAnsiTheme="minorHAnsi"/>
        </w:rPr>
        <w:t xml:space="preserve"> midwifery and social work students to complete their </w:t>
      </w:r>
      <w:r w:rsidR="3F552C7F" w:rsidRPr="7BC75282">
        <w:rPr>
          <w:rFonts w:asciiTheme="minorHAnsi" w:hAnsiTheme="minorHAnsi"/>
        </w:rPr>
        <w:t xml:space="preserve">mandatory </w:t>
      </w:r>
      <w:r w:rsidR="719D1848" w:rsidRPr="7BC75282">
        <w:rPr>
          <w:rFonts w:asciiTheme="minorHAnsi" w:hAnsiTheme="minorHAnsi"/>
        </w:rPr>
        <w:t xml:space="preserve">placements. </w:t>
      </w:r>
    </w:p>
    <w:p w14:paraId="0C198777" w14:textId="1DE05A1F" w:rsidR="002F6CF7" w:rsidRPr="00A0782D" w:rsidRDefault="22FEFD25" w:rsidP="7BC75282">
      <w:pPr>
        <w:rPr>
          <w:rFonts w:asciiTheme="minorHAnsi" w:hAnsiTheme="minorHAnsi"/>
        </w:rPr>
      </w:pPr>
      <w:r w:rsidRPr="7BC75282">
        <w:rPr>
          <w:rFonts w:asciiTheme="minorHAnsi" w:hAnsiTheme="minorHAnsi"/>
        </w:rPr>
        <w:t>The CPP will enable the provision of grants to providers to assist those providers with making payments (</w:t>
      </w:r>
      <w:r w:rsidR="66FACD23" w:rsidRPr="7BC75282">
        <w:rPr>
          <w:rFonts w:asciiTheme="minorHAnsi" w:hAnsiTheme="minorHAnsi"/>
        </w:rPr>
        <w:t xml:space="preserve">equal to </w:t>
      </w:r>
      <w:r w:rsidRPr="7BC75282">
        <w:rPr>
          <w:rFonts w:asciiTheme="minorHAnsi" w:hAnsiTheme="minorHAnsi"/>
        </w:rPr>
        <w:t xml:space="preserve">the </w:t>
      </w:r>
      <w:r w:rsidR="66FACD23" w:rsidRPr="7BC75282">
        <w:rPr>
          <w:rFonts w:asciiTheme="minorHAnsi" w:hAnsiTheme="minorHAnsi"/>
        </w:rPr>
        <w:t>weekly</w:t>
      </w:r>
      <w:r w:rsidRPr="7BC75282">
        <w:rPr>
          <w:rFonts w:asciiTheme="minorHAnsi" w:hAnsiTheme="minorHAnsi"/>
        </w:rPr>
        <w:t xml:space="preserve"> </w:t>
      </w:r>
      <w:proofErr w:type="spellStart"/>
      <w:r w:rsidRPr="7BC75282">
        <w:rPr>
          <w:rFonts w:asciiTheme="minorHAnsi" w:hAnsiTheme="minorHAnsi"/>
        </w:rPr>
        <w:t>Austudy</w:t>
      </w:r>
      <w:proofErr w:type="spellEnd"/>
      <w:r w:rsidRPr="7BC75282">
        <w:rPr>
          <w:rFonts w:asciiTheme="minorHAnsi" w:hAnsiTheme="minorHAnsi"/>
        </w:rPr>
        <w:t xml:space="preserve"> rate), to eligible students undertaking mandatory placements as part of teaching, nursing</w:t>
      </w:r>
      <w:r w:rsidR="124794E8" w:rsidRPr="7BC75282">
        <w:rPr>
          <w:rFonts w:asciiTheme="minorHAnsi" w:hAnsiTheme="minorHAnsi"/>
        </w:rPr>
        <w:t>,</w:t>
      </w:r>
      <w:r w:rsidRPr="7BC75282">
        <w:rPr>
          <w:rFonts w:asciiTheme="minorHAnsi" w:hAnsiTheme="minorHAnsi"/>
        </w:rPr>
        <w:t xml:space="preserve"> midwifery, and social work courses of study.</w:t>
      </w:r>
    </w:p>
    <w:p w14:paraId="3742ECF5" w14:textId="5D702669" w:rsidR="00580ED7" w:rsidRPr="00580ED7" w:rsidRDefault="56F5BDE1" w:rsidP="367BCE8E">
      <w:pPr>
        <w:rPr>
          <w:rFonts w:asciiTheme="minorHAnsi" w:hAnsiTheme="minorHAnsi"/>
        </w:rPr>
      </w:pPr>
      <w:r w:rsidRPr="367BCE8E">
        <w:rPr>
          <w:rFonts w:asciiTheme="minorHAnsi" w:hAnsiTheme="minorHAnsi"/>
        </w:rPr>
        <w:t xml:space="preserve">The </w:t>
      </w:r>
      <w:r w:rsidR="3F552C7F" w:rsidRPr="367BCE8E">
        <w:rPr>
          <w:rFonts w:asciiTheme="minorHAnsi" w:hAnsiTheme="minorHAnsi"/>
        </w:rPr>
        <w:t>CPP</w:t>
      </w:r>
      <w:r w:rsidRPr="367BCE8E">
        <w:rPr>
          <w:rFonts w:asciiTheme="minorHAnsi" w:hAnsiTheme="minorHAnsi"/>
        </w:rPr>
        <w:t xml:space="preserve"> </w:t>
      </w:r>
      <w:r w:rsidR="22FEFD25" w:rsidRPr="367BCE8E">
        <w:rPr>
          <w:rFonts w:asciiTheme="minorHAnsi" w:hAnsiTheme="minorHAnsi"/>
        </w:rPr>
        <w:t xml:space="preserve">is </w:t>
      </w:r>
      <w:r w:rsidR="61843E15" w:rsidRPr="367BCE8E">
        <w:rPr>
          <w:rFonts w:asciiTheme="minorHAnsi" w:hAnsiTheme="minorHAnsi"/>
        </w:rPr>
        <w:t xml:space="preserve">part </w:t>
      </w:r>
      <w:r w:rsidR="099F7FBD" w:rsidRPr="367BCE8E">
        <w:rPr>
          <w:rFonts w:asciiTheme="minorHAnsi" w:hAnsiTheme="minorHAnsi"/>
        </w:rPr>
        <w:t xml:space="preserve">of </w:t>
      </w:r>
      <w:proofErr w:type="gramStart"/>
      <w:r w:rsidR="37D5EB17" w:rsidRPr="367BCE8E">
        <w:rPr>
          <w:rFonts w:asciiTheme="minorHAnsi" w:hAnsiTheme="minorHAnsi"/>
        </w:rPr>
        <w:t>a number of</w:t>
      </w:r>
      <w:proofErr w:type="gramEnd"/>
      <w:r w:rsidR="37D5EB17" w:rsidRPr="367BCE8E">
        <w:rPr>
          <w:rFonts w:asciiTheme="minorHAnsi" w:hAnsiTheme="minorHAnsi"/>
        </w:rPr>
        <w:t xml:space="preserve"> key reforms the</w:t>
      </w:r>
      <w:r w:rsidR="61843E15" w:rsidRPr="367BCE8E">
        <w:rPr>
          <w:rFonts w:asciiTheme="minorHAnsi" w:hAnsiTheme="minorHAnsi"/>
        </w:rPr>
        <w:t xml:space="preserve"> Government</w:t>
      </w:r>
      <w:r w:rsidR="37D5EB17" w:rsidRPr="367BCE8E">
        <w:rPr>
          <w:rFonts w:asciiTheme="minorHAnsi" w:hAnsiTheme="minorHAnsi"/>
        </w:rPr>
        <w:t xml:space="preserve"> is introducing in</w:t>
      </w:r>
      <w:r w:rsidR="61843E15" w:rsidRPr="367BCE8E">
        <w:rPr>
          <w:rFonts w:asciiTheme="minorHAnsi" w:hAnsiTheme="minorHAnsi"/>
        </w:rPr>
        <w:t xml:space="preserve"> response to</w:t>
      </w:r>
      <w:r w:rsidR="7A2BA739" w:rsidRPr="367BCE8E">
        <w:rPr>
          <w:rFonts w:asciiTheme="minorHAnsi" w:hAnsiTheme="minorHAnsi"/>
        </w:rPr>
        <w:t xml:space="preserve"> the 2023 Employment White Paper and</w:t>
      </w:r>
      <w:r w:rsidR="61843E15" w:rsidRPr="367BCE8E">
        <w:rPr>
          <w:rFonts w:asciiTheme="minorHAnsi" w:hAnsiTheme="minorHAnsi"/>
        </w:rPr>
        <w:t xml:space="preserve"> the Australian Universities Accord Final Report</w:t>
      </w:r>
      <w:r w:rsidR="3F552C7F" w:rsidRPr="367BCE8E">
        <w:rPr>
          <w:rFonts w:asciiTheme="minorHAnsi" w:hAnsiTheme="minorHAnsi"/>
        </w:rPr>
        <w:t>,</w:t>
      </w:r>
      <w:r w:rsidR="28D7AEF6" w:rsidRPr="367BCE8E">
        <w:rPr>
          <w:rFonts w:asciiTheme="minorHAnsi" w:hAnsiTheme="minorHAnsi"/>
        </w:rPr>
        <w:t xml:space="preserve"> which heard the very real concerns of students and unions about placement poverty and cost of living pressures impacting students’ ability to commence and complete their studies to enter the workforce.</w:t>
      </w:r>
      <w:r w:rsidR="766E0174" w:rsidRPr="367BCE8E">
        <w:rPr>
          <w:rFonts w:asciiTheme="minorHAnsi" w:hAnsiTheme="minorHAnsi"/>
        </w:rPr>
        <w:t xml:space="preserve"> </w:t>
      </w:r>
    </w:p>
    <w:p w14:paraId="1D893E3C" w14:textId="39D65A55" w:rsidR="00580ED7" w:rsidRPr="00580ED7" w:rsidRDefault="28D7AEF6" w:rsidP="367BCE8E">
      <w:pPr>
        <w:rPr>
          <w:rFonts w:asciiTheme="minorHAnsi" w:hAnsiTheme="minorHAnsi"/>
        </w:rPr>
      </w:pPr>
      <w:r w:rsidRPr="367BCE8E">
        <w:rPr>
          <w:rFonts w:asciiTheme="minorHAnsi" w:hAnsiTheme="minorHAnsi"/>
        </w:rPr>
        <w:t xml:space="preserve">While </w:t>
      </w:r>
      <w:r w:rsidR="3F552C7F" w:rsidRPr="367BCE8E">
        <w:rPr>
          <w:rFonts w:asciiTheme="minorHAnsi" w:hAnsiTheme="minorHAnsi"/>
        </w:rPr>
        <w:t xml:space="preserve">mandatory </w:t>
      </w:r>
      <w:r w:rsidRPr="367BCE8E">
        <w:rPr>
          <w:rFonts w:asciiTheme="minorHAnsi" w:hAnsiTheme="minorHAnsi"/>
        </w:rPr>
        <w:t>placements form an important part of learning, they can come at a financial cost to students over-and-above standard costs of living.</w:t>
      </w:r>
      <w:r w:rsidR="6DCCDE45" w:rsidRPr="367BCE8E">
        <w:rPr>
          <w:rFonts w:asciiTheme="minorHAnsi" w:hAnsiTheme="minorHAnsi"/>
        </w:rPr>
        <w:t xml:space="preserve"> </w:t>
      </w:r>
    </w:p>
    <w:p w14:paraId="463BF101" w14:textId="32398DB8" w:rsidR="001D247C" w:rsidRPr="00B03D2E" w:rsidRDefault="2A3B93FC" w:rsidP="7BC75282">
      <w:pPr>
        <w:spacing w:before="120" w:after="120"/>
        <w:rPr>
          <w:rFonts w:asciiTheme="minorHAnsi" w:hAnsiTheme="minorHAnsi"/>
          <w:color w:val="4472C4" w:themeColor="accent5"/>
        </w:rPr>
      </w:pPr>
      <w:r w:rsidRPr="7BC75282">
        <w:rPr>
          <w:rFonts w:asciiTheme="minorHAnsi" w:hAnsiTheme="minorHAnsi"/>
        </w:rPr>
        <w:lastRenderedPageBreak/>
        <w:t>Placement poverty disproportionately affects equity groups as they are more likely to choose to study in care and teaching fields of education which have mandatory placement requirements. The financial pressures experienced by students</w:t>
      </w:r>
      <w:r w:rsidR="3F552C7F" w:rsidRPr="7BC75282">
        <w:rPr>
          <w:rFonts w:asciiTheme="minorHAnsi" w:hAnsiTheme="minorHAnsi"/>
        </w:rPr>
        <w:t xml:space="preserve"> undertaking mandatory placements</w:t>
      </w:r>
      <w:r w:rsidRPr="7BC75282">
        <w:rPr>
          <w:rFonts w:asciiTheme="minorHAnsi" w:hAnsiTheme="minorHAnsi"/>
        </w:rPr>
        <w:t xml:space="preserve"> are exacerbated for women, mature-aged students</w:t>
      </w:r>
      <w:r w:rsidR="004D455B">
        <w:rPr>
          <w:rFonts w:asciiTheme="minorHAnsi" w:hAnsiTheme="minorHAnsi"/>
        </w:rPr>
        <w:t>, students with disability</w:t>
      </w:r>
      <w:r w:rsidRPr="7BC75282">
        <w:rPr>
          <w:rFonts w:asciiTheme="minorHAnsi" w:hAnsiTheme="minorHAnsi"/>
        </w:rPr>
        <w:t xml:space="preserve"> and First Nations students, who are often juggling full-time or part-time study with paid work as well as caring and parental responsibilities</w:t>
      </w:r>
      <w:r w:rsidR="004D455B" w:rsidRPr="004D455B">
        <w:rPr>
          <w:rFonts w:asciiTheme="minorHAnsi" w:hAnsiTheme="minorHAnsi"/>
        </w:rPr>
        <w:t xml:space="preserve"> </w:t>
      </w:r>
      <w:r w:rsidR="004D455B">
        <w:rPr>
          <w:rFonts w:asciiTheme="minorHAnsi" w:hAnsiTheme="minorHAnsi"/>
        </w:rPr>
        <w:t>and other challenges</w:t>
      </w:r>
      <w:r w:rsidRPr="7BC75282">
        <w:rPr>
          <w:rFonts w:asciiTheme="minorHAnsi" w:hAnsiTheme="minorHAnsi"/>
        </w:rPr>
        <w:t xml:space="preserve">. </w:t>
      </w:r>
    </w:p>
    <w:p w14:paraId="0383C900" w14:textId="2A67431E" w:rsidR="00D54860" w:rsidRDefault="22FEFD25" w:rsidP="7BC75282">
      <w:pPr>
        <w:rPr>
          <w:rFonts w:asciiTheme="minorHAnsi" w:hAnsiTheme="minorHAnsi"/>
        </w:rPr>
      </w:pPr>
      <w:r w:rsidRPr="7BC75282">
        <w:rPr>
          <w:rFonts w:asciiTheme="minorHAnsi" w:hAnsiTheme="minorHAnsi"/>
        </w:rPr>
        <w:t xml:space="preserve">The </w:t>
      </w:r>
      <w:r w:rsidR="35894ED8" w:rsidRPr="7BC75282">
        <w:rPr>
          <w:rFonts w:asciiTheme="minorHAnsi" w:hAnsiTheme="minorHAnsi"/>
        </w:rPr>
        <w:t xml:space="preserve">CPP will </w:t>
      </w:r>
      <w:r w:rsidR="28EACDBD" w:rsidRPr="7BC75282">
        <w:rPr>
          <w:rFonts w:asciiTheme="minorHAnsi" w:hAnsiTheme="minorHAnsi"/>
        </w:rPr>
        <w:t xml:space="preserve">support learning outcomes by easing financial pressure on students during mandatory placements </w:t>
      </w:r>
      <w:r w:rsidR="09DD2E12" w:rsidRPr="7BC75282">
        <w:rPr>
          <w:rFonts w:asciiTheme="minorHAnsi" w:hAnsiTheme="minorHAnsi"/>
        </w:rPr>
        <w:t>and increas</w:t>
      </w:r>
      <w:r w:rsidR="3F53BA2D" w:rsidRPr="7BC75282">
        <w:rPr>
          <w:rFonts w:asciiTheme="minorHAnsi" w:hAnsiTheme="minorHAnsi"/>
        </w:rPr>
        <w:t>ing</w:t>
      </w:r>
      <w:r w:rsidR="09DD2E12" w:rsidRPr="7BC75282">
        <w:rPr>
          <w:rFonts w:asciiTheme="minorHAnsi" w:hAnsiTheme="minorHAnsi"/>
        </w:rPr>
        <w:t xml:space="preserve"> </w:t>
      </w:r>
      <w:r w:rsidR="117324DD" w:rsidRPr="7BC75282">
        <w:rPr>
          <w:rFonts w:asciiTheme="minorHAnsi" w:hAnsiTheme="minorHAnsi"/>
        </w:rPr>
        <w:t xml:space="preserve">retention </w:t>
      </w:r>
      <w:r w:rsidR="3F53BA2D" w:rsidRPr="7BC75282">
        <w:rPr>
          <w:rFonts w:asciiTheme="minorHAnsi" w:hAnsiTheme="minorHAnsi"/>
        </w:rPr>
        <w:t xml:space="preserve">rates </w:t>
      </w:r>
      <w:r w:rsidR="28EACDBD" w:rsidRPr="7BC75282">
        <w:rPr>
          <w:rFonts w:asciiTheme="minorHAnsi" w:hAnsiTheme="minorHAnsi"/>
        </w:rPr>
        <w:t>and completion of qualification</w:t>
      </w:r>
      <w:r w:rsidR="35894ED8" w:rsidRPr="7BC75282">
        <w:rPr>
          <w:rFonts w:asciiTheme="minorHAnsi" w:hAnsiTheme="minorHAnsi"/>
        </w:rPr>
        <w:t>s</w:t>
      </w:r>
      <w:r w:rsidR="28EACDBD" w:rsidRPr="7BC75282">
        <w:rPr>
          <w:rFonts w:asciiTheme="minorHAnsi" w:hAnsiTheme="minorHAnsi"/>
        </w:rPr>
        <w:t>, where the financial impact of placements may have otherwise influenced students to defer or withdraw from study.</w:t>
      </w:r>
    </w:p>
    <w:p w14:paraId="306DC9B8" w14:textId="7E7FACC4" w:rsidR="00EA2839" w:rsidRDefault="00EA2839" w:rsidP="7BC75282">
      <w:pPr>
        <w:rPr>
          <w:rFonts w:asciiTheme="minorHAnsi" w:hAnsiTheme="minorHAnsi"/>
        </w:rPr>
      </w:pPr>
      <w:r>
        <w:rPr>
          <w:rFonts w:asciiTheme="minorHAnsi" w:hAnsiTheme="minorHAnsi"/>
        </w:rPr>
        <w:t xml:space="preserve">The Amendment Instrument also amends the Principal Instrument to specify eligible bodies corporate for the purposes of item 15 of the table in subsection 41-10(1) of the Act. The bodies </w:t>
      </w:r>
      <w:proofErr w:type="gramStart"/>
      <w:r>
        <w:rPr>
          <w:rFonts w:asciiTheme="minorHAnsi" w:hAnsiTheme="minorHAnsi"/>
        </w:rPr>
        <w:t>corporate</w:t>
      </w:r>
      <w:proofErr w:type="gramEnd"/>
      <w:r>
        <w:rPr>
          <w:rFonts w:asciiTheme="minorHAnsi" w:hAnsiTheme="minorHAnsi"/>
        </w:rPr>
        <w:t xml:space="preserve"> are being specified to ensure they </w:t>
      </w:r>
      <w:proofErr w:type="gramStart"/>
      <w:r>
        <w:rPr>
          <w:rFonts w:asciiTheme="minorHAnsi" w:hAnsiTheme="minorHAnsi"/>
        </w:rPr>
        <w:t>are able to</w:t>
      </w:r>
      <w:proofErr w:type="gramEnd"/>
      <w:r>
        <w:rPr>
          <w:rFonts w:asciiTheme="minorHAnsi" w:hAnsiTheme="minorHAnsi"/>
        </w:rPr>
        <w:t xml:space="preserve"> receive grants</w:t>
      </w:r>
      <w:r w:rsidRPr="00FB45E4">
        <w:rPr>
          <w:rFonts w:asciiTheme="minorHAnsi" w:hAnsiTheme="minorHAnsi"/>
        </w:rPr>
        <w:t xml:space="preserve"> </w:t>
      </w:r>
      <w:r w:rsidRPr="00210933">
        <w:rPr>
          <w:rFonts w:asciiTheme="minorHAnsi" w:hAnsiTheme="minorHAnsi"/>
        </w:rPr>
        <w:t>to set up systems and infrastructure that will assist them with providing payments to students under the CPP.</w:t>
      </w:r>
    </w:p>
    <w:p w14:paraId="626F1531" w14:textId="3876BFBD" w:rsidR="00350779" w:rsidRPr="00350779" w:rsidRDefault="73A68FD6" w:rsidP="0042041D">
      <w:pPr>
        <w:pStyle w:val="Heading1"/>
      </w:pPr>
      <w:r>
        <w:t>IMPACT</w:t>
      </w:r>
      <w:r w:rsidR="56561D99">
        <w:t xml:space="preserve"> ANALYSIS</w:t>
      </w:r>
    </w:p>
    <w:p w14:paraId="053B932F" w14:textId="28E9E015" w:rsidR="00680488" w:rsidRDefault="166225B2" w:rsidP="7BC75282">
      <w:pPr>
        <w:spacing w:before="120" w:after="120"/>
        <w:rPr>
          <w:rFonts w:asciiTheme="minorHAnsi" w:hAnsiTheme="minorHAnsi"/>
        </w:rPr>
      </w:pPr>
      <w:r w:rsidRPr="7BC75282">
        <w:rPr>
          <w:rFonts w:asciiTheme="minorHAnsi" w:hAnsiTheme="minorHAnsi"/>
        </w:rPr>
        <w:t xml:space="preserve">The </w:t>
      </w:r>
      <w:r w:rsidR="60BE02AC" w:rsidRPr="7BC75282">
        <w:rPr>
          <w:rFonts w:asciiTheme="minorHAnsi" w:hAnsiTheme="minorHAnsi"/>
        </w:rPr>
        <w:t>Office of Impact Analysis</w:t>
      </w:r>
      <w:r w:rsidR="00680488" w:rsidRPr="7BC75282">
        <w:rPr>
          <w:rFonts w:asciiTheme="minorHAnsi" w:hAnsiTheme="minorHAnsi"/>
        </w:rPr>
        <w:t xml:space="preserve"> </w:t>
      </w:r>
      <w:r w:rsidR="60BE02AC" w:rsidRPr="7BC75282">
        <w:rPr>
          <w:rFonts w:asciiTheme="minorHAnsi" w:hAnsiTheme="minorHAnsi"/>
        </w:rPr>
        <w:t xml:space="preserve">has been consulted </w:t>
      </w:r>
      <w:r w:rsidR="00680488" w:rsidRPr="7BC75282">
        <w:rPr>
          <w:rFonts w:asciiTheme="minorHAnsi" w:hAnsiTheme="minorHAnsi"/>
        </w:rPr>
        <w:t xml:space="preserve">in relation to the amendments in relation to the CPP </w:t>
      </w:r>
      <w:r w:rsidR="60BE02AC" w:rsidRPr="7BC75282">
        <w:rPr>
          <w:rFonts w:asciiTheme="minorHAnsi" w:hAnsiTheme="minorHAnsi"/>
        </w:rPr>
        <w:t xml:space="preserve">and advised that the Amendment Instrument has a minor regulatory impact and that an Impact Analysis is not </w:t>
      </w:r>
      <w:r w:rsidR="17858681" w:rsidRPr="7BC75282">
        <w:rPr>
          <w:rFonts w:asciiTheme="minorHAnsi" w:hAnsiTheme="minorHAnsi"/>
        </w:rPr>
        <w:t>required</w:t>
      </w:r>
      <w:r w:rsidR="007026E6" w:rsidRPr="7BC75282">
        <w:rPr>
          <w:rFonts w:asciiTheme="minorHAnsi" w:hAnsiTheme="minorHAnsi"/>
        </w:rPr>
        <w:t> </w:t>
      </w:r>
      <w:r w:rsidRPr="7BC75282">
        <w:rPr>
          <w:rFonts w:asciiTheme="minorHAnsi" w:hAnsiTheme="minorHAnsi"/>
        </w:rPr>
        <w:t>(</w:t>
      </w:r>
      <w:r w:rsidR="60BE02AC" w:rsidRPr="7BC75282">
        <w:rPr>
          <w:rFonts w:asciiTheme="minorHAnsi" w:hAnsiTheme="minorHAnsi"/>
        </w:rPr>
        <w:t>ID: </w:t>
      </w:r>
      <w:r w:rsidR="11B56163" w:rsidRPr="7BC75282">
        <w:rPr>
          <w:rFonts w:asciiTheme="minorHAnsi" w:hAnsiTheme="minorHAnsi"/>
        </w:rPr>
        <w:t>OIA2</w:t>
      </w:r>
      <w:r w:rsidR="2158592F" w:rsidRPr="7BC75282">
        <w:rPr>
          <w:rFonts w:asciiTheme="minorHAnsi" w:hAnsiTheme="minorHAnsi"/>
        </w:rPr>
        <w:t>3</w:t>
      </w:r>
      <w:r w:rsidR="4C1655C4" w:rsidRPr="7BC75282">
        <w:rPr>
          <w:rFonts w:asciiTheme="minorHAnsi" w:hAnsiTheme="minorHAnsi"/>
        </w:rPr>
        <w:t>05323</w:t>
      </w:r>
      <w:r w:rsidR="00680488" w:rsidRPr="7BC75282">
        <w:rPr>
          <w:rFonts w:asciiTheme="minorHAnsi" w:hAnsiTheme="minorHAnsi"/>
        </w:rPr>
        <w:t xml:space="preserve">). </w:t>
      </w:r>
    </w:p>
    <w:p w14:paraId="4818CCF0" w14:textId="77777777" w:rsidR="00696CF0" w:rsidRPr="0088497A" w:rsidRDefault="00144950" w:rsidP="000C310A">
      <w:pPr>
        <w:pStyle w:val="Heading1"/>
      </w:pPr>
      <w:r w:rsidRPr="0088497A">
        <w:t>COMMENC</w:t>
      </w:r>
      <w:r>
        <w:t>E</w:t>
      </w:r>
      <w:r w:rsidRPr="0088497A">
        <w:t>MENT</w:t>
      </w:r>
    </w:p>
    <w:p w14:paraId="7A7AF185" w14:textId="70C37837" w:rsidR="00696CF0" w:rsidRPr="00455C2A" w:rsidRDefault="05E82E1A" w:rsidP="7BC75282">
      <w:pPr>
        <w:spacing w:before="120" w:after="120"/>
        <w:rPr>
          <w:rFonts w:asciiTheme="minorHAnsi" w:hAnsiTheme="minorHAnsi"/>
          <w:i/>
          <w:iCs/>
          <w:color w:val="FF0000"/>
        </w:rPr>
      </w:pPr>
      <w:bookmarkStart w:id="2" w:name="_Hlk181877957"/>
      <w:r w:rsidRPr="7BC75282">
        <w:rPr>
          <w:rFonts w:asciiTheme="minorHAnsi" w:hAnsiTheme="minorHAnsi"/>
        </w:rPr>
        <w:t xml:space="preserve">The </w:t>
      </w:r>
      <w:r w:rsidR="66859FD6" w:rsidRPr="7BC75282">
        <w:rPr>
          <w:rFonts w:asciiTheme="minorHAnsi" w:hAnsiTheme="minorHAnsi"/>
        </w:rPr>
        <w:t xml:space="preserve">Amendment </w:t>
      </w:r>
      <w:r w:rsidRPr="7BC75282">
        <w:rPr>
          <w:rFonts w:asciiTheme="minorHAnsi" w:hAnsiTheme="minorHAnsi"/>
        </w:rPr>
        <w:t xml:space="preserve">Instrument commences </w:t>
      </w:r>
      <w:r w:rsidR="242F8AFF" w:rsidRPr="7BC75282">
        <w:rPr>
          <w:rFonts w:asciiTheme="minorHAnsi" w:hAnsiTheme="minorHAnsi"/>
        </w:rPr>
        <w:t xml:space="preserve">the day after </w:t>
      </w:r>
      <w:r w:rsidR="66859FD6" w:rsidRPr="7BC75282">
        <w:rPr>
          <w:rFonts w:asciiTheme="minorHAnsi" w:hAnsiTheme="minorHAnsi"/>
        </w:rPr>
        <w:t>it</w:t>
      </w:r>
      <w:r w:rsidR="242F8AFF" w:rsidRPr="7BC75282">
        <w:rPr>
          <w:rFonts w:asciiTheme="minorHAnsi" w:hAnsiTheme="minorHAnsi"/>
        </w:rPr>
        <w:t xml:space="preserve"> is registered</w:t>
      </w:r>
      <w:r w:rsidR="4B401A85" w:rsidRPr="7BC75282">
        <w:rPr>
          <w:rFonts w:asciiTheme="minorHAnsi" w:hAnsiTheme="minorHAnsi"/>
        </w:rPr>
        <w:t>.</w:t>
      </w:r>
      <w:r w:rsidR="68C807CC" w:rsidRPr="7BC75282">
        <w:rPr>
          <w:rFonts w:asciiTheme="minorHAnsi" w:hAnsiTheme="minorHAnsi"/>
        </w:rPr>
        <w:t xml:space="preserve"> </w:t>
      </w:r>
    </w:p>
    <w:p w14:paraId="59906F74" w14:textId="77777777" w:rsidR="00696CF0" w:rsidRPr="008134D5" w:rsidRDefault="00144950" w:rsidP="000C310A">
      <w:pPr>
        <w:pStyle w:val="Heading1"/>
      </w:pPr>
      <w:bookmarkStart w:id="3" w:name="_Toc34293360"/>
      <w:bookmarkEnd w:id="2"/>
      <w:r w:rsidRPr="008134D5">
        <w:t>CONSULTATION</w:t>
      </w:r>
      <w:bookmarkEnd w:id="3"/>
    </w:p>
    <w:p w14:paraId="5DA67E1A" w14:textId="2F46435F" w:rsidR="0047743B" w:rsidRPr="0047743B" w:rsidRDefault="7996EB6F" w:rsidP="7BC75282">
      <w:pPr>
        <w:spacing w:before="120" w:after="120"/>
        <w:rPr>
          <w:rFonts w:asciiTheme="minorHAnsi" w:hAnsiTheme="minorHAnsi"/>
        </w:rPr>
      </w:pPr>
      <w:r w:rsidRPr="7BC75282">
        <w:rPr>
          <w:rFonts w:asciiTheme="minorHAnsi" w:hAnsiTheme="minorHAnsi"/>
        </w:rPr>
        <w:t xml:space="preserve">The </w:t>
      </w:r>
      <w:r w:rsidR="22FEFD25" w:rsidRPr="7BC75282">
        <w:rPr>
          <w:rFonts w:asciiTheme="minorHAnsi" w:hAnsiTheme="minorHAnsi"/>
        </w:rPr>
        <w:t xml:space="preserve">policy underpinning the </w:t>
      </w:r>
      <w:r w:rsidRPr="7BC75282">
        <w:rPr>
          <w:rFonts w:asciiTheme="minorHAnsi" w:hAnsiTheme="minorHAnsi"/>
        </w:rPr>
        <w:t xml:space="preserve">CPP was developed following extensive consultation conducted in the context of developing the Government’s 2023 Employment White Paper and following comprehensive consultation as part of the </w:t>
      </w:r>
      <w:r w:rsidR="1B1A89C8" w:rsidRPr="7BC75282">
        <w:rPr>
          <w:rFonts w:asciiTheme="minorHAnsi" w:hAnsiTheme="minorHAnsi"/>
        </w:rPr>
        <w:t xml:space="preserve">Australian Universities </w:t>
      </w:r>
      <w:r w:rsidRPr="7BC75282">
        <w:rPr>
          <w:rFonts w:asciiTheme="minorHAnsi" w:hAnsiTheme="minorHAnsi"/>
        </w:rPr>
        <w:t>Accord</w:t>
      </w:r>
      <w:r w:rsidR="0044314F" w:rsidRPr="7BC75282">
        <w:rPr>
          <w:rFonts w:asciiTheme="minorHAnsi" w:hAnsiTheme="minorHAnsi"/>
        </w:rPr>
        <w:t xml:space="preserve"> (the Accord)</w:t>
      </w:r>
      <w:r w:rsidRPr="7BC75282">
        <w:rPr>
          <w:rFonts w:asciiTheme="minorHAnsi" w:hAnsiTheme="minorHAnsi"/>
        </w:rPr>
        <w:t xml:space="preserve"> process where the views and feedback of an extensive range of stakeholders, including students, were obtained and considered. The </w:t>
      </w:r>
      <w:r w:rsidR="22FEFD25" w:rsidRPr="7BC75282">
        <w:rPr>
          <w:rFonts w:asciiTheme="minorHAnsi" w:hAnsiTheme="minorHAnsi"/>
        </w:rPr>
        <w:t xml:space="preserve">CPP </w:t>
      </w:r>
      <w:r w:rsidR="57E71B05" w:rsidRPr="7BC75282">
        <w:rPr>
          <w:rFonts w:asciiTheme="minorHAnsi" w:hAnsiTheme="minorHAnsi"/>
        </w:rPr>
        <w:t xml:space="preserve">has been </w:t>
      </w:r>
      <w:r w:rsidRPr="7BC75282">
        <w:rPr>
          <w:rFonts w:asciiTheme="minorHAnsi" w:hAnsiTheme="minorHAnsi"/>
        </w:rPr>
        <w:t xml:space="preserve">further developed in collaboration with the </w:t>
      </w:r>
      <w:r w:rsidR="66859FD6" w:rsidRPr="7BC75282">
        <w:rPr>
          <w:rFonts w:asciiTheme="minorHAnsi" w:hAnsiTheme="minorHAnsi"/>
        </w:rPr>
        <w:t xml:space="preserve">higher education </w:t>
      </w:r>
      <w:r w:rsidRPr="7BC75282">
        <w:rPr>
          <w:rFonts w:asciiTheme="minorHAnsi" w:hAnsiTheme="minorHAnsi"/>
        </w:rPr>
        <w:t>sector and key stakeholders to ensure it can be implemented and administered simply</w:t>
      </w:r>
      <w:r w:rsidR="57E71B05" w:rsidRPr="7BC75282">
        <w:rPr>
          <w:rFonts w:asciiTheme="minorHAnsi" w:hAnsiTheme="minorHAnsi"/>
        </w:rPr>
        <w:t>,</w:t>
      </w:r>
      <w:r w:rsidRPr="7BC75282">
        <w:rPr>
          <w:rFonts w:asciiTheme="minorHAnsi" w:hAnsiTheme="minorHAnsi"/>
        </w:rPr>
        <w:t xml:space="preserve"> while remaining targeted to those students most in need.</w:t>
      </w:r>
      <w:r w:rsidR="0E91E15F" w:rsidRPr="7BC75282">
        <w:rPr>
          <w:rFonts w:asciiTheme="minorHAnsi" w:hAnsiTheme="minorHAnsi"/>
        </w:rPr>
        <w:t xml:space="preserve"> </w:t>
      </w:r>
    </w:p>
    <w:p w14:paraId="5740A2E1" w14:textId="5C73069B" w:rsidR="0047743B" w:rsidRPr="0047743B" w:rsidRDefault="22FEFD25" w:rsidP="23A50946">
      <w:pPr>
        <w:spacing w:before="120" w:after="120"/>
        <w:rPr>
          <w:rFonts w:asciiTheme="minorHAnsi" w:hAnsiTheme="minorHAnsi"/>
        </w:rPr>
      </w:pPr>
      <w:r w:rsidRPr="23A50946">
        <w:rPr>
          <w:rFonts w:asciiTheme="minorHAnsi" w:hAnsiTheme="minorHAnsi"/>
        </w:rPr>
        <w:t xml:space="preserve">The </w:t>
      </w:r>
      <w:r w:rsidR="66859FD6" w:rsidRPr="23A50946">
        <w:rPr>
          <w:rFonts w:asciiTheme="minorHAnsi" w:hAnsiTheme="minorHAnsi"/>
        </w:rPr>
        <w:t>D</w:t>
      </w:r>
      <w:r w:rsidRPr="23A50946">
        <w:rPr>
          <w:rFonts w:asciiTheme="minorHAnsi" w:hAnsiTheme="minorHAnsi"/>
        </w:rPr>
        <w:t xml:space="preserve">epartment </w:t>
      </w:r>
      <w:r w:rsidR="66859FD6" w:rsidRPr="23A50946">
        <w:rPr>
          <w:rFonts w:asciiTheme="minorHAnsi" w:hAnsiTheme="minorHAnsi"/>
        </w:rPr>
        <w:t xml:space="preserve">of Education (department) </w:t>
      </w:r>
      <w:r w:rsidRPr="23A50946">
        <w:rPr>
          <w:rFonts w:asciiTheme="minorHAnsi" w:hAnsiTheme="minorHAnsi"/>
        </w:rPr>
        <w:t>has consulted with</w:t>
      </w:r>
      <w:r w:rsidR="37E510F5" w:rsidRPr="23A50946">
        <w:rPr>
          <w:rFonts w:asciiTheme="minorHAnsi" w:hAnsiTheme="minorHAnsi"/>
        </w:rPr>
        <w:t xml:space="preserve"> </w:t>
      </w:r>
      <w:r w:rsidR="7996EB6F" w:rsidRPr="23A50946">
        <w:rPr>
          <w:rFonts w:asciiTheme="minorHAnsi" w:hAnsiTheme="minorHAnsi"/>
        </w:rPr>
        <w:t>peak bodies</w:t>
      </w:r>
      <w:r w:rsidR="7F6FEE13" w:rsidRPr="23A50946">
        <w:rPr>
          <w:rFonts w:asciiTheme="minorHAnsi" w:hAnsiTheme="minorHAnsi"/>
        </w:rPr>
        <w:t xml:space="preserve"> (</w:t>
      </w:r>
      <w:r w:rsidR="0044314F">
        <w:rPr>
          <w:rFonts w:asciiTheme="minorHAnsi" w:hAnsiTheme="minorHAnsi"/>
        </w:rPr>
        <w:t>such as</w:t>
      </w:r>
      <w:r w:rsidR="7F6FEE13" w:rsidRPr="23A50946">
        <w:rPr>
          <w:rFonts w:asciiTheme="minorHAnsi" w:hAnsiTheme="minorHAnsi"/>
        </w:rPr>
        <w:t xml:space="preserve"> Universities Australia, </w:t>
      </w:r>
      <w:r w:rsidR="00503B06" w:rsidRPr="23A50946">
        <w:rPr>
          <w:rFonts w:asciiTheme="minorHAnsi" w:hAnsiTheme="minorHAnsi"/>
        </w:rPr>
        <w:t xml:space="preserve">Regional Universities Network </w:t>
      </w:r>
      <w:r w:rsidR="0044314F">
        <w:rPr>
          <w:rFonts w:asciiTheme="minorHAnsi" w:hAnsiTheme="minorHAnsi"/>
        </w:rPr>
        <w:t xml:space="preserve">and </w:t>
      </w:r>
      <w:r w:rsidR="0081040E" w:rsidRPr="23A50946">
        <w:rPr>
          <w:rFonts w:asciiTheme="minorHAnsi" w:hAnsiTheme="minorHAnsi"/>
        </w:rPr>
        <w:t>Group of Eight</w:t>
      </w:r>
      <w:r w:rsidR="7F6FEE13" w:rsidRPr="23A50946">
        <w:rPr>
          <w:rFonts w:asciiTheme="minorHAnsi" w:hAnsiTheme="minorHAnsi"/>
        </w:rPr>
        <w:t>)</w:t>
      </w:r>
      <w:r w:rsidR="7996EB6F" w:rsidRPr="23A50946">
        <w:rPr>
          <w:rFonts w:asciiTheme="minorHAnsi" w:hAnsiTheme="minorHAnsi"/>
        </w:rPr>
        <w:t xml:space="preserve">, representative and interest groups (including unions and student voices), </w:t>
      </w:r>
      <w:r w:rsidRPr="23A50946">
        <w:rPr>
          <w:rFonts w:asciiTheme="minorHAnsi" w:hAnsiTheme="minorHAnsi"/>
        </w:rPr>
        <w:t xml:space="preserve">higher education </w:t>
      </w:r>
      <w:r w:rsidR="7996EB6F" w:rsidRPr="23A50946">
        <w:rPr>
          <w:rFonts w:asciiTheme="minorHAnsi" w:hAnsiTheme="minorHAnsi"/>
        </w:rPr>
        <w:t>providers, relevant faculty bodies</w:t>
      </w:r>
      <w:r w:rsidR="5F32EA95" w:rsidRPr="23A50946">
        <w:rPr>
          <w:rFonts w:asciiTheme="minorHAnsi" w:hAnsiTheme="minorHAnsi"/>
        </w:rPr>
        <w:t xml:space="preserve"> (such as the Council of Deans of the relevant </w:t>
      </w:r>
      <w:r w:rsidR="147179C1" w:rsidRPr="23A50946">
        <w:rPr>
          <w:rFonts w:asciiTheme="minorHAnsi" w:hAnsiTheme="minorHAnsi"/>
        </w:rPr>
        <w:t>disciplines</w:t>
      </w:r>
      <w:r w:rsidR="5F32EA95" w:rsidRPr="23A50946">
        <w:rPr>
          <w:rFonts w:asciiTheme="minorHAnsi" w:hAnsiTheme="minorHAnsi"/>
        </w:rPr>
        <w:t>)</w:t>
      </w:r>
      <w:r w:rsidR="7996EB6F" w:rsidRPr="23A50946">
        <w:rPr>
          <w:rFonts w:asciiTheme="minorHAnsi" w:hAnsiTheme="minorHAnsi"/>
        </w:rPr>
        <w:t>, operational networks</w:t>
      </w:r>
      <w:r w:rsidR="6D852112" w:rsidRPr="23A50946">
        <w:rPr>
          <w:rFonts w:asciiTheme="minorHAnsi" w:hAnsiTheme="minorHAnsi"/>
        </w:rPr>
        <w:t xml:space="preserve"> (such as the Australian Network of University Planners)</w:t>
      </w:r>
      <w:r w:rsidR="7996EB6F" w:rsidRPr="23A50946">
        <w:rPr>
          <w:rFonts w:asciiTheme="minorHAnsi" w:hAnsiTheme="minorHAnsi"/>
        </w:rPr>
        <w:t>, accreditation authorities</w:t>
      </w:r>
      <w:r w:rsidR="28F6D391" w:rsidRPr="23A50946">
        <w:rPr>
          <w:rFonts w:asciiTheme="minorHAnsi" w:hAnsiTheme="minorHAnsi"/>
        </w:rPr>
        <w:t xml:space="preserve"> (</w:t>
      </w:r>
      <w:r w:rsidR="0044314F">
        <w:rPr>
          <w:rFonts w:asciiTheme="minorHAnsi" w:hAnsiTheme="minorHAnsi"/>
        </w:rPr>
        <w:t xml:space="preserve">such as the </w:t>
      </w:r>
      <w:r w:rsidR="28F6D391" w:rsidRPr="23A50946">
        <w:rPr>
          <w:rFonts w:asciiTheme="minorHAnsi" w:hAnsiTheme="minorHAnsi"/>
        </w:rPr>
        <w:t>A</w:t>
      </w:r>
      <w:r w:rsidR="005B747E" w:rsidRPr="23A50946">
        <w:rPr>
          <w:rFonts w:asciiTheme="minorHAnsi" w:hAnsiTheme="minorHAnsi"/>
        </w:rPr>
        <w:t xml:space="preserve">ustralian </w:t>
      </w:r>
      <w:r w:rsidR="28F6D391" w:rsidRPr="23A50946">
        <w:rPr>
          <w:rFonts w:asciiTheme="minorHAnsi" w:hAnsiTheme="minorHAnsi"/>
        </w:rPr>
        <w:t>N</w:t>
      </w:r>
      <w:r w:rsidR="005B747E" w:rsidRPr="23A50946">
        <w:rPr>
          <w:rFonts w:asciiTheme="minorHAnsi" w:hAnsiTheme="minorHAnsi"/>
        </w:rPr>
        <w:t xml:space="preserve">ursing </w:t>
      </w:r>
      <w:r w:rsidR="00974B8E" w:rsidRPr="23A50946">
        <w:rPr>
          <w:rFonts w:asciiTheme="minorHAnsi" w:hAnsiTheme="minorHAnsi"/>
        </w:rPr>
        <w:t xml:space="preserve">and </w:t>
      </w:r>
      <w:r w:rsidR="28F6D391" w:rsidRPr="23A50946">
        <w:rPr>
          <w:rFonts w:asciiTheme="minorHAnsi" w:hAnsiTheme="minorHAnsi"/>
        </w:rPr>
        <w:t>M</w:t>
      </w:r>
      <w:r w:rsidR="00974B8E" w:rsidRPr="23A50946">
        <w:rPr>
          <w:rFonts w:asciiTheme="minorHAnsi" w:hAnsiTheme="minorHAnsi"/>
        </w:rPr>
        <w:t xml:space="preserve">idwifery </w:t>
      </w:r>
      <w:r w:rsidR="28F6D391" w:rsidRPr="23A50946">
        <w:rPr>
          <w:rFonts w:asciiTheme="minorHAnsi" w:hAnsiTheme="minorHAnsi"/>
        </w:rPr>
        <w:t>A</w:t>
      </w:r>
      <w:r w:rsidR="00974B8E" w:rsidRPr="23A50946">
        <w:rPr>
          <w:rFonts w:asciiTheme="minorHAnsi" w:hAnsiTheme="minorHAnsi"/>
        </w:rPr>
        <w:t xml:space="preserve">ccreditation </w:t>
      </w:r>
      <w:r w:rsidR="28F6D391" w:rsidRPr="23A50946">
        <w:rPr>
          <w:rFonts w:asciiTheme="minorHAnsi" w:hAnsiTheme="minorHAnsi"/>
        </w:rPr>
        <w:t>C</w:t>
      </w:r>
      <w:r w:rsidR="00974B8E" w:rsidRPr="23A50946">
        <w:rPr>
          <w:rFonts w:asciiTheme="minorHAnsi" w:hAnsiTheme="minorHAnsi"/>
        </w:rPr>
        <w:t>ouncil</w:t>
      </w:r>
      <w:r w:rsidR="28F6D391" w:rsidRPr="23A50946">
        <w:rPr>
          <w:rFonts w:asciiTheme="minorHAnsi" w:hAnsiTheme="minorHAnsi"/>
        </w:rPr>
        <w:t>, A</w:t>
      </w:r>
      <w:r w:rsidR="00974B8E" w:rsidRPr="23A50946">
        <w:rPr>
          <w:rFonts w:asciiTheme="minorHAnsi" w:hAnsiTheme="minorHAnsi"/>
        </w:rPr>
        <w:t xml:space="preserve">ustralian </w:t>
      </w:r>
      <w:r w:rsidR="28F6D391" w:rsidRPr="23A50946">
        <w:rPr>
          <w:rFonts w:asciiTheme="minorHAnsi" w:hAnsiTheme="minorHAnsi"/>
        </w:rPr>
        <w:t>A</w:t>
      </w:r>
      <w:r w:rsidR="00974B8E" w:rsidRPr="23A50946">
        <w:rPr>
          <w:rFonts w:asciiTheme="minorHAnsi" w:hAnsiTheme="minorHAnsi"/>
        </w:rPr>
        <w:t xml:space="preserve">ssociation </w:t>
      </w:r>
      <w:r w:rsidR="00F36800" w:rsidRPr="23A50946">
        <w:rPr>
          <w:rFonts w:asciiTheme="minorHAnsi" w:hAnsiTheme="minorHAnsi"/>
        </w:rPr>
        <w:t xml:space="preserve">of </w:t>
      </w:r>
      <w:r w:rsidR="28F6D391" w:rsidRPr="23A50946">
        <w:rPr>
          <w:rFonts w:asciiTheme="minorHAnsi" w:hAnsiTheme="minorHAnsi"/>
        </w:rPr>
        <w:t>S</w:t>
      </w:r>
      <w:r w:rsidR="00F36800" w:rsidRPr="23A50946">
        <w:rPr>
          <w:rFonts w:asciiTheme="minorHAnsi" w:hAnsiTheme="minorHAnsi"/>
        </w:rPr>
        <w:t xml:space="preserve">ocial </w:t>
      </w:r>
      <w:r w:rsidR="28F6D391" w:rsidRPr="23A50946">
        <w:rPr>
          <w:rFonts w:asciiTheme="minorHAnsi" w:hAnsiTheme="minorHAnsi"/>
        </w:rPr>
        <w:t>W</w:t>
      </w:r>
      <w:r w:rsidR="00F36800" w:rsidRPr="23A50946">
        <w:rPr>
          <w:rFonts w:asciiTheme="minorHAnsi" w:hAnsiTheme="minorHAnsi"/>
        </w:rPr>
        <w:t>orkers</w:t>
      </w:r>
      <w:r w:rsidR="28F6D391" w:rsidRPr="23A50946">
        <w:rPr>
          <w:rFonts w:asciiTheme="minorHAnsi" w:hAnsiTheme="minorHAnsi"/>
        </w:rPr>
        <w:t xml:space="preserve"> and</w:t>
      </w:r>
      <w:r w:rsidR="00290897" w:rsidRPr="23A50946">
        <w:rPr>
          <w:rFonts w:asciiTheme="minorHAnsi" w:hAnsiTheme="minorHAnsi"/>
        </w:rPr>
        <w:t xml:space="preserve"> the</w:t>
      </w:r>
      <w:r w:rsidR="28F6D391" w:rsidRPr="23A50946">
        <w:rPr>
          <w:rFonts w:asciiTheme="minorHAnsi" w:hAnsiTheme="minorHAnsi"/>
        </w:rPr>
        <w:t xml:space="preserve"> A</w:t>
      </w:r>
      <w:r w:rsidR="004003B4" w:rsidRPr="23A50946">
        <w:rPr>
          <w:rFonts w:asciiTheme="minorHAnsi" w:hAnsiTheme="minorHAnsi"/>
        </w:rPr>
        <w:t xml:space="preserve">ustralian </w:t>
      </w:r>
      <w:r w:rsidR="28F6D391" w:rsidRPr="23A50946">
        <w:rPr>
          <w:rFonts w:asciiTheme="minorHAnsi" w:hAnsiTheme="minorHAnsi"/>
        </w:rPr>
        <w:t>I</w:t>
      </w:r>
      <w:r w:rsidR="004003B4" w:rsidRPr="23A50946">
        <w:rPr>
          <w:rFonts w:asciiTheme="minorHAnsi" w:hAnsiTheme="minorHAnsi"/>
        </w:rPr>
        <w:t xml:space="preserve">nstitute for </w:t>
      </w:r>
      <w:r w:rsidR="28F6D391" w:rsidRPr="23A50946">
        <w:rPr>
          <w:rFonts w:asciiTheme="minorHAnsi" w:hAnsiTheme="minorHAnsi"/>
        </w:rPr>
        <w:t>T</w:t>
      </w:r>
      <w:r w:rsidR="004003B4" w:rsidRPr="23A50946">
        <w:rPr>
          <w:rFonts w:asciiTheme="minorHAnsi" w:hAnsiTheme="minorHAnsi"/>
        </w:rPr>
        <w:t xml:space="preserve">eaching and </w:t>
      </w:r>
      <w:r w:rsidR="28F6D391" w:rsidRPr="23A50946">
        <w:rPr>
          <w:rFonts w:asciiTheme="minorHAnsi" w:hAnsiTheme="minorHAnsi"/>
        </w:rPr>
        <w:t>S</w:t>
      </w:r>
      <w:r w:rsidR="004003B4" w:rsidRPr="23A50946">
        <w:rPr>
          <w:rFonts w:asciiTheme="minorHAnsi" w:hAnsiTheme="minorHAnsi"/>
        </w:rPr>
        <w:t xml:space="preserve">chool </w:t>
      </w:r>
      <w:r w:rsidR="28F6D391" w:rsidRPr="23A50946">
        <w:rPr>
          <w:rFonts w:asciiTheme="minorHAnsi" w:hAnsiTheme="minorHAnsi"/>
        </w:rPr>
        <w:t>L</w:t>
      </w:r>
      <w:r w:rsidR="004555F4" w:rsidRPr="23A50946">
        <w:rPr>
          <w:rFonts w:asciiTheme="minorHAnsi" w:hAnsiTheme="minorHAnsi"/>
        </w:rPr>
        <w:t>eadership</w:t>
      </w:r>
      <w:r w:rsidR="69BCF7B1" w:rsidRPr="23A50946">
        <w:rPr>
          <w:rFonts w:asciiTheme="minorHAnsi" w:hAnsiTheme="minorHAnsi"/>
        </w:rPr>
        <w:t>)</w:t>
      </w:r>
      <w:r w:rsidR="7996EB6F" w:rsidRPr="23A50946">
        <w:rPr>
          <w:rFonts w:asciiTheme="minorHAnsi" w:hAnsiTheme="minorHAnsi"/>
        </w:rPr>
        <w:t xml:space="preserve"> and the </w:t>
      </w:r>
      <w:r w:rsidRPr="23A50946">
        <w:rPr>
          <w:rFonts w:asciiTheme="minorHAnsi" w:hAnsiTheme="minorHAnsi"/>
        </w:rPr>
        <w:lastRenderedPageBreak/>
        <w:t>S</w:t>
      </w:r>
      <w:r w:rsidR="7996EB6F" w:rsidRPr="23A50946">
        <w:rPr>
          <w:rFonts w:asciiTheme="minorHAnsi" w:hAnsiTheme="minorHAnsi"/>
        </w:rPr>
        <w:t xml:space="preserve">tates and </w:t>
      </w:r>
      <w:r w:rsidRPr="23A50946">
        <w:rPr>
          <w:rFonts w:asciiTheme="minorHAnsi" w:hAnsiTheme="minorHAnsi"/>
        </w:rPr>
        <w:t>T</w:t>
      </w:r>
      <w:r w:rsidR="7996EB6F" w:rsidRPr="23A50946">
        <w:rPr>
          <w:rFonts w:asciiTheme="minorHAnsi" w:hAnsiTheme="minorHAnsi"/>
        </w:rPr>
        <w:t>erritories</w:t>
      </w:r>
      <w:r w:rsidR="241C6197" w:rsidRPr="23A50946">
        <w:rPr>
          <w:rFonts w:asciiTheme="minorHAnsi" w:hAnsiTheme="minorHAnsi"/>
        </w:rPr>
        <w:t xml:space="preserve"> (through N</w:t>
      </w:r>
      <w:r w:rsidR="009F4C4F" w:rsidRPr="23A50946">
        <w:rPr>
          <w:rFonts w:asciiTheme="minorHAnsi" w:hAnsiTheme="minorHAnsi"/>
        </w:rPr>
        <w:t xml:space="preserve">ational </w:t>
      </w:r>
      <w:r w:rsidR="241C6197" w:rsidRPr="23A50946">
        <w:rPr>
          <w:rFonts w:asciiTheme="minorHAnsi" w:hAnsiTheme="minorHAnsi"/>
        </w:rPr>
        <w:t>T</w:t>
      </w:r>
      <w:r w:rsidR="009F4C4F" w:rsidRPr="23A50946">
        <w:rPr>
          <w:rFonts w:asciiTheme="minorHAnsi" w:hAnsiTheme="minorHAnsi"/>
        </w:rPr>
        <w:t xml:space="preserve">eaching </w:t>
      </w:r>
      <w:r w:rsidR="241C6197" w:rsidRPr="23A50946">
        <w:rPr>
          <w:rFonts w:asciiTheme="minorHAnsi" w:hAnsiTheme="minorHAnsi"/>
        </w:rPr>
        <w:t>W</w:t>
      </w:r>
      <w:r w:rsidR="009F4C4F" w:rsidRPr="23A50946">
        <w:rPr>
          <w:rFonts w:asciiTheme="minorHAnsi" w:hAnsiTheme="minorHAnsi"/>
        </w:rPr>
        <w:t xml:space="preserve">orkforce </w:t>
      </w:r>
      <w:r w:rsidR="241C6197" w:rsidRPr="23A50946">
        <w:rPr>
          <w:rFonts w:asciiTheme="minorHAnsi" w:hAnsiTheme="minorHAnsi"/>
        </w:rPr>
        <w:t>A</w:t>
      </w:r>
      <w:r w:rsidR="009F4C4F" w:rsidRPr="23A50946">
        <w:rPr>
          <w:rFonts w:asciiTheme="minorHAnsi" w:hAnsiTheme="minorHAnsi"/>
        </w:rPr>
        <w:t xml:space="preserve">ction </w:t>
      </w:r>
      <w:r w:rsidR="241C6197" w:rsidRPr="23A50946">
        <w:rPr>
          <w:rFonts w:asciiTheme="minorHAnsi" w:hAnsiTheme="minorHAnsi"/>
        </w:rPr>
        <w:t>P</w:t>
      </w:r>
      <w:r w:rsidR="00E14E07" w:rsidRPr="23A50946">
        <w:rPr>
          <w:rFonts w:asciiTheme="minorHAnsi" w:hAnsiTheme="minorHAnsi"/>
        </w:rPr>
        <w:t>lan</w:t>
      </w:r>
      <w:r w:rsidR="241C6197" w:rsidRPr="23A50946">
        <w:rPr>
          <w:rFonts w:asciiTheme="minorHAnsi" w:hAnsiTheme="minorHAnsi"/>
        </w:rPr>
        <w:t>, Health Workforce Taskforce and the Tertiary Reform Group)</w:t>
      </w:r>
      <w:r w:rsidRPr="23A50946">
        <w:rPr>
          <w:rFonts w:asciiTheme="minorHAnsi" w:hAnsiTheme="minorHAnsi"/>
        </w:rPr>
        <w:t xml:space="preserve"> in relation to the CPP</w:t>
      </w:r>
      <w:r w:rsidR="7996EB6F" w:rsidRPr="23A50946">
        <w:rPr>
          <w:rFonts w:asciiTheme="minorHAnsi" w:hAnsiTheme="minorHAnsi"/>
        </w:rPr>
        <w:t>.</w:t>
      </w:r>
    </w:p>
    <w:p w14:paraId="7DC7844F" w14:textId="3599C734" w:rsidR="0047743B" w:rsidRDefault="00796B79" w:rsidP="7BC75282">
      <w:pPr>
        <w:spacing w:before="120" w:after="120"/>
        <w:rPr>
          <w:rFonts w:asciiTheme="minorHAnsi" w:hAnsiTheme="minorHAnsi"/>
        </w:rPr>
      </w:pPr>
      <w:r w:rsidRPr="7BC75282">
        <w:rPr>
          <w:rFonts w:asciiTheme="minorHAnsi" w:hAnsiTheme="minorHAnsi"/>
        </w:rPr>
        <w:t>An Operational Working Group (OWG) has been established to inform program implementation. Membership of the OWG comprises a diverse range of higher education providers and student representatives</w:t>
      </w:r>
      <w:r w:rsidR="005D58E1" w:rsidRPr="7BC75282">
        <w:rPr>
          <w:rFonts w:asciiTheme="minorHAnsi" w:hAnsiTheme="minorHAnsi"/>
        </w:rPr>
        <w:t>.</w:t>
      </w:r>
      <w:r w:rsidR="00B96C29" w:rsidRPr="7BC75282">
        <w:rPr>
          <w:rFonts w:asciiTheme="minorHAnsi" w:hAnsiTheme="minorHAnsi"/>
        </w:rPr>
        <w:t xml:space="preserve"> </w:t>
      </w:r>
      <w:r w:rsidR="295C8C6D" w:rsidRPr="7BC75282">
        <w:rPr>
          <w:rFonts w:asciiTheme="minorHAnsi" w:hAnsiTheme="minorHAnsi"/>
        </w:rPr>
        <w:t xml:space="preserve">Provider and student insights gained through this engagement </w:t>
      </w:r>
      <w:r w:rsidR="170E3E5D" w:rsidRPr="7BC75282">
        <w:rPr>
          <w:rFonts w:asciiTheme="minorHAnsi" w:hAnsiTheme="minorHAnsi"/>
        </w:rPr>
        <w:t>ha</w:t>
      </w:r>
      <w:r w:rsidR="46155A11" w:rsidRPr="7BC75282">
        <w:rPr>
          <w:rFonts w:asciiTheme="minorHAnsi" w:hAnsiTheme="minorHAnsi"/>
        </w:rPr>
        <w:t>ve</w:t>
      </w:r>
      <w:r w:rsidR="170E3E5D" w:rsidRPr="7BC75282">
        <w:rPr>
          <w:rFonts w:asciiTheme="minorHAnsi" w:hAnsiTheme="minorHAnsi"/>
        </w:rPr>
        <w:t xml:space="preserve"> </w:t>
      </w:r>
      <w:r w:rsidR="46155A11" w:rsidRPr="7BC75282">
        <w:rPr>
          <w:rFonts w:asciiTheme="minorHAnsi" w:hAnsiTheme="minorHAnsi"/>
        </w:rPr>
        <w:t>influenced the policy settings</w:t>
      </w:r>
      <w:r w:rsidR="4B8E9070" w:rsidRPr="7BC75282">
        <w:rPr>
          <w:rFonts w:asciiTheme="minorHAnsi" w:hAnsiTheme="minorHAnsi"/>
        </w:rPr>
        <w:t xml:space="preserve"> and program guidelines</w:t>
      </w:r>
      <w:r w:rsidR="46155A11" w:rsidRPr="7BC75282">
        <w:rPr>
          <w:rFonts w:asciiTheme="minorHAnsi" w:hAnsiTheme="minorHAnsi"/>
        </w:rPr>
        <w:t xml:space="preserve"> for the program (for example, changes to </w:t>
      </w:r>
      <w:r w:rsidR="00C022C3" w:rsidRPr="7BC75282">
        <w:rPr>
          <w:rFonts w:asciiTheme="minorHAnsi" w:hAnsiTheme="minorHAnsi"/>
        </w:rPr>
        <w:t xml:space="preserve">allow </w:t>
      </w:r>
      <w:r w:rsidR="00AB494A">
        <w:rPr>
          <w:rFonts w:asciiTheme="minorHAnsi" w:hAnsiTheme="minorHAnsi"/>
        </w:rPr>
        <w:t>for providers to consider</w:t>
      </w:r>
      <w:r w:rsidR="00C022C3" w:rsidRPr="7BC75282">
        <w:rPr>
          <w:rFonts w:asciiTheme="minorHAnsi" w:hAnsiTheme="minorHAnsi"/>
        </w:rPr>
        <w:t xml:space="preserve"> students with exceptional circumstances to receive payments even if they do not meet certain requirements</w:t>
      </w:r>
      <w:r w:rsidR="46155A11" w:rsidRPr="7BC75282">
        <w:rPr>
          <w:rFonts w:asciiTheme="minorHAnsi" w:hAnsiTheme="minorHAnsi"/>
        </w:rPr>
        <w:t>)</w:t>
      </w:r>
      <w:r w:rsidR="170E3E5D" w:rsidRPr="7BC75282">
        <w:rPr>
          <w:rFonts w:asciiTheme="minorHAnsi" w:hAnsiTheme="minorHAnsi"/>
        </w:rPr>
        <w:t xml:space="preserve">. </w:t>
      </w:r>
      <w:r w:rsidR="46155A11" w:rsidRPr="7BC75282">
        <w:rPr>
          <w:rFonts w:asciiTheme="minorHAnsi" w:hAnsiTheme="minorHAnsi"/>
        </w:rPr>
        <w:t xml:space="preserve">The OWG and stakeholders consulted have largely been supportive of the CPP. </w:t>
      </w:r>
    </w:p>
    <w:p w14:paraId="09DCB694" w14:textId="77777777" w:rsidR="00275824" w:rsidRDefault="00275824">
      <w:pPr>
        <w:spacing w:after="160" w:line="259" w:lineRule="auto"/>
        <w:rPr>
          <w:rFonts w:asciiTheme="minorHAnsi" w:hAnsiTheme="minorHAnsi" w:cstheme="minorHAnsi"/>
          <w:b/>
          <w:szCs w:val="24"/>
        </w:rPr>
      </w:pPr>
      <w:bookmarkStart w:id="4" w:name="_Toc23942241"/>
      <w:bookmarkStart w:id="5" w:name="_Toc34293362"/>
      <w:r>
        <w:br w:type="page"/>
      </w:r>
    </w:p>
    <w:p w14:paraId="2023D52E" w14:textId="20BCE653" w:rsidR="00DA552F" w:rsidRPr="0080510C" w:rsidRDefault="00DA552F" w:rsidP="000C310A">
      <w:pPr>
        <w:pStyle w:val="Title"/>
      </w:pPr>
      <w:r w:rsidRPr="0080510C">
        <w:rPr>
          <w:u w:val="none"/>
        </w:rPr>
        <w:lastRenderedPageBreak/>
        <w:t>STATEMENT OF COMPATIBILITY WITH HUMAN RIGHTS</w:t>
      </w:r>
      <w:bookmarkEnd w:id="4"/>
      <w:bookmarkEnd w:id="5"/>
    </w:p>
    <w:p w14:paraId="19B61A02" w14:textId="77777777" w:rsidR="00DA552F" w:rsidRPr="008134D5" w:rsidRDefault="00DA552F" w:rsidP="7BC75282">
      <w:pPr>
        <w:spacing w:before="120" w:after="120"/>
        <w:jc w:val="center"/>
        <w:rPr>
          <w:rFonts w:asciiTheme="minorHAnsi" w:hAnsiTheme="minorHAnsi"/>
        </w:rPr>
      </w:pPr>
      <w:r w:rsidRPr="7BC75282">
        <w:rPr>
          <w:rFonts w:asciiTheme="minorHAnsi" w:hAnsiTheme="minorHAnsi"/>
          <w:i/>
          <w:iCs/>
        </w:rPr>
        <w:t xml:space="preserve">Prepared in accordance with Part 3 of the Human Rights (Parliamentary </w:t>
      </w:r>
      <w:r w:rsidR="003440C7" w:rsidRPr="7BC75282">
        <w:rPr>
          <w:rFonts w:asciiTheme="minorHAnsi" w:hAnsiTheme="minorHAnsi"/>
          <w:i/>
          <w:iCs/>
        </w:rPr>
        <w:t>Scrutiny) Act 2011</w:t>
      </w:r>
    </w:p>
    <w:p w14:paraId="2F6A1F24" w14:textId="51FF5C90" w:rsidR="00712B9B" w:rsidRPr="00592859" w:rsidRDefault="00592859" w:rsidP="7BC75282">
      <w:pPr>
        <w:spacing w:before="120" w:after="120"/>
        <w:jc w:val="center"/>
        <w:rPr>
          <w:rFonts w:asciiTheme="minorHAnsi" w:hAnsiTheme="minorHAnsi"/>
          <w:u w:val="single"/>
        </w:rPr>
      </w:pPr>
      <w:r w:rsidRPr="7BC75282">
        <w:rPr>
          <w:rFonts w:asciiTheme="minorHAnsi" w:hAnsiTheme="minorHAnsi"/>
          <w:u w:val="single"/>
        </w:rPr>
        <w:t xml:space="preserve">Higher Education Support (Other Grants) Amendment (Commonwealth </w:t>
      </w:r>
      <w:proofErr w:type="spellStart"/>
      <w:r w:rsidRPr="7BC75282">
        <w:rPr>
          <w:rFonts w:asciiTheme="minorHAnsi" w:hAnsiTheme="minorHAnsi"/>
          <w:u w:val="single"/>
        </w:rPr>
        <w:t>Prac</w:t>
      </w:r>
      <w:proofErr w:type="spellEnd"/>
      <w:r w:rsidRPr="7BC75282">
        <w:rPr>
          <w:rFonts w:asciiTheme="minorHAnsi" w:hAnsiTheme="minorHAnsi"/>
          <w:u w:val="single"/>
        </w:rPr>
        <w:t xml:space="preserve"> Payment) Guidelines 202</w:t>
      </w:r>
      <w:r w:rsidR="00B737BB" w:rsidRPr="7BC75282">
        <w:rPr>
          <w:rFonts w:asciiTheme="minorHAnsi" w:hAnsiTheme="minorHAnsi"/>
          <w:u w:val="single"/>
        </w:rPr>
        <w:t>5</w:t>
      </w:r>
    </w:p>
    <w:p w14:paraId="65F6CFAB" w14:textId="4C8EE95D" w:rsidR="00DA552F" w:rsidRPr="008134D5" w:rsidRDefault="6C10B304" w:rsidP="7BC75282">
      <w:pPr>
        <w:spacing w:before="120" w:after="120"/>
        <w:rPr>
          <w:rFonts w:asciiTheme="minorHAnsi" w:hAnsiTheme="minorHAnsi"/>
        </w:rPr>
      </w:pPr>
      <w:r w:rsidRPr="7BC75282">
        <w:rPr>
          <w:rFonts w:asciiTheme="minorHAnsi" w:hAnsiTheme="minorHAnsi"/>
        </w:rPr>
        <w:t xml:space="preserve">The </w:t>
      </w:r>
      <w:r w:rsidR="20B13B2C" w:rsidRPr="7BC75282">
        <w:rPr>
          <w:rFonts w:asciiTheme="minorHAnsi" w:hAnsiTheme="minorHAnsi"/>
          <w:i/>
          <w:iCs/>
        </w:rPr>
        <w:t xml:space="preserve">Higher Education Support (Other Grants) Amendment (Commonwealth </w:t>
      </w:r>
      <w:proofErr w:type="spellStart"/>
      <w:r w:rsidR="20B13B2C" w:rsidRPr="7BC75282">
        <w:rPr>
          <w:rFonts w:asciiTheme="minorHAnsi" w:hAnsiTheme="minorHAnsi"/>
          <w:i/>
          <w:iCs/>
        </w:rPr>
        <w:t>Prac</w:t>
      </w:r>
      <w:proofErr w:type="spellEnd"/>
      <w:r w:rsidR="20B13B2C" w:rsidRPr="7BC75282">
        <w:rPr>
          <w:rFonts w:asciiTheme="minorHAnsi" w:hAnsiTheme="minorHAnsi"/>
          <w:i/>
          <w:iCs/>
        </w:rPr>
        <w:t xml:space="preserve"> Payment) Guidelines 202</w:t>
      </w:r>
      <w:r w:rsidR="00B737BB" w:rsidRPr="7BC75282">
        <w:rPr>
          <w:rFonts w:asciiTheme="minorHAnsi" w:hAnsiTheme="minorHAnsi"/>
          <w:i/>
          <w:iCs/>
        </w:rPr>
        <w:t>5</w:t>
      </w:r>
      <w:r w:rsidR="20B13B2C" w:rsidRPr="7BC75282">
        <w:rPr>
          <w:rFonts w:asciiTheme="minorHAnsi" w:hAnsiTheme="minorHAnsi"/>
          <w:i/>
          <w:iCs/>
        </w:rPr>
        <w:t xml:space="preserve"> </w:t>
      </w:r>
      <w:r w:rsidR="59A120C9" w:rsidRPr="7BC75282">
        <w:rPr>
          <w:rFonts w:asciiTheme="minorHAnsi" w:hAnsiTheme="minorHAnsi"/>
        </w:rPr>
        <w:t xml:space="preserve">(the </w:t>
      </w:r>
      <w:r w:rsidR="22FEFD25" w:rsidRPr="7BC75282">
        <w:rPr>
          <w:rFonts w:asciiTheme="minorHAnsi" w:hAnsiTheme="minorHAnsi"/>
        </w:rPr>
        <w:t xml:space="preserve">Amendment </w:t>
      </w:r>
      <w:r w:rsidR="35500E30" w:rsidRPr="7BC75282">
        <w:rPr>
          <w:rFonts w:asciiTheme="minorHAnsi" w:hAnsiTheme="minorHAnsi"/>
        </w:rPr>
        <w:t>Instrument</w:t>
      </w:r>
      <w:r w:rsidR="59A120C9" w:rsidRPr="7BC75282">
        <w:rPr>
          <w:rFonts w:asciiTheme="minorHAnsi" w:hAnsiTheme="minorHAnsi"/>
        </w:rPr>
        <w:t xml:space="preserve">) </w:t>
      </w:r>
      <w:r w:rsidR="4563D149" w:rsidRPr="7BC75282">
        <w:rPr>
          <w:rFonts w:asciiTheme="minorHAnsi" w:hAnsiTheme="minorHAnsi"/>
        </w:rPr>
        <w:t xml:space="preserve">is </w:t>
      </w:r>
      <w:r w:rsidRPr="7BC75282">
        <w:rPr>
          <w:rFonts w:asciiTheme="minorHAnsi" w:hAnsiTheme="minorHAnsi"/>
        </w:rPr>
        <w:t xml:space="preserve">compatible with the human rights and freedoms recognised or declared in the international instruments listed in section 3 of the </w:t>
      </w:r>
      <w:r w:rsidRPr="7BC75282">
        <w:rPr>
          <w:rFonts w:asciiTheme="minorHAnsi" w:hAnsiTheme="minorHAnsi"/>
          <w:i/>
          <w:iCs/>
        </w:rPr>
        <w:t>Human Rights (Parliamentary Scrutiny) Act 2011</w:t>
      </w:r>
      <w:r w:rsidRPr="7BC75282">
        <w:rPr>
          <w:rFonts w:asciiTheme="minorHAnsi" w:hAnsiTheme="minorHAnsi"/>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1C29FF15" w14:textId="4EFC3493" w:rsidR="002F6CF7" w:rsidRDefault="44EA8629" w:rsidP="7BC75282">
      <w:pPr>
        <w:rPr>
          <w:rFonts w:asciiTheme="minorHAnsi" w:hAnsiTheme="minorHAnsi"/>
        </w:rPr>
      </w:pPr>
      <w:r w:rsidRPr="7BC75282">
        <w:rPr>
          <w:rFonts w:asciiTheme="minorHAnsi" w:hAnsiTheme="minorHAnsi"/>
        </w:rPr>
        <w:t xml:space="preserve">The </w:t>
      </w:r>
      <w:r w:rsidR="22FEFD25" w:rsidRPr="7BC75282">
        <w:rPr>
          <w:rFonts w:asciiTheme="minorHAnsi" w:hAnsiTheme="minorHAnsi"/>
        </w:rPr>
        <w:t xml:space="preserve">Amendment </w:t>
      </w:r>
      <w:r w:rsidRPr="7BC75282">
        <w:rPr>
          <w:rFonts w:asciiTheme="minorHAnsi" w:hAnsiTheme="minorHAnsi"/>
        </w:rPr>
        <w:t xml:space="preserve">Instrument amends the </w:t>
      </w:r>
      <w:r w:rsidR="2A0A4E26" w:rsidRPr="7BC75282">
        <w:rPr>
          <w:rFonts w:asciiTheme="minorHAnsi" w:hAnsiTheme="minorHAnsi"/>
          <w:i/>
          <w:iCs/>
        </w:rPr>
        <w:t xml:space="preserve">Higher Education Support (Other Grants) Guidelines 2022 </w:t>
      </w:r>
      <w:r w:rsidR="2A0A4E26" w:rsidRPr="7BC75282">
        <w:rPr>
          <w:rFonts w:asciiTheme="minorHAnsi" w:hAnsiTheme="minorHAnsi"/>
        </w:rPr>
        <w:t xml:space="preserve">(the </w:t>
      </w:r>
      <w:r w:rsidR="22FEFD25" w:rsidRPr="7BC75282">
        <w:rPr>
          <w:rFonts w:asciiTheme="minorHAnsi" w:hAnsiTheme="minorHAnsi"/>
        </w:rPr>
        <w:t>Principal Instrument</w:t>
      </w:r>
      <w:r w:rsidR="2A0A4E26" w:rsidRPr="7BC75282">
        <w:rPr>
          <w:rFonts w:asciiTheme="minorHAnsi" w:hAnsiTheme="minorHAnsi"/>
        </w:rPr>
        <w:t xml:space="preserve">) </w:t>
      </w:r>
      <w:r w:rsidR="22FEFD25" w:rsidRPr="7BC75282">
        <w:rPr>
          <w:rFonts w:asciiTheme="minorHAnsi" w:hAnsiTheme="minorHAnsi"/>
        </w:rPr>
        <w:t>to specify a new program under which grants can be made</w:t>
      </w:r>
      <w:r w:rsidR="58B0ECC8" w:rsidRPr="7BC75282">
        <w:rPr>
          <w:rFonts w:asciiTheme="minorHAnsi" w:hAnsiTheme="minorHAnsi"/>
        </w:rPr>
        <w:t xml:space="preserve">, </w:t>
      </w:r>
      <w:r w:rsidR="22FEFD25" w:rsidRPr="7BC75282">
        <w:rPr>
          <w:rFonts w:asciiTheme="minorHAnsi" w:hAnsiTheme="minorHAnsi"/>
        </w:rPr>
        <w:t xml:space="preserve">the Commonwealth </w:t>
      </w:r>
      <w:proofErr w:type="spellStart"/>
      <w:r w:rsidR="22FEFD25" w:rsidRPr="7BC75282">
        <w:rPr>
          <w:rFonts w:asciiTheme="minorHAnsi" w:hAnsiTheme="minorHAnsi"/>
        </w:rPr>
        <w:t>Prac</w:t>
      </w:r>
      <w:proofErr w:type="spellEnd"/>
      <w:r w:rsidR="22FEFD25" w:rsidRPr="7BC75282">
        <w:rPr>
          <w:rFonts w:asciiTheme="minorHAnsi" w:hAnsiTheme="minorHAnsi"/>
        </w:rPr>
        <w:t xml:space="preserve"> Payment program (CPP), which will support teaching, nursing, midwifery and social work students to complete their mandatory placements. </w:t>
      </w:r>
    </w:p>
    <w:p w14:paraId="122B9CA0" w14:textId="3DDF2973" w:rsidR="002F6CF7" w:rsidRPr="00A0782D" w:rsidRDefault="22FEFD25" w:rsidP="7BC75282">
      <w:pPr>
        <w:rPr>
          <w:rFonts w:asciiTheme="minorHAnsi" w:hAnsiTheme="minorHAnsi"/>
        </w:rPr>
      </w:pPr>
      <w:r w:rsidRPr="7BC75282">
        <w:rPr>
          <w:rFonts w:asciiTheme="minorHAnsi" w:hAnsiTheme="minorHAnsi"/>
        </w:rPr>
        <w:t>The CPP will enable the provision of grants to providers to assist those providers with making payments (</w:t>
      </w:r>
      <w:r w:rsidR="66FACD23" w:rsidRPr="7BC75282">
        <w:rPr>
          <w:rFonts w:asciiTheme="minorHAnsi" w:hAnsiTheme="minorHAnsi"/>
        </w:rPr>
        <w:t>equal to</w:t>
      </w:r>
      <w:r w:rsidRPr="7BC75282">
        <w:rPr>
          <w:rFonts w:asciiTheme="minorHAnsi" w:hAnsiTheme="minorHAnsi"/>
        </w:rPr>
        <w:t xml:space="preserve"> the </w:t>
      </w:r>
      <w:r w:rsidR="66FACD23" w:rsidRPr="7BC75282">
        <w:rPr>
          <w:rFonts w:asciiTheme="minorHAnsi" w:hAnsiTheme="minorHAnsi"/>
        </w:rPr>
        <w:t>weekly</w:t>
      </w:r>
      <w:r w:rsidRPr="7BC75282">
        <w:rPr>
          <w:rFonts w:asciiTheme="minorHAnsi" w:hAnsiTheme="minorHAnsi"/>
        </w:rPr>
        <w:t xml:space="preserve"> </w:t>
      </w:r>
      <w:proofErr w:type="spellStart"/>
      <w:r w:rsidRPr="7BC75282">
        <w:rPr>
          <w:rFonts w:asciiTheme="minorHAnsi" w:hAnsiTheme="minorHAnsi"/>
        </w:rPr>
        <w:t>Austudy</w:t>
      </w:r>
      <w:proofErr w:type="spellEnd"/>
      <w:r w:rsidRPr="7BC75282">
        <w:rPr>
          <w:rFonts w:asciiTheme="minorHAnsi" w:hAnsiTheme="minorHAnsi"/>
        </w:rPr>
        <w:t xml:space="preserve"> rate), to eligible students undertaking mandatory placements as part of teaching, nursing</w:t>
      </w:r>
      <w:r w:rsidR="124794E8" w:rsidRPr="7BC75282">
        <w:rPr>
          <w:rFonts w:asciiTheme="minorHAnsi" w:hAnsiTheme="minorHAnsi"/>
        </w:rPr>
        <w:t xml:space="preserve">, </w:t>
      </w:r>
      <w:r w:rsidRPr="7BC75282">
        <w:rPr>
          <w:rFonts w:asciiTheme="minorHAnsi" w:hAnsiTheme="minorHAnsi"/>
        </w:rPr>
        <w:t>midwifery, and social work courses of study.</w:t>
      </w:r>
    </w:p>
    <w:p w14:paraId="2E24715B" w14:textId="77777777" w:rsidR="002F6CF7" w:rsidRPr="00580ED7" w:rsidRDefault="22FEFD25" w:rsidP="367BCE8E">
      <w:pPr>
        <w:rPr>
          <w:rFonts w:asciiTheme="minorHAnsi" w:hAnsiTheme="minorHAnsi"/>
        </w:rPr>
      </w:pPr>
      <w:r w:rsidRPr="367BCE8E">
        <w:rPr>
          <w:rFonts w:asciiTheme="minorHAnsi" w:hAnsiTheme="minorHAnsi"/>
        </w:rPr>
        <w:t xml:space="preserve">The CPP is part of </w:t>
      </w:r>
      <w:proofErr w:type="gramStart"/>
      <w:r w:rsidRPr="367BCE8E">
        <w:rPr>
          <w:rFonts w:asciiTheme="minorHAnsi" w:hAnsiTheme="minorHAnsi"/>
        </w:rPr>
        <w:t>a number of</w:t>
      </w:r>
      <w:proofErr w:type="gramEnd"/>
      <w:r w:rsidRPr="367BCE8E">
        <w:rPr>
          <w:rFonts w:asciiTheme="minorHAnsi" w:hAnsiTheme="minorHAnsi"/>
        </w:rPr>
        <w:t xml:space="preserve"> key reforms the Government is introducing in response to the 2023 Employment White Paper and the Australian Universities Accord Final Report, which heard the very real concerns of students and unions about placement poverty and cost of living pressures impacting students’ ability to commence and complete their studies to enter the workforce. </w:t>
      </w:r>
    </w:p>
    <w:p w14:paraId="471D719F" w14:textId="77777777" w:rsidR="002F6CF7" w:rsidRPr="00580ED7" w:rsidRDefault="22FEFD25" w:rsidP="367BCE8E">
      <w:pPr>
        <w:rPr>
          <w:rFonts w:asciiTheme="minorHAnsi" w:hAnsiTheme="minorHAnsi"/>
        </w:rPr>
      </w:pPr>
      <w:r w:rsidRPr="367BCE8E">
        <w:rPr>
          <w:rFonts w:asciiTheme="minorHAnsi" w:hAnsiTheme="minorHAnsi"/>
        </w:rPr>
        <w:t xml:space="preserve">While mandatory placements form an important part of learning, they can come at a financial cost to students over-and-above standard costs of living. </w:t>
      </w:r>
    </w:p>
    <w:p w14:paraId="4F9CB821" w14:textId="6EE8CB9E" w:rsidR="002F6CF7" w:rsidRPr="00B03D2E" w:rsidRDefault="22FEFD25" w:rsidP="7BC75282">
      <w:pPr>
        <w:spacing w:before="120" w:after="120"/>
        <w:rPr>
          <w:rFonts w:asciiTheme="minorHAnsi" w:hAnsiTheme="minorHAnsi"/>
          <w:color w:val="4472C4" w:themeColor="accent5"/>
        </w:rPr>
      </w:pPr>
      <w:r w:rsidRPr="7BC75282">
        <w:rPr>
          <w:rFonts w:asciiTheme="minorHAnsi" w:hAnsiTheme="minorHAnsi"/>
        </w:rPr>
        <w:t>Placement poverty disproportionately affects equity groups as they are more likely to choose to study in care and teaching fields of education which have mandatory placement requirements. The financial pressures experienced by students undertaking mandatory placements are exacerbated for women, mature-aged students</w:t>
      </w:r>
      <w:r w:rsidR="004D455B">
        <w:rPr>
          <w:rFonts w:asciiTheme="minorHAnsi" w:hAnsiTheme="minorHAnsi"/>
        </w:rPr>
        <w:t>, students with disability</w:t>
      </w:r>
      <w:r w:rsidRPr="7BC75282">
        <w:rPr>
          <w:rFonts w:asciiTheme="minorHAnsi" w:hAnsiTheme="minorHAnsi"/>
        </w:rPr>
        <w:t xml:space="preserve"> and First Nations students, who are often juggling full-time or part-time study with paid work as well as caring and parental responsibilities</w:t>
      </w:r>
      <w:r w:rsidR="004D455B">
        <w:rPr>
          <w:rFonts w:asciiTheme="minorHAnsi" w:hAnsiTheme="minorHAnsi"/>
        </w:rPr>
        <w:t xml:space="preserve"> and other challenges</w:t>
      </w:r>
      <w:r w:rsidRPr="7BC75282">
        <w:rPr>
          <w:rFonts w:asciiTheme="minorHAnsi" w:hAnsiTheme="minorHAnsi"/>
        </w:rPr>
        <w:t xml:space="preserve">. </w:t>
      </w:r>
    </w:p>
    <w:p w14:paraId="4A509BE2" w14:textId="382FA980" w:rsidR="002F6CF7" w:rsidRDefault="22FEFD25" w:rsidP="7BC75282">
      <w:pPr>
        <w:rPr>
          <w:rFonts w:asciiTheme="minorHAnsi" w:hAnsiTheme="minorHAnsi"/>
        </w:rPr>
      </w:pPr>
      <w:r w:rsidRPr="7BC75282">
        <w:rPr>
          <w:rFonts w:asciiTheme="minorHAnsi" w:hAnsiTheme="minorHAnsi"/>
        </w:rPr>
        <w:t>The CPP will support learning outcomes by easing financial pressure on students during mandatory placements and increasing retention rates and completion of qualifications, where the financial impact of placements may have otherwise influenced students to defer or withdraw from study.</w:t>
      </w:r>
    </w:p>
    <w:p w14:paraId="0315218D" w14:textId="463FA569" w:rsidR="00EA2839" w:rsidRDefault="00EA2839" w:rsidP="7BC75282">
      <w:pPr>
        <w:rPr>
          <w:rFonts w:asciiTheme="minorHAnsi" w:hAnsiTheme="minorHAnsi"/>
        </w:rPr>
      </w:pPr>
      <w:r>
        <w:rPr>
          <w:rFonts w:asciiTheme="minorHAnsi" w:hAnsiTheme="minorHAnsi"/>
        </w:rPr>
        <w:lastRenderedPageBreak/>
        <w:t xml:space="preserve">The Amendment Instrument also amends the Principal Instrument to specify eligible bodies corporate for the purposes of item 15 of the table in subsection 41-10(1) of the Act. The bodies </w:t>
      </w:r>
      <w:proofErr w:type="gramStart"/>
      <w:r>
        <w:rPr>
          <w:rFonts w:asciiTheme="minorHAnsi" w:hAnsiTheme="minorHAnsi"/>
        </w:rPr>
        <w:t>corporate</w:t>
      </w:r>
      <w:proofErr w:type="gramEnd"/>
      <w:r>
        <w:rPr>
          <w:rFonts w:asciiTheme="minorHAnsi" w:hAnsiTheme="minorHAnsi"/>
        </w:rPr>
        <w:t xml:space="preserve"> are being specified to ensure they </w:t>
      </w:r>
      <w:proofErr w:type="gramStart"/>
      <w:r>
        <w:rPr>
          <w:rFonts w:asciiTheme="minorHAnsi" w:hAnsiTheme="minorHAnsi"/>
        </w:rPr>
        <w:t>are able to</w:t>
      </w:r>
      <w:proofErr w:type="gramEnd"/>
      <w:r>
        <w:rPr>
          <w:rFonts w:asciiTheme="minorHAnsi" w:hAnsiTheme="minorHAnsi"/>
        </w:rPr>
        <w:t xml:space="preserve"> receive grants </w:t>
      </w:r>
      <w:r w:rsidRPr="00210933">
        <w:rPr>
          <w:rFonts w:asciiTheme="minorHAnsi" w:hAnsiTheme="minorHAnsi"/>
        </w:rPr>
        <w:t>to set up systems and infrastructure that will assist them with providing payments to students under the CPP.</w:t>
      </w:r>
    </w:p>
    <w:p w14:paraId="57CC71C9" w14:textId="5CB387DA" w:rsidR="00F9205E" w:rsidRPr="008134D5" w:rsidRDefault="6C10B304" w:rsidP="367BCE8E">
      <w:pPr>
        <w:pStyle w:val="Heading2"/>
      </w:pPr>
      <w:r>
        <w:t>Human rights implications</w:t>
      </w:r>
    </w:p>
    <w:p w14:paraId="6E4488C7" w14:textId="3B6AC3C8" w:rsidR="009B7728" w:rsidRPr="00582D0F" w:rsidRDefault="052EECF9" w:rsidP="367BCE8E">
      <w:pPr>
        <w:spacing w:before="120" w:after="120"/>
        <w:rPr>
          <w:rFonts w:asciiTheme="minorHAnsi" w:hAnsiTheme="minorHAnsi"/>
        </w:rPr>
      </w:pPr>
      <w:r w:rsidRPr="367BCE8E">
        <w:rPr>
          <w:rFonts w:asciiTheme="minorHAnsi" w:hAnsiTheme="minorHAnsi"/>
        </w:rPr>
        <w:t xml:space="preserve">The </w:t>
      </w:r>
      <w:r w:rsidR="22FEFD25" w:rsidRPr="367BCE8E">
        <w:rPr>
          <w:rFonts w:asciiTheme="minorHAnsi" w:hAnsiTheme="minorHAnsi"/>
        </w:rPr>
        <w:t xml:space="preserve">Amendment </w:t>
      </w:r>
      <w:r w:rsidRPr="367BCE8E">
        <w:rPr>
          <w:rFonts w:asciiTheme="minorHAnsi" w:hAnsiTheme="minorHAnsi"/>
        </w:rPr>
        <w:t xml:space="preserve">Instrument engages the right to education in Article 13 of the International Covenant on Economic, Social and Cultural Rights (ICESCR). </w:t>
      </w:r>
    </w:p>
    <w:p w14:paraId="564026F0" w14:textId="77777777" w:rsidR="009B7728" w:rsidRPr="00582D0F" w:rsidRDefault="009B7728" w:rsidP="009B7728">
      <w:pPr>
        <w:spacing w:before="120" w:after="120"/>
        <w:rPr>
          <w:rFonts w:asciiTheme="minorHAnsi" w:hAnsiTheme="minorHAnsi" w:cstheme="minorHAnsi"/>
          <w:szCs w:val="24"/>
          <w:u w:val="single"/>
        </w:rPr>
      </w:pPr>
      <w:r w:rsidRPr="00582D0F">
        <w:rPr>
          <w:rFonts w:asciiTheme="minorHAnsi" w:hAnsiTheme="minorHAnsi" w:cstheme="minorHAnsi"/>
          <w:szCs w:val="24"/>
          <w:u w:val="single"/>
        </w:rPr>
        <w:t>Right to education</w:t>
      </w:r>
    </w:p>
    <w:p w14:paraId="7622ADB6" w14:textId="07CFFB38" w:rsidR="009B7728" w:rsidRPr="00582D0F" w:rsidRDefault="1E981538" w:rsidP="7BC75282">
      <w:pPr>
        <w:spacing w:before="120" w:after="120"/>
        <w:rPr>
          <w:rFonts w:asciiTheme="minorHAnsi" w:hAnsiTheme="minorHAnsi"/>
        </w:rPr>
      </w:pPr>
      <w:r w:rsidRPr="7BC75282">
        <w:rPr>
          <w:rFonts w:ascii="Calibri" w:eastAsia="Calibri" w:hAnsi="Calibri" w:cs="Calibri"/>
          <w:shd w:val="clear" w:color="auto" w:fill="FFFFFF"/>
        </w:rPr>
        <w:t>Article 13 of the ICESCR recognises the important personal, societal, economic and intellectual benefits of education. Article 13 also provides that secondary education in all its different forms, including higher education, shall be made generally available and accessible to all by every appropriate means.</w:t>
      </w:r>
      <w:r w:rsidR="090EC6AB" w:rsidRPr="7BC75282">
        <w:rPr>
          <w:rFonts w:ascii="Calibri" w:eastAsia="Calibri" w:hAnsi="Calibri" w:cs="Calibri"/>
          <w:shd w:val="clear" w:color="auto" w:fill="FFFFFF"/>
        </w:rPr>
        <w:t xml:space="preserve"> </w:t>
      </w:r>
      <w:r w:rsidR="052EECF9" w:rsidRPr="7BC75282">
        <w:rPr>
          <w:rFonts w:asciiTheme="minorHAnsi" w:hAnsiTheme="minorHAnsi"/>
        </w:rPr>
        <w:t>Article 13(2)</w:t>
      </w:r>
      <w:r w:rsidR="2EA5C92F" w:rsidRPr="7BC75282">
        <w:rPr>
          <w:rFonts w:asciiTheme="minorHAnsi" w:hAnsiTheme="minorHAnsi"/>
        </w:rPr>
        <w:t>(c)</w:t>
      </w:r>
      <w:r w:rsidR="052EECF9" w:rsidRPr="7BC75282">
        <w:rPr>
          <w:rFonts w:asciiTheme="minorHAnsi" w:hAnsiTheme="minorHAnsi"/>
        </w:rPr>
        <w:t xml:space="preserve"> of the ICESCR provides that </w:t>
      </w:r>
      <w:r w:rsidR="090EC6AB" w:rsidRPr="7BC75282">
        <w:rPr>
          <w:rFonts w:asciiTheme="minorHAnsi" w:hAnsiTheme="minorHAnsi"/>
        </w:rPr>
        <w:t>‘</w:t>
      </w:r>
      <w:r w:rsidR="052EECF9" w:rsidRPr="7BC75282">
        <w:rPr>
          <w:rFonts w:asciiTheme="minorHAnsi" w:hAnsiTheme="minorHAnsi"/>
        </w:rPr>
        <w:t>higher education shall be made equally accessible to all, on the basis of capacity, by every appropriate means, and in particular by the progressive introduction of free education</w:t>
      </w:r>
      <w:r w:rsidR="090EC6AB" w:rsidRPr="7BC75282">
        <w:rPr>
          <w:rFonts w:asciiTheme="minorHAnsi" w:hAnsiTheme="minorHAnsi"/>
        </w:rPr>
        <w:t>’</w:t>
      </w:r>
      <w:r w:rsidR="052EECF9" w:rsidRPr="7BC75282">
        <w:rPr>
          <w:rFonts w:asciiTheme="minorHAnsi" w:hAnsiTheme="minorHAnsi"/>
        </w:rPr>
        <w:t xml:space="preserve">. </w:t>
      </w:r>
    </w:p>
    <w:p w14:paraId="07A8068F" w14:textId="32955C10" w:rsidR="00D633D6" w:rsidRDefault="052EECF9" w:rsidP="7BC75282">
      <w:pPr>
        <w:spacing w:before="120" w:after="120"/>
        <w:rPr>
          <w:rFonts w:asciiTheme="minorHAnsi" w:hAnsiTheme="minorHAnsi"/>
        </w:rPr>
      </w:pPr>
      <w:r w:rsidRPr="7BC75282">
        <w:rPr>
          <w:rFonts w:asciiTheme="minorHAnsi" w:hAnsiTheme="minorHAnsi"/>
        </w:rPr>
        <w:t xml:space="preserve">The </w:t>
      </w:r>
      <w:r w:rsidR="2EA5C92F" w:rsidRPr="7BC75282">
        <w:rPr>
          <w:rFonts w:asciiTheme="minorHAnsi" w:hAnsiTheme="minorHAnsi"/>
        </w:rPr>
        <w:t xml:space="preserve">Amendment </w:t>
      </w:r>
      <w:r w:rsidRPr="7BC75282">
        <w:rPr>
          <w:rFonts w:asciiTheme="minorHAnsi" w:hAnsiTheme="minorHAnsi"/>
        </w:rPr>
        <w:t>Instrument amends the</w:t>
      </w:r>
      <w:r w:rsidR="426C3125" w:rsidRPr="7BC75282">
        <w:rPr>
          <w:rFonts w:asciiTheme="minorHAnsi" w:hAnsiTheme="minorHAnsi"/>
        </w:rPr>
        <w:t xml:space="preserve"> </w:t>
      </w:r>
      <w:r w:rsidR="2EA5C92F" w:rsidRPr="7BC75282">
        <w:rPr>
          <w:rFonts w:asciiTheme="minorHAnsi" w:hAnsiTheme="minorHAnsi"/>
        </w:rPr>
        <w:t xml:space="preserve">Principal Instrument to establish the </w:t>
      </w:r>
      <w:r w:rsidR="38FA12C4" w:rsidRPr="7BC75282">
        <w:rPr>
          <w:rFonts w:asciiTheme="minorHAnsi" w:hAnsiTheme="minorHAnsi"/>
        </w:rPr>
        <w:t>CPP</w:t>
      </w:r>
      <w:r w:rsidR="385E8108" w:rsidRPr="7BC75282">
        <w:rPr>
          <w:rFonts w:asciiTheme="minorHAnsi" w:hAnsiTheme="minorHAnsi"/>
        </w:rPr>
        <w:t xml:space="preserve">. </w:t>
      </w:r>
      <w:r w:rsidR="39EF56CD" w:rsidRPr="7BC75282">
        <w:rPr>
          <w:rFonts w:asciiTheme="minorHAnsi" w:hAnsiTheme="minorHAnsi"/>
        </w:rPr>
        <w:t>This new program</w:t>
      </w:r>
      <w:r w:rsidR="725F9D8B" w:rsidRPr="7BC75282">
        <w:rPr>
          <w:rFonts w:asciiTheme="minorHAnsi" w:hAnsiTheme="minorHAnsi"/>
        </w:rPr>
        <w:t xml:space="preserve"> </w:t>
      </w:r>
      <w:r w:rsidR="62A30F77" w:rsidRPr="7BC75282">
        <w:rPr>
          <w:rFonts w:asciiTheme="minorHAnsi" w:hAnsiTheme="minorHAnsi"/>
        </w:rPr>
        <w:t>will enable the provision of grants to higher education providers to assist those providers with making payments to eligible students, that</w:t>
      </w:r>
      <w:r w:rsidR="475FCB84" w:rsidRPr="7BC75282">
        <w:rPr>
          <w:rFonts w:asciiTheme="minorHAnsi" w:hAnsiTheme="minorHAnsi"/>
        </w:rPr>
        <w:t xml:space="preserve"> address placement poverty experienced by </w:t>
      </w:r>
      <w:r w:rsidR="62A30F77" w:rsidRPr="7BC75282">
        <w:rPr>
          <w:rFonts w:asciiTheme="minorHAnsi" w:hAnsiTheme="minorHAnsi"/>
        </w:rPr>
        <w:t>those</w:t>
      </w:r>
      <w:r w:rsidR="475FCB84" w:rsidRPr="7BC75282">
        <w:rPr>
          <w:rFonts w:asciiTheme="minorHAnsi" w:hAnsiTheme="minorHAnsi"/>
        </w:rPr>
        <w:t xml:space="preserve"> students as part of their course of study to meet entry-to-practice professional accreditation requirements</w:t>
      </w:r>
      <w:r w:rsidR="08DA471C" w:rsidRPr="7BC75282">
        <w:rPr>
          <w:rFonts w:asciiTheme="minorHAnsi" w:hAnsiTheme="minorHAnsi"/>
        </w:rPr>
        <w:t>.</w:t>
      </w:r>
      <w:r w:rsidR="32070B66" w:rsidRPr="7BC75282">
        <w:rPr>
          <w:rFonts w:asciiTheme="minorHAnsi" w:hAnsiTheme="minorHAnsi"/>
        </w:rPr>
        <w:t xml:space="preserve"> </w:t>
      </w:r>
    </w:p>
    <w:p w14:paraId="2F20B4C0" w14:textId="662884FC" w:rsidR="009B2137" w:rsidRDefault="097C7628" w:rsidP="7BC75282">
      <w:pPr>
        <w:spacing w:before="120" w:after="120"/>
        <w:rPr>
          <w:rFonts w:asciiTheme="minorHAnsi" w:hAnsiTheme="minorHAnsi"/>
        </w:rPr>
      </w:pPr>
      <w:r w:rsidRPr="7BC75282">
        <w:rPr>
          <w:rFonts w:asciiTheme="minorHAnsi" w:hAnsiTheme="minorHAnsi"/>
        </w:rPr>
        <w:t>Mandatory</w:t>
      </w:r>
      <w:r w:rsidR="3FC6F787" w:rsidRPr="7BC75282">
        <w:rPr>
          <w:rFonts w:asciiTheme="minorHAnsi" w:hAnsiTheme="minorHAnsi"/>
        </w:rPr>
        <w:t xml:space="preserve"> placements are a critical component in teaching, nursing</w:t>
      </w:r>
      <w:r w:rsidRPr="7BC75282">
        <w:rPr>
          <w:rFonts w:asciiTheme="minorHAnsi" w:hAnsiTheme="minorHAnsi"/>
        </w:rPr>
        <w:t xml:space="preserve">, </w:t>
      </w:r>
      <w:r w:rsidR="3FC6F787" w:rsidRPr="7BC75282">
        <w:rPr>
          <w:rFonts w:asciiTheme="minorHAnsi" w:hAnsiTheme="minorHAnsi"/>
        </w:rPr>
        <w:t xml:space="preserve">midwifery, and social work courses, but they can place significant financial pressure on students as many have to put their lives on hold, stop working and, in some cases, move to get this essential experience which can often act as a barrier to </w:t>
      </w:r>
      <w:r w:rsidRPr="7BC75282">
        <w:rPr>
          <w:rFonts w:asciiTheme="minorHAnsi" w:hAnsiTheme="minorHAnsi"/>
        </w:rPr>
        <w:t>completing their courses of study</w:t>
      </w:r>
      <w:r w:rsidR="3FC6F787" w:rsidRPr="7BC75282">
        <w:rPr>
          <w:rFonts w:asciiTheme="minorHAnsi" w:hAnsiTheme="minorHAnsi"/>
        </w:rPr>
        <w:t xml:space="preserve">. The </w:t>
      </w:r>
      <w:r w:rsidRPr="7BC75282">
        <w:rPr>
          <w:rFonts w:asciiTheme="minorHAnsi" w:hAnsiTheme="minorHAnsi"/>
        </w:rPr>
        <w:t>CPP is intended</w:t>
      </w:r>
      <w:r w:rsidR="3FC6F787" w:rsidRPr="7BC75282">
        <w:rPr>
          <w:rFonts w:asciiTheme="minorHAnsi" w:hAnsiTheme="minorHAnsi"/>
        </w:rPr>
        <w:t xml:space="preserve"> to support learning outcomes and provide a level of support that will allow students to complete their studies, where the financial impact of </w:t>
      </w:r>
      <w:r w:rsidRPr="7BC75282">
        <w:rPr>
          <w:rFonts w:asciiTheme="minorHAnsi" w:hAnsiTheme="minorHAnsi"/>
        </w:rPr>
        <w:t xml:space="preserve">the mandatory </w:t>
      </w:r>
      <w:r w:rsidR="3FC6F787" w:rsidRPr="7BC75282">
        <w:rPr>
          <w:rFonts w:asciiTheme="minorHAnsi" w:hAnsiTheme="minorHAnsi"/>
        </w:rPr>
        <w:t xml:space="preserve">placement may otherwise have influenced them to defer or withdraw. As such, </w:t>
      </w:r>
      <w:r w:rsidRPr="7BC75282">
        <w:rPr>
          <w:rFonts w:asciiTheme="minorHAnsi" w:hAnsiTheme="minorHAnsi"/>
        </w:rPr>
        <w:t>the CPP</w:t>
      </w:r>
      <w:r w:rsidR="3FC6F787" w:rsidRPr="7BC75282">
        <w:rPr>
          <w:rFonts w:asciiTheme="minorHAnsi" w:hAnsiTheme="minorHAnsi"/>
        </w:rPr>
        <w:t xml:space="preserve"> support</w:t>
      </w:r>
      <w:r w:rsidRPr="7BC75282">
        <w:rPr>
          <w:rFonts w:asciiTheme="minorHAnsi" w:hAnsiTheme="minorHAnsi"/>
        </w:rPr>
        <w:t>s</w:t>
      </w:r>
      <w:r w:rsidR="3FC6F787" w:rsidRPr="7BC75282">
        <w:rPr>
          <w:rFonts w:asciiTheme="minorHAnsi" w:hAnsiTheme="minorHAnsi"/>
        </w:rPr>
        <w:t xml:space="preserve"> the right to education as it </w:t>
      </w:r>
      <w:r w:rsidRPr="7BC75282">
        <w:rPr>
          <w:rFonts w:asciiTheme="minorHAnsi" w:hAnsiTheme="minorHAnsi"/>
        </w:rPr>
        <w:t>reduces the barriers that students face in completing their courses of study</w:t>
      </w:r>
      <w:r w:rsidR="3FC6F787" w:rsidRPr="7BC75282">
        <w:rPr>
          <w:rFonts w:asciiTheme="minorHAnsi" w:hAnsiTheme="minorHAnsi"/>
        </w:rPr>
        <w:t>.</w:t>
      </w:r>
    </w:p>
    <w:p w14:paraId="0D664062" w14:textId="77777777" w:rsidR="00DA552F" w:rsidRPr="008134D5" w:rsidRDefault="00F9205E" w:rsidP="000C310A">
      <w:pPr>
        <w:pStyle w:val="Heading2"/>
      </w:pPr>
      <w:r w:rsidRPr="008134D5">
        <w:t>Conclusion</w:t>
      </w:r>
    </w:p>
    <w:p w14:paraId="3F208D0B" w14:textId="03849939" w:rsidR="002630C0" w:rsidRPr="00582D0F" w:rsidRDefault="2D33C259" w:rsidP="367BCE8E">
      <w:pPr>
        <w:spacing w:before="120" w:after="120"/>
        <w:rPr>
          <w:rFonts w:asciiTheme="minorHAnsi" w:hAnsiTheme="minorHAnsi"/>
        </w:rPr>
      </w:pPr>
      <w:r w:rsidRPr="367BCE8E">
        <w:rPr>
          <w:rFonts w:asciiTheme="minorHAnsi" w:hAnsiTheme="minorHAnsi"/>
        </w:rPr>
        <w:t xml:space="preserve">The </w:t>
      </w:r>
      <w:r w:rsidR="39EF56CD" w:rsidRPr="367BCE8E">
        <w:rPr>
          <w:rFonts w:asciiTheme="minorHAnsi" w:hAnsiTheme="minorHAnsi"/>
        </w:rPr>
        <w:t xml:space="preserve">Amendment </w:t>
      </w:r>
      <w:r w:rsidRPr="367BCE8E">
        <w:rPr>
          <w:rFonts w:asciiTheme="minorHAnsi" w:hAnsiTheme="minorHAnsi"/>
        </w:rPr>
        <w:t xml:space="preserve">Instrument is compatible with human rights because it supports the right to education. </w:t>
      </w:r>
    </w:p>
    <w:p w14:paraId="5ECFAE45" w14:textId="77777777" w:rsidR="002630C0" w:rsidRPr="00582D0F" w:rsidRDefault="002630C0" w:rsidP="002630C0">
      <w:pPr>
        <w:spacing w:before="120" w:after="120"/>
        <w:rPr>
          <w:rFonts w:asciiTheme="minorHAnsi" w:hAnsiTheme="minorHAnsi" w:cstheme="minorHAnsi"/>
          <w:b/>
          <w:szCs w:val="24"/>
        </w:rPr>
      </w:pPr>
    </w:p>
    <w:p w14:paraId="605D7B82" w14:textId="77777777" w:rsidR="002630C0" w:rsidRPr="00582D0F" w:rsidRDefault="002630C0" w:rsidP="002630C0">
      <w:pPr>
        <w:spacing w:before="120" w:after="120"/>
        <w:jc w:val="center"/>
        <w:rPr>
          <w:rFonts w:asciiTheme="minorHAnsi" w:hAnsiTheme="minorHAnsi" w:cstheme="minorHAnsi"/>
          <w:szCs w:val="24"/>
        </w:rPr>
      </w:pPr>
      <w:r w:rsidRPr="00582D0F">
        <w:rPr>
          <w:rFonts w:asciiTheme="minorHAnsi" w:hAnsiTheme="minorHAnsi" w:cstheme="minorHAnsi"/>
          <w:b/>
          <w:szCs w:val="24"/>
        </w:rPr>
        <w:t>Minister for Education, the Hon Jason Clare MP</w:t>
      </w:r>
    </w:p>
    <w:p w14:paraId="1EC89B8A" w14:textId="000446E6" w:rsidR="00DA552F" w:rsidRPr="008134D5" w:rsidRDefault="00DA552F" w:rsidP="00DD7496">
      <w:pPr>
        <w:spacing w:before="120" w:after="120"/>
        <w:jc w:val="center"/>
        <w:rPr>
          <w:rFonts w:asciiTheme="minorHAnsi" w:hAnsiTheme="minorHAnsi" w:cstheme="minorHAnsi"/>
          <w:szCs w:val="24"/>
        </w:rPr>
      </w:pP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5A2D5E27" w:rsidR="00DA552F" w:rsidRPr="0008291D" w:rsidRDefault="0008291D" w:rsidP="7BC75282">
      <w:pPr>
        <w:pStyle w:val="Title"/>
        <w:rPr>
          <w:b w:val="0"/>
          <w:caps/>
        </w:rPr>
      </w:pPr>
      <w:r w:rsidRPr="7BC75282">
        <w:rPr>
          <w:caps/>
          <w:u w:val="none"/>
        </w:rPr>
        <w:lastRenderedPageBreak/>
        <w:t>Higher Education Support (Other Grants) Amendment (Commonwealth Prac Payment) Guidelines 202</w:t>
      </w:r>
      <w:r w:rsidR="00972D00" w:rsidRPr="7BC75282">
        <w:rPr>
          <w:caps/>
          <w:u w:val="none"/>
        </w:rPr>
        <w:t>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1981EB57" w:rsidR="00DA552F" w:rsidRPr="00EF4ACB" w:rsidRDefault="75263D5F"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This provision </w:t>
      </w:r>
      <w:r w:rsidR="097C7628" w:rsidRPr="7BC75282">
        <w:rPr>
          <w:rFonts w:asciiTheme="minorHAnsi" w:hAnsiTheme="minorHAnsi"/>
        </w:rPr>
        <w:t xml:space="preserve">specifies </w:t>
      </w:r>
      <w:r w:rsidRPr="7BC75282">
        <w:rPr>
          <w:rFonts w:asciiTheme="minorHAnsi" w:hAnsiTheme="minorHAnsi"/>
        </w:rPr>
        <w:t xml:space="preserve">the </w:t>
      </w:r>
      <w:r w:rsidR="5C23FC7A" w:rsidRPr="7BC75282">
        <w:rPr>
          <w:rFonts w:asciiTheme="minorHAnsi" w:hAnsiTheme="minorHAnsi"/>
        </w:rPr>
        <w:t>name of the instrument</w:t>
      </w:r>
      <w:r w:rsidR="4499AFDE" w:rsidRPr="7BC75282">
        <w:rPr>
          <w:rFonts w:asciiTheme="minorHAnsi" w:hAnsiTheme="minorHAnsi"/>
        </w:rPr>
        <w:t xml:space="preserve"> </w:t>
      </w:r>
      <w:r w:rsidR="097C7628" w:rsidRPr="7BC75282">
        <w:rPr>
          <w:rFonts w:asciiTheme="minorHAnsi" w:hAnsiTheme="minorHAnsi"/>
        </w:rPr>
        <w:t xml:space="preserve">as </w:t>
      </w:r>
      <w:r w:rsidR="69F75654" w:rsidRPr="7BC75282">
        <w:rPr>
          <w:rFonts w:asciiTheme="minorHAnsi" w:hAnsiTheme="minorHAnsi"/>
        </w:rPr>
        <w:t xml:space="preserve">the </w:t>
      </w:r>
      <w:r w:rsidR="2BC15129" w:rsidRPr="7BC75282">
        <w:rPr>
          <w:rFonts w:asciiTheme="minorHAnsi" w:hAnsiTheme="minorHAnsi"/>
          <w:i/>
          <w:iCs/>
        </w:rPr>
        <w:t xml:space="preserve">Higher Education Support (Other Grants) Amendment (Commonwealth </w:t>
      </w:r>
      <w:proofErr w:type="spellStart"/>
      <w:r w:rsidR="2BC15129" w:rsidRPr="7BC75282">
        <w:rPr>
          <w:rFonts w:asciiTheme="minorHAnsi" w:hAnsiTheme="minorHAnsi"/>
          <w:i/>
          <w:iCs/>
        </w:rPr>
        <w:t>Prac</w:t>
      </w:r>
      <w:proofErr w:type="spellEnd"/>
      <w:r w:rsidR="2BC15129" w:rsidRPr="7BC75282">
        <w:rPr>
          <w:rFonts w:asciiTheme="minorHAnsi" w:hAnsiTheme="minorHAnsi"/>
          <w:i/>
          <w:iCs/>
        </w:rPr>
        <w:t xml:space="preserve"> Payment) Guidelines 202</w:t>
      </w:r>
      <w:r w:rsidR="336C5ED3" w:rsidRPr="7BC75282">
        <w:rPr>
          <w:rFonts w:asciiTheme="minorHAnsi" w:hAnsiTheme="minorHAnsi"/>
          <w:i/>
          <w:iCs/>
        </w:rPr>
        <w:t>5</w:t>
      </w:r>
      <w:r w:rsidR="2BC15129" w:rsidRPr="7BC75282">
        <w:rPr>
          <w:rFonts w:asciiTheme="minorHAnsi" w:hAnsiTheme="minorHAnsi"/>
          <w:i/>
          <w:iCs/>
        </w:rPr>
        <w:t xml:space="preserve"> </w:t>
      </w:r>
      <w:r w:rsidR="5E5AC5C9" w:rsidRPr="7BC75282">
        <w:rPr>
          <w:rFonts w:asciiTheme="minorHAnsi" w:hAnsiTheme="minorHAnsi"/>
        </w:rPr>
        <w:t xml:space="preserve">(the </w:t>
      </w:r>
      <w:r w:rsidR="097C7628" w:rsidRPr="7BC75282">
        <w:rPr>
          <w:rFonts w:asciiTheme="minorHAnsi" w:hAnsiTheme="minorHAnsi"/>
        </w:rPr>
        <w:t xml:space="preserve">Amendment </w:t>
      </w:r>
      <w:r w:rsidR="5E5AC5C9" w:rsidRPr="7BC75282">
        <w:rPr>
          <w:rFonts w:asciiTheme="minorHAnsi" w:hAnsiTheme="minorHAnsi"/>
        </w:rPr>
        <w:t>Instrument).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B55F3B7" w14:textId="05A40F5B" w:rsidR="007108E2" w:rsidRPr="00E81551" w:rsidRDefault="0DBB5C81" w:rsidP="7BC75282">
      <w:pPr>
        <w:pStyle w:val="Heading3"/>
        <w:numPr>
          <w:ilvl w:val="0"/>
          <w:numId w:val="1"/>
        </w:numPr>
        <w:spacing w:before="240"/>
        <w:rPr>
          <w:u w:val="none"/>
        </w:rPr>
      </w:pPr>
      <w:r w:rsidRPr="7BC75282">
        <w:rPr>
          <w:u w:val="none"/>
        </w:rPr>
        <w:t xml:space="preserve">This section provides that the </w:t>
      </w:r>
      <w:r w:rsidR="24911ECF" w:rsidRPr="7BC75282">
        <w:rPr>
          <w:u w:val="none"/>
        </w:rPr>
        <w:t xml:space="preserve">Amendment </w:t>
      </w:r>
      <w:r w:rsidRPr="7BC75282">
        <w:rPr>
          <w:u w:val="none"/>
        </w:rPr>
        <w:t xml:space="preserve">Instrument commences </w:t>
      </w:r>
      <w:r w:rsidR="3EB878FB" w:rsidRPr="7BC75282">
        <w:rPr>
          <w:u w:val="none"/>
        </w:rPr>
        <w:t>on the day after it is registered.</w:t>
      </w:r>
      <w:r w:rsidR="68C807CC" w:rsidRPr="7BC75282">
        <w:rPr>
          <w:u w:val="none"/>
        </w:rPr>
        <w:t xml:space="preserve">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5BA5694D" w:rsidR="00E631F9" w:rsidRPr="009C10C1" w:rsidRDefault="5E5AC5C9" w:rsidP="367BCE8E">
      <w:pPr>
        <w:pStyle w:val="ListParagraph"/>
        <w:keepNext/>
        <w:numPr>
          <w:ilvl w:val="0"/>
          <w:numId w:val="1"/>
        </w:numPr>
        <w:spacing w:before="360" w:after="120"/>
        <w:rPr>
          <w:rFonts w:asciiTheme="minorHAnsi" w:hAnsiTheme="minorHAnsi"/>
          <w:i/>
          <w:iCs/>
          <w:color w:val="FF0000"/>
        </w:rPr>
      </w:pPr>
      <w:r w:rsidRPr="367BCE8E">
        <w:rPr>
          <w:rFonts w:asciiTheme="minorHAnsi" w:hAnsiTheme="minorHAnsi"/>
        </w:rPr>
        <w:t>This section provides that the</w:t>
      </w:r>
      <w:r w:rsidR="67506E84" w:rsidRPr="367BCE8E">
        <w:rPr>
          <w:rFonts w:asciiTheme="minorHAnsi" w:hAnsiTheme="minorHAnsi"/>
        </w:rPr>
        <w:t xml:space="preserve"> Amendment</w:t>
      </w:r>
      <w:r w:rsidRPr="367BCE8E">
        <w:rPr>
          <w:rFonts w:asciiTheme="minorHAnsi" w:hAnsiTheme="minorHAnsi"/>
        </w:rPr>
        <w:t xml:space="preserve"> Instrument is made under section 238-10 of the </w:t>
      </w:r>
      <w:r w:rsidRPr="367BCE8E">
        <w:rPr>
          <w:rFonts w:asciiTheme="minorHAnsi" w:hAnsiTheme="minorHAnsi"/>
          <w:i/>
          <w:iCs/>
        </w:rPr>
        <w:t xml:space="preserve">Higher Education Support Act 2003 </w:t>
      </w:r>
      <w:r w:rsidRPr="367BCE8E">
        <w:rPr>
          <w:rFonts w:asciiTheme="minorHAnsi" w:hAnsiTheme="minorHAnsi"/>
        </w:rPr>
        <w:t>(</w:t>
      </w:r>
      <w:r w:rsidR="24E5186A" w:rsidRPr="367BCE8E">
        <w:rPr>
          <w:rFonts w:asciiTheme="minorHAnsi" w:hAnsiTheme="minorHAnsi"/>
        </w:rPr>
        <w:t>the Act</w:t>
      </w:r>
      <w:r w:rsidRPr="367BCE8E">
        <w:rPr>
          <w:rFonts w:asciiTheme="minorHAnsi" w:hAnsiTheme="minorHAnsi"/>
        </w:rPr>
        <w:t>)</w:t>
      </w:r>
      <w:r w:rsidR="17C5A0CD" w:rsidRPr="367BCE8E">
        <w:rPr>
          <w:rFonts w:asciiTheme="minorHAnsi" w:hAnsiTheme="minorHAnsi"/>
        </w:rPr>
        <w:t xml:space="preserve">. </w:t>
      </w:r>
    </w:p>
    <w:p w14:paraId="19D69928" w14:textId="77777777" w:rsidR="00A92BAD" w:rsidRPr="00356965" w:rsidRDefault="00A92BAD" w:rsidP="00A92BAD">
      <w:pPr>
        <w:pStyle w:val="Heading3"/>
        <w:spacing w:before="240"/>
        <w:rPr>
          <w:b/>
          <w:bCs/>
        </w:rPr>
      </w:pPr>
      <w:bookmarkStart w:id="6" w:name="_Toc23942243"/>
      <w:bookmarkEnd w:id="6"/>
      <w:r w:rsidRPr="00356965">
        <w:rPr>
          <w:b/>
          <w:bCs/>
        </w:rPr>
        <w:t>Section 4: Schedules</w:t>
      </w:r>
    </w:p>
    <w:p w14:paraId="58BE4F9F" w14:textId="5CDAEB77" w:rsidR="00A92BAD" w:rsidRDefault="7BFAD5A3" w:rsidP="367BCE8E">
      <w:pPr>
        <w:pStyle w:val="ListParagraph"/>
        <w:numPr>
          <w:ilvl w:val="0"/>
          <w:numId w:val="1"/>
        </w:numPr>
        <w:spacing w:before="360" w:after="120"/>
        <w:rPr>
          <w:rFonts w:asciiTheme="minorHAnsi" w:hAnsiTheme="minorHAnsi"/>
        </w:rPr>
      </w:pPr>
      <w:r w:rsidRPr="367BCE8E">
        <w:rPr>
          <w:rFonts w:asciiTheme="minorHAnsi" w:hAnsiTheme="minorHAnsi"/>
        </w:rPr>
        <w:t xml:space="preserve">This is a technical provision that explains that each instrument that is specified in a Schedule to the </w:t>
      </w:r>
      <w:r w:rsidR="46C8BE1B" w:rsidRPr="367BCE8E">
        <w:rPr>
          <w:rFonts w:asciiTheme="minorHAnsi" w:hAnsiTheme="minorHAnsi"/>
        </w:rPr>
        <w:t xml:space="preserve">Amendment </w:t>
      </w:r>
      <w:r w:rsidRPr="367BCE8E">
        <w:rPr>
          <w:rFonts w:asciiTheme="minorHAnsi" w:hAnsiTheme="minorHAnsi"/>
        </w:rPr>
        <w:t xml:space="preserve">Instrument is amended or repealed as set out in the applicable items in the Schedule concerned, and any other item in a Schedule to this instrument has effect according to its terms. </w:t>
      </w:r>
    </w:p>
    <w:p w14:paraId="43BB2F08" w14:textId="282E3509" w:rsidR="007538F3" w:rsidRPr="00C67EF5" w:rsidRDefault="002853F2" w:rsidP="007538F3">
      <w:pPr>
        <w:spacing w:before="360" w:after="120"/>
        <w:rPr>
          <w:rFonts w:asciiTheme="minorHAnsi" w:hAnsiTheme="minorHAnsi" w:cstheme="minorHAnsi"/>
          <w:b/>
          <w:bCs/>
          <w:iCs/>
          <w:szCs w:val="24"/>
        </w:rPr>
      </w:pPr>
      <w:r w:rsidRPr="008F7B52">
        <w:rPr>
          <w:rFonts w:asciiTheme="minorHAnsi" w:hAnsiTheme="minorHAnsi" w:cstheme="minorHAnsi"/>
          <w:b/>
          <w:bCs/>
          <w:iCs/>
          <w:szCs w:val="24"/>
        </w:rPr>
        <w:t>Schedule 1—</w:t>
      </w:r>
      <w:r w:rsidR="00C022C3">
        <w:rPr>
          <w:rFonts w:asciiTheme="minorHAnsi" w:hAnsiTheme="minorHAnsi" w:cstheme="minorHAnsi"/>
          <w:b/>
          <w:bCs/>
          <w:iCs/>
          <w:szCs w:val="24"/>
        </w:rPr>
        <w:t>A</w:t>
      </w:r>
      <w:r w:rsidRPr="008F7B52">
        <w:rPr>
          <w:rFonts w:asciiTheme="minorHAnsi" w:hAnsiTheme="minorHAnsi" w:cstheme="minorHAnsi"/>
          <w:b/>
          <w:bCs/>
          <w:iCs/>
          <w:szCs w:val="24"/>
        </w:rPr>
        <w:t>mendments</w:t>
      </w:r>
      <w:r w:rsidRPr="00C67EF5">
        <w:rPr>
          <w:rFonts w:asciiTheme="minorHAnsi" w:hAnsiTheme="minorHAnsi" w:cstheme="minorHAnsi"/>
          <w:b/>
          <w:bCs/>
          <w:iCs/>
          <w:szCs w:val="24"/>
        </w:rPr>
        <w:t xml:space="preserve"> </w:t>
      </w:r>
    </w:p>
    <w:p w14:paraId="60CD4B95" w14:textId="73A6E4D3" w:rsidR="00916756" w:rsidRPr="0069582F" w:rsidRDefault="00916756" w:rsidP="00916756">
      <w:pPr>
        <w:spacing w:before="360" w:after="120"/>
        <w:rPr>
          <w:rFonts w:asciiTheme="minorHAnsi" w:hAnsiTheme="minorHAnsi" w:cstheme="minorHAnsi"/>
          <w:b/>
          <w:bCs/>
          <w:i/>
          <w:szCs w:val="24"/>
        </w:rPr>
      </w:pPr>
      <w:r w:rsidRPr="0069582F">
        <w:rPr>
          <w:rFonts w:asciiTheme="minorHAnsi" w:hAnsiTheme="minorHAnsi" w:cstheme="minorHAnsi"/>
          <w:b/>
          <w:bCs/>
          <w:i/>
          <w:szCs w:val="24"/>
        </w:rPr>
        <w:t>Higher Education Support (Other Grants) Guidelines 2022</w:t>
      </w:r>
    </w:p>
    <w:p w14:paraId="4BA9560F" w14:textId="142CDBC8" w:rsidR="00B11244" w:rsidRDefault="00BF6A1C" w:rsidP="00BF6A1C">
      <w:pPr>
        <w:spacing w:before="360" w:after="120"/>
        <w:rPr>
          <w:rFonts w:asciiTheme="minorHAnsi" w:hAnsiTheme="minorHAnsi" w:cstheme="minorHAnsi"/>
          <w:iCs/>
          <w:szCs w:val="24"/>
          <w:u w:val="single"/>
        </w:rPr>
      </w:pPr>
      <w:r w:rsidRPr="0069582F">
        <w:rPr>
          <w:rFonts w:asciiTheme="minorHAnsi" w:hAnsiTheme="minorHAnsi" w:cstheme="minorHAnsi"/>
          <w:iCs/>
          <w:szCs w:val="24"/>
          <w:u w:val="single"/>
        </w:rPr>
        <w:t xml:space="preserve">Item </w:t>
      </w:r>
      <w:r w:rsidR="00573F9C">
        <w:rPr>
          <w:rFonts w:asciiTheme="minorHAnsi" w:hAnsiTheme="minorHAnsi" w:cstheme="minorHAnsi"/>
          <w:iCs/>
          <w:szCs w:val="24"/>
          <w:u w:val="single"/>
        </w:rPr>
        <w:t>1</w:t>
      </w:r>
      <w:r w:rsidRPr="0069582F">
        <w:rPr>
          <w:rFonts w:asciiTheme="minorHAnsi" w:hAnsiTheme="minorHAnsi" w:cstheme="minorHAnsi"/>
          <w:iCs/>
          <w:szCs w:val="24"/>
          <w:u w:val="single"/>
        </w:rPr>
        <w:t xml:space="preserve">: </w:t>
      </w:r>
      <w:r w:rsidR="0037602C">
        <w:rPr>
          <w:rFonts w:asciiTheme="minorHAnsi" w:hAnsiTheme="minorHAnsi" w:cstheme="minorHAnsi"/>
          <w:iCs/>
          <w:szCs w:val="24"/>
          <w:u w:val="single"/>
        </w:rPr>
        <w:t>Section 4</w:t>
      </w:r>
    </w:p>
    <w:p w14:paraId="3236F85E" w14:textId="5B08FE94" w:rsidR="00D15644" w:rsidRPr="004D4E69" w:rsidRDefault="22A5A4FB"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This item </w:t>
      </w:r>
      <w:r w:rsidR="24E5186A" w:rsidRPr="7BC75282">
        <w:rPr>
          <w:rFonts w:asciiTheme="minorHAnsi" w:hAnsiTheme="minorHAnsi"/>
        </w:rPr>
        <w:t xml:space="preserve">inserts definitions into section 4 of the </w:t>
      </w:r>
      <w:r w:rsidR="24E5186A" w:rsidRPr="7BC75282">
        <w:rPr>
          <w:rFonts w:asciiTheme="minorHAnsi" w:hAnsiTheme="minorHAnsi"/>
          <w:i/>
          <w:iCs/>
        </w:rPr>
        <w:t xml:space="preserve">Higher Education Support (Other Grants) Guidelines 2022 </w:t>
      </w:r>
      <w:r w:rsidR="24E5186A" w:rsidRPr="7BC75282">
        <w:rPr>
          <w:rFonts w:asciiTheme="minorHAnsi" w:hAnsiTheme="minorHAnsi"/>
        </w:rPr>
        <w:t xml:space="preserve">(the Principal Instrument), to define terms that are used in relation to new Part 13 of the Principal Instrument inserted by item 2 (relating to the Commonwealth </w:t>
      </w:r>
      <w:proofErr w:type="spellStart"/>
      <w:r w:rsidR="24E5186A" w:rsidRPr="7BC75282">
        <w:rPr>
          <w:rFonts w:asciiTheme="minorHAnsi" w:hAnsiTheme="minorHAnsi"/>
        </w:rPr>
        <w:t>Prac</w:t>
      </w:r>
      <w:proofErr w:type="spellEnd"/>
      <w:r w:rsidR="24E5186A" w:rsidRPr="7BC75282">
        <w:rPr>
          <w:rFonts w:asciiTheme="minorHAnsi" w:hAnsiTheme="minorHAnsi"/>
        </w:rPr>
        <w:t xml:space="preserve"> Payment program (CPP)).</w:t>
      </w:r>
    </w:p>
    <w:p w14:paraId="59002504" w14:textId="77777777" w:rsidR="00C43667" w:rsidRPr="0069582F" w:rsidRDefault="00C43667" w:rsidP="00C43667">
      <w:pPr>
        <w:keepNext/>
        <w:spacing w:before="360" w:after="120"/>
        <w:rPr>
          <w:rFonts w:asciiTheme="minorHAnsi" w:hAnsiTheme="minorHAnsi"/>
          <w:u w:val="single"/>
        </w:rPr>
      </w:pPr>
      <w:r w:rsidRPr="367BCE8E">
        <w:rPr>
          <w:rFonts w:asciiTheme="minorHAnsi" w:hAnsiTheme="minorHAnsi"/>
          <w:u w:val="single"/>
        </w:rPr>
        <w:lastRenderedPageBreak/>
        <w:t>Item 2: At the end of Part 12</w:t>
      </w:r>
    </w:p>
    <w:p w14:paraId="2994376C" w14:textId="13870255" w:rsidR="00C43667" w:rsidRPr="00210933" w:rsidRDefault="00C43667" w:rsidP="00C43667">
      <w:pPr>
        <w:pStyle w:val="ListParagraph"/>
        <w:keepNext/>
        <w:numPr>
          <w:ilvl w:val="0"/>
          <w:numId w:val="1"/>
        </w:numPr>
        <w:spacing w:before="360" w:after="120"/>
        <w:rPr>
          <w:rFonts w:asciiTheme="minorHAnsi" w:hAnsiTheme="minorHAnsi"/>
        </w:rPr>
      </w:pPr>
      <w:r w:rsidRPr="00210933">
        <w:rPr>
          <w:rFonts w:asciiTheme="minorHAnsi" w:hAnsiTheme="minorHAnsi"/>
        </w:rPr>
        <w:t xml:space="preserve">This item </w:t>
      </w:r>
      <w:r w:rsidR="002B63C3" w:rsidRPr="00210933">
        <w:rPr>
          <w:rFonts w:asciiTheme="minorHAnsi" w:hAnsiTheme="minorHAnsi"/>
        </w:rPr>
        <w:t xml:space="preserve">repeals existing section 67 and substitutes a new section 67. </w:t>
      </w:r>
    </w:p>
    <w:p w14:paraId="35D6BCDA" w14:textId="513E72C0" w:rsidR="002B63C3" w:rsidRPr="00210933" w:rsidRDefault="002B63C3" w:rsidP="00C43667">
      <w:pPr>
        <w:pStyle w:val="ListParagraph"/>
        <w:keepNext/>
        <w:numPr>
          <w:ilvl w:val="0"/>
          <w:numId w:val="1"/>
        </w:numPr>
        <w:spacing w:before="360" w:after="120"/>
        <w:rPr>
          <w:rFonts w:asciiTheme="minorHAnsi" w:hAnsiTheme="minorHAnsi"/>
        </w:rPr>
      </w:pPr>
      <w:r w:rsidRPr="00210933">
        <w:rPr>
          <w:rFonts w:asciiTheme="minorHAnsi" w:hAnsiTheme="minorHAnsi"/>
        </w:rPr>
        <w:t xml:space="preserve">Existing section 67 specifies a list of bodies corporate that are eligible to receive a grant for the purposes of item 11 of the table in subsection 41-10(1) of the Act. </w:t>
      </w:r>
    </w:p>
    <w:p w14:paraId="5998B5CF" w14:textId="1535585F" w:rsidR="002B63C3" w:rsidRPr="00210933" w:rsidRDefault="002B63C3" w:rsidP="00C43667">
      <w:pPr>
        <w:pStyle w:val="ListParagraph"/>
        <w:keepNext/>
        <w:numPr>
          <w:ilvl w:val="0"/>
          <w:numId w:val="1"/>
        </w:numPr>
        <w:spacing w:before="360" w:after="120"/>
        <w:rPr>
          <w:rFonts w:asciiTheme="minorHAnsi" w:hAnsiTheme="minorHAnsi"/>
        </w:rPr>
      </w:pPr>
      <w:r w:rsidRPr="00210933">
        <w:rPr>
          <w:rFonts w:asciiTheme="minorHAnsi" w:hAnsiTheme="minorHAnsi"/>
        </w:rPr>
        <w:t xml:space="preserve">New subsection 67(1) reflects the current list of bodies corporate listed in existing section 67, as bodies corporate eligible to receive grants for the purposes of item 11. </w:t>
      </w:r>
    </w:p>
    <w:p w14:paraId="5AAA866E" w14:textId="3E5BB9BB" w:rsidR="002B63C3" w:rsidRPr="00210933" w:rsidRDefault="002B63C3" w:rsidP="00C43667">
      <w:pPr>
        <w:pStyle w:val="ListParagraph"/>
        <w:keepNext/>
        <w:numPr>
          <w:ilvl w:val="0"/>
          <w:numId w:val="1"/>
        </w:numPr>
        <w:spacing w:before="360" w:after="120"/>
        <w:rPr>
          <w:rFonts w:asciiTheme="minorHAnsi" w:hAnsiTheme="minorHAnsi"/>
        </w:rPr>
      </w:pPr>
      <w:r w:rsidRPr="00210933">
        <w:rPr>
          <w:rFonts w:asciiTheme="minorHAnsi" w:hAnsiTheme="minorHAnsi"/>
        </w:rPr>
        <w:t xml:space="preserve">New subsection 67(2) specifies bodies corporate that are eligible to receive a grant for the purposes of item 15 of the table in subsection 41-10(1) of the Act. </w:t>
      </w:r>
    </w:p>
    <w:p w14:paraId="1F875588" w14:textId="160F3166" w:rsidR="008D33FC" w:rsidRPr="00210933" w:rsidRDefault="008D33FC" w:rsidP="00C43667">
      <w:pPr>
        <w:pStyle w:val="ListParagraph"/>
        <w:keepNext/>
        <w:numPr>
          <w:ilvl w:val="0"/>
          <w:numId w:val="1"/>
        </w:numPr>
        <w:spacing w:before="360" w:after="120"/>
        <w:rPr>
          <w:rFonts w:asciiTheme="minorHAnsi" w:hAnsiTheme="minorHAnsi"/>
        </w:rPr>
      </w:pPr>
      <w:r w:rsidRPr="00210933">
        <w:rPr>
          <w:rFonts w:asciiTheme="minorHAnsi" w:hAnsiTheme="minorHAnsi"/>
        </w:rPr>
        <w:t>The note to the section clarifies that the Minister may impose other conditions that apply to any of the grants made to the bodies listed in section 67, under subsection 41-25(2) of the Act.</w:t>
      </w:r>
    </w:p>
    <w:p w14:paraId="1363C838" w14:textId="6403B4D8" w:rsidR="002B63C3" w:rsidRPr="00210933" w:rsidRDefault="002B63C3" w:rsidP="00FB45E4">
      <w:pPr>
        <w:pStyle w:val="ListParagraph"/>
        <w:keepNext/>
        <w:numPr>
          <w:ilvl w:val="0"/>
          <w:numId w:val="1"/>
        </w:numPr>
        <w:spacing w:before="360" w:after="120"/>
        <w:rPr>
          <w:rFonts w:asciiTheme="minorHAnsi" w:hAnsiTheme="minorHAnsi"/>
        </w:rPr>
      </w:pPr>
      <w:r w:rsidRPr="00210933">
        <w:rPr>
          <w:rFonts w:asciiTheme="minorHAnsi" w:hAnsiTheme="minorHAnsi"/>
        </w:rPr>
        <w:t xml:space="preserve">The bodies corporate listed in new subsection 67(2) have been listed so that the Minister or his delegate is able to approve grants to those bodies </w:t>
      </w:r>
      <w:r w:rsidR="008D33FC" w:rsidRPr="00210933">
        <w:rPr>
          <w:rFonts w:asciiTheme="minorHAnsi" w:hAnsiTheme="minorHAnsi"/>
        </w:rPr>
        <w:t>to set up systems and infrastructure that will assist them with providing payments to students who are undertaking mandatory practicums as part of their course of study</w:t>
      </w:r>
      <w:r w:rsidR="00EA2839" w:rsidRPr="00210933">
        <w:rPr>
          <w:rFonts w:asciiTheme="minorHAnsi" w:hAnsiTheme="minorHAnsi"/>
        </w:rPr>
        <w:t xml:space="preserve"> (i.e. payments under the CPP)</w:t>
      </w:r>
      <w:r w:rsidR="008D33FC" w:rsidRPr="00210933">
        <w:rPr>
          <w:rFonts w:asciiTheme="minorHAnsi" w:hAnsiTheme="minorHAnsi"/>
        </w:rPr>
        <w:t xml:space="preserve">. </w:t>
      </w:r>
    </w:p>
    <w:p w14:paraId="46E4CB4E" w14:textId="4C628C1A" w:rsidR="00A21F4A" w:rsidRPr="0069582F" w:rsidRDefault="22A5A4FB" w:rsidP="367BCE8E">
      <w:pPr>
        <w:keepNext/>
        <w:spacing w:before="360" w:after="120"/>
        <w:rPr>
          <w:rFonts w:asciiTheme="minorHAnsi" w:hAnsiTheme="minorHAnsi"/>
          <w:u w:val="single"/>
        </w:rPr>
      </w:pPr>
      <w:r w:rsidRPr="367BCE8E">
        <w:rPr>
          <w:rFonts w:asciiTheme="minorHAnsi" w:hAnsiTheme="minorHAnsi"/>
          <w:u w:val="single"/>
        </w:rPr>
        <w:t xml:space="preserve">Item </w:t>
      </w:r>
      <w:r w:rsidR="00C43667">
        <w:rPr>
          <w:rFonts w:asciiTheme="minorHAnsi" w:hAnsiTheme="minorHAnsi"/>
          <w:u w:val="single"/>
        </w:rPr>
        <w:t>3</w:t>
      </w:r>
      <w:r w:rsidR="24E5186A" w:rsidRPr="367BCE8E">
        <w:rPr>
          <w:rFonts w:asciiTheme="minorHAnsi" w:hAnsiTheme="minorHAnsi"/>
          <w:u w:val="single"/>
        </w:rPr>
        <w:t>:</w:t>
      </w:r>
      <w:r w:rsidRPr="367BCE8E">
        <w:rPr>
          <w:rFonts w:asciiTheme="minorHAnsi" w:hAnsiTheme="minorHAnsi"/>
          <w:u w:val="single"/>
        </w:rPr>
        <w:t xml:space="preserve"> </w:t>
      </w:r>
      <w:r w:rsidR="0275DF2A" w:rsidRPr="367BCE8E">
        <w:rPr>
          <w:rFonts w:asciiTheme="minorHAnsi" w:hAnsiTheme="minorHAnsi"/>
          <w:u w:val="single"/>
        </w:rPr>
        <w:t>At the end of Part 12</w:t>
      </w:r>
    </w:p>
    <w:p w14:paraId="6B616C1C" w14:textId="69E9C3E0" w:rsidR="00E746A4" w:rsidRDefault="37E595C8"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This item </w:t>
      </w:r>
      <w:r w:rsidR="01ED958F" w:rsidRPr="7BC75282">
        <w:rPr>
          <w:rFonts w:asciiTheme="minorHAnsi" w:hAnsiTheme="minorHAnsi"/>
        </w:rPr>
        <w:t xml:space="preserve">inserts </w:t>
      </w:r>
      <w:r w:rsidR="24E5186A" w:rsidRPr="7BC75282">
        <w:rPr>
          <w:rFonts w:asciiTheme="minorHAnsi" w:hAnsiTheme="minorHAnsi"/>
        </w:rPr>
        <w:t xml:space="preserve">a new </w:t>
      </w:r>
      <w:r w:rsidR="01ED958F" w:rsidRPr="7BC75282">
        <w:rPr>
          <w:rFonts w:asciiTheme="minorHAnsi" w:hAnsiTheme="minorHAnsi"/>
        </w:rPr>
        <w:t xml:space="preserve">Part </w:t>
      </w:r>
      <w:r w:rsidR="24E5186A" w:rsidRPr="7BC75282">
        <w:rPr>
          <w:rFonts w:asciiTheme="minorHAnsi" w:hAnsiTheme="minorHAnsi"/>
        </w:rPr>
        <w:t xml:space="preserve">(Part </w:t>
      </w:r>
      <w:r w:rsidR="01ED958F" w:rsidRPr="7BC75282">
        <w:rPr>
          <w:rFonts w:asciiTheme="minorHAnsi" w:hAnsiTheme="minorHAnsi"/>
        </w:rPr>
        <w:t>13</w:t>
      </w:r>
      <w:r w:rsidR="24E5186A" w:rsidRPr="7BC75282">
        <w:rPr>
          <w:rFonts w:asciiTheme="minorHAnsi" w:hAnsiTheme="minorHAnsi"/>
        </w:rPr>
        <w:t xml:space="preserve">) in the Principal Instrument to specify the CPP as a program under which grants may be made in accordance with subsection 41-15(1) of the Act. </w:t>
      </w:r>
    </w:p>
    <w:p w14:paraId="37085164" w14:textId="0F7C2748" w:rsidR="00C548FA" w:rsidRPr="0042041D" w:rsidRDefault="6EBCE56F" w:rsidP="367BCE8E">
      <w:pPr>
        <w:spacing w:before="360" w:after="120"/>
        <w:rPr>
          <w:rFonts w:asciiTheme="minorHAnsi" w:hAnsiTheme="minorHAnsi"/>
          <w:b/>
          <w:bCs/>
        </w:rPr>
      </w:pPr>
      <w:r w:rsidRPr="367BCE8E">
        <w:rPr>
          <w:rFonts w:asciiTheme="minorHAnsi" w:hAnsiTheme="minorHAnsi"/>
          <w:b/>
          <w:bCs/>
        </w:rPr>
        <w:t>Section 79</w:t>
      </w:r>
    </w:p>
    <w:p w14:paraId="1BE317A7" w14:textId="22F93765" w:rsidR="00771753" w:rsidRPr="0042041D" w:rsidRDefault="408AEB04" w:rsidP="7BC75282">
      <w:pPr>
        <w:numPr>
          <w:ilvl w:val="0"/>
          <w:numId w:val="1"/>
        </w:numPr>
        <w:spacing w:before="360" w:after="120"/>
        <w:rPr>
          <w:rFonts w:asciiTheme="minorHAnsi" w:hAnsiTheme="minorHAnsi"/>
        </w:rPr>
      </w:pPr>
      <w:r w:rsidRPr="7BC75282">
        <w:rPr>
          <w:rFonts w:asciiTheme="minorHAnsi" w:hAnsiTheme="minorHAnsi"/>
        </w:rPr>
        <w:t>New section 79 outlines the program objectives</w:t>
      </w:r>
      <w:r w:rsidR="73588F49" w:rsidRPr="7BC75282">
        <w:rPr>
          <w:rFonts w:asciiTheme="minorHAnsi" w:hAnsiTheme="minorHAnsi"/>
        </w:rPr>
        <w:t xml:space="preserve">. </w:t>
      </w:r>
    </w:p>
    <w:p w14:paraId="5F2D52CA" w14:textId="499CA7BD" w:rsidR="00961F5A" w:rsidRPr="004D4E69" w:rsidRDefault="2E3A9D6E" w:rsidP="455B5724">
      <w:pPr>
        <w:numPr>
          <w:ilvl w:val="0"/>
          <w:numId w:val="1"/>
        </w:numPr>
        <w:spacing w:before="360" w:after="120"/>
        <w:rPr>
          <w:rFonts w:asciiTheme="minorHAnsi" w:hAnsiTheme="minorHAnsi"/>
        </w:rPr>
      </w:pPr>
      <w:r w:rsidRPr="455B5724">
        <w:rPr>
          <w:rFonts w:asciiTheme="minorHAnsi" w:hAnsiTheme="minorHAnsi"/>
        </w:rPr>
        <w:t>New s</w:t>
      </w:r>
      <w:r w:rsidR="2AC9AA63" w:rsidRPr="455B5724">
        <w:rPr>
          <w:rFonts w:asciiTheme="minorHAnsi" w:hAnsiTheme="minorHAnsi"/>
        </w:rPr>
        <w:t>ubs</w:t>
      </w:r>
      <w:r w:rsidR="569E617D" w:rsidRPr="455B5724">
        <w:rPr>
          <w:rFonts w:asciiTheme="minorHAnsi" w:hAnsiTheme="minorHAnsi"/>
        </w:rPr>
        <w:t>ection 79(1)</w:t>
      </w:r>
      <w:r w:rsidR="5B8B6442" w:rsidRPr="455B5724">
        <w:rPr>
          <w:rFonts w:asciiTheme="minorHAnsi" w:hAnsiTheme="minorHAnsi"/>
        </w:rPr>
        <w:t xml:space="preserve"> provides that t</w:t>
      </w:r>
      <w:r w:rsidR="26B20C42" w:rsidRPr="455B5724">
        <w:rPr>
          <w:rFonts w:asciiTheme="minorHAnsi" w:hAnsiTheme="minorHAnsi"/>
        </w:rPr>
        <w:t>he</w:t>
      </w:r>
      <w:r w:rsidR="73588F49" w:rsidRPr="455B5724">
        <w:rPr>
          <w:rFonts w:asciiTheme="minorHAnsi" w:hAnsiTheme="minorHAnsi"/>
        </w:rPr>
        <w:t xml:space="preserve"> </w:t>
      </w:r>
      <w:r w:rsidR="730FF62C" w:rsidRPr="455B5724">
        <w:rPr>
          <w:rFonts w:asciiTheme="minorHAnsi" w:hAnsiTheme="minorHAnsi"/>
        </w:rPr>
        <w:t>CPP</w:t>
      </w:r>
      <w:r w:rsidR="096F67C0" w:rsidRPr="455B5724">
        <w:rPr>
          <w:rFonts w:asciiTheme="minorHAnsi" w:hAnsiTheme="minorHAnsi"/>
        </w:rPr>
        <w:t xml:space="preserve"> is specified as a program for the purposes of providing higher education providers with grants to </w:t>
      </w:r>
      <w:r w:rsidR="0A6AA09A" w:rsidRPr="455B5724">
        <w:rPr>
          <w:rFonts w:asciiTheme="minorHAnsi" w:hAnsiTheme="minorHAnsi"/>
        </w:rPr>
        <w:t xml:space="preserve">give </w:t>
      </w:r>
      <w:r w:rsidR="096F67C0" w:rsidRPr="455B5724">
        <w:rPr>
          <w:rFonts w:asciiTheme="minorHAnsi" w:hAnsiTheme="minorHAnsi"/>
        </w:rPr>
        <w:t>payments to Commonwealth supported</w:t>
      </w:r>
      <w:r w:rsidR="00F506CB" w:rsidRPr="455B5724">
        <w:rPr>
          <w:rFonts w:asciiTheme="minorHAnsi" w:hAnsiTheme="minorHAnsi"/>
        </w:rPr>
        <w:t xml:space="preserve"> students</w:t>
      </w:r>
      <w:r w:rsidR="096F67C0" w:rsidRPr="455B5724">
        <w:rPr>
          <w:rFonts w:asciiTheme="minorHAnsi" w:hAnsiTheme="minorHAnsi"/>
        </w:rPr>
        <w:t xml:space="preserve"> who are undertaking mandatory </w:t>
      </w:r>
      <w:r w:rsidR="0EFC4937" w:rsidRPr="455B5724">
        <w:rPr>
          <w:rFonts w:asciiTheme="minorHAnsi" w:hAnsiTheme="minorHAnsi"/>
        </w:rPr>
        <w:t>practicums (i.e. mandatory placements)</w:t>
      </w:r>
      <w:r w:rsidR="7DB3B2F4" w:rsidRPr="455B5724">
        <w:rPr>
          <w:rFonts w:asciiTheme="minorHAnsi" w:hAnsiTheme="minorHAnsi"/>
        </w:rPr>
        <w:t xml:space="preserve"> </w:t>
      </w:r>
      <w:r w:rsidR="096F67C0" w:rsidRPr="455B5724">
        <w:rPr>
          <w:rFonts w:asciiTheme="minorHAnsi" w:hAnsiTheme="minorHAnsi"/>
        </w:rPr>
        <w:t>as part of their course of study</w:t>
      </w:r>
      <w:r w:rsidR="730FF62C" w:rsidRPr="455B5724">
        <w:rPr>
          <w:rFonts w:asciiTheme="minorHAnsi" w:hAnsiTheme="minorHAnsi"/>
        </w:rPr>
        <w:t>,</w:t>
      </w:r>
      <w:r w:rsidR="096F67C0" w:rsidRPr="455B5724">
        <w:rPr>
          <w:rFonts w:asciiTheme="minorHAnsi" w:hAnsiTheme="minorHAnsi"/>
        </w:rPr>
        <w:t xml:space="preserve"> under item 15 of the table in subsection 41-10(1) of </w:t>
      </w:r>
      <w:r w:rsidR="26B20C42" w:rsidRPr="455B5724">
        <w:rPr>
          <w:rFonts w:asciiTheme="minorHAnsi" w:hAnsiTheme="minorHAnsi"/>
        </w:rPr>
        <w:t>the Act</w:t>
      </w:r>
      <w:r w:rsidR="096F67C0" w:rsidRPr="455B5724">
        <w:rPr>
          <w:rFonts w:asciiTheme="minorHAnsi" w:hAnsiTheme="minorHAnsi"/>
        </w:rPr>
        <w:t>.</w:t>
      </w:r>
    </w:p>
    <w:p w14:paraId="4F220895" w14:textId="2F0566DA" w:rsidR="000C664F" w:rsidRDefault="2E3A9D6E" w:rsidP="7BC75282">
      <w:pPr>
        <w:numPr>
          <w:ilvl w:val="0"/>
          <w:numId w:val="1"/>
        </w:numPr>
        <w:spacing w:before="360" w:after="120"/>
        <w:rPr>
          <w:rFonts w:asciiTheme="minorHAnsi" w:hAnsiTheme="minorHAnsi"/>
        </w:rPr>
      </w:pPr>
      <w:r w:rsidRPr="7BC75282">
        <w:rPr>
          <w:rFonts w:asciiTheme="minorHAnsi" w:hAnsiTheme="minorHAnsi"/>
        </w:rPr>
        <w:t>New s</w:t>
      </w:r>
      <w:r w:rsidR="56F6935C" w:rsidRPr="7BC75282">
        <w:rPr>
          <w:rFonts w:asciiTheme="minorHAnsi" w:hAnsiTheme="minorHAnsi"/>
        </w:rPr>
        <w:t>ubsection 79(</w:t>
      </w:r>
      <w:r w:rsidR="1FB25E81" w:rsidRPr="7BC75282">
        <w:rPr>
          <w:rFonts w:asciiTheme="minorHAnsi" w:hAnsiTheme="minorHAnsi"/>
        </w:rPr>
        <w:t>2</w:t>
      </w:r>
      <w:r w:rsidR="56F6935C" w:rsidRPr="7BC75282">
        <w:rPr>
          <w:rFonts w:asciiTheme="minorHAnsi" w:hAnsiTheme="minorHAnsi"/>
        </w:rPr>
        <w:t xml:space="preserve">) </w:t>
      </w:r>
      <w:r w:rsidR="66FACD23" w:rsidRPr="7BC75282">
        <w:rPr>
          <w:rFonts w:asciiTheme="minorHAnsi" w:hAnsiTheme="minorHAnsi"/>
        </w:rPr>
        <w:t xml:space="preserve">provides that </w:t>
      </w:r>
      <w:r w:rsidR="2AC9AA63" w:rsidRPr="7BC75282">
        <w:rPr>
          <w:rFonts w:asciiTheme="minorHAnsi" w:hAnsiTheme="minorHAnsi"/>
        </w:rPr>
        <w:t xml:space="preserve">the </w:t>
      </w:r>
      <w:r w:rsidR="5C236BE0" w:rsidRPr="7BC75282">
        <w:rPr>
          <w:rFonts w:asciiTheme="minorHAnsi" w:hAnsiTheme="minorHAnsi"/>
        </w:rPr>
        <w:t xml:space="preserve">objectives of the </w:t>
      </w:r>
      <w:r w:rsidR="2AC9AA63" w:rsidRPr="7BC75282">
        <w:rPr>
          <w:rFonts w:asciiTheme="minorHAnsi" w:hAnsiTheme="minorHAnsi"/>
        </w:rPr>
        <w:t>CPP</w:t>
      </w:r>
      <w:r w:rsidR="5C236BE0" w:rsidRPr="7BC75282">
        <w:rPr>
          <w:rFonts w:asciiTheme="minorHAnsi" w:hAnsiTheme="minorHAnsi"/>
        </w:rPr>
        <w:t xml:space="preserve"> </w:t>
      </w:r>
      <w:r w:rsidR="3E493097" w:rsidRPr="7BC75282">
        <w:rPr>
          <w:rFonts w:asciiTheme="minorHAnsi" w:hAnsiTheme="minorHAnsi"/>
        </w:rPr>
        <w:t>are</w:t>
      </w:r>
      <w:r w:rsidR="5CE6C9BD" w:rsidRPr="7BC75282">
        <w:rPr>
          <w:rFonts w:asciiTheme="minorHAnsi" w:hAnsiTheme="minorHAnsi"/>
        </w:rPr>
        <w:t xml:space="preserve"> to</w:t>
      </w:r>
      <w:r w:rsidR="5C236BE0" w:rsidRPr="7BC75282">
        <w:rPr>
          <w:rFonts w:asciiTheme="minorHAnsi" w:hAnsiTheme="minorHAnsi"/>
        </w:rPr>
        <w:t xml:space="preserve">: </w:t>
      </w:r>
    </w:p>
    <w:p w14:paraId="43418A49" w14:textId="0CE0EC90" w:rsidR="00961F5A" w:rsidRDefault="5C236BE0" w:rsidP="7BC75282">
      <w:pPr>
        <w:numPr>
          <w:ilvl w:val="1"/>
          <w:numId w:val="1"/>
        </w:numPr>
        <w:spacing w:before="120" w:after="120"/>
        <w:rPr>
          <w:rFonts w:asciiTheme="minorHAnsi" w:hAnsiTheme="minorHAnsi"/>
        </w:rPr>
      </w:pPr>
      <w:r w:rsidRPr="7BC75282">
        <w:rPr>
          <w:rFonts w:asciiTheme="minorHAnsi" w:hAnsiTheme="minorHAnsi"/>
        </w:rPr>
        <w:t xml:space="preserve">provide grants </w:t>
      </w:r>
      <w:r w:rsidR="5CE6C9BD" w:rsidRPr="7BC75282">
        <w:rPr>
          <w:rFonts w:asciiTheme="minorHAnsi" w:hAnsiTheme="minorHAnsi"/>
        </w:rPr>
        <w:t xml:space="preserve">to </w:t>
      </w:r>
      <w:r w:rsidR="00925312" w:rsidRPr="7BC75282">
        <w:rPr>
          <w:rFonts w:asciiTheme="minorHAnsi" w:hAnsiTheme="minorHAnsi"/>
        </w:rPr>
        <w:t xml:space="preserve">higher education </w:t>
      </w:r>
      <w:r w:rsidR="5CE6C9BD" w:rsidRPr="7BC75282">
        <w:rPr>
          <w:rFonts w:asciiTheme="minorHAnsi" w:hAnsiTheme="minorHAnsi"/>
        </w:rPr>
        <w:t xml:space="preserve">providers </w:t>
      </w:r>
      <w:r w:rsidR="352E425E" w:rsidRPr="7BC75282">
        <w:rPr>
          <w:rFonts w:asciiTheme="minorHAnsi" w:hAnsiTheme="minorHAnsi"/>
        </w:rPr>
        <w:t xml:space="preserve">so they </w:t>
      </w:r>
      <w:proofErr w:type="gramStart"/>
      <w:r w:rsidR="0032643D" w:rsidRPr="7BC75282">
        <w:rPr>
          <w:rFonts w:asciiTheme="minorHAnsi" w:hAnsiTheme="minorHAnsi"/>
        </w:rPr>
        <w:t>are able to</w:t>
      </w:r>
      <w:proofErr w:type="gramEnd"/>
      <w:r w:rsidR="0032643D" w:rsidRPr="7BC75282">
        <w:rPr>
          <w:rFonts w:asciiTheme="minorHAnsi" w:hAnsiTheme="minorHAnsi"/>
        </w:rPr>
        <w:t xml:space="preserve"> </w:t>
      </w:r>
      <w:r w:rsidRPr="7BC75282">
        <w:rPr>
          <w:rFonts w:asciiTheme="minorHAnsi" w:hAnsiTheme="minorHAnsi"/>
        </w:rPr>
        <w:t>deliver cost of living relief to eligible students undertaking mandatory placements as part of their teaching, nursing, midwifery and social work courses of study</w:t>
      </w:r>
      <w:r w:rsidR="64749E77" w:rsidRPr="7BC75282">
        <w:rPr>
          <w:rFonts w:asciiTheme="minorHAnsi" w:hAnsiTheme="minorHAnsi"/>
        </w:rPr>
        <w:t>; and</w:t>
      </w:r>
    </w:p>
    <w:p w14:paraId="4462F50D" w14:textId="46040DDC" w:rsidR="00961F5A" w:rsidRDefault="5C236BE0" w:rsidP="367BCE8E">
      <w:pPr>
        <w:pStyle w:val="ListParagraph"/>
        <w:numPr>
          <w:ilvl w:val="1"/>
          <w:numId w:val="1"/>
        </w:numPr>
        <w:spacing w:before="120" w:after="120"/>
        <w:ind w:left="1434" w:hanging="357"/>
        <w:rPr>
          <w:rFonts w:asciiTheme="minorHAnsi" w:hAnsiTheme="minorHAnsi"/>
        </w:rPr>
      </w:pPr>
      <w:r w:rsidRPr="367BCE8E">
        <w:rPr>
          <w:rFonts w:asciiTheme="minorHAnsi" w:hAnsiTheme="minorHAnsi"/>
        </w:rPr>
        <w:t xml:space="preserve">support students’ learning outcomes by easing financial pressure on </w:t>
      </w:r>
      <w:r w:rsidR="7CE13B4C" w:rsidRPr="367BCE8E">
        <w:rPr>
          <w:rFonts w:asciiTheme="minorHAnsi" w:hAnsiTheme="minorHAnsi"/>
        </w:rPr>
        <w:t>them</w:t>
      </w:r>
      <w:r w:rsidRPr="367BCE8E">
        <w:rPr>
          <w:rFonts w:asciiTheme="minorHAnsi" w:hAnsiTheme="minorHAnsi"/>
        </w:rPr>
        <w:t xml:space="preserve"> during their mandatory placements</w:t>
      </w:r>
      <w:r w:rsidR="64749E77" w:rsidRPr="367BCE8E">
        <w:rPr>
          <w:rFonts w:asciiTheme="minorHAnsi" w:hAnsiTheme="minorHAnsi"/>
        </w:rPr>
        <w:t>;</w:t>
      </w:r>
      <w:r w:rsidRPr="367BCE8E">
        <w:rPr>
          <w:rFonts w:asciiTheme="minorHAnsi" w:hAnsiTheme="minorHAnsi"/>
        </w:rPr>
        <w:t xml:space="preserve"> and</w:t>
      </w:r>
    </w:p>
    <w:p w14:paraId="7271B941" w14:textId="6C515F3F" w:rsidR="007F2FA0" w:rsidRDefault="5C236BE0" w:rsidP="7BC75282">
      <w:pPr>
        <w:pStyle w:val="ListParagraph"/>
        <w:numPr>
          <w:ilvl w:val="1"/>
          <w:numId w:val="1"/>
        </w:numPr>
        <w:spacing w:before="120" w:after="120"/>
        <w:ind w:left="1434" w:hanging="357"/>
        <w:rPr>
          <w:rFonts w:asciiTheme="minorHAnsi" w:hAnsiTheme="minorHAnsi"/>
        </w:rPr>
      </w:pPr>
      <w:r w:rsidRPr="7BC75282">
        <w:rPr>
          <w:rFonts w:asciiTheme="minorHAnsi" w:hAnsiTheme="minorHAnsi"/>
        </w:rPr>
        <w:lastRenderedPageBreak/>
        <w:t>increase students’ rates of retention and completion of their courses of study by reducing the financial impact of mandatory placements that may have influenced students to defer or withdraw from study.</w:t>
      </w:r>
    </w:p>
    <w:p w14:paraId="78D2EBF3" w14:textId="667E5638" w:rsidR="00C548FA" w:rsidRPr="0042041D" w:rsidRDefault="6EBCE56F" w:rsidP="367BCE8E">
      <w:pPr>
        <w:spacing w:before="120" w:after="120"/>
        <w:rPr>
          <w:rFonts w:asciiTheme="minorHAnsi" w:hAnsiTheme="minorHAnsi"/>
          <w:b/>
          <w:bCs/>
        </w:rPr>
      </w:pPr>
      <w:r w:rsidRPr="367BCE8E">
        <w:rPr>
          <w:rFonts w:asciiTheme="minorHAnsi" w:hAnsiTheme="minorHAnsi"/>
          <w:b/>
          <w:bCs/>
        </w:rPr>
        <w:t>Section 80</w:t>
      </w:r>
    </w:p>
    <w:p w14:paraId="1BD7024D" w14:textId="51F75E45" w:rsidR="00B704BD" w:rsidRPr="00474695" w:rsidRDefault="730FF62C" w:rsidP="367BCE8E">
      <w:pPr>
        <w:numPr>
          <w:ilvl w:val="0"/>
          <w:numId w:val="1"/>
        </w:numPr>
        <w:spacing w:before="360" w:after="120"/>
        <w:rPr>
          <w:rFonts w:asciiTheme="minorHAnsi" w:hAnsiTheme="minorHAnsi"/>
        </w:rPr>
      </w:pPr>
      <w:r w:rsidRPr="367BCE8E">
        <w:rPr>
          <w:rFonts w:asciiTheme="minorHAnsi" w:hAnsiTheme="minorHAnsi"/>
        </w:rPr>
        <w:t>N</w:t>
      </w:r>
      <w:r w:rsidR="03873DF8" w:rsidRPr="367BCE8E">
        <w:rPr>
          <w:rFonts w:asciiTheme="minorHAnsi" w:hAnsiTheme="minorHAnsi"/>
        </w:rPr>
        <w:t>ew</w:t>
      </w:r>
      <w:r w:rsidR="401B0D2B" w:rsidRPr="367BCE8E">
        <w:rPr>
          <w:rFonts w:asciiTheme="minorHAnsi" w:hAnsiTheme="minorHAnsi"/>
        </w:rPr>
        <w:t xml:space="preserve"> section 80 </w:t>
      </w:r>
      <w:r w:rsidRPr="367BCE8E">
        <w:rPr>
          <w:rFonts w:asciiTheme="minorHAnsi" w:hAnsiTheme="minorHAnsi"/>
        </w:rPr>
        <w:t xml:space="preserve">specifies the bodies corporate that are eligible for grants made for the purposes of item 15 of the table in subsection 41-10(1) of the </w:t>
      </w:r>
      <w:proofErr w:type="gramStart"/>
      <w:r w:rsidRPr="367BCE8E">
        <w:rPr>
          <w:rFonts w:asciiTheme="minorHAnsi" w:hAnsiTheme="minorHAnsi"/>
        </w:rPr>
        <w:t>Act,</w:t>
      </w:r>
      <w:r w:rsidR="5EEDF475" w:rsidRPr="367BCE8E">
        <w:rPr>
          <w:rFonts w:asciiTheme="minorHAnsi" w:hAnsiTheme="minorHAnsi"/>
        </w:rPr>
        <w:t xml:space="preserve"> </w:t>
      </w:r>
      <w:r w:rsidRPr="367BCE8E">
        <w:rPr>
          <w:rFonts w:asciiTheme="minorHAnsi" w:hAnsiTheme="minorHAnsi"/>
        </w:rPr>
        <w:t>and</w:t>
      </w:r>
      <w:proofErr w:type="gramEnd"/>
      <w:r w:rsidRPr="367BCE8E">
        <w:rPr>
          <w:rFonts w:asciiTheme="minorHAnsi" w:hAnsiTheme="minorHAnsi"/>
        </w:rPr>
        <w:t xml:space="preserve"> </w:t>
      </w:r>
      <w:r w:rsidR="5EEDF475" w:rsidRPr="367BCE8E">
        <w:rPr>
          <w:rFonts w:asciiTheme="minorHAnsi" w:hAnsiTheme="minorHAnsi"/>
        </w:rPr>
        <w:t>provide</w:t>
      </w:r>
      <w:r w:rsidRPr="367BCE8E">
        <w:rPr>
          <w:rFonts w:asciiTheme="minorHAnsi" w:hAnsiTheme="minorHAnsi"/>
        </w:rPr>
        <w:t>s</w:t>
      </w:r>
      <w:r w:rsidR="5EEDF475" w:rsidRPr="367BCE8E">
        <w:rPr>
          <w:rFonts w:asciiTheme="minorHAnsi" w:hAnsiTheme="minorHAnsi"/>
        </w:rPr>
        <w:t xml:space="preserve"> that </w:t>
      </w:r>
      <w:r w:rsidR="1365A8B8" w:rsidRPr="367BCE8E">
        <w:rPr>
          <w:rFonts w:asciiTheme="minorHAnsi" w:hAnsiTheme="minorHAnsi"/>
        </w:rPr>
        <w:t xml:space="preserve">higher education providers that are not Table A providers or Table B providers are specified for the purposes of item 15 of the table in subsection 41-10(1) of </w:t>
      </w:r>
      <w:r w:rsidR="24E5186A" w:rsidRPr="367BCE8E">
        <w:rPr>
          <w:rFonts w:asciiTheme="minorHAnsi" w:hAnsiTheme="minorHAnsi"/>
        </w:rPr>
        <w:t>the Act</w:t>
      </w:r>
      <w:r w:rsidR="47A4B91F" w:rsidRPr="367BCE8E">
        <w:rPr>
          <w:rFonts w:asciiTheme="minorHAnsi" w:hAnsiTheme="minorHAnsi"/>
        </w:rPr>
        <w:t>.</w:t>
      </w:r>
    </w:p>
    <w:p w14:paraId="55C5DF1B" w14:textId="3D8CD2F2" w:rsidR="00A00264" w:rsidRDefault="730FF62C" w:rsidP="367BCE8E">
      <w:pPr>
        <w:pStyle w:val="ListParagraph"/>
        <w:numPr>
          <w:ilvl w:val="0"/>
          <w:numId w:val="1"/>
        </w:numPr>
        <w:spacing w:before="360" w:after="120"/>
        <w:rPr>
          <w:rFonts w:asciiTheme="minorHAnsi" w:hAnsiTheme="minorHAnsi"/>
        </w:rPr>
      </w:pPr>
      <w:r w:rsidRPr="367BCE8E">
        <w:rPr>
          <w:rFonts w:asciiTheme="minorHAnsi" w:hAnsiTheme="minorHAnsi"/>
        </w:rPr>
        <w:t>The</w:t>
      </w:r>
      <w:r w:rsidR="7BEA3B72" w:rsidRPr="367BCE8E">
        <w:rPr>
          <w:rFonts w:asciiTheme="minorHAnsi" w:hAnsiTheme="minorHAnsi"/>
        </w:rPr>
        <w:t xml:space="preserve"> note </w:t>
      </w:r>
      <w:r w:rsidRPr="367BCE8E">
        <w:rPr>
          <w:rFonts w:asciiTheme="minorHAnsi" w:hAnsiTheme="minorHAnsi"/>
        </w:rPr>
        <w:t xml:space="preserve">in section 80 provides </w:t>
      </w:r>
      <w:r w:rsidR="7BEA3B72" w:rsidRPr="367BCE8E">
        <w:rPr>
          <w:rFonts w:asciiTheme="minorHAnsi" w:hAnsiTheme="minorHAnsi"/>
        </w:rPr>
        <w:t>that Table A providers and Table B providers are eligible for grants made for the purpose of item 15 of the table in subsection 41</w:t>
      </w:r>
      <w:r w:rsidR="001179E3">
        <w:rPr>
          <w:rFonts w:asciiTheme="minorHAnsi" w:hAnsiTheme="minorHAnsi" w:cstheme="minorHAnsi"/>
          <w:iCs/>
          <w:szCs w:val="24"/>
        </w:rPr>
        <w:noBreakHyphen/>
      </w:r>
      <w:r w:rsidR="7BEA3B72" w:rsidRPr="367BCE8E">
        <w:rPr>
          <w:rFonts w:asciiTheme="minorHAnsi" w:hAnsiTheme="minorHAnsi"/>
        </w:rPr>
        <w:t xml:space="preserve">10(1), and do not need to be specified in </w:t>
      </w:r>
      <w:r w:rsidRPr="367BCE8E">
        <w:rPr>
          <w:rFonts w:asciiTheme="minorHAnsi" w:hAnsiTheme="minorHAnsi"/>
        </w:rPr>
        <w:t>the Principal Instrument</w:t>
      </w:r>
      <w:r w:rsidR="2B2273B7" w:rsidRPr="367BCE8E">
        <w:rPr>
          <w:rFonts w:asciiTheme="minorHAnsi" w:hAnsiTheme="minorHAnsi"/>
        </w:rPr>
        <w:t>.</w:t>
      </w:r>
    </w:p>
    <w:p w14:paraId="1AE03C6B" w14:textId="5C76401F" w:rsidR="00C548FA" w:rsidRPr="0042041D" w:rsidRDefault="6EBCE56F" w:rsidP="0042041D">
      <w:pPr>
        <w:keepNext/>
        <w:spacing w:before="360" w:after="120"/>
        <w:rPr>
          <w:rFonts w:asciiTheme="minorHAnsi" w:hAnsiTheme="minorHAnsi"/>
          <w:b/>
          <w:bCs/>
        </w:rPr>
      </w:pPr>
      <w:r w:rsidRPr="367BCE8E">
        <w:rPr>
          <w:rFonts w:asciiTheme="minorHAnsi" w:hAnsiTheme="minorHAnsi"/>
          <w:b/>
          <w:bCs/>
        </w:rPr>
        <w:t>Section 81</w:t>
      </w:r>
    </w:p>
    <w:p w14:paraId="68455E21" w14:textId="5DC1C797" w:rsidR="007C58E0" w:rsidRPr="007F3D78" w:rsidRDefault="694E55A8" w:rsidP="367BCE8E">
      <w:pPr>
        <w:pStyle w:val="ListParagraph"/>
        <w:numPr>
          <w:ilvl w:val="0"/>
          <w:numId w:val="1"/>
        </w:numPr>
        <w:spacing w:before="360" w:after="120"/>
        <w:rPr>
          <w:rFonts w:asciiTheme="minorHAnsi" w:hAnsiTheme="minorHAnsi"/>
        </w:rPr>
      </w:pPr>
      <w:r w:rsidRPr="367BCE8E">
        <w:rPr>
          <w:rFonts w:asciiTheme="minorHAnsi" w:hAnsiTheme="minorHAnsi"/>
        </w:rPr>
        <w:t>N</w:t>
      </w:r>
      <w:r w:rsidR="7355DC20" w:rsidRPr="367BCE8E">
        <w:rPr>
          <w:rFonts w:asciiTheme="minorHAnsi" w:hAnsiTheme="minorHAnsi"/>
        </w:rPr>
        <w:t xml:space="preserve">ew section 81 </w:t>
      </w:r>
      <w:r w:rsidR="2F9C6DDF" w:rsidRPr="367BCE8E">
        <w:rPr>
          <w:rFonts w:asciiTheme="minorHAnsi" w:hAnsiTheme="minorHAnsi"/>
        </w:rPr>
        <w:t>sets out the extra conditions</w:t>
      </w:r>
      <w:r w:rsidRPr="367BCE8E">
        <w:rPr>
          <w:rFonts w:asciiTheme="minorHAnsi" w:hAnsiTheme="minorHAnsi"/>
        </w:rPr>
        <w:t xml:space="preserve"> of eligibility</w:t>
      </w:r>
      <w:r w:rsidR="2F9C6DDF" w:rsidRPr="367BCE8E">
        <w:rPr>
          <w:rFonts w:asciiTheme="minorHAnsi" w:hAnsiTheme="minorHAnsi"/>
        </w:rPr>
        <w:t xml:space="preserve"> </w:t>
      </w:r>
      <w:r w:rsidR="5E8AC305" w:rsidRPr="367BCE8E">
        <w:rPr>
          <w:rFonts w:asciiTheme="minorHAnsi" w:hAnsiTheme="minorHAnsi"/>
        </w:rPr>
        <w:t xml:space="preserve">that a </w:t>
      </w:r>
      <w:r w:rsidRPr="367BCE8E">
        <w:rPr>
          <w:rFonts w:asciiTheme="minorHAnsi" w:hAnsiTheme="minorHAnsi"/>
        </w:rPr>
        <w:t xml:space="preserve">higher education </w:t>
      </w:r>
      <w:r w:rsidR="5E8AC305" w:rsidRPr="367BCE8E">
        <w:rPr>
          <w:rFonts w:asciiTheme="minorHAnsi" w:hAnsiTheme="minorHAnsi"/>
        </w:rPr>
        <w:t xml:space="preserve">provider must </w:t>
      </w:r>
      <w:r w:rsidRPr="367BCE8E">
        <w:rPr>
          <w:rFonts w:asciiTheme="minorHAnsi" w:hAnsiTheme="minorHAnsi"/>
        </w:rPr>
        <w:t>meet</w:t>
      </w:r>
      <w:r w:rsidR="5E8AC305" w:rsidRPr="367BCE8E">
        <w:rPr>
          <w:rFonts w:asciiTheme="minorHAnsi" w:hAnsiTheme="minorHAnsi"/>
        </w:rPr>
        <w:t xml:space="preserve"> to </w:t>
      </w:r>
      <w:r w:rsidRPr="367BCE8E">
        <w:rPr>
          <w:rFonts w:asciiTheme="minorHAnsi" w:hAnsiTheme="minorHAnsi"/>
        </w:rPr>
        <w:t xml:space="preserve">be eligible to </w:t>
      </w:r>
      <w:r w:rsidR="5E8AC305" w:rsidRPr="367BCE8E">
        <w:rPr>
          <w:rFonts w:asciiTheme="minorHAnsi" w:hAnsiTheme="minorHAnsi"/>
        </w:rPr>
        <w:t>receive a grant under the CPP.</w:t>
      </w:r>
    </w:p>
    <w:p w14:paraId="7EB5C754" w14:textId="350C1D16" w:rsidR="001D49BF" w:rsidRPr="002A3B3B" w:rsidRDefault="25C4B27D" w:rsidP="367BCE8E">
      <w:pPr>
        <w:pStyle w:val="ListParagraph"/>
        <w:numPr>
          <w:ilvl w:val="0"/>
          <w:numId w:val="1"/>
        </w:numPr>
        <w:spacing w:after="0"/>
        <w:rPr>
          <w:rFonts w:asciiTheme="minorHAnsi" w:hAnsiTheme="minorHAnsi"/>
        </w:rPr>
      </w:pPr>
      <w:r w:rsidRPr="367BCE8E">
        <w:rPr>
          <w:rFonts w:asciiTheme="minorHAnsi" w:hAnsiTheme="minorHAnsi"/>
        </w:rPr>
        <w:t>New subsection 81(</w:t>
      </w:r>
      <w:r w:rsidR="61DA5EB8" w:rsidRPr="367BCE8E">
        <w:rPr>
          <w:rFonts w:asciiTheme="minorHAnsi" w:hAnsiTheme="minorHAnsi"/>
        </w:rPr>
        <w:t>1</w:t>
      </w:r>
      <w:r w:rsidRPr="367BCE8E">
        <w:rPr>
          <w:rFonts w:asciiTheme="minorHAnsi" w:hAnsiTheme="minorHAnsi"/>
        </w:rPr>
        <w:t>) provides that</w:t>
      </w:r>
      <w:r w:rsidR="196241D9" w:rsidRPr="367BCE8E">
        <w:rPr>
          <w:rFonts w:asciiTheme="minorHAnsi" w:hAnsiTheme="minorHAnsi"/>
        </w:rPr>
        <w:t xml:space="preserve"> a provider that is not a Table A provider or a Table B provider is only eligible for a grant under the CPP for a year if it is eligible for grants under Part 2-2 of </w:t>
      </w:r>
      <w:r w:rsidR="24E5186A" w:rsidRPr="367BCE8E">
        <w:rPr>
          <w:rFonts w:asciiTheme="minorHAnsi" w:hAnsiTheme="minorHAnsi"/>
        </w:rPr>
        <w:t xml:space="preserve">the Act </w:t>
      </w:r>
      <w:r w:rsidR="196241D9" w:rsidRPr="367BCE8E">
        <w:rPr>
          <w:rFonts w:asciiTheme="minorHAnsi" w:hAnsiTheme="minorHAnsi"/>
        </w:rPr>
        <w:t>for the year</w:t>
      </w:r>
      <w:r w:rsidR="2CA3F723" w:rsidRPr="367BCE8E">
        <w:rPr>
          <w:rFonts w:asciiTheme="minorHAnsi" w:hAnsiTheme="minorHAnsi"/>
        </w:rPr>
        <w:t xml:space="preserve"> i.e. if the provider is eligible to receive Commonwealth Grant Scheme funding</w:t>
      </w:r>
      <w:r w:rsidR="666CE344" w:rsidRPr="367BCE8E">
        <w:rPr>
          <w:rFonts w:asciiTheme="minorHAnsi" w:hAnsiTheme="minorHAnsi"/>
        </w:rPr>
        <w:t xml:space="preserve">. </w:t>
      </w:r>
    </w:p>
    <w:p w14:paraId="29B4E4A6" w14:textId="057514F5" w:rsidR="00813F52" w:rsidRPr="00813F52" w:rsidRDefault="3D9AF520" w:rsidP="00BF3581">
      <w:pPr>
        <w:pStyle w:val="ListParagraph"/>
        <w:numPr>
          <w:ilvl w:val="0"/>
          <w:numId w:val="1"/>
        </w:numPr>
        <w:spacing w:after="0"/>
        <w:rPr>
          <w:rFonts w:asciiTheme="minorHAnsi" w:hAnsiTheme="minorHAnsi"/>
        </w:rPr>
      </w:pPr>
      <w:r w:rsidRPr="7BC75282">
        <w:rPr>
          <w:rFonts w:asciiTheme="minorHAnsi" w:hAnsiTheme="minorHAnsi"/>
        </w:rPr>
        <w:t>New subsection 81(</w:t>
      </w:r>
      <w:r w:rsidR="61DA5EB8" w:rsidRPr="7BC75282">
        <w:rPr>
          <w:rFonts w:asciiTheme="minorHAnsi" w:hAnsiTheme="minorHAnsi"/>
        </w:rPr>
        <w:t>2</w:t>
      </w:r>
      <w:r w:rsidR="694E55A8" w:rsidRPr="7BC75282">
        <w:rPr>
          <w:rFonts w:asciiTheme="minorHAnsi" w:hAnsiTheme="minorHAnsi"/>
        </w:rPr>
        <w:t xml:space="preserve">) provides that </w:t>
      </w:r>
      <w:r w:rsidR="3ABEBFCD" w:rsidRPr="7BC75282">
        <w:rPr>
          <w:rFonts w:asciiTheme="minorHAnsi" w:hAnsiTheme="minorHAnsi"/>
        </w:rPr>
        <w:t xml:space="preserve">it is an extra condition of eligibility for the CPP for a year, that a higher education provider in that year, delivers a unit that meets certain requirements (that unit will be referred to as the ‘eligible </w:t>
      </w:r>
      <w:proofErr w:type="spellStart"/>
      <w:r w:rsidR="3ABEBFCD" w:rsidRPr="7BC75282">
        <w:rPr>
          <w:rFonts w:asciiTheme="minorHAnsi" w:hAnsiTheme="minorHAnsi"/>
        </w:rPr>
        <w:t>prac</w:t>
      </w:r>
      <w:proofErr w:type="spellEnd"/>
      <w:r w:rsidR="3ABEBFCD" w:rsidRPr="7BC75282">
        <w:rPr>
          <w:rFonts w:asciiTheme="minorHAnsi" w:hAnsiTheme="minorHAnsi"/>
        </w:rPr>
        <w:t xml:space="preserve"> unit’ for the purposes of new Part 13). </w:t>
      </w:r>
    </w:p>
    <w:p w14:paraId="69C328DA" w14:textId="77777777" w:rsidR="003C6293" w:rsidRPr="003C6293" w:rsidRDefault="3ABEBFCD" w:rsidP="7BC75282">
      <w:pPr>
        <w:pStyle w:val="ListParagraph"/>
        <w:numPr>
          <w:ilvl w:val="0"/>
          <w:numId w:val="1"/>
        </w:numPr>
        <w:spacing w:after="0"/>
        <w:rPr>
          <w:rFonts w:asciiTheme="minorHAnsi" w:hAnsiTheme="minorHAnsi"/>
        </w:rPr>
      </w:pPr>
      <w:r w:rsidRPr="7BC75282">
        <w:rPr>
          <w:rFonts w:asciiTheme="minorHAnsi" w:hAnsiTheme="minorHAnsi"/>
        </w:rPr>
        <w:t xml:space="preserve">An eligible </w:t>
      </w:r>
      <w:proofErr w:type="spellStart"/>
      <w:r w:rsidRPr="7BC75282">
        <w:rPr>
          <w:rFonts w:asciiTheme="minorHAnsi" w:hAnsiTheme="minorHAnsi"/>
        </w:rPr>
        <w:t>prac</w:t>
      </w:r>
      <w:proofErr w:type="spellEnd"/>
      <w:r w:rsidRPr="7BC75282">
        <w:rPr>
          <w:rFonts w:asciiTheme="minorHAnsi" w:hAnsiTheme="minorHAnsi"/>
        </w:rPr>
        <w:t xml:space="preserve"> unit is a unit that is being delivered as part of a course of study that</w:t>
      </w:r>
      <w:r w:rsidR="3D3780EA" w:rsidRPr="7BC75282">
        <w:rPr>
          <w:rFonts w:asciiTheme="minorHAnsi" w:hAnsiTheme="minorHAnsi"/>
        </w:rPr>
        <w:t>:</w:t>
      </w:r>
      <w:r w:rsidRPr="7BC75282">
        <w:rPr>
          <w:rFonts w:asciiTheme="minorHAnsi" w:hAnsiTheme="minorHAnsi"/>
        </w:rPr>
        <w:t xml:space="preserve"> </w:t>
      </w:r>
    </w:p>
    <w:p w14:paraId="0DA2A0CD" w14:textId="2BDFFEEB" w:rsidR="003C6293" w:rsidRPr="003C6293" w:rsidRDefault="3ABEBFCD" w:rsidP="367BCE8E">
      <w:pPr>
        <w:pStyle w:val="ListParagraph"/>
        <w:numPr>
          <w:ilvl w:val="1"/>
          <w:numId w:val="1"/>
        </w:numPr>
        <w:spacing w:after="0"/>
        <w:rPr>
          <w:rFonts w:asciiTheme="minorHAnsi" w:hAnsiTheme="minorHAnsi"/>
        </w:rPr>
      </w:pPr>
      <w:r w:rsidRPr="367BCE8E">
        <w:rPr>
          <w:rFonts w:asciiTheme="minorHAnsi" w:hAnsiTheme="minorHAnsi"/>
        </w:rPr>
        <w:t>leads to the award of a bachelor degree or master’s degree in the fields of study</w:t>
      </w:r>
      <w:r w:rsidR="00DE1B62">
        <w:rPr>
          <w:rFonts w:asciiTheme="minorHAnsi" w:hAnsiTheme="minorHAnsi"/>
        </w:rPr>
        <w:t xml:space="preserve"> listed in subsection 81(3) </w:t>
      </w:r>
      <w:r w:rsidR="001F50D0">
        <w:rPr>
          <w:rFonts w:asciiTheme="minorHAnsi" w:hAnsiTheme="minorHAnsi"/>
        </w:rPr>
        <w:t>(</w:t>
      </w:r>
      <w:r w:rsidR="00DE1B62">
        <w:rPr>
          <w:rFonts w:asciiTheme="minorHAnsi" w:hAnsiTheme="minorHAnsi"/>
        </w:rPr>
        <w:t>which are midwifery</w:t>
      </w:r>
      <w:r w:rsidR="0040396D">
        <w:rPr>
          <w:rFonts w:asciiTheme="minorHAnsi" w:hAnsiTheme="minorHAnsi"/>
        </w:rPr>
        <w:t>, nursing, social work and teaching</w:t>
      </w:r>
      <w:r w:rsidR="001F50D0">
        <w:rPr>
          <w:rFonts w:asciiTheme="minorHAnsi" w:hAnsiTheme="minorHAnsi"/>
        </w:rPr>
        <w:t>)</w:t>
      </w:r>
      <w:r w:rsidRPr="367BCE8E">
        <w:rPr>
          <w:rFonts w:asciiTheme="minorHAnsi" w:hAnsiTheme="minorHAnsi"/>
        </w:rPr>
        <w:t>, and is accredited or approved by the relevant professional standards body for the purposes of registration or licensing of a person as a nurse, midwife, social worker or teacher in Australia or a State or Territory of Australia</w:t>
      </w:r>
      <w:r w:rsidR="3D3780EA" w:rsidRPr="367BCE8E">
        <w:rPr>
          <w:rFonts w:asciiTheme="minorHAnsi" w:hAnsiTheme="minorHAnsi"/>
        </w:rPr>
        <w:t>;</w:t>
      </w:r>
      <w:r w:rsidRPr="367BCE8E">
        <w:rPr>
          <w:rFonts w:asciiTheme="minorHAnsi" w:hAnsiTheme="minorHAnsi"/>
        </w:rPr>
        <w:t xml:space="preserve"> and </w:t>
      </w:r>
    </w:p>
    <w:p w14:paraId="069CC82F" w14:textId="03A93757" w:rsidR="00C55F9B" w:rsidRPr="00C548FA" w:rsidRDefault="3ABEBFCD" w:rsidP="367BCE8E">
      <w:pPr>
        <w:pStyle w:val="ListParagraph"/>
        <w:numPr>
          <w:ilvl w:val="1"/>
          <w:numId w:val="1"/>
        </w:numPr>
        <w:spacing w:after="0"/>
        <w:rPr>
          <w:rFonts w:asciiTheme="minorHAnsi" w:hAnsiTheme="minorHAnsi"/>
        </w:rPr>
      </w:pPr>
      <w:r w:rsidRPr="367BCE8E">
        <w:rPr>
          <w:rFonts w:asciiTheme="minorHAnsi" w:hAnsiTheme="minorHAnsi"/>
        </w:rPr>
        <w:t xml:space="preserve">requires the student to participate in one or more mandatory placements that ordinarily involves the student’s participation for </w:t>
      </w:r>
      <w:r w:rsidR="00680488">
        <w:rPr>
          <w:rFonts w:asciiTheme="minorHAnsi" w:hAnsiTheme="minorHAnsi"/>
        </w:rPr>
        <w:t xml:space="preserve">an average of </w:t>
      </w:r>
      <w:r w:rsidRPr="367BCE8E">
        <w:rPr>
          <w:rFonts w:asciiTheme="minorHAnsi" w:hAnsiTheme="minorHAnsi"/>
        </w:rPr>
        <w:t xml:space="preserve">30 hours </w:t>
      </w:r>
      <w:r w:rsidR="00C022C3">
        <w:rPr>
          <w:rFonts w:asciiTheme="minorHAnsi" w:hAnsiTheme="minorHAnsi"/>
        </w:rPr>
        <w:t xml:space="preserve">or more </w:t>
      </w:r>
      <w:r w:rsidRPr="367BCE8E">
        <w:rPr>
          <w:rFonts w:asciiTheme="minorHAnsi" w:hAnsiTheme="minorHAnsi"/>
        </w:rPr>
        <w:t>per week</w:t>
      </w:r>
      <w:r w:rsidR="00680488">
        <w:rPr>
          <w:rFonts w:asciiTheme="minorHAnsi" w:hAnsiTheme="minorHAnsi"/>
        </w:rPr>
        <w:t xml:space="preserve"> </w:t>
      </w:r>
      <w:r w:rsidR="0044314F">
        <w:rPr>
          <w:rFonts w:asciiTheme="minorHAnsi" w:hAnsiTheme="minorHAnsi"/>
        </w:rPr>
        <w:t xml:space="preserve">for the duration </w:t>
      </w:r>
      <w:r w:rsidR="00680488">
        <w:rPr>
          <w:rFonts w:asciiTheme="minorHAnsi" w:hAnsiTheme="minorHAnsi"/>
        </w:rPr>
        <w:t>of the mandatory placement</w:t>
      </w:r>
      <w:r w:rsidRPr="367BCE8E">
        <w:rPr>
          <w:rFonts w:asciiTheme="minorHAnsi" w:hAnsiTheme="minorHAnsi"/>
        </w:rPr>
        <w:t>, or</w:t>
      </w:r>
      <w:r w:rsidR="0DDDC6E2" w:rsidRPr="367BCE8E">
        <w:rPr>
          <w:rFonts w:asciiTheme="minorHAnsi" w:hAnsiTheme="minorHAnsi"/>
        </w:rPr>
        <w:t>,</w:t>
      </w:r>
      <w:r w:rsidRPr="367BCE8E">
        <w:rPr>
          <w:rFonts w:asciiTheme="minorHAnsi" w:hAnsiTheme="minorHAnsi"/>
        </w:rPr>
        <w:t xml:space="preserve"> for a mandatory placement for a course of study in midwifery known as a continuity of care placement</w:t>
      </w:r>
      <w:r w:rsidR="526A3704" w:rsidRPr="367BCE8E">
        <w:rPr>
          <w:rFonts w:asciiTheme="minorHAnsi" w:hAnsiTheme="minorHAnsi"/>
        </w:rPr>
        <w:t>, that</w:t>
      </w:r>
      <w:r w:rsidRPr="367BCE8E">
        <w:rPr>
          <w:rFonts w:asciiTheme="minorHAnsi" w:hAnsiTheme="minorHAnsi"/>
        </w:rPr>
        <w:t xml:space="preserve"> prevents the student from being able to </w:t>
      </w:r>
      <w:r w:rsidRPr="367BCE8E">
        <w:rPr>
          <w:rFonts w:asciiTheme="minorHAnsi" w:hAnsiTheme="minorHAnsi"/>
        </w:rPr>
        <w:lastRenderedPageBreak/>
        <w:t>maintain paid work due to the need to ensure their availability during the placement.</w:t>
      </w:r>
    </w:p>
    <w:p w14:paraId="6BC7ED39" w14:textId="3FB7BF8C" w:rsidR="00C548FA" w:rsidRPr="0042041D" w:rsidRDefault="6EBCE56F" w:rsidP="367BCE8E">
      <w:pPr>
        <w:spacing w:before="360" w:after="120"/>
        <w:rPr>
          <w:rFonts w:asciiTheme="minorHAnsi" w:hAnsiTheme="minorHAnsi"/>
          <w:b/>
          <w:bCs/>
        </w:rPr>
      </w:pPr>
      <w:r w:rsidRPr="367BCE8E">
        <w:rPr>
          <w:rFonts w:asciiTheme="minorHAnsi" w:hAnsiTheme="minorHAnsi"/>
          <w:b/>
          <w:bCs/>
        </w:rPr>
        <w:t>Section 82</w:t>
      </w:r>
    </w:p>
    <w:p w14:paraId="1FD894AA" w14:textId="5E11AEC6" w:rsidR="00B15556" w:rsidRDefault="3ABEBFCD" w:rsidP="367BCE8E">
      <w:pPr>
        <w:numPr>
          <w:ilvl w:val="0"/>
          <w:numId w:val="1"/>
        </w:numPr>
        <w:spacing w:before="360" w:after="0"/>
        <w:rPr>
          <w:rFonts w:asciiTheme="minorHAnsi" w:hAnsiTheme="minorHAnsi"/>
        </w:rPr>
      </w:pPr>
      <w:r w:rsidRPr="367BCE8E">
        <w:rPr>
          <w:rFonts w:asciiTheme="minorHAnsi" w:hAnsiTheme="minorHAnsi"/>
        </w:rPr>
        <w:t>N</w:t>
      </w:r>
      <w:r w:rsidR="50D75B77" w:rsidRPr="367BCE8E">
        <w:rPr>
          <w:rFonts w:asciiTheme="minorHAnsi" w:hAnsiTheme="minorHAnsi"/>
        </w:rPr>
        <w:t xml:space="preserve">ew section 82 </w:t>
      </w:r>
      <w:r w:rsidRPr="367BCE8E">
        <w:rPr>
          <w:rFonts w:asciiTheme="minorHAnsi" w:hAnsiTheme="minorHAnsi"/>
        </w:rPr>
        <w:t xml:space="preserve">provides </w:t>
      </w:r>
      <w:r w:rsidR="4A459E95" w:rsidRPr="367BCE8E">
        <w:rPr>
          <w:rFonts w:asciiTheme="minorHAnsi" w:hAnsiTheme="minorHAnsi"/>
        </w:rPr>
        <w:t xml:space="preserve">that </w:t>
      </w:r>
      <w:r w:rsidR="66FACD23" w:rsidRPr="367BCE8E">
        <w:rPr>
          <w:rFonts w:asciiTheme="minorHAnsi" w:hAnsiTheme="minorHAnsi"/>
        </w:rPr>
        <w:t xml:space="preserve">a grant </w:t>
      </w:r>
      <w:r w:rsidRPr="367BCE8E">
        <w:rPr>
          <w:rFonts w:asciiTheme="minorHAnsi" w:hAnsiTheme="minorHAnsi"/>
        </w:rPr>
        <w:t xml:space="preserve">made </w:t>
      </w:r>
      <w:r w:rsidR="07A5BF39" w:rsidRPr="367BCE8E">
        <w:rPr>
          <w:rFonts w:asciiTheme="minorHAnsi" w:hAnsiTheme="minorHAnsi"/>
        </w:rPr>
        <w:t xml:space="preserve">to a higher education provider </w:t>
      </w:r>
      <w:r w:rsidRPr="367BCE8E">
        <w:rPr>
          <w:rFonts w:asciiTheme="minorHAnsi" w:hAnsiTheme="minorHAnsi"/>
        </w:rPr>
        <w:t>under the CPP</w:t>
      </w:r>
      <w:r w:rsidR="4A459E95" w:rsidRPr="367BCE8E">
        <w:rPr>
          <w:rFonts w:asciiTheme="minorHAnsi" w:hAnsiTheme="minorHAnsi"/>
        </w:rPr>
        <w:t xml:space="preserve"> </w:t>
      </w:r>
      <w:r w:rsidR="07A5BF39" w:rsidRPr="367BCE8E">
        <w:rPr>
          <w:rFonts w:asciiTheme="minorHAnsi" w:hAnsiTheme="minorHAnsi"/>
        </w:rPr>
        <w:t>is</w:t>
      </w:r>
      <w:r w:rsidR="4A459E95" w:rsidRPr="367BCE8E">
        <w:rPr>
          <w:rFonts w:asciiTheme="minorHAnsi" w:hAnsiTheme="minorHAnsi"/>
        </w:rPr>
        <w:t xml:space="preserve"> made in respect of a year</w:t>
      </w:r>
      <w:r w:rsidR="0EB1EF0E" w:rsidRPr="367BCE8E">
        <w:rPr>
          <w:rFonts w:asciiTheme="minorHAnsi" w:hAnsiTheme="minorHAnsi"/>
        </w:rPr>
        <w:t>.</w:t>
      </w:r>
      <w:r w:rsidR="690E3EB0" w:rsidRPr="367BCE8E">
        <w:rPr>
          <w:rFonts w:asciiTheme="minorHAnsi" w:hAnsiTheme="minorHAnsi"/>
        </w:rPr>
        <w:t xml:space="preserve"> </w:t>
      </w:r>
    </w:p>
    <w:p w14:paraId="19BBCB51" w14:textId="7B13F666" w:rsidR="00C548FA" w:rsidRPr="0042041D" w:rsidRDefault="6EBCE56F" w:rsidP="367BCE8E">
      <w:pPr>
        <w:spacing w:before="360" w:after="120"/>
        <w:rPr>
          <w:rFonts w:asciiTheme="minorHAnsi" w:hAnsiTheme="minorHAnsi"/>
          <w:b/>
          <w:bCs/>
        </w:rPr>
      </w:pPr>
      <w:r w:rsidRPr="367BCE8E">
        <w:rPr>
          <w:rFonts w:asciiTheme="minorHAnsi" w:hAnsiTheme="minorHAnsi"/>
          <w:b/>
          <w:bCs/>
        </w:rPr>
        <w:t>Section 83</w:t>
      </w:r>
    </w:p>
    <w:p w14:paraId="45060A5D" w14:textId="77777777" w:rsidR="00EA189B" w:rsidRDefault="3ABEBFCD" w:rsidP="00EA189B">
      <w:pPr>
        <w:pStyle w:val="ListParagraph"/>
        <w:numPr>
          <w:ilvl w:val="0"/>
          <w:numId w:val="1"/>
        </w:numPr>
        <w:spacing w:before="360" w:after="120"/>
        <w:rPr>
          <w:rFonts w:asciiTheme="minorHAnsi" w:hAnsiTheme="minorHAnsi"/>
        </w:rPr>
      </w:pPr>
      <w:r w:rsidRPr="00EA189B">
        <w:rPr>
          <w:rFonts w:asciiTheme="minorHAnsi" w:hAnsiTheme="minorHAnsi"/>
        </w:rPr>
        <w:t>N</w:t>
      </w:r>
      <w:r w:rsidR="7BFF710E" w:rsidRPr="00EA189B">
        <w:rPr>
          <w:rFonts w:asciiTheme="minorHAnsi" w:hAnsiTheme="minorHAnsi"/>
        </w:rPr>
        <w:t xml:space="preserve">ew section 83 </w:t>
      </w:r>
      <w:r w:rsidR="5786CED0" w:rsidRPr="00EA189B">
        <w:rPr>
          <w:rFonts w:asciiTheme="minorHAnsi" w:hAnsiTheme="minorHAnsi"/>
        </w:rPr>
        <w:t xml:space="preserve">specifies </w:t>
      </w:r>
      <w:r w:rsidR="07A5BF39" w:rsidRPr="00EA189B">
        <w:rPr>
          <w:rFonts w:asciiTheme="minorHAnsi" w:hAnsiTheme="minorHAnsi"/>
        </w:rPr>
        <w:t>the</w:t>
      </w:r>
      <w:r w:rsidR="5786CED0" w:rsidRPr="00EA189B">
        <w:rPr>
          <w:rFonts w:asciiTheme="minorHAnsi" w:hAnsiTheme="minorHAnsi"/>
        </w:rPr>
        <w:t xml:space="preserve"> method by which the amount of </w:t>
      </w:r>
      <w:r w:rsidR="07A5BF39" w:rsidRPr="00EA189B">
        <w:rPr>
          <w:rFonts w:asciiTheme="minorHAnsi" w:hAnsiTheme="minorHAnsi"/>
        </w:rPr>
        <w:t xml:space="preserve">a </w:t>
      </w:r>
      <w:r w:rsidR="5786CED0" w:rsidRPr="00EA189B">
        <w:rPr>
          <w:rFonts w:asciiTheme="minorHAnsi" w:hAnsiTheme="minorHAnsi"/>
        </w:rPr>
        <w:t xml:space="preserve">grant under the CPP </w:t>
      </w:r>
      <w:r w:rsidR="07A5BF39" w:rsidRPr="00EA189B">
        <w:rPr>
          <w:rFonts w:asciiTheme="minorHAnsi" w:hAnsiTheme="minorHAnsi"/>
        </w:rPr>
        <w:t>is</w:t>
      </w:r>
      <w:r w:rsidR="5786CED0" w:rsidRPr="00EA189B">
        <w:rPr>
          <w:rFonts w:asciiTheme="minorHAnsi" w:hAnsiTheme="minorHAnsi"/>
        </w:rPr>
        <w:t xml:space="preserve"> to be determined.</w:t>
      </w:r>
    </w:p>
    <w:p w14:paraId="70CB326F" w14:textId="45C22B5B" w:rsidR="00441E41" w:rsidRPr="00EA189B" w:rsidRDefault="5786CED0" w:rsidP="00EA189B">
      <w:pPr>
        <w:pStyle w:val="ListParagraph"/>
        <w:numPr>
          <w:ilvl w:val="0"/>
          <w:numId w:val="1"/>
        </w:numPr>
        <w:spacing w:before="360" w:after="120"/>
        <w:rPr>
          <w:rFonts w:asciiTheme="minorHAnsi" w:hAnsiTheme="minorHAnsi"/>
        </w:rPr>
      </w:pPr>
      <w:r w:rsidRPr="00EA189B">
        <w:rPr>
          <w:rFonts w:asciiTheme="minorHAnsi" w:hAnsiTheme="minorHAnsi"/>
        </w:rPr>
        <w:t xml:space="preserve">New subsection 83(1) </w:t>
      </w:r>
      <w:r w:rsidR="0ECD9B54" w:rsidRPr="00EA189B">
        <w:rPr>
          <w:rFonts w:asciiTheme="minorHAnsi" w:hAnsiTheme="minorHAnsi"/>
        </w:rPr>
        <w:t>provides</w:t>
      </w:r>
      <w:r w:rsidR="33BF5CF4" w:rsidRPr="00EA189B">
        <w:rPr>
          <w:rFonts w:asciiTheme="minorHAnsi" w:hAnsiTheme="minorHAnsi"/>
        </w:rPr>
        <w:t xml:space="preserve"> that, subject to subsection 83(3), the amount of a grant for a higher education provider for a year is the sum of the student </w:t>
      </w:r>
      <w:proofErr w:type="spellStart"/>
      <w:r w:rsidR="33BF5CF4" w:rsidRPr="00EA189B">
        <w:rPr>
          <w:rFonts w:asciiTheme="minorHAnsi" w:hAnsiTheme="minorHAnsi"/>
        </w:rPr>
        <w:t>prac</w:t>
      </w:r>
      <w:proofErr w:type="spellEnd"/>
      <w:r w:rsidR="33BF5CF4" w:rsidRPr="00EA189B">
        <w:rPr>
          <w:rFonts w:asciiTheme="minorHAnsi" w:hAnsiTheme="minorHAnsi"/>
        </w:rPr>
        <w:t xml:space="preserve"> payments amount (as worked out under subsection 83(2)) for the provider for </w:t>
      </w:r>
      <w:r w:rsidR="2DBC769D" w:rsidRPr="00EA189B">
        <w:rPr>
          <w:rFonts w:asciiTheme="minorHAnsi" w:hAnsiTheme="minorHAnsi"/>
        </w:rPr>
        <w:t>the</w:t>
      </w:r>
      <w:r w:rsidR="33BF5CF4" w:rsidRPr="00EA189B">
        <w:rPr>
          <w:rFonts w:asciiTheme="minorHAnsi" w:hAnsiTheme="minorHAnsi"/>
        </w:rPr>
        <w:t xml:space="preserve"> year, and the amount of the administrative component (as worked under subsection 83(4)) for the provider for the year.</w:t>
      </w:r>
    </w:p>
    <w:p w14:paraId="3D483186" w14:textId="546AD893" w:rsidR="004D01AE" w:rsidRPr="00A54980" w:rsidRDefault="004D01AE" w:rsidP="00EA189B">
      <w:pPr>
        <w:pStyle w:val="ListParagraph"/>
        <w:numPr>
          <w:ilvl w:val="0"/>
          <w:numId w:val="1"/>
        </w:numPr>
        <w:spacing w:before="360" w:after="120"/>
        <w:rPr>
          <w:rFonts w:asciiTheme="minorHAnsi" w:hAnsiTheme="minorHAnsi"/>
        </w:rPr>
      </w:pPr>
      <w:r w:rsidRPr="7BC75282">
        <w:rPr>
          <w:rFonts w:asciiTheme="minorHAnsi" w:hAnsiTheme="minorHAnsi"/>
        </w:rPr>
        <w:t xml:space="preserve">The note </w:t>
      </w:r>
      <w:r w:rsidR="00AD5965" w:rsidRPr="7BC75282">
        <w:rPr>
          <w:rFonts w:asciiTheme="minorHAnsi" w:hAnsiTheme="minorHAnsi"/>
        </w:rPr>
        <w:t>under</w:t>
      </w:r>
      <w:r w:rsidRPr="7BC75282">
        <w:rPr>
          <w:rFonts w:asciiTheme="minorHAnsi" w:hAnsiTheme="minorHAnsi"/>
        </w:rPr>
        <w:t xml:space="preserve"> </w:t>
      </w:r>
      <w:r w:rsidR="00B66610" w:rsidRPr="7BC75282">
        <w:rPr>
          <w:rFonts w:asciiTheme="minorHAnsi" w:hAnsiTheme="minorHAnsi"/>
        </w:rPr>
        <w:t>subsection 83(1)</w:t>
      </w:r>
      <w:r w:rsidR="00020085" w:rsidRPr="7BC75282">
        <w:rPr>
          <w:rFonts w:asciiTheme="minorHAnsi" w:hAnsiTheme="minorHAnsi"/>
        </w:rPr>
        <w:t xml:space="preserve"> clarifies that subsection 83(3) reduces </w:t>
      </w:r>
      <w:r w:rsidR="004379DA" w:rsidRPr="7BC75282">
        <w:rPr>
          <w:rFonts w:asciiTheme="minorHAnsi" w:hAnsiTheme="minorHAnsi"/>
        </w:rPr>
        <w:t>the amount of a grant to</w:t>
      </w:r>
      <w:r w:rsidR="00811A1A" w:rsidRPr="7BC75282">
        <w:rPr>
          <w:rFonts w:asciiTheme="minorHAnsi" w:hAnsiTheme="minorHAnsi"/>
        </w:rPr>
        <w:t xml:space="preserve"> a</w:t>
      </w:r>
      <w:r w:rsidR="004379DA" w:rsidRPr="7BC75282">
        <w:rPr>
          <w:rFonts w:asciiTheme="minorHAnsi" w:hAnsiTheme="minorHAnsi"/>
        </w:rPr>
        <w:t xml:space="preserve"> provider</w:t>
      </w:r>
      <w:r w:rsidR="00CE2300" w:rsidRPr="7BC75282">
        <w:rPr>
          <w:rFonts w:asciiTheme="minorHAnsi" w:hAnsiTheme="minorHAnsi"/>
        </w:rPr>
        <w:t xml:space="preserve"> f</w:t>
      </w:r>
      <w:r w:rsidR="000C1382" w:rsidRPr="7BC75282">
        <w:rPr>
          <w:rFonts w:asciiTheme="minorHAnsi" w:hAnsiTheme="minorHAnsi"/>
        </w:rPr>
        <w:t>or a year</w:t>
      </w:r>
      <w:r w:rsidR="002404C8" w:rsidRPr="7BC75282">
        <w:rPr>
          <w:rFonts w:asciiTheme="minorHAnsi" w:hAnsiTheme="minorHAnsi"/>
        </w:rPr>
        <w:t xml:space="preserve"> </w:t>
      </w:r>
      <w:r w:rsidR="004379DA" w:rsidRPr="7BC75282">
        <w:rPr>
          <w:rFonts w:asciiTheme="minorHAnsi" w:hAnsiTheme="minorHAnsi"/>
        </w:rPr>
        <w:t>if the provider does not make payment</w:t>
      </w:r>
      <w:r w:rsidR="00C846BC" w:rsidRPr="7BC75282">
        <w:rPr>
          <w:rFonts w:asciiTheme="minorHAnsi" w:hAnsiTheme="minorHAnsi"/>
        </w:rPr>
        <w:t>s</w:t>
      </w:r>
      <w:r w:rsidR="004379DA" w:rsidRPr="7BC75282">
        <w:rPr>
          <w:rFonts w:asciiTheme="minorHAnsi" w:hAnsiTheme="minorHAnsi"/>
        </w:rPr>
        <w:t xml:space="preserve"> to its eligible </w:t>
      </w:r>
      <w:proofErr w:type="spellStart"/>
      <w:r w:rsidR="004379DA" w:rsidRPr="7BC75282">
        <w:rPr>
          <w:rFonts w:asciiTheme="minorHAnsi" w:hAnsiTheme="minorHAnsi"/>
        </w:rPr>
        <w:t>prac</w:t>
      </w:r>
      <w:proofErr w:type="spellEnd"/>
      <w:r w:rsidR="004379DA" w:rsidRPr="7BC75282">
        <w:rPr>
          <w:rFonts w:asciiTheme="minorHAnsi" w:hAnsiTheme="minorHAnsi"/>
        </w:rPr>
        <w:t xml:space="preserve"> students for the year </w:t>
      </w:r>
      <w:r w:rsidR="00AF10B0" w:rsidRPr="7BC75282">
        <w:rPr>
          <w:rFonts w:asciiTheme="minorHAnsi" w:hAnsiTheme="minorHAnsi"/>
        </w:rPr>
        <w:t xml:space="preserve">of an amount at least equal to the student </w:t>
      </w:r>
      <w:proofErr w:type="spellStart"/>
      <w:r w:rsidR="00AF10B0" w:rsidRPr="7BC75282">
        <w:rPr>
          <w:rFonts w:asciiTheme="minorHAnsi" w:hAnsiTheme="minorHAnsi"/>
        </w:rPr>
        <w:t>prac</w:t>
      </w:r>
      <w:proofErr w:type="spellEnd"/>
      <w:r w:rsidR="00AF10B0" w:rsidRPr="7BC75282">
        <w:rPr>
          <w:rFonts w:asciiTheme="minorHAnsi" w:hAnsiTheme="minorHAnsi"/>
        </w:rPr>
        <w:t xml:space="preserve"> payments amount for the provider for that year.</w:t>
      </w:r>
    </w:p>
    <w:p w14:paraId="3E1AD29C" w14:textId="75A0C15D" w:rsidR="00996774" w:rsidRPr="00A54980" w:rsidRDefault="28063500" w:rsidP="00EA189B">
      <w:pPr>
        <w:pStyle w:val="ListParagraph"/>
        <w:numPr>
          <w:ilvl w:val="0"/>
          <w:numId w:val="1"/>
        </w:numPr>
        <w:spacing w:after="120"/>
        <w:ind w:left="714" w:hanging="357"/>
        <w:rPr>
          <w:rFonts w:asciiTheme="minorHAnsi" w:hAnsiTheme="minorHAnsi"/>
        </w:rPr>
      </w:pPr>
      <w:r w:rsidRPr="7BC75282">
        <w:rPr>
          <w:rFonts w:asciiTheme="minorHAnsi" w:hAnsiTheme="minorHAnsi"/>
        </w:rPr>
        <w:t xml:space="preserve">New subsection 83(2) provides that the ‘student </w:t>
      </w:r>
      <w:proofErr w:type="spellStart"/>
      <w:r w:rsidRPr="7BC75282">
        <w:rPr>
          <w:rFonts w:asciiTheme="minorHAnsi" w:hAnsiTheme="minorHAnsi"/>
        </w:rPr>
        <w:t>prac</w:t>
      </w:r>
      <w:proofErr w:type="spellEnd"/>
      <w:r w:rsidRPr="7BC75282">
        <w:rPr>
          <w:rFonts w:asciiTheme="minorHAnsi" w:hAnsiTheme="minorHAnsi"/>
        </w:rPr>
        <w:t xml:space="preserve"> payment amount’ for the provider for the year is the sum of the midwifery (clinical placement)</w:t>
      </w:r>
      <w:r w:rsidR="33BF5CF4" w:rsidRPr="7BC75282">
        <w:rPr>
          <w:rFonts w:asciiTheme="minorHAnsi" w:hAnsiTheme="minorHAnsi"/>
        </w:rPr>
        <w:t xml:space="preserve"> component</w:t>
      </w:r>
      <w:r w:rsidRPr="7BC75282">
        <w:rPr>
          <w:rFonts w:asciiTheme="minorHAnsi" w:hAnsiTheme="minorHAnsi"/>
        </w:rPr>
        <w:t>, midwifery (continuity of care)</w:t>
      </w:r>
      <w:r w:rsidR="33BF5CF4" w:rsidRPr="7BC75282">
        <w:rPr>
          <w:rFonts w:asciiTheme="minorHAnsi" w:hAnsiTheme="minorHAnsi"/>
        </w:rPr>
        <w:t xml:space="preserve"> component</w:t>
      </w:r>
      <w:r w:rsidRPr="7BC75282">
        <w:rPr>
          <w:rFonts w:asciiTheme="minorHAnsi" w:hAnsiTheme="minorHAnsi"/>
        </w:rPr>
        <w:t>, nursing</w:t>
      </w:r>
      <w:r w:rsidR="33BF5CF4" w:rsidRPr="7BC75282">
        <w:rPr>
          <w:rFonts w:asciiTheme="minorHAnsi" w:hAnsiTheme="minorHAnsi"/>
        </w:rPr>
        <w:t xml:space="preserve"> component</w:t>
      </w:r>
      <w:r w:rsidRPr="7BC75282">
        <w:rPr>
          <w:rFonts w:asciiTheme="minorHAnsi" w:hAnsiTheme="minorHAnsi"/>
        </w:rPr>
        <w:t>, social work</w:t>
      </w:r>
      <w:r w:rsidR="33BF5CF4" w:rsidRPr="7BC75282">
        <w:rPr>
          <w:rFonts w:asciiTheme="minorHAnsi" w:hAnsiTheme="minorHAnsi"/>
        </w:rPr>
        <w:t xml:space="preserve"> component</w:t>
      </w:r>
      <w:r w:rsidR="00F14C23" w:rsidRPr="7BC75282">
        <w:rPr>
          <w:rFonts w:asciiTheme="minorHAnsi" w:hAnsiTheme="minorHAnsi"/>
        </w:rPr>
        <w:t>,</w:t>
      </w:r>
      <w:r w:rsidRPr="7BC75282">
        <w:rPr>
          <w:rFonts w:asciiTheme="minorHAnsi" w:hAnsiTheme="minorHAnsi"/>
        </w:rPr>
        <w:t xml:space="preserve"> teaching </w:t>
      </w:r>
      <w:r w:rsidR="00F14C23" w:rsidRPr="7BC75282">
        <w:rPr>
          <w:rFonts w:asciiTheme="minorHAnsi" w:hAnsiTheme="minorHAnsi"/>
        </w:rPr>
        <w:t>(</w:t>
      </w:r>
      <w:r w:rsidR="00CF6651" w:rsidRPr="7BC75282">
        <w:rPr>
          <w:rFonts w:asciiTheme="minorHAnsi" w:hAnsiTheme="minorHAnsi"/>
        </w:rPr>
        <w:t>b</w:t>
      </w:r>
      <w:r w:rsidR="00F14C23" w:rsidRPr="7BC75282">
        <w:rPr>
          <w:rFonts w:asciiTheme="minorHAnsi" w:hAnsiTheme="minorHAnsi"/>
        </w:rPr>
        <w:t xml:space="preserve">achelor) </w:t>
      </w:r>
      <w:r w:rsidR="33BF5CF4" w:rsidRPr="7BC75282">
        <w:rPr>
          <w:rFonts w:asciiTheme="minorHAnsi" w:hAnsiTheme="minorHAnsi"/>
        </w:rPr>
        <w:t>component</w:t>
      </w:r>
      <w:r w:rsidR="00F14C23" w:rsidRPr="7BC75282">
        <w:rPr>
          <w:rFonts w:asciiTheme="minorHAnsi" w:hAnsiTheme="minorHAnsi"/>
        </w:rPr>
        <w:t xml:space="preserve"> </w:t>
      </w:r>
      <w:r w:rsidR="00CF6651" w:rsidRPr="7BC75282">
        <w:rPr>
          <w:rFonts w:asciiTheme="minorHAnsi" w:hAnsiTheme="minorHAnsi"/>
        </w:rPr>
        <w:t xml:space="preserve">and </w:t>
      </w:r>
      <w:r w:rsidR="00F14C23" w:rsidRPr="7BC75282">
        <w:rPr>
          <w:rFonts w:asciiTheme="minorHAnsi" w:hAnsiTheme="minorHAnsi"/>
        </w:rPr>
        <w:t>teaching (master’s) component</w:t>
      </w:r>
      <w:r w:rsidR="33BF5CF4" w:rsidRPr="7BC75282">
        <w:rPr>
          <w:rFonts w:asciiTheme="minorHAnsi" w:hAnsiTheme="minorHAnsi"/>
        </w:rPr>
        <w:t xml:space="preserve">, worked out in </w:t>
      </w:r>
      <w:r w:rsidR="447FF4A5" w:rsidRPr="7BC75282">
        <w:rPr>
          <w:rFonts w:asciiTheme="minorHAnsi" w:hAnsiTheme="minorHAnsi"/>
        </w:rPr>
        <w:t xml:space="preserve">accordance with </w:t>
      </w:r>
      <w:r w:rsidR="33BF5CF4" w:rsidRPr="7BC75282">
        <w:rPr>
          <w:rFonts w:asciiTheme="minorHAnsi" w:hAnsiTheme="minorHAnsi"/>
        </w:rPr>
        <w:t>subsections 83(5) to (</w:t>
      </w:r>
      <w:r w:rsidR="00F301F9" w:rsidRPr="7BC75282">
        <w:rPr>
          <w:rFonts w:asciiTheme="minorHAnsi" w:hAnsiTheme="minorHAnsi"/>
        </w:rPr>
        <w:t>10</w:t>
      </w:r>
      <w:r w:rsidR="33BF5CF4" w:rsidRPr="7BC75282">
        <w:rPr>
          <w:rFonts w:asciiTheme="minorHAnsi" w:hAnsiTheme="minorHAnsi"/>
        </w:rPr>
        <w:t>)</w:t>
      </w:r>
      <w:r w:rsidRPr="7BC75282">
        <w:rPr>
          <w:rFonts w:asciiTheme="minorHAnsi" w:hAnsiTheme="minorHAnsi"/>
        </w:rPr>
        <w:t>.</w:t>
      </w:r>
    </w:p>
    <w:p w14:paraId="2CB989BD" w14:textId="10978389" w:rsidR="00D04142" w:rsidRPr="00A54980" w:rsidRDefault="262E8CA3"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 xml:space="preserve">New subsection 83(3) provides </w:t>
      </w:r>
      <w:r w:rsidR="33BF5CF4" w:rsidRPr="7BC75282">
        <w:rPr>
          <w:rFonts w:asciiTheme="minorHAnsi" w:hAnsiTheme="minorHAnsi"/>
        </w:rPr>
        <w:t xml:space="preserve">that, for the purpose of working out the amount of grants under the CPP under subsection 83(1), if the total amount of payments that the higher education provider pays to eligible </w:t>
      </w:r>
      <w:proofErr w:type="spellStart"/>
      <w:r w:rsidR="33BF5CF4" w:rsidRPr="7BC75282">
        <w:rPr>
          <w:rFonts w:asciiTheme="minorHAnsi" w:hAnsiTheme="minorHAnsi"/>
        </w:rPr>
        <w:t>prac</w:t>
      </w:r>
      <w:proofErr w:type="spellEnd"/>
      <w:r w:rsidR="33BF5CF4" w:rsidRPr="7BC75282">
        <w:rPr>
          <w:rFonts w:asciiTheme="minorHAnsi" w:hAnsiTheme="minorHAnsi"/>
        </w:rPr>
        <w:t xml:space="preserve"> students under subsection 86(3)</w:t>
      </w:r>
      <w:r w:rsidR="648DD708" w:rsidRPr="7BC75282">
        <w:rPr>
          <w:rFonts w:asciiTheme="minorHAnsi" w:hAnsiTheme="minorHAnsi"/>
        </w:rPr>
        <w:t xml:space="preserve"> and (</w:t>
      </w:r>
      <w:r w:rsidR="004B3D01" w:rsidRPr="7BC75282">
        <w:rPr>
          <w:rFonts w:asciiTheme="minorHAnsi" w:hAnsiTheme="minorHAnsi"/>
        </w:rPr>
        <w:t>5</w:t>
      </w:r>
      <w:r w:rsidR="648DD708" w:rsidRPr="7BC75282">
        <w:rPr>
          <w:rFonts w:asciiTheme="minorHAnsi" w:hAnsiTheme="minorHAnsi"/>
        </w:rPr>
        <w:t>)</w:t>
      </w:r>
      <w:r w:rsidR="33BF5CF4" w:rsidRPr="7BC75282">
        <w:rPr>
          <w:rFonts w:asciiTheme="minorHAnsi" w:hAnsiTheme="minorHAnsi"/>
        </w:rPr>
        <w:t xml:space="preserve"> is less than the student </w:t>
      </w:r>
      <w:proofErr w:type="spellStart"/>
      <w:r w:rsidR="33BF5CF4" w:rsidRPr="7BC75282">
        <w:rPr>
          <w:rFonts w:asciiTheme="minorHAnsi" w:hAnsiTheme="minorHAnsi"/>
        </w:rPr>
        <w:t>prac</w:t>
      </w:r>
      <w:proofErr w:type="spellEnd"/>
      <w:r w:rsidR="33BF5CF4" w:rsidRPr="7BC75282">
        <w:rPr>
          <w:rFonts w:asciiTheme="minorHAnsi" w:hAnsiTheme="minorHAnsi"/>
        </w:rPr>
        <w:t xml:space="preserve"> payments amount for a year, the amount of the grant for the provider for the year is reduced by an amount equal to the difference between the student </w:t>
      </w:r>
      <w:proofErr w:type="spellStart"/>
      <w:r w:rsidR="33BF5CF4" w:rsidRPr="7BC75282">
        <w:rPr>
          <w:rFonts w:asciiTheme="minorHAnsi" w:hAnsiTheme="minorHAnsi"/>
        </w:rPr>
        <w:t>prac</w:t>
      </w:r>
      <w:proofErr w:type="spellEnd"/>
      <w:r w:rsidR="33BF5CF4" w:rsidRPr="7BC75282">
        <w:rPr>
          <w:rFonts w:asciiTheme="minorHAnsi" w:hAnsiTheme="minorHAnsi"/>
        </w:rPr>
        <w:t xml:space="preserve"> payments amount and the amount the provider has paid to students under subsection 86(3)</w:t>
      </w:r>
      <w:r w:rsidR="28C2607C" w:rsidRPr="7BC75282">
        <w:rPr>
          <w:rFonts w:asciiTheme="minorHAnsi" w:hAnsiTheme="minorHAnsi"/>
        </w:rPr>
        <w:t xml:space="preserve"> and (</w:t>
      </w:r>
      <w:r w:rsidR="004B3D01" w:rsidRPr="7BC75282">
        <w:rPr>
          <w:rFonts w:asciiTheme="minorHAnsi" w:hAnsiTheme="minorHAnsi"/>
        </w:rPr>
        <w:t>5</w:t>
      </w:r>
      <w:r w:rsidR="28C2607C" w:rsidRPr="7BC75282">
        <w:rPr>
          <w:rFonts w:asciiTheme="minorHAnsi" w:hAnsiTheme="minorHAnsi"/>
        </w:rPr>
        <w:t>)</w:t>
      </w:r>
      <w:r w:rsidR="33BF5CF4" w:rsidRPr="7BC75282">
        <w:rPr>
          <w:rFonts w:asciiTheme="minorHAnsi" w:hAnsiTheme="minorHAnsi"/>
        </w:rPr>
        <w:t xml:space="preserve">, multiplied by 1.05. </w:t>
      </w:r>
      <w:r w:rsidR="083D7681" w:rsidRPr="7BC75282">
        <w:rPr>
          <w:rFonts w:asciiTheme="minorHAnsi" w:hAnsiTheme="minorHAnsi"/>
        </w:rPr>
        <w:t xml:space="preserve">This reflects that the method by which the amount of grants to higher education providers for the CPP is determined is based on the payments that the provider </w:t>
      </w:r>
      <w:proofErr w:type="gramStart"/>
      <w:r w:rsidR="083D7681" w:rsidRPr="7BC75282">
        <w:rPr>
          <w:rFonts w:asciiTheme="minorHAnsi" w:hAnsiTheme="minorHAnsi"/>
        </w:rPr>
        <w:t>actually makes</w:t>
      </w:r>
      <w:proofErr w:type="gramEnd"/>
      <w:r w:rsidR="083D7681" w:rsidRPr="7BC75282">
        <w:rPr>
          <w:rFonts w:asciiTheme="minorHAnsi" w:hAnsiTheme="minorHAnsi"/>
        </w:rPr>
        <w:t xml:space="preserve"> to eligible </w:t>
      </w:r>
      <w:proofErr w:type="spellStart"/>
      <w:r w:rsidR="083D7681" w:rsidRPr="7BC75282">
        <w:rPr>
          <w:rFonts w:asciiTheme="minorHAnsi" w:hAnsiTheme="minorHAnsi"/>
        </w:rPr>
        <w:t>prac</w:t>
      </w:r>
      <w:proofErr w:type="spellEnd"/>
      <w:r w:rsidR="083D7681" w:rsidRPr="7BC75282">
        <w:rPr>
          <w:rFonts w:asciiTheme="minorHAnsi" w:hAnsiTheme="minorHAnsi"/>
        </w:rPr>
        <w:t xml:space="preserve"> students under subsection</w:t>
      </w:r>
      <w:r w:rsidR="00C17548" w:rsidRPr="7BC75282">
        <w:rPr>
          <w:rFonts w:asciiTheme="minorHAnsi" w:hAnsiTheme="minorHAnsi"/>
        </w:rPr>
        <w:t>s</w:t>
      </w:r>
      <w:r w:rsidR="083D7681" w:rsidRPr="7BC75282">
        <w:rPr>
          <w:rFonts w:asciiTheme="minorHAnsi" w:hAnsiTheme="minorHAnsi"/>
        </w:rPr>
        <w:t xml:space="preserve"> 86(3)</w:t>
      </w:r>
      <w:r w:rsidR="00C17548" w:rsidRPr="7BC75282">
        <w:rPr>
          <w:rFonts w:asciiTheme="minorHAnsi" w:hAnsiTheme="minorHAnsi"/>
        </w:rPr>
        <w:t xml:space="preserve"> and (</w:t>
      </w:r>
      <w:r w:rsidR="004B3D01" w:rsidRPr="7BC75282">
        <w:rPr>
          <w:rFonts w:asciiTheme="minorHAnsi" w:hAnsiTheme="minorHAnsi"/>
        </w:rPr>
        <w:t>5</w:t>
      </w:r>
      <w:r w:rsidR="00C17548" w:rsidRPr="7BC75282">
        <w:rPr>
          <w:rFonts w:asciiTheme="minorHAnsi" w:hAnsiTheme="minorHAnsi"/>
        </w:rPr>
        <w:t>)</w:t>
      </w:r>
      <w:r w:rsidR="6C3EC6EC" w:rsidRPr="7BC75282">
        <w:rPr>
          <w:rFonts w:asciiTheme="minorHAnsi" w:hAnsiTheme="minorHAnsi"/>
        </w:rPr>
        <w:t>.</w:t>
      </w:r>
    </w:p>
    <w:p w14:paraId="6FB4FE83" w14:textId="1F9DD4B8" w:rsidR="007D7175" w:rsidRPr="004F5F28" w:rsidRDefault="7B73E662" w:rsidP="7BC75282">
      <w:pPr>
        <w:pStyle w:val="ListParagraph"/>
        <w:numPr>
          <w:ilvl w:val="0"/>
          <w:numId w:val="1"/>
        </w:numPr>
        <w:spacing w:before="360" w:after="120"/>
        <w:rPr>
          <w:rFonts w:asciiTheme="minorHAnsi" w:hAnsiTheme="minorHAnsi"/>
        </w:rPr>
      </w:pPr>
      <w:r w:rsidRPr="7BC75282">
        <w:rPr>
          <w:rFonts w:asciiTheme="minorHAnsi" w:hAnsiTheme="minorHAnsi"/>
        </w:rPr>
        <w:t>Th</w:t>
      </w:r>
      <w:r w:rsidR="6C3EC6EC" w:rsidRPr="7BC75282">
        <w:rPr>
          <w:rFonts w:asciiTheme="minorHAnsi" w:hAnsiTheme="minorHAnsi"/>
        </w:rPr>
        <w:t>e</w:t>
      </w:r>
      <w:r w:rsidRPr="7BC75282">
        <w:rPr>
          <w:rFonts w:asciiTheme="minorHAnsi" w:hAnsiTheme="minorHAnsi"/>
        </w:rPr>
        <w:t xml:space="preserve"> note</w:t>
      </w:r>
      <w:r w:rsidR="6C3EC6EC" w:rsidRPr="7BC75282">
        <w:rPr>
          <w:rFonts w:asciiTheme="minorHAnsi" w:hAnsiTheme="minorHAnsi"/>
        </w:rPr>
        <w:t xml:space="preserve"> </w:t>
      </w:r>
      <w:r w:rsidR="00C17548" w:rsidRPr="7BC75282">
        <w:rPr>
          <w:rFonts w:asciiTheme="minorHAnsi" w:hAnsiTheme="minorHAnsi"/>
        </w:rPr>
        <w:t>under</w:t>
      </w:r>
      <w:r w:rsidR="6C3EC6EC" w:rsidRPr="7BC75282">
        <w:rPr>
          <w:rFonts w:asciiTheme="minorHAnsi" w:hAnsiTheme="minorHAnsi"/>
        </w:rPr>
        <w:t xml:space="preserve"> subsection 83(3)</w:t>
      </w:r>
      <w:r w:rsidRPr="7BC75282">
        <w:rPr>
          <w:rFonts w:asciiTheme="minorHAnsi" w:hAnsiTheme="minorHAnsi"/>
        </w:rPr>
        <w:t xml:space="preserve"> </w:t>
      </w:r>
      <w:r w:rsidR="6C3EC6EC" w:rsidRPr="7BC75282">
        <w:rPr>
          <w:rFonts w:asciiTheme="minorHAnsi" w:hAnsiTheme="minorHAnsi"/>
        </w:rPr>
        <w:t>clarifies</w:t>
      </w:r>
      <w:r w:rsidRPr="7BC75282">
        <w:rPr>
          <w:rFonts w:asciiTheme="minorHAnsi" w:hAnsiTheme="minorHAnsi"/>
        </w:rPr>
        <w:t xml:space="preserve"> that the effect of subsection </w:t>
      </w:r>
      <w:r w:rsidR="6C3EC6EC" w:rsidRPr="7BC75282">
        <w:rPr>
          <w:rFonts w:asciiTheme="minorHAnsi" w:hAnsiTheme="minorHAnsi"/>
        </w:rPr>
        <w:t xml:space="preserve">83(3) </w:t>
      </w:r>
      <w:r w:rsidRPr="7BC75282">
        <w:rPr>
          <w:rFonts w:asciiTheme="minorHAnsi" w:hAnsiTheme="minorHAnsi"/>
        </w:rPr>
        <w:t xml:space="preserve">is that </w:t>
      </w:r>
      <w:r w:rsidR="6C3EC6EC" w:rsidRPr="7BC75282">
        <w:rPr>
          <w:rFonts w:asciiTheme="minorHAnsi" w:hAnsiTheme="minorHAnsi"/>
        </w:rPr>
        <w:t xml:space="preserve">the method for calculating the grant amount for a provider under the CPP, will take into account any </w:t>
      </w:r>
      <w:r w:rsidRPr="7BC75282">
        <w:rPr>
          <w:rFonts w:asciiTheme="minorHAnsi" w:hAnsiTheme="minorHAnsi"/>
        </w:rPr>
        <w:t xml:space="preserve">part of a provider’s student </w:t>
      </w:r>
      <w:proofErr w:type="spellStart"/>
      <w:r w:rsidRPr="7BC75282">
        <w:rPr>
          <w:rFonts w:asciiTheme="minorHAnsi" w:hAnsiTheme="minorHAnsi"/>
        </w:rPr>
        <w:t>prac</w:t>
      </w:r>
      <w:proofErr w:type="spellEnd"/>
      <w:r w:rsidRPr="7BC75282">
        <w:rPr>
          <w:rFonts w:asciiTheme="minorHAnsi" w:hAnsiTheme="minorHAnsi"/>
        </w:rPr>
        <w:t xml:space="preserve"> payments amount that the provider </w:t>
      </w:r>
      <w:r w:rsidR="7DD1DFA3" w:rsidRPr="7BC75282">
        <w:rPr>
          <w:rFonts w:asciiTheme="minorHAnsi" w:hAnsiTheme="minorHAnsi"/>
        </w:rPr>
        <w:t>does not</w:t>
      </w:r>
      <w:r w:rsidRPr="7BC75282">
        <w:rPr>
          <w:rFonts w:asciiTheme="minorHAnsi" w:hAnsiTheme="minorHAnsi"/>
        </w:rPr>
        <w:t xml:space="preserve"> pay to students</w:t>
      </w:r>
      <w:r w:rsidR="6C3EC6EC" w:rsidRPr="7BC75282">
        <w:rPr>
          <w:rFonts w:asciiTheme="minorHAnsi" w:hAnsiTheme="minorHAnsi"/>
        </w:rPr>
        <w:t xml:space="preserve"> under subsection 86(3)</w:t>
      </w:r>
      <w:r w:rsidR="47616D20" w:rsidRPr="7BC75282">
        <w:rPr>
          <w:rFonts w:asciiTheme="minorHAnsi" w:hAnsiTheme="minorHAnsi"/>
        </w:rPr>
        <w:t xml:space="preserve"> and (</w:t>
      </w:r>
      <w:r w:rsidR="005F5CF3" w:rsidRPr="7BC75282">
        <w:rPr>
          <w:rFonts w:asciiTheme="minorHAnsi" w:hAnsiTheme="minorHAnsi"/>
        </w:rPr>
        <w:t>5</w:t>
      </w:r>
      <w:r w:rsidR="47616D20" w:rsidRPr="7BC75282">
        <w:rPr>
          <w:rFonts w:asciiTheme="minorHAnsi" w:hAnsiTheme="minorHAnsi"/>
        </w:rPr>
        <w:t>)</w:t>
      </w:r>
      <w:r w:rsidRPr="7BC75282">
        <w:rPr>
          <w:rFonts w:asciiTheme="minorHAnsi" w:hAnsiTheme="minorHAnsi"/>
        </w:rPr>
        <w:t xml:space="preserve">, plus a </w:t>
      </w:r>
      <w:r w:rsidR="6CB33EE9" w:rsidRPr="7BC75282">
        <w:rPr>
          <w:rFonts w:asciiTheme="minorHAnsi" w:hAnsiTheme="minorHAnsi"/>
        </w:rPr>
        <w:t xml:space="preserve">corresponding </w:t>
      </w:r>
      <w:r w:rsidRPr="7BC75282">
        <w:rPr>
          <w:rFonts w:asciiTheme="minorHAnsi" w:hAnsiTheme="minorHAnsi"/>
        </w:rPr>
        <w:t>part of the administrative component</w:t>
      </w:r>
      <w:r w:rsidR="6C3EC6EC" w:rsidRPr="7BC75282">
        <w:rPr>
          <w:rFonts w:asciiTheme="minorHAnsi" w:hAnsiTheme="minorHAnsi"/>
        </w:rPr>
        <w:t xml:space="preserve"> related to that amount. Any </w:t>
      </w:r>
      <w:r w:rsidR="6C3EC6EC" w:rsidRPr="7BC75282">
        <w:rPr>
          <w:rFonts w:asciiTheme="minorHAnsi" w:hAnsiTheme="minorHAnsi"/>
        </w:rPr>
        <w:lastRenderedPageBreak/>
        <w:t xml:space="preserve">amount of a provider’s student </w:t>
      </w:r>
      <w:proofErr w:type="spellStart"/>
      <w:r w:rsidR="6C3EC6EC" w:rsidRPr="7BC75282">
        <w:rPr>
          <w:rFonts w:asciiTheme="minorHAnsi" w:hAnsiTheme="minorHAnsi"/>
        </w:rPr>
        <w:t>prac</w:t>
      </w:r>
      <w:proofErr w:type="spellEnd"/>
      <w:r w:rsidR="6C3EC6EC" w:rsidRPr="7BC75282">
        <w:rPr>
          <w:rFonts w:asciiTheme="minorHAnsi" w:hAnsiTheme="minorHAnsi"/>
        </w:rPr>
        <w:t xml:space="preserve"> payments amount that the provider did not pay to students and the corresponding part of the administrative component related to that amount, that had been paid to the provider, will be </w:t>
      </w:r>
      <w:r w:rsidRPr="7BC75282">
        <w:rPr>
          <w:rFonts w:asciiTheme="minorHAnsi" w:hAnsiTheme="minorHAnsi"/>
        </w:rPr>
        <w:t xml:space="preserve">an overpayment for the purposes of </w:t>
      </w:r>
      <w:r w:rsidR="24E5186A" w:rsidRPr="7BC75282">
        <w:rPr>
          <w:rFonts w:asciiTheme="minorHAnsi" w:hAnsiTheme="minorHAnsi"/>
        </w:rPr>
        <w:t>the Act</w:t>
      </w:r>
      <w:r w:rsidRPr="7BC75282">
        <w:rPr>
          <w:rFonts w:asciiTheme="minorHAnsi" w:hAnsiTheme="minorHAnsi"/>
        </w:rPr>
        <w:t xml:space="preserve">, and is not rolled over to the following year under section 41-40 of </w:t>
      </w:r>
      <w:r w:rsidR="24E5186A" w:rsidRPr="7BC75282">
        <w:rPr>
          <w:rFonts w:asciiTheme="minorHAnsi" w:hAnsiTheme="minorHAnsi"/>
        </w:rPr>
        <w:t>the Act</w:t>
      </w:r>
      <w:r w:rsidRPr="7BC75282">
        <w:rPr>
          <w:rFonts w:asciiTheme="minorHAnsi" w:hAnsiTheme="minorHAnsi"/>
        </w:rPr>
        <w:t>.</w:t>
      </w:r>
    </w:p>
    <w:p w14:paraId="118B80DE" w14:textId="477697CC" w:rsidR="00F533A4" w:rsidRDefault="6C3EC6EC" w:rsidP="7BC75282">
      <w:pPr>
        <w:pStyle w:val="ListParagraph"/>
        <w:numPr>
          <w:ilvl w:val="0"/>
          <w:numId w:val="1"/>
        </w:numPr>
        <w:spacing w:before="120" w:after="120"/>
        <w:rPr>
          <w:rFonts w:asciiTheme="minorHAnsi" w:hAnsiTheme="minorHAnsi"/>
        </w:rPr>
      </w:pPr>
      <w:r w:rsidRPr="7BC75282">
        <w:rPr>
          <w:rFonts w:asciiTheme="minorHAnsi" w:hAnsiTheme="minorHAnsi"/>
        </w:rPr>
        <w:t>N</w:t>
      </w:r>
      <w:r w:rsidR="614432A2" w:rsidRPr="7BC75282">
        <w:rPr>
          <w:rFonts w:asciiTheme="minorHAnsi" w:hAnsiTheme="minorHAnsi"/>
        </w:rPr>
        <w:t>ew subsection 8</w:t>
      </w:r>
      <w:r w:rsidR="79DBA4FC" w:rsidRPr="7BC75282">
        <w:rPr>
          <w:rFonts w:asciiTheme="minorHAnsi" w:hAnsiTheme="minorHAnsi"/>
        </w:rPr>
        <w:t>3</w:t>
      </w:r>
      <w:r w:rsidR="614432A2" w:rsidRPr="7BC75282">
        <w:rPr>
          <w:rFonts w:asciiTheme="minorHAnsi" w:hAnsiTheme="minorHAnsi"/>
        </w:rPr>
        <w:t xml:space="preserve">(4) provides for </w:t>
      </w:r>
      <w:r w:rsidRPr="7BC75282">
        <w:rPr>
          <w:rFonts w:asciiTheme="minorHAnsi" w:hAnsiTheme="minorHAnsi"/>
        </w:rPr>
        <w:t xml:space="preserve">how the administrative component of a provider’s CPP grant amount is worked </w:t>
      </w:r>
      <w:proofErr w:type="gramStart"/>
      <w:r w:rsidRPr="7BC75282">
        <w:rPr>
          <w:rFonts w:asciiTheme="minorHAnsi" w:hAnsiTheme="minorHAnsi"/>
        </w:rPr>
        <w:t>out, and</w:t>
      </w:r>
      <w:proofErr w:type="gramEnd"/>
      <w:r w:rsidRPr="7BC75282">
        <w:rPr>
          <w:rFonts w:asciiTheme="minorHAnsi" w:hAnsiTheme="minorHAnsi"/>
        </w:rPr>
        <w:t xml:space="preserve"> provides that t</w:t>
      </w:r>
      <w:r w:rsidR="614432A2" w:rsidRPr="7BC75282">
        <w:rPr>
          <w:rFonts w:asciiTheme="minorHAnsi" w:hAnsiTheme="minorHAnsi"/>
        </w:rPr>
        <w:t xml:space="preserve">he provider’s administrative component for </w:t>
      </w:r>
      <w:r w:rsidRPr="7BC75282">
        <w:rPr>
          <w:rFonts w:asciiTheme="minorHAnsi" w:hAnsiTheme="minorHAnsi"/>
        </w:rPr>
        <w:t xml:space="preserve">a </w:t>
      </w:r>
      <w:r w:rsidR="614432A2" w:rsidRPr="7BC75282">
        <w:rPr>
          <w:rFonts w:asciiTheme="minorHAnsi" w:hAnsiTheme="minorHAnsi"/>
        </w:rPr>
        <w:t xml:space="preserve">year is determined by multiplying the student </w:t>
      </w:r>
      <w:proofErr w:type="spellStart"/>
      <w:r w:rsidR="614432A2" w:rsidRPr="7BC75282">
        <w:rPr>
          <w:rFonts w:asciiTheme="minorHAnsi" w:hAnsiTheme="minorHAnsi"/>
        </w:rPr>
        <w:t>prac</w:t>
      </w:r>
      <w:proofErr w:type="spellEnd"/>
      <w:r w:rsidR="614432A2" w:rsidRPr="7BC75282">
        <w:rPr>
          <w:rFonts w:asciiTheme="minorHAnsi" w:hAnsiTheme="minorHAnsi"/>
        </w:rPr>
        <w:t xml:space="preserve"> payments </w:t>
      </w:r>
      <w:r w:rsidRPr="7BC75282">
        <w:rPr>
          <w:rFonts w:asciiTheme="minorHAnsi" w:hAnsiTheme="minorHAnsi"/>
        </w:rPr>
        <w:t xml:space="preserve">amount </w:t>
      </w:r>
      <w:r w:rsidR="614432A2" w:rsidRPr="7BC75282">
        <w:rPr>
          <w:rFonts w:asciiTheme="minorHAnsi" w:hAnsiTheme="minorHAnsi"/>
        </w:rPr>
        <w:t>for the provider</w:t>
      </w:r>
      <w:r w:rsidRPr="7BC75282">
        <w:rPr>
          <w:rFonts w:asciiTheme="minorHAnsi" w:hAnsiTheme="minorHAnsi"/>
        </w:rPr>
        <w:t xml:space="preserve"> for the year</w:t>
      </w:r>
      <w:r w:rsidR="614432A2" w:rsidRPr="7BC75282">
        <w:rPr>
          <w:rFonts w:asciiTheme="minorHAnsi" w:hAnsiTheme="minorHAnsi"/>
        </w:rPr>
        <w:t xml:space="preserve"> by 0.05.</w:t>
      </w:r>
      <w:r w:rsidRPr="7BC75282">
        <w:rPr>
          <w:rFonts w:asciiTheme="minorHAnsi" w:hAnsiTheme="minorHAnsi"/>
        </w:rPr>
        <w:t xml:space="preserve"> The purpose for </w:t>
      </w:r>
      <w:r w:rsidR="02AA2DDB" w:rsidRPr="7BC75282">
        <w:rPr>
          <w:rFonts w:asciiTheme="minorHAnsi" w:hAnsiTheme="minorHAnsi"/>
        </w:rPr>
        <w:t>paying</w:t>
      </w:r>
      <w:r w:rsidRPr="7BC75282">
        <w:rPr>
          <w:rFonts w:asciiTheme="minorHAnsi" w:hAnsiTheme="minorHAnsi"/>
        </w:rPr>
        <w:t xml:space="preserve"> the administrative component of the CPP grant to providers is to assist providers with the costs of administering the CPP.</w:t>
      </w:r>
    </w:p>
    <w:p w14:paraId="78E038AD" w14:textId="67CF3C5C" w:rsidR="006C5883" w:rsidRPr="004F5F28" w:rsidRDefault="544C94F3" w:rsidP="7BC75282">
      <w:pPr>
        <w:pStyle w:val="ListParagraph"/>
        <w:numPr>
          <w:ilvl w:val="0"/>
          <w:numId w:val="1"/>
        </w:numPr>
        <w:spacing w:before="120" w:after="120"/>
        <w:rPr>
          <w:rFonts w:asciiTheme="minorHAnsi" w:hAnsiTheme="minorHAnsi"/>
        </w:rPr>
      </w:pPr>
      <w:r w:rsidRPr="7BC75282">
        <w:rPr>
          <w:rFonts w:asciiTheme="minorHAnsi" w:hAnsiTheme="minorHAnsi"/>
        </w:rPr>
        <w:t>New subsection 8</w:t>
      </w:r>
      <w:r w:rsidR="7274FCDD" w:rsidRPr="7BC75282">
        <w:rPr>
          <w:rFonts w:asciiTheme="minorHAnsi" w:hAnsiTheme="minorHAnsi"/>
        </w:rPr>
        <w:t>3</w:t>
      </w:r>
      <w:r w:rsidRPr="7BC75282">
        <w:rPr>
          <w:rFonts w:asciiTheme="minorHAnsi" w:hAnsiTheme="minorHAnsi"/>
        </w:rPr>
        <w:t>(5) provides</w:t>
      </w:r>
      <w:r w:rsidR="46152FA0" w:rsidRPr="7BC75282">
        <w:rPr>
          <w:rFonts w:asciiTheme="minorHAnsi" w:hAnsiTheme="minorHAnsi"/>
        </w:rPr>
        <w:t xml:space="preserve"> for how</w:t>
      </w:r>
      <w:r w:rsidRPr="7BC75282">
        <w:rPr>
          <w:rFonts w:asciiTheme="minorHAnsi" w:hAnsiTheme="minorHAnsi"/>
        </w:rPr>
        <w:t xml:space="preserve"> </w:t>
      </w:r>
      <w:r w:rsidR="6A3366A3" w:rsidRPr="7BC75282">
        <w:rPr>
          <w:rFonts w:asciiTheme="minorHAnsi" w:hAnsiTheme="minorHAnsi"/>
        </w:rPr>
        <w:t xml:space="preserve">a </w:t>
      </w:r>
      <w:r w:rsidRPr="7BC75282">
        <w:rPr>
          <w:rFonts w:asciiTheme="minorHAnsi" w:hAnsiTheme="minorHAnsi"/>
        </w:rPr>
        <w:t>provider’s midwifery (clinical placement) component for a year is</w:t>
      </w:r>
      <w:r w:rsidR="46152FA0" w:rsidRPr="7BC75282">
        <w:rPr>
          <w:rFonts w:asciiTheme="minorHAnsi" w:hAnsiTheme="minorHAnsi"/>
        </w:rPr>
        <w:t xml:space="preserve"> worked out, and provides that the provider’s midwifery (clinical placement) component for a year is</w:t>
      </w:r>
      <w:r w:rsidRPr="7BC75282">
        <w:rPr>
          <w:rFonts w:asciiTheme="minorHAnsi" w:hAnsiTheme="minorHAnsi"/>
        </w:rPr>
        <w:t xml:space="preserve"> the number of eligible midwifery (clinical placement) </w:t>
      </w:r>
      <w:proofErr w:type="spellStart"/>
      <w:r w:rsidRPr="7BC75282">
        <w:rPr>
          <w:rFonts w:asciiTheme="minorHAnsi" w:hAnsiTheme="minorHAnsi"/>
        </w:rPr>
        <w:t>prac</w:t>
      </w:r>
      <w:proofErr w:type="spellEnd"/>
      <w:r w:rsidRPr="7BC75282">
        <w:rPr>
          <w:rFonts w:asciiTheme="minorHAnsi" w:hAnsiTheme="minorHAnsi"/>
        </w:rPr>
        <w:t xml:space="preserve"> students for the year, </w:t>
      </w:r>
      <w:r w:rsidR="4BFA2B54" w:rsidRPr="7BC75282">
        <w:rPr>
          <w:rFonts w:asciiTheme="minorHAnsi" w:hAnsiTheme="minorHAnsi"/>
        </w:rPr>
        <w:t xml:space="preserve">plus the number of exceptional circumstances students of the provider for the year participating in a mandatory placement known as a clinical placement for a unit of a course of study in midwifery, </w:t>
      </w:r>
      <w:r w:rsidRPr="7BC75282">
        <w:rPr>
          <w:rFonts w:asciiTheme="minorHAnsi" w:hAnsiTheme="minorHAnsi"/>
        </w:rPr>
        <w:t xml:space="preserve">multiplied by the weekly </w:t>
      </w:r>
      <w:proofErr w:type="spellStart"/>
      <w:r w:rsidRPr="7BC75282">
        <w:rPr>
          <w:rFonts w:asciiTheme="minorHAnsi" w:hAnsiTheme="minorHAnsi"/>
        </w:rPr>
        <w:t>Austudy</w:t>
      </w:r>
      <w:proofErr w:type="spellEnd"/>
      <w:r w:rsidRPr="7BC75282">
        <w:rPr>
          <w:rFonts w:asciiTheme="minorHAnsi" w:hAnsiTheme="minorHAnsi"/>
        </w:rPr>
        <w:t xml:space="preserve"> rate for the year, multiplied by 20</w:t>
      </w:r>
      <w:r w:rsidR="7D5BDDA7" w:rsidRPr="7BC75282">
        <w:rPr>
          <w:rFonts w:asciiTheme="minorHAnsi" w:hAnsiTheme="minorHAnsi"/>
        </w:rPr>
        <w:t>.</w:t>
      </w:r>
      <w:r w:rsidR="07A5BF39" w:rsidRPr="7BC75282">
        <w:rPr>
          <w:rFonts w:asciiTheme="minorHAnsi" w:hAnsiTheme="minorHAnsi"/>
        </w:rPr>
        <w:t xml:space="preserve"> </w:t>
      </w:r>
    </w:p>
    <w:p w14:paraId="5B9CBD61" w14:textId="77777777" w:rsidR="0043263C" w:rsidRDefault="544C94F3" w:rsidP="7BC75282">
      <w:pPr>
        <w:pStyle w:val="ListParagraph"/>
        <w:numPr>
          <w:ilvl w:val="0"/>
          <w:numId w:val="1"/>
        </w:numPr>
        <w:spacing w:before="120" w:after="120"/>
        <w:rPr>
          <w:rFonts w:asciiTheme="minorHAnsi" w:hAnsiTheme="minorHAnsi"/>
        </w:rPr>
      </w:pPr>
      <w:r w:rsidRPr="7BC75282">
        <w:rPr>
          <w:rFonts w:asciiTheme="minorHAnsi" w:hAnsiTheme="minorHAnsi"/>
        </w:rPr>
        <w:t>New</w:t>
      </w:r>
      <w:r w:rsidR="599A4BE9" w:rsidRPr="7BC75282">
        <w:rPr>
          <w:rFonts w:asciiTheme="minorHAnsi" w:hAnsiTheme="minorHAnsi"/>
        </w:rPr>
        <w:t xml:space="preserve"> subsection 83(6) provides </w:t>
      </w:r>
      <w:r w:rsidR="46152FA0" w:rsidRPr="7BC75282">
        <w:rPr>
          <w:rFonts w:asciiTheme="minorHAnsi" w:hAnsiTheme="minorHAnsi"/>
        </w:rPr>
        <w:t xml:space="preserve">for how </w:t>
      </w:r>
      <w:r w:rsidR="32037750" w:rsidRPr="7BC75282">
        <w:rPr>
          <w:rFonts w:asciiTheme="minorHAnsi" w:hAnsiTheme="minorHAnsi"/>
        </w:rPr>
        <w:t>a</w:t>
      </w:r>
      <w:r w:rsidR="46152FA0" w:rsidRPr="7BC75282">
        <w:rPr>
          <w:rFonts w:asciiTheme="minorHAnsi" w:hAnsiTheme="minorHAnsi"/>
        </w:rPr>
        <w:t xml:space="preserve"> provider’s midwifery (continuity of care) component for a year is worked out, and provides </w:t>
      </w:r>
      <w:r w:rsidR="599A4BE9" w:rsidRPr="7BC75282">
        <w:rPr>
          <w:rFonts w:asciiTheme="minorHAnsi" w:hAnsiTheme="minorHAnsi"/>
        </w:rPr>
        <w:t xml:space="preserve">that the provider’s midwifery (continuity of care) component for a year is the number of eligible midwifery (continuity of care) </w:t>
      </w:r>
      <w:proofErr w:type="spellStart"/>
      <w:r w:rsidR="599A4BE9" w:rsidRPr="7BC75282">
        <w:rPr>
          <w:rFonts w:asciiTheme="minorHAnsi" w:hAnsiTheme="minorHAnsi"/>
        </w:rPr>
        <w:t>prac</w:t>
      </w:r>
      <w:proofErr w:type="spellEnd"/>
      <w:r w:rsidR="599A4BE9" w:rsidRPr="7BC75282">
        <w:rPr>
          <w:rFonts w:asciiTheme="minorHAnsi" w:hAnsiTheme="minorHAnsi"/>
        </w:rPr>
        <w:t xml:space="preserve"> students for the year,</w:t>
      </w:r>
      <w:r w:rsidR="189A9AEE" w:rsidRPr="7BC75282">
        <w:rPr>
          <w:rFonts w:asciiTheme="minorHAnsi" w:hAnsiTheme="minorHAnsi"/>
        </w:rPr>
        <w:t xml:space="preserve"> plus the number of exceptional circumstances students of the provider for the year participating in a mandatory placement known as a continuity of care placement for a unit in a course of study in midwifery,</w:t>
      </w:r>
      <w:r w:rsidR="599A4BE9" w:rsidRPr="7BC75282">
        <w:rPr>
          <w:rFonts w:asciiTheme="minorHAnsi" w:hAnsiTheme="minorHAnsi"/>
        </w:rPr>
        <w:t xml:space="preserve"> multiplied by the weekly </w:t>
      </w:r>
      <w:proofErr w:type="spellStart"/>
      <w:r w:rsidR="599A4BE9" w:rsidRPr="7BC75282">
        <w:rPr>
          <w:rFonts w:asciiTheme="minorHAnsi" w:hAnsiTheme="minorHAnsi"/>
        </w:rPr>
        <w:t>Austudy</w:t>
      </w:r>
      <w:proofErr w:type="spellEnd"/>
      <w:r w:rsidR="599A4BE9" w:rsidRPr="7BC75282">
        <w:rPr>
          <w:rFonts w:asciiTheme="minorHAnsi" w:hAnsiTheme="minorHAnsi"/>
        </w:rPr>
        <w:t xml:space="preserve"> rate for the year, multiplied by 6</w:t>
      </w:r>
      <w:r w:rsidR="718C6CFB" w:rsidRPr="7BC75282">
        <w:rPr>
          <w:rFonts w:asciiTheme="minorHAnsi" w:hAnsiTheme="minorHAnsi"/>
        </w:rPr>
        <w:t>.</w:t>
      </w:r>
      <w:r w:rsidR="07A5BF39" w:rsidRPr="7BC75282">
        <w:rPr>
          <w:rFonts w:asciiTheme="minorHAnsi" w:hAnsiTheme="minorHAnsi"/>
        </w:rPr>
        <w:t xml:space="preserve"> </w:t>
      </w:r>
    </w:p>
    <w:p w14:paraId="218FBCE6" w14:textId="3E22E44A" w:rsidR="005D3515" w:rsidRPr="004F5F28" w:rsidRDefault="07A5BF39" w:rsidP="7BC75282">
      <w:pPr>
        <w:pStyle w:val="ListParagraph"/>
        <w:numPr>
          <w:ilvl w:val="0"/>
          <w:numId w:val="1"/>
        </w:numPr>
        <w:spacing w:before="120" w:after="120"/>
        <w:rPr>
          <w:rFonts w:asciiTheme="minorHAnsi" w:hAnsiTheme="minorHAnsi"/>
        </w:rPr>
      </w:pPr>
      <w:r w:rsidRPr="7BC75282">
        <w:rPr>
          <w:rFonts w:asciiTheme="minorHAnsi" w:hAnsiTheme="minorHAnsi"/>
        </w:rPr>
        <w:t xml:space="preserve">The calculation of both the provider’s midwifery components (the midwifery (clinical placement) and midwifery (continuity of care) components) reflect the maximum payment that the provider </w:t>
      </w:r>
      <w:proofErr w:type="gramStart"/>
      <w:r w:rsidRPr="7BC75282">
        <w:rPr>
          <w:rFonts w:asciiTheme="minorHAnsi" w:hAnsiTheme="minorHAnsi"/>
        </w:rPr>
        <w:t>is able to</w:t>
      </w:r>
      <w:proofErr w:type="gramEnd"/>
      <w:r w:rsidRPr="7BC75282">
        <w:rPr>
          <w:rFonts w:asciiTheme="minorHAnsi" w:hAnsiTheme="minorHAnsi"/>
        </w:rPr>
        <w:t xml:space="preserve"> make to </w:t>
      </w:r>
      <w:r w:rsidR="7D4D5655" w:rsidRPr="7BC75282">
        <w:rPr>
          <w:rFonts w:asciiTheme="minorHAnsi" w:hAnsiTheme="minorHAnsi"/>
        </w:rPr>
        <w:t>an</w:t>
      </w:r>
      <w:r w:rsidRPr="7BC75282">
        <w:rPr>
          <w:rFonts w:asciiTheme="minorHAnsi" w:hAnsiTheme="minorHAnsi"/>
        </w:rPr>
        <w:t xml:space="preserve"> eligible </w:t>
      </w:r>
      <w:proofErr w:type="spellStart"/>
      <w:r w:rsidRPr="7BC75282">
        <w:rPr>
          <w:rFonts w:asciiTheme="minorHAnsi" w:hAnsiTheme="minorHAnsi"/>
        </w:rPr>
        <w:t>prac</w:t>
      </w:r>
      <w:proofErr w:type="spellEnd"/>
      <w:r w:rsidRPr="7BC75282">
        <w:rPr>
          <w:rFonts w:asciiTheme="minorHAnsi" w:hAnsiTheme="minorHAnsi"/>
        </w:rPr>
        <w:t xml:space="preserve"> student for a course of study in midwifery</w:t>
      </w:r>
      <w:r w:rsidR="24B90ED9" w:rsidRPr="7BC75282">
        <w:rPr>
          <w:rFonts w:asciiTheme="minorHAnsi" w:hAnsiTheme="minorHAnsi"/>
        </w:rPr>
        <w:t xml:space="preserve"> for all placements completed in that course</w:t>
      </w:r>
      <w:r w:rsidRPr="7BC75282">
        <w:rPr>
          <w:rFonts w:asciiTheme="minorHAnsi" w:hAnsiTheme="minorHAnsi"/>
        </w:rPr>
        <w:t xml:space="preserve"> (see section 87).</w:t>
      </w:r>
    </w:p>
    <w:p w14:paraId="01AD538A" w14:textId="31DAF007" w:rsidR="00EE3260" w:rsidRPr="004F5F28" w:rsidRDefault="544C94F3" w:rsidP="7BC75282">
      <w:pPr>
        <w:pStyle w:val="ListParagraph"/>
        <w:numPr>
          <w:ilvl w:val="0"/>
          <w:numId w:val="1"/>
        </w:numPr>
        <w:spacing w:before="120" w:after="120"/>
        <w:rPr>
          <w:rFonts w:asciiTheme="minorHAnsi" w:hAnsiTheme="minorHAnsi"/>
        </w:rPr>
      </w:pPr>
      <w:r w:rsidRPr="7BC75282">
        <w:rPr>
          <w:rFonts w:asciiTheme="minorHAnsi" w:hAnsiTheme="minorHAnsi"/>
        </w:rPr>
        <w:t>New</w:t>
      </w:r>
      <w:r w:rsidR="24B11A18" w:rsidRPr="7BC75282">
        <w:rPr>
          <w:rFonts w:asciiTheme="minorHAnsi" w:hAnsiTheme="minorHAnsi"/>
        </w:rPr>
        <w:t xml:space="preserve"> subsection 83(7) provides</w:t>
      </w:r>
      <w:r w:rsidR="46152FA0" w:rsidRPr="7BC75282">
        <w:rPr>
          <w:rFonts w:asciiTheme="minorHAnsi" w:hAnsiTheme="minorHAnsi"/>
        </w:rPr>
        <w:t xml:space="preserve"> for how </w:t>
      </w:r>
      <w:r w:rsidR="44FE4BBD" w:rsidRPr="7BC75282">
        <w:rPr>
          <w:rFonts w:asciiTheme="minorHAnsi" w:hAnsiTheme="minorHAnsi"/>
        </w:rPr>
        <w:t>a</w:t>
      </w:r>
      <w:r w:rsidR="46152FA0" w:rsidRPr="7BC75282">
        <w:rPr>
          <w:rFonts w:asciiTheme="minorHAnsi" w:hAnsiTheme="minorHAnsi"/>
        </w:rPr>
        <w:t xml:space="preserve"> provider’s nursing component for a year is worked out, and provides</w:t>
      </w:r>
      <w:r w:rsidR="24B11A18" w:rsidRPr="7BC75282">
        <w:rPr>
          <w:rFonts w:asciiTheme="minorHAnsi" w:hAnsiTheme="minorHAnsi"/>
        </w:rPr>
        <w:t xml:space="preserve"> that the provider’s nursing component for a year is the number of eligible nursing </w:t>
      </w:r>
      <w:proofErr w:type="spellStart"/>
      <w:r w:rsidR="24B11A18" w:rsidRPr="7BC75282">
        <w:rPr>
          <w:rFonts w:asciiTheme="minorHAnsi" w:hAnsiTheme="minorHAnsi"/>
        </w:rPr>
        <w:t>prac</w:t>
      </w:r>
      <w:proofErr w:type="spellEnd"/>
      <w:r w:rsidR="24B11A18" w:rsidRPr="7BC75282">
        <w:rPr>
          <w:rFonts w:asciiTheme="minorHAnsi" w:hAnsiTheme="minorHAnsi"/>
        </w:rPr>
        <w:t xml:space="preserve"> students for the year, </w:t>
      </w:r>
      <w:r w:rsidR="6228BD22" w:rsidRPr="7BC75282">
        <w:rPr>
          <w:rFonts w:asciiTheme="minorHAnsi" w:hAnsiTheme="minorHAnsi"/>
        </w:rPr>
        <w:t xml:space="preserve">plus the number of exceptional circumstances students of the provider for the year participating in a mandatory placement for a unit in a course of study in nursing, </w:t>
      </w:r>
      <w:r w:rsidR="24B11A18" w:rsidRPr="7BC75282">
        <w:rPr>
          <w:rFonts w:asciiTheme="minorHAnsi" w:hAnsiTheme="minorHAnsi"/>
        </w:rPr>
        <w:t xml:space="preserve">multiplied by the weekly </w:t>
      </w:r>
      <w:proofErr w:type="spellStart"/>
      <w:r w:rsidR="24B11A18" w:rsidRPr="7BC75282">
        <w:rPr>
          <w:rFonts w:asciiTheme="minorHAnsi" w:hAnsiTheme="minorHAnsi"/>
        </w:rPr>
        <w:t>Austudy</w:t>
      </w:r>
      <w:proofErr w:type="spellEnd"/>
      <w:r w:rsidR="24B11A18" w:rsidRPr="7BC75282">
        <w:rPr>
          <w:rFonts w:asciiTheme="minorHAnsi" w:hAnsiTheme="minorHAnsi"/>
        </w:rPr>
        <w:t xml:space="preserve"> rate for the year, multiplied by 20</w:t>
      </w:r>
      <w:r w:rsidR="11C121A6" w:rsidRPr="7BC75282">
        <w:rPr>
          <w:rFonts w:asciiTheme="minorHAnsi" w:hAnsiTheme="minorHAnsi"/>
        </w:rPr>
        <w:t>.</w:t>
      </w:r>
      <w:r w:rsidR="46152FA0" w:rsidRPr="7BC75282">
        <w:rPr>
          <w:rFonts w:asciiTheme="minorHAnsi" w:hAnsiTheme="minorHAnsi"/>
        </w:rPr>
        <w:t xml:space="preserve"> </w:t>
      </w:r>
      <w:r w:rsidR="3FA02926" w:rsidRPr="7BC75282">
        <w:rPr>
          <w:rFonts w:asciiTheme="minorHAnsi" w:hAnsiTheme="minorHAnsi"/>
        </w:rPr>
        <w:t xml:space="preserve">The calculation of the provider’s nursing component reflects the maximum payment that the provider </w:t>
      </w:r>
      <w:proofErr w:type="gramStart"/>
      <w:r w:rsidR="3FA02926" w:rsidRPr="7BC75282">
        <w:rPr>
          <w:rFonts w:asciiTheme="minorHAnsi" w:hAnsiTheme="minorHAnsi"/>
        </w:rPr>
        <w:t>is able to</w:t>
      </w:r>
      <w:proofErr w:type="gramEnd"/>
      <w:r w:rsidR="3FA02926" w:rsidRPr="7BC75282">
        <w:rPr>
          <w:rFonts w:asciiTheme="minorHAnsi" w:hAnsiTheme="minorHAnsi"/>
        </w:rPr>
        <w:t xml:space="preserve"> make to </w:t>
      </w:r>
      <w:r w:rsidR="24B90ED9" w:rsidRPr="7BC75282">
        <w:rPr>
          <w:rFonts w:asciiTheme="minorHAnsi" w:hAnsiTheme="minorHAnsi"/>
        </w:rPr>
        <w:t>an</w:t>
      </w:r>
      <w:r w:rsidR="3FA02926" w:rsidRPr="7BC75282">
        <w:rPr>
          <w:rFonts w:asciiTheme="minorHAnsi" w:hAnsiTheme="minorHAnsi"/>
        </w:rPr>
        <w:t xml:space="preserve"> eligible nursing </w:t>
      </w:r>
      <w:proofErr w:type="spellStart"/>
      <w:r w:rsidR="3FA02926" w:rsidRPr="7BC75282">
        <w:rPr>
          <w:rFonts w:asciiTheme="minorHAnsi" w:hAnsiTheme="minorHAnsi"/>
        </w:rPr>
        <w:t>prac</w:t>
      </w:r>
      <w:proofErr w:type="spellEnd"/>
      <w:r w:rsidR="3FA02926" w:rsidRPr="7BC75282">
        <w:rPr>
          <w:rFonts w:asciiTheme="minorHAnsi" w:hAnsiTheme="minorHAnsi"/>
        </w:rPr>
        <w:t xml:space="preserve"> student for a course of study in nursing </w:t>
      </w:r>
      <w:r w:rsidR="24B90ED9" w:rsidRPr="7BC75282">
        <w:rPr>
          <w:rFonts w:asciiTheme="minorHAnsi" w:hAnsiTheme="minorHAnsi"/>
        </w:rPr>
        <w:t xml:space="preserve">for all placements completed in that course </w:t>
      </w:r>
      <w:r w:rsidR="3FA02926" w:rsidRPr="7BC75282">
        <w:rPr>
          <w:rFonts w:asciiTheme="minorHAnsi" w:hAnsiTheme="minorHAnsi"/>
        </w:rPr>
        <w:t>(see section 87).</w:t>
      </w:r>
    </w:p>
    <w:p w14:paraId="4DA438A6" w14:textId="76EC0E3D" w:rsidR="00D84100" w:rsidRPr="004F5F28" w:rsidRDefault="4C338CA0" w:rsidP="7BC75282">
      <w:pPr>
        <w:pStyle w:val="ListParagraph"/>
        <w:numPr>
          <w:ilvl w:val="0"/>
          <w:numId w:val="1"/>
        </w:numPr>
        <w:spacing w:before="120" w:after="120"/>
        <w:rPr>
          <w:rFonts w:asciiTheme="minorHAnsi" w:hAnsiTheme="minorHAnsi"/>
        </w:rPr>
      </w:pPr>
      <w:r w:rsidRPr="7BC75282">
        <w:rPr>
          <w:rFonts w:asciiTheme="minorHAnsi" w:hAnsiTheme="minorHAnsi"/>
        </w:rPr>
        <w:t>New</w:t>
      </w:r>
      <w:r w:rsidR="347841C0" w:rsidRPr="7BC75282">
        <w:rPr>
          <w:rFonts w:asciiTheme="minorHAnsi" w:hAnsiTheme="minorHAnsi"/>
        </w:rPr>
        <w:t xml:space="preserve"> subsection 83(8) provides </w:t>
      </w:r>
      <w:r w:rsidR="46152FA0" w:rsidRPr="7BC75282">
        <w:rPr>
          <w:rFonts w:asciiTheme="minorHAnsi" w:hAnsiTheme="minorHAnsi"/>
        </w:rPr>
        <w:t xml:space="preserve">for how </w:t>
      </w:r>
      <w:r w:rsidR="24B90ED9" w:rsidRPr="7BC75282">
        <w:rPr>
          <w:rFonts w:asciiTheme="minorHAnsi" w:hAnsiTheme="minorHAnsi"/>
        </w:rPr>
        <w:t>a</w:t>
      </w:r>
      <w:r w:rsidR="46152FA0" w:rsidRPr="7BC75282">
        <w:rPr>
          <w:rFonts w:asciiTheme="minorHAnsi" w:hAnsiTheme="minorHAnsi"/>
        </w:rPr>
        <w:t xml:space="preserve"> provider’s social work component for a year is worked out, and provides </w:t>
      </w:r>
      <w:r w:rsidR="347841C0" w:rsidRPr="7BC75282">
        <w:rPr>
          <w:rFonts w:asciiTheme="minorHAnsi" w:hAnsiTheme="minorHAnsi"/>
        </w:rPr>
        <w:t xml:space="preserve">that the provider’s social work component for a year is the number of eligible social work </w:t>
      </w:r>
      <w:proofErr w:type="spellStart"/>
      <w:r w:rsidR="347841C0" w:rsidRPr="7BC75282">
        <w:rPr>
          <w:rFonts w:asciiTheme="minorHAnsi" w:hAnsiTheme="minorHAnsi"/>
        </w:rPr>
        <w:t>prac</w:t>
      </w:r>
      <w:proofErr w:type="spellEnd"/>
      <w:r w:rsidR="347841C0" w:rsidRPr="7BC75282">
        <w:rPr>
          <w:rFonts w:asciiTheme="minorHAnsi" w:hAnsiTheme="minorHAnsi"/>
        </w:rPr>
        <w:t xml:space="preserve"> students for the year,</w:t>
      </w:r>
      <w:r w:rsidR="3B5063B3" w:rsidRPr="7BC75282">
        <w:rPr>
          <w:rFonts w:asciiTheme="minorHAnsi" w:hAnsiTheme="minorHAnsi"/>
        </w:rPr>
        <w:t xml:space="preserve"> plus the number </w:t>
      </w:r>
      <w:r w:rsidR="3B5063B3" w:rsidRPr="7BC75282">
        <w:rPr>
          <w:rFonts w:asciiTheme="minorHAnsi" w:hAnsiTheme="minorHAnsi"/>
        </w:rPr>
        <w:lastRenderedPageBreak/>
        <w:t>of exceptional circumstances students of the provider for the year participating in a mandatory placement for a unit in a course of study in social work,</w:t>
      </w:r>
      <w:r w:rsidR="347841C0" w:rsidRPr="7BC75282">
        <w:rPr>
          <w:rFonts w:asciiTheme="minorHAnsi" w:hAnsiTheme="minorHAnsi"/>
        </w:rPr>
        <w:t xml:space="preserve"> multiplied by the weekly </w:t>
      </w:r>
      <w:proofErr w:type="spellStart"/>
      <w:r w:rsidR="347841C0" w:rsidRPr="7BC75282">
        <w:rPr>
          <w:rFonts w:asciiTheme="minorHAnsi" w:hAnsiTheme="minorHAnsi"/>
        </w:rPr>
        <w:t>Austudy</w:t>
      </w:r>
      <w:proofErr w:type="spellEnd"/>
      <w:r w:rsidR="347841C0" w:rsidRPr="7BC75282">
        <w:rPr>
          <w:rFonts w:asciiTheme="minorHAnsi" w:hAnsiTheme="minorHAnsi"/>
        </w:rPr>
        <w:t xml:space="preserve"> rate for the year, multiplied by 26</w:t>
      </w:r>
      <w:r w:rsidRPr="7BC75282">
        <w:rPr>
          <w:rFonts w:asciiTheme="minorHAnsi" w:hAnsiTheme="minorHAnsi"/>
        </w:rPr>
        <w:t>.</w:t>
      </w:r>
      <w:r w:rsidR="3FA02926" w:rsidRPr="7BC75282">
        <w:rPr>
          <w:rFonts w:asciiTheme="minorHAnsi" w:hAnsiTheme="minorHAnsi"/>
        </w:rPr>
        <w:t xml:space="preserve"> The calculation of the provider’s social work component reflects the maximum payment that the provider </w:t>
      </w:r>
      <w:proofErr w:type="gramStart"/>
      <w:r w:rsidR="3FA02926" w:rsidRPr="7BC75282">
        <w:rPr>
          <w:rFonts w:asciiTheme="minorHAnsi" w:hAnsiTheme="minorHAnsi"/>
        </w:rPr>
        <w:t>is able to</w:t>
      </w:r>
      <w:proofErr w:type="gramEnd"/>
      <w:r w:rsidR="3FA02926" w:rsidRPr="7BC75282">
        <w:rPr>
          <w:rFonts w:asciiTheme="minorHAnsi" w:hAnsiTheme="minorHAnsi"/>
        </w:rPr>
        <w:t xml:space="preserve"> make to </w:t>
      </w:r>
      <w:r w:rsidR="24B90ED9" w:rsidRPr="7BC75282">
        <w:rPr>
          <w:rFonts w:asciiTheme="minorHAnsi" w:hAnsiTheme="minorHAnsi"/>
        </w:rPr>
        <w:t>an</w:t>
      </w:r>
      <w:r w:rsidR="3FA02926" w:rsidRPr="7BC75282">
        <w:rPr>
          <w:rFonts w:asciiTheme="minorHAnsi" w:hAnsiTheme="minorHAnsi"/>
        </w:rPr>
        <w:t xml:space="preserve"> eligible social work </w:t>
      </w:r>
      <w:proofErr w:type="spellStart"/>
      <w:r w:rsidR="3FA02926" w:rsidRPr="7BC75282">
        <w:rPr>
          <w:rFonts w:asciiTheme="minorHAnsi" w:hAnsiTheme="minorHAnsi"/>
        </w:rPr>
        <w:t>prac</w:t>
      </w:r>
      <w:proofErr w:type="spellEnd"/>
      <w:r w:rsidR="3FA02926" w:rsidRPr="7BC75282">
        <w:rPr>
          <w:rFonts w:asciiTheme="minorHAnsi" w:hAnsiTheme="minorHAnsi"/>
        </w:rPr>
        <w:t xml:space="preserve"> student for a course of study in social work </w:t>
      </w:r>
      <w:r w:rsidR="24B90ED9" w:rsidRPr="7BC75282">
        <w:rPr>
          <w:rFonts w:asciiTheme="minorHAnsi" w:hAnsiTheme="minorHAnsi"/>
        </w:rPr>
        <w:t xml:space="preserve">for all placements completed in that course </w:t>
      </w:r>
      <w:r w:rsidR="3FA02926" w:rsidRPr="7BC75282">
        <w:rPr>
          <w:rFonts w:asciiTheme="minorHAnsi" w:hAnsiTheme="minorHAnsi"/>
        </w:rPr>
        <w:t>(see section 87).</w:t>
      </w:r>
    </w:p>
    <w:p w14:paraId="27416907" w14:textId="1F8DE566" w:rsidR="00EE3260" w:rsidRDefault="66C8E66B"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 xml:space="preserve">New </w:t>
      </w:r>
      <w:r w:rsidR="4B7DF917" w:rsidRPr="7BC75282">
        <w:rPr>
          <w:rFonts w:asciiTheme="minorHAnsi" w:hAnsiTheme="minorHAnsi"/>
        </w:rPr>
        <w:t>subsection 8</w:t>
      </w:r>
      <w:r w:rsidRPr="7BC75282">
        <w:rPr>
          <w:rFonts w:asciiTheme="minorHAnsi" w:hAnsiTheme="minorHAnsi"/>
        </w:rPr>
        <w:t>3</w:t>
      </w:r>
      <w:r w:rsidR="4B7DF917" w:rsidRPr="7BC75282">
        <w:rPr>
          <w:rFonts w:asciiTheme="minorHAnsi" w:hAnsiTheme="minorHAnsi"/>
        </w:rPr>
        <w:t xml:space="preserve">(9) provides </w:t>
      </w:r>
      <w:r w:rsidR="4931D41C" w:rsidRPr="7BC75282">
        <w:rPr>
          <w:rFonts w:asciiTheme="minorHAnsi" w:hAnsiTheme="minorHAnsi"/>
        </w:rPr>
        <w:t xml:space="preserve">for how </w:t>
      </w:r>
      <w:r w:rsidR="41B05B1D" w:rsidRPr="7BC75282">
        <w:rPr>
          <w:rFonts w:asciiTheme="minorHAnsi" w:hAnsiTheme="minorHAnsi"/>
        </w:rPr>
        <w:t xml:space="preserve">a </w:t>
      </w:r>
      <w:r w:rsidR="4B7DF917" w:rsidRPr="7BC75282">
        <w:rPr>
          <w:rFonts w:asciiTheme="minorHAnsi" w:hAnsiTheme="minorHAnsi"/>
        </w:rPr>
        <w:t xml:space="preserve">provider’s teaching </w:t>
      </w:r>
      <w:r w:rsidR="0EDDA85B" w:rsidRPr="7BC75282">
        <w:rPr>
          <w:rFonts w:asciiTheme="minorHAnsi" w:hAnsiTheme="minorHAnsi"/>
        </w:rPr>
        <w:t>(bachelor</w:t>
      </w:r>
      <w:r w:rsidR="769BDAC2" w:rsidRPr="7BC75282">
        <w:rPr>
          <w:rFonts w:asciiTheme="minorHAnsi" w:hAnsiTheme="minorHAnsi"/>
        </w:rPr>
        <w:t xml:space="preserve">) </w:t>
      </w:r>
      <w:r w:rsidR="4B7DF917" w:rsidRPr="7BC75282">
        <w:rPr>
          <w:rFonts w:asciiTheme="minorHAnsi" w:hAnsiTheme="minorHAnsi"/>
        </w:rPr>
        <w:t xml:space="preserve">component for a year </w:t>
      </w:r>
      <w:r w:rsidR="4931D41C" w:rsidRPr="7BC75282">
        <w:rPr>
          <w:rFonts w:asciiTheme="minorHAnsi" w:hAnsiTheme="minorHAnsi"/>
        </w:rPr>
        <w:t xml:space="preserve">is worked out, and provides that the provider’s teaching component for a year </w:t>
      </w:r>
      <w:r w:rsidR="4B7DF917" w:rsidRPr="7BC75282">
        <w:rPr>
          <w:rFonts w:asciiTheme="minorHAnsi" w:hAnsiTheme="minorHAnsi"/>
        </w:rPr>
        <w:t xml:space="preserve">is the number of eligible teaching </w:t>
      </w:r>
      <w:r w:rsidR="769BDAC2" w:rsidRPr="7BC75282">
        <w:rPr>
          <w:rFonts w:asciiTheme="minorHAnsi" w:hAnsiTheme="minorHAnsi"/>
        </w:rPr>
        <w:t xml:space="preserve">(bachelor) </w:t>
      </w:r>
      <w:proofErr w:type="spellStart"/>
      <w:r w:rsidR="4B7DF917" w:rsidRPr="7BC75282">
        <w:rPr>
          <w:rFonts w:asciiTheme="minorHAnsi" w:hAnsiTheme="minorHAnsi"/>
        </w:rPr>
        <w:t>prac</w:t>
      </w:r>
      <w:proofErr w:type="spellEnd"/>
      <w:r w:rsidR="4B7DF917" w:rsidRPr="7BC75282">
        <w:rPr>
          <w:rFonts w:asciiTheme="minorHAnsi" w:hAnsiTheme="minorHAnsi"/>
        </w:rPr>
        <w:t xml:space="preserve"> students for the year, </w:t>
      </w:r>
      <w:r w:rsidR="325A9760" w:rsidRPr="7BC75282">
        <w:rPr>
          <w:rFonts w:asciiTheme="minorHAnsi" w:hAnsiTheme="minorHAnsi"/>
        </w:rPr>
        <w:t xml:space="preserve">plus the number of exceptional circumstances students of the provider for the year participating in a mandatory placement for a unit in a course of study that leads to the award of a bachelor degree in teaching, </w:t>
      </w:r>
      <w:r w:rsidR="4B7DF917" w:rsidRPr="7BC75282">
        <w:rPr>
          <w:rFonts w:asciiTheme="minorHAnsi" w:hAnsiTheme="minorHAnsi"/>
        </w:rPr>
        <w:t xml:space="preserve">multiplied by the weekly </w:t>
      </w:r>
      <w:proofErr w:type="spellStart"/>
      <w:r w:rsidR="4B7DF917" w:rsidRPr="7BC75282">
        <w:rPr>
          <w:rFonts w:asciiTheme="minorHAnsi" w:hAnsiTheme="minorHAnsi"/>
        </w:rPr>
        <w:t>Austudy</w:t>
      </w:r>
      <w:proofErr w:type="spellEnd"/>
      <w:r w:rsidR="4B7DF917" w:rsidRPr="7BC75282">
        <w:rPr>
          <w:rFonts w:asciiTheme="minorHAnsi" w:hAnsiTheme="minorHAnsi"/>
        </w:rPr>
        <w:t xml:space="preserve"> rate for the year, multiplied by 16</w:t>
      </w:r>
      <w:r w:rsidRPr="7BC75282">
        <w:rPr>
          <w:rFonts w:asciiTheme="minorHAnsi" w:hAnsiTheme="minorHAnsi"/>
        </w:rPr>
        <w:t>.</w:t>
      </w:r>
      <w:r w:rsidR="4B3E2EA6" w:rsidRPr="7BC75282">
        <w:rPr>
          <w:rFonts w:asciiTheme="minorHAnsi" w:hAnsiTheme="minorHAnsi"/>
        </w:rPr>
        <w:t xml:space="preserve"> The calculation of the provider’s teaching component reflects the maximum payment that the provider </w:t>
      </w:r>
      <w:proofErr w:type="gramStart"/>
      <w:r w:rsidR="4B3E2EA6" w:rsidRPr="7BC75282">
        <w:rPr>
          <w:rFonts w:asciiTheme="minorHAnsi" w:hAnsiTheme="minorHAnsi"/>
        </w:rPr>
        <w:t>is able to</w:t>
      </w:r>
      <w:proofErr w:type="gramEnd"/>
      <w:r w:rsidR="4B3E2EA6" w:rsidRPr="7BC75282">
        <w:rPr>
          <w:rFonts w:asciiTheme="minorHAnsi" w:hAnsiTheme="minorHAnsi"/>
        </w:rPr>
        <w:t xml:space="preserve"> make to </w:t>
      </w:r>
      <w:r w:rsidR="7EFAFD48" w:rsidRPr="7BC75282">
        <w:rPr>
          <w:rFonts w:asciiTheme="minorHAnsi" w:hAnsiTheme="minorHAnsi"/>
        </w:rPr>
        <w:t>an</w:t>
      </w:r>
      <w:r w:rsidR="4B3E2EA6" w:rsidRPr="7BC75282">
        <w:rPr>
          <w:rFonts w:asciiTheme="minorHAnsi" w:hAnsiTheme="minorHAnsi"/>
        </w:rPr>
        <w:t xml:space="preserve"> eligible teaching</w:t>
      </w:r>
      <w:r w:rsidR="60958012" w:rsidRPr="7BC75282">
        <w:rPr>
          <w:rFonts w:asciiTheme="minorHAnsi" w:hAnsiTheme="minorHAnsi"/>
        </w:rPr>
        <w:t xml:space="preserve"> (bachelor)</w:t>
      </w:r>
      <w:r w:rsidR="4B3E2EA6" w:rsidRPr="7BC75282">
        <w:rPr>
          <w:rFonts w:asciiTheme="minorHAnsi" w:hAnsiTheme="minorHAnsi"/>
        </w:rPr>
        <w:t xml:space="preserve"> </w:t>
      </w:r>
      <w:proofErr w:type="spellStart"/>
      <w:r w:rsidR="4B3E2EA6" w:rsidRPr="7BC75282">
        <w:rPr>
          <w:rFonts w:asciiTheme="minorHAnsi" w:hAnsiTheme="minorHAnsi"/>
        </w:rPr>
        <w:t>prac</w:t>
      </w:r>
      <w:proofErr w:type="spellEnd"/>
      <w:r w:rsidR="4B3E2EA6" w:rsidRPr="7BC75282">
        <w:rPr>
          <w:rFonts w:asciiTheme="minorHAnsi" w:hAnsiTheme="minorHAnsi"/>
        </w:rPr>
        <w:t xml:space="preserve"> student for a </w:t>
      </w:r>
      <w:r w:rsidR="42B3B528" w:rsidRPr="7BC75282">
        <w:rPr>
          <w:rFonts w:asciiTheme="minorHAnsi" w:hAnsiTheme="minorHAnsi"/>
        </w:rPr>
        <w:t xml:space="preserve">bachelor </w:t>
      </w:r>
      <w:r w:rsidR="4B3E2EA6" w:rsidRPr="7BC75282">
        <w:rPr>
          <w:rFonts w:asciiTheme="minorHAnsi" w:hAnsiTheme="minorHAnsi"/>
        </w:rPr>
        <w:t xml:space="preserve">course of study in teaching </w:t>
      </w:r>
      <w:r w:rsidR="7EFAFD48" w:rsidRPr="7BC75282">
        <w:rPr>
          <w:rFonts w:asciiTheme="minorHAnsi" w:hAnsiTheme="minorHAnsi"/>
        </w:rPr>
        <w:t xml:space="preserve">for all placements completed in that course </w:t>
      </w:r>
      <w:r w:rsidR="4B3E2EA6" w:rsidRPr="7BC75282">
        <w:rPr>
          <w:rFonts w:asciiTheme="minorHAnsi" w:hAnsiTheme="minorHAnsi"/>
        </w:rPr>
        <w:t>(see section 87).</w:t>
      </w:r>
    </w:p>
    <w:p w14:paraId="0393C64C" w14:textId="1D6F9790" w:rsidR="00CC448A" w:rsidRPr="0042041D" w:rsidRDefault="00CC448A"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 xml:space="preserve">New subsection 83(10) provides for how a provider’s teaching </w:t>
      </w:r>
      <w:r w:rsidR="005E6D62" w:rsidRPr="7BC75282">
        <w:rPr>
          <w:rFonts w:asciiTheme="minorHAnsi" w:hAnsiTheme="minorHAnsi"/>
        </w:rPr>
        <w:t xml:space="preserve">(master’s) </w:t>
      </w:r>
      <w:r w:rsidRPr="7BC75282">
        <w:rPr>
          <w:rFonts w:asciiTheme="minorHAnsi" w:hAnsiTheme="minorHAnsi"/>
        </w:rPr>
        <w:t>component for a year is worked out, and provides that the provider’s teaching component for a year is the number of eligible teaching</w:t>
      </w:r>
      <w:r w:rsidR="005E6D62" w:rsidRPr="7BC75282">
        <w:rPr>
          <w:rFonts w:asciiTheme="minorHAnsi" w:hAnsiTheme="minorHAnsi"/>
        </w:rPr>
        <w:t xml:space="preserve"> (master’s)</w:t>
      </w:r>
      <w:r w:rsidRPr="7BC75282">
        <w:rPr>
          <w:rFonts w:asciiTheme="minorHAnsi" w:hAnsiTheme="minorHAnsi"/>
        </w:rPr>
        <w:t xml:space="preserve"> </w:t>
      </w:r>
      <w:proofErr w:type="spellStart"/>
      <w:r w:rsidRPr="7BC75282">
        <w:rPr>
          <w:rFonts w:asciiTheme="minorHAnsi" w:hAnsiTheme="minorHAnsi"/>
        </w:rPr>
        <w:t>prac</w:t>
      </w:r>
      <w:proofErr w:type="spellEnd"/>
      <w:r w:rsidRPr="7BC75282">
        <w:rPr>
          <w:rFonts w:asciiTheme="minorHAnsi" w:hAnsiTheme="minorHAnsi"/>
        </w:rPr>
        <w:t xml:space="preserve"> students for the year, plus the number of exceptional circumstances students of the provider for the year participating in a mandatory placement for a unit in a course of study that leads to the award of a </w:t>
      </w:r>
      <w:r w:rsidR="005E6D62" w:rsidRPr="7BC75282">
        <w:rPr>
          <w:rFonts w:asciiTheme="minorHAnsi" w:hAnsiTheme="minorHAnsi"/>
        </w:rPr>
        <w:t>master’s</w:t>
      </w:r>
      <w:r w:rsidRPr="7BC75282">
        <w:rPr>
          <w:rFonts w:asciiTheme="minorHAnsi" w:hAnsiTheme="minorHAnsi"/>
        </w:rPr>
        <w:t xml:space="preserve"> degree in teaching, multiplied by the weekly </w:t>
      </w:r>
      <w:proofErr w:type="spellStart"/>
      <w:r w:rsidRPr="7BC75282">
        <w:rPr>
          <w:rFonts w:asciiTheme="minorHAnsi" w:hAnsiTheme="minorHAnsi"/>
        </w:rPr>
        <w:t>Austudy</w:t>
      </w:r>
      <w:proofErr w:type="spellEnd"/>
      <w:r w:rsidRPr="7BC75282">
        <w:rPr>
          <w:rFonts w:asciiTheme="minorHAnsi" w:hAnsiTheme="minorHAnsi"/>
        </w:rPr>
        <w:t xml:space="preserve"> rate for the year, multiplied by 1</w:t>
      </w:r>
      <w:r w:rsidR="003C20BA" w:rsidRPr="7BC75282">
        <w:rPr>
          <w:rFonts w:asciiTheme="minorHAnsi" w:hAnsiTheme="minorHAnsi"/>
        </w:rPr>
        <w:t>2</w:t>
      </w:r>
      <w:r w:rsidRPr="7BC75282">
        <w:rPr>
          <w:rFonts w:asciiTheme="minorHAnsi" w:hAnsiTheme="minorHAnsi"/>
        </w:rPr>
        <w:t>. The calculation of the provider’s teaching</w:t>
      </w:r>
      <w:r w:rsidR="002C6003" w:rsidRPr="7BC75282">
        <w:rPr>
          <w:rFonts w:asciiTheme="minorHAnsi" w:hAnsiTheme="minorHAnsi"/>
        </w:rPr>
        <w:t xml:space="preserve"> (master’s)</w:t>
      </w:r>
      <w:r w:rsidRPr="7BC75282">
        <w:rPr>
          <w:rFonts w:asciiTheme="minorHAnsi" w:hAnsiTheme="minorHAnsi"/>
        </w:rPr>
        <w:t xml:space="preserve"> component reflects the maximum payment that the provider </w:t>
      </w:r>
      <w:proofErr w:type="gramStart"/>
      <w:r w:rsidRPr="7BC75282">
        <w:rPr>
          <w:rFonts w:asciiTheme="minorHAnsi" w:hAnsiTheme="minorHAnsi"/>
        </w:rPr>
        <w:t>is able to</w:t>
      </w:r>
      <w:proofErr w:type="gramEnd"/>
      <w:r w:rsidRPr="7BC75282">
        <w:rPr>
          <w:rFonts w:asciiTheme="minorHAnsi" w:hAnsiTheme="minorHAnsi"/>
        </w:rPr>
        <w:t xml:space="preserve"> make to an eligible teaching</w:t>
      </w:r>
      <w:r w:rsidR="00E553B6" w:rsidRPr="7BC75282">
        <w:rPr>
          <w:rFonts w:asciiTheme="minorHAnsi" w:hAnsiTheme="minorHAnsi"/>
        </w:rPr>
        <w:t xml:space="preserve"> (master’s)</w:t>
      </w:r>
      <w:r w:rsidRPr="7BC75282">
        <w:rPr>
          <w:rFonts w:asciiTheme="minorHAnsi" w:hAnsiTheme="minorHAnsi"/>
        </w:rPr>
        <w:t xml:space="preserve"> </w:t>
      </w:r>
      <w:proofErr w:type="spellStart"/>
      <w:r w:rsidRPr="7BC75282">
        <w:rPr>
          <w:rFonts w:asciiTheme="minorHAnsi" w:hAnsiTheme="minorHAnsi"/>
        </w:rPr>
        <w:t>prac</w:t>
      </w:r>
      <w:proofErr w:type="spellEnd"/>
      <w:r w:rsidRPr="7BC75282">
        <w:rPr>
          <w:rFonts w:asciiTheme="minorHAnsi" w:hAnsiTheme="minorHAnsi"/>
        </w:rPr>
        <w:t xml:space="preserve"> student for a </w:t>
      </w:r>
      <w:r w:rsidR="0082055F" w:rsidRPr="7BC75282">
        <w:rPr>
          <w:rFonts w:asciiTheme="minorHAnsi" w:hAnsiTheme="minorHAnsi"/>
        </w:rPr>
        <w:t xml:space="preserve">master’s </w:t>
      </w:r>
      <w:r w:rsidRPr="7BC75282">
        <w:rPr>
          <w:rFonts w:asciiTheme="minorHAnsi" w:hAnsiTheme="minorHAnsi"/>
        </w:rPr>
        <w:t>course of study in teaching for all placements completed in that course (see section 87).</w:t>
      </w:r>
    </w:p>
    <w:p w14:paraId="364DBED0" w14:textId="4106A4C8" w:rsidR="00C548FA" w:rsidRPr="0042041D" w:rsidRDefault="6EBCE56F" w:rsidP="367BCE8E">
      <w:pPr>
        <w:spacing w:before="360" w:after="120"/>
        <w:rPr>
          <w:rFonts w:asciiTheme="minorHAnsi" w:hAnsiTheme="minorHAnsi"/>
          <w:b/>
          <w:bCs/>
        </w:rPr>
      </w:pPr>
      <w:r w:rsidRPr="367BCE8E">
        <w:rPr>
          <w:rFonts w:asciiTheme="minorHAnsi" w:hAnsiTheme="minorHAnsi"/>
          <w:b/>
          <w:bCs/>
        </w:rPr>
        <w:t>Section 84</w:t>
      </w:r>
    </w:p>
    <w:p w14:paraId="32548459" w14:textId="79DFB209" w:rsidR="00E32933" w:rsidRDefault="46152FA0" w:rsidP="7BC75282">
      <w:pPr>
        <w:numPr>
          <w:ilvl w:val="0"/>
          <w:numId w:val="1"/>
        </w:numPr>
        <w:spacing w:before="360" w:after="120"/>
        <w:rPr>
          <w:rFonts w:asciiTheme="minorHAnsi" w:hAnsiTheme="minorHAnsi"/>
        </w:rPr>
      </w:pPr>
      <w:r w:rsidRPr="7BC75282">
        <w:rPr>
          <w:rFonts w:asciiTheme="minorHAnsi" w:hAnsiTheme="minorHAnsi"/>
        </w:rPr>
        <w:t>N</w:t>
      </w:r>
      <w:r w:rsidR="23B5E70A" w:rsidRPr="7BC75282">
        <w:rPr>
          <w:rFonts w:asciiTheme="minorHAnsi" w:hAnsiTheme="minorHAnsi"/>
        </w:rPr>
        <w:t>ew section 8</w:t>
      </w:r>
      <w:r w:rsidR="52AF50F0" w:rsidRPr="7BC75282">
        <w:rPr>
          <w:rFonts w:asciiTheme="minorHAnsi" w:hAnsiTheme="minorHAnsi"/>
        </w:rPr>
        <w:t>4</w:t>
      </w:r>
      <w:r w:rsidR="23B5E70A" w:rsidRPr="7BC75282">
        <w:rPr>
          <w:rFonts w:asciiTheme="minorHAnsi" w:hAnsiTheme="minorHAnsi"/>
        </w:rPr>
        <w:t xml:space="preserve"> </w:t>
      </w:r>
      <w:r w:rsidRPr="7BC75282">
        <w:rPr>
          <w:rFonts w:asciiTheme="minorHAnsi" w:hAnsiTheme="minorHAnsi"/>
        </w:rPr>
        <w:t xml:space="preserve">defines, for the purposes of new Part 13, the meaning of ‘eligible </w:t>
      </w:r>
      <w:proofErr w:type="spellStart"/>
      <w:r w:rsidRPr="7BC75282">
        <w:rPr>
          <w:rFonts w:asciiTheme="minorHAnsi" w:hAnsiTheme="minorHAnsi"/>
        </w:rPr>
        <w:t>prac</w:t>
      </w:r>
      <w:proofErr w:type="spellEnd"/>
      <w:r w:rsidRPr="7BC75282">
        <w:rPr>
          <w:rFonts w:asciiTheme="minorHAnsi" w:hAnsiTheme="minorHAnsi"/>
        </w:rPr>
        <w:t xml:space="preserve"> student’, ‘eligible midwifery (clinical placement) </w:t>
      </w:r>
      <w:proofErr w:type="spellStart"/>
      <w:r w:rsidRPr="7BC75282">
        <w:rPr>
          <w:rFonts w:asciiTheme="minorHAnsi" w:hAnsiTheme="minorHAnsi"/>
        </w:rPr>
        <w:t>prac</w:t>
      </w:r>
      <w:proofErr w:type="spellEnd"/>
      <w:r w:rsidRPr="7BC75282">
        <w:rPr>
          <w:rFonts w:asciiTheme="minorHAnsi" w:hAnsiTheme="minorHAnsi"/>
        </w:rPr>
        <w:t xml:space="preserve"> student’, ‘eligible midwifery (continuity of care) </w:t>
      </w:r>
      <w:proofErr w:type="spellStart"/>
      <w:r w:rsidRPr="7BC75282">
        <w:rPr>
          <w:rFonts w:asciiTheme="minorHAnsi" w:hAnsiTheme="minorHAnsi"/>
        </w:rPr>
        <w:t>prac</w:t>
      </w:r>
      <w:proofErr w:type="spellEnd"/>
      <w:r w:rsidRPr="7BC75282">
        <w:rPr>
          <w:rFonts w:asciiTheme="minorHAnsi" w:hAnsiTheme="minorHAnsi"/>
        </w:rPr>
        <w:t xml:space="preserve"> student’, ‘eligible nursing </w:t>
      </w:r>
      <w:proofErr w:type="spellStart"/>
      <w:r w:rsidRPr="7BC75282">
        <w:rPr>
          <w:rFonts w:asciiTheme="minorHAnsi" w:hAnsiTheme="minorHAnsi"/>
        </w:rPr>
        <w:t>prac</w:t>
      </w:r>
      <w:proofErr w:type="spellEnd"/>
      <w:r w:rsidRPr="7BC75282">
        <w:rPr>
          <w:rFonts w:asciiTheme="minorHAnsi" w:hAnsiTheme="minorHAnsi"/>
        </w:rPr>
        <w:t xml:space="preserve"> student’, ‘eligible social work </w:t>
      </w:r>
      <w:proofErr w:type="spellStart"/>
      <w:r w:rsidRPr="7BC75282">
        <w:rPr>
          <w:rFonts w:asciiTheme="minorHAnsi" w:hAnsiTheme="minorHAnsi"/>
        </w:rPr>
        <w:t>prac</w:t>
      </w:r>
      <w:proofErr w:type="spellEnd"/>
      <w:r w:rsidRPr="7BC75282">
        <w:rPr>
          <w:rFonts w:asciiTheme="minorHAnsi" w:hAnsiTheme="minorHAnsi"/>
        </w:rPr>
        <w:t xml:space="preserve"> student’</w:t>
      </w:r>
      <w:r w:rsidR="1666A9CB" w:rsidRPr="7BC75282">
        <w:rPr>
          <w:rFonts w:asciiTheme="minorHAnsi" w:hAnsiTheme="minorHAnsi"/>
        </w:rPr>
        <w:t>,</w:t>
      </w:r>
      <w:r w:rsidRPr="7BC75282">
        <w:rPr>
          <w:rFonts w:asciiTheme="minorHAnsi" w:hAnsiTheme="minorHAnsi"/>
        </w:rPr>
        <w:t xml:space="preserve"> eligible teaching</w:t>
      </w:r>
      <w:r w:rsidR="00F65938" w:rsidRPr="7BC75282">
        <w:rPr>
          <w:rFonts w:asciiTheme="minorHAnsi" w:hAnsiTheme="minorHAnsi"/>
        </w:rPr>
        <w:t xml:space="preserve"> (bachelor)</w:t>
      </w:r>
      <w:r w:rsidRPr="7BC75282">
        <w:rPr>
          <w:rFonts w:asciiTheme="minorHAnsi" w:hAnsiTheme="minorHAnsi"/>
        </w:rPr>
        <w:t xml:space="preserve"> </w:t>
      </w:r>
      <w:proofErr w:type="spellStart"/>
      <w:r w:rsidRPr="7BC75282">
        <w:rPr>
          <w:rFonts w:asciiTheme="minorHAnsi" w:hAnsiTheme="minorHAnsi"/>
        </w:rPr>
        <w:t>prac</w:t>
      </w:r>
      <w:proofErr w:type="spellEnd"/>
      <w:r w:rsidRPr="7BC75282">
        <w:rPr>
          <w:rFonts w:asciiTheme="minorHAnsi" w:hAnsiTheme="minorHAnsi"/>
        </w:rPr>
        <w:t xml:space="preserve"> student’</w:t>
      </w:r>
      <w:r w:rsidR="00B23F8E" w:rsidRPr="7BC75282">
        <w:rPr>
          <w:rFonts w:asciiTheme="minorHAnsi" w:hAnsiTheme="minorHAnsi"/>
        </w:rPr>
        <w:t>,</w:t>
      </w:r>
      <w:r w:rsidR="00F65938" w:rsidRPr="7BC75282">
        <w:rPr>
          <w:rFonts w:asciiTheme="minorHAnsi" w:hAnsiTheme="minorHAnsi"/>
        </w:rPr>
        <w:t xml:space="preserve"> eligible teaching (master’s) </w:t>
      </w:r>
      <w:proofErr w:type="spellStart"/>
      <w:r w:rsidR="00F65938" w:rsidRPr="7BC75282">
        <w:rPr>
          <w:rFonts w:asciiTheme="minorHAnsi" w:hAnsiTheme="minorHAnsi"/>
        </w:rPr>
        <w:t>prac</w:t>
      </w:r>
      <w:proofErr w:type="spellEnd"/>
      <w:r w:rsidR="00F65938" w:rsidRPr="7BC75282">
        <w:rPr>
          <w:rFonts w:asciiTheme="minorHAnsi" w:hAnsiTheme="minorHAnsi"/>
        </w:rPr>
        <w:t xml:space="preserve"> student</w:t>
      </w:r>
      <w:r w:rsidR="00501C55" w:rsidRPr="7BC75282">
        <w:rPr>
          <w:rFonts w:asciiTheme="minorHAnsi" w:hAnsiTheme="minorHAnsi"/>
        </w:rPr>
        <w:t>,</w:t>
      </w:r>
      <w:r w:rsidR="00F65938" w:rsidRPr="7BC75282">
        <w:rPr>
          <w:rFonts w:asciiTheme="minorHAnsi" w:hAnsiTheme="minorHAnsi"/>
        </w:rPr>
        <w:t>’</w:t>
      </w:r>
      <w:r w:rsidR="3D22B884" w:rsidRPr="7BC75282">
        <w:rPr>
          <w:rFonts w:asciiTheme="minorHAnsi" w:hAnsiTheme="minorHAnsi"/>
        </w:rPr>
        <w:t xml:space="preserve"> and ‘exceptional circumstances student’</w:t>
      </w:r>
      <w:r w:rsidRPr="7BC75282">
        <w:rPr>
          <w:rFonts w:asciiTheme="minorHAnsi" w:hAnsiTheme="minorHAnsi"/>
        </w:rPr>
        <w:t>.</w:t>
      </w:r>
    </w:p>
    <w:p w14:paraId="3320D147" w14:textId="63D47A97" w:rsidR="00E450D8" w:rsidRPr="004F5F28" w:rsidRDefault="46152FA0"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New subsection 84(1) defines an ‘eligible </w:t>
      </w:r>
      <w:proofErr w:type="spellStart"/>
      <w:r w:rsidRPr="7BC75282">
        <w:rPr>
          <w:rFonts w:asciiTheme="minorHAnsi" w:hAnsiTheme="minorHAnsi"/>
        </w:rPr>
        <w:t>prac</w:t>
      </w:r>
      <w:proofErr w:type="spellEnd"/>
      <w:r w:rsidRPr="7BC75282">
        <w:rPr>
          <w:rFonts w:asciiTheme="minorHAnsi" w:hAnsiTheme="minorHAnsi"/>
        </w:rPr>
        <w:t xml:space="preserve"> student’ of a higher education provider for a year as a student who is enrolled in an eligible </w:t>
      </w:r>
      <w:proofErr w:type="spellStart"/>
      <w:r w:rsidRPr="7BC75282">
        <w:rPr>
          <w:rFonts w:asciiTheme="minorHAnsi" w:hAnsiTheme="minorHAnsi"/>
        </w:rPr>
        <w:t>prac</w:t>
      </w:r>
      <w:proofErr w:type="spellEnd"/>
      <w:r w:rsidRPr="7BC75282">
        <w:rPr>
          <w:rFonts w:asciiTheme="minorHAnsi" w:hAnsiTheme="minorHAnsi"/>
        </w:rPr>
        <w:t xml:space="preserve"> unit delivered by the provider</w:t>
      </w:r>
      <w:r w:rsidR="3FA02926" w:rsidRPr="7BC75282">
        <w:rPr>
          <w:rFonts w:asciiTheme="minorHAnsi" w:hAnsiTheme="minorHAnsi"/>
        </w:rPr>
        <w:t xml:space="preserve"> during the year</w:t>
      </w:r>
      <w:r w:rsidRPr="7BC75282">
        <w:rPr>
          <w:rFonts w:asciiTheme="minorHAnsi" w:hAnsiTheme="minorHAnsi"/>
        </w:rPr>
        <w:t>, and is a Commonwealth supported student in relation to that unit</w:t>
      </w:r>
      <w:r w:rsidR="008D33FC">
        <w:rPr>
          <w:rFonts w:asciiTheme="minorHAnsi" w:hAnsiTheme="minorHAnsi"/>
        </w:rPr>
        <w:t xml:space="preserve"> or a student the provider reasonably expects will be a Commonwealth supported student in relation to that unit</w:t>
      </w:r>
      <w:r w:rsidRPr="7BC75282">
        <w:rPr>
          <w:rFonts w:asciiTheme="minorHAnsi" w:hAnsiTheme="minorHAnsi"/>
        </w:rPr>
        <w:t xml:space="preserve">, and must, as part of the requirements to complete the unit, participate in a mandatory placement </w:t>
      </w:r>
      <w:r w:rsidR="009717F5">
        <w:rPr>
          <w:rFonts w:asciiTheme="minorHAnsi" w:hAnsiTheme="minorHAnsi"/>
        </w:rPr>
        <w:t>for</w:t>
      </w:r>
      <w:r w:rsidR="00FB45E4">
        <w:rPr>
          <w:rFonts w:asciiTheme="minorHAnsi" w:hAnsiTheme="minorHAnsi"/>
        </w:rPr>
        <w:t xml:space="preserve"> a week </w:t>
      </w:r>
      <w:r w:rsidRPr="7BC75282">
        <w:rPr>
          <w:rFonts w:asciiTheme="minorHAnsi" w:hAnsiTheme="minorHAnsi"/>
        </w:rPr>
        <w:t>that</w:t>
      </w:r>
      <w:r w:rsidR="00AD0082">
        <w:rPr>
          <w:rFonts w:asciiTheme="minorHAnsi" w:hAnsiTheme="minorHAnsi"/>
        </w:rPr>
        <w:t xml:space="preserve"> either</w:t>
      </w:r>
      <w:r w:rsidRPr="7BC75282">
        <w:rPr>
          <w:rFonts w:asciiTheme="minorHAnsi" w:hAnsiTheme="minorHAnsi"/>
        </w:rPr>
        <w:t xml:space="preserve"> </w:t>
      </w:r>
      <w:r w:rsidR="00AD0082">
        <w:rPr>
          <w:rFonts w:asciiTheme="minorHAnsi" w:hAnsiTheme="minorHAnsi"/>
        </w:rPr>
        <w:lastRenderedPageBreak/>
        <w:t>commence</w:t>
      </w:r>
      <w:r w:rsidR="00210933">
        <w:rPr>
          <w:rFonts w:asciiTheme="minorHAnsi" w:hAnsiTheme="minorHAnsi"/>
        </w:rPr>
        <w:t>s</w:t>
      </w:r>
      <w:r w:rsidR="00AD0082">
        <w:rPr>
          <w:rFonts w:asciiTheme="minorHAnsi" w:hAnsiTheme="minorHAnsi"/>
        </w:rPr>
        <w:t xml:space="preserve"> prior to </w:t>
      </w:r>
      <w:r w:rsidRPr="7BC75282">
        <w:rPr>
          <w:rFonts w:asciiTheme="minorHAnsi" w:hAnsiTheme="minorHAnsi"/>
        </w:rPr>
        <w:t>1 July 2025</w:t>
      </w:r>
      <w:r w:rsidR="006B694C">
        <w:rPr>
          <w:rFonts w:asciiTheme="minorHAnsi" w:hAnsiTheme="minorHAnsi"/>
        </w:rPr>
        <w:t xml:space="preserve"> and includes 1 July 2025</w:t>
      </w:r>
      <w:r w:rsidR="00FB45E4">
        <w:rPr>
          <w:rFonts w:asciiTheme="minorHAnsi" w:hAnsiTheme="minorHAnsi"/>
        </w:rPr>
        <w:t>,</w:t>
      </w:r>
      <w:r w:rsidR="00AD0082">
        <w:rPr>
          <w:rFonts w:asciiTheme="minorHAnsi" w:hAnsiTheme="minorHAnsi"/>
        </w:rPr>
        <w:t xml:space="preserve"> or</w:t>
      </w:r>
      <w:r w:rsidR="00FB45E4">
        <w:rPr>
          <w:rFonts w:asciiTheme="minorHAnsi" w:hAnsiTheme="minorHAnsi"/>
        </w:rPr>
        <w:t xml:space="preserve"> </w:t>
      </w:r>
      <w:r w:rsidR="00AD0082">
        <w:rPr>
          <w:rFonts w:asciiTheme="minorHAnsi" w:hAnsiTheme="minorHAnsi"/>
        </w:rPr>
        <w:t>commences on or after 1 July 2025</w:t>
      </w:r>
      <w:r w:rsidR="6A56EF22" w:rsidRPr="7BC75282">
        <w:rPr>
          <w:rFonts w:asciiTheme="minorHAnsi" w:hAnsiTheme="minorHAnsi"/>
        </w:rPr>
        <w:t>.</w:t>
      </w:r>
    </w:p>
    <w:p w14:paraId="5D7E2726" w14:textId="547EF3BD" w:rsidR="23B5E70A" w:rsidRDefault="23B5E70A" w:rsidP="7BC75282">
      <w:pPr>
        <w:pStyle w:val="ListParagraph"/>
        <w:numPr>
          <w:ilvl w:val="0"/>
          <w:numId w:val="1"/>
        </w:numPr>
        <w:spacing w:before="360" w:after="120"/>
        <w:rPr>
          <w:rFonts w:asciiTheme="minorHAnsi" w:hAnsiTheme="minorHAnsi"/>
        </w:rPr>
      </w:pPr>
      <w:r w:rsidRPr="7BC75282">
        <w:rPr>
          <w:rFonts w:asciiTheme="minorHAnsi" w:hAnsiTheme="minorHAnsi"/>
        </w:rPr>
        <w:t>New subsection 8</w:t>
      </w:r>
      <w:r w:rsidR="6A0B4B19" w:rsidRPr="7BC75282">
        <w:rPr>
          <w:rFonts w:asciiTheme="minorHAnsi" w:hAnsiTheme="minorHAnsi"/>
        </w:rPr>
        <w:t>4</w:t>
      </w:r>
      <w:r w:rsidRPr="7BC75282">
        <w:rPr>
          <w:rFonts w:asciiTheme="minorHAnsi" w:hAnsiTheme="minorHAnsi"/>
        </w:rPr>
        <w:t xml:space="preserve">(2) provides that for the purposes of </w:t>
      </w:r>
      <w:r w:rsidR="6EBCE56F" w:rsidRPr="7BC75282">
        <w:rPr>
          <w:rFonts w:asciiTheme="minorHAnsi" w:hAnsiTheme="minorHAnsi"/>
        </w:rPr>
        <w:t>Part 13</w:t>
      </w:r>
      <w:r w:rsidRPr="7BC75282">
        <w:rPr>
          <w:rFonts w:asciiTheme="minorHAnsi" w:hAnsiTheme="minorHAnsi"/>
        </w:rPr>
        <w:t xml:space="preserve">, an ‘eligible midwifery (clinical placement) </w:t>
      </w:r>
      <w:proofErr w:type="spellStart"/>
      <w:r w:rsidRPr="7BC75282">
        <w:rPr>
          <w:rFonts w:asciiTheme="minorHAnsi" w:hAnsiTheme="minorHAnsi"/>
        </w:rPr>
        <w:t>prac</w:t>
      </w:r>
      <w:proofErr w:type="spellEnd"/>
      <w:r w:rsidRPr="7BC75282">
        <w:rPr>
          <w:rFonts w:asciiTheme="minorHAnsi" w:hAnsiTheme="minorHAnsi"/>
        </w:rPr>
        <w:t xml:space="preserve"> student’, ‘eligible midwifery (continuity of care) </w:t>
      </w:r>
      <w:proofErr w:type="spellStart"/>
      <w:r w:rsidRPr="7BC75282">
        <w:rPr>
          <w:rFonts w:asciiTheme="minorHAnsi" w:hAnsiTheme="minorHAnsi"/>
        </w:rPr>
        <w:t>prac</w:t>
      </w:r>
      <w:proofErr w:type="spellEnd"/>
      <w:r w:rsidRPr="7BC75282">
        <w:rPr>
          <w:rFonts w:asciiTheme="minorHAnsi" w:hAnsiTheme="minorHAnsi"/>
        </w:rPr>
        <w:t xml:space="preserve"> student’, ‘eligible nursing </w:t>
      </w:r>
      <w:proofErr w:type="spellStart"/>
      <w:r w:rsidRPr="7BC75282">
        <w:rPr>
          <w:rFonts w:asciiTheme="minorHAnsi" w:hAnsiTheme="minorHAnsi"/>
        </w:rPr>
        <w:t>prac</w:t>
      </w:r>
      <w:proofErr w:type="spellEnd"/>
      <w:r w:rsidRPr="7BC75282">
        <w:rPr>
          <w:rFonts w:asciiTheme="minorHAnsi" w:hAnsiTheme="minorHAnsi"/>
        </w:rPr>
        <w:t xml:space="preserve"> student’, ‘eligible social work </w:t>
      </w:r>
      <w:proofErr w:type="spellStart"/>
      <w:r w:rsidRPr="7BC75282">
        <w:rPr>
          <w:rFonts w:asciiTheme="minorHAnsi" w:hAnsiTheme="minorHAnsi"/>
        </w:rPr>
        <w:t>prac</w:t>
      </w:r>
      <w:proofErr w:type="spellEnd"/>
      <w:r w:rsidRPr="7BC75282">
        <w:rPr>
          <w:rFonts w:asciiTheme="minorHAnsi" w:hAnsiTheme="minorHAnsi"/>
        </w:rPr>
        <w:t xml:space="preserve"> student’</w:t>
      </w:r>
      <w:r w:rsidR="00CF6651" w:rsidRPr="7BC75282">
        <w:rPr>
          <w:rFonts w:asciiTheme="minorHAnsi" w:hAnsiTheme="minorHAnsi"/>
        </w:rPr>
        <w:t>,</w:t>
      </w:r>
      <w:r w:rsidRPr="7BC75282">
        <w:rPr>
          <w:rFonts w:asciiTheme="minorHAnsi" w:hAnsiTheme="minorHAnsi"/>
        </w:rPr>
        <w:t xml:space="preserve"> ‘eligible teaching</w:t>
      </w:r>
      <w:r w:rsidR="002D0EFF" w:rsidRPr="7BC75282">
        <w:rPr>
          <w:rFonts w:asciiTheme="minorHAnsi" w:hAnsiTheme="minorHAnsi"/>
        </w:rPr>
        <w:t xml:space="preserve"> (bachelor)</w:t>
      </w:r>
      <w:r w:rsidRPr="7BC75282">
        <w:rPr>
          <w:rFonts w:asciiTheme="minorHAnsi" w:hAnsiTheme="minorHAnsi"/>
        </w:rPr>
        <w:t xml:space="preserve"> </w:t>
      </w:r>
      <w:proofErr w:type="spellStart"/>
      <w:r w:rsidRPr="7BC75282">
        <w:rPr>
          <w:rFonts w:asciiTheme="minorHAnsi" w:hAnsiTheme="minorHAnsi"/>
        </w:rPr>
        <w:t>prac</w:t>
      </w:r>
      <w:proofErr w:type="spellEnd"/>
      <w:r w:rsidRPr="7BC75282">
        <w:rPr>
          <w:rFonts w:asciiTheme="minorHAnsi" w:hAnsiTheme="minorHAnsi"/>
        </w:rPr>
        <w:t xml:space="preserve"> student’</w:t>
      </w:r>
      <w:r w:rsidR="002D0EFF" w:rsidRPr="7BC75282">
        <w:rPr>
          <w:rFonts w:asciiTheme="minorHAnsi" w:hAnsiTheme="minorHAnsi"/>
        </w:rPr>
        <w:t xml:space="preserve">, </w:t>
      </w:r>
      <w:r w:rsidR="00CF6651" w:rsidRPr="7BC75282">
        <w:rPr>
          <w:rFonts w:asciiTheme="minorHAnsi" w:hAnsiTheme="minorHAnsi"/>
        </w:rPr>
        <w:t xml:space="preserve">and an </w:t>
      </w:r>
      <w:r w:rsidR="002D0EFF" w:rsidRPr="7BC75282">
        <w:rPr>
          <w:rFonts w:asciiTheme="minorHAnsi" w:hAnsiTheme="minorHAnsi"/>
        </w:rPr>
        <w:t xml:space="preserve">‘eligible teaching (master’s) </w:t>
      </w:r>
      <w:proofErr w:type="spellStart"/>
      <w:r w:rsidR="002D0EFF" w:rsidRPr="7BC75282">
        <w:rPr>
          <w:rFonts w:asciiTheme="minorHAnsi" w:hAnsiTheme="minorHAnsi"/>
        </w:rPr>
        <w:t>prac</w:t>
      </w:r>
      <w:proofErr w:type="spellEnd"/>
      <w:r w:rsidR="002D0EFF" w:rsidRPr="7BC75282">
        <w:rPr>
          <w:rFonts w:asciiTheme="minorHAnsi" w:hAnsiTheme="minorHAnsi"/>
        </w:rPr>
        <w:t xml:space="preserve"> student’</w:t>
      </w:r>
      <w:r w:rsidR="00A241FB" w:rsidRPr="7BC75282">
        <w:rPr>
          <w:rFonts w:asciiTheme="minorHAnsi" w:hAnsiTheme="minorHAnsi"/>
        </w:rPr>
        <w:t xml:space="preserve"> </w:t>
      </w:r>
      <w:r w:rsidRPr="7BC75282">
        <w:rPr>
          <w:rFonts w:asciiTheme="minorHAnsi" w:hAnsiTheme="minorHAnsi"/>
        </w:rPr>
        <w:t xml:space="preserve">for a provider for a year is an eligible </w:t>
      </w:r>
      <w:proofErr w:type="spellStart"/>
      <w:r w:rsidRPr="7BC75282">
        <w:rPr>
          <w:rFonts w:asciiTheme="minorHAnsi" w:hAnsiTheme="minorHAnsi"/>
        </w:rPr>
        <w:t>prac</w:t>
      </w:r>
      <w:proofErr w:type="spellEnd"/>
      <w:r w:rsidRPr="7BC75282">
        <w:rPr>
          <w:rFonts w:asciiTheme="minorHAnsi" w:hAnsiTheme="minorHAnsi"/>
        </w:rPr>
        <w:t xml:space="preserve"> student that must participate in a mandatory placement </w:t>
      </w:r>
      <w:r w:rsidR="6EBCE56F" w:rsidRPr="7BC75282">
        <w:rPr>
          <w:rFonts w:asciiTheme="minorHAnsi" w:hAnsiTheme="minorHAnsi"/>
        </w:rPr>
        <w:t>for a</w:t>
      </w:r>
      <w:r w:rsidRPr="7BC75282">
        <w:rPr>
          <w:rFonts w:asciiTheme="minorHAnsi" w:hAnsiTheme="minorHAnsi"/>
        </w:rPr>
        <w:t xml:space="preserve"> </w:t>
      </w:r>
      <w:r w:rsidR="7FA26971" w:rsidRPr="7BC75282">
        <w:rPr>
          <w:rFonts w:asciiTheme="minorHAnsi" w:hAnsiTheme="minorHAnsi"/>
        </w:rPr>
        <w:t>unit</w:t>
      </w:r>
      <w:r w:rsidRPr="7BC75282">
        <w:rPr>
          <w:rFonts w:asciiTheme="minorHAnsi" w:hAnsiTheme="minorHAnsi"/>
        </w:rPr>
        <w:t xml:space="preserve"> in their course of study</w:t>
      </w:r>
      <w:r w:rsidR="6EBCE56F" w:rsidRPr="7BC75282">
        <w:rPr>
          <w:rFonts w:asciiTheme="minorHAnsi" w:hAnsiTheme="minorHAnsi"/>
        </w:rPr>
        <w:t xml:space="preserve"> in midwifery, nursing, social work, or teaching (as relevant)</w:t>
      </w:r>
      <w:r w:rsidRPr="7BC75282">
        <w:rPr>
          <w:rFonts w:asciiTheme="minorHAnsi" w:hAnsiTheme="minorHAnsi"/>
        </w:rPr>
        <w:t>.</w:t>
      </w:r>
      <w:r w:rsidR="00FCACF9" w:rsidRPr="7BC75282">
        <w:rPr>
          <w:rFonts w:asciiTheme="minorHAnsi" w:hAnsiTheme="minorHAnsi"/>
        </w:rPr>
        <w:t xml:space="preserve"> </w:t>
      </w:r>
    </w:p>
    <w:p w14:paraId="2231D863" w14:textId="772B79ED" w:rsidR="70CCAC0B" w:rsidRDefault="70CCAC0B" w:rsidP="7BC75282">
      <w:pPr>
        <w:pStyle w:val="ListParagraph"/>
        <w:numPr>
          <w:ilvl w:val="0"/>
          <w:numId w:val="1"/>
        </w:numPr>
        <w:spacing w:before="360" w:after="120"/>
        <w:rPr>
          <w:rFonts w:asciiTheme="minorHAnsi" w:hAnsiTheme="minorHAnsi"/>
        </w:rPr>
      </w:pPr>
      <w:r w:rsidRPr="7BC75282">
        <w:rPr>
          <w:rFonts w:asciiTheme="minorHAnsi" w:hAnsiTheme="minorHAnsi"/>
        </w:rPr>
        <w:t>S</w:t>
      </w:r>
      <w:r w:rsidR="00FCACF9" w:rsidRPr="7BC75282">
        <w:rPr>
          <w:rFonts w:asciiTheme="minorHAnsi" w:hAnsiTheme="minorHAnsi"/>
        </w:rPr>
        <w:t>ubsection</w:t>
      </w:r>
      <w:r w:rsidR="567DD04C" w:rsidRPr="7BC75282">
        <w:rPr>
          <w:rFonts w:asciiTheme="minorHAnsi" w:hAnsiTheme="minorHAnsi"/>
        </w:rPr>
        <w:t xml:space="preserve"> 84(2)</w:t>
      </w:r>
      <w:r w:rsidR="00FCACF9" w:rsidRPr="7BC75282">
        <w:rPr>
          <w:rFonts w:asciiTheme="minorHAnsi" w:hAnsiTheme="minorHAnsi"/>
        </w:rPr>
        <w:t xml:space="preserve"> also provides that an </w:t>
      </w:r>
      <w:r w:rsidR="5C93BDCA" w:rsidRPr="7BC75282">
        <w:rPr>
          <w:rFonts w:asciiTheme="minorHAnsi" w:hAnsiTheme="minorHAnsi"/>
        </w:rPr>
        <w:t>‘</w:t>
      </w:r>
      <w:r w:rsidR="00FCACF9" w:rsidRPr="7BC75282">
        <w:rPr>
          <w:rFonts w:asciiTheme="minorHAnsi" w:hAnsiTheme="minorHAnsi"/>
        </w:rPr>
        <w:t>exceptional circumstances student</w:t>
      </w:r>
      <w:r w:rsidR="21821009" w:rsidRPr="7BC75282">
        <w:rPr>
          <w:rFonts w:asciiTheme="minorHAnsi" w:hAnsiTheme="minorHAnsi"/>
        </w:rPr>
        <w:t>’</w:t>
      </w:r>
      <w:r w:rsidR="3066E791" w:rsidRPr="7BC75282">
        <w:rPr>
          <w:rFonts w:asciiTheme="minorHAnsi" w:hAnsiTheme="minorHAnsi"/>
        </w:rPr>
        <w:t xml:space="preserve"> of </w:t>
      </w:r>
      <w:r w:rsidR="2585FBEE" w:rsidRPr="7BC75282">
        <w:rPr>
          <w:rFonts w:asciiTheme="minorHAnsi" w:hAnsiTheme="minorHAnsi"/>
        </w:rPr>
        <w:t xml:space="preserve">a provider for a year is an eligible </w:t>
      </w:r>
      <w:proofErr w:type="spellStart"/>
      <w:r w:rsidR="2585FBEE" w:rsidRPr="7BC75282">
        <w:rPr>
          <w:rFonts w:asciiTheme="minorHAnsi" w:hAnsiTheme="minorHAnsi"/>
        </w:rPr>
        <w:t>prac</w:t>
      </w:r>
      <w:proofErr w:type="spellEnd"/>
      <w:r w:rsidR="2585FBEE" w:rsidRPr="7BC75282">
        <w:rPr>
          <w:rFonts w:asciiTheme="minorHAnsi" w:hAnsiTheme="minorHAnsi"/>
        </w:rPr>
        <w:t xml:space="preserve"> student </w:t>
      </w:r>
      <w:r w:rsidR="00E401EF" w:rsidRPr="7BC75282">
        <w:rPr>
          <w:rFonts w:asciiTheme="minorHAnsi" w:hAnsiTheme="minorHAnsi"/>
        </w:rPr>
        <w:t>who</w:t>
      </w:r>
      <w:r w:rsidR="22818B07" w:rsidRPr="7BC75282">
        <w:rPr>
          <w:rFonts w:asciiTheme="minorHAnsi" w:hAnsiTheme="minorHAnsi"/>
        </w:rPr>
        <w:t xml:space="preserve"> must participate in a mandatory placement for a unit in their course of study in midwifery, nursing, social work, or teaching (as relevant)</w:t>
      </w:r>
      <w:r w:rsidR="00CF6651" w:rsidRPr="7BC75282">
        <w:rPr>
          <w:rFonts w:asciiTheme="minorHAnsi" w:hAnsiTheme="minorHAnsi"/>
        </w:rPr>
        <w:t>,</w:t>
      </w:r>
      <w:r w:rsidR="22818B07" w:rsidRPr="7BC75282">
        <w:rPr>
          <w:rFonts w:asciiTheme="minorHAnsi" w:hAnsiTheme="minorHAnsi"/>
        </w:rPr>
        <w:t xml:space="preserve"> and</w:t>
      </w:r>
      <w:r w:rsidR="00E401EF" w:rsidRPr="7BC75282">
        <w:rPr>
          <w:rFonts w:asciiTheme="minorHAnsi" w:hAnsiTheme="minorHAnsi"/>
        </w:rPr>
        <w:t xml:space="preserve"> </w:t>
      </w:r>
      <w:r w:rsidR="002F51F5" w:rsidRPr="7BC75282">
        <w:rPr>
          <w:rFonts w:asciiTheme="minorHAnsi" w:hAnsiTheme="minorHAnsi"/>
        </w:rPr>
        <w:t xml:space="preserve">to </w:t>
      </w:r>
      <w:r w:rsidR="00E401EF" w:rsidRPr="7BC75282">
        <w:rPr>
          <w:rFonts w:asciiTheme="minorHAnsi" w:hAnsiTheme="minorHAnsi"/>
        </w:rPr>
        <w:t>who</w:t>
      </w:r>
      <w:r w:rsidR="002F51F5" w:rsidRPr="7BC75282">
        <w:rPr>
          <w:rFonts w:asciiTheme="minorHAnsi" w:hAnsiTheme="minorHAnsi"/>
        </w:rPr>
        <w:t>m</w:t>
      </w:r>
      <w:r w:rsidR="22818B07" w:rsidRPr="7BC75282">
        <w:rPr>
          <w:rFonts w:asciiTheme="minorHAnsi" w:hAnsiTheme="minorHAnsi"/>
        </w:rPr>
        <w:t xml:space="preserve"> the provider is satisfied that exceptional circumstances apply, such that, </w:t>
      </w:r>
      <w:r w:rsidR="00CF6651" w:rsidRPr="7BC75282">
        <w:rPr>
          <w:rFonts w:asciiTheme="minorHAnsi" w:hAnsiTheme="minorHAnsi"/>
        </w:rPr>
        <w:t xml:space="preserve">because of their exceptional circumstances, </w:t>
      </w:r>
      <w:r w:rsidR="22818B07" w:rsidRPr="7BC75282">
        <w:rPr>
          <w:rFonts w:asciiTheme="minorHAnsi" w:hAnsiTheme="minorHAnsi"/>
        </w:rPr>
        <w:t xml:space="preserve">they </w:t>
      </w:r>
      <w:r w:rsidR="00E27651">
        <w:rPr>
          <w:rFonts w:asciiTheme="minorHAnsi" w:hAnsiTheme="minorHAnsi"/>
        </w:rPr>
        <w:t>do not</w:t>
      </w:r>
      <w:r w:rsidR="22818B07" w:rsidRPr="7BC75282">
        <w:rPr>
          <w:rFonts w:asciiTheme="minorHAnsi" w:hAnsiTheme="minorHAnsi"/>
        </w:rPr>
        <w:t xml:space="preserve"> mee</w:t>
      </w:r>
      <w:r w:rsidR="00E436AD" w:rsidRPr="7BC75282">
        <w:rPr>
          <w:rFonts w:asciiTheme="minorHAnsi" w:hAnsiTheme="minorHAnsi"/>
        </w:rPr>
        <w:t>t</w:t>
      </w:r>
      <w:r w:rsidR="22818B07" w:rsidRPr="7BC75282">
        <w:rPr>
          <w:rFonts w:asciiTheme="minorHAnsi" w:hAnsiTheme="minorHAnsi"/>
        </w:rPr>
        <w:t xml:space="preserve"> the requirements in </w:t>
      </w:r>
      <w:r w:rsidR="005F5CF3" w:rsidRPr="7BC75282">
        <w:rPr>
          <w:rFonts w:asciiTheme="minorHAnsi" w:hAnsiTheme="minorHAnsi"/>
        </w:rPr>
        <w:t xml:space="preserve">subsection </w:t>
      </w:r>
      <w:r w:rsidR="22818B07" w:rsidRPr="7BC75282">
        <w:rPr>
          <w:rFonts w:asciiTheme="minorHAnsi" w:hAnsiTheme="minorHAnsi"/>
        </w:rPr>
        <w:t>86(3) in relation to the manda</w:t>
      </w:r>
      <w:r w:rsidR="20DBFDD4" w:rsidRPr="7BC75282">
        <w:rPr>
          <w:rFonts w:asciiTheme="minorHAnsi" w:hAnsiTheme="minorHAnsi"/>
        </w:rPr>
        <w:t>tory placement.</w:t>
      </w:r>
    </w:p>
    <w:p w14:paraId="2FB7548E" w14:textId="77B44F43" w:rsidR="007702B4" w:rsidRDefault="00BB7B6C"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The note </w:t>
      </w:r>
      <w:r w:rsidR="00066499" w:rsidRPr="7BC75282">
        <w:rPr>
          <w:rFonts w:asciiTheme="minorHAnsi" w:hAnsiTheme="minorHAnsi"/>
        </w:rPr>
        <w:t>under</w:t>
      </w:r>
      <w:r w:rsidRPr="7BC75282">
        <w:rPr>
          <w:rFonts w:asciiTheme="minorHAnsi" w:hAnsiTheme="minorHAnsi"/>
        </w:rPr>
        <w:t xml:space="preserve"> subsection 84(2) clarifies that the Minister has the power under subsection 41-25(2) of the Act to impose further condition on grants, including conditions on when a provider can be satisfied that a student </w:t>
      </w:r>
      <w:r w:rsidR="00CF6651" w:rsidRPr="7BC75282">
        <w:rPr>
          <w:rFonts w:asciiTheme="minorHAnsi" w:hAnsiTheme="minorHAnsi"/>
        </w:rPr>
        <w:t>had</w:t>
      </w:r>
      <w:r w:rsidRPr="7BC75282">
        <w:rPr>
          <w:rFonts w:asciiTheme="minorHAnsi" w:hAnsiTheme="minorHAnsi"/>
        </w:rPr>
        <w:t xml:space="preserve"> ‘exceptional circumstances’</w:t>
      </w:r>
      <w:r w:rsidR="00BF3581">
        <w:rPr>
          <w:rFonts w:asciiTheme="minorHAnsi" w:hAnsiTheme="minorHAnsi"/>
        </w:rPr>
        <w:t xml:space="preserve">, and evidence that a provider must retain in relation to students that the provider determines are ‘exceptional circumstances </w:t>
      </w:r>
      <w:proofErr w:type="gramStart"/>
      <w:r w:rsidR="00BF3581">
        <w:rPr>
          <w:rFonts w:asciiTheme="minorHAnsi" w:hAnsiTheme="minorHAnsi"/>
        </w:rPr>
        <w:t>students’</w:t>
      </w:r>
      <w:proofErr w:type="gramEnd"/>
      <w:r w:rsidRPr="7BC75282">
        <w:rPr>
          <w:rFonts w:asciiTheme="minorHAnsi" w:hAnsiTheme="minorHAnsi"/>
        </w:rPr>
        <w:t>.</w:t>
      </w:r>
    </w:p>
    <w:p w14:paraId="44CAFEDA" w14:textId="4780AC17" w:rsidR="000C2B09" w:rsidRPr="0042041D" w:rsidRDefault="6EBCE56F" w:rsidP="367BCE8E">
      <w:pPr>
        <w:spacing w:before="360" w:after="120"/>
        <w:rPr>
          <w:rFonts w:asciiTheme="minorHAnsi" w:hAnsiTheme="minorHAnsi"/>
          <w:b/>
          <w:bCs/>
        </w:rPr>
      </w:pPr>
      <w:r w:rsidRPr="367BCE8E">
        <w:rPr>
          <w:rFonts w:asciiTheme="minorHAnsi" w:hAnsiTheme="minorHAnsi"/>
          <w:b/>
          <w:bCs/>
        </w:rPr>
        <w:t>Section 85</w:t>
      </w:r>
    </w:p>
    <w:p w14:paraId="033B8922" w14:textId="3DF55FE7" w:rsidR="00E165E4" w:rsidRDefault="6EBCE56F" w:rsidP="7BC75282">
      <w:pPr>
        <w:pStyle w:val="ListParagraph"/>
        <w:numPr>
          <w:ilvl w:val="0"/>
          <w:numId w:val="1"/>
        </w:numPr>
        <w:spacing w:before="360" w:after="120"/>
        <w:rPr>
          <w:rFonts w:asciiTheme="minorHAnsi" w:hAnsiTheme="minorHAnsi"/>
        </w:rPr>
      </w:pPr>
      <w:r w:rsidRPr="7BC75282">
        <w:rPr>
          <w:rFonts w:asciiTheme="minorHAnsi" w:hAnsiTheme="minorHAnsi"/>
        </w:rPr>
        <w:t>N</w:t>
      </w:r>
      <w:r w:rsidR="56FE2626" w:rsidRPr="7BC75282">
        <w:rPr>
          <w:rFonts w:asciiTheme="minorHAnsi" w:hAnsiTheme="minorHAnsi"/>
        </w:rPr>
        <w:t xml:space="preserve">ew section 85 </w:t>
      </w:r>
      <w:r w:rsidRPr="7BC75282">
        <w:rPr>
          <w:rFonts w:asciiTheme="minorHAnsi" w:hAnsiTheme="minorHAnsi"/>
        </w:rPr>
        <w:t xml:space="preserve">sets out the general conditions that apply to CPP </w:t>
      </w:r>
      <w:proofErr w:type="gramStart"/>
      <w:r w:rsidRPr="7BC75282">
        <w:rPr>
          <w:rFonts w:asciiTheme="minorHAnsi" w:hAnsiTheme="minorHAnsi"/>
        </w:rPr>
        <w:t>grants, and</w:t>
      </w:r>
      <w:proofErr w:type="gramEnd"/>
      <w:r w:rsidRPr="7BC75282">
        <w:rPr>
          <w:rFonts w:asciiTheme="minorHAnsi" w:hAnsiTheme="minorHAnsi"/>
        </w:rPr>
        <w:t xml:space="preserve"> provides </w:t>
      </w:r>
      <w:r w:rsidR="7E11E22C" w:rsidRPr="7BC75282">
        <w:rPr>
          <w:rFonts w:asciiTheme="minorHAnsi" w:hAnsiTheme="minorHAnsi"/>
        </w:rPr>
        <w:t xml:space="preserve">that a </w:t>
      </w:r>
      <w:r w:rsidRPr="7BC75282">
        <w:rPr>
          <w:rFonts w:asciiTheme="minorHAnsi" w:hAnsiTheme="minorHAnsi"/>
        </w:rPr>
        <w:t xml:space="preserve">higher education </w:t>
      </w:r>
      <w:r w:rsidR="7E11E22C" w:rsidRPr="7BC75282">
        <w:rPr>
          <w:rFonts w:asciiTheme="minorHAnsi" w:hAnsiTheme="minorHAnsi"/>
        </w:rPr>
        <w:t>provider must only use the</w:t>
      </w:r>
      <w:r w:rsidRPr="7BC75282">
        <w:rPr>
          <w:rFonts w:asciiTheme="minorHAnsi" w:hAnsiTheme="minorHAnsi"/>
        </w:rPr>
        <w:t xml:space="preserve"> CPP</w:t>
      </w:r>
      <w:r w:rsidR="7E11E22C" w:rsidRPr="7BC75282">
        <w:rPr>
          <w:rFonts w:asciiTheme="minorHAnsi" w:hAnsiTheme="minorHAnsi"/>
        </w:rPr>
        <w:t xml:space="preserve"> </w:t>
      </w:r>
      <w:r w:rsidR="46236D32" w:rsidRPr="7BC75282">
        <w:rPr>
          <w:rFonts w:asciiTheme="minorHAnsi" w:hAnsiTheme="minorHAnsi"/>
        </w:rPr>
        <w:t xml:space="preserve">grant provided for a year </w:t>
      </w:r>
      <w:r w:rsidR="7E11E22C" w:rsidRPr="7BC75282">
        <w:rPr>
          <w:rFonts w:asciiTheme="minorHAnsi" w:hAnsiTheme="minorHAnsi"/>
        </w:rPr>
        <w:t xml:space="preserve">to make payments to eligible </w:t>
      </w:r>
      <w:proofErr w:type="spellStart"/>
      <w:r w:rsidR="7E11E22C" w:rsidRPr="7BC75282">
        <w:rPr>
          <w:rFonts w:asciiTheme="minorHAnsi" w:hAnsiTheme="minorHAnsi"/>
        </w:rPr>
        <w:t>prac</w:t>
      </w:r>
      <w:proofErr w:type="spellEnd"/>
      <w:r w:rsidR="7E11E22C" w:rsidRPr="7BC75282">
        <w:rPr>
          <w:rFonts w:asciiTheme="minorHAnsi" w:hAnsiTheme="minorHAnsi"/>
        </w:rPr>
        <w:t xml:space="preserve"> students for the year </w:t>
      </w:r>
      <w:r w:rsidR="49CC85CF" w:rsidRPr="7BC75282">
        <w:rPr>
          <w:rFonts w:asciiTheme="minorHAnsi" w:hAnsiTheme="minorHAnsi"/>
        </w:rPr>
        <w:t>under</w:t>
      </w:r>
      <w:r w:rsidR="7E11E22C" w:rsidRPr="7BC75282">
        <w:rPr>
          <w:rFonts w:asciiTheme="minorHAnsi" w:hAnsiTheme="minorHAnsi"/>
        </w:rPr>
        <w:t xml:space="preserve"> section 8</w:t>
      </w:r>
      <w:r w:rsidR="15D8BAD8" w:rsidRPr="7BC75282">
        <w:rPr>
          <w:rFonts w:asciiTheme="minorHAnsi" w:hAnsiTheme="minorHAnsi"/>
        </w:rPr>
        <w:t>6</w:t>
      </w:r>
      <w:r w:rsidR="7E11E22C" w:rsidRPr="7BC75282">
        <w:rPr>
          <w:rFonts w:asciiTheme="minorHAnsi" w:hAnsiTheme="minorHAnsi"/>
        </w:rPr>
        <w:t>, and administer those payments</w:t>
      </w:r>
      <w:r w:rsidR="56FE2626" w:rsidRPr="7BC75282">
        <w:rPr>
          <w:rFonts w:asciiTheme="minorHAnsi" w:hAnsiTheme="minorHAnsi"/>
        </w:rPr>
        <w:t xml:space="preserve"> </w:t>
      </w:r>
      <w:r w:rsidR="15D8BAD8" w:rsidRPr="7BC75282">
        <w:rPr>
          <w:rFonts w:asciiTheme="minorHAnsi" w:hAnsiTheme="minorHAnsi"/>
        </w:rPr>
        <w:t>(whether for that year or another year).</w:t>
      </w:r>
      <w:r w:rsidR="185E0811" w:rsidRPr="7BC75282">
        <w:rPr>
          <w:rFonts w:asciiTheme="minorHAnsi" w:hAnsiTheme="minorHAnsi"/>
        </w:rPr>
        <w:t xml:space="preserve"> </w:t>
      </w:r>
    </w:p>
    <w:p w14:paraId="567AE03F" w14:textId="5DFB3A3F" w:rsidR="00E165E4" w:rsidRDefault="49CC85CF" w:rsidP="367BCE8E">
      <w:pPr>
        <w:pStyle w:val="ListParagraph"/>
        <w:numPr>
          <w:ilvl w:val="0"/>
          <w:numId w:val="1"/>
        </w:numPr>
        <w:spacing w:before="360" w:after="120"/>
        <w:rPr>
          <w:rFonts w:asciiTheme="minorHAnsi" w:hAnsiTheme="minorHAnsi"/>
        </w:rPr>
      </w:pPr>
      <w:r w:rsidRPr="367BCE8E">
        <w:rPr>
          <w:rFonts w:asciiTheme="minorHAnsi" w:hAnsiTheme="minorHAnsi"/>
        </w:rPr>
        <w:t xml:space="preserve">The note </w:t>
      </w:r>
      <w:r w:rsidR="00EC6787">
        <w:rPr>
          <w:rFonts w:asciiTheme="minorHAnsi" w:hAnsiTheme="minorHAnsi"/>
        </w:rPr>
        <w:t>under</w:t>
      </w:r>
      <w:r w:rsidRPr="367BCE8E">
        <w:rPr>
          <w:rFonts w:asciiTheme="minorHAnsi" w:hAnsiTheme="minorHAnsi"/>
        </w:rPr>
        <w:t xml:space="preserve"> new section 85 also</w:t>
      </w:r>
      <w:r w:rsidR="69BF99EE" w:rsidRPr="367BCE8E">
        <w:rPr>
          <w:rFonts w:asciiTheme="minorHAnsi" w:hAnsiTheme="minorHAnsi"/>
        </w:rPr>
        <w:t xml:space="preserve"> </w:t>
      </w:r>
      <w:r w:rsidRPr="367BCE8E">
        <w:rPr>
          <w:rFonts w:asciiTheme="minorHAnsi" w:hAnsiTheme="minorHAnsi"/>
        </w:rPr>
        <w:t>highlights</w:t>
      </w:r>
      <w:r w:rsidR="69BF99EE" w:rsidRPr="367BCE8E">
        <w:rPr>
          <w:rFonts w:asciiTheme="minorHAnsi" w:hAnsiTheme="minorHAnsi"/>
        </w:rPr>
        <w:t xml:space="preserve"> that </w:t>
      </w:r>
      <w:r w:rsidR="16E10FAB" w:rsidRPr="367BCE8E">
        <w:rPr>
          <w:rFonts w:asciiTheme="minorHAnsi" w:hAnsiTheme="minorHAnsi"/>
        </w:rPr>
        <w:t xml:space="preserve">the Minister can impose other conditions on grants, including conditions on reporting, under subsection 41-25(2) of </w:t>
      </w:r>
      <w:r w:rsidR="24E5186A" w:rsidRPr="367BCE8E">
        <w:rPr>
          <w:rFonts w:asciiTheme="minorHAnsi" w:hAnsiTheme="minorHAnsi"/>
        </w:rPr>
        <w:t>the Act</w:t>
      </w:r>
      <w:r w:rsidR="16E10FAB" w:rsidRPr="367BCE8E">
        <w:rPr>
          <w:rFonts w:asciiTheme="minorHAnsi" w:hAnsiTheme="minorHAnsi"/>
        </w:rPr>
        <w:t>.</w:t>
      </w:r>
    </w:p>
    <w:p w14:paraId="16969745" w14:textId="6669199A" w:rsidR="00E165E4" w:rsidRPr="0042041D" w:rsidRDefault="49CC85CF" w:rsidP="367BCE8E">
      <w:pPr>
        <w:keepNext/>
        <w:spacing w:before="360" w:after="120"/>
        <w:rPr>
          <w:rFonts w:asciiTheme="minorHAnsi" w:hAnsiTheme="minorHAnsi"/>
          <w:b/>
          <w:bCs/>
        </w:rPr>
      </w:pPr>
      <w:r w:rsidRPr="367BCE8E">
        <w:rPr>
          <w:rFonts w:asciiTheme="minorHAnsi" w:hAnsiTheme="minorHAnsi"/>
          <w:b/>
          <w:bCs/>
        </w:rPr>
        <w:t>Section 86</w:t>
      </w:r>
    </w:p>
    <w:p w14:paraId="5398B543" w14:textId="5A9FCBF4" w:rsidR="001B49A6" w:rsidRDefault="49CC85CF" w:rsidP="7BC75282">
      <w:pPr>
        <w:pStyle w:val="ListParagraph"/>
        <w:numPr>
          <w:ilvl w:val="0"/>
          <w:numId w:val="1"/>
        </w:numPr>
        <w:spacing w:before="360" w:after="120"/>
        <w:rPr>
          <w:rFonts w:asciiTheme="minorHAnsi" w:hAnsiTheme="minorHAnsi"/>
        </w:rPr>
      </w:pPr>
      <w:r w:rsidRPr="7BC75282">
        <w:rPr>
          <w:rFonts w:asciiTheme="minorHAnsi" w:hAnsiTheme="minorHAnsi"/>
        </w:rPr>
        <w:t xml:space="preserve">New section 86 sets out the conditions that apply to CPP grants in relation to higher education providers’ payments to eligible </w:t>
      </w:r>
      <w:proofErr w:type="spellStart"/>
      <w:r w:rsidRPr="7BC75282">
        <w:rPr>
          <w:rFonts w:asciiTheme="minorHAnsi" w:hAnsiTheme="minorHAnsi"/>
        </w:rPr>
        <w:t>prac</w:t>
      </w:r>
      <w:proofErr w:type="spellEnd"/>
      <w:r w:rsidRPr="7BC75282">
        <w:rPr>
          <w:rFonts w:asciiTheme="minorHAnsi" w:hAnsiTheme="minorHAnsi"/>
        </w:rPr>
        <w:t xml:space="preserve"> students.</w:t>
      </w:r>
    </w:p>
    <w:p w14:paraId="4EF9E351" w14:textId="4B52FD1D" w:rsidR="00726587" w:rsidRDefault="71C75CF3" w:rsidP="7BC75282">
      <w:pPr>
        <w:numPr>
          <w:ilvl w:val="0"/>
          <w:numId w:val="1"/>
        </w:numPr>
        <w:spacing w:before="120" w:after="120"/>
        <w:rPr>
          <w:rFonts w:asciiTheme="minorHAnsi" w:hAnsiTheme="minorHAnsi"/>
        </w:rPr>
      </w:pPr>
      <w:r w:rsidRPr="7BC75282">
        <w:rPr>
          <w:rFonts w:asciiTheme="minorHAnsi" w:hAnsiTheme="minorHAnsi"/>
        </w:rPr>
        <w:t xml:space="preserve">New subsection 86(1) provides that a provider must </w:t>
      </w:r>
      <w:r w:rsidR="25D0893A" w:rsidRPr="7BC75282">
        <w:rPr>
          <w:rFonts w:asciiTheme="minorHAnsi" w:hAnsiTheme="minorHAnsi"/>
        </w:rPr>
        <w:t>provide</w:t>
      </w:r>
      <w:r w:rsidR="1D9AE778" w:rsidRPr="7BC75282">
        <w:rPr>
          <w:rFonts w:asciiTheme="minorHAnsi" w:hAnsiTheme="minorHAnsi"/>
        </w:rPr>
        <w:t xml:space="preserve"> information </w:t>
      </w:r>
      <w:r w:rsidR="50758806" w:rsidRPr="7BC75282">
        <w:rPr>
          <w:rFonts w:asciiTheme="minorHAnsi" w:hAnsiTheme="minorHAnsi"/>
        </w:rPr>
        <w:t xml:space="preserve">in writing </w:t>
      </w:r>
      <w:r w:rsidR="1D9AE778" w:rsidRPr="7BC75282">
        <w:rPr>
          <w:rFonts w:asciiTheme="minorHAnsi" w:hAnsiTheme="minorHAnsi"/>
        </w:rPr>
        <w:t>about the CPP to</w:t>
      </w:r>
      <w:r w:rsidRPr="7BC75282">
        <w:rPr>
          <w:rFonts w:asciiTheme="minorHAnsi" w:hAnsiTheme="minorHAnsi"/>
        </w:rPr>
        <w:t xml:space="preserve"> each</w:t>
      </w:r>
      <w:r w:rsidR="00EB6903" w:rsidRPr="7BC75282">
        <w:rPr>
          <w:rFonts w:asciiTheme="minorHAnsi" w:hAnsiTheme="minorHAnsi"/>
        </w:rPr>
        <w:t xml:space="preserve"> student of the provider that the provider anticipates will become an eligible </w:t>
      </w:r>
      <w:proofErr w:type="spellStart"/>
      <w:r w:rsidR="00EB6903" w:rsidRPr="7BC75282">
        <w:rPr>
          <w:rFonts w:asciiTheme="minorHAnsi" w:hAnsiTheme="minorHAnsi"/>
        </w:rPr>
        <w:t>prac</w:t>
      </w:r>
      <w:proofErr w:type="spellEnd"/>
      <w:r w:rsidR="00EB6903" w:rsidRPr="7BC75282">
        <w:rPr>
          <w:rFonts w:asciiTheme="minorHAnsi" w:hAnsiTheme="minorHAnsi"/>
        </w:rPr>
        <w:t xml:space="preserve"> student in relation to an eligible </w:t>
      </w:r>
      <w:proofErr w:type="spellStart"/>
      <w:r w:rsidR="00EB6903" w:rsidRPr="7BC75282">
        <w:rPr>
          <w:rFonts w:asciiTheme="minorHAnsi" w:hAnsiTheme="minorHAnsi"/>
        </w:rPr>
        <w:t>prac</w:t>
      </w:r>
      <w:proofErr w:type="spellEnd"/>
      <w:r w:rsidR="00EB6903" w:rsidRPr="7BC75282">
        <w:rPr>
          <w:rFonts w:asciiTheme="minorHAnsi" w:hAnsiTheme="minorHAnsi"/>
        </w:rPr>
        <w:t xml:space="preserve"> unit to be delivered by </w:t>
      </w:r>
      <w:r w:rsidR="00EB6903" w:rsidRPr="7BC75282">
        <w:rPr>
          <w:rFonts w:asciiTheme="minorHAnsi" w:hAnsiTheme="minorHAnsi"/>
        </w:rPr>
        <w:lastRenderedPageBreak/>
        <w:t>the provider,</w:t>
      </w:r>
      <w:r w:rsidRPr="7BC75282">
        <w:rPr>
          <w:rFonts w:asciiTheme="minorHAnsi" w:hAnsiTheme="minorHAnsi"/>
        </w:rPr>
        <w:t xml:space="preserve"> </w:t>
      </w:r>
      <w:r w:rsidR="2AA55B20" w:rsidRPr="7BC75282">
        <w:rPr>
          <w:rFonts w:asciiTheme="minorHAnsi" w:hAnsiTheme="minorHAnsi"/>
        </w:rPr>
        <w:t xml:space="preserve">as soon as practicable after the student enrols in an eligible </w:t>
      </w:r>
      <w:proofErr w:type="spellStart"/>
      <w:r w:rsidR="2AA55B20" w:rsidRPr="7BC75282">
        <w:rPr>
          <w:rFonts w:asciiTheme="minorHAnsi" w:hAnsiTheme="minorHAnsi"/>
        </w:rPr>
        <w:t>prac</w:t>
      </w:r>
      <w:proofErr w:type="spellEnd"/>
      <w:r w:rsidR="2AA55B20" w:rsidRPr="7BC75282">
        <w:rPr>
          <w:rFonts w:asciiTheme="minorHAnsi" w:hAnsiTheme="minorHAnsi"/>
        </w:rPr>
        <w:t xml:space="preserve"> unit delivered by the provider. </w:t>
      </w:r>
    </w:p>
    <w:p w14:paraId="4B023270" w14:textId="1A4A2FFC" w:rsidR="00836BE1" w:rsidRPr="000B284F" w:rsidRDefault="49CC85CF" w:rsidP="367BCE8E">
      <w:pPr>
        <w:pStyle w:val="ListParagraph"/>
        <w:numPr>
          <w:ilvl w:val="0"/>
          <w:numId w:val="1"/>
        </w:numPr>
        <w:spacing w:before="120" w:after="120"/>
        <w:rPr>
          <w:rFonts w:asciiTheme="minorHAnsi" w:hAnsiTheme="minorHAnsi"/>
        </w:rPr>
      </w:pPr>
      <w:r w:rsidRPr="367BCE8E">
        <w:rPr>
          <w:rFonts w:asciiTheme="minorHAnsi" w:hAnsiTheme="minorHAnsi"/>
        </w:rPr>
        <w:t>New s</w:t>
      </w:r>
      <w:r w:rsidR="2AA55B20" w:rsidRPr="367BCE8E">
        <w:rPr>
          <w:rFonts w:asciiTheme="minorHAnsi" w:hAnsiTheme="minorHAnsi"/>
        </w:rPr>
        <w:t>ubsection 86(2) outlines that t</w:t>
      </w:r>
      <w:r w:rsidR="4CE0B5B2" w:rsidRPr="367BCE8E">
        <w:rPr>
          <w:rFonts w:asciiTheme="minorHAnsi" w:hAnsiTheme="minorHAnsi"/>
        </w:rPr>
        <w:t xml:space="preserve">he information </w:t>
      </w:r>
      <w:r w:rsidR="50758806" w:rsidRPr="367BCE8E">
        <w:rPr>
          <w:rFonts w:asciiTheme="minorHAnsi" w:hAnsiTheme="minorHAnsi"/>
        </w:rPr>
        <w:t xml:space="preserve">provided must include </w:t>
      </w:r>
      <w:r w:rsidR="62AD89FB" w:rsidRPr="367BCE8E">
        <w:rPr>
          <w:rFonts w:asciiTheme="minorHAnsi" w:hAnsiTheme="minorHAnsi"/>
        </w:rPr>
        <w:t>details of</w:t>
      </w:r>
      <w:r w:rsidRPr="367BCE8E">
        <w:rPr>
          <w:rFonts w:asciiTheme="minorHAnsi" w:hAnsiTheme="minorHAnsi"/>
        </w:rPr>
        <w:t xml:space="preserve"> students’</w:t>
      </w:r>
      <w:r w:rsidR="62AD89FB" w:rsidRPr="367BCE8E">
        <w:rPr>
          <w:rFonts w:asciiTheme="minorHAnsi" w:hAnsiTheme="minorHAnsi"/>
        </w:rPr>
        <w:t xml:space="preserve"> eligibility </w:t>
      </w:r>
      <w:r w:rsidRPr="367BCE8E">
        <w:rPr>
          <w:rFonts w:asciiTheme="minorHAnsi" w:hAnsiTheme="minorHAnsi"/>
        </w:rPr>
        <w:t xml:space="preserve">for payments under the CPP, </w:t>
      </w:r>
      <w:r w:rsidR="62AD89FB" w:rsidRPr="367BCE8E">
        <w:rPr>
          <w:rFonts w:asciiTheme="minorHAnsi" w:hAnsiTheme="minorHAnsi"/>
        </w:rPr>
        <w:t>and how to apply for the payment.</w:t>
      </w:r>
    </w:p>
    <w:p w14:paraId="40B93923" w14:textId="60AB4F16" w:rsidR="000B284F" w:rsidRPr="0042041D" w:rsidRDefault="61F84614"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New subsection 8</w:t>
      </w:r>
      <w:r w:rsidR="1E07E3AF" w:rsidRPr="7BC75282">
        <w:rPr>
          <w:rFonts w:asciiTheme="minorHAnsi" w:hAnsiTheme="minorHAnsi"/>
        </w:rPr>
        <w:t>6</w:t>
      </w:r>
      <w:r w:rsidRPr="7BC75282">
        <w:rPr>
          <w:rFonts w:asciiTheme="minorHAnsi" w:hAnsiTheme="minorHAnsi"/>
        </w:rPr>
        <w:t>(3)</w:t>
      </w:r>
      <w:r w:rsidR="7608C233" w:rsidRPr="7BC75282">
        <w:rPr>
          <w:rFonts w:asciiTheme="minorHAnsi" w:hAnsiTheme="minorHAnsi"/>
        </w:rPr>
        <w:t xml:space="preserve"> </w:t>
      </w:r>
      <w:r w:rsidRPr="7BC75282">
        <w:rPr>
          <w:rFonts w:asciiTheme="minorHAnsi" w:hAnsiTheme="minorHAnsi"/>
        </w:rPr>
        <w:t>provide</w:t>
      </w:r>
      <w:r w:rsidR="2BA1F878" w:rsidRPr="7BC75282">
        <w:rPr>
          <w:rFonts w:asciiTheme="minorHAnsi" w:hAnsiTheme="minorHAnsi"/>
        </w:rPr>
        <w:t>s</w:t>
      </w:r>
      <w:r w:rsidRPr="7BC75282">
        <w:rPr>
          <w:rFonts w:asciiTheme="minorHAnsi" w:hAnsiTheme="minorHAnsi"/>
        </w:rPr>
        <w:t xml:space="preserve"> that</w:t>
      </w:r>
      <w:r w:rsidR="00612A03" w:rsidRPr="7BC75282">
        <w:rPr>
          <w:rFonts w:asciiTheme="minorHAnsi" w:hAnsiTheme="minorHAnsi"/>
        </w:rPr>
        <w:t xml:space="preserve">, subject to </w:t>
      </w:r>
      <w:r w:rsidR="00210933">
        <w:rPr>
          <w:rFonts w:asciiTheme="minorHAnsi" w:hAnsiTheme="minorHAnsi"/>
        </w:rPr>
        <w:t xml:space="preserve">subsection (9) and </w:t>
      </w:r>
      <w:r w:rsidR="00612A03" w:rsidRPr="7BC75282">
        <w:rPr>
          <w:rFonts w:asciiTheme="minorHAnsi" w:hAnsiTheme="minorHAnsi"/>
        </w:rPr>
        <w:t>new section 87,</w:t>
      </w:r>
      <w:r w:rsidRPr="7BC75282">
        <w:rPr>
          <w:rFonts w:asciiTheme="minorHAnsi" w:hAnsiTheme="minorHAnsi"/>
        </w:rPr>
        <w:t xml:space="preserve"> a provider must pay an amount equal to the weekly </w:t>
      </w:r>
      <w:proofErr w:type="spellStart"/>
      <w:r w:rsidRPr="7BC75282">
        <w:rPr>
          <w:rFonts w:asciiTheme="minorHAnsi" w:hAnsiTheme="minorHAnsi"/>
        </w:rPr>
        <w:t>Austudy</w:t>
      </w:r>
      <w:proofErr w:type="spellEnd"/>
      <w:r w:rsidRPr="7BC75282">
        <w:rPr>
          <w:rFonts w:asciiTheme="minorHAnsi" w:hAnsiTheme="minorHAnsi"/>
        </w:rPr>
        <w:t xml:space="preserve"> rate to each eligible </w:t>
      </w:r>
      <w:proofErr w:type="spellStart"/>
      <w:r w:rsidRPr="7BC75282">
        <w:rPr>
          <w:rFonts w:asciiTheme="minorHAnsi" w:hAnsiTheme="minorHAnsi"/>
        </w:rPr>
        <w:t>prac</w:t>
      </w:r>
      <w:proofErr w:type="spellEnd"/>
      <w:r w:rsidRPr="7BC75282">
        <w:rPr>
          <w:rFonts w:asciiTheme="minorHAnsi" w:hAnsiTheme="minorHAnsi"/>
        </w:rPr>
        <w:t xml:space="preserve"> student who has applied for payments</w:t>
      </w:r>
      <w:r w:rsidR="49CC85CF" w:rsidRPr="7BC75282">
        <w:rPr>
          <w:rFonts w:asciiTheme="minorHAnsi" w:hAnsiTheme="minorHAnsi"/>
        </w:rPr>
        <w:t xml:space="preserve"> under the CPP,</w:t>
      </w:r>
      <w:r w:rsidRPr="7BC75282">
        <w:rPr>
          <w:rFonts w:asciiTheme="minorHAnsi" w:hAnsiTheme="minorHAnsi"/>
        </w:rPr>
        <w:t xml:space="preserve"> in relation to each week that the student</w:t>
      </w:r>
      <w:r w:rsidR="005F5CF3" w:rsidRPr="7BC75282">
        <w:rPr>
          <w:rFonts w:asciiTheme="minorHAnsi" w:hAnsiTheme="minorHAnsi"/>
        </w:rPr>
        <w:t xml:space="preserve"> satisfies subsection 86(4) and</w:t>
      </w:r>
      <w:r w:rsidR="00036B23" w:rsidRPr="7BC75282">
        <w:rPr>
          <w:rFonts w:asciiTheme="minorHAnsi" w:hAnsiTheme="minorHAnsi"/>
        </w:rPr>
        <w:t xml:space="preserve"> either</w:t>
      </w:r>
      <w:r w:rsidR="3FA02926" w:rsidRPr="7BC75282">
        <w:rPr>
          <w:rFonts w:asciiTheme="minorHAnsi" w:hAnsiTheme="minorHAnsi"/>
        </w:rPr>
        <w:t xml:space="preserve">: </w:t>
      </w:r>
    </w:p>
    <w:p w14:paraId="76026889" w14:textId="7BA5AC4A" w:rsidR="49CC85CF" w:rsidRDefault="0044314F" w:rsidP="7BC75282">
      <w:pPr>
        <w:pStyle w:val="ListParagraph"/>
        <w:numPr>
          <w:ilvl w:val="1"/>
          <w:numId w:val="18"/>
        </w:numPr>
        <w:spacing w:before="120" w:after="120"/>
        <w:rPr>
          <w:rFonts w:asciiTheme="minorHAnsi" w:hAnsiTheme="minorHAnsi"/>
        </w:rPr>
      </w:pPr>
      <w:r w:rsidRPr="7BC75282">
        <w:rPr>
          <w:rFonts w:asciiTheme="minorHAnsi" w:hAnsiTheme="minorHAnsi"/>
        </w:rPr>
        <w:t>p</w:t>
      </w:r>
      <w:r w:rsidR="2EC655CE" w:rsidRPr="7BC75282">
        <w:rPr>
          <w:rFonts w:asciiTheme="minorHAnsi" w:hAnsiTheme="minorHAnsi"/>
        </w:rPr>
        <w:t>articipates</w:t>
      </w:r>
      <w:r w:rsidR="00680488" w:rsidRPr="7BC75282">
        <w:rPr>
          <w:rFonts w:asciiTheme="minorHAnsi" w:hAnsiTheme="minorHAnsi"/>
        </w:rPr>
        <w:t>, or has participated,</w:t>
      </w:r>
      <w:r w:rsidR="2EC655CE" w:rsidRPr="7BC75282">
        <w:rPr>
          <w:rFonts w:asciiTheme="minorHAnsi" w:hAnsiTheme="minorHAnsi"/>
        </w:rPr>
        <w:t xml:space="preserve"> in a mandatory placement for an eligible </w:t>
      </w:r>
      <w:proofErr w:type="spellStart"/>
      <w:r w:rsidR="2EC655CE" w:rsidRPr="7BC75282">
        <w:rPr>
          <w:rFonts w:asciiTheme="minorHAnsi" w:hAnsiTheme="minorHAnsi"/>
        </w:rPr>
        <w:t>prac</w:t>
      </w:r>
      <w:proofErr w:type="spellEnd"/>
      <w:r w:rsidR="2EC655CE" w:rsidRPr="7BC75282">
        <w:rPr>
          <w:rFonts w:asciiTheme="minorHAnsi" w:hAnsiTheme="minorHAnsi"/>
        </w:rPr>
        <w:t xml:space="preserve"> unit of the provider</w:t>
      </w:r>
      <w:r w:rsidR="00680488" w:rsidRPr="7BC75282">
        <w:rPr>
          <w:rFonts w:asciiTheme="minorHAnsi" w:hAnsiTheme="minorHAnsi"/>
        </w:rPr>
        <w:t xml:space="preserve"> for the number of hours </w:t>
      </w:r>
      <w:r w:rsidR="00036B23" w:rsidRPr="7BC75282">
        <w:rPr>
          <w:rFonts w:asciiTheme="minorHAnsi" w:hAnsiTheme="minorHAnsi"/>
        </w:rPr>
        <w:t>advised by</w:t>
      </w:r>
      <w:r w:rsidR="00680488" w:rsidRPr="7BC75282">
        <w:rPr>
          <w:rFonts w:asciiTheme="minorHAnsi" w:hAnsiTheme="minorHAnsi"/>
        </w:rPr>
        <w:t xml:space="preserve"> the provider for that week, consistent with subsection 86(</w:t>
      </w:r>
      <w:r w:rsidR="00741A7D">
        <w:rPr>
          <w:rFonts w:asciiTheme="minorHAnsi" w:hAnsiTheme="minorHAnsi"/>
        </w:rPr>
        <w:t>8</w:t>
      </w:r>
      <w:r w:rsidR="005F5CF3" w:rsidRPr="7BC75282">
        <w:rPr>
          <w:rFonts w:asciiTheme="minorHAnsi" w:hAnsiTheme="minorHAnsi"/>
        </w:rPr>
        <w:t>)</w:t>
      </w:r>
      <w:r w:rsidR="4B3E2EA6" w:rsidRPr="7BC75282">
        <w:rPr>
          <w:rFonts w:asciiTheme="minorHAnsi" w:hAnsiTheme="minorHAnsi"/>
        </w:rPr>
        <w:t>;</w:t>
      </w:r>
      <w:r w:rsidR="2EC655CE" w:rsidRPr="7BC75282">
        <w:rPr>
          <w:rFonts w:asciiTheme="minorHAnsi" w:hAnsiTheme="minorHAnsi"/>
        </w:rPr>
        <w:t xml:space="preserve"> </w:t>
      </w:r>
      <w:r w:rsidR="19504B99" w:rsidRPr="7BC75282">
        <w:rPr>
          <w:rFonts w:asciiTheme="minorHAnsi" w:hAnsiTheme="minorHAnsi"/>
        </w:rPr>
        <w:t>or</w:t>
      </w:r>
    </w:p>
    <w:p w14:paraId="2B34DD03" w14:textId="5A772347" w:rsidR="00203C69" w:rsidRPr="0042041D" w:rsidRDefault="3129071E" w:rsidP="005F5CF3">
      <w:pPr>
        <w:pStyle w:val="ListParagraph"/>
        <w:numPr>
          <w:ilvl w:val="1"/>
          <w:numId w:val="18"/>
        </w:numPr>
        <w:spacing w:before="120" w:after="120"/>
        <w:rPr>
          <w:rFonts w:asciiTheme="minorHAnsi" w:hAnsiTheme="minorHAnsi"/>
        </w:rPr>
      </w:pPr>
      <w:r w:rsidRPr="7BC75282">
        <w:rPr>
          <w:rFonts w:asciiTheme="minorHAnsi" w:hAnsiTheme="minorHAnsi"/>
        </w:rPr>
        <w:t xml:space="preserve">participates or has participated </w:t>
      </w:r>
      <w:r w:rsidR="608D6F6A" w:rsidRPr="7BC75282">
        <w:rPr>
          <w:rFonts w:asciiTheme="minorHAnsi" w:hAnsiTheme="minorHAnsi"/>
        </w:rPr>
        <w:t>in a mandatory</w:t>
      </w:r>
      <w:r w:rsidR="788A8B12" w:rsidRPr="7BC75282">
        <w:rPr>
          <w:rFonts w:asciiTheme="minorHAnsi" w:hAnsiTheme="minorHAnsi"/>
        </w:rPr>
        <w:t xml:space="preserve"> continuity of care </w:t>
      </w:r>
      <w:r w:rsidR="608D6F6A" w:rsidRPr="7BC75282">
        <w:rPr>
          <w:rFonts w:asciiTheme="minorHAnsi" w:hAnsiTheme="minorHAnsi"/>
        </w:rPr>
        <w:t>placement f</w:t>
      </w:r>
      <w:r w:rsidR="6018DFFD" w:rsidRPr="7BC75282">
        <w:rPr>
          <w:rFonts w:asciiTheme="minorHAnsi" w:hAnsiTheme="minorHAnsi"/>
        </w:rPr>
        <w:t>o</w:t>
      </w:r>
      <w:r w:rsidR="23977696" w:rsidRPr="7BC75282">
        <w:rPr>
          <w:rFonts w:asciiTheme="minorHAnsi" w:hAnsiTheme="minorHAnsi"/>
        </w:rPr>
        <w:t>r a course of study in midwifery</w:t>
      </w:r>
      <w:r w:rsidR="0D089EDB" w:rsidRPr="7BC75282">
        <w:rPr>
          <w:rFonts w:asciiTheme="minorHAnsi" w:hAnsiTheme="minorHAnsi"/>
        </w:rPr>
        <w:t xml:space="preserve"> that prevents the student from being able to </w:t>
      </w:r>
      <w:r w:rsidR="00950A1D" w:rsidRPr="7BC75282">
        <w:rPr>
          <w:rFonts w:asciiTheme="minorHAnsi" w:hAnsiTheme="minorHAnsi"/>
        </w:rPr>
        <w:t xml:space="preserve">maintain </w:t>
      </w:r>
      <w:r w:rsidR="0D089EDB" w:rsidRPr="7BC75282">
        <w:rPr>
          <w:rFonts w:asciiTheme="minorHAnsi" w:hAnsiTheme="minorHAnsi"/>
        </w:rPr>
        <w:t>paid work during the placement</w:t>
      </w:r>
      <w:r w:rsidR="00950A1D">
        <w:rPr>
          <w:rFonts w:asciiTheme="minorHAnsi" w:hAnsiTheme="minorHAnsi"/>
        </w:rPr>
        <w:t>.</w:t>
      </w:r>
    </w:p>
    <w:p w14:paraId="2E963DDD" w14:textId="18318EE9" w:rsidR="00E165E4" w:rsidRDefault="49CC85CF"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 xml:space="preserve">The note </w:t>
      </w:r>
      <w:r w:rsidR="00585A5F" w:rsidRPr="7BC75282">
        <w:rPr>
          <w:rFonts w:asciiTheme="minorHAnsi" w:hAnsiTheme="minorHAnsi"/>
        </w:rPr>
        <w:t>under</w:t>
      </w:r>
      <w:r w:rsidRPr="7BC75282">
        <w:rPr>
          <w:rFonts w:asciiTheme="minorHAnsi" w:hAnsiTheme="minorHAnsi"/>
        </w:rPr>
        <w:t xml:space="preserve"> subsection 86(3) highlights that if a provider does not make payments under subsection</w:t>
      </w:r>
      <w:r w:rsidR="00A40CCD" w:rsidRPr="7BC75282">
        <w:rPr>
          <w:rFonts w:asciiTheme="minorHAnsi" w:hAnsiTheme="minorHAnsi"/>
        </w:rPr>
        <w:t xml:space="preserve"> 86(3)</w:t>
      </w:r>
      <w:r w:rsidRPr="7BC75282">
        <w:rPr>
          <w:rFonts w:asciiTheme="minorHAnsi" w:hAnsiTheme="minorHAnsi"/>
        </w:rPr>
        <w:t xml:space="preserve"> in a year that at least equal the provider’s student </w:t>
      </w:r>
      <w:proofErr w:type="spellStart"/>
      <w:r w:rsidRPr="7BC75282">
        <w:rPr>
          <w:rFonts w:asciiTheme="minorHAnsi" w:hAnsiTheme="minorHAnsi"/>
        </w:rPr>
        <w:t>prac</w:t>
      </w:r>
      <w:proofErr w:type="spellEnd"/>
      <w:r w:rsidRPr="7BC75282">
        <w:rPr>
          <w:rFonts w:asciiTheme="minorHAnsi" w:hAnsiTheme="minorHAnsi"/>
        </w:rPr>
        <w:t xml:space="preserve"> payments amount for the year, </w:t>
      </w:r>
      <w:r w:rsidR="35948329" w:rsidRPr="7BC75282">
        <w:rPr>
          <w:rFonts w:asciiTheme="minorHAnsi" w:hAnsiTheme="minorHAnsi"/>
        </w:rPr>
        <w:t>the method for calculating the provider’s grant amount for the year will take this into account and the provider’s grant amount will be reduced to account for this.</w:t>
      </w:r>
    </w:p>
    <w:p w14:paraId="371313CD" w14:textId="3712CE24" w:rsidR="251A54CF" w:rsidRDefault="35948329"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New s</w:t>
      </w:r>
      <w:r w:rsidR="135976F2" w:rsidRPr="7BC75282">
        <w:rPr>
          <w:rFonts w:asciiTheme="minorHAnsi" w:hAnsiTheme="minorHAnsi"/>
        </w:rPr>
        <w:t>ubsection 8</w:t>
      </w:r>
      <w:r w:rsidR="49CC85CF" w:rsidRPr="7BC75282">
        <w:rPr>
          <w:rFonts w:asciiTheme="minorHAnsi" w:hAnsiTheme="minorHAnsi"/>
        </w:rPr>
        <w:t>6</w:t>
      </w:r>
      <w:r w:rsidR="135976F2" w:rsidRPr="7BC75282">
        <w:rPr>
          <w:rFonts w:asciiTheme="minorHAnsi" w:hAnsiTheme="minorHAnsi"/>
        </w:rPr>
        <w:t>(</w:t>
      </w:r>
      <w:r w:rsidR="514A3E9D" w:rsidRPr="7BC75282">
        <w:rPr>
          <w:rFonts w:asciiTheme="minorHAnsi" w:hAnsiTheme="minorHAnsi"/>
        </w:rPr>
        <w:t>4</w:t>
      </w:r>
      <w:r w:rsidR="135976F2" w:rsidRPr="7BC75282">
        <w:rPr>
          <w:rFonts w:asciiTheme="minorHAnsi" w:hAnsiTheme="minorHAnsi"/>
        </w:rPr>
        <w:t xml:space="preserve">) provides that an eligible </w:t>
      </w:r>
      <w:proofErr w:type="spellStart"/>
      <w:r w:rsidR="135976F2" w:rsidRPr="7BC75282">
        <w:rPr>
          <w:rFonts w:asciiTheme="minorHAnsi" w:hAnsiTheme="minorHAnsi"/>
        </w:rPr>
        <w:t>prac</w:t>
      </w:r>
      <w:proofErr w:type="spellEnd"/>
      <w:r w:rsidR="135976F2" w:rsidRPr="7BC75282">
        <w:rPr>
          <w:rFonts w:asciiTheme="minorHAnsi" w:hAnsiTheme="minorHAnsi"/>
        </w:rPr>
        <w:t xml:space="preserve"> student satisfies this </w:t>
      </w:r>
      <w:r w:rsidRPr="7BC75282">
        <w:rPr>
          <w:rFonts w:asciiTheme="minorHAnsi" w:hAnsiTheme="minorHAnsi"/>
        </w:rPr>
        <w:t xml:space="preserve">subsection </w:t>
      </w:r>
      <w:r w:rsidR="135976F2" w:rsidRPr="7BC75282">
        <w:rPr>
          <w:rFonts w:asciiTheme="minorHAnsi" w:hAnsiTheme="minorHAnsi"/>
        </w:rPr>
        <w:t>if the student:</w:t>
      </w:r>
    </w:p>
    <w:p w14:paraId="73E424B8" w14:textId="677B1D28" w:rsidR="008F1350" w:rsidRDefault="61F84614" w:rsidP="367BCE8E">
      <w:pPr>
        <w:numPr>
          <w:ilvl w:val="1"/>
          <w:numId w:val="18"/>
        </w:numPr>
        <w:spacing w:before="120" w:after="120"/>
        <w:rPr>
          <w:rFonts w:asciiTheme="minorHAnsi" w:hAnsiTheme="minorHAnsi"/>
        </w:rPr>
      </w:pPr>
      <w:r w:rsidRPr="367BCE8E">
        <w:rPr>
          <w:rFonts w:asciiTheme="minorHAnsi" w:hAnsiTheme="minorHAnsi"/>
        </w:rPr>
        <w:t xml:space="preserve">is in receipt of an income support payment (within the meaning of </w:t>
      </w:r>
      <w:r w:rsidR="00950A1D">
        <w:rPr>
          <w:rFonts w:asciiTheme="minorHAnsi" w:hAnsiTheme="minorHAnsi"/>
        </w:rPr>
        <w:t xml:space="preserve">subsection 23(1) of </w:t>
      </w:r>
      <w:r w:rsidRPr="367BCE8E">
        <w:rPr>
          <w:rFonts w:asciiTheme="minorHAnsi" w:hAnsiTheme="minorHAnsi"/>
        </w:rPr>
        <w:t xml:space="preserve">the </w:t>
      </w:r>
      <w:r w:rsidRPr="367BCE8E">
        <w:rPr>
          <w:rFonts w:asciiTheme="minorHAnsi" w:hAnsiTheme="minorHAnsi"/>
          <w:i/>
          <w:iCs/>
        </w:rPr>
        <w:t>Social Security Act 1991</w:t>
      </w:r>
      <w:r w:rsidRPr="367BCE8E">
        <w:rPr>
          <w:rFonts w:asciiTheme="minorHAnsi" w:hAnsiTheme="minorHAnsi"/>
        </w:rPr>
        <w:t>)</w:t>
      </w:r>
      <w:r w:rsidR="35948329" w:rsidRPr="367BCE8E">
        <w:rPr>
          <w:rFonts w:asciiTheme="minorHAnsi" w:hAnsiTheme="minorHAnsi"/>
        </w:rPr>
        <w:t>;</w:t>
      </w:r>
      <w:r w:rsidRPr="367BCE8E">
        <w:rPr>
          <w:rFonts w:asciiTheme="minorHAnsi" w:hAnsiTheme="minorHAnsi"/>
        </w:rPr>
        <w:t xml:space="preserve"> or </w:t>
      </w:r>
    </w:p>
    <w:p w14:paraId="51226ACB" w14:textId="4D0CC18E" w:rsidR="00DF0BC3" w:rsidRDefault="00DF0BC3" w:rsidP="367BCE8E">
      <w:pPr>
        <w:numPr>
          <w:ilvl w:val="1"/>
          <w:numId w:val="18"/>
        </w:numPr>
        <w:spacing w:before="120" w:after="120"/>
        <w:rPr>
          <w:rFonts w:asciiTheme="minorHAnsi" w:hAnsiTheme="minorHAnsi"/>
        </w:rPr>
      </w:pPr>
      <w:r>
        <w:rPr>
          <w:rFonts w:asciiTheme="minorHAnsi" w:hAnsiTheme="minorHAnsi"/>
        </w:rPr>
        <w:t xml:space="preserve">is in receipt of a tertiary education allowance paid under sections 3.3, 3.5, 3.6 or 3.6A of the </w:t>
      </w:r>
      <w:r>
        <w:rPr>
          <w:rFonts w:asciiTheme="minorHAnsi" w:hAnsiTheme="minorHAnsi"/>
          <w:i/>
          <w:iCs/>
        </w:rPr>
        <w:t>Veterans’ Children Education Scheme</w:t>
      </w:r>
      <w:r w:rsidR="0044314F">
        <w:rPr>
          <w:rFonts w:asciiTheme="minorHAnsi" w:hAnsiTheme="minorHAnsi"/>
          <w:i/>
          <w:iCs/>
        </w:rPr>
        <w:t xml:space="preserve"> </w:t>
      </w:r>
      <w:r w:rsidR="0044314F" w:rsidRPr="0044314F">
        <w:rPr>
          <w:rFonts w:asciiTheme="minorHAnsi" w:hAnsiTheme="minorHAnsi"/>
        </w:rPr>
        <w:t xml:space="preserve">(an instrument made under subsection 117(3) of the </w:t>
      </w:r>
      <w:r w:rsidR="0044314F" w:rsidRPr="0044314F">
        <w:rPr>
          <w:rFonts w:asciiTheme="minorHAnsi" w:hAnsiTheme="minorHAnsi"/>
          <w:i/>
          <w:iCs/>
        </w:rPr>
        <w:t>Veterans’ Entitlements Act 1986</w:t>
      </w:r>
      <w:r w:rsidR="0044314F">
        <w:rPr>
          <w:rFonts w:asciiTheme="minorHAnsi" w:hAnsiTheme="minorHAnsi"/>
        </w:rPr>
        <w:t xml:space="preserve"> which can be found here: </w:t>
      </w:r>
      <w:r w:rsidR="0044314F" w:rsidRPr="00284FFA">
        <w:rPr>
          <w:rFonts w:asciiTheme="minorHAnsi" w:hAnsiTheme="minorHAnsi"/>
        </w:rPr>
        <w:t>https://www.legislation.gov.au/F2015L01280/2023-09-20/text</w:t>
      </w:r>
      <w:r w:rsidR="0044314F" w:rsidRPr="0044314F">
        <w:rPr>
          <w:rFonts w:asciiTheme="minorHAnsi" w:hAnsiTheme="minorHAnsi"/>
        </w:rPr>
        <w:t>)</w:t>
      </w:r>
      <w:r>
        <w:rPr>
          <w:rFonts w:asciiTheme="minorHAnsi" w:hAnsiTheme="minorHAnsi"/>
        </w:rPr>
        <w:t xml:space="preserve">; or </w:t>
      </w:r>
    </w:p>
    <w:p w14:paraId="26792BA8" w14:textId="6F3A5528" w:rsidR="00DF0BC3" w:rsidRDefault="00DF0BC3" w:rsidP="367BCE8E">
      <w:pPr>
        <w:numPr>
          <w:ilvl w:val="1"/>
          <w:numId w:val="18"/>
        </w:numPr>
        <w:spacing w:before="120" w:after="120"/>
        <w:rPr>
          <w:rFonts w:asciiTheme="minorHAnsi" w:hAnsiTheme="minorHAnsi"/>
        </w:rPr>
      </w:pPr>
      <w:r>
        <w:rPr>
          <w:rFonts w:asciiTheme="minorHAnsi" w:hAnsiTheme="minorHAnsi"/>
        </w:rPr>
        <w:t xml:space="preserve">is in receipt of a tertiary education allowance paid under sections 3.3, 3.5 or 3.6 of the </w:t>
      </w:r>
      <w:r w:rsidRPr="0044314F">
        <w:rPr>
          <w:rFonts w:asciiTheme="minorHAnsi" w:hAnsiTheme="minorHAnsi"/>
          <w:i/>
          <w:iCs/>
        </w:rPr>
        <w:t>Military Rehabilitation and Compensation Act Education and Training Scheme 2004</w:t>
      </w:r>
      <w:r w:rsidR="0044314F" w:rsidRPr="0044314F">
        <w:t xml:space="preserve"> </w:t>
      </w:r>
      <w:r w:rsidR="0044314F">
        <w:t>(</w:t>
      </w:r>
      <w:r w:rsidR="0044314F" w:rsidRPr="0044314F">
        <w:rPr>
          <w:rFonts w:asciiTheme="minorHAnsi" w:hAnsiTheme="minorHAnsi"/>
        </w:rPr>
        <w:t>an instrument made under subsection 258(5) of the</w:t>
      </w:r>
      <w:r w:rsidR="0044314F" w:rsidRPr="0044314F">
        <w:rPr>
          <w:rFonts w:asciiTheme="minorHAnsi" w:hAnsiTheme="minorHAnsi"/>
          <w:i/>
          <w:iCs/>
        </w:rPr>
        <w:t xml:space="preserve"> Military Rehabilitation and Compensation Act 2004</w:t>
      </w:r>
      <w:r w:rsidR="0044314F">
        <w:rPr>
          <w:rFonts w:asciiTheme="minorHAnsi" w:hAnsiTheme="minorHAnsi"/>
          <w:i/>
          <w:iCs/>
        </w:rPr>
        <w:t xml:space="preserve"> </w:t>
      </w:r>
      <w:r w:rsidR="0044314F">
        <w:rPr>
          <w:rFonts w:asciiTheme="minorHAnsi" w:hAnsiTheme="minorHAnsi"/>
        </w:rPr>
        <w:t xml:space="preserve">which can be found here: </w:t>
      </w:r>
      <w:r w:rsidR="0044314F" w:rsidRPr="00284FFA">
        <w:rPr>
          <w:rFonts w:asciiTheme="minorHAnsi" w:hAnsiTheme="minorHAnsi"/>
        </w:rPr>
        <w:t>https://www.legislation.gov.au/F2015L01281/latest/text</w:t>
      </w:r>
      <w:r w:rsidR="0044314F" w:rsidRPr="0044314F">
        <w:rPr>
          <w:rFonts w:asciiTheme="minorHAnsi" w:hAnsiTheme="minorHAnsi"/>
        </w:rPr>
        <w:t>)</w:t>
      </w:r>
      <w:r>
        <w:rPr>
          <w:rFonts w:asciiTheme="minorHAnsi" w:hAnsiTheme="minorHAnsi"/>
        </w:rPr>
        <w:t>; or</w:t>
      </w:r>
    </w:p>
    <w:p w14:paraId="743D1AAA" w14:textId="71481144" w:rsidR="004247A0" w:rsidRPr="00C022C3" w:rsidRDefault="00DF0BC3" w:rsidP="7BC75282">
      <w:pPr>
        <w:numPr>
          <w:ilvl w:val="1"/>
          <w:numId w:val="18"/>
        </w:numPr>
        <w:spacing w:before="120" w:after="120"/>
        <w:rPr>
          <w:rFonts w:asciiTheme="minorHAnsi" w:hAnsiTheme="minorHAnsi"/>
        </w:rPr>
      </w:pPr>
      <w:r w:rsidRPr="7BC75282">
        <w:rPr>
          <w:rFonts w:asciiTheme="minorHAnsi" w:hAnsiTheme="minorHAnsi"/>
        </w:rPr>
        <w:t>is in receipt of an amount identified as a ‘Living Allowance’, which has been appropriated under subsection 55</w:t>
      </w:r>
      <w:proofErr w:type="gramStart"/>
      <w:r w:rsidRPr="7BC75282">
        <w:rPr>
          <w:rFonts w:asciiTheme="minorHAnsi" w:hAnsiTheme="minorHAnsi"/>
        </w:rPr>
        <w:t>A(</w:t>
      </w:r>
      <w:proofErr w:type="gramEnd"/>
      <w:r w:rsidRPr="7BC75282">
        <w:rPr>
          <w:rFonts w:asciiTheme="minorHAnsi" w:hAnsiTheme="minorHAnsi"/>
        </w:rPr>
        <w:t xml:space="preserve">1) of the </w:t>
      </w:r>
      <w:r w:rsidRPr="7BC75282">
        <w:rPr>
          <w:rFonts w:asciiTheme="minorHAnsi" w:hAnsiTheme="minorHAnsi"/>
          <w:i/>
          <w:iCs/>
        </w:rPr>
        <w:t>Student Assistance Act 1973</w:t>
      </w:r>
      <w:r w:rsidR="6C4B015C" w:rsidRPr="7BC75282">
        <w:rPr>
          <w:rFonts w:asciiTheme="minorHAnsi" w:hAnsiTheme="minorHAnsi"/>
        </w:rPr>
        <w:t>; or</w:t>
      </w:r>
    </w:p>
    <w:p w14:paraId="7EE7880F" w14:textId="6E09A8FC" w:rsidR="00836BE1" w:rsidRPr="004547BD" w:rsidRDefault="00950A1D" w:rsidP="455B5724">
      <w:pPr>
        <w:pStyle w:val="ListParagraph"/>
        <w:numPr>
          <w:ilvl w:val="1"/>
          <w:numId w:val="18"/>
        </w:numPr>
        <w:spacing w:before="120" w:after="120"/>
        <w:rPr>
          <w:rFonts w:asciiTheme="minorHAnsi" w:hAnsiTheme="minorHAnsi"/>
        </w:rPr>
      </w:pPr>
      <w:r>
        <w:rPr>
          <w:rFonts w:asciiTheme="minorHAnsi" w:hAnsiTheme="minorHAnsi"/>
        </w:rPr>
        <w:t>in the four preceding study period weeks (</w:t>
      </w:r>
      <w:r w:rsidR="007652F9">
        <w:rPr>
          <w:rFonts w:asciiTheme="minorHAnsi" w:hAnsiTheme="minorHAnsi"/>
        </w:rPr>
        <w:t>as defined in section 4 of the Principal Instrument by the amendments made by item 1 of th</w:t>
      </w:r>
      <w:r w:rsidR="000A6440">
        <w:rPr>
          <w:rFonts w:asciiTheme="minorHAnsi" w:hAnsiTheme="minorHAnsi"/>
        </w:rPr>
        <w:t>e</w:t>
      </w:r>
      <w:r w:rsidR="007652F9">
        <w:rPr>
          <w:rFonts w:asciiTheme="minorHAnsi" w:hAnsiTheme="minorHAnsi"/>
        </w:rPr>
        <w:t xml:space="preserve"> Amendment Instrument</w:t>
      </w:r>
      <w:r>
        <w:rPr>
          <w:rFonts w:asciiTheme="minorHAnsi" w:hAnsiTheme="minorHAnsi"/>
        </w:rPr>
        <w:t>)</w:t>
      </w:r>
      <w:r w:rsidR="007652F9">
        <w:rPr>
          <w:rFonts w:asciiTheme="minorHAnsi" w:hAnsiTheme="minorHAnsi"/>
        </w:rPr>
        <w:t xml:space="preserve"> prior to the student commencing their mandatory placement</w:t>
      </w:r>
      <w:r w:rsidR="0044314F">
        <w:rPr>
          <w:rFonts w:asciiTheme="minorHAnsi" w:hAnsiTheme="minorHAnsi"/>
        </w:rPr>
        <w:t>,</w:t>
      </w:r>
      <w:r w:rsidR="00DF0BC3">
        <w:rPr>
          <w:rFonts w:asciiTheme="minorHAnsi" w:hAnsiTheme="minorHAnsi"/>
        </w:rPr>
        <w:t xml:space="preserve"> or</w:t>
      </w:r>
      <w:r w:rsidR="0044314F">
        <w:rPr>
          <w:rFonts w:asciiTheme="minorHAnsi" w:hAnsiTheme="minorHAnsi"/>
        </w:rPr>
        <w:t xml:space="preserve"> in</w:t>
      </w:r>
      <w:r w:rsidR="00DF0BC3">
        <w:rPr>
          <w:rFonts w:asciiTheme="minorHAnsi" w:hAnsiTheme="minorHAnsi"/>
        </w:rPr>
        <w:t xml:space="preserve"> the four study period weeks immediately prior to the student applying to </w:t>
      </w:r>
      <w:r w:rsidR="00DF0BC3">
        <w:rPr>
          <w:rFonts w:asciiTheme="minorHAnsi" w:hAnsiTheme="minorHAnsi"/>
        </w:rPr>
        <w:lastRenderedPageBreak/>
        <w:t xml:space="preserve">the provider for the payments under the </w:t>
      </w:r>
      <w:r w:rsidR="003B7AA8">
        <w:rPr>
          <w:rFonts w:asciiTheme="minorHAnsi" w:hAnsiTheme="minorHAnsi"/>
        </w:rPr>
        <w:t>CPP</w:t>
      </w:r>
      <w:r w:rsidR="00DF0BC3">
        <w:rPr>
          <w:rFonts w:asciiTheme="minorHAnsi" w:hAnsiTheme="minorHAnsi"/>
        </w:rPr>
        <w:t xml:space="preserve"> program (whichever is earlier)</w:t>
      </w:r>
      <w:r w:rsidR="007652F9">
        <w:rPr>
          <w:rFonts w:asciiTheme="minorHAnsi" w:hAnsiTheme="minorHAnsi"/>
        </w:rPr>
        <w:t>, the student worked on average more than 15 hours a week, and earned, derived or received an income (including amounts of scholarships from the Commonwealth, States and Territories) of less than $1500 a week</w:t>
      </w:r>
      <w:r w:rsidR="008D33FC">
        <w:rPr>
          <w:rFonts w:asciiTheme="minorHAnsi" w:hAnsiTheme="minorHAnsi"/>
        </w:rPr>
        <w:t xml:space="preserve"> before tax</w:t>
      </w:r>
      <w:r w:rsidR="007652F9">
        <w:rPr>
          <w:rFonts w:asciiTheme="minorHAnsi" w:hAnsiTheme="minorHAnsi"/>
        </w:rPr>
        <w:t>, on average over that period</w:t>
      </w:r>
      <w:r w:rsidR="61F84614" w:rsidRPr="455B5724">
        <w:rPr>
          <w:rFonts w:asciiTheme="minorHAnsi" w:hAnsiTheme="minorHAnsi"/>
        </w:rPr>
        <w:t xml:space="preserve">. </w:t>
      </w:r>
    </w:p>
    <w:p w14:paraId="2D37FF81" w14:textId="03C8C18E" w:rsidR="00994B15" w:rsidRPr="004F5F28" w:rsidRDefault="61F84614" w:rsidP="7BC75282">
      <w:pPr>
        <w:numPr>
          <w:ilvl w:val="0"/>
          <w:numId w:val="1"/>
        </w:numPr>
        <w:spacing w:before="120" w:after="120"/>
        <w:ind w:left="714" w:hanging="357"/>
        <w:rPr>
          <w:rFonts w:asciiTheme="minorHAnsi" w:hAnsiTheme="minorHAnsi"/>
        </w:rPr>
      </w:pPr>
      <w:r w:rsidRPr="7BC75282">
        <w:rPr>
          <w:rFonts w:asciiTheme="minorHAnsi" w:hAnsiTheme="minorHAnsi"/>
        </w:rPr>
        <w:t>New subsection 8</w:t>
      </w:r>
      <w:r w:rsidR="71657D68" w:rsidRPr="7BC75282">
        <w:rPr>
          <w:rFonts w:asciiTheme="minorHAnsi" w:hAnsiTheme="minorHAnsi"/>
        </w:rPr>
        <w:t>6</w:t>
      </w:r>
      <w:r w:rsidRPr="7BC75282">
        <w:rPr>
          <w:rFonts w:asciiTheme="minorHAnsi" w:hAnsiTheme="minorHAnsi"/>
        </w:rPr>
        <w:t>(</w:t>
      </w:r>
      <w:r w:rsidR="00CD1F45" w:rsidRPr="7BC75282">
        <w:rPr>
          <w:rFonts w:asciiTheme="minorHAnsi" w:hAnsiTheme="minorHAnsi"/>
        </w:rPr>
        <w:t>5</w:t>
      </w:r>
      <w:r w:rsidRPr="7BC75282">
        <w:rPr>
          <w:rFonts w:asciiTheme="minorHAnsi" w:hAnsiTheme="minorHAnsi"/>
        </w:rPr>
        <w:t>) provides that</w:t>
      </w:r>
      <w:r w:rsidR="00DC649D">
        <w:rPr>
          <w:rFonts w:asciiTheme="minorHAnsi" w:hAnsiTheme="minorHAnsi"/>
        </w:rPr>
        <w:t>, subject to</w:t>
      </w:r>
      <w:r w:rsidR="00210933">
        <w:rPr>
          <w:rFonts w:asciiTheme="minorHAnsi" w:hAnsiTheme="minorHAnsi"/>
        </w:rPr>
        <w:t xml:space="preserve"> subsection (9) and</w:t>
      </w:r>
      <w:r w:rsidR="00DC649D">
        <w:rPr>
          <w:rFonts w:asciiTheme="minorHAnsi" w:hAnsiTheme="minorHAnsi"/>
        </w:rPr>
        <w:t xml:space="preserve"> section 87,</w:t>
      </w:r>
      <w:r w:rsidRPr="7BC75282">
        <w:rPr>
          <w:rFonts w:asciiTheme="minorHAnsi" w:hAnsiTheme="minorHAnsi"/>
        </w:rPr>
        <w:t xml:space="preserve"> a provider </w:t>
      </w:r>
      <w:r w:rsidR="00497320" w:rsidRPr="7BC75282">
        <w:rPr>
          <w:rFonts w:asciiTheme="minorHAnsi" w:hAnsiTheme="minorHAnsi"/>
        </w:rPr>
        <w:t xml:space="preserve">must </w:t>
      </w:r>
      <w:r w:rsidRPr="7BC75282">
        <w:rPr>
          <w:rFonts w:asciiTheme="minorHAnsi" w:hAnsiTheme="minorHAnsi"/>
        </w:rPr>
        <w:t xml:space="preserve">pay an amount equal to the weekly </w:t>
      </w:r>
      <w:proofErr w:type="spellStart"/>
      <w:r w:rsidRPr="7BC75282">
        <w:rPr>
          <w:rFonts w:asciiTheme="minorHAnsi" w:hAnsiTheme="minorHAnsi"/>
        </w:rPr>
        <w:t>Austudy</w:t>
      </w:r>
      <w:proofErr w:type="spellEnd"/>
      <w:r w:rsidRPr="7BC75282">
        <w:rPr>
          <w:rFonts w:asciiTheme="minorHAnsi" w:hAnsiTheme="minorHAnsi"/>
        </w:rPr>
        <w:t xml:space="preserve"> amount to </w:t>
      </w:r>
      <w:r w:rsidR="35948329" w:rsidRPr="7BC75282">
        <w:rPr>
          <w:rFonts w:asciiTheme="minorHAnsi" w:hAnsiTheme="minorHAnsi"/>
        </w:rPr>
        <w:t xml:space="preserve">an </w:t>
      </w:r>
      <w:r w:rsidRPr="7BC75282">
        <w:rPr>
          <w:rFonts w:asciiTheme="minorHAnsi" w:hAnsiTheme="minorHAnsi"/>
        </w:rPr>
        <w:t xml:space="preserve">eligible </w:t>
      </w:r>
      <w:proofErr w:type="spellStart"/>
      <w:r w:rsidRPr="7BC75282">
        <w:rPr>
          <w:rFonts w:asciiTheme="minorHAnsi" w:hAnsiTheme="minorHAnsi"/>
        </w:rPr>
        <w:t>prac</w:t>
      </w:r>
      <w:proofErr w:type="spellEnd"/>
      <w:r w:rsidRPr="7BC75282">
        <w:rPr>
          <w:rFonts w:asciiTheme="minorHAnsi" w:hAnsiTheme="minorHAnsi"/>
        </w:rPr>
        <w:t xml:space="preserve"> student in relation </w:t>
      </w:r>
      <w:r w:rsidR="00942AFB" w:rsidRPr="7BC75282">
        <w:rPr>
          <w:rFonts w:asciiTheme="minorHAnsi" w:hAnsiTheme="minorHAnsi"/>
        </w:rPr>
        <w:t>each</w:t>
      </w:r>
      <w:r w:rsidRPr="7BC75282">
        <w:rPr>
          <w:rFonts w:asciiTheme="minorHAnsi" w:hAnsiTheme="minorHAnsi"/>
        </w:rPr>
        <w:t xml:space="preserve"> week that the student </w:t>
      </w:r>
      <w:r w:rsidR="00D21B8A" w:rsidRPr="7BC75282">
        <w:rPr>
          <w:rFonts w:asciiTheme="minorHAnsi" w:hAnsiTheme="minorHAnsi"/>
        </w:rPr>
        <w:t>is an exceptional circumstances student.</w:t>
      </w:r>
    </w:p>
    <w:p w14:paraId="3A33A607" w14:textId="601A98D9" w:rsidR="00836BE1" w:rsidRPr="00636FA0" w:rsidRDefault="61F84614" w:rsidP="7BC75282">
      <w:pPr>
        <w:numPr>
          <w:ilvl w:val="0"/>
          <w:numId w:val="1"/>
        </w:numPr>
        <w:spacing w:before="120" w:after="120"/>
        <w:ind w:left="714" w:hanging="357"/>
        <w:rPr>
          <w:rFonts w:asciiTheme="minorHAnsi" w:hAnsiTheme="minorHAnsi"/>
        </w:rPr>
      </w:pPr>
      <w:r w:rsidRPr="7BC75282">
        <w:rPr>
          <w:rFonts w:asciiTheme="minorHAnsi" w:hAnsiTheme="minorHAnsi"/>
        </w:rPr>
        <w:t>Th</w:t>
      </w:r>
      <w:r w:rsidR="00E15F5B" w:rsidRPr="7BC75282">
        <w:rPr>
          <w:rFonts w:asciiTheme="minorHAnsi" w:hAnsiTheme="minorHAnsi"/>
        </w:rPr>
        <w:t xml:space="preserve">e </w:t>
      </w:r>
      <w:r w:rsidR="00F2356D" w:rsidRPr="7BC75282">
        <w:rPr>
          <w:rFonts w:asciiTheme="minorHAnsi" w:hAnsiTheme="minorHAnsi"/>
        </w:rPr>
        <w:t xml:space="preserve">first </w:t>
      </w:r>
      <w:r w:rsidRPr="7BC75282">
        <w:rPr>
          <w:rFonts w:asciiTheme="minorHAnsi" w:hAnsiTheme="minorHAnsi"/>
        </w:rPr>
        <w:t xml:space="preserve">note </w:t>
      </w:r>
      <w:r w:rsidR="00E15F5B" w:rsidRPr="7BC75282">
        <w:rPr>
          <w:rFonts w:asciiTheme="minorHAnsi" w:hAnsiTheme="minorHAnsi"/>
        </w:rPr>
        <w:t xml:space="preserve">under this subsection provides </w:t>
      </w:r>
      <w:r w:rsidRPr="7BC75282">
        <w:rPr>
          <w:rFonts w:asciiTheme="minorHAnsi" w:hAnsiTheme="minorHAnsi"/>
        </w:rPr>
        <w:t xml:space="preserve">that the effect of </w:t>
      </w:r>
      <w:r w:rsidR="459E2888" w:rsidRPr="7BC75282">
        <w:rPr>
          <w:rFonts w:asciiTheme="minorHAnsi" w:hAnsiTheme="minorHAnsi"/>
        </w:rPr>
        <w:t>section</w:t>
      </w:r>
      <w:r w:rsidR="6C2E03FF" w:rsidRPr="7BC75282">
        <w:rPr>
          <w:rFonts w:asciiTheme="minorHAnsi" w:hAnsiTheme="minorHAnsi"/>
        </w:rPr>
        <w:t xml:space="preserve"> </w:t>
      </w:r>
      <w:r w:rsidR="001272A9" w:rsidRPr="7BC75282">
        <w:rPr>
          <w:rFonts w:asciiTheme="minorHAnsi" w:hAnsiTheme="minorHAnsi"/>
        </w:rPr>
        <w:t>8</w:t>
      </w:r>
      <w:r w:rsidR="00DC649D">
        <w:rPr>
          <w:rFonts w:asciiTheme="minorHAnsi" w:hAnsiTheme="minorHAnsi"/>
        </w:rPr>
        <w:t>3</w:t>
      </w:r>
      <w:r w:rsidR="459E2888" w:rsidRPr="7BC75282">
        <w:rPr>
          <w:rFonts w:asciiTheme="minorHAnsi" w:hAnsiTheme="minorHAnsi"/>
        </w:rPr>
        <w:t xml:space="preserve"> </w:t>
      </w:r>
      <w:r w:rsidR="53DB7E10" w:rsidRPr="7BC75282">
        <w:rPr>
          <w:rFonts w:asciiTheme="minorHAnsi" w:hAnsiTheme="minorHAnsi"/>
        </w:rPr>
        <w:t xml:space="preserve">is </w:t>
      </w:r>
      <w:r w:rsidRPr="7BC75282">
        <w:rPr>
          <w:rFonts w:asciiTheme="minorHAnsi" w:hAnsiTheme="minorHAnsi"/>
        </w:rPr>
        <w:t xml:space="preserve">that payments under this subsection will be </w:t>
      </w:r>
      <w:proofErr w:type="gramStart"/>
      <w:r w:rsidRPr="7BC75282">
        <w:rPr>
          <w:rFonts w:asciiTheme="minorHAnsi" w:hAnsiTheme="minorHAnsi"/>
        </w:rPr>
        <w:t>made out of</w:t>
      </w:r>
      <w:proofErr w:type="gramEnd"/>
      <w:r w:rsidRPr="7BC75282">
        <w:rPr>
          <w:rFonts w:asciiTheme="minorHAnsi" w:hAnsiTheme="minorHAnsi"/>
        </w:rPr>
        <w:t xml:space="preserve"> the </w:t>
      </w:r>
      <w:r w:rsidR="00D21B8A" w:rsidRPr="7BC75282">
        <w:rPr>
          <w:rFonts w:asciiTheme="minorHAnsi" w:hAnsiTheme="minorHAnsi"/>
        </w:rPr>
        <w:t xml:space="preserve">student </w:t>
      </w:r>
      <w:proofErr w:type="spellStart"/>
      <w:r w:rsidR="00D21B8A" w:rsidRPr="7BC75282">
        <w:rPr>
          <w:rFonts w:asciiTheme="minorHAnsi" w:hAnsiTheme="minorHAnsi"/>
        </w:rPr>
        <w:t>prac</w:t>
      </w:r>
      <w:proofErr w:type="spellEnd"/>
      <w:r w:rsidR="00D21B8A" w:rsidRPr="7BC75282">
        <w:rPr>
          <w:rFonts w:asciiTheme="minorHAnsi" w:hAnsiTheme="minorHAnsi"/>
        </w:rPr>
        <w:t xml:space="preserve"> payments amount</w:t>
      </w:r>
      <w:r w:rsidRPr="7BC75282">
        <w:rPr>
          <w:rFonts w:asciiTheme="minorHAnsi" w:hAnsiTheme="minorHAnsi"/>
        </w:rPr>
        <w:t xml:space="preserve"> of the grant. </w:t>
      </w:r>
    </w:p>
    <w:p w14:paraId="6A751DAD" w14:textId="76F089D7" w:rsidR="00836BE1" w:rsidRPr="004D4E69" w:rsidRDefault="35948329" w:rsidP="0042041D">
      <w:pPr>
        <w:numPr>
          <w:ilvl w:val="0"/>
          <w:numId w:val="1"/>
        </w:numPr>
        <w:spacing w:before="120" w:after="120"/>
        <w:ind w:left="714" w:hanging="357"/>
        <w:rPr>
          <w:rFonts w:asciiTheme="minorHAnsi" w:hAnsiTheme="minorHAnsi"/>
        </w:rPr>
      </w:pPr>
      <w:r w:rsidRPr="367BCE8E">
        <w:rPr>
          <w:rFonts w:asciiTheme="minorHAnsi" w:hAnsiTheme="minorHAnsi"/>
        </w:rPr>
        <w:t>Th</w:t>
      </w:r>
      <w:r w:rsidR="001272A9">
        <w:rPr>
          <w:rFonts w:asciiTheme="minorHAnsi" w:hAnsiTheme="minorHAnsi"/>
        </w:rPr>
        <w:t xml:space="preserve">e second </w:t>
      </w:r>
      <w:r w:rsidR="1121B1FD" w:rsidRPr="367BCE8E">
        <w:rPr>
          <w:rFonts w:asciiTheme="minorHAnsi" w:hAnsiTheme="minorHAnsi"/>
        </w:rPr>
        <w:t xml:space="preserve">note </w:t>
      </w:r>
      <w:r w:rsidR="001272A9">
        <w:rPr>
          <w:rFonts w:asciiTheme="minorHAnsi" w:hAnsiTheme="minorHAnsi"/>
        </w:rPr>
        <w:t>under this subsection</w:t>
      </w:r>
      <w:r w:rsidR="1121B1FD" w:rsidRPr="367BCE8E">
        <w:rPr>
          <w:rFonts w:asciiTheme="minorHAnsi" w:hAnsiTheme="minorHAnsi"/>
        </w:rPr>
        <w:t xml:space="preserve"> </w:t>
      </w:r>
      <w:r w:rsidR="6C2E03FF" w:rsidRPr="367BCE8E">
        <w:rPr>
          <w:rFonts w:asciiTheme="minorHAnsi" w:hAnsiTheme="minorHAnsi"/>
        </w:rPr>
        <w:t>explain</w:t>
      </w:r>
      <w:r w:rsidR="001272A9">
        <w:rPr>
          <w:rFonts w:asciiTheme="minorHAnsi" w:hAnsiTheme="minorHAnsi"/>
        </w:rPr>
        <w:t>s</w:t>
      </w:r>
      <w:r w:rsidR="6EBF55F8" w:rsidRPr="367BCE8E">
        <w:rPr>
          <w:rFonts w:asciiTheme="minorHAnsi" w:hAnsiTheme="minorHAnsi"/>
        </w:rPr>
        <w:t xml:space="preserve"> that the Minister can impose </w:t>
      </w:r>
      <w:r w:rsidRPr="367BCE8E">
        <w:rPr>
          <w:rFonts w:asciiTheme="minorHAnsi" w:hAnsiTheme="minorHAnsi"/>
        </w:rPr>
        <w:t xml:space="preserve">further </w:t>
      </w:r>
      <w:r w:rsidR="6EBF55F8" w:rsidRPr="367BCE8E">
        <w:rPr>
          <w:rFonts w:asciiTheme="minorHAnsi" w:hAnsiTheme="minorHAnsi"/>
        </w:rPr>
        <w:t>conditions on grants</w:t>
      </w:r>
      <w:r w:rsidRPr="367BCE8E">
        <w:rPr>
          <w:rFonts w:asciiTheme="minorHAnsi" w:hAnsiTheme="minorHAnsi"/>
        </w:rPr>
        <w:t xml:space="preserve"> under subsection 41-25(2) of the Act</w:t>
      </w:r>
      <w:r w:rsidR="6EBF55F8" w:rsidRPr="367BCE8E">
        <w:rPr>
          <w:rFonts w:asciiTheme="minorHAnsi" w:hAnsiTheme="minorHAnsi"/>
        </w:rPr>
        <w:t xml:space="preserve">, including conditions on </w:t>
      </w:r>
      <w:r w:rsidR="007652F9">
        <w:rPr>
          <w:rFonts w:asciiTheme="minorHAnsi" w:hAnsiTheme="minorHAnsi"/>
        </w:rPr>
        <w:t>the number of students that a</w:t>
      </w:r>
      <w:r w:rsidR="3BF430FF" w:rsidRPr="367BCE8E">
        <w:rPr>
          <w:rFonts w:asciiTheme="minorHAnsi" w:hAnsiTheme="minorHAnsi"/>
        </w:rPr>
        <w:t xml:space="preserve"> higher education</w:t>
      </w:r>
      <w:r w:rsidR="007652F9">
        <w:rPr>
          <w:rFonts w:asciiTheme="minorHAnsi" w:hAnsiTheme="minorHAnsi"/>
        </w:rPr>
        <w:t xml:space="preserve"> provider</w:t>
      </w:r>
      <w:r w:rsidR="3BF430FF" w:rsidRPr="367BCE8E">
        <w:rPr>
          <w:rFonts w:asciiTheme="minorHAnsi" w:hAnsiTheme="minorHAnsi"/>
        </w:rPr>
        <w:t xml:space="preserve"> can be satisfied </w:t>
      </w:r>
      <w:r w:rsidR="007652F9">
        <w:rPr>
          <w:rFonts w:asciiTheme="minorHAnsi" w:hAnsiTheme="minorHAnsi"/>
        </w:rPr>
        <w:t>are</w:t>
      </w:r>
      <w:r w:rsidR="3BF430FF" w:rsidRPr="367BCE8E">
        <w:rPr>
          <w:rFonts w:asciiTheme="minorHAnsi" w:hAnsiTheme="minorHAnsi"/>
        </w:rPr>
        <w:t xml:space="preserve"> ‘exceptional circumstances</w:t>
      </w:r>
      <w:r w:rsidR="007652F9">
        <w:rPr>
          <w:rFonts w:asciiTheme="minorHAnsi" w:hAnsiTheme="minorHAnsi"/>
        </w:rPr>
        <w:t xml:space="preserve"> students</w:t>
      </w:r>
      <w:r w:rsidR="3BF430FF" w:rsidRPr="367BCE8E">
        <w:rPr>
          <w:rFonts w:asciiTheme="minorHAnsi" w:hAnsiTheme="minorHAnsi"/>
        </w:rPr>
        <w:t>’</w:t>
      </w:r>
      <w:r w:rsidR="00CD1F45">
        <w:rPr>
          <w:rFonts w:asciiTheme="minorHAnsi" w:hAnsiTheme="minorHAnsi"/>
        </w:rPr>
        <w:t>, or that the provider cannot be satisfied that a student is an exceptional circumstances student if doing so will result in the provider paying amounts in relation to ‘exceptional circumstances students’ above a certain amount</w:t>
      </w:r>
      <w:r w:rsidR="6EBF55F8" w:rsidRPr="367BCE8E">
        <w:rPr>
          <w:rFonts w:asciiTheme="minorHAnsi" w:hAnsiTheme="minorHAnsi"/>
        </w:rPr>
        <w:t>.</w:t>
      </w:r>
    </w:p>
    <w:p w14:paraId="099507E4" w14:textId="20655D5E" w:rsidR="00DD57CF" w:rsidRDefault="61F84614" w:rsidP="367BCE8E">
      <w:pPr>
        <w:pStyle w:val="ListParagraph"/>
        <w:numPr>
          <w:ilvl w:val="0"/>
          <w:numId w:val="1"/>
        </w:numPr>
        <w:spacing w:before="120" w:after="120"/>
        <w:ind w:left="714" w:hanging="357"/>
        <w:rPr>
          <w:rFonts w:asciiTheme="minorHAnsi" w:hAnsiTheme="minorHAnsi"/>
        </w:rPr>
      </w:pPr>
      <w:r w:rsidRPr="367BCE8E">
        <w:rPr>
          <w:rFonts w:asciiTheme="minorHAnsi" w:hAnsiTheme="minorHAnsi"/>
        </w:rPr>
        <w:t>New subsection 8</w:t>
      </w:r>
      <w:r w:rsidR="2B6DC34B" w:rsidRPr="367BCE8E">
        <w:rPr>
          <w:rFonts w:asciiTheme="minorHAnsi" w:hAnsiTheme="minorHAnsi"/>
        </w:rPr>
        <w:t>6</w:t>
      </w:r>
      <w:r w:rsidRPr="367BCE8E">
        <w:rPr>
          <w:rFonts w:asciiTheme="minorHAnsi" w:hAnsiTheme="minorHAnsi"/>
        </w:rPr>
        <w:t>(</w:t>
      </w:r>
      <w:r w:rsidR="00CD1F45">
        <w:rPr>
          <w:rFonts w:asciiTheme="minorHAnsi" w:hAnsiTheme="minorHAnsi"/>
        </w:rPr>
        <w:t>6</w:t>
      </w:r>
      <w:r w:rsidRPr="367BCE8E">
        <w:rPr>
          <w:rFonts w:asciiTheme="minorHAnsi" w:hAnsiTheme="minorHAnsi"/>
        </w:rPr>
        <w:t xml:space="preserve">) provides that </w:t>
      </w:r>
      <w:r w:rsidR="3510EB74" w:rsidRPr="367BCE8E">
        <w:rPr>
          <w:rFonts w:asciiTheme="minorHAnsi" w:hAnsiTheme="minorHAnsi"/>
        </w:rPr>
        <w:t xml:space="preserve">unless conditions </w:t>
      </w:r>
      <w:r w:rsidR="7805343A" w:rsidRPr="367BCE8E">
        <w:rPr>
          <w:rFonts w:asciiTheme="minorHAnsi" w:hAnsiTheme="minorHAnsi"/>
        </w:rPr>
        <w:t xml:space="preserve">imposed on the provider under subsection 41-25(2) of </w:t>
      </w:r>
      <w:r w:rsidR="24E5186A" w:rsidRPr="367BCE8E">
        <w:rPr>
          <w:rFonts w:asciiTheme="minorHAnsi" w:hAnsiTheme="minorHAnsi"/>
        </w:rPr>
        <w:t xml:space="preserve">the Act </w:t>
      </w:r>
      <w:r w:rsidR="7805343A" w:rsidRPr="367BCE8E">
        <w:rPr>
          <w:rFonts w:asciiTheme="minorHAnsi" w:hAnsiTheme="minorHAnsi"/>
        </w:rPr>
        <w:t xml:space="preserve">provide otherwise, </w:t>
      </w:r>
      <w:r w:rsidR="00B77065">
        <w:rPr>
          <w:rFonts w:asciiTheme="minorHAnsi" w:hAnsiTheme="minorHAnsi"/>
        </w:rPr>
        <w:t xml:space="preserve">a </w:t>
      </w:r>
      <w:r w:rsidR="00CD69BB">
        <w:rPr>
          <w:rFonts w:asciiTheme="minorHAnsi" w:hAnsiTheme="minorHAnsi"/>
        </w:rPr>
        <w:t xml:space="preserve">higher education </w:t>
      </w:r>
      <w:r w:rsidRPr="367BCE8E">
        <w:rPr>
          <w:rFonts w:asciiTheme="minorHAnsi" w:hAnsiTheme="minorHAnsi"/>
        </w:rPr>
        <w:t xml:space="preserve">provider must make </w:t>
      </w:r>
      <w:r w:rsidR="5698DDDE" w:rsidRPr="367BCE8E">
        <w:rPr>
          <w:rFonts w:asciiTheme="minorHAnsi" w:hAnsiTheme="minorHAnsi"/>
        </w:rPr>
        <w:t xml:space="preserve">a </w:t>
      </w:r>
      <w:r w:rsidRPr="367BCE8E">
        <w:rPr>
          <w:rFonts w:asciiTheme="minorHAnsi" w:hAnsiTheme="minorHAnsi"/>
        </w:rPr>
        <w:t>payment to</w:t>
      </w:r>
      <w:r w:rsidR="0134AB35" w:rsidRPr="367BCE8E">
        <w:rPr>
          <w:rFonts w:asciiTheme="minorHAnsi" w:hAnsiTheme="minorHAnsi"/>
        </w:rPr>
        <w:t xml:space="preserve"> a student under subsection</w:t>
      </w:r>
      <w:r w:rsidR="007652F9">
        <w:rPr>
          <w:rFonts w:asciiTheme="minorHAnsi" w:hAnsiTheme="minorHAnsi"/>
        </w:rPr>
        <w:t>s</w:t>
      </w:r>
      <w:r w:rsidR="0134AB35" w:rsidRPr="367BCE8E">
        <w:rPr>
          <w:rFonts w:asciiTheme="minorHAnsi" w:hAnsiTheme="minorHAnsi"/>
        </w:rPr>
        <w:t> </w:t>
      </w:r>
      <w:r w:rsidR="00C672B4">
        <w:rPr>
          <w:rFonts w:asciiTheme="minorHAnsi" w:hAnsiTheme="minorHAnsi"/>
        </w:rPr>
        <w:t>86</w:t>
      </w:r>
      <w:r w:rsidR="0134AB35" w:rsidRPr="367BCE8E">
        <w:rPr>
          <w:rFonts w:asciiTheme="minorHAnsi" w:hAnsiTheme="minorHAnsi"/>
        </w:rPr>
        <w:t>(3) or (</w:t>
      </w:r>
      <w:r w:rsidR="00CD1F45">
        <w:rPr>
          <w:rFonts w:asciiTheme="minorHAnsi" w:hAnsiTheme="minorHAnsi"/>
        </w:rPr>
        <w:t>5</w:t>
      </w:r>
      <w:r w:rsidR="0134AB35" w:rsidRPr="367BCE8E">
        <w:rPr>
          <w:rFonts w:asciiTheme="minorHAnsi" w:hAnsiTheme="minorHAnsi"/>
        </w:rPr>
        <w:t>) by the end of the month in which the last day of the week to which the payment relates occurred</w:t>
      </w:r>
      <w:r w:rsidR="5698DDDE" w:rsidRPr="367BCE8E">
        <w:rPr>
          <w:rFonts w:asciiTheme="minorHAnsi" w:hAnsiTheme="minorHAnsi"/>
        </w:rPr>
        <w:t>,</w:t>
      </w:r>
      <w:r w:rsidR="0134AB35" w:rsidRPr="367BCE8E">
        <w:rPr>
          <w:rFonts w:asciiTheme="minorHAnsi" w:hAnsiTheme="minorHAnsi"/>
        </w:rPr>
        <w:t xml:space="preserve"> or the</w:t>
      </w:r>
      <w:r w:rsidR="5698DDDE" w:rsidRPr="367BCE8E">
        <w:rPr>
          <w:rFonts w:asciiTheme="minorHAnsi" w:hAnsiTheme="minorHAnsi"/>
        </w:rPr>
        <w:t xml:space="preserve"> end of the month in which the student applied to the provider for payments under the CPP</w:t>
      </w:r>
      <w:r w:rsidR="0134AB35" w:rsidRPr="367BCE8E">
        <w:rPr>
          <w:rFonts w:asciiTheme="minorHAnsi" w:hAnsiTheme="minorHAnsi"/>
        </w:rPr>
        <w:t xml:space="preserve"> (whichever is later).</w:t>
      </w:r>
    </w:p>
    <w:p w14:paraId="49C3990B" w14:textId="68B734D4" w:rsidR="008D33FC" w:rsidRDefault="008D33FC" w:rsidP="367BCE8E">
      <w:pPr>
        <w:pStyle w:val="ListParagraph"/>
        <w:numPr>
          <w:ilvl w:val="0"/>
          <w:numId w:val="1"/>
        </w:numPr>
        <w:spacing w:before="120" w:after="120"/>
        <w:ind w:left="714" w:hanging="357"/>
        <w:rPr>
          <w:rFonts w:asciiTheme="minorHAnsi" w:hAnsiTheme="minorHAnsi"/>
        </w:rPr>
      </w:pPr>
      <w:r>
        <w:rPr>
          <w:rFonts w:asciiTheme="minorHAnsi" w:hAnsiTheme="minorHAnsi"/>
        </w:rPr>
        <w:t xml:space="preserve">New subsection 86(7) provides that the higher education provider must inform the </w:t>
      </w:r>
      <w:r w:rsidR="00EA2839">
        <w:rPr>
          <w:rFonts w:asciiTheme="minorHAnsi" w:hAnsiTheme="minorHAnsi"/>
        </w:rPr>
        <w:t>D</w:t>
      </w:r>
      <w:r>
        <w:rPr>
          <w:rFonts w:asciiTheme="minorHAnsi" w:hAnsiTheme="minorHAnsi"/>
        </w:rPr>
        <w:t>epartment</w:t>
      </w:r>
      <w:r w:rsidR="00EA2839">
        <w:rPr>
          <w:rFonts w:asciiTheme="minorHAnsi" w:hAnsiTheme="minorHAnsi"/>
        </w:rPr>
        <w:t xml:space="preserve"> of Education (department)</w:t>
      </w:r>
      <w:r>
        <w:rPr>
          <w:rFonts w:asciiTheme="minorHAnsi" w:hAnsiTheme="minorHAnsi"/>
        </w:rPr>
        <w:t xml:space="preserve"> if the provider becomes aware that they will not be able to make a payment to a student in the timeframes specified in</w:t>
      </w:r>
      <w:r w:rsidR="00EA2839">
        <w:rPr>
          <w:rFonts w:asciiTheme="minorHAnsi" w:hAnsiTheme="minorHAnsi"/>
        </w:rPr>
        <w:t xml:space="preserve"> new</w:t>
      </w:r>
      <w:r>
        <w:rPr>
          <w:rFonts w:asciiTheme="minorHAnsi" w:hAnsiTheme="minorHAnsi"/>
        </w:rPr>
        <w:t xml:space="preserve"> subsection 86(6). The note to the subsection provides that the notification by the provider that they will not be able to make a payment in those timeframes will give the Minister </w:t>
      </w:r>
      <w:r w:rsidR="00EA2839">
        <w:rPr>
          <w:rFonts w:asciiTheme="minorHAnsi" w:hAnsiTheme="minorHAnsi"/>
        </w:rPr>
        <w:t>(</w:t>
      </w:r>
      <w:r>
        <w:rPr>
          <w:rFonts w:asciiTheme="minorHAnsi" w:hAnsiTheme="minorHAnsi"/>
        </w:rPr>
        <w:t>or his delegate</w:t>
      </w:r>
      <w:r w:rsidR="00EA2839">
        <w:rPr>
          <w:rFonts w:asciiTheme="minorHAnsi" w:hAnsiTheme="minorHAnsi"/>
        </w:rPr>
        <w:t xml:space="preserve"> within the department)</w:t>
      </w:r>
      <w:r>
        <w:rPr>
          <w:rFonts w:asciiTheme="minorHAnsi" w:hAnsiTheme="minorHAnsi"/>
        </w:rPr>
        <w:t xml:space="preserve"> the opportunity to consider whether to exercise the power to impose conditions under subsection 41-25(2) to </w:t>
      </w:r>
      <w:r w:rsidR="00EA2839">
        <w:rPr>
          <w:rFonts w:asciiTheme="minorHAnsi" w:hAnsiTheme="minorHAnsi"/>
        </w:rPr>
        <w:t>enable</w:t>
      </w:r>
      <w:r>
        <w:rPr>
          <w:rFonts w:asciiTheme="minorHAnsi" w:hAnsiTheme="minorHAnsi"/>
        </w:rPr>
        <w:t xml:space="preserve"> the provider </w:t>
      </w:r>
      <w:r w:rsidR="00EA2839">
        <w:rPr>
          <w:rFonts w:asciiTheme="minorHAnsi" w:hAnsiTheme="minorHAnsi"/>
        </w:rPr>
        <w:t xml:space="preserve">to </w:t>
      </w:r>
      <w:r>
        <w:rPr>
          <w:rFonts w:asciiTheme="minorHAnsi" w:hAnsiTheme="minorHAnsi"/>
        </w:rPr>
        <w:t>make a payment to a student outside of the timeframes specified in subsection (6).</w:t>
      </w:r>
    </w:p>
    <w:p w14:paraId="5C501521" w14:textId="696FCCC4" w:rsidR="00107BA6" w:rsidRDefault="00107BA6"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New subsection 86(</w:t>
      </w:r>
      <w:r w:rsidR="008D33FC">
        <w:rPr>
          <w:rFonts w:asciiTheme="minorHAnsi" w:hAnsiTheme="minorHAnsi"/>
        </w:rPr>
        <w:t>8</w:t>
      </w:r>
      <w:r w:rsidRPr="7BC75282">
        <w:rPr>
          <w:rFonts w:asciiTheme="minorHAnsi" w:hAnsiTheme="minorHAnsi"/>
        </w:rPr>
        <w:t>) provides that for the purpose of subparagraph (3)(a)(</w:t>
      </w:r>
      <w:proofErr w:type="spellStart"/>
      <w:r w:rsidRPr="7BC75282">
        <w:rPr>
          <w:rFonts w:asciiTheme="minorHAnsi" w:hAnsiTheme="minorHAnsi"/>
        </w:rPr>
        <w:t>i</w:t>
      </w:r>
      <w:proofErr w:type="spellEnd"/>
      <w:r w:rsidRPr="7BC75282">
        <w:rPr>
          <w:rFonts w:asciiTheme="minorHAnsi" w:hAnsiTheme="minorHAnsi"/>
        </w:rPr>
        <w:t xml:space="preserve">), a higher education provider must </w:t>
      </w:r>
      <w:r w:rsidR="00CD1F45" w:rsidRPr="7BC75282">
        <w:rPr>
          <w:rFonts w:asciiTheme="minorHAnsi" w:hAnsiTheme="minorHAnsi"/>
        </w:rPr>
        <w:t>advise</w:t>
      </w:r>
      <w:r w:rsidRPr="7BC75282">
        <w:rPr>
          <w:rFonts w:asciiTheme="minorHAnsi" w:hAnsiTheme="minorHAnsi"/>
        </w:rPr>
        <w:t xml:space="preserve"> the student </w:t>
      </w:r>
      <w:r w:rsidR="00CD1F45" w:rsidRPr="7BC75282">
        <w:rPr>
          <w:rFonts w:asciiTheme="minorHAnsi" w:hAnsiTheme="minorHAnsi"/>
        </w:rPr>
        <w:t xml:space="preserve">of the number of hours the </w:t>
      </w:r>
      <w:r w:rsidRPr="7BC75282">
        <w:rPr>
          <w:rFonts w:asciiTheme="minorHAnsi" w:hAnsiTheme="minorHAnsi"/>
        </w:rPr>
        <w:t xml:space="preserve">student </w:t>
      </w:r>
      <w:r w:rsidR="00CD1F45" w:rsidRPr="7BC75282">
        <w:rPr>
          <w:rFonts w:asciiTheme="minorHAnsi" w:hAnsiTheme="minorHAnsi"/>
        </w:rPr>
        <w:t xml:space="preserve">must </w:t>
      </w:r>
      <w:r w:rsidRPr="7BC75282">
        <w:rPr>
          <w:rFonts w:asciiTheme="minorHAnsi" w:hAnsiTheme="minorHAnsi"/>
        </w:rPr>
        <w:t>participate in their</w:t>
      </w:r>
      <w:r w:rsidR="00CD1F45" w:rsidRPr="7BC75282">
        <w:rPr>
          <w:rFonts w:asciiTheme="minorHAnsi" w:hAnsiTheme="minorHAnsi"/>
        </w:rPr>
        <w:t xml:space="preserve"> mandatory</w:t>
      </w:r>
      <w:r w:rsidRPr="7BC75282">
        <w:rPr>
          <w:rFonts w:asciiTheme="minorHAnsi" w:hAnsiTheme="minorHAnsi"/>
        </w:rPr>
        <w:t xml:space="preserve"> placement</w:t>
      </w:r>
      <w:r w:rsidR="00CD1F45" w:rsidRPr="7BC75282">
        <w:rPr>
          <w:rFonts w:asciiTheme="minorHAnsi" w:hAnsiTheme="minorHAnsi"/>
        </w:rPr>
        <w:t xml:space="preserve"> in each week, and those hours must </w:t>
      </w:r>
      <w:r w:rsidR="00F2356D" w:rsidRPr="7BC75282">
        <w:rPr>
          <w:rFonts w:asciiTheme="minorHAnsi" w:hAnsiTheme="minorHAnsi"/>
        </w:rPr>
        <w:t>total</w:t>
      </w:r>
      <w:r w:rsidRPr="7BC75282">
        <w:rPr>
          <w:rFonts w:asciiTheme="minorHAnsi" w:hAnsiTheme="minorHAnsi"/>
        </w:rPr>
        <w:t xml:space="preserve"> an average of 30 hours</w:t>
      </w:r>
      <w:r w:rsidR="00CD1F45" w:rsidRPr="7BC75282">
        <w:rPr>
          <w:rFonts w:asciiTheme="minorHAnsi" w:hAnsiTheme="minorHAnsi"/>
        </w:rPr>
        <w:t xml:space="preserve"> or more</w:t>
      </w:r>
      <w:r w:rsidRPr="7BC75282">
        <w:rPr>
          <w:rFonts w:asciiTheme="minorHAnsi" w:hAnsiTheme="minorHAnsi"/>
        </w:rPr>
        <w:t xml:space="preserve"> a week </w:t>
      </w:r>
      <w:r w:rsidR="002A3D16" w:rsidRPr="7BC75282">
        <w:rPr>
          <w:rFonts w:asciiTheme="minorHAnsi" w:hAnsiTheme="minorHAnsi"/>
        </w:rPr>
        <w:t xml:space="preserve">for the duration </w:t>
      </w:r>
      <w:r w:rsidRPr="7BC75282">
        <w:rPr>
          <w:rFonts w:asciiTheme="minorHAnsi" w:hAnsiTheme="minorHAnsi"/>
        </w:rPr>
        <w:t xml:space="preserve">of the placement. This reflects the policy intention that students undertaking the program </w:t>
      </w:r>
      <w:r w:rsidRPr="7BC75282">
        <w:rPr>
          <w:rFonts w:asciiTheme="minorHAnsi" w:hAnsiTheme="minorHAnsi"/>
        </w:rPr>
        <w:lastRenderedPageBreak/>
        <w:t>should ordinarily have to participate in the placement for an average of 30 hours</w:t>
      </w:r>
      <w:r w:rsidR="00CD1F45" w:rsidRPr="7BC75282">
        <w:rPr>
          <w:rFonts w:asciiTheme="minorHAnsi" w:hAnsiTheme="minorHAnsi"/>
        </w:rPr>
        <w:t xml:space="preserve"> or more</w:t>
      </w:r>
      <w:r w:rsidRPr="7BC75282">
        <w:rPr>
          <w:rFonts w:asciiTheme="minorHAnsi" w:hAnsiTheme="minorHAnsi"/>
        </w:rPr>
        <w:t xml:space="preserve"> a week across the length of their placement. </w:t>
      </w:r>
    </w:p>
    <w:p w14:paraId="49B5CB6B" w14:textId="6D959DDC" w:rsidR="00210933" w:rsidRDefault="00210933" w:rsidP="7BC75282">
      <w:pPr>
        <w:pStyle w:val="ListParagraph"/>
        <w:numPr>
          <w:ilvl w:val="0"/>
          <w:numId w:val="1"/>
        </w:numPr>
        <w:spacing w:before="120" w:after="120"/>
        <w:ind w:left="714" w:hanging="357"/>
        <w:rPr>
          <w:rFonts w:asciiTheme="minorHAnsi" w:hAnsiTheme="minorHAnsi"/>
        </w:rPr>
      </w:pPr>
      <w:r>
        <w:rPr>
          <w:rFonts w:asciiTheme="minorHAnsi" w:hAnsiTheme="minorHAnsi"/>
        </w:rPr>
        <w:t xml:space="preserve">New subsection 86(9) provides for when a higher education provider must not make a payment to a student for a week. Subsection (9) provides that a higher education provider must not make a payment to a student for a week under subsection </w:t>
      </w:r>
      <w:r w:rsidR="008D1086">
        <w:rPr>
          <w:rFonts w:asciiTheme="minorHAnsi" w:hAnsiTheme="minorHAnsi"/>
        </w:rPr>
        <w:t>86</w:t>
      </w:r>
      <w:r>
        <w:rPr>
          <w:rFonts w:asciiTheme="minorHAnsi" w:hAnsiTheme="minorHAnsi"/>
        </w:rPr>
        <w:t>(3) if the week to which the payment relates commences before 1 July 2025, but includes 1 July 2025,</w:t>
      </w:r>
      <w:r w:rsidR="008D1086">
        <w:rPr>
          <w:rFonts w:asciiTheme="minorHAnsi" w:hAnsiTheme="minorHAnsi"/>
        </w:rPr>
        <w:t xml:space="preserve"> and </w:t>
      </w:r>
      <w:r w:rsidR="008D1086" w:rsidRPr="008D1086">
        <w:rPr>
          <w:rFonts w:asciiTheme="minorHAnsi" w:hAnsiTheme="minorHAnsi"/>
        </w:rPr>
        <w:t xml:space="preserve">subparagraph </w:t>
      </w:r>
      <w:r w:rsidR="008D1086">
        <w:rPr>
          <w:rFonts w:asciiTheme="minorHAnsi" w:hAnsiTheme="minorHAnsi"/>
        </w:rPr>
        <w:t>86</w:t>
      </w:r>
      <w:r w:rsidR="008D1086" w:rsidRPr="008D1086">
        <w:rPr>
          <w:rFonts w:asciiTheme="minorHAnsi" w:hAnsiTheme="minorHAnsi"/>
        </w:rPr>
        <w:t>(3)(a)(</w:t>
      </w:r>
      <w:proofErr w:type="spellStart"/>
      <w:r w:rsidR="008D1086" w:rsidRPr="008D1086">
        <w:rPr>
          <w:rFonts w:asciiTheme="minorHAnsi" w:hAnsiTheme="minorHAnsi"/>
        </w:rPr>
        <w:t>i</w:t>
      </w:r>
      <w:proofErr w:type="spellEnd"/>
      <w:r w:rsidR="008D1086" w:rsidRPr="008D1086">
        <w:rPr>
          <w:rFonts w:asciiTheme="minorHAnsi" w:hAnsiTheme="minorHAnsi"/>
        </w:rPr>
        <w:t>) applies to the student</w:t>
      </w:r>
      <w:r w:rsidR="008D1086">
        <w:rPr>
          <w:rFonts w:asciiTheme="minorHAnsi" w:hAnsiTheme="minorHAnsi"/>
        </w:rPr>
        <w:t>,</w:t>
      </w:r>
      <w:r>
        <w:rPr>
          <w:rFonts w:asciiTheme="minorHAnsi" w:hAnsiTheme="minorHAnsi"/>
        </w:rPr>
        <w:t xml:space="preserve"> and counting only the days in the week starting on 1 July 2025, the number of hours the student participates, or participated in a mandatory placement for the week is less than the number of hours advised by the provider under subsection </w:t>
      </w:r>
      <w:r w:rsidR="008D1086">
        <w:rPr>
          <w:rFonts w:asciiTheme="minorHAnsi" w:hAnsiTheme="minorHAnsi"/>
        </w:rPr>
        <w:t>86</w:t>
      </w:r>
      <w:r>
        <w:rPr>
          <w:rFonts w:asciiTheme="minorHAnsi" w:hAnsiTheme="minorHAnsi"/>
        </w:rPr>
        <w:t xml:space="preserve">(8). </w:t>
      </w:r>
      <w:r w:rsidR="002F4588">
        <w:rPr>
          <w:rFonts w:asciiTheme="minorHAnsi" w:hAnsiTheme="minorHAnsi"/>
        </w:rPr>
        <w:t xml:space="preserve">This means that a student will only receive a payment for a week in their placement that commences </w:t>
      </w:r>
      <w:r w:rsidR="00E06B05">
        <w:rPr>
          <w:rFonts w:asciiTheme="minorHAnsi" w:hAnsiTheme="minorHAnsi"/>
        </w:rPr>
        <w:t xml:space="preserve">before 1 July 2025 if they participate in the placement for an average of 30 hours a week during the </w:t>
      </w:r>
      <w:r w:rsidR="002576A7" w:rsidRPr="00DF4C59">
        <w:rPr>
          <w:rFonts w:asciiTheme="minorHAnsi" w:hAnsiTheme="minorHAnsi"/>
        </w:rPr>
        <w:t>portion</w:t>
      </w:r>
      <w:r w:rsidR="00DF4C59">
        <w:rPr>
          <w:rFonts w:asciiTheme="minorHAnsi" w:hAnsiTheme="minorHAnsi"/>
        </w:rPr>
        <w:t xml:space="preserve"> o</w:t>
      </w:r>
      <w:r w:rsidR="007346EF">
        <w:rPr>
          <w:rFonts w:asciiTheme="minorHAnsi" w:hAnsiTheme="minorHAnsi"/>
        </w:rPr>
        <w:t xml:space="preserve">f the week starting 1 July 2025. </w:t>
      </w:r>
    </w:p>
    <w:p w14:paraId="2155C189" w14:textId="5D6E9534" w:rsidR="00196031" w:rsidRPr="0042041D" w:rsidRDefault="5698DDDE" w:rsidP="367BCE8E">
      <w:pPr>
        <w:keepNext/>
        <w:spacing w:before="360" w:after="120"/>
        <w:rPr>
          <w:rFonts w:asciiTheme="minorHAnsi" w:hAnsiTheme="minorHAnsi"/>
          <w:b/>
          <w:bCs/>
        </w:rPr>
      </w:pPr>
      <w:r w:rsidRPr="367BCE8E">
        <w:rPr>
          <w:rFonts w:asciiTheme="minorHAnsi" w:hAnsiTheme="minorHAnsi"/>
          <w:b/>
          <w:bCs/>
        </w:rPr>
        <w:t>Section 87</w:t>
      </w:r>
    </w:p>
    <w:p w14:paraId="5C265A43" w14:textId="70EC23CA" w:rsidR="008A3D0D" w:rsidRDefault="5698DDDE" w:rsidP="7BC75282">
      <w:pPr>
        <w:pStyle w:val="ListParagraph"/>
        <w:numPr>
          <w:ilvl w:val="0"/>
          <w:numId w:val="1"/>
        </w:numPr>
        <w:spacing w:before="120" w:after="120"/>
        <w:ind w:left="714" w:hanging="357"/>
        <w:rPr>
          <w:rFonts w:asciiTheme="minorHAnsi" w:hAnsiTheme="minorHAnsi"/>
        </w:rPr>
      </w:pPr>
      <w:r w:rsidRPr="7BC75282">
        <w:rPr>
          <w:rFonts w:asciiTheme="minorHAnsi" w:hAnsiTheme="minorHAnsi"/>
        </w:rPr>
        <w:t>New</w:t>
      </w:r>
      <w:r w:rsidR="7935C3C7" w:rsidRPr="7BC75282">
        <w:rPr>
          <w:rFonts w:asciiTheme="minorHAnsi" w:hAnsiTheme="minorHAnsi"/>
        </w:rPr>
        <w:t xml:space="preserve"> section 87 </w:t>
      </w:r>
      <w:r w:rsidR="0248F166" w:rsidRPr="7BC75282">
        <w:rPr>
          <w:rFonts w:asciiTheme="minorHAnsi" w:hAnsiTheme="minorHAnsi"/>
        </w:rPr>
        <w:t>provides</w:t>
      </w:r>
      <w:r w:rsidR="70FE0860" w:rsidRPr="7BC75282">
        <w:rPr>
          <w:rFonts w:asciiTheme="minorHAnsi" w:hAnsiTheme="minorHAnsi"/>
        </w:rPr>
        <w:t xml:space="preserve"> </w:t>
      </w:r>
      <w:r w:rsidR="0248F166" w:rsidRPr="7BC75282">
        <w:rPr>
          <w:rFonts w:asciiTheme="minorHAnsi" w:hAnsiTheme="minorHAnsi"/>
        </w:rPr>
        <w:t xml:space="preserve">that </w:t>
      </w:r>
      <w:r w:rsidR="70FE0860" w:rsidRPr="7BC75282">
        <w:rPr>
          <w:rFonts w:asciiTheme="minorHAnsi" w:hAnsiTheme="minorHAnsi"/>
        </w:rPr>
        <w:t xml:space="preserve">the maximum number of weeks </w:t>
      </w:r>
      <w:r w:rsidR="34CA12F4" w:rsidRPr="7BC75282">
        <w:rPr>
          <w:rFonts w:asciiTheme="minorHAnsi" w:hAnsiTheme="minorHAnsi"/>
        </w:rPr>
        <w:t xml:space="preserve">in relation </w:t>
      </w:r>
      <w:r w:rsidR="70FE0860" w:rsidRPr="7BC75282">
        <w:rPr>
          <w:rFonts w:asciiTheme="minorHAnsi" w:hAnsiTheme="minorHAnsi"/>
        </w:rPr>
        <w:t xml:space="preserve">to which a higher education provider can make a payment under </w:t>
      </w:r>
      <w:r w:rsidR="3C0FA1CB" w:rsidRPr="7BC75282">
        <w:rPr>
          <w:rFonts w:asciiTheme="minorHAnsi" w:hAnsiTheme="minorHAnsi"/>
        </w:rPr>
        <w:t>subsection</w:t>
      </w:r>
      <w:r w:rsidR="00BF1BED" w:rsidRPr="7BC75282">
        <w:rPr>
          <w:rFonts w:asciiTheme="minorHAnsi" w:hAnsiTheme="minorHAnsi"/>
        </w:rPr>
        <w:t>s</w:t>
      </w:r>
      <w:r w:rsidR="3C0FA1CB" w:rsidRPr="7BC75282">
        <w:rPr>
          <w:rFonts w:asciiTheme="minorHAnsi" w:hAnsiTheme="minorHAnsi"/>
        </w:rPr>
        <w:t xml:space="preserve"> </w:t>
      </w:r>
      <w:r w:rsidR="791BB91A" w:rsidRPr="7BC75282">
        <w:rPr>
          <w:rFonts w:asciiTheme="minorHAnsi" w:hAnsiTheme="minorHAnsi"/>
        </w:rPr>
        <w:t>86(3)</w:t>
      </w:r>
      <w:r w:rsidR="00BF1BED" w:rsidRPr="7BC75282">
        <w:rPr>
          <w:rFonts w:asciiTheme="minorHAnsi" w:hAnsiTheme="minorHAnsi"/>
        </w:rPr>
        <w:t xml:space="preserve"> or (</w:t>
      </w:r>
      <w:r w:rsidR="00CD1F45" w:rsidRPr="7BC75282">
        <w:rPr>
          <w:rFonts w:asciiTheme="minorHAnsi" w:hAnsiTheme="minorHAnsi"/>
        </w:rPr>
        <w:t>5</w:t>
      </w:r>
      <w:r w:rsidR="00BF1BED" w:rsidRPr="7BC75282">
        <w:rPr>
          <w:rFonts w:asciiTheme="minorHAnsi" w:hAnsiTheme="minorHAnsi"/>
        </w:rPr>
        <w:t>)</w:t>
      </w:r>
      <w:r w:rsidR="2C5473B3" w:rsidRPr="7BC75282">
        <w:rPr>
          <w:color w:val="000000"/>
          <w:sz w:val="22"/>
          <w:shd w:val="clear" w:color="auto" w:fill="FFFFFF"/>
        </w:rPr>
        <w:t xml:space="preserve"> </w:t>
      </w:r>
      <w:r w:rsidR="2C5473B3" w:rsidRPr="7BC75282">
        <w:rPr>
          <w:rFonts w:asciiTheme="minorHAnsi" w:hAnsiTheme="minorHAnsi"/>
        </w:rPr>
        <w:t xml:space="preserve">to an eligible </w:t>
      </w:r>
      <w:proofErr w:type="spellStart"/>
      <w:r w:rsidR="2C5473B3" w:rsidRPr="7BC75282">
        <w:rPr>
          <w:rFonts w:asciiTheme="minorHAnsi" w:hAnsiTheme="minorHAnsi"/>
        </w:rPr>
        <w:t>prac</w:t>
      </w:r>
      <w:proofErr w:type="spellEnd"/>
      <w:r w:rsidR="2C5473B3" w:rsidRPr="7BC75282">
        <w:rPr>
          <w:rFonts w:asciiTheme="minorHAnsi" w:hAnsiTheme="minorHAnsi"/>
        </w:rPr>
        <w:t xml:space="preserve"> student in relation to </w:t>
      </w:r>
      <w:r w:rsidR="007652F9" w:rsidRPr="7BC75282">
        <w:rPr>
          <w:rFonts w:asciiTheme="minorHAnsi" w:hAnsiTheme="minorHAnsi"/>
        </w:rPr>
        <w:t>the student’s participation in mandatory placements for a course of study</w:t>
      </w:r>
      <w:r w:rsidR="43225010" w:rsidRPr="7BC75282">
        <w:rPr>
          <w:rFonts w:asciiTheme="minorHAnsi" w:hAnsiTheme="minorHAnsi"/>
        </w:rPr>
        <w:t xml:space="preserve"> is as follows: </w:t>
      </w:r>
    </w:p>
    <w:p w14:paraId="479A73B4" w14:textId="4FE46771" w:rsidR="00481547" w:rsidRPr="002A200C" w:rsidRDefault="00D87134" w:rsidP="002A200C">
      <w:pPr>
        <w:pStyle w:val="paragraph"/>
        <w:ind w:left="1440" w:firstLine="0"/>
        <w:rPr>
          <w:rFonts w:asciiTheme="minorHAnsi" w:hAnsiTheme="minorHAnsi" w:cstheme="minorBidi"/>
          <w:sz w:val="24"/>
          <w:szCs w:val="24"/>
        </w:rPr>
      </w:pPr>
      <w:r w:rsidRPr="1782E007">
        <w:rPr>
          <w:rFonts w:asciiTheme="minorHAnsi" w:hAnsiTheme="minorHAnsi" w:cstheme="minorBidi"/>
          <w:sz w:val="24"/>
          <w:szCs w:val="24"/>
        </w:rPr>
        <w:t>(</w:t>
      </w:r>
      <w:r w:rsidR="00481547" w:rsidRPr="1782E007">
        <w:rPr>
          <w:rFonts w:asciiTheme="minorHAnsi" w:hAnsiTheme="minorHAnsi" w:cstheme="minorBidi"/>
          <w:sz w:val="24"/>
          <w:szCs w:val="24"/>
        </w:rPr>
        <w:t>a)</w:t>
      </w:r>
      <w:r w:rsidR="00481547">
        <w:tab/>
      </w:r>
      <w:r w:rsidR="00481547" w:rsidRPr="1782E007">
        <w:rPr>
          <w:rFonts w:asciiTheme="minorHAnsi" w:hAnsiTheme="minorHAnsi" w:cstheme="minorBidi"/>
          <w:sz w:val="24"/>
          <w:szCs w:val="24"/>
        </w:rPr>
        <w:t>for a course of study in midwifery—</w:t>
      </w:r>
      <w:proofErr w:type="gramStart"/>
      <w:r w:rsidR="00481547" w:rsidRPr="1782E007">
        <w:rPr>
          <w:rFonts w:asciiTheme="minorHAnsi" w:hAnsiTheme="minorHAnsi" w:cstheme="minorBidi"/>
          <w:sz w:val="24"/>
          <w:szCs w:val="24"/>
        </w:rPr>
        <w:t>26;</w:t>
      </w:r>
      <w:proofErr w:type="gramEnd"/>
    </w:p>
    <w:p w14:paraId="0B559AFC" w14:textId="0607F5F5" w:rsidR="00481547" w:rsidRPr="002A200C" w:rsidRDefault="00481547" w:rsidP="002A200C">
      <w:pPr>
        <w:pStyle w:val="paragraph"/>
        <w:ind w:left="1440" w:firstLine="0"/>
        <w:rPr>
          <w:rFonts w:asciiTheme="minorHAnsi" w:hAnsiTheme="minorHAnsi" w:cstheme="minorBidi"/>
          <w:sz w:val="24"/>
          <w:szCs w:val="24"/>
        </w:rPr>
      </w:pPr>
      <w:r w:rsidRPr="1782E007">
        <w:rPr>
          <w:rFonts w:asciiTheme="minorHAnsi" w:hAnsiTheme="minorHAnsi" w:cstheme="minorBidi"/>
          <w:sz w:val="24"/>
          <w:szCs w:val="24"/>
        </w:rPr>
        <w:t>(</w:t>
      </w:r>
      <w:r w:rsidR="45B3941E" w:rsidRPr="1782E007">
        <w:rPr>
          <w:rFonts w:asciiTheme="minorHAnsi" w:hAnsiTheme="minorHAnsi" w:cstheme="minorBidi"/>
          <w:sz w:val="24"/>
          <w:szCs w:val="24"/>
        </w:rPr>
        <w:t>b</w:t>
      </w:r>
      <w:r w:rsidRPr="1782E007">
        <w:rPr>
          <w:rFonts w:asciiTheme="minorHAnsi" w:hAnsiTheme="minorHAnsi" w:cstheme="minorBidi"/>
          <w:sz w:val="24"/>
          <w:szCs w:val="24"/>
        </w:rPr>
        <w:t>)</w:t>
      </w:r>
      <w:r>
        <w:tab/>
      </w:r>
      <w:r w:rsidRPr="1782E007">
        <w:rPr>
          <w:rFonts w:asciiTheme="minorHAnsi" w:hAnsiTheme="minorHAnsi" w:cstheme="minorBidi"/>
          <w:sz w:val="24"/>
          <w:szCs w:val="24"/>
        </w:rPr>
        <w:t>for course of study in nursing—</w:t>
      </w:r>
      <w:proofErr w:type="gramStart"/>
      <w:r w:rsidRPr="1782E007">
        <w:rPr>
          <w:rFonts w:asciiTheme="minorHAnsi" w:hAnsiTheme="minorHAnsi" w:cstheme="minorBidi"/>
          <w:sz w:val="24"/>
          <w:szCs w:val="24"/>
        </w:rPr>
        <w:t>20;</w:t>
      </w:r>
      <w:proofErr w:type="gramEnd"/>
    </w:p>
    <w:p w14:paraId="003A54D5" w14:textId="6B97794F" w:rsidR="00481547" w:rsidRDefault="00481547" w:rsidP="1782E007">
      <w:pPr>
        <w:pStyle w:val="paragraph"/>
        <w:ind w:left="1440" w:firstLine="0"/>
        <w:rPr>
          <w:rFonts w:asciiTheme="minorHAnsi" w:hAnsiTheme="minorHAnsi" w:cstheme="minorBidi"/>
          <w:sz w:val="24"/>
          <w:szCs w:val="24"/>
        </w:rPr>
      </w:pPr>
      <w:r w:rsidRPr="1782E007">
        <w:rPr>
          <w:rFonts w:asciiTheme="minorHAnsi" w:hAnsiTheme="minorHAnsi" w:cstheme="minorBidi"/>
          <w:sz w:val="24"/>
          <w:szCs w:val="24"/>
        </w:rPr>
        <w:t>(</w:t>
      </w:r>
      <w:r w:rsidR="440BD502" w:rsidRPr="1782E007">
        <w:rPr>
          <w:rFonts w:asciiTheme="minorHAnsi" w:hAnsiTheme="minorHAnsi" w:cstheme="minorBidi"/>
          <w:sz w:val="24"/>
          <w:szCs w:val="24"/>
        </w:rPr>
        <w:t>c</w:t>
      </w:r>
      <w:r w:rsidRPr="1782E007">
        <w:rPr>
          <w:rFonts w:asciiTheme="minorHAnsi" w:hAnsiTheme="minorHAnsi" w:cstheme="minorBidi"/>
          <w:sz w:val="24"/>
          <w:szCs w:val="24"/>
        </w:rPr>
        <w:t>)</w:t>
      </w:r>
      <w:r>
        <w:tab/>
      </w:r>
      <w:r w:rsidRPr="1782E007">
        <w:rPr>
          <w:rFonts w:asciiTheme="minorHAnsi" w:hAnsiTheme="minorHAnsi" w:cstheme="minorBidi"/>
          <w:sz w:val="24"/>
          <w:szCs w:val="24"/>
        </w:rPr>
        <w:t>for a course of study in social work—</w:t>
      </w:r>
      <w:proofErr w:type="gramStart"/>
      <w:r w:rsidRPr="1782E007">
        <w:rPr>
          <w:rFonts w:asciiTheme="minorHAnsi" w:hAnsiTheme="minorHAnsi" w:cstheme="minorBidi"/>
          <w:sz w:val="24"/>
          <w:szCs w:val="24"/>
        </w:rPr>
        <w:t>26;</w:t>
      </w:r>
      <w:proofErr w:type="gramEnd"/>
    </w:p>
    <w:p w14:paraId="2CB10C0F" w14:textId="7766B7C9" w:rsidR="000E1D9F" w:rsidRDefault="189497BD" w:rsidP="7BC75282">
      <w:pPr>
        <w:pStyle w:val="paragraph"/>
        <w:ind w:left="1440" w:firstLine="0"/>
        <w:rPr>
          <w:rFonts w:asciiTheme="minorHAnsi" w:hAnsiTheme="minorHAnsi" w:cstheme="minorBidi"/>
          <w:sz w:val="24"/>
          <w:szCs w:val="24"/>
        </w:rPr>
      </w:pPr>
      <w:r w:rsidRPr="7BC75282">
        <w:rPr>
          <w:rFonts w:asciiTheme="minorHAnsi" w:hAnsiTheme="minorHAnsi" w:cstheme="minorBidi"/>
          <w:sz w:val="24"/>
          <w:szCs w:val="24"/>
        </w:rPr>
        <w:t>(d)</w:t>
      </w:r>
      <w:r>
        <w:tab/>
      </w:r>
      <w:r w:rsidR="6CDA8908" w:rsidRPr="7BC75282">
        <w:rPr>
          <w:rFonts w:asciiTheme="minorHAnsi" w:hAnsiTheme="minorHAnsi" w:cstheme="minorBidi"/>
          <w:sz w:val="24"/>
          <w:szCs w:val="24"/>
        </w:rPr>
        <w:t xml:space="preserve">for a course of study </w:t>
      </w:r>
      <w:r w:rsidR="00EB1C91" w:rsidRPr="7BC75282">
        <w:rPr>
          <w:rFonts w:asciiTheme="minorHAnsi" w:hAnsiTheme="minorHAnsi" w:cstheme="minorBidi"/>
          <w:sz w:val="24"/>
          <w:szCs w:val="24"/>
        </w:rPr>
        <w:t xml:space="preserve">that leads to the award of a </w:t>
      </w:r>
      <w:proofErr w:type="gramStart"/>
      <w:r w:rsidR="00EB1C91" w:rsidRPr="7BC75282">
        <w:rPr>
          <w:rFonts w:asciiTheme="minorHAnsi" w:hAnsiTheme="minorHAnsi" w:cstheme="minorBidi"/>
          <w:sz w:val="24"/>
          <w:szCs w:val="24"/>
        </w:rPr>
        <w:t xml:space="preserve">bachelor degree </w:t>
      </w:r>
      <w:r w:rsidR="6CDA8908" w:rsidRPr="7BC75282">
        <w:rPr>
          <w:rFonts w:asciiTheme="minorHAnsi" w:hAnsiTheme="minorHAnsi" w:cstheme="minorBidi"/>
          <w:sz w:val="24"/>
          <w:szCs w:val="24"/>
        </w:rPr>
        <w:t xml:space="preserve">in </w:t>
      </w:r>
      <w:r w:rsidR="1F626AE9" w:rsidRPr="7BC75282">
        <w:rPr>
          <w:rFonts w:asciiTheme="minorHAnsi" w:hAnsiTheme="minorHAnsi" w:cstheme="minorBidi"/>
          <w:sz w:val="24"/>
          <w:szCs w:val="24"/>
        </w:rPr>
        <w:t>teaching</w:t>
      </w:r>
      <w:proofErr w:type="gramEnd"/>
      <w:r w:rsidR="002D7B9F" w:rsidRPr="7BC75282">
        <w:rPr>
          <w:rFonts w:asciiTheme="minorHAnsi" w:hAnsiTheme="minorHAnsi" w:cstheme="minorBidi"/>
          <w:sz w:val="24"/>
          <w:szCs w:val="24"/>
        </w:rPr>
        <w:t>—</w:t>
      </w:r>
      <w:proofErr w:type="gramStart"/>
      <w:r w:rsidR="1F626AE9" w:rsidRPr="7BC75282">
        <w:rPr>
          <w:rFonts w:asciiTheme="minorHAnsi" w:hAnsiTheme="minorHAnsi" w:cstheme="minorBidi"/>
          <w:sz w:val="24"/>
          <w:szCs w:val="24"/>
        </w:rPr>
        <w:t>16</w:t>
      </w:r>
      <w:r w:rsidR="00DC649D">
        <w:rPr>
          <w:rFonts w:asciiTheme="minorHAnsi" w:hAnsiTheme="minorHAnsi" w:cstheme="minorBidi"/>
          <w:sz w:val="24"/>
          <w:szCs w:val="24"/>
        </w:rPr>
        <w:t>;</w:t>
      </w:r>
      <w:proofErr w:type="gramEnd"/>
    </w:p>
    <w:p w14:paraId="141DEC67" w14:textId="12A0940F" w:rsidR="000E1D9F" w:rsidRPr="0042041D" w:rsidRDefault="000E1D9F" w:rsidP="000E1D9F">
      <w:pPr>
        <w:pStyle w:val="paragraph"/>
        <w:ind w:left="1440" w:firstLine="0"/>
        <w:rPr>
          <w:rFonts w:asciiTheme="minorHAnsi" w:hAnsiTheme="minorHAnsi" w:cstheme="minorBidi"/>
          <w:sz w:val="24"/>
          <w:szCs w:val="24"/>
        </w:rPr>
      </w:pPr>
      <w:r w:rsidRPr="367BCE8E">
        <w:rPr>
          <w:rFonts w:asciiTheme="minorHAnsi" w:hAnsiTheme="minorHAnsi" w:cstheme="minorBidi"/>
          <w:sz w:val="24"/>
          <w:szCs w:val="24"/>
        </w:rPr>
        <w:t>(</w:t>
      </w:r>
      <w:r>
        <w:rPr>
          <w:rFonts w:asciiTheme="minorHAnsi" w:hAnsiTheme="minorHAnsi" w:cstheme="minorBidi"/>
          <w:sz w:val="24"/>
          <w:szCs w:val="24"/>
        </w:rPr>
        <w:t>e</w:t>
      </w:r>
      <w:r w:rsidRPr="367BCE8E">
        <w:rPr>
          <w:rFonts w:asciiTheme="minorHAnsi" w:hAnsiTheme="minorHAnsi" w:cstheme="minorBidi"/>
          <w:sz w:val="24"/>
          <w:szCs w:val="24"/>
        </w:rPr>
        <w:t>)</w:t>
      </w:r>
      <w:r>
        <w:rPr>
          <w:rFonts w:asciiTheme="minorHAnsi" w:hAnsiTheme="minorHAnsi" w:cstheme="minorBidi"/>
          <w:sz w:val="24"/>
          <w:szCs w:val="24"/>
        </w:rPr>
        <w:tab/>
      </w:r>
      <w:r w:rsidRPr="367BCE8E">
        <w:rPr>
          <w:rFonts w:asciiTheme="minorHAnsi" w:hAnsiTheme="minorHAnsi" w:cstheme="minorBidi"/>
          <w:sz w:val="24"/>
          <w:szCs w:val="24"/>
        </w:rPr>
        <w:t xml:space="preserve">for a </w:t>
      </w:r>
      <w:r w:rsidR="002D7B9F">
        <w:rPr>
          <w:rFonts w:asciiTheme="minorHAnsi" w:hAnsiTheme="minorHAnsi" w:cstheme="minorBidi"/>
          <w:sz w:val="24"/>
          <w:szCs w:val="24"/>
        </w:rPr>
        <w:t xml:space="preserve">postgraduate </w:t>
      </w:r>
      <w:r w:rsidRPr="367BCE8E">
        <w:rPr>
          <w:rFonts w:asciiTheme="minorHAnsi" w:hAnsiTheme="minorHAnsi" w:cstheme="minorBidi"/>
          <w:sz w:val="24"/>
          <w:szCs w:val="24"/>
        </w:rPr>
        <w:t xml:space="preserve">course of study </w:t>
      </w:r>
      <w:r w:rsidR="00EB1C91">
        <w:rPr>
          <w:rFonts w:asciiTheme="minorHAnsi" w:hAnsiTheme="minorHAnsi" w:cstheme="minorBidi"/>
          <w:sz w:val="24"/>
          <w:szCs w:val="24"/>
        </w:rPr>
        <w:t xml:space="preserve">that leads to the award of a master’s degree </w:t>
      </w:r>
      <w:r w:rsidRPr="367BCE8E">
        <w:rPr>
          <w:rFonts w:asciiTheme="minorHAnsi" w:hAnsiTheme="minorHAnsi" w:cstheme="minorBidi"/>
          <w:sz w:val="24"/>
          <w:szCs w:val="24"/>
        </w:rPr>
        <w:t>in teaching</w:t>
      </w:r>
      <w:r w:rsidR="002D7B9F" w:rsidRPr="1782E007">
        <w:rPr>
          <w:rFonts w:asciiTheme="minorHAnsi" w:hAnsiTheme="minorHAnsi" w:cstheme="minorBidi"/>
          <w:sz w:val="24"/>
          <w:szCs w:val="24"/>
        </w:rPr>
        <w:t>—</w:t>
      </w:r>
      <w:r w:rsidRPr="367BCE8E">
        <w:rPr>
          <w:rFonts w:asciiTheme="minorHAnsi" w:hAnsiTheme="minorHAnsi" w:cstheme="minorBidi"/>
          <w:sz w:val="24"/>
          <w:szCs w:val="24"/>
        </w:rPr>
        <w:t>1</w:t>
      </w:r>
      <w:r w:rsidR="00EB1C91">
        <w:rPr>
          <w:rFonts w:asciiTheme="minorHAnsi" w:hAnsiTheme="minorHAnsi" w:cstheme="minorBidi"/>
          <w:sz w:val="24"/>
          <w:szCs w:val="24"/>
        </w:rPr>
        <w:t>2</w:t>
      </w:r>
      <w:r w:rsidRPr="367BCE8E">
        <w:rPr>
          <w:rFonts w:asciiTheme="minorHAnsi" w:hAnsiTheme="minorHAnsi" w:cstheme="minorBidi"/>
          <w:sz w:val="24"/>
          <w:szCs w:val="24"/>
        </w:rPr>
        <w:t>.</w:t>
      </w:r>
    </w:p>
    <w:p w14:paraId="04244B6A" w14:textId="6723FBE8" w:rsidR="00A015B0" w:rsidRPr="0042041D" w:rsidRDefault="68A06E63" w:rsidP="367BCE8E">
      <w:pPr>
        <w:spacing w:before="360" w:after="120"/>
        <w:rPr>
          <w:rFonts w:asciiTheme="minorHAnsi" w:hAnsiTheme="minorHAnsi"/>
          <w:b/>
          <w:bCs/>
        </w:rPr>
      </w:pPr>
      <w:r w:rsidRPr="367BCE8E">
        <w:rPr>
          <w:rFonts w:asciiTheme="minorHAnsi" w:hAnsiTheme="minorHAnsi"/>
          <w:b/>
          <w:bCs/>
        </w:rPr>
        <w:t>Section 88</w:t>
      </w:r>
    </w:p>
    <w:p w14:paraId="696E6A49" w14:textId="176EF3CB" w:rsidR="001E6FC9" w:rsidRPr="002A3B3B" w:rsidRDefault="68A06E63" w:rsidP="367BCE8E">
      <w:pPr>
        <w:pStyle w:val="ListParagraph"/>
        <w:numPr>
          <w:ilvl w:val="0"/>
          <w:numId w:val="1"/>
        </w:numPr>
        <w:spacing w:before="360" w:after="120"/>
        <w:rPr>
          <w:rFonts w:asciiTheme="minorHAnsi" w:hAnsiTheme="minorHAnsi"/>
        </w:rPr>
      </w:pPr>
      <w:r w:rsidRPr="367BCE8E">
        <w:rPr>
          <w:rFonts w:asciiTheme="minorHAnsi" w:hAnsiTheme="minorHAnsi"/>
        </w:rPr>
        <w:t>New</w:t>
      </w:r>
      <w:r w:rsidR="6A64CCC1" w:rsidRPr="367BCE8E">
        <w:rPr>
          <w:rFonts w:asciiTheme="minorHAnsi" w:hAnsiTheme="minorHAnsi"/>
        </w:rPr>
        <w:t xml:space="preserve"> section 8</w:t>
      </w:r>
      <w:r w:rsidR="1D2B2BCA" w:rsidRPr="367BCE8E">
        <w:rPr>
          <w:rFonts w:asciiTheme="minorHAnsi" w:hAnsiTheme="minorHAnsi"/>
        </w:rPr>
        <w:t>8</w:t>
      </w:r>
      <w:r w:rsidR="6A64CCC1" w:rsidRPr="367BCE8E">
        <w:rPr>
          <w:rFonts w:asciiTheme="minorHAnsi" w:hAnsiTheme="minorHAnsi"/>
        </w:rPr>
        <w:t xml:space="preserve"> provides that the amount specified in subparagraph </w:t>
      </w:r>
      <w:r w:rsidR="58EF85A6" w:rsidRPr="367BCE8E">
        <w:rPr>
          <w:rFonts w:asciiTheme="minorHAnsi" w:hAnsiTheme="minorHAnsi"/>
        </w:rPr>
        <w:t>86(</w:t>
      </w:r>
      <w:r w:rsidR="007652F9">
        <w:rPr>
          <w:rFonts w:asciiTheme="minorHAnsi" w:hAnsiTheme="minorHAnsi"/>
        </w:rPr>
        <w:t>4</w:t>
      </w:r>
      <w:r w:rsidR="58EF85A6" w:rsidRPr="367BCE8E">
        <w:rPr>
          <w:rFonts w:asciiTheme="minorHAnsi" w:hAnsiTheme="minorHAnsi"/>
        </w:rPr>
        <w:t>)(</w:t>
      </w:r>
      <w:r w:rsidR="00054100">
        <w:rPr>
          <w:rFonts w:asciiTheme="minorHAnsi" w:hAnsiTheme="minorHAnsi"/>
        </w:rPr>
        <w:t>e</w:t>
      </w:r>
      <w:r w:rsidR="58EF85A6" w:rsidRPr="367BCE8E">
        <w:rPr>
          <w:rFonts w:asciiTheme="minorHAnsi" w:hAnsiTheme="minorHAnsi"/>
        </w:rPr>
        <w:t>)(ii)</w:t>
      </w:r>
      <w:r w:rsidR="026ABD84" w:rsidRPr="367BCE8E">
        <w:rPr>
          <w:rFonts w:asciiTheme="minorHAnsi" w:hAnsiTheme="minorHAnsi"/>
        </w:rPr>
        <w:t xml:space="preserve"> (being the amount of income the student</w:t>
      </w:r>
      <w:r w:rsidR="391BBF44" w:rsidRPr="367BCE8E">
        <w:rPr>
          <w:rFonts w:asciiTheme="minorHAnsi" w:hAnsiTheme="minorHAnsi"/>
        </w:rPr>
        <w:t xml:space="preserve"> must earn less than to be eligible for a payment</w:t>
      </w:r>
      <w:r w:rsidR="026ABD84" w:rsidRPr="367BCE8E">
        <w:rPr>
          <w:rFonts w:asciiTheme="minorHAnsi" w:hAnsiTheme="minorHAnsi"/>
        </w:rPr>
        <w:t>)</w:t>
      </w:r>
      <w:r w:rsidR="58EF85A6" w:rsidRPr="367BCE8E">
        <w:rPr>
          <w:rFonts w:asciiTheme="minorHAnsi" w:hAnsiTheme="minorHAnsi"/>
        </w:rPr>
        <w:t xml:space="preserve"> </w:t>
      </w:r>
      <w:r w:rsidR="6A64CCC1" w:rsidRPr="367BCE8E">
        <w:rPr>
          <w:rFonts w:asciiTheme="minorHAnsi" w:hAnsiTheme="minorHAnsi"/>
        </w:rPr>
        <w:t xml:space="preserve">is specified for the year 2025 and is indexed </w:t>
      </w:r>
      <w:r w:rsidRPr="367BCE8E">
        <w:rPr>
          <w:rFonts w:asciiTheme="minorHAnsi" w:hAnsiTheme="minorHAnsi"/>
        </w:rPr>
        <w:t xml:space="preserve">on 1 January 2026, and each subsequent 1 January, </w:t>
      </w:r>
      <w:r w:rsidR="6A64CCC1" w:rsidRPr="367BCE8E">
        <w:rPr>
          <w:rFonts w:asciiTheme="minorHAnsi" w:hAnsiTheme="minorHAnsi"/>
        </w:rPr>
        <w:t xml:space="preserve">using the method of indexation set out in Part 5-6 of </w:t>
      </w:r>
      <w:r w:rsidR="24E5186A" w:rsidRPr="367BCE8E">
        <w:rPr>
          <w:rFonts w:asciiTheme="minorHAnsi" w:hAnsiTheme="minorHAnsi"/>
        </w:rPr>
        <w:t>the Act</w:t>
      </w:r>
      <w:r w:rsidR="6A64CCC1" w:rsidRPr="367BCE8E">
        <w:rPr>
          <w:rFonts w:asciiTheme="minorHAnsi" w:hAnsiTheme="minorHAnsi"/>
        </w:rPr>
        <w:t>.</w:t>
      </w:r>
    </w:p>
    <w:p w14:paraId="3E26CD33" w14:textId="0FE66552" w:rsidR="00D63CEF" w:rsidRPr="00275824" w:rsidRDefault="00D63CEF" w:rsidP="001C32B0">
      <w:pPr>
        <w:spacing w:after="160" w:line="259" w:lineRule="auto"/>
      </w:pPr>
    </w:p>
    <w:sectPr w:rsidR="00D63CEF" w:rsidRPr="00275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0F79" w14:textId="77777777" w:rsidR="00BA182F" w:rsidRDefault="00BA182F" w:rsidP="00783FAB">
      <w:pPr>
        <w:spacing w:after="0" w:line="240" w:lineRule="auto"/>
      </w:pPr>
      <w:r>
        <w:separator/>
      </w:r>
    </w:p>
  </w:endnote>
  <w:endnote w:type="continuationSeparator" w:id="0">
    <w:p w14:paraId="4D071C92" w14:textId="77777777" w:rsidR="00BA182F" w:rsidRDefault="00BA182F" w:rsidP="00783FAB">
      <w:pPr>
        <w:spacing w:after="0" w:line="240" w:lineRule="auto"/>
      </w:pPr>
      <w:r>
        <w:continuationSeparator/>
      </w:r>
    </w:p>
  </w:endnote>
  <w:endnote w:type="continuationNotice" w:id="1">
    <w:p w14:paraId="3BFF7F0A" w14:textId="77777777" w:rsidR="00BA182F" w:rsidRDefault="00BA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FE16" w14:textId="77777777" w:rsidR="00BA182F" w:rsidRDefault="00BA182F" w:rsidP="00783FAB">
      <w:pPr>
        <w:spacing w:after="0" w:line="240" w:lineRule="auto"/>
      </w:pPr>
      <w:r>
        <w:separator/>
      </w:r>
    </w:p>
  </w:footnote>
  <w:footnote w:type="continuationSeparator" w:id="0">
    <w:p w14:paraId="611D0093" w14:textId="77777777" w:rsidR="00BA182F" w:rsidRDefault="00BA182F" w:rsidP="00783FAB">
      <w:pPr>
        <w:spacing w:after="0" w:line="240" w:lineRule="auto"/>
      </w:pPr>
      <w:r>
        <w:continuationSeparator/>
      </w:r>
    </w:p>
  </w:footnote>
  <w:footnote w:type="continuationNotice" w:id="1">
    <w:p w14:paraId="5139C7AA" w14:textId="77777777" w:rsidR="00BA182F" w:rsidRDefault="00BA1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2B1EF4E0"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D7D9E"/>
    <w:multiLevelType w:val="hybridMultilevel"/>
    <w:tmpl w:val="C6F2E528"/>
    <w:lvl w:ilvl="0" w:tplc="0C090017">
      <w:start w:val="1"/>
      <w:numFmt w:val="lowerLetter"/>
      <w:lvlText w:val="%1)"/>
      <w:lvlJc w:val="left"/>
      <w:pPr>
        <w:ind w:left="1080" w:hanging="360"/>
      </w:pPr>
      <w:rPr>
        <w:rFonts w:hint="default"/>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DD43B6"/>
    <w:multiLevelType w:val="hybridMultilevel"/>
    <w:tmpl w:val="DD3E54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18970A4"/>
    <w:multiLevelType w:val="hybridMultilevel"/>
    <w:tmpl w:val="B9BCD8BA"/>
    <w:lvl w:ilvl="0" w:tplc="FFFFFFFF">
      <w:start w:val="1"/>
      <w:numFmt w:val="decimal"/>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D73C6"/>
    <w:multiLevelType w:val="hybridMultilevel"/>
    <w:tmpl w:val="220C8E02"/>
    <w:lvl w:ilvl="0" w:tplc="FFFFFFFF">
      <w:start w:val="1"/>
      <w:numFmt w:val="decimal"/>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70DC8"/>
    <w:multiLevelType w:val="hybridMultilevel"/>
    <w:tmpl w:val="220C8E02"/>
    <w:lvl w:ilvl="0" w:tplc="B156C2D2">
      <w:start w:val="1"/>
      <w:numFmt w:val="decimal"/>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D5211F"/>
    <w:multiLevelType w:val="hybridMultilevel"/>
    <w:tmpl w:val="958224C2"/>
    <w:lvl w:ilvl="0" w:tplc="FFFFFFFF">
      <w:start w:val="1"/>
      <w:numFmt w:val="bullet"/>
      <w:lvlText w:val=""/>
      <w:lvlJc w:val="left"/>
      <w:pPr>
        <w:ind w:left="720" w:hanging="360"/>
      </w:pPr>
      <w:rPr>
        <w:rFonts w:ascii="Symbol" w:hAnsi="Symbol" w:hint="default"/>
      </w:rPr>
    </w:lvl>
    <w:lvl w:ilvl="1" w:tplc="252EA3E8">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B46954"/>
    <w:multiLevelType w:val="hybridMultilevel"/>
    <w:tmpl w:val="5AE0DA02"/>
    <w:lvl w:ilvl="0" w:tplc="FFFFFFFF">
      <w:start w:val="1"/>
      <w:numFmt w:val="lowerRoman"/>
      <w:lvlText w:val="(%1)"/>
      <w:lvlJc w:val="left"/>
      <w:pPr>
        <w:ind w:left="2154" w:hanging="720"/>
      </w:pPr>
      <w:rPr>
        <w:rFonts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9" w15:restartNumberingAfterBreak="0">
    <w:nsid w:val="20C15519"/>
    <w:multiLevelType w:val="hybridMultilevel"/>
    <w:tmpl w:val="B186FB92"/>
    <w:lvl w:ilvl="0" w:tplc="F3801B7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6D576CE"/>
    <w:multiLevelType w:val="hybridMultilevel"/>
    <w:tmpl w:val="52561BB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2E165A"/>
    <w:multiLevelType w:val="hybridMultilevel"/>
    <w:tmpl w:val="703E7CD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32E52FC9"/>
    <w:multiLevelType w:val="hybridMultilevel"/>
    <w:tmpl w:val="BB48556A"/>
    <w:lvl w:ilvl="0" w:tplc="FFFFFFFF">
      <w:start w:val="1"/>
      <w:numFmt w:val="decimal"/>
      <w:lvlText w:val="%1."/>
      <w:lvlJc w:val="left"/>
      <w:pPr>
        <w:ind w:left="720" w:hanging="360"/>
      </w:pPr>
      <w:rPr>
        <w:rFonts w:hint="default"/>
        <w:i w:val="0"/>
        <w:color w:val="auto"/>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B63A19"/>
    <w:multiLevelType w:val="hybridMultilevel"/>
    <w:tmpl w:val="3CCA9F7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3F5600D5"/>
    <w:multiLevelType w:val="hybridMultilevel"/>
    <w:tmpl w:val="5AE0DA02"/>
    <w:lvl w:ilvl="0" w:tplc="CE3A00B4">
      <w:start w:val="1"/>
      <w:numFmt w:val="lowerRoman"/>
      <w:lvlText w:val="(%1)"/>
      <w:lvlJc w:val="left"/>
      <w:pPr>
        <w:ind w:left="2154" w:hanging="720"/>
      </w:pPr>
      <w:rPr>
        <w:rFonts w:hint="default"/>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15" w15:restartNumberingAfterBreak="0">
    <w:nsid w:val="453B1E03"/>
    <w:multiLevelType w:val="hybridMultilevel"/>
    <w:tmpl w:val="51F8FDB8"/>
    <w:lvl w:ilvl="0" w:tplc="F3801B7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6" w15:restartNumberingAfterBreak="0">
    <w:nsid w:val="51E5759F"/>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4C1552"/>
    <w:multiLevelType w:val="hybridMultilevel"/>
    <w:tmpl w:val="B9BCD8BA"/>
    <w:lvl w:ilvl="0" w:tplc="FFFFFFFF">
      <w:start w:val="1"/>
      <w:numFmt w:val="decimal"/>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992F05"/>
    <w:multiLevelType w:val="hybridMultilevel"/>
    <w:tmpl w:val="35BCCCC0"/>
    <w:lvl w:ilvl="0" w:tplc="58682146">
      <w:start w:val="1"/>
      <w:numFmt w:val="decimal"/>
      <w:lvlText w:val="%1)"/>
      <w:lvlJc w:val="left"/>
      <w:pPr>
        <w:ind w:left="1080" w:hanging="360"/>
      </w:pPr>
    </w:lvl>
    <w:lvl w:ilvl="1" w:tplc="FC4A67B8">
      <w:start w:val="1"/>
      <w:numFmt w:val="decimal"/>
      <w:lvlText w:val="%2)"/>
      <w:lvlJc w:val="left"/>
      <w:pPr>
        <w:ind w:left="1080" w:hanging="360"/>
      </w:pPr>
    </w:lvl>
    <w:lvl w:ilvl="2" w:tplc="5E2AF274">
      <w:start w:val="1"/>
      <w:numFmt w:val="decimal"/>
      <w:lvlText w:val="%3)"/>
      <w:lvlJc w:val="left"/>
      <w:pPr>
        <w:ind w:left="1080" w:hanging="360"/>
      </w:pPr>
    </w:lvl>
    <w:lvl w:ilvl="3" w:tplc="ED3EFE68">
      <w:start w:val="1"/>
      <w:numFmt w:val="decimal"/>
      <w:lvlText w:val="%4)"/>
      <w:lvlJc w:val="left"/>
      <w:pPr>
        <w:ind w:left="1080" w:hanging="360"/>
      </w:pPr>
    </w:lvl>
    <w:lvl w:ilvl="4" w:tplc="8DB4DAA6">
      <w:start w:val="1"/>
      <w:numFmt w:val="decimal"/>
      <w:lvlText w:val="%5)"/>
      <w:lvlJc w:val="left"/>
      <w:pPr>
        <w:ind w:left="1080" w:hanging="360"/>
      </w:pPr>
    </w:lvl>
    <w:lvl w:ilvl="5" w:tplc="A7F035E6">
      <w:start w:val="1"/>
      <w:numFmt w:val="decimal"/>
      <w:lvlText w:val="%6)"/>
      <w:lvlJc w:val="left"/>
      <w:pPr>
        <w:ind w:left="1080" w:hanging="360"/>
      </w:pPr>
    </w:lvl>
    <w:lvl w:ilvl="6" w:tplc="216E030C">
      <w:start w:val="1"/>
      <w:numFmt w:val="decimal"/>
      <w:lvlText w:val="%7)"/>
      <w:lvlJc w:val="left"/>
      <w:pPr>
        <w:ind w:left="1080" w:hanging="360"/>
      </w:pPr>
    </w:lvl>
    <w:lvl w:ilvl="7" w:tplc="47E0AECA">
      <w:start w:val="1"/>
      <w:numFmt w:val="decimal"/>
      <w:lvlText w:val="%8)"/>
      <w:lvlJc w:val="left"/>
      <w:pPr>
        <w:ind w:left="1080" w:hanging="360"/>
      </w:pPr>
    </w:lvl>
    <w:lvl w:ilvl="8" w:tplc="E828E9A0">
      <w:start w:val="1"/>
      <w:numFmt w:val="decimal"/>
      <w:lvlText w:val="%9)"/>
      <w:lvlJc w:val="left"/>
      <w:pPr>
        <w:ind w:left="1080" w:hanging="360"/>
      </w:pPr>
    </w:lvl>
  </w:abstractNum>
  <w:abstractNum w:abstractNumId="19" w15:restartNumberingAfterBreak="0">
    <w:nsid w:val="64695A34"/>
    <w:multiLevelType w:val="hybridMultilevel"/>
    <w:tmpl w:val="A7029B8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5AB2F29"/>
    <w:multiLevelType w:val="hybridMultilevel"/>
    <w:tmpl w:val="C6F2E528"/>
    <w:lvl w:ilvl="0" w:tplc="FFFFFFFF">
      <w:start w:val="1"/>
      <w:numFmt w:val="lowerLetter"/>
      <w:lvlText w:val="%1)"/>
      <w:lvlJc w:val="left"/>
      <w:pPr>
        <w:ind w:left="1080" w:hanging="360"/>
      </w:pPr>
      <w:rPr>
        <w:rFonts w:hint="default"/>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8EC013D"/>
    <w:multiLevelType w:val="hybridMultilevel"/>
    <w:tmpl w:val="A7F4A526"/>
    <w:lvl w:ilvl="0" w:tplc="42F2B4A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A8636A2"/>
    <w:multiLevelType w:val="hybridMultilevel"/>
    <w:tmpl w:val="E35CE9E0"/>
    <w:lvl w:ilvl="0" w:tplc="FFFFFFFF">
      <w:start w:val="1"/>
      <w:numFmt w:val="decimal"/>
      <w:lvlText w:val="%1."/>
      <w:lvlJc w:val="left"/>
      <w:pPr>
        <w:ind w:left="720" w:hanging="360"/>
      </w:pPr>
      <w:rPr>
        <w:rFonts w:hint="default"/>
        <w:i w:val="0"/>
        <w:color w:val="auto"/>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012128">
    <w:abstractNumId w:val="5"/>
  </w:num>
  <w:num w:numId="2" w16cid:durableId="433137951">
    <w:abstractNumId w:val="6"/>
  </w:num>
  <w:num w:numId="3" w16cid:durableId="694618370">
    <w:abstractNumId w:val="16"/>
  </w:num>
  <w:num w:numId="4" w16cid:durableId="587078134">
    <w:abstractNumId w:val="13"/>
  </w:num>
  <w:num w:numId="5" w16cid:durableId="481505884">
    <w:abstractNumId w:val="10"/>
  </w:num>
  <w:num w:numId="6" w16cid:durableId="1304698126">
    <w:abstractNumId w:val="7"/>
  </w:num>
  <w:num w:numId="7" w16cid:durableId="1665089166">
    <w:abstractNumId w:val="9"/>
  </w:num>
  <w:num w:numId="8" w16cid:durableId="1592086152">
    <w:abstractNumId w:val="15"/>
  </w:num>
  <w:num w:numId="9" w16cid:durableId="1635525636">
    <w:abstractNumId w:val="1"/>
  </w:num>
  <w:num w:numId="10" w16cid:durableId="1564756806">
    <w:abstractNumId w:val="2"/>
  </w:num>
  <w:num w:numId="11" w16cid:durableId="1043795410">
    <w:abstractNumId w:val="0"/>
  </w:num>
  <w:num w:numId="12" w16cid:durableId="837036927">
    <w:abstractNumId w:val="19"/>
  </w:num>
  <w:num w:numId="13" w16cid:durableId="1745180041">
    <w:abstractNumId w:val="20"/>
  </w:num>
  <w:num w:numId="14" w16cid:durableId="899439330">
    <w:abstractNumId w:val="14"/>
  </w:num>
  <w:num w:numId="15" w16cid:durableId="750349276">
    <w:abstractNumId w:val="21"/>
  </w:num>
  <w:num w:numId="16" w16cid:durableId="1996257506">
    <w:abstractNumId w:val="8"/>
  </w:num>
  <w:num w:numId="17" w16cid:durableId="557861495">
    <w:abstractNumId w:val="22"/>
  </w:num>
  <w:num w:numId="18" w16cid:durableId="1967351176">
    <w:abstractNumId w:val="12"/>
  </w:num>
  <w:num w:numId="19" w16cid:durableId="723484633">
    <w:abstractNumId w:val="17"/>
  </w:num>
  <w:num w:numId="20" w16cid:durableId="515851149">
    <w:abstractNumId w:val="3"/>
  </w:num>
  <w:num w:numId="21" w16cid:durableId="659966881">
    <w:abstractNumId w:val="18"/>
  </w:num>
  <w:num w:numId="22" w16cid:durableId="13961076">
    <w:abstractNumId w:val="11"/>
  </w:num>
  <w:num w:numId="23" w16cid:durableId="109393517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3BF3"/>
    <w:rsid w:val="00003F5B"/>
    <w:rsid w:val="00010B6E"/>
    <w:rsid w:val="00011C78"/>
    <w:rsid w:val="00011E4D"/>
    <w:rsid w:val="00012865"/>
    <w:rsid w:val="00013472"/>
    <w:rsid w:val="000138CF"/>
    <w:rsid w:val="00013D25"/>
    <w:rsid w:val="000140D5"/>
    <w:rsid w:val="000146FA"/>
    <w:rsid w:val="0001554B"/>
    <w:rsid w:val="00016264"/>
    <w:rsid w:val="0001632E"/>
    <w:rsid w:val="00016AFF"/>
    <w:rsid w:val="00016E5D"/>
    <w:rsid w:val="00016EA4"/>
    <w:rsid w:val="00017F54"/>
    <w:rsid w:val="00020085"/>
    <w:rsid w:val="000200C2"/>
    <w:rsid w:val="00021BEB"/>
    <w:rsid w:val="000224DE"/>
    <w:rsid w:val="00023EE0"/>
    <w:rsid w:val="00024EC0"/>
    <w:rsid w:val="00025BA8"/>
    <w:rsid w:val="000273AC"/>
    <w:rsid w:val="0002799A"/>
    <w:rsid w:val="000305EA"/>
    <w:rsid w:val="00030A3C"/>
    <w:rsid w:val="00031521"/>
    <w:rsid w:val="00031DE9"/>
    <w:rsid w:val="00031E3C"/>
    <w:rsid w:val="00031E87"/>
    <w:rsid w:val="00032B69"/>
    <w:rsid w:val="00032CB3"/>
    <w:rsid w:val="00032F21"/>
    <w:rsid w:val="00034587"/>
    <w:rsid w:val="00034F46"/>
    <w:rsid w:val="00036B23"/>
    <w:rsid w:val="00036FAE"/>
    <w:rsid w:val="00037780"/>
    <w:rsid w:val="000379E0"/>
    <w:rsid w:val="000401B5"/>
    <w:rsid w:val="00040675"/>
    <w:rsid w:val="00042AC3"/>
    <w:rsid w:val="00042F11"/>
    <w:rsid w:val="00044479"/>
    <w:rsid w:val="00044508"/>
    <w:rsid w:val="00047668"/>
    <w:rsid w:val="00047A2A"/>
    <w:rsid w:val="00047C84"/>
    <w:rsid w:val="0005020B"/>
    <w:rsid w:val="0005050E"/>
    <w:rsid w:val="00050C03"/>
    <w:rsid w:val="00051442"/>
    <w:rsid w:val="000526B7"/>
    <w:rsid w:val="00052E55"/>
    <w:rsid w:val="00054100"/>
    <w:rsid w:val="00056DA8"/>
    <w:rsid w:val="0005732D"/>
    <w:rsid w:val="00057815"/>
    <w:rsid w:val="00057A1E"/>
    <w:rsid w:val="00060DD4"/>
    <w:rsid w:val="000614A1"/>
    <w:rsid w:val="00061C6F"/>
    <w:rsid w:val="00062794"/>
    <w:rsid w:val="00063687"/>
    <w:rsid w:val="0006484E"/>
    <w:rsid w:val="00066499"/>
    <w:rsid w:val="0006655A"/>
    <w:rsid w:val="000668B0"/>
    <w:rsid w:val="000669B3"/>
    <w:rsid w:val="0006775D"/>
    <w:rsid w:val="000679FF"/>
    <w:rsid w:val="0007295B"/>
    <w:rsid w:val="00073260"/>
    <w:rsid w:val="000745E2"/>
    <w:rsid w:val="00075A13"/>
    <w:rsid w:val="00076DBB"/>
    <w:rsid w:val="00076E76"/>
    <w:rsid w:val="00077A62"/>
    <w:rsid w:val="00081D98"/>
    <w:rsid w:val="0008291D"/>
    <w:rsid w:val="00082EEE"/>
    <w:rsid w:val="00083F41"/>
    <w:rsid w:val="000846B7"/>
    <w:rsid w:val="0008567E"/>
    <w:rsid w:val="0008640B"/>
    <w:rsid w:val="00086C70"/>
    <w:rsid w:val="00090005"/>
    <w:rsid w:val="000900F8"/>
    <w:rsid w:val="000913F9"/>
    <w:rsid w:val="00091656"/>
    <w:rsid w:val="00091AD7"/>
    <w:rsid w:val="00092862"/>
    <w:rsid w:val="00095881"/>
    <w:rsid w:val="0009630A"/>
    <w:rsid w:val="00097FFE"/>
    <w:rsid w:val="000A1EA5"/>
    <w:rsid w:val="000A2A28"/>
    <w:rsid w:val="000A2D3A"/>
    <w:rsid w:val="000A3124"/>
    <w:rsid w:val="000A35D6"/>
    <w:rsid w:val="000A36C0"/>
    <w:rsid w:val="000A534B"/>
    <w:rsid w:val="000A6440"/>
    <w:rsid w:val="000A78C4"/>
    <w:rsid w:val="000B0C39"/>
    <w:rsid w:val="000B1216"/>
    <w:rsid w:val="000B1BE1"/>
    <w:rsid w:val="000B2119"/>
    <w:rsid w:val="000B2794"/>
    <w:rsid w:val="000B284F"/>
    <w:rsid w:val="000B3914"/>
    <w:rsid w:val="000B41DA"/>
    <w:rsid w:val="000B56AA"/>
    <w:rsid w:val="000B6430"/>
    <w:rsid w:val="000B76B1"/>
    <w:rsid w:val="000C008E"/>
    <w:rsid w:val="000C0472"/>
    <w:rsid w:val="000C114A"/>
    <w:rsid w:val="000C1382"/>
    <w:rsid w:val="000C1AAE"/>
    <w:rsid w:val="000C1C90"/>
    <w:rsid w:val="000C224C"/>
    <w:rsid w:val="000C2B09"/>
    <w:rsid w:val="000C2EB4"/>
    <w:rsid w:val="000C2F54"/>
    <w:rsid w:val="000C310A"/>
    <w:rsid w:val="000C34FD"/>
    <w:rsid w:val="000C4D5E"/>
    <w:rsid w:val="000C4D6B"/>
    <w:rsid w:val="000C5433"/>
    <w:rsid w:val="000C5B1F"/>
    <w:rsid w:val="000C664F"/>
    <w:rsid w:val="000D03ED"/>
    <w:rsid w:val="000D076D"/>
    <w:rsid w:val="000D1472"/>
    <w:rsid w:val="000D28E5"/>
    <w:rsid w:val="000D2C56"/>
    <w:rsid w:val="000D3BCD"/>
    <w:rsid w:val="000D5865"/>
    <w:rsid w:val="000D5E6D"/>
    <w:rsid w:val="000D627A"/>
    <w:rsid w:val="000D6E6F"/>
    <w:rsid w:val="000E0241"/>
    <w:rsid w:val="000E18D1"/>
    <w:rsid w:val="000E1D9F"/>
    <w:rsid w:val="000E3416"/>
    <w:rsid w:val="000E3516"/>
    <w:rsid w:val="000E42C2"/>
    <w:rsid w:val="000E54BE"/>
    <w:rsid w:val="000E57DB"/>
    <w:rsid w:val="000E633D"/>
    <w:rsid w:val="000E6A64"/>
    <w:rsid w:val="000E6D62"/>
    <w:rsid w:val="000E6E9E"/>
    <w:rsid w:val="000E6FD6"/>
    <w:rsid w:val="000E7D2F"/>
    <w:rsid w:val="000F0394"/>
    <w:rsid w:val="000F0774"/>
    <w:rsid w:val="000F12B7"/>
    <w:rsid w:val="000F1811"/>
    <w:rsid w:val="000F1BE6"/>
    <w:rsid w:val="000F1D3F"/>
    <w:rsid w:val="000F32AD"/>
    <w:rsid w:val="000F4786"/>
    <w:rsid w:val="000F4BF2"/>
    <w:rsid w:val="000F5428"/>
    <w:rsid w:val="000F67E1"/>
    <w:rsid w:val="000F6EE7"/>
    <w:rsid w:val="000F7754"/>
    <w:rsid w:val="000F7A8C"/>
    <w:rsid w:val="00100299"/>
    <w:rsid w:val="001008CC"/>
    <w:rsid w:val="001011D2"/>
    <w:rsid w:val="00101DC5"/>
    <w:rsid w:val="0010278B"/>
    <w:rsid w:val="00103015"/>
    <w:rsid w:val="00103253"/>
    <w:rsid w:val="001042BA"/>
    <w:rsid w:val="001072A6"/>
    <w:rsid w:val="00107BA6"/>
    <w:rsid w:val="001108F9"/>
    <w:rsid w:val="001113F8"/>
    <w:rsid w:val="00112155"/>
    <w:rsid w:val="00114F88"/>
    <w:rsid w:val="001169FE"/>
    <w:rsid w:val="00116E5F"/>
    <w:rsid w:val="00116F9D"/>
    <w:rsid w:val="001179E3"/>
    <w:rsid w:val="00117C3F"/>
    <w:rsid w:val="0012061C"/>
    <w:rsid w:val="001208D6"/>
    <w:rsid w:val="00120A34"/>
    <w:rsid w:val="00123955"/>
    <w:rsid w:val="00124144"/>
    <w:rsid w:val="00124260"/>
    <w:rsid w:val="0012435C"/>
    <w:rsid w:val="00124A6F"/>
    <w:rsid w:val="00124F90"/>
    <w:rsid w:val="00125A8E"/>
    <w:rsid w:val="001263D0"/>
    <w:rsid w:val="001272A9"/>
    <w:rsid w:val="00127551"/>
    <w:rsid w:val="00127CD8"/>
    <w:rsid w:val="001301AD"/>
    <w:rsid w:val="0013182F"/>
    <w:rsid w:val="00131AF2"/>
    <w:rsid w:val="00132780"/>
    <w:rsid w:val="0013303F"/>
    <w:rsid w:val="001334D9"/>
    <w:rsid w:val="00133E2C"/>
    <w:rsid w:val="00134EFB"/>
    <w:rsid w:val="0013507A"/>
    <w:rsid w:val="00135BD2"/>
    <w:rsid w:val="00137195"/>
    <w:rsid w:val="001377D9"/>
    <w:rsid w:val="00137ACD"/>
    <w:rsid w:val="00140DAD"/>
    <w:rsid w:val="00140E3D"/>
    <w:rsid w:val="001415C1"/>
    <w:rsid w:val="001421FE"/>
    <w:rsid w:val="00142960"/>
    <w:rsid w:val="001437EA"/>
    <w:rsid w:val="00144950"/>
    <w:rsid w:val="00145B2C"/>
    <w:rsid w:val="00145BE1"/>
    <w:rsid w:val="001460ED"/>
    <w:rsid w:val="0014680B"/>
    <w:rsid w:val="00146B0B"/>
    <w:rsid w:val="0015157B"/>
    <w:rsid w:val="00151A7F"/>
    <w:rsid w:val="0015264F"/>
    <w:rsid w:val="0015276C"/>
    <w:rsid w:val="001528BE"/>
    <w:rsid w:val="00152947"/>
    <w:rsid w:val="00153C7F"/>
    <w:rsid w:val="00153D76"/>
    <w:rsid w:val="0015508C"/>
    <w:rsid w:val="00156315"/>
    <w:rsid w:val="0015675C"/>
    <w:rsid w:val="00156821"/>
    <w:rsid w:val="00160153"/>
    <w:rsid w:val="00160E70"/>
    <w:rsid w:val="00161A1F"/>
    <w:rsid w:val="001624EC"/>
    <w:rsid w:val="001633FF"/>
    <w:rsid w:val="001640A7"/>
    <w:rsid w:val="00164593"/>
    <w:rsid w:val="00165CCD"/>
    <w:rsid w:val="00166850"/>
    <w:rsid w:val="00167964"/>
    <w:rsid w:val="0017006A"/>
    <w:rsid w:val="00170698"/>
    <w:rsid w:val="00171873"/>
    <w:rsid w:val="0017227C"/>
    <w:rsid w:val="001728D9"/>
    <w:rsid w:val="00173A64"/>
    <w:rsid w:val="00173E0C"/>
    <w:rsid w:val="00174CD0"/>
    <w:rsid w:val="001756E3"/>
    <w:rsid w:val="00176B54"/>
    <w:rsid w:val="00176FDC"/>
    <w:rsid w:val="0017748E"/>
    <w:rsid w:val="001808C6"/>
    <w:rsid w:val="00182ED6"/>
    <w:rsid w:val="00183421"/>
    <w:rsid w:val="00185248"/>
    <w:rsid w:val="00185491"/>
    <w:rsid w:val="001858AF"/>
    <w:rsid w:val="00185C7F"/>
    <w:rsid w:val="00190B49"/>
    <w:rsid w:val="00192820"/>
    <w:rsid w:val="001931C6"/>
    <w:rsid w:val="00195030"/>
    <w:rsid w:val="00196031"/>
    <w:rsid w:val="00197C3F"/>
    <w:rsid w:val="001A01A0"/>
    <w:rsid w:val="001A0E30"/>
    <w:rsid w:val="001A198B"/>
    <w:rsid w:val="001A1F02"/>
    <w:rsid w:val="001A223C"/>
    <w:rsid w:val="001A2FB8"/>
    <w:rsid w:val="001A2FE9"/>
    <w:rsid w:val="001A3178"/>
    <w:rsid w:val="001A3DF4"/>
    <w:rsid w:val="001A4389"/>
    <w:rsid w:val="001A4550"/>
    <w:rsid w:val="001A53B2"/>
    <w:rsid w:val="001A6979"/>
    <w:rsid w:val="001A783B"/>
    <w:rsid w:val="001B169A"/>
    <w:rsid w:val="001B3068"/>
    <w:rsid w:val="001B3C7A"/>
    <w:rsid w:val="001B3D9C"/>
    <w:rsid w:val="001B4390"/>
    <w:rsid w:val="001B48DD"/>
    <w:rsid w:val="001B49A6"/>
    <w:rsid w:val="001B516C"/>
    <w:rsid w:val="001B65A0"/>
    <w:rsid w:val="001B75A6"/>
    <w:rsid w:val="001C10CF"/>
    <w:rsid w:val="001C1292"/>
    <w:rsid w:val="001C192F"/>
    <w:rsid w:val="001C32B0"/>
    <w:rsid w:val="001C3E1D"/>
    <w:rsid w:val="001C59E8"/>
    <w:rsid w:val="001C61DE"/>
    <w:rsid w:val="001C6886"/>
    <w:rsid w:val="001C6AAB"/>
    <w:rsid w:val="001D00E3"/>
    <w:rsid w:val="001D0AF3"/>
    <w:rsid w:val="001D0DFE"/>
    <w:rsid w:val="001D0E82"/>
    <w:rsid w:val="001D15DE"/>
    <w:rsid w:val="001D1D8A"/>
    <w:rsid w:val="001D247C"/>
    <w:rsid w:val="001D36EE"/>
    <w:rsid w:val="001D4385"/>
    <w:rsid w:val="001D49BF"/>
    <w:rsid w:val="001D5466"/>
    <w:rsid w:val="001D5618"/>
    <w:rsid w:val="001D6171"/>
    <w:rsid w:val="001D6265"/>
    <w:rsid w:val="001E07CE"/>
    <w:rsid w:val="001E10C6"/>
    <w:rsid w:val="001E1813"/>
    <w:rsid w:val="001E26FA"/>
    <w:rsid w:val="001E2C02"/>
    <w:rsid w:val="001E5180"/>
    <w:rsid w:val="001E52EB"/>
    <w:rsid w:val="001E5A0B"/>
    <w:rsid w:val="001E6FC9"/>
    <w:rsid w:val="001E7A5F"/>
    <w:rsid w:val="001E7BC6"/>
    <w:rsid w:val="001F02A6"/>
    <w:rsid w:val="001F127D"/>
    <w:rsid w:val="001F2EC9"/>
    <w:rsid w:val="001F32CA"/>
    <w:rsid w:val="001F32F7"/>
    <w:rsid w:val="001F3626"/>
    <w:rsid w:val="001F4448"/>
    <w:rsid w:val="001F4614"/>
    <w:rsid w:val="001F4CDE"/>
    <w:rsid w:val="001F50D0"/>
    <w:rsid w:val="001F595F"/>
    <w:rsid w:val="001F5B68"/>
    <w:rsid w:val="001F6B2C"/>
    <w:rsid w:val="001F7336"/>
    <w:rsid w:val="00200358"/>
    <w:rsid w:val="002005CD"/>
    <w:rsid w:val="00201845"/>
    <w:rsid w:val="00201F75"/>
    <w:rsid w:val="00202EC1"/>
    <w:rsid w:val="0020355C"/>
    <w:rsid w:val="00203C69"/>
    <w:rsid w:val="00204145"/>
    <w:rsid w:val="00204283"/>
    <w:rsid w:val="00204DDB"/>
    <w:rsid w:val="00204DED"/>
    <w:rsid w:val="00204EEF"/>
    <w:rsid w:val="002057DB"/>
    <w:rsid w:val="002058D4"/>
    <w:rsid w:val="00205DBD"/>
    <w:rsid w:val="00207297"/>
    <w:rsid w:val="0021083F"/>
    <w:rsid w:val="00210933"/>
    <w:rsid w:val="0021143F"/>
    <w:rsid w:val="00212618"/>
    <w:rsid w:val="00212D5F"/>
    <w:rsid w:val="00212FD8"/>
    <w:rsid w:val="0021319E"/>
    <w:rsid w:val="0021337D"/>
    <w:rsid w:val="0021375A"/>
    <w:rsid w:val="00213C9F"/>
    <w:rsid w:val="002160EC"/>
    <w:rsid w:val="00216A1C"/>
    <w:rsid w:val="00217881"/>
    <w:rsid w:val="00217C71"/>
    <w:rsid w:val="00222FB1"/>
    <w:rsid w:val="00223126"/>
    <w:rsid w:val="00223F82"/>
    <w:rsid w:val="00224C52"/>
    <w:rsid w:val="00225D02"/>
    <w:rsid w:val="002261BE"/>
    <w:rsid w:val="00226459"/>
    <w:rsid w:val="00226617"/>
    <w:rsid w:val="00227632"/>
    <w:rsid w:val="00227E58"/>
    <w:rsid w:val="0023013B"/>
    <w:rsid w:val="00230591"/>
    <w:rsid w:val="002317CC"/>
    <w:rsid w:val="0023196D"/>
    <w:rsid w:val="00232304"/>
    <w:rsid w:val="00232C39"/>
    <w:rsid w:val="00233311"/>
    <w:rsid w:val="00235999"/>
    <w:rsid w:val="00235E03"/>
    <w:rsid w:val="00237156"/>
    <w:rsid w:val="002376A8"/>
    <w:rsid w:val="002378EE"/>
    <w:rsid w:val="00237E0E"/>
    <w:rsid w:val="002404C8"/>
    <w:rsid w:val="00241242"/>
    <w:rsid w:val="002445E3"/>
    <w:rsid w:val="00244843"/>
    <w:rsid w:val="00244CE1"/>
    <w:rsid w:val="00244E43"/>
    <w:rsid w:val="00246475"/>
    <w:rsid w:val="002468FD"/>
    <w:rsid w:val="0024699B"/>
    <w:rsid w:val="00247EBF"/>
    <w:rsid w:val="00250D42"/>
    <w:rsid w:val="002525CE"/>
    <w:rsid w:val="00252B9E"/>
    <w:rsid w:val="0025351D"/>
    <w:rsid w:val="002538F1"/>
    <w:rsid w:val="00256B30"/>
    <w:rsid w:val="00257220"/>
    <w:rsid w:val="002576A7"/>
    <w:rsid w:val="00261499"/>
    <w:rsid w:val="0026236E"/>
    <w:rsid w:val="002630C0"/>
    <w:rsid w:val="00265AF4"/>
    <w:rsid w:val="0026638A"/>
    <w:rsid w:val="002664AD"/>
    <w:rsid w:val="00266DBF"/>
    <w:rsid w:val="002672A4"/>
    <w:rsid w:val="002701D9"/>
    <w:rsid w:val="002707A9"/>
    <w:rsid w:val="00270966"/>
    <w:rsid w:val="00271DB8"/>
    <w:rsid w:val="00271FA3"/>
    <w:rsid w:val="00272769"/>
    <w:rsid w:val="00272D3A"/>
    <w:rsid w:val="00272E40"/>
    <w:rsid w:val="0027391D"/>
    <w:rsid w:val="00274599"/>
    <w:rsid w:val="002747E8"/>
    <w:rsid w:val="002749A1"/>
    <w:rsid w:val="00274EEA"/>
    <w:rsid w:val="00275824"/>
    <w:rsid w:val="002759C4"/>
    <w:rsid w:val="0027686D"/>
    <w:rsid w:val="002808A9"/>
    <w:rsid w:val="00281737"/>
    <w:rsid w:val="002819EB"/>
    <w:rsid w:val="00282794"/>
    <w:rsid w:val="00283FC4"/>
    <w:rsid w:val="00284C9D"/>
    <w:rsid w:val="00284FFA"/>
    <w:rsid w:val="002853F2"/>
    <w:rsid w:val="00286274"/>
    <w:rsid w:val="00286D77"/>
    <w:rsid w:val="00290897"/>
    <w:rsid w:val="00291269"/>
    <w:rsid w:val="00292814"/>
    <w:rsid w:val="00292863"/>
    <w:rsid w:val="00292AB2"/>
    <w:rsid w:val="00293268"/>
    <w:rsid w:val="0029381D"/>
    <w:rsid w:val="00293FC9"/>
    <w:rsid w:val="0029404D"/>
    <w:rsid w:val="00294430"/>
    <w:rsid w:val="002944E5"/>
    <w:rsid w:val="00295B1F"/>
    <w:rsid w:val="00296CA7"/>
    <w:rsid w:val="00296FAF"/>
    <w:rsid w:val="00297EAB"/>
    <w:rsid w:val="002A0021"/>
    <w:rsid w:val="002A15F1"/>
    <w:rsid w:val="002A200C"/>
    <w:rsid w:val="002A2256"/>
    <w:rsid w:val="002A3B3B"/>
    <w:rsid w:val="002A3D16"/>
    <w:rsid w:val="002A4408"/>
    <w:rsid w:val="002A4961"/>
    <w:rsid w:val="002A5D15"/>
    <w:rsid w:val="002A6007"/>
    <w:rsid w:val="002B133C"/>
    <w:rsid w:val="002B1E6F"/>
    <w:rsid w:val="002B20A3"/>
    <w:rsid w:val="002B313C"/>
    <w:rsid w:val="002B5066"/>
    <w:rsid w:val="002B5C28"/>
    <w:rsid w:val="002B5E74"/>
    <w:rsid w:val="002B5F31"/>
    <w:rsid w:val="002B6048"/>
    <w:rsid w:val="002B63C3"/>
    <w:rsid w:val="002B7AB3"/>
    <w:rsid w:val="002C1546"/>
    <w:rsid w:val="002C1F84"/>
    <w:rsid w:val="002C3268"/>
    <w:rsid w:val="002C40FB"/>
    <w:rsid w:val="002C4951"/>
    <w:rsid w:val="002C6003"/>
    <w:rsid w:val="002C6678"/>
    <w:rsid w:val="002C6CF6"/>
    <w:rsid w:val="002D01D9"/>
    <w:rsid w:val="002D0EFF"/>
    <w:rsid w:val="002D1504"/>
    <w:rsid w:val="002D20F3"/>
    <w:rsid w:val="002D2185"/>
    <w:rsid w:val="002D38CB"/>
    <w:rsid w:val="002D426A"/>
    <w:rsid w:val="002D564A"/>
    <w:rsid w:val="002D5BEC"/>
    <w:rsid w:val="002D6C24"/>
    <w:rsid w:val="002D6DC5"/>
    <w:rsid w:val="002D74A5"/>
    <w:rsid w:val="002D7B9F"/>
    <w:rsid w:val="002D7D34"/>
    <w:rsid w:val="002E041A"/>
    <w:rsid w:val="002E09C6"/>
    <w:rsid w:val="002E107E"/>
    <w:rsid w:val="002E12E6"/>
    <w:rsid w:val="002E1F0A"/>
    <w:rsid w:val="002E22B1"/>
    <w:rsid w:val="002E3FE0"/>
    <w:rsid w:val="002E4863"/>
    <w:rsid w:val="002E533C"/>
    <w:rsid w:val="002E5EC0"/>
    <w:rsid w:val="002E6D6A"/>
    <w:rsid w:val="002E7770"/>
    <w:rsid w:val="002E7D9D"/>
    <w:rsid w:val="002F03BD"/>
    <w:rsid w:val="002F22C9"/>
    <w:rsid w:val="002F3EC9"/>
    <w:rsid w:val="002F4588"/>
    <w:rsid w:val="002F51F5"/>
    <w:rsid w:val="002F6429"/>
    <w:rsid w:val="002F6604"/>
    <w:rsid w:val="002F6CF7"/>
    <w:rsid w:val="002F6F9D"/>
    <w:rsid w:val="002F7648"/>
    <w:rsid w:val="002F76C6"/>
    <w:rsid w:val="00300874"/>
    <w:rsid w:val="0030110C"/>
    <w:rsid w:val="003013C1"/>
    <w:rsid w:val="0030179E"/>
    <w:rsid w:val="0030213D"/>
    <w:rsid w:val="00302663"/>
    <w:rsid w:val="00302BE9"/>
    <w:rsid w:val="00303501"/>
    <w:rsid w:val="00304A88"/>
    <w:rsid w:val="00304E64"/>
    <w:rsid w:val="00305C9B"/>
    <w:rsid w:val="00307358"/>
    <w:rsid w:val="00310505"/>
    <w:rsid w:val="0031070C"/>
    <w:rsid w:val="003126D1"/>
    <w:rsid w:val="00313612"/>
    <w:rsid w:val="00314394"/>
    <w:rsid w:val="003150EE"/>
    <w:rsid w:val="003155A4"/>
    <w:rsid w:val="00316053"/>
    <w:rsid w:val="003167C7"/>
    <w:rsid w:val="003170AC"/>
    <w:rsid w:val="00317EE7"/>
    <w:rsid w:val="003210B2"/>
    <w:rsid w:val="0032306E"/>
    <w:rsid w:val="00323146"/>
    <w:rsid w:val="003238E2"/>
    <w:rsid w:val="00323D80"/>
    <w:rsid w:val="00325F10"/>
    <w:rsid w:val="0032643D"/>
    <w:rsid w:val="00326C24"/>
    <w:rsid w:val="0032790C"/>
    <w:rsid w:val="0033070E"/>
    <w:rsid w:val="00330D7A"/>
    <w:rsid w:val="00332B8D"/>
    <w:rsid w:val="00333049"/>
    <w:rsid w:val="0033379C"/>
    <w:rsid w:val="00334304"/>
    <w:rsid w:val="00336666"/>
    <w:rsid w:val="00337158"/>
    <w:rsid w:val="00337A5B"/>
    <w:rsid w:val="00340881"/>
    <w:rsid w:val="00340BC9"/>
    <w:rsid w:val="0034175E"/>
    <w:rsid w:val="00342A89"/>
    <w:rsid w:val="003438D3"/>
    <w:rsid w:val="003440C7"/>
    <w:rsid w:val="00345363"/>
    <w:rsid w:val="00347E4D"/>
    <w:rsid w:val="003500BA"/>
    <w:rsid w:val="00350779"/>
    <w:rsid w:val="00353D81"/>
    <w:rsid w:val="00354743"/>
    <w:rsid w:val="00354EB3"/>
    <w:rsid w:val="003554C9"/>
    <w:rsid w:val="00356F3B"/>
    <w:rsid w:val="00357BFC"/>
    <w:rsid w:val="003604EB"/>
    <w:rsid w:val="00362317"/>
    <w:rsid w:val="00363708"/>
    <w:rsid w:val="00365D2C"/>
    <w:rsid w:val="00366090"/>
    <w:rsid w:val="00366FB1"/>
    <w:rsid w:val="00367601"/>
    <w:rsid w:val="003678FE"/>
    <w:rsid w:val="00367C2D"/>
    <w:rsid w:val="0037028F"/>
    <w:rsid w:val="00370C8E"/>
    <w:rsid w:val="003719BF"/>
    <w:rsid w:val="0037242D"/>
    <w:rsid w:val="00373385"/>
    <w:rsid w:val="0037344C"/>
    <w:rsid w:val="00373866"/>
    <w:rsid w:val="00375010"/>
    <w:rsid w:val="0037602C"/>
    <w:rsid w:val="00376149"/>
    <w:rsid w:val="003764BA"/>
    <w:rsid w:val="003767FA"/>
    <w:rsid w:val="0037728A"/>
    <w:rsid w:val="00377427"/>
    <w:rsid w:val="003803CD"/>
    <w:rsid w:val="0038081F"/>
    <w:rsid w:val="00381AFD"/>
    <w:rsid w:val="0038206C"/>
    <w:rsid w:val="003829A9"/>
    <w:rsid w:val="00383B74"/>
    <w:rsid w:val="00384156"/>
    <w:rsid w:val="00385530"/>
    <w:rsid w:val="00386581"/>
    <w:rsid w:val="00386958"/>
    <w:rsid w:val="00386B68"/>
    <w:rsid w:val="00386E17"/>
    <w:rsid w:val="0038758C"/>
    <w:rsid w:val="003913F1"/>
    <w:rsid w:val="00392D7D"/>
    <w:rsid w:val="00393221"/>
    <w:rsid w:val="003937E9"/>
    <w:rsid w:val="00393A61"/>
    <w:rsid w:val="00393D90"/>
    <w:rsid w:val="00394454"/>
    <w:rsid w:val="00395655"/>
    <w:rsid w:val="003958A3"/>
    <w:rsid w:val="0039639E"/>
    <w:rsid w:val="003974C4"/>
    <w:rsid w:val="003A008F"/>
    <w:rsid w:val="003A0666"/>
    <w:rsid w:val="003A0965"/>
    <w:rsid w:val="003A1BE7"/>
    <w:rsid w:val="003A1FC5"/>
    <w:rsid w:val="003A22A9"/>
    <w:rsid w:val="003A311D"/>
    <w:rsid w:val="003A31D0"/>
    <w:rsid w:val="003A373E"/>
    <w:rsid w:val="003A3D0E"/>
    <w:rsid w:val="003A4424"/>
    <w:rsid w:val="003A51A8"/>
    <w:rsid w:val="003A530C"/>
    <w:rsid w:val="003A5841"/>
    <w:rsid w:val="003A7201"/>
    <w:rsid w:val="003A7B17"/>
    <w:rsid w:val="003B2488"/>
    <w:rsid w:val="003B29B0"/>
    <w:rsid w:val="003B2DA8"/>
    <w:rsid w:val="003B3044"/>
    <w:rsid w:val="003B3AFB"/>
    <w:rsid w:val="003B3B02"/>
    <w:rsid w:val="003B429C"/>
    <w:rsid w:val="003B4FF1"/>
    <w:rsid w:val="003B6C2D"/>
    <w:rsid w:val="003B7AA8"/>
    <w:rsid w:val="003C0D20"/>
    <w:rsid w:val="003C16A9"/>
    <w:rsid w:val="003C202D"/>
    <w:rsid w:val="003C20BA"/>
    <w:rsid w:val="003C243D"/>
    <w:rsid w:val="003C3B71"/>
    <w:rsid w:val="003C53AE"/>
    <w:rsid w:val="003C58B2"/>
    <w:rsid w:val="003C6293"/>
    <w:rsid w:val="003C736F"/>
    <w:rsid w:val="003D0261"/>
    <w:rsid w:val="003D047B"/>
    <w:rsid w:val="003D15C2"/>
    <w:rsid w:val="003D18DC"/>
    <w:rsid w:val="003D1C15"/>
    <w:rsid w:val="003D3F71"/>
    <w:rsid w:val="003D47C4"/>
    <w:rsid w:val="003D5382"/>
    <w:rsid w:val="003D7645"/>
    <w:rsid w:val="003D7CE2"/>
    <w:rsid w:val="003E2F27"/>
    <w:rsid w:val="003E4413"/>
    <w:rsid w:val="003E55C4"/>
    <w:rsid w:val="003E5B26"/>
    <w:rsid w:val="003E6186"/>
    <w:rsid w:val="003E622E"/>
    <w:rsid w:val="003E6D88"/>
    <w:rsid w:val="003E702F"/>
    <w:rsid w:val="003F09F7"/>
    <w:rsid w:val="003F1AA1"/>
    <w:rsid w:val="003F24BC"/>
    <w:rsid w:val="003F2911"/>
    <w:rsid w:val="003F2A54"/>
    <w:rsid w:val="003F6020"/>
    <w:rsid w:val="003F6A6F"/>
    <w:rsid w:val="003F7660"/>
    <w:rsid w:val="004003B4"/>
    <w:rsid w:val="00400511"/>
    <w:rsid w:val="0040182E"/>
    <w:rsid w:val="00402245"/>
    <w:rsid w:val="00402499"/>
    <w:rsid w:val="00402CC7"/>
    <w:rsid w:val="00402D70"/>
    <w:rsid w:val="0040396D"/>
    <w:rsid w:val="00403CE4"/>
    <w:rsid w:val="00404AF7"/>
    <w:rsid w:val="004054B7"/>
    <w:rsid w:val="0040622F"/>
    <w:rsid w:val="00407241"/>
    <w:rsid w:val="004075A3"/>
    <w:rsid w:val="00407614"/>
    <w:rsid w:val="00410473"/>
    <w:rsid w:val="00410A3F"/>
    <w:rsid w:val="0041144F"/>
    <w:rsid w:val="004143B1"/>
    <w:rsid w:val="004144C8"/>
    <w:rsid w:val="004147CE"/>
    <w:rsid w:val="00414D1A"/>
    <w:rsid w:val="00415530"/>
    <w:rsid w:val="00415706"/>
    <w:rsid w:val="00415A55"/>
    <w:rsid w:val="0042041D"/>
    <w:rsid w:val="004204A8"/>
    <w:rsid w:val="004209FF"/>
    <w:rsid w:val="00421541"/>
    <w:rsid w:val="0042274E"/>
    <w:rsid w:val="004228EE"/>
    <w:rsid w:val="00422BFB"/>
    <w:rsid w:val="004247A0"/>
    <w:rsid w:val="00425173"/>
    <w:rsid w:val="004256B3"/>
    <w:rsid w:val="00425A1E"/>
    <w:rsid w:val="00425FCB"/>
    <w:rsid w:val="0042668A"/>
    <w:rsid w:val="0042668B"/>
    <w:rsid w:val="004272AC"/>
    <w:rsid w:val="00427EEB"/>
    <w:rsid w:val="00427F78"/>
    <w:rsid w:val="00430849"/>
    <w:rsid w:val="00430E0A"/>
    <w:rsid w:val="00430F1B"/>
    <w:rsid w:val="00431E69"/>
    <w:rsid w:val="004322C3"/>
    <w:rsid w:val="0043263C"/>
    <w:rsid w:val="004327E1"/>
    <w:rsid w:val="004339F7"/>
    <w:rsid w:val="00433B7B"/>
    <w:rsid w:val="00434240"/>
    <w:rsid w:val="004342A5"/>
    <w:rsid w:val="00434641"/>
    <w:rsid w:val="00434CDD"/>
    <w:rsid w:val="004355D0"/>
    <w:rsid w:val="004355E8"/>
    <w:rsid w:val="00436435"/>
    <w:rsid w:val="004364E3"/>
    <w:rsid w:val="004365F0"/>
    <w:rsid w:val="00436E8C"/>
    <w:rsid w:val="00437592"/>
    <w:rsid w:val="004379DA"/>
    <w:rsid w:val="004406EC"/>
    <w:rsid w:val="00441AF2"/>
    <w:rsid w:val="00441E41"/>
    <w:rsid w:val="0044314F"/>
    <w:rsid w:val="00443544"/>
    <w:rsid w:val="004443B6"/>
    <w:rsid w:val="00444A3A"/>
    <w:rsid w:val="00445460"/>
    <w:rsid w:val="00445B73"/>
    <w:rsid w:val="00445C90"/>
    <w:rsid w:val="0044633F"/>
    <w:rsid w:val="00446B03"/>
    <w:rsid w:val="00446F3E"/>
    <w:rsid w:val="0044797F"/>
    <w:rsid w:val="00447CD2"/>
    <w:rsid w:val="00451617"/>
    <w:rsid w:val="0045291A"/>
    <w:rsid w:val="00453389"/>
    <w:rsid w:val="0045345F"/>
    <w:rsid w:val="00453712"/>
    <w:rsid w:val="004547BD"/>
    <w:rsid w:val="004555F4"/>
    <w:rsid w:val="00455C2A"/>
    <w:rsid w:val="0045697A"/>
    <w:rsid w:val="00456B28"/>
    <w:rsid w:val="00461801"/>
    <w:rsid w:val="004634F2"/>
    <w:rsid w:val="004649F5"/>
    <w:rsid w:val="00465C13"/>
    <w:rsid w:val="004673C9"/>
    <w:rsid w:val="004678F5"/>
    <w:rsid w:val="00467F6C"/>
    <w:rsid w:val="00470E9F"/>
    <w:rsid w:val="00471135"/>
    <w:rsid w:val="00472F61"/>
    <w:rsid w:val="00473F20"/>
    <w:rsid w:val="00474695"/>
    <w:rsid w:val="004765FB"/>
    <w:rsid w:val="0047743B"/>
    <w:rsid w:val="0048015E"/>
    <w:rsid w:val="00480E83"/>
    <w:rsid w:val="00481547"/>
    <w:rsid w:val="00481DE1"/>
    <w:rsid w:val="004821C3"/>
    <w:rsid w:val="00482B32"/>
    <w:rsid w:val="00484DBC"/>
    <w:rsid w:val="00485196"/>
    <w:rsid w:val="0048635B"/>
    <w:rsid w:val="00486C6F"/>
    <w:rsid w:val="0049007E"/>
    <w:rsid w:val="0049086C"/>
    <w:rsid w:val="00490BA0"/>
    <w:rsid w:val="004924B4"/>
    <w:rsid w:val="00492845"/>
    <w:rsid w:val="00492EA2"/>
    <w:rsid w:val="00494834"/>
    <w:rsid w:val="0049486C"/>
    <w:rsid w:val="00495230"/>
    <w:rsid w:val="00496811"/>
    <w:rsid w:val="00497235"/>
    <w:rsid w:val="00497320"/>
    <w:rsid w:val="00497547"/>
    <w:rsid w:val="00497868"/>
    <w:rsid w:val="004A0361"/>
    <w:rsid w:val="004A0F01"/>
    <w:rsid w:val="004A19E9"/>
    <w:rsid w:val="004A2F70"/>
    <w:rsid w:val="004A384F"/>
    <w:rsid w:val="004A409F"/>
    <w:rsid w:val="004A48D9"/>
    <w:rsid w:val="004A493B"/>
    <w:rsid w:val="004A6906"/>
    <w:rsid w:val="004A6B2D"/>
    <w:rsid w:val="004A72E1"/>
    <w:rsid w:val="004A79D9"/>
    <w:rsid w:val="004A7BE3"/>
    <w:rsid w:val="004B0A66"/>
    <w:rsid w:val="004B10BA"/>
    <w:rsid w:val="004B1BCD"/>
    <w:rsid w:val="004B26C9"/>
    <w:rsid w:val="004B2C3F"/>
    <w:rsid w:val="004B3981"/>
    <w:rsid w:val="004B3B20"/>
    <w:rsid w:val="004B3BEE"/>
    <w:rsid w:val="004B3D01"/>
    <w:rsid w:val="004B3D95"/>
    <w:rsid w:val="004B5635"/>
    <w:rsid w:val="004B615A"/>
    <w:rsid w:val="004B6F84"/>
    <w:rsid w:val="004B73C1"/>
    <w:rsid w:val="004B7784"/>
    <w:rsid w:val="004C16F4"/>
    <w:rsid w:val="004C2569"/>
    <w:rsid w:val="004C37B9"/>
    <w:rsid w:val="004C48DE"/>
    <w:rsid w:val="004C4E20"/>
    <w:rsid w:val="004C6A55"/>
    <w:rsid w:val="004D01AE"/>
    <w:rsid w:val="004D0C35"/>
    <w:rsid w:val="004D193D"/>
    <w:rsid w:val="004D40E8"/>
    <w:rsid w:val="004D455B"/>
    <w:rsid w:val="004D4E69"/>
    <w:rsid w:val="004D4EA4"/>
    <w:rsid w:val="004D5695"/>
    <w:rsid w:val="004D665B"/>
    <w:rsid w:val="004D7B86"/>
    <w:rsid w:val="004E0CAC"/>
    <w:rsid w:val="004E198D"/>
    <w:rsid w:val="004E3A3E"/>
    <w:rsid w:val="004E4B88"/>
    <w:rsid w:val="004E6270"/>
    <w:rsid w:val="004E6325"/>
    <w:rsid w:val="004F1F8C"/>
    <w:rsid w:val="004F246D"/>
    <w:rsid w:val="004F3FC2"/>
    <w:rsid w:val="004F47C9"/>
    <w:rsid w:val="004F53E6"/>
    <w:rsid w:val="004F54FF"/>
    <w:rsid w:val="004F5F28"/>
    <w:rsid w:val="004F633D"/>
    <w:rsid w:val="004F6478"/>
    <w:rsid w:val="004F6F46"/>
    <w:rsid w:val="00500C05"/>
    <w:rsid w:val="00501151"/>
    <w:rsid w:val="00501C55"/>
    <w:rsid w:val="00502390"/>
    <w:rsid w:val="00503218"/>
    <w:rsid w:val="00503B06"/>
    <w:rsid w:val="00504509"/>
    <w:rsid w:val="00505873"/>
    <w:rsid w:val="005058C3"/>
    <w:rsid w:val="00506241"/>
    <w:rsid w:val="00506661"/>
    <w:rsid w:val="00506A03"/>
    <w:rsid w:val="00506F28"/>
    <w:rsid w:val="0050773A"/>
    <w:rsid w:val="00510217"/>
    <w:rsid w:val="0051081C"/>
    <w:rsid w:val="00510BC2"/>
    <w:rsid w:val="00511246"/>
    <w:rsid w:val="005132F6"/>
    <w:rsid w:val="005146EC"/>
    <w:rsid w:val="00514AED"/>
    <w:rsid w:val="00515BBE"/>
    <w:rsid w:val="00516426"/>
    <w:rsid w:val="005169CB"/>
    <w:rsid w:val="00516F30"/>
    <w:rsid w:val="00517337"/>
    <w:rsid w:val="005173FC"/>
    <w:rsid w:val="00520CA4"/>
    <w:rsid w:val="005230DA"/>
    <w:rsid w:val="00523377"/>
    <w:rsid w:val="00523BFC"/>
    <w:rsid w:val="00524226"/>
    <w:rsid w:val="0052443D"/>
    <w:rsid w:val="00525945"/>
    <w:rsid w:val="00526057"/>
    <w:rsid w:val="00527330"/>
    <w:rsid w:val="0052762C"/>
    <w:rsid w:val="005306A4"/>
    <w:rsid w:val="005307AE"/>
    <w:rsid w:val="00530D28"/>
    <w:rsid w:val="00533D1B"/>
    <w:rsid w:val="0053442D"/>
    <w:rsid w:val="00535385"/>
    <w:rsid w:val="00536596"/>
    <w:rsid w:val="005366FF"/>
    <w:rsid w:val="00536A67"/>
    <w:rsid w:val="00537449"/>
    <w:rsid w:val="00537A32"/>
    <w:rsid w:val="00537B8E"/>
    <w:rsid w:val="00537FA5"/>
    <w:rsid w:val="0054121B"/>
    <w:rsid w:val="005432EC"/>
    <w:rsid w:val="00543769"/>
    <w:rsid w:val="00544033"/>
    <w:rsid w:val="00544097"/>
    <w:rsid w:val="00544D8F"/>
    <w:rsid w:val="0054602B"/>
    <w:rsid w:val="00546375"/>
    <w:rsid w:val="00551076"/>
    <w:rsid w:val="005536DA"/>
    <w:rsid w:val="00553EC7"/>
    <w:rsid w:val="005549C5"/>
    <w:rsid w:val="00555B6D"/>
    <w:rsid w:val="00556DA3"/>
    <w:rsid w:val="0055715E"/>
    <w:rsid w:val="005620CA"/>
    <w:rsid w:val="00562770"/>
    <w:rsid w:val="00562AA2"/>
    <w:rsid w:val="0056542A"/>
    <w:rsid w:val="00565A46"/>
    <w:rsid w:val="0056717F"/>
    <w:rsid w:val="00567878"/>
    <w:rsid w:val="005713BC"/>
    <w:rsid w:val="00571627"/>
    <w:rsid w:val="00572401"/>
    <w:rsid w:val="005730EB"/>
    <w:rsid w:val="005732E6"/>
    <w:rsid w:val="00573F9B"/>
    <w:rsid w:val="00573F9C"/>
    <w:rsid w:val="0057421E"/>
    <w:rsid w:val="00577C30"/>
    <w:rsid w:val="00580ED7"/>
    <w:rsid w:val="005812FF"/>
    <w:rsid w:val="005819C8"/>
    <w:rsid w:val="00582614"/>
    <w:rsid w:val="00583819"/>
    <w:rsid w:val="00584007"/>
    <w:rsid w:val="0058422E"/>
    <w:rsid w:val="00584820"/>
    <w:rsid w:val="00584B84"/>
    <w:rsid w:val="00585247"/>
    <w:rsid w:val="0058530C"/>
    <w:rsid w:val="00585A5F"/>
    <w:rsid w:val="005868DD"/>
    <w:rsid w:val="00587465"/>
    <w:rsid w:val="00590595"/>
    <w:rsid w:val="005905A0"/>
    <w:rsid w:val="0059107D"/>
    <w:rsid w:val="00591EC0"/>
    <w:rsid w:val="00592601"/>
    <w:rsid w:val="005927A9"/>
    <w:rsid w:val="00592859"/>
    <w:rsid w:val="00592EE8"/>
    <w:rsid w:val="00592FE5"/>
    <w:rsid w:val="00593412"/>
    <w:rsid w:val="00593AC6"/>
    <w:rsid w:val="00596117"/>
    <w:rsid w:val="0059681B"/>
    <w:rsid w:val="00597535"/>
    <w:rsid w:val="00597FCC"/>
    <w:rsid w:val="005A27F5"/>
    <w:rsid w:val="005A2D91"/>
    <w:rsid w:val="005A331D"/>
    <w:rsid w:val="005A3C34"/>
    <w:rsid w:val="005A4DEC"/>
    <w:rsid w:val="005A54B4"/>
    <w:rsid w:val="005A6142"/>
    <w:rsid w:val="005A7050"/>
    <w:rsid w:val="005A72FE"/>
    <w:rsid w:val="005A7A37"/>
    <w:rsid w:val="005A7F0B"/>
    <w:rsid w:val="005B0050"/>
    <w:rsid w:val="005B0E9C"/>
    <w:rsid w:val="005B0FCE"/>
    <w:rsid w:val="005B10FD"/>
    <w:rsid w:val="005B3CBC"/>
    <w:rsid w:val="005B510A"/>
    <w:rsid w:val="005B591A"/>
    <w:rsid w:val="005B5F99"/>
    <w:rsid w:val="005B692A"/>
    <w:rsid w:val="005B733A"/>
    <w:rsid w:val="005B747E"/>
    <w:rsid w:val="005B753E"/>
    <w:rsid w:val="005B7F21"/>
    <w:rsid w:val="005C0740"/>
    <w:rsid w:val="005C182D"/>
    <w:rsid w:val="005C18D0"/>
    <w:rsid w:val="005C3AD2"/>
    <w:rsid w:val="005C4F31"/>
    <w:rsid w:val="005C516C"/>
    <w:rsid w:val="005C6984"/>
    <w:rsid w:val="005C6A01"/>
    <w:rsid w:val="005C6FF1"/>
    <w:rsid w:val="005D1C66"/>
    <w:rsid w:val="005D1CA8"/>
    <w:rsid w:val="005D3515"/>
    <w:rsid w:val="005D41C4"/>
    <w:rsid w:val="005D58E1"/>
    <w:rsid w:val="005D62E9"/>
    <w:rsid w:val="005E1CA6"/>
    <w:rsid w:val="005E2026"/>
    <w:rsid w:val="005E32C0"/>
    <w:rsid w:val="005E6043"/>
    <w:rsid w:val="005E663D"/>
    <w:rsid w:val="005E6D62"/>
    <w:rsid w:val="005F0883"/>
    <w:rsid w:val="005F0D54"/>
    <w:rsid w:val="005F2171"/>
    <w:rsid w:val="005F225A"/>
    <w:rsid w:val="005F281F"/>
    <w:rsid w:val="005F2A98"/>
    <w:rsid w:val="005F3D5B"/>
    <w:rsid w:val="005F4914"/>
    <w:rsid w:val="005F5CF3"/>
    <w:rsid w:val="005F5DF6"/>
    <w:rsid w:val="005F5FA1"/>
    <w:rsid w:val="005F79B3"/>
    <w:rsid w:val="005F7D42"/>
    <w:rsid w:val="00600037"/>
    <w:rsid w:val="0060088C"/>
    <w:rsid w:val="006014BD"/>
    <w:rsid w:val="00601F1E"/>
    <w:rsid w:val="00602D74"/>
    <w:rsid w:val="00604718"/>
    <w:rsid w:val="00604F05"/>
    <w:rsid w:val="0060689E"/>
    <w:rsid w:val="00607C0A"/>
    <w:rsid w:val="0061102D"/>
    <w:rsid w:val="00611D31"/>
    <w:rsid w:val="00612A03"/>
    <w:rsid w:val="00614905"/>
    <w:rsid w:val="00614A1F"/>
    <w:rsid w:val="00615374"/>
    <w:rsid w:val="006159A1"/>
    <w:rsid w:val="00616415"/>
    <w:rsid w:val="00617567"/>
    <w:rsid w:val="006202A1"/>
    <w:rsid w:val="006216A0"/>
    <w:rsid w:val="00621B6A"/>
    <w:rsid w:val="0062316C"/>
    <w:rsid w:val="0062319E"/>
    <w:rsid w:val="00623997"/>
    <w:rsid w:val="006239E8"/>
    <w:rsid w:val="00625432"/>
    <w:rsid w:val="0062606E"/>
    <w:rsid w:val="00626E42"/>
    <w:rsid w:val="00627EDA"/>
    <w:rsid w:val="006304CE"/>
    <w:rsid w:val="0063050C"/>
    <w:rsid w:val="006311E5"/>
    <w:rsid w:val="00631701"/>
    <w:rsid w:val="00632D12"/>
    <w:rsid w:val="00633071"/>
    <w:rsid w:val="0063424C"/>
    <w:rsid w:val="00635D16"/>
    <w:rsid w:val="00636200"/>
    <w:rsid w:val="00636FA0"/>
    <w:rsid w:val="006379E0"/>
    <w:rsid w:val="0064068D"/>
    <w:rsid w:val="00641425"/>
    <w:rsid w:val="00642046"/>
    <w:rsid w:val="00643F9E"/>
    <w:rsid w:val="00645252"/>
    <w:rsid w:val="006454C2"/>
    <w:rsid w:val="00645DC7"/>
    <w:rsid w:val="0064724F"/>
    <w:rsid w:val="006472F4"/>
    <w:rsid w:val="006507CB"/>
    <w:rsid w:val="006507DD"/>
    <w:rsid w:val="00650912"/>
    <w:rsid w:val="00650B9C"/>
    <w:rsid w:val="00651D68"/>
    <w:rsid w:val="00652651"/>
    <w:rsid w:val="006529C3"/>
    <w:rsid w:val="00652B94"/>
    <w:rsid w:val="00652D30"/>
    <w:rsid w:val="00655463"/>
    <w:rsid w:val="00656314"/>
    <w:rsid w:val="006602B5"/>
    <w:rsid w:val="006608FD"/>
    <w:rsid w:val="00661BE8"/>
    <w:rsid w:val="00661CEB"/>
    <w:rsid w:val="006634B1"/>
    <w:rsid w:val="00663C32"/>
    <w:rsid w:val="006652CB"/>
    <w:rsid w:val="006656F8"/>
    <w:rsid w:val="00665BBE"/>
    <w:rsid w:val="00667B6F"/>
    <w:rsid w:val="00667F82"/>
    <w:rsid w:val="006700AA"/>
    <w:rsid w:val="00670116"/>
    <w:rsid w:val="00670226"/>
    <w:rsid w:val="0067113F"/>
    <w:rsid w:val="00671A6D"/>
    <w:rsid w:val="00672077"/>
    <w:rsid w:val="006721D5"/>
    <w:rsid w:val="00672526"/>
    <w:rsid w:val="00673ADD"/>
    <w:rsid w:val="0067419F"/>
    <w:rsid w:val="00674E92"/>
    <w:rsid w:val="00677461"/>
    <w:rsid w:val="00677A0D"/>
    <w:rsid w:val="00677F70"/>
    <w:rsid w:val="00680488"/>
    <w:rsid w:val="00681166"/>
    <w:rsid w:val="006824CD"/>
    <w:rsid w:val="00683087"/>
    <w:rsid w:val="00684390"/>
    <w:rsid w:val="00685653"/>
    <w:rsid w:val="0068784A"/>
    <w:rsid w:val="0068793D"/>
    <w:rsid w:val="006915B9"/>
    <w:rsid w:val="00691A67"/>
    <w:rsid w:val="00692E60"/>
    <w:rsid w:val="006930D1"/>
    <w:rsid w:val="006931AD"/>
    <w:rsid w:val="00693267"/>
    <w:rsid w:val="006940BB"/>
    <w:rsid w:val="0069582F"/>
    <w:rsid w:val="00695BC1"/>
    <w:rsid w:val="00696CF0"/>
    <w:rsid w:val="00697001"/>
    <w:rsid w:val="006A1788"/>
    <w:rsid w:val="006A30D2"/>
    <w:rsid w:val="006A47BB"/>
    <w:rsid w:val="006A5009"/>
    <w:rsid w:val="006A5D12"/>
    <w:rsid w:val="006A666D"/>
    <w:rsid w:val="006B0619"/>
    <w:rsid w:val="006B0C62"/>
    <w:rsid w:val="006B1A0E"/>
    <w:rsid w:val="006B20AF"/>
    <w:rsid w:val="006B2D99"/>
    <w:rsid w:val="006B33D3"/>
    <w:rsid w:val="006B42B9"/>
    <w:rsid w:val="006B4FB0"/>
    <w:rsid w:val="006B596C"/>
    <w:rsid w:val="006B694C"/>
    <w:rsid w:val="006B6E38"/>
    <w:rsid w:val="006B79FF"/>
    <w:rsid w:val="006C0343"/>
    <w:rsid w:val="006C121F"/>
    <w:rsid w:val="006C13B3"/>
    <w:rsid w:val="006C1477"/>
    <w:rsid w:val="006C28AD"/>
    <w:rsid w:val="006C4726"/>
    <w:rsid w:val="006C5883"/>
    <w:rsid w:val="006C644B"/>
    <w:rsid w:val="006D0432"/>
    <w:rsid w:val="006D226F"/>
    <w:rsid w:val="006D24E9"/>
    <w:rsid w:val="006D257B"/>
    <w:rsid w:val="006D3958"/>
    <w:rsid w:val="006D4F4E"/>
    <w:rsid w:val="006D51E0"/>
    <w:rsid w:val="006D573A"/>
    <w:rsid w:val="006D58E2"/>
    <w:rsid w:val="006D63FA"/>
    <w:rsid w:val="006D7B6B"/>
    <w:rsid w:val="006E3838"/>
    <w:rsid w:val="006E3C40"/>
    <w:rsid w:val="006E3D8C"/>
    <w:rsid w:val="006E3E8D"/>
    <w:rsid w:val="006E4540"/>
    <w:rsid w:val="006E4F05"/>
    <w:rsid w:val="006E6DDE"/>
    <w:rsid w:val="006E7699"/>
    <w:rsid w:val="006F0EBA"/>
    <w:rsid w:val="006F1784"/>
    <w:rsid w:val="006F272A"/>
    <w:rsid w:val="006F27AC"/>
    <w:rsid w:val="006F3BD4"/>
    <w:rsid w:val="006F3E5C"/>
    <w:rsid w:val="006F5994"/>
    <w:rsid w:val="006F6107"/>
    <w:rsid w:val="006F627D"/>
    <w:rsid w:val="006F70F3"/>
    <w:rsid w:val="006F7655"/>
    <w:rsid w:val="006F7FF3"/>
    <w:rsid w:val="00701CB8"/>
    <w:rsid w:val="00701E47"/>
    <w:rsid w:val="007026E6"/>
    <w:rsid w:val="00702DCC"/>
    <w:rsid w:val="00703A95"/>
    <w:rsid w:val="00703E19"/>
    <w:rsid w:val="007043D7"/>
    <w:rsid w:val="0070447A"/>
    <w:rsid w:val="00705CF3"/>
    <w:rsid w:val="007064ED"/>
    <w:rsid w:val="007078C6"/>
    <w:rsid w:val="00707E57"/>
    <w:rsid w:val="00707F49"/>
    <w:rsid w:val="0071017B"/>
    <w:rsid w:val="007103B5"/>
    <w:rsid w:val="00710404"/>
    <w:rsid w:val="007108E2"/>
    <w:rsid w:val="00711D13"/>
    <w:rsid w:val="00712B9B"/>
    <w:rsid w:val="0071362B"/>
    <w:rsid w:val="00717AB9"/>
    <w:rsid w:val="00717FDF"/>
    <w:rsid w:val="007213BB"/>
    <w:rsid w:val="00724868"/>
    <w:rsid w:val="0072545A"/>
    <w:rsid w:val="00725B88"/>
    <w:rsid w:val="00725C1A"/>
    <w:rsid w:val="007263B0"/>
    <w:rsid w:val="00726587"/>
    <w:rsid w:val="007273AA"/>
    <w:rsid w:val="0072758F"/>
    <w:rsid w:val="00730753"/>
    <w:rsid w:val="007314EF"/>
    <w:rsid w:val="00731721"/>
    <w:rsid w:val="007346EF"/>
    <w:rsid w:val="00735792"/>
    <w:rsid w:val="00735B7A"/>
    <w:rsid w:val="00735E64"/>
    <w:rsid w:val="0073763E"/>
    <w:rsid w:val="0074033D"/>
    <w:rsid w:val="00740367"/>
    <w:rsid w:val="00741A7D"/>
    <w:rsid w:val="007433D8"/>
    <w:rsid w:val="0074418D"/>
    <w:rsid w:val="0074457D"/>
    <w:rsid w:val="007452A0"/>
    <w:rsid w:val="00745E18"/>
    <w:rsid w:val="00745FCA"/>
    <w:rsid w:val="00746381"/>
    <w:rsid w:val="0074678B"/>
    <w:rsid w:val="0074705E"/>
    <w:rsid w:val="00747943"/>
    <w:rsid w:val="0075179F"/>
    <w:rsid w:val="00752B99"/>
    <w:rsid w:val="00752BD5"/>
    <w:rsid w:val="00753090"/>
    <w:rsid w:val="007538F3"/>
    <w:rsid w:val="0075407E"/>
    <w:rsid w:val="00755555"/>
    <w:rsid w:val="0075573F"/>
    <w:rsid w:val="00756861"/>
    <w:rsid w:val="00756D99"/>
    <w:rsid w:val="00756F20"/>
    <w:rsid w:val="0075776F"/>
    <w:rsid w:val="00757C12"/>
    <w:rsid w:val="00760772"/>
    <w:rsid w:val="00760DDE"/>
    <w:rsid w:val="0076132B"/>
    <w:rsid w:val="007620AE"/>
    <w:rsid w:val="00763050"/>
    <w:rsid w:val="00763376"/>
    <w:rsid w:val="007649BB"/>
    <w:rsid w:val="007652F9"/>
    <w:rsid w:val="007702B4"/>
    <w:rsid w:val="00770B32"/>
    <w:rsid w:val="007716C8"/>
    <w:rsid w:val="00771753"/>
    <w:rsid w:val="00771F15"/>
    <w:rsid w:val="00772323"/>
    <w:rsid w:val="00772715"/>
    <w:rsid w:val="007733B9"/>
    <w:rsid w:val="00774144"/>
    <w:rsid w:val="0077431A"/>
    <w:rsid w:val="0077536C"/>
    <w:rsid w:val="00777C4C"/>
    <w:rsid w:val="00780EE6"/>
    <w:rsid w:val="00782538"/>
    <w:rsid w:val="007828DD"/>
    <w:rsid w:val="0078307E"/>
    <w:rsid w:val="00783FAB"/>
    <w:rsid w:val="00785B13"/>
    <w:rsid w:val="00785D31"/>
    <w:rsid w:val="00787E57"/>
    <w:rsid w:val="00790400"/>
    <w:rsid w:val="00790CB9"/>
    <w:rsid w:val="00791518"/>
    <w:rsid w:val="007917B5"/>
    <w:rsid w:val="00791AAC"/>
    <w:rsid w:val="007932A8"/>
    <w:rsid w:val="00794107"/>
    <w:rsid w:val="00794539"/>
    <w:rsid w:val="00794C39"/>
    <w:rsid w:val="00794D44"/>
    <w:rsid w:val="00794EF3"/>
    <w:rsid w:val="00795969"/>
    <w:rsid w:val="00795AF3"/>
    <w:rsid w:val="007960C8"/>
    <w:rsid w:val="00796B79"/>
    <w:rsid w:val="007975C5"/>
    <w:rsid w:val="007A14BF"/>
    <w:rsid w:val="007A2131"/>
    <w:rsid w:val="007A3A4E"/>
    <w:rsid w:val="007A4ECF"/>
    <w:rsid w:val="007A5ADA"/>
    <w:rsid w:val="007A61A4"/>
    <w:rsid w:val="007A6AF0"/>
    <w:rsid w:val="007B0BAC"/>
    <w:rsid w:val="007B0C98"/>
    <w:rsid w:val="007B16D1"/>
    <w:rsid w:val="007B3AD4"/>
    <w:rsid w:val="007B44CD"/>
    <w:rsid w:val="007B4836"/>
    <w:rsid w:val="007B5ADD"/>
    <w:rsid w:val="007C34D6"/>
    <w:rsid w:val="007C3954"/>
    <w:rsid w:val="007C5020"/>
    <w:rsid w:val="007C58E0"/>
    <w:rsid w:val="007C7A28"/>
    <w:rsid w:val="007C7C70"/>
    <w:rsid w:val="007D0416"/>
    <w:rsid w:val="007D12B2"/>
    <w:rsid w:val="007D1F16"/>
    <w:rsid w:val="007D2041"/>
    <w:rsid w:val="007D2F06"/>
    <w:rsid w:val="007D4320"/>
    <w:rsid w:val="007D4E08"/>
    <w:rsid w:val="007D56A8"/>
    <w:rsid w:val="007D5A8C"/>
    <w:rsid w:val="007D5E25"/>
    <w:rsid w:val="007D6421"/>
    <w:rsid w:val="007D7175"/>
    <w:rsid w:val="007E00A8"/>
    <w:rsid w:val="007E0AC4"/>
    <w:rsid w:val="007E16D6"/>
    <w:rsid w:val="007E2197"/>
    <w:rsid w:val="007E242B"/>
    <w:rsid w:val="007E3298"/>
    <w:rsid w:val="007E3445"/>
    <w:rsid w:val="007E3446"/>
    <w:rsid w:val="007E3447"/>
    <w:rsid w:val="007E36E5"/>
    <w:rsid w:val="007E3C8D"/>
    <w:rsid w:val="007E4B61"/>
    <w:rsid w:val="007E4E21"/>
    <w:rsid w:val="007E5CD3"/>
    <w:rsid w:val="007E6EC6"/>
    <w:rsid w:val="007E7693"/>
    <w:rsid w:val="007E77EB"/>
    <w:rsid w:val="007E799D"/>
    <w:rsid w:val="007F2235"/>
    <w:rsid w:val="007F2FA0"/>
    <w:rsid w:val="007F3D78"/>
    <w:rsid w:val="007F42E4"/>
    <w:rsid w:val="007F446A"/>
    <w:rsid w:val="007F563E"/>
    <w:rsid w:val="007F5644"/>
    <w:rsid w:val="007F6C48"/>
    <w:rsid w:val="007F7DF2"/>
    <w:rsid w:val="0080004C"/>
    <w:rsid w:val="00800D58"/>
    <w:rsid w:val="00801400"/>
    <w:rsid w:val="00802006"/>
    <w:rsid w:val="00802F58"/>
    <w:rsid w:val="00803447"/>
    <w:rsid w:val="008035CF"/>
    <w:rsid w:val="00804026"/>
    <w:rsid w:val="0080510C"/>
    <w:rsid w:val="0080584E"/>
    <w:rsid w:val="00805BB1"/>
    <w:rsid w:val="00805FEB"/>
    <w:rsid w:val="0080625F"/>
    <w:rsid w:val="00806323"/>
    <w:rsid w:val="008063F7"/>
    <w:rsid w:val="00807F03"/>
    <w:rsid w:val="0081040E"/>
    <w:rsid w:val="008105A6"/>
    <w:rsid w:val="0081155F"/>
    <w:rsid w:val="00811A1A"/>
    <w:rsid w:val="00811E34"/>
    <w:rsid w:val="00812C37"/>
    <w:rsid w:val="00812FCE"/>
    <w:rsid w:val="008134D5"/>
    <w:rsid w:val="00813A38"/>
    <w:rsid w:val="00813F52"/>
    <w:rsid w:val="008146A1"/>
    <w:rsid w:val="00816744"/>
    <w:rsid w:val="008202E4"/>
    <w:rsid w:val="0082055F"/>
    <w:rsid w:val="00823055"/>
    <w:rsid w:val="008239E8"/>
    <w:rsid w:val="00823B66"/>
    <w:rsid w:val="00824A98"/>
    <w:rsid w:val="008250A7"/>
    <w:rsid w:val="00826F57"/>
    <w:rsid w:val="008310AA"/>
    <w:rsid w:val="00832456"/>
    <w:rsid w:val="00834114"/>
    <w:rsid w:val="00834372"/>
    <w:rsid w:val="00835A22"/>
    <w:rsid w:val="00835D2E"/>
    <w:rsid w:val="00836ADC"/>
    <w:rsid w:val="00836BE1"/>
    <w:rsid w:val="00836C68"/>
    <w:rsid w:val="008400CD"/>
    <w:rsid w:val="00841755"/>
    <w:rsid w:val="0084340E"/>
    <w:rsid w:val="00844997"/>
    <w:rsid w:val="00844D23"/>
    <w:rsid w:val="00844FE9"/>
    <w:rsid w:val="00845587"/>
    <w:rsid w:val="008459C8"/>
    <w:rsid w:val="00845CD3"/>
    <w:rsid w:val="0084616B"/>
    <w:rsid w:val="00847D5E"/>
    <w:rsid w:val="008517D8"/>
    <w:rsid w:val="00852428"/>
    <w:rsid w:val="00852722"/>
    <w:rsid w:val="00852D50"/>
    <w:rsid w:val="008537BE"/>
    <w:rsid w:val="008541E3"/>
    <w:rsid w:val="0085511D"/>
    <w:rsid w:val="00855239"/>
    <w:rsid w:val="00855533"/>
    <w:rsid w:val="00856897"/>
    <w:rsid w:val="00856BC4"/>
    <w:rsid w:val="008572F2"/>
    <w:rsid w:val="00857FE0"/>
    <w:rsid w:val="0086065F"/>
    <w:rsid w:val="00860FE5"/>
    <w:rsid w:val="00861170"/>
    <w:rsid w:val="008617B5"/>
    <w:rsid w:val="0086262A"/>
    <w:rsid w:val="00862BD3"/>
    <w:rsid w:val="00863E0C"/>
    <w:rsid w:val="00865AB3"/>
    <w:rsid w:val="00867101"/>
    <w:rsid w:val="00870741"/>
    <w:rsid w:val="00875575"/>
    <w:rsid w:val="008755D8"/>
    <w:rsid w:val="0087685B"/>
    <w:rsid w:val="00880C0E"/>
    <w:rsid w:val="0088100E"/>
    <w:rsid w:val="008821FB"/>
    <w:rsid w:val="00882715"/>
    <w:rsid w:val="00883819"/>
    <w:rsid w:val="0088497A"/>
    <w:rsid w:val="00885CF5"/>
    <w:rsid w:val="008868A0"/>
    <w:rsid w:val="00890C3C"/>
    <w:rsid w:val="00890E98"/>
    <w:rsid w:val="008910DA"/>
    <w:rsid w:val="00894979"/>
    <w:rsid w:val="008949EC"/>
    <w:rsid w:val="008958A5"/>
    <w:rsid w:val="00895D5D"/>
    <w:rsid w:val="008961FD"/>
    <w:rsid w:val="00896F7D"/>
    <w:rsid w:val="008978D9"/>
    <w:rsid w:val="00897974"/>
    <w:rsid w:val="008A1EC2"/>
    <w:rsid w:val="008A1F97"/>
    <w:rsid w:val="008A3D0D"/>
    <w:rsid w:val="008A4731"/>
    <w:rsid w:val="008A4B0A"/>
    <w:rsid w:val="008A4ECC"/>
    <w:rsid w:val="008A540C"/>
    <w:rsid w:val="008A6224"/>
    <w:rsid w:val="008B00E6"/>
    <w:rsid w:val="008B3511"/>
    <w:rsid w:val="008B43F8"/>
    <w:rsid w:val="008B478B"/>
    <w:rsid w:val="008B49CA"/>
    <w:rsid w:val="008B522F"/>
    <w:rsid w:val="008B5667"/>
    <w:rsid w:val="008B58C1"/>
    <w:rsid w:val="008B5C85"/>
    <w:rsid w:val="008B61B7"/>
    <w:rsid w:val="008B72AB"/>
    <w:rsid w:val="008C0ADE"/>
    <w:rsid w:val="008C25B3"/>
    <w:rsid w:val="008C33DB"/>
    <w:rsid w:val="008C48EF"/>
    <w:rsid w:val="008C497B"/>
    <w:rsid w:val="008C4F0B"/>
    <w:rsid w:val="008C5CE9"/>
    <w:rsid w:val="008C6A62"/>
    <w:rsid w:val="008C76FD"/>
    <w:rsid w:val="008D0588"/>
    <w:rsid w:val="008D1086"/>
    <w:rsid w:val="008D156B"/>
    <w:rsid w:val="008D16AE"/>
    <w:rsid w:val="008D1781"/>
    <w:rsid w:val="008D2A2F"/>
    <w:rsid w:val="008D329C"/>
    <w:rsid w:val="008D33FC"/>
    <w:rsid w:val="008D53F4"/>
    <w:rsid w:val="008D6872"/>
    <w:rsid w:val="008D691C"/>
    <w:rsid w:val="008D72EA"/>
    <w:rsid w:val="008D7625"/>
    <w:rsid w:val="008E207F"/>
    <w:rsid w:val="008E30D6"/>
    <w:rsid w:val="008E30D9"/>
    <w:rsid w:val="008E3463"/>
    <w:rsid w:val="008E36F4"/>
    <w:rsid w:val="008E3B75"/>
    <w:rsid w:val="008E522C"/>
    <w:rsid w:val="008E64EF"/>
    <w:rsid w:val="008E68D3"/>
    <w:rsid w:val="008E6DED"/>
    <w:rsid w:val="008E6F1D"/>
    <w:rsid w:val="008E79DF"/>
    <w:rsid w:val="008F002D"/>
    <w:rsid w:val="008F1350"/>
    <w:rsid w:val="008F1AB9"/>
    <w:rsid w:val="008F39F6"/>
    <w:rsid w:val="008F43E8"/>
    <w:rsid w:val="008F4D32"/>
    <w:rsid w:val="008F77A7"/>
    <w:rsid w:val="008F7B52"/>
    <w:rsid w:val="008F7C20"/>
    <w:rsid w:val="009002C9"/>
    <w:rsid w:val="009004E0"/>
    <w:rsid w:val="00902A26"/>
    <w:rsid w:val="00903257"/>
    <w:rsid w:val="00903EDE"/>
    <w:rsid w:val="00904862"/>
    <w:rsid w:val="009048A2"/>
    <w:rsid w:val="00905C61"/>
    <w:rsid w:val="00906989"/>
    <w:rsid w:val="00907C0C"/>
    <w:rsid w:val="00907D61"/>
    <w:rsid w:val="00910064"/>
    <w:rsid w:val="00910DE5"/>
    <w:rsid w:val="0091126E"/>
    <w:rsid w:val="009114DC"/>
    <w:rsid w:val="00911D92"/>
    <w:rsid w:val="009121D3"/>
    <w:rsid w:val="0091230E"/>
    <w:rsid w:val="009131BE"/>
    <w:rsid w:val="00913C88"/>
    <w:rsid w:val="00915740"/>
    <w:rsid w:val="009164ED"/>
    <w:rsid w:val="00916756"/>
    <w:rsid w:val="009176F5"/>
    <w:rsid w:val="00917870"/>
    <w:rsid w:val="009216B8"/>
    <w:rsid w:val="00921A76"/>
    <w:rsid w:val="00922B7C"/>
    <w:rsid w:val="00923979"/>
    <w:rsid w:val="00924F28"/>
    <w:rsid w:val="00925230"/>
    <w:rsid w:val="00925312"/>
    <w:rsid w:val="00927478"/>
    <w:rsid w:val="00930F08"/>
    <w:rsid w:val="0093107C"/>
    <w:rsid w:val="009310E5"/>
    <w:rsid w:val="0093138D"/>
    <w:rsid w:val="0093300B"/>
    <w:rsid w:val="00933AD6"/>
    <w:rsid w:val="00934BB5"/>
    <w:rsid w:val="00935545"/>
    <w:rsid w:val="00936C5C"/>
    <w:rsid w:val="009373FB"/>
    <w:rsid w:val="009407C4"/>
    <w:rsid w:val="00940BE6"/>
    <w:rsid w:val="00942010"/>
    <w:rsid w:val="009421AA"/>
    <w:rsid w:val="009425EC"/>
    <w:rsid w:val="00942AFB"/>
    <w:rsid w:val="00943408"/>
    <w:rsid w:val="00943551"/>
    <w:rsid w:val="0094476A"/>
    <w:rsid w:val="009465D9"/>
    <w:rsid w:val="00946888"/>
    <w:rsid w:val="00946D98"/>
    <w:rsid w:val="0094774B"/>
    <w:rsid w:val="009478E4"/>
    <w:rsid w:val="00950A1D"/>
    <w:rsid w:val="00953D90"/>
    <w:rsid w:val="00956D66"/>
    <w:rsid w:val="00957C1C"/>
    <w:rsid w:val="00961F5A"/>
    <w:rsid w:val="00962EAD"/>
    <w:rsid w:val="009632CF"/>
    <w:rsid w:val="00966FC9"/>
    <w:rsid w:val="00967160"/>
    <w:rsid w:val="0096789B"/>
    <w:rsid w:val="00967D76"/>
    <w:rsid w:val="00970490"/>
    <w:rsid w:val="00970727"/>
    <w:rsid w:val="00970AAB"/>
    <w:rsid w:val="00971434"/>
    <w:rsid w:val="0097179D"/>
    <w:rsid w:val="009717F5"/>
    <w:rsid w:val="00971B2E"/>
    <w:rsid w:val="00972D00"/>
    <w:rsid w:val="00972ECC"/>
    <w:rsid w:val="00974504"/>
    <w:rsid w:val="00974B8E"/>
    <w:rsid w:val="00974EB8"/>
    <w:rsid w:val="00975972"/>
    <w:rsid w:val="00975A4A"/>
    <w:rsid w:val="00975AE9"/>
    <w:rsid w:val="00975EE2"/>
    <w:rsid w:val="00975F2A"/>
    <w:rsid w:val="00976358"/>
    <w:rsid w:val="00976413"/>
    <w:rsid w:val="009767B4"/>
    <w:rsid w:val="00977D37"/>
    <w:rsid w:val="009807AE"/>
    <w:rsid w:val="00980DDD"/>
    <w:rsid w:val="00985ACB"/>
    <w:rsid w:val="009874A1"/>
    <w:rsid w:val="00990334"/>
    <w:rsid w:val="00991158"/>
    <w:rsid w:val="0099199E"/>
    <w:rsid w:val="009919CE"/>
    <w:rsid w:val="00991AFD"/>
    <w:rsid w:val="0099296E"/>
    <w:rsid w:val="00994B15"/>
    <w:rsid w:val="0099505D"/>
    <w:rsid w:val="00995C44"/>
    <w:rsid w:val="00996774"/>
    <w:rsid w:val="00997CC9"/>
    <w:rsid w:val="00997ECA"/>
    <w:rsid w:val="009A04A5"/>
    <w:rsid w:val="009A2527"/>
    <w:rsid w:val="009A35A0"/>
    <w:rsid w:val="009A36B5"/>
    <w:rsid w:val="009A4434"/>
    <w:rsid w:val="009A464D"/>
    <w:rsid w:val="009A695D"/>
    <w:rsid w:val="009A7C43"/>
    <w:rsid w:val="009A7CFA"/>
    <w:rsid w:val="009B0C51"/>
    <w:rsid w:val="009B1E58"/>
    <w:rsid w:val="009B2137"/>
    <w:rsid w:val="009B2183"/>
    <w:rsid w:val="009B29AC"/>
    <w:rsid w:val="009B372F"/>
    <w:rsid w:val="009B3FE2"/>
    <w:rsid w:val="009B4B7F"/>
    <w:rsid w:val="009B4D3D"/>
    <w:rsid w:val="009B60A6"/>
    <w:rsid w:val="009B682A"/>
    <w:rsid w:val="009B6EAE"/>
    <w:rsid w:val="009B7728"/>
    <w:rsid w:val="009B7CC2"/>
    <w:rsid w:val="009C0F35"/>
    <w:rsid w:val="009C10C1"/>
    <w:rsid w:val="009C2022"/>
    <w:rsid w:val="009C23FD"/>
    <w:rsid w:val="009C2DFD"/>
    <w:rsid w:val="009C2FA6"/>
    <w:rsid w:val="009C3E40"/>
    <w:rsid w:val="009C4F55"/>
    <w:rsid w:val="009C5E5D"/>
    <w:rsid w:val="009C5F22"/>
    <w:rsid w:val="009C6F35"/>
    <w:rsid w:val="009C7611"/>
    <w:rsid w:val="009D0999"/>
    <w:rsid w:val="009D1539"/>
    <w:rsid w:val="009D23FB"/>
    <w:rsid w:val="009D4016"/>
    <w:rsid w:val="009D5CCD"/>
    <w:rsid w:val="009D5FB9"/>
    <w:rsid w:val="009D7562"/>
    <w:rsid w:val="009D75B3"/>
    <w:rsid w:val="009D7B2B"/>
    <w:rsid w:val="009E0803"/>
    <w:rsid w:val="009E0E28"/>
    <w:rsid w:val="009E5FE6"/>
    <w:rsid w:val="009E63B7"/>
    <w:rsid w:val="009E68A1"/>
    <w:rsid w:val="009E7563"/>
    <w:rsid w:val="009E7C1C"/>
    <w:rsid w:val="009F071D"/>
    <w:rsid w:val="009F0D70"/>
    <w:rsid w:val="009F13BF"/>
    <w:rsid w:val="009F1D34"/>
    <w:rsid w:val="009F2C40"/>
    <w:rsid w:val="009F30D8"/>
    <w:rsid w:val="009F328E"/>
    <w:rsid w:val="009F4A00"/>
    <w:rsid w:val="009F4A94"/>
    <w:rsid w:val="009F4C47"/>
    <w:rsid w:val="009F4C4F"/>
    <w:rsid w:val="009F528F"/>
    <w:rsid w:val="009F6449"/>
    <w:rsid w:val="009F6AC9"/>
    <w:rsid w:val="009F70EB"/>
    <w:rsid w:val="00A00264"/>
    <w:rsid w:val="00A015B0"/>
    <w:rsid w:val="00A01D9E"/>
    <w:rsid w:val="00A01E22"/>
    <w:rsid w:val="00A03155"/>
    <w:rsid w:val="00A03B89"/>
    <w:rsid w:val="00A0447A"/>
    <w:rsid w:val="00A0515A"/>
    <w:rsid w:val="00A05272"/>
    <w:rsid w:val="00A05AF8"/>
    <w:rsid w:val="00A0622E"/>
    <w:rsid w:val="00A0782D"/>
    <w:rsid w:val="00A078DC"/>
    <w:rsid w:val="00A079BA"/>
    <w:rsid w:val="00A105DA"/>
    <w:rsid w:val="00A13FD8"/>
    <w:rsid w:val="00A15029"/>
    <w:rsid w:val="00A153B2"/>
    <w:rsid w:val="00A16ED8"/>
    <w:rsid w:val="00A17600"/>
    <w:rsid w:val="00A20031"/>
    <w:rsid w:val="00A202D5"/>
    <w:rsid w:val="00A2088E"/>
    <w:rsid w:val="00A2136A"/>
    <w:rsid w:val="00A21F4A"/>
    <w:rsid w:val="00A23CD2"/>
    <w:rsid w:val="00A23CDC"/>
    <w:rsid w:val="00A23DF8"/>
    <w:rsid w:val="00A241FB"/>
    <w:rsid w:val="00A24596"/>
    <w:rsid w:val="00A24B24"/>
    <w:rsid w:val="00A25169"/>
    <w:rsid w:val="00A25E6C"/>
    <w:rsid w:val="00A26886"/>
    <w:rsid w:val="00A276E8"/>
    <w:rsid w:val="00A27A52"/>
    <w:rsid w:val="00A3232E"/>
    <w:rsid w:val="00A330D2"/>
    <w:rsid w:val="00A33268"/>
    <w:rsid w:val="00A33FC8"/>
    <w:rsid w:val="00A34CCE"/>
    <w:rsid w:val="00A35D76"/>
    <w:rsid w:val="00A36F43"/>
    <w:rsid w:val="00A405B0"/>
    <w:rsid w:val="00A40CCD"/>
    <w:rsid w:val="00A40E3D"/>
    <w:rsid w:val="00A40EA6"/>
    <w:rsid w:val="00A41232"/>
    <w:rsid w:val="00A4204D"/>
    <w:rsid w:val="00A445B8"/>
    <w:rsid w:val="00A46B61"/>
    <w:rsid w:val="00A47C4E"/>
    <w:rsid w:val="00A47DA2"/>
    <w:rsid w:val="00A50B8A"/>
    <w:rsid w:val="00A5138E"/>
    <w:rsid w:val="00A52753"/>
    <w:rsid w:val="00A54008"/>
    <w:rsid w:val="00A544C3"/>
    <w:rsid w:val="00A5458B"/>
    <w:rsid w:val="00A5474B"/>
    <w:rsid w:val="00A54980"/>
    <w:rsid w:val="00A54D22"/>
    <w:rsid w:val="00A550E8"/>
    <w:rsid w:val="00A556D1"/>
    <w:rsid w:val="00A560A6"/>
    <w:rsid w:val="00A561F2"/>
    <w:rsid w:val="00A56E8B"/>
    <w:rsid w:val="00A572CE"/>
    <w:rsid w:val="00A5746A"/>
    <w:rsid w:val="00A633C1"/>
    <w:rsid w:val="00A66B4B"/>
    <w:rsid w:val="00A706C2"/>
    <w:rsid w:val="00A71133"/>
    <w:rsid w:val="00A71345"/>
    <w:rsid w:val="00A7209C"/>
    <w:rsid w:val="00A7383E"/>
    <w:rsid w:val="00A73F17"/>
    <w:rsid w:val="00A74DAE"/>
    <w:rsid w:val="00A761C7"/>
    <w:rsid w:val="00A77D42"/>
    <w:rsid w:val="00A82DB2"/>
    <w:rsid w:val="00A82E17"/>
    <w:rsid w:val="00A834EA"/>
    <w:rsid w:val="00A83A08"/>
    <w:rsid w:val="00A85075"/>
    <w:rsid w:val="00A85A76"/>
    <w:rsid w:val="00A86A22"/>
    <w:rsid w:val="00A871B2"/>
    <w:rsid w:val="00A87A58"/>
    <w:rsid w:val="00A9016F"/>
    <w:rsid w:val="00A90245"/>
    <w:rsid w:val="00A9051B"/>
    <w:rsid w:val="00A9279A"/>
    <w:rsid w:val="00A92802"/>
    <w:rsid w:val="00A92BAD"/>
    <w:rsid w:val="00A936FF"/>
    <w:rsid w:val="00A93F1F"/>
    <w:rsid w:val="00A9400C"/>
    <w:rsid w:val="00A9469D"/>
    <w:rsid w:val="00A9481C"/>
    <w:rsid w:val="00A94D63"/>
    <w:rsid w:val="00A95081"/>
    <w:rsid w:val="00A954A9"/>
    <w:rsid w:val="00A958C4"/>
    <w:rsid w:val="00A960D5"/>
    <w:rsid w:val="00A976A2"/>
    <w:rsid w:val="00AA060E"/>
    <w:rsid w:val="00AA12F7"/>
    <w:rsid w:val="00AA1547"/>
    <w:rsid w:val="00AA2EBD"/>
    <w:rsid w:val="00AA3173"/>
    <w:rsid w:val="00AA3A3E"/>
    <w:rsid w:val="00AA3F4D"/>
    <w:rsid w:val="00AA761E"/>
    <w:rsid w:val="00AB0CBD"/>
    <w:rsid w:val="00AB0D5C"/>
    <w:rsid w:val="00AB19B6"/>
    <w:rsid w:val="00AB1A4B"/>
    <w:rsid w:val="00AB30B4"/>
    <w:rsid w:val="00AB3513"/>
    <w:rsid w:val="00AB4626"/>
    <w:rsid w:val="00AB494A"/>
    <w:rsid w:val="00AB53F3"/>
    <w:rsid w:val="00AB5BF7"/>
    <w:rsid w:val="00AB5CD1"/>
    <w:rsid w:val="00AB64CA"/>
    <w:rsid w:val="00AB73E9"/>
    <w:rsid w:val="00AC19D5"/>
    <w:rsid w:val="00AC5A06"/>
    <w:rsid w:val="00AC6ABA"/>
    <w:rsid w:val="00AC7D02"/>
    <w:rsid w:val="00AD0082"/>
    <w:rsid w:val="00AD0B5E"/>
    <w:rsid w:val="00AD1C80"/>
    <w:rsid w:val="00AD2A6C"/>
    <w:rsid w:val="00AD2E24"/>
    <w:rsid w:val="00AD46DE"/>
    <w:rsid w:val="00AD4953"/>
    <w:rsid w:val="00AD5627"/>
    <w:rsid w:val="00AD5903"/>
    <w:rsid w:val="00AD5965"/>
    <w:rsid w:val="00AD64C0"/>
    <w:rsid w:val="00AD65C9"/>
    <w:rsid w:val="00AD6639"/>
    <w:rsid w:val="00AD7A1A"/>
    <w:rsid w:val="00AE0643"/>
    <w:rsid w:val="00AE1846"/>
    <w:rsid w:val="00AE1D49"/>
    <w:rsid w:val="00AE1DFD"/>
    <w:rsid w:val="00AE2026"/>
    <w:rsid w:val="00AE2254"/>
    <w:rsid w:val="00AE36E4"/>
    <w:rsid w:val="00AE3CCC"/>
    <w:rsid w:val="00AE4219"/>
    <w:rsid w:val="00AE4A25"/>
    <w:rsid w:val="00AE54F1"/>
    <w:rsid w:val="00AE5CCB"/>
    <w:rsid w:val="00AE64E9"/>
    <w:rsid w:val="00AE683B"/>
    <w:rsid w:val="00AE7179"/>
    <w:rsid w:val="00AE7824"/>
    <w:rsid w:val="00AF10B0"/>
    <w:rsid w:val="00AF3131"/>
    <w:rsid w:val="00AF3875"/>
    <w:rsid w:val="00AF5848"/>
    <w:rsid w:val="00AF58D0"/>
    <w:rsid w:val="00AF6215"/>
    <w:rsid w:val="00AF665F"/>
    <w:rsid w:val="00AF6F6E"/>
    <w:rsid w:val="00AF77A1"/>
    <w:rsid w:val="00AF7931"/>
    <w:rsid w:val="00B0035A"/>
    <w:rsid w:val="00B00901"/>
    <w:rsid w:val="00B00A18"/>
    <w:rsid w:val="00B0389E"/>
    <w:rsid w:val="00B03D2E"/>
    <w:rsid w:val="00B041AE"/>
    <w:rsid w:val="00B042CA"/>
    <w:rsid w:val="00B04818"/>
    <w:rsid w:val="00B04D2B"/>
    <w:rsid w:val="00B054E9"/>
    <w:rsid w:val="00B05FD7"/>
    <w:rsid w:val="00B10242"/>
    <w:rsid w:val="00B11244"/>
    <w:rsid w:val="00B11323"/>
    <w:rsid w:val="00B11FE4"/>
    <w:rsid w:val="00B1237A"/>
    <w:rsid w:val="00B13A2F"/>
    <w:rsid w:val="00B14241"/>
    <w:rsid w:val="00B14246"/>
    <w:rsid w:val="00B145D2"/>
    <w:rsid w:val="00B14989"/>
    <w:rsid w:val="00B14C60"/>
    <w:rsid w:val="00B15556"/>
    <w:rsid w:val="00B178D3"/>
    <w:rsid w:val="00B21E82"/>
    <w:rsid w:val="00B22F73"/>
    <w:rsid w:val="00B23D83"/>
    <w:rsid w:val="00B23F8E"/>
    <w:rsid w:val="00B24303"/>
    <w:rsid w:val="00B2489D"/>
    <w:rsid w:val="00B26D45"/>
    <w:rsid w:val="00B27AF6"/>
    <w:rsid w:val="00B319BA"/>
    <w:rsid w:val="00B3237B"/>
    <w:rsid w:val="00B339F8"/>
    <w:rsid w:val="00B34221"/>
    <w:rsid w:val="00B35234"/>
    <w:rsid w:val="00B35575"/>
    <w:rsid w:val="00B35AC5"/>
    <w:rsid w:val="00B35D8C"/>
    <w:rsid w:val="00B4065C"/>
    <w:rsid w:val="00B414B4"/>
    <w:rsid w:val="00B42222"/>
    <w:rsid w:val="00B4255B"/>
    <w:rsid w:val="00B43512"/>
    <w:rsid w:val="00B44947"/>
    <w:rsid w:val="00B469C3"/>
    <w:rsid w:val="00B47155"/>
    <w:rsid w:val="00B47E1F"/>
    <w:rsid w:val="00B50716"/>
    <w:rsid w:val="00B50E41"/>
    <w:rsid w:val="00B52235"/>
    <w:rsid w:val="00B52CD8"/>
    <w:rsid w:val="00B52EF4"/>
    <w:rsid w:val="00B52FD7"/>
    <w:rsid w:val="00B5328A"/>
    <w:rsid w:val="00B604EB"/>
    <w:rsid w:val="00B60D11"/>
    <w:rsid w:val="00B60EBD"/>
    <w:rsid w:val="00B6108C"/>
    <w:rsid w:val="00B63A39"/>
    <w:rsid w:val="00B64203"/>
    <w:rsid w:val="00B65654"/>
    <w:rsid w:val="00B66610"/>
    <w:rsid w:val="00B67513"/>
    <w:rsid w:val="00B67971"/>
    <w:rsid w:val="00B67F7B"/>
    <w:rsid w:val="00B704BD"/>
    <w:rsid w:val="00B72AA9"/>
    <w:rsid w:val="00B737BB"/>
    <w:rsid w:val="00B739E2"/>
    <w:rsid w:val="00B74DA0"/>
    <w:rsid w:val="00B77065"/>
    <w:rsid w:val="00B80905"/>
    <w:rsid w:val="00B80BEB"/>
    <w:rsid w:val="00B8151D"/>
    <w:rsid w:val="00B819AA"/>
    <w:rsid w:val="00B824F7"/>
    <w:rsid w:val="00B83259"/>
    <w:rsid w:val="00B84670"/>
    <w:rsid w:val="00B84775"/>
    <w:rsid w:val="00B85D9D"/>
    <w:rsid w:val="00B85EB1"/>
    <w:rsid w:val="00B87740"/>
    <w:rsid w:val="00B93CE9"/>
    <w:rsid w:val="00B94768"/>
    <w:rsid w:val="00B9624F"/>
    <w:rsid w:val="00B96468"/>
    <w:rsid w:val="00B96C29"/>
    <w:rsid w:val="00BA0395"/>
    <w:rsid w:val="00BA182F"/>
    <w:rsid w:val="00BA1AC9"/>
    <w:rsid w:val="00BA3873"/>
    <w:rsid w:val="00BA3910"/>
    <w:rsid w:val="00BA54AA"/>
    <w:rsid w:val="00BA5A91"/>
    <w:rsid w:val="00BA7A46"/>
    <w:rsid w:val="00BB06B6"/>
    <w:rsid w:val="00BB0E84"/>
    <w:rsid w:val="00BB2109"/>
    <w:rsid w:val="00BB2774"/>
    <w:rsid w:val="00BB283C"/>
    <w:rsid w:val="00BB2C6B"/>
    <w:rsid w:val="00BB353B"/>
    <w:rsid w:val="00BB38D4"/>
    <w:rsid w:val="00BB3C36"/>
    <w:rsid w:val="00BB4A3C"/>
    <w:rsid w:val="00BB4D85"/>
    <w:rsid w:val="00BB61E4"/>
    <w:rsid w:val="00BB631E"/>
    <w:rsid w:val="00BB71A8"/>
    <w:rsid w:val="00BB7B6C"/>
    <w:rsid w:val="00BB7BB4"/>
    <w:rsid w:val="00BC3D02"/>
    <w:rsid w:val="00BC4BD5"/>
    <w:rsid w:val="00BC50A3"/>
    <w:rsid w:val="00BC60EA"/>
    <w:rsid w:val="00BC76A2"/>
    <w:rsid w:val="00BC7F8C"/>
    <w:rsid w:val="00BD0C37"/>
    <w:rsid w:val="00BD275C"/>
    <w:rsid w:val="00BD41D4"/>
    <w:rsid w:val="00BD465A"/>
    <w:rsid w:val="00BD47A9"/>
    <w:rsid w:val="00BD5208"/>
    <w:rsid w:val="00BD5316"/>
    <w:rsid w:val="00BD5A86"/>
    <w:rsid w:val="00BD6AC2"/>
    <w:rsid w:val="00BD72D2"/>
    <w:rsid w:val="00BE1839"/>
    <w:rsid w:val="00BE20CD"/>
    <w:rsid w:val="00BE214C"/>
    <w:rsid w:val="00BE2F43"/>
    <w:rsid w:val="00BE3F6F"/>
    <w:rsid w:val="00BE4493"/>
    <w:rsid w:val="00BE5277"/>
    <w:rsid w:val="00BE65A5"/>
    <w:rsid w:val="00BE68F9"/>
    <w:rsid w:val="00BE6DFB"/>
    <w:rsid w:val="00BE7839"/>
    <w:rsid w:val="00BF0530"/>
    <w:rsid w:val="00BF1BED"/>
    <w:rsid w:val="00BF27C2"/>
    <w:rsid w:val="00BF2A9B"/>
    <w:rsid w:val="00BF2CA7"/>
    <w:rsid w:val="00BF3581"/>
    <w:rsid w:val="00BF386F"/>
    <w:rsid w:val="00BF3DAE"/>
    <w:rsid w:val="00BF6A1C"/>
    <w:rsid w:val="00BF7B46"/>
    <w:rsid w:val="00BF7C4B"/>
    <w:rsid w:val="00BF7FB4"/>
    <w:rsid w:val="00C005BA"/>
    <w:rsid w:val="00C00CBE"/>
    <w:rsid w:val="00C01297"/>
    <w:rsid w:val="00C022C3"/>
    <w:rsid w:val="00C02557"/>
    <w:rsid w:val="00C02595"/>
    <w:rsid w:val="00C03408"/>
    <w:rsid w:val="00C05079"/>
    <w:rsid w:val="00C10943"/>
    <w:rsid w:val="00C10FA1"/>
    <w:rsid w:val="00C11552"/>
    <w:rsid w:val="00C11B48"/>
    <w:rsid w:val="00C12197"/>
    <w:rsid w:val="00C1330A"/>
    <w:rsid w:val="00C13B50"/>
    <w:rsid w:val="00C145EB"/>
    <w:rsid w:val="00C147AD"/>
    <w:rsid w:val="00C15C78"/>
    <w:rsid w:val="00C17548"/>
    <w:rsid w:val="00C21CCB"/>
    <w:rsid w:val="00C22249"/>
    <w:rsid w:val="00C226C0"/>
    <w:rsid w:val="00C2335D"/>
    <w:rsid w:val="00C2416A"/>
    <w:rsid w:val="00C24686"/>
    <w:rsid w:val="00C24BA0"/>
    <w:rsid w:val="00C253B6"/>
    <w:rsid w:val="00C259C6"/>
    <w:rsid w:val="00C25BAB"/>
    <w:rsid w:val="00C27444"/>
    <w:rsid w:val="00C300B6"/>
    <w:rsid w:val="00C30CE9"/>
    <w:rsid w:val="00C30D1E"/>
    <w:rsid w:val="00C30E45"/>
    <w:rsid w:val="00C3193B"/>
    <w:rsid w:val="00C31AFB"/>
    <w:rsid w:val="00C31BCA"/>
    <w:rsid w:val="00C325A5"/>
    <w:rsid w:val="00C327EE"/>
    <w:rsid w:val="00C33A6E"/>
    <w:rsid w:val="00C34DBD"/>
    <w:rsid w:val="00C34DD6"/>
    <w:rsid w:val="00C34FA1"/>
    <w:rsid w:val="00C35CF9"/>
    <w:rsid w:val="00C35FD4"/>
    <w:rsid w:val="00C36873"/>
    <w:rsid w:val="00C36A15"/>
    <w:rsid w:val="00C3701B"/>
    <w:rsid w:val="00C37043"/>
    <w:rsid w:val="00C375E0"/>
    <w:rsid w:val="00C3787C"/>
    <w:rsid w:val="00C403B3"/>
    <w:rsid w:val="00C40D4B"/>
    <w:rsid w:val="00C414EF"/>
    <w:rsid w:val="00C4300F"/>
    <w:rsid w:val="00C43667"/>
    <w:rsid w:val="00C444A2"/>
    <w:rsid w:val="00C45661"/>
    <w:rsid w:val="00C45AFF"/>
    <w:rsid w:val="00C47C36"/>
    <w:rsid w:val="00C4D7A5"/>
    <w:rsid w:val="00C5010C"/>
    <w:rsid w:val="00C50F23"/>
    <w:rsid w:val="00C52A06"/>
    <w:rsid w:val="00C52D34"/>
    <w:rsid w:val="00C538D5"/>
    <w:rsid w:val="00C53EE5"/>
    <w:rsid w:val="00C548FA"/>
    <w:rsid w:val="00C54AD5"/>
    <w:rsid w:val="00C54E19"/>
    <w:rsid w:val="00C54FE8"/>
    <w:rsid w:val="00C55F9B"/>
    <w:rsid w:val="00C560BC"/>
    <w:rsid w:val="00C56641"/>
    <w:rsid w:val="00C56724"/>
    <w:rsid w:val="00C56F1E"/>
    <w:rsid w:val="00C60682"/>
    <w:rsid w:val="00C61018"/>
    <w:rsid w:val="00C614D7"/>
    <w:rsid w:val="00C62BC1"/>
    <w:rsid w:val="00C6309C"/>
    <w:rsid w:val="00C637A0"/>
    <w:rsid w:val="00C63987"/>
    <w:rsid w:val="00C64879"/>
    <w:rsid w:val="00C6523E"/>
    <w:rsid w:val="00C66953"/>
    <w:rsid w:val="00C672B4"/>
    <w:rsid w:val="00C67753"/>
    <w:rsid w:val="00C67EF5"/>
    <w:rsid w:val="00C70560"/>
    <w:rsid w:val="00C73133"/>
    <w:rsid w:val="00C731FA"/>
    <w:rsid w:val="00C75560"/>
    <w:rsid w:val="00C75664"/>
    <w:rsid w:val="00C7574C"/>
    <w:rsid w:val="00C7617C"/>
    <w:rsid w:val="00C7792D"/>
    <w:rsid w:val="00C801DF"/>
    <w:rsid w:val="00C81168"/>
    <w:rsid w:val="00C81BAE"/>
    <w:rsid w:val="00C82083"/>
    <w:rsid w:val="00C82C91"/>
    <w:rsid w:val="00C82FB0"/>
    <w:rsid w:val="00C8342B"/>
    <w:rsid w:val="00C83C6F"/>
    <w:rsid w:val="00C846A2"/>
    <w:rsid w:val="00C846BC"/>
    <w:rsid w:val="00C84914"/>
    <w:rsid w:val="00C85629"/>
    <w:rsid w:val="00C86E64"/>
    <w:rsid w:val="00C90E38"/>
    <w:rsid w:val="00C90EFC"/>
    <w:rsid w:val="00C90FC4"/>
    <w:rsid w:val="00C910FD"/>
    <w:rsid w:val="00C91189"/>
    <w:rsid w:val="00C912BD"/>
    <w:rsid w:val="00C91EDB"/>
    <w:rsid w:val="00C9311E"/>
    <w:rsid w:val="00C93F4E"/>
    <w:rsid w:val="00C954B7"/>
    <w:rsid w:val="00C9591A"/>
    <w:rsid w:val="00C96A18"/>
    <w:rsid w:val="00C96B58"/>
    <w:rsid w:val="00C96DD0"/>
    <w:rsid w:val="00C97825"/>
    <w:rsid w:val="00CA14AB"/>
    <w:rsid w:val="00CA16C1"/>
    <w:rsid w:val="00CA2194"/>
    <w:rsid w:val="00CA46AC"/>
    <w:rsid w:val="00CA4C86"/>
    <w:rsid w:val="00CA4F71"/>
    <w:rsid w:val="00CA56EB"/>
    <w:rsid w:val="00CA6ABA"/>
    <w:rsid w:val="00CA6EB0"/>
    <w:rsid w:val="00CA7CF5"/>
    <w:rsid w:val="00CB03F9"/>
    <w:rsid w:val="00CB2C85"/>
    <w:rsid w:val="00CB337B"/>
    <w:rsid w:val="00CB45D5"/>
    <w:rsid w:val="00CB5C37"/>
    <w:rsid w:val="00CB5F54"/>
    <w:rsid w:val="00CB62A7"/>
    <w:rsid w:val="00CB6DD7"/>
    <w:rsid w:val="00CB7A83"/>
    <w:rsid w:val="00CC0DD2"/>
    <w:rsid w:val="00CC1B50"/>
    <w:rsid w:val="00CC2235"/>
    <w:rsid w:val="00CC250F"/>
    <w:rsid w:val="00CC2571"/>
    <w:rsid w:val="00CC25C1"/>
    <w:rsid w:val="00CC25E8"/>
    <w:rsid w:val="00CC38C2"/>
    <w:rsid w:val="00CC3AE0"/>
    <w:rsid w:val="00CC3C0B"/>
    <w:rsid w:val="00CC3CD3"/>
    <w:rsid w:val="00CC40B3"/>
    <w:rsid w:val="00CC448A"/>
    <w:rsid w:val="00CC4C6D"/>
    <w:rsid w:val="00CD0444"/>
    <w:rsid w:val="00CD1F45"/>
    <w:rsid w:val="00CD20F8"/>
    <w:rsid w:val="00CD24C2"/>
    <w:rsid w:val="00CD26EC"/>
    <w:rsid w:val="00CD3705"/>
    <w:rsid w:val="00CD562D"/>
    <w:rsid w:val="00CD569D"/>
    <w:rsid w:val="00CD5DD4"/>
    <w:rsid w:val="00CD6860"/>
    <w:rsid w:val="00CD69BB"/>
    <w:rsid w:val="00CD6E72"/>
    <w:rsid w:val="00CD7948"/>
    <w:rsid w:val="00CD7AA7"/>
    <w:rsid w:val="00CD7B64"/>
    <w:rsid w:val="00CD7E3D"/>
    <w:rsid w:val="00CE0E90"/>
    <w:rsid w:val="00CE2230"/>
    <w:rsid w:val="00CE2300"/>
    <w:rsid w:val="00CE23A8"/>
    <w:rsid w:val="00CE29C8"/>
    <w:rsid w:val="00CE2A39"/>
    <w:rsid w:val="00CE36F2"/>
    <w:rsid w:val="00CE3EA5"/>
    <w:rsid w:val="00CE5502"/>
    <w:rsid w:val="00CE5BD7"/>
    <w:rsid w:val="00CE5C5C"/>
    <w:rsid w:val="00CE6809"/>
    <w:rsid w:val="00CF06A1"/>
    <w:rsid w:val="00CF1C96"/>
    <w:rsid w:val="00CF1D85"/>
    <w:rsid w:val="00CF2423"/>
    <w:rsid w:val="00CF2EDF"/>
    <w:rsid w:val="00CF40E2"/>
    <w:rsid w:val="00CF488D"/>
    <w:rsid w:val="00CF5310"/>
    <w:rsid w:val="00CF5A8C"/>
    <w:rsid w:val="00CF6651"/>
    <w:rsid w:val="00CF7DDE"/>
    <w:rsid w:val="00D010D3"/>
    <w:rsid w:val="00D02387"/>
    <w:rsid w:val="00D02415"/>
    <w:rsid w:val="00D026F0"/>
    <w:rsid w:val="00D0307B"/>
    <w:rsid w:val="00D04142"/>
    <w:rsid w:val="00D05A8C"/>
    <w:rsid w:val="00D071BB"/>
    <w:rsid w:val="00D07F8B"/>
    <w:rsid w:val="00D10381"/>
    <w:rsid w:val="00D11796"/>
    <w:rsid w:val="00D119DD"/>
    <w:rsid w:val="00D12B5A"/>
    <w:rsid w:val="00D13599"/>
    <w:rsid w:val="00D148F4"/>
    <w:rsid w:val="00D14A9D"/>
    <w:rsid w:val="00D14DB3"/>
    <w:rsid w:val="00D1557F"/>
    <w:rsid w:val="00D15644"/>
    <w:rsid w:val="00D16430"/>
    <w:rsid w:val="00D179E2"/>
    <w:rsid w:val="00D17A67"/>
    <w:rsid w:val="00D17CFB"/>
    <w:rsid w:val="00D17FC6"/>
    <w:rsid w:val="00D20685"/>
    <w:rsid w:val="00D209F8"/>
    <w:rsid w:val="00D2172C"/>
    <w:rsid w:val="00D217D1"/>
    <w:rsid w:val="00D21B8A"/>
    <w:rsid w:val="00D21EE9"/>
    <w:rsid w:val="00D2220F"/>
    <w:rsid w:val="00D228C0"/>
    <w:rsid w:val="00D2517F"/>
    <w:rsid w:val="00D26429"/>
    <w:rsid w:val="00D277CD"/>
    <w:rsid w:val="00D27A96"/>
    <w:rsid w:val="00D27F0E"/>
    <w:rsid w:val="00D31CB6"/>
    <w:rsid w:val="00D324AC"/>
    <w:rsid w:val="00D32667"/>
    <w:rsid w:val="00D32C8B"/>
    <w:rsid w:val="00D33C6B"/>
    <w:rsid w:val="00D35339"/>
    <w:rsid w:val="00D355D5"/>
    <w:rsid w:val="00D362C3"/>
    <w:rsid w:val="00D36FA8"/>
    <w:rsid w:val="00D3758C"/>
    <w:rsid w:val="00D400E3"/>
    <w:rsid w:val="00D40839"/>
    <w:rsid w:val="00D43268"/>
    <w:rsid w:val="00D45ABC"/>
    <w:rsid w:val="00D45C8D"/>
    <w:rsid w:val="00D46134"/>
    <w:rsid w:val="00D4640A"/>
    <w:rsid w:val="00D467C6"/>
    <w:rsid w:val="00D468A9"/>
    <w:rsid w:val="00D46EFB"/>
    <w:rsid w:val="00D500D5"/>
    <w:rsid w:val="00D50946"/>
    <w:rsid w:val="00D51A94"/>
    <w:rsid w:val="00D52BB4"/>
    <w:rsid w:val="00D5387E"/>
    <w:rsid w:val="00D54264"/>
    <w:rsid w:val="00D54860"/>
    <w:rsid w:val="00D560BE"/>
    <w:rsid w:val="00D560F7"/>
    <w:rsid w:val="00D56A3B"/>
    <w:rsid w:val="00D56A40"/>
    <w:rsid w:val="00D61A73"/>
    <w:rsid w:val="00D630A3"/>
    <w:rsid w:val="00D63270"/>
    <w:rsid w:val="00D633D6"/>
    <w:rsid w:val="00D63519"/>
    <w:rsid w:val="00D63CDD"/>
    <w:rsid w:val="00D63CEF"/>
    <w:rsid w:val="00D6472B"/>
    <w:rsid w:val="00D64D9B"/>
    <w:rsid w:val="00D663FE"/>
    <w:rsid w:val="00D66B65"/>
    <w:rsid w:val="00D679B5"/>
    <w:rsid w:val="00D70629"/>
    <w:rsid w:val="00D70EAE"/>
    <w:rsid w:val="00D70F2F"/>
    <w:rsid w:val="00D70F64"/>
    <w:rsid w:val="00D727CD"/>
    <w:rsid w:val="00D73415"/>
    <w:rsid w:val="00D73B07"/>
    <w:rsid w:val="00D742A8"/>
    <w:rsid w:val="00D74B9B"/>
    <w:rsid w:val="00D74D8F"/>
    <w:rsid w:val="00D75294"/>
    <w:rsid w:val="00D75640"/>
    <w:rsid w:val="00D773CB"/>
    <w:rsid w:val="00D8103E"/>
    <w:rsid w:val="00D817AB"/>
    <w:rsid w:val="00D818BA"/>
    <w:rsid w:val="00D81ADE"/>
    <w:rsid w:val="00D835CE"/>
    <w:rsid w:val="00D84100"/>
    <w:rsid w:val="00D842A2"/>
    <w:rsid w:val="00D84946"/>
    <w:rsid w:val="00D85585"/>
    <w:rsid w:val="00D8560B"/>
    <w:rsid w:val="00D87134"/>
    <w:rsid w:val="00D91B0E"/>
    <w:rsid w:val="00D91BD5"/>
    <w:rsid w:val="00D930FF"/>
    <w:rsid w:val="00D93741"/>
    <w:rsid w:val="00D973ED"/>
    <w:rsid w:val="00D9750D"/>
    <w:rsid w:val="00DA20D5"/>
    <w:rsid w:val="00DA23C6"/>
    <w:rsid w:val="00DA552F"/>
    <w:rsid w:val="00DA7142"/>
    <w:rsid w:val="00DA76D9"/>
    <w:rsid w:val="00DB1C9E"/>
    <w:rsid w:val="00DB1F5C"/>
    <w:rsid w:val="00DB20AE"/>
    <w:rsid w:val="00DB2434"/>
    <w:rsid w:val="00DB461B"/>
    <w:rsid w:val="00DB46BD"/>
    <w:rsid w:val="00DB4D35"/>
    <w:rsid w:val="00DB514D"/>
    <w:rsid w:val="00DB60F4"/>
    <w:rsid w:val="00DB6247"/>
    <w:rsid w:val="00DC3E8C"/>
    <w:rsid w:val="00DC41B9"/>
    <w:rsid w:val="00DC4B5E"/>
    <w:rsid w:val="00DC603D"/>
    <w:rsid w:val="00DC649D"/>
    <w:rsid w:val="00DC688E"/>
    <w:rsid w:val="00DD0071"/>
    <w:rsid w:val="00DD0E77"/>
    <w:rsid w:val="00DD1234"/>
    <w:rsid w:val="00DD1AEB"/>
    <w:rsid w:val="00DD20A0"/>
    <w:rsid w:val="00DD2B0E"/>
    <w:rsid w:val="00DD4003"/>
    <w:rsid w:val="00DD408F"/>
    <w:rsid w:val="00DD4604"/>
    <w:rsid w:val="00DD57CF"/>
    <w:rsid w:val="00DD5F43"/>
    <w:rsid w:val="00DD651A"/>
    <w:rsid w:val="00DD6CCA"/>
    <w:rsid w:val="00DD7496"/>
    <w:rsid w:val="00DD7A78"/>
    <w:rsid w:val="00DD7B03"/>
    <w:rsid w:val="00DE02BB"/>
    <w:rsid w:val="00DE0D8B"/>
    <w:rsid w:val="00DE1334"/>
    <w:rsid w:val="00DE1B62"/>
    <w:rsid w:val="00DE23E0"/>
    <w:rsid w:val="00DE2814"/>
    <w:rsid w:val="00DE3267"/>
    <w:rsid w:val="00DE326A"/>
    <w:rsid w:val="00DE35D5"/>
    <w:rsid w:val="00DE36A5"/>
    <w:rsid w:val="00DE3794"/>
    <w:rsid w:val="00DE4D05"/>
    <w:rsid w:val="00DE5F92"/>
    <w:rsid w:val="00DE715E"/>
    <w:rsid w:val="00DE7AD4"/>
    <w:rsid w:val="00DE7C37"/>
    <w:rsid w:val="00DE7ED8"/>
    <w:rsid w:val="00DF0222"/>
    <w:rsid w:val="00DF080C"/>
    <w:rsid w:val="00DF0BC3"/>
    <w:rsid w:val="00DF0C18"/>
    <w:rsid w:val="00DF13F3"/>
    <w:rsid w:val="00DF1C12"/>
    <w:rsid w:val="00DF23C1"/>
    <w:rsid w:val="00DF2F76"/>
    <w:rsid w:val="00DF3422"/>
    <w:rsid w:val="00DF3683"/>
    <w:rsid w:val="00DF46B2"/>
    <w:rsid w:val="00DF49CC"/>
    <w:rsid w:val="00DF4C59"/>
    <w:rsid w:val="00DF61B7"/>
    <w:rsid w:val="00DF6E19"/>
    <w:rsid w:val="00E002A6"/>
    <w:rsid w:val="00E00C6A"/>
    <w:rsid w:val="00E01C27"/>
    <w:rsid w:val="00E01C32"/>
    <w:rsid w:val="00E01F85"/>
    <w:rsid w:val="00E0336D"/>
    <w:rsid w:val="00E05D20"/>
    <w:rsid w:val="00E05F06"/>
    <w:rsid w:val="00E06B05"/>
    <w:rsid w:val="00E06CCD"/>
    <w:rsid w:val="00E06CE7"/>
    <w:rsid w:val="00E06FBD"/>
    <w:rsid w:val="00E072FE"/>
    <w:rsid w:val="00E1001A"/>
    <w:rsid w:val="00E1107E"/>
    <w:rsid w:val="00E118F2"/>
    <w:rsid w:val="00E11B6B"/>
    <w:rsid w:val="00E12203"/>
    <w:rsid w:val="00E1257E"/>
    <w:rsid w:val="00E14E07"/>
    <w:rsid w:val="00E15F5B"/>
    <w:rsid w:val="00E16354"/>
    <w:rsid w:val="00E165E4"/>
    <w:rsid w:val="00E17064"/>
    <w:rsid w:val="00E177A9"/>
    <w:rsid w:val="00E21595"/>
    <w:rsid w:val="00E23517"/>
    <w:rsid w:val="00E23641"/>
    <w:rsid w:val="00E23B6D"/>
    <w:rsid w:val="00E24E50"/>
    <w:rsid w:val="00E24F45"/>
    <w:rsid w:val="00E251EE"/>
    <w:rsid w:val="00E25C50"/>
    <w:rsid w:val="00E27248"/>
    <w:rsid w:val="00E273BB"/>
    <w:rsid w:val="00E27651"/>
    <w:rsid w:val="00E27E5F"/>
    <w:rsid w:val="00E302D5"/>
    <w:rsid w:val="00E310BB"/>
    <w:rsid w:val="00E32933"/>
    <w:rsid w:val="00E33927"/>
    <w:rsid w:val="00E33FED"/>
    <w:rsid w:val="00E34AC6"/>
    <w:rsid w:val="00E3725F"/>
    <w:rsid w:val="00E401EF"/>
    <w:rsid w:val="00E40C50"/>
    <w:rsid w:val="00E41DB9"/>
    <w:rsid w:val="00E43542"/>
    <w:rsid w:val="00E436AD"/>
    <w:rsid w:val="00E43913"/>
    <w:rsid w:val="00E447BE"/>
    <w:rsid w:val="00E450D8"/>
    <w:rsid w:val="00E45DDE"/>
    <w:rsid w:val="00E46F2B"/>
    <w:rsid w:val="00E46F60"/>
    <w:rsid w:val="00E50DFB"/>
    <w:rsid w:val="00E51278"/>
    <w:rsid w:val="00E53C33"/>
    <w:rsid w:val="00E553B6"/>
    <w:rsid w:val="00E5541C"/>
    <w:rsid w:val="00E55D04"/>
    <w:rsid w:val="00E566FF"/>
    <w:rsid w:val="00E60261"/>
    <w:rsid w:val="00E60A2A"/>
    <w:rsid w:val="00E60FB7"/>
    <w:rsid w:val="00E62C51"/>
    <w:rsid w:val="00E631F9"/>
    <w:rsid w:val="00E6412A"/>
    <w:rsid w:val="00E65E8F"/>
    <w:rsid w:val="00E662FD"/>
    <w:rsid w:val="00E67091"/>
    <w:rsid w:val="00E670F0"/>
    <w:rsid w:val="00E67ACD"/>
    <w:rsid w:val="00E67E0A"/>
    <w:rsid w:val="00E702BD"/>
    <w:rsid w:val="00E70852"/>
    <w:rsid w:val="00E72EA2"/>
    <w:rsid w:val="00E72FD0"/>
    <w:rsid w:val="00E73C34"/>
    <w:rsid w:val="00E746A4"/>
    <w:rsid w:val="00E75504"/>
    <w:rsid w:val="00E757D0"/>
    <w:rsid w:val="00E75FF3"/>
    <w:rsid w:val="00E76170"/>
    <w:rsid w:val="00E762FB"/>
    <w:rsid w:val="00E76694"/>
    <w:rsid w:val="00E767BE"/>
    <w:rsid w:val="00E77E2B"/>
    <w:rsid w:val="00E81551"/>
    <w:rsid w:val="00E830F4"/>
    <w:rsid w:val="00E837DB"/>
    <w:rsid w:val="00E8587A"/>
    <w:rsid w:val="00E85ED9"/>
    <w:rsid w:val="00E8671C"/>
    <w:rsid w:val="00E90298"/>
    <w:rsid w:val="00E9055C"/>
    <w:rsid w:val="00E90E00"/>
    <w:rsid w:val="00E91661"/>
    <w:rsid w:val="00E916A2"/>
    <w:rsid w:val="00E91930"/>
    <w:rsid w:val="00E91B34"/>
    <w:rsid w:val="00E91EAA"/>
    <w:rsid w:val="00E94101"/>
    <w:rsid w:val="00E94D27"/>
    <w:rsid w:val="00E95B99"/>
    <w:rsid w:val="00E9615F"/>
    <w:rsid w:val="00E96586"/>
    <w:rsid w:val="00EA05CB"/>
    <w:rsid w:val="00EA109C"/>
    <w:rsid w:val="00EA12C6"/>
    <w:rsid w:val="00EA189B"/>
    <w:rsid w:val="00EA2839"/>
    <w:rsid w:val="00EA45A3"/>
    <w:rsid w:val="00EA5858"/>
    <w:rsid w:val="00EA5C84"/>
    <w:rsid w:val="00EA6D4F"/>
    <w:rsid w:val="00EA716A"/>
    <w:rsid w:val="00EA7EA8"/>
    <w:rsid w:val="00EB1222"/>
    <w:rsid w:val="00EB13DD"/>
    <w:rsid w:val="00EB1C91"/>
    <w:rsid w:val="00EB40DF"/>
    <w:rsid w:val="00EB48E3"/>
    <w:rsid w:val="00EB4B9D"/>
    <w:rsid w:val="00EB6903"/>
    <w:rsid w:val="00EB7201"/>
    <w:rsid w:val="00EB78C6"/>
    <w:rsid w:val="00EC0A15"/>
    <w:rsid w:val="00EC228E"/>
    <w:rsid w:val="00EC3928"/>
    <w:rsid w:val="00EC42A7"/>
    <w:rsid w:val="00EC46E6"/>
    <w:rsid w:val="00EC5014"/>
    <w:rsid w:val="00EC5A08"/>
    <w:rsid w:val="00EC6787"/>
    <w:rsid w:val="00EC6930"/>
    <w:rsid w:val="00EC6942"/>
    <w:rsid w:val="00ED11F6"/>
    <w:rsid w:val="00ED36E6"/>
    <w:rsid w:val="00ED4B27"/>
    <w:rsid w:val="00ED5C79"/>
    <w:rsid w:val="00ED668B"/>
    <w:rsid w:val="00ED76E9"/>
    <w:rsid w:val="00EE02EB"/>
    <w:rsid w:val="00EE0497"/>
    <w:rsid w:val="00EE23C9"/>
    <w:rsid w:val="00EE3260"/>
    <w:rsid w:val="00EE35CA"/>
    <w:rsid w:val="00EE3718"/>
    <w:rsid w:val="00EE412B"/>
    <w:rsid w:val="00EE5436"/>
    <w:rsid w:val="00EE6227"/>
    <w:rsid w:val="00EF035B"/>
    <w:rsid w:val="00EF03DB"/>
    <w:rsid w:val="00EF09A0"/>
    <w:rsid w:val="00EF229C"/>
    <w:rsid w:val="00EF36CB"/>
    <w:rsid w:val="00EF3A7B"/>
    <w:rsid w:val="00EF4ACB"/>
    <w:rsid w:val="00EF5560"/>
    <w:rsid w:val="00EF5F85"/>
    <w:rsid w:val="00EF76DE"/>
    <w:rsid w:val="00EF7C78"/>
    <w:rsid w:val="00EF7E6A"/>
    <w:rsid w:val="00F00674"/>
    <w:rsid w:val="00F008C0"/>
    <w:rsid w:val="00F016CC"/>
    <w:rsid w:val="00F01AB5"/>
    <w:rsid w:val="00F02A7A"/>
    <w:rsid w:val="00F03635"/>
    <w:rsid w:val="00F03873"/>
    <w:rsid w:val="00F0387D"/>
    <w:rsid w:val="00F042B7"/>
    <w:rsid w:val="00F0455E"/>
    <w:rsid w:val="00F04E80"/>
    <w:rsid w:val="00F0609A"/>
    <w:rsid w:val="00F06326"/>
    <w:rsid w:val="00F10832"/>
    <w:rsid w:val="00F122D2"/>
    <w:rsid w:val="00F1230D"/>
    <w:rsid w:val="00F13A60"/>
    <w:rsid w:val="00F14BCE"/>
    <w:rsid w:val="00F14C23"/>
    <w:rsid w:val="00F14D61"/>
    <w:rsid w:val="00F15221"/>
    <w:rsid w:val="00F157E4"/>
    <w:rsid w:val="00F17309"/>
    <w:rsid w:val="00F20002"/>
    <w:rsid w:val="00F21042"/>
    <w:rsid w:val="00F21FAC"/>
    <w:rsid w:val="00F22279"/>
    <w:rsid w:val="00F2320A"/>
    <w:rsid w:val="00F2356D"/>
    <w:rsid w:val="00F23726"/>
    <w:rsid w:val="00F23DBC"/>
    <w:rsid w:val="00F23FBC"/>
    <w:rsid w:val="00F26060"/>
    <w:rsid w:val="00F26509"/>
    <w:rsid w:val="00F271ED"/>
    <w:rsid w:val="00F27FC7"/>
    <w:rsid w:val="00F3018E"/>
    <w:rsid w:val="00F301F9"/>
    <w:rsid w:val="00F324F9"/>
    <w:rsid w:val="00F3264E"/>
    <w:rsid w:val="00F3267D"/>
    <w:rsid w:val="00F32E7B"/>
    <w:rsid w:val="00F330DD"/>
    <w:rsid w:val="00F355E9"/>
    <w:rsid w:val="00F35AEF"/>
    <w:rsid w:val="00F36014"/>
    <w:rsid w:val="00F36800"/>
    <w:rsid w:val="00F36E18"/>
    <w:rsid w:val="00F37BC2"/>
    <w:rsid w:val="00F40F5E"/>
    <w:rsid w:val="00F415DE"/>
    <w:rsid w:val="00F4287A"/>
    <w:rsid w:val="00F43DAD"/>
    <w:rsid w:val="00F44332"/>
    <w:rsid w:val="00F4545E"/>
    <w:rsid w:val="00F45857"/>
    <w:rsid w:val="00F46B9B"/>
    <w:rsid w:val="00F506CB"/>
    <w:rsid w:val="00F513EB"/>
    <w:rsid w:val="00F515C8"/>
    <w:rsid w:val="00F5236B"/>
    <w:rsid w:val="00F5252A"/>
    <w:rsid w:val="00F533A4"/>
    <w:rsid w:val="00F53E1B"/>
    <w:rsid w:val="00F54243"/>
    <w:rsid w:val="00F54266"/>
    <w:rsid w:val="00F552D2"/>
    <w:rsid w:val="00F55D82"/>
    <w:rsid w:val="00F566F4"/>
    <w:rsid w:val="00F5679F"/>
    <w:rsid w:val="00F60D6A"/>
    <w:rsid w:val="00F60F15"/>
    <w:rsid w:val="00F6147A"/>
    <w:rsid w:val="00F62708"/>
    <w:rsid w:val="00F629A6"/>
    <w:rsid w:val="00F638DD"/>
    <w:rsid w:val="00F63B17"/>
    <w:rsid w:val="00F6460E"/>
    <w:rsid w:val="00F64CB4"/>
    <w:rsid w:val="00F65889"/>
    <w:rsid w:val="00F65938"/>
    <w:rsid w:val="00F66425"/>
    <w:rsid w:val="00F6645F"/>
    <w:rsid w:val="00F70286"/>
    <w:rsid w:val="00F70C37"/>
    <w:rsid w:val="00F72398"/>
    <w:rsid w:val="00F747A5"/>
    <w:rsid w:val="00F74CC9"/>
    <w:rsid w:val="00F75179"/>
    <w:rsid w:val="00F77106"/>
    <w:rsid w:val="00F81A14"/>
    <w:rsid w:val="00F83D1F"/>
    <w:rsid w:val="00F84A70"/>
    <w:rsid w:val="00F853B9"/>
    <w:rsid w:val="00F85B48"/>
    <w:rsid w:val="00F861AE"/>
    <w:rsid w:val="00F86E01"/>
    <w:rsid w:val="00F871D7"/>
    <w:rsid w:val="00F87FB6"/>
    <w:rsid w:val="00F90098"/>
    <w:rsid w:val="00F90555"/>
    <w:rsid w:val="00F90BDE"/>
    <w:rsid w:val="00F90D9B"/>
    <w:rsid w:val="00F914ED"/>
    <w:rsid w:val="00F9169B"/>
    <w:rsid w:val="00F9205E"/>
    <w:rsid w:val="00F92665"/>
    <w:rsid w:val="00F92C52"/>
    <w:rsid w:val="00F92FA5"/>
    <w:rsid w:val="00F935BD"/>
    <w:rsid w:val="00F942FC"/>
    <w:rsid w:val="00F944CE"/>
    <w:rsid w:val="00F94669"/>
    <w:rsid w:val="00F94EED"/>
    <w:rsid w:val="00F96122"/>
    <w:rsid w:val="00F96889"/>
    <w:rsid w:val="00F97847"/>
    <w:rsid w:val="00FA087B"/>
    <w:rsid w:val="00FA1287"/>
    <w:rsid w:val="00FA2EC7"/>
    <w:rsid w:val="00FA38F9"/>
    <w:rsid w:val="00FA5E58"/>
    <w:rsid w:val="00FA6309"/>
    <w:rsid w:val="00FA6319"/>
    <w:rsid w:val="00FA71F7"/>
    <w:rsid w:val="00FB14CA"/>
    <w:rsid w:val="00FB156E"/>
    <w:rsid w:val="00FB1839"/>
    <w:rsid w:val="00FB284C"/>
    <w:rsid w:val="00FB45E4"/>
    <w:rsid w:val="00FB46DD"/>
    <w:rsid w:val="00FB58D0"/>
    <w:rsid w:val="00FB5AE7"/>
    <w:rsid w:val="00FB656A"/>
    <w:rsid w:val="00FB6A7A"/>
    <w:rsid w:val="00FB7019"/>
    <w:rsid w:val="00FB7EB1"/>
    <w:rsid w:val="00FC30D8"/>
    <w:rsid w:val="00FC3987"/>
    <w:rsid w:val="00FC43C8"/>
    <w:rsid w:val="00FC4C72"/>
    <w:rsid w:val="00FC522B"/>
    <w:rsid w:val="00FC5676"/>
    <w:rsid w:val="00FCACF9"/>
    <w:rsid w:val="00FD0A30"/>
    <w:rsid w:val="00FD1A80"/>
    <w:rsid w:val="00FD2691"/>
    <w:rsid w:val="00FD343A"/>
    <w:rsid w:val="00FD3F74"/>
    <w:rsid w:val="00FD481A"/>
    <w:rsid w:val="00FD50E6"/>
    <w:rsid w:val="00FD6CCF"/>
    <w:rsid w:val="00FE14C1"/>
    <w:rsid w:val="00FE1A18"/>
    <w:rsid w:val="00FE1E2C"/>
    <w:rsid w:val="00FE21A2"/>
    <w:rsid w:val="00FE2F0A"/>
    <w:rsid w:val="00FE459B"/>
    <w:rsid w:val="00FE578C"/>
    <w:rsid w:val="00FE6890"/>
    <w:rsid w:val="00FE7F3A"/>
    <w:rsid w:val="00FF0285"/>
    <w:rsid w:val="00FF0587"/>
    <w:rsid w:val="00FF0ACD"/>
    <w:rsid w:val="00FF2527"/>
    <w:rsid w:val="00FF2595"/>
    <w:rsid w:val="00FF2A10"/>
    <w:rsid w:val="00FF3284"/>
    <w:rsid w:val="00FF3429"/>
    <w:rsid w:val="00FF37E6"/>
    <w:rsid w:val="00FF42EB"/>
    <w:rsid w:val="00FF557B"/>
    <w:rsid w:val="00FF57B7"/>
    <w:rsid w:val="00FF581E"/>
    <w:rsid w:val="00FF6E25"/>
    <w:rsid w:val="00FF7A0D"/>
    <w:rsid w:val="01211264"/>
    <w:rsid w:val="0134AB35"/>
    <w:rsid w:val="01D24DF2"/>
    <w:rsid w:val="01ED958F"/>
    <w:rsid w:val="020E09E3"/>
    <w:rsid w:val="0248F166"/>
    <w:rsid w:val="0254CFA8"/>
    <w:rsid w:val="026ABD84"/>
    <w:rsid w:val="0275DF2A"/>
    <w:rsid w:val="02AA2DDB"/>
    <w:rsid w:val="02E5FB84"/>
    <w:rsid w:val="03301613"/>
    <w:rsid w:val="0342229F"/>
    <w:rsid w:val="03873DF8"/>
    <w:rsid w:val="03FCAAE1"/>
    <w:rsid w:val="0493441D"/>
    <w:rsid w:val="04E78510"/>
    <w:rsid w:val="050DC74E"/>
    <w:rsid w:val="052EECF9"/>
    <w:rsid w:val="05E82E1A"/>
    <w:rsid w:val="06EEFB3D"/>
    <w:rsid w:val="06FADBB5"/>
    <w:rsid w:val="06FFF5D5"/>
    <w:rsid w:val="07005D01"/>
    <w:rsid w:val="070640ED"/>
    <w:rsid w:val="071EAD37"/>
    <w:rsid w:val="079A7C18"/>
    <w:rsid w:val="07A5BF39"/>
    <w:rsid w:val="07DE3093"/>
    <w:rsid w:val="07E8F1A3"/>
    <w:rsid w:val="083D7681"/>
    <w:rsid w:val="08B60972"/>
    <w:rsid w:val="08DA471C"/>
    <w:rsid w:val="090EC6AB"/>
    <w:rsid w:val="096793D4"/>
    <w:rsid w:val="096F67C0"/>
    <w:rsid w:val="097C7628"/>
    <w:rsid w:val="098B1219"/>
    <w:rsid w:val="099F7FBD"/>
    <w:rsid w:val="09DD2E12"/>
    <w:rsid w:val="0A2D722A"/>
    <w:rsid w:val="0A6AA09A"/>
    <w:rsid w:val="0A8C7024"/>
    <w:rsid w:val="0B0B3467"/>
    <w:rsid w:val="0B84B767"/>
    <w:rsid w:val="0B9B1F14"/>
    <w:rsid w:val="0BB4B78C"/>
    <w:rsid w:val="0C316B65"/>
    <w:rsid w:val="0CC0CC3D"/>
    <w:rsid w:val="0D089EDB"/>
    <w:rsid w:val="0D349322"/>
    <w:rsid w:val="0DB660DA"/>
    <w:rsid w:val="0DBB5C81"/>
    <w:rsid w:val="0DDDC6E2"/>
    <w:rsid w:val="0DF5C3EA"/>
    <w:rsid w:val="0E91E15F"/>
    <w:rsid w:val="0EB1EF0E"/>
    <w:rsid w:val="0ECD9B54"/>
    <w:rsid w:val="0EDDA85B"/>
    <w:rsid w:val="0EFC4937"/>
    <w:rsid w:val="0F39DDBF"/>
    <w:rsid w:val="102C3F65"/>
    <w:rsid w:val="107B5041"/>
    <w:rsid w:val="10FF072B"/>
    <w:rsid w:val="1121B1FD"/>
    <w:rsid w:val="114791EC"/>
    <w:rsid w:val="117324DD"/>
    <w:rsid w:val="11B56163"/>
    <w:rsid w:val="11C121A6"/>
    <w:rsid w:val="11D31CFF"/>
    <w:rsid w:val="11D77777"/>
    <w:rsid w:val="11DFA07D"/>
    <w:rsid w:val="123265A1"/>
    <w:rsid w:val="124794E8"/>
    <w:rsid w:val="126AA732"/>
    <w:rsid w:val="13111A61"/>
    <w:rsid w:val="135976F2"/>
    <w:rsid w:val="1365A8B8"/>
    <w:rsid w:val="13E42801"/>
    <w:rsid w:val="1469AA74"/>
    <w:rsid w:val="147179C1"/>
    <w:rsid w:val="1503DB89"/>
    <w:rsid w:val="15700BBC"/>
    <w:rsid w:val="1570B394"/>
    <w:rsid w:val="15C51C1C"/>
    <w:rsid w:val="15D8BAD8"/>
    <w:rsid w:val="15F79FF2"/>
    <w:rsid w:val="161F91DC"/>
    <w:rsid w:val="166225B2"/>
    <w:rsid w:val="1666A9CB"/>
    <w:rsid w:val="16E10FAB"/>
    <w:rsid w:val="170E3E5D"/>
    <w:rsid w:val="17557D6C"/>
    <w:rsid w:val="175DDA32"/>
    <w:rsid w:val="1782E007"/>
    <w:rsid w:val="17858681"/>
    <w:rsid w:val="17A1F585"/>
    <w:rsid w:val="17C5A0CD"/>
    <w:rsid w:val="185E0811"/>
    <w:rsid w:val="189497BD"/>
    <w:rsid w:val="189A9AEE"/>
    <w:rsid w:val="193D014B"/>
    <w:rsid w:val="19504B99"/>
    <w:rsid w:val="196241D9"/>
    <w:rsid w:val="1982D3F0"/>
    <w:rsid w:val="1A25E617"/>
    <w:rsid w:val="1A50672B"/>
    <w:rsid w:val="1A963255"/>
    <w:rsid w:val="1AC17301"/>
    <w:rsid w:val="1B1A89C8"/>
    <w:rsid w:val="1B9C093E"/>
    <w:rsid w:val="1BC28715"/>
    <w:rsid w:val="1C451D8C"/>
    <w:rsid w:val="1C4916A9"/>
    <w:rsid w:val="1C7B257C"/>
    <w:rsid w:val="1CA5B9E0"/>
    <w:rsid w:val="1D2B2BCA"/>
    <w:rsid w:val="1D9380EF"/>
    <w:rsid w:val="1D9AE778"/>
    <w:rsid w:val="1E07E3AF"/>
    <w:rsid w:val="1E981538"/>
    <w:rsid w:val="1EDAF20E"/>
    <w:rsid w:val="1F626AE9"/>
    <w:rsid w:val="1FB25E81"/>
    <w:rsid w:val="1FF1CB4E"/>
    <w:rsid w:val="2047EF3A"/>
    <w:rsid w:val="20B13B2C"/>
    <w:rsid w:val="20BC9C5E"/>
    <w:rsid w:val="20D6103D"/>
    <w:rsid w:val="20DBFDD4"/>
    <w:rsid w:val="212254D9"/>
    <w:rsid w:val="21567779"/>
    <w:rsid w:val="2158592F"/>
    <w:rsid w:val="21821009"/>
    <w:rsid w:val="22199D45"/>
    <w:rsid w:val="22818B07"/>
    <w:rsid w:val="22A4C4EA"/>
    <w:rsid w:val="22A5A4FB"/>
    <w:rsid w:val="22FEFD25"/>
    <w:rsid w:val="233EB2FC"/>
    <w:rsid w:val="23977696"/>
    <w:rsid w:val="23A50946"/>
    <w:rsid w:val="23B5E70A"/>
    <w:rsid w:val="240D2138"/>
    <w:rsid w:val="241C6197"/>
    <w:rsid w:val="242F8AFF"/>
    <w:rsid w:val="24911ECF"/>
    <w:rsid w:val="24AC0E59"/>
    <w:rsid w:val="24B11A18"/>
    <w:rsid w:val="24B90ED9"/>
    <w:rsid w:val="24E5186A"/>
    <w:rsid w:val="251A54CF"/>
    <w:rsid w:val="2585FBEE"/>
    <w:rsid w:val="25973421"/>
    <w:rsid w:val="25C4B27D"/>
    <w:rsid w:val="25D0893A"/>
    <w:rsid w:val="262E8CA3"/>
    <w:rsid w:val="26A60FBE"/>
    <w:rsid w:val="26B20C42"/>
    <w:rsid w:val="273BB9E6"/>
    <w:rsid w:val="27A72ACB"/>
    <w:rsid w:val="27B78781"/>
    <w:rsid w:val="27F8CF48"/>
    <w:rsid w:val="28063500"/>
    <w:rsid w:val="28146846"/>
    <w:rsid w:val="287E763F"/>
    <w:rsid w:val="28C2607C"/>
    <w:rsid w:val="28D7AEF6"/>
    <w:rsid w:val="28EACDBD"/>
    <w:rsid w:val="28F6D391"/>
    <w:rsid w:val="291AAF9C"/>
    <w:rsid w:val="295C8C6D"/>
    <w:rsid w:val="2988B6AE"/>
    <w:rsid w:val="29928700"/>
    <w:rsid w:val="2A0A4E26"/>
    <w:rsid w:val="2A203EDE"/>
    <w:rsid w:val="2A3B93FC"/>
    <w:rsid w:val="2AA55B20"/>
    <w:rsid w:val="2AC9AA63"/>
    <w:rsid w:val="2B2273B7"/>
    <w:rsid w:val="2B6DC34B"/>
    <w:rsid w:val="2BA1F878"/>
    <w:rsid w:val="2BC15129"/>
    <w:rsid w:val="2BD88331"/>
    <w:rsid w:val="2C4308DE"/>
    <w:rsid w:val="2C5473B3"/>
    <w:rsid w:val="2CA3F723"/>
    <w:rsid w:val="2D0052F4"/>
    <w:rsid w:val="2D33C259"/>
    <w:rsid w:val="2DBC769D"/>
    <w:rsid w:val="2E3A9D6E"/>
    <w:rsid w:val="2EA5C92F"/>
    <w:rsid w:val="2EC655CE"/>
    <w:rsid w:val="2ED9F1CC"/>
    <w:rsid w:val="2F9C6DDF"/>
    <w:rsid w:val="3066E791"/>
    <w:rsid w:val="306B6195"/>
    <w:rsid w:val="306F2AA5"/>
    <w:rsid w:val="30B78FE3"/>
    <w:rsid w:val="3129071E"/>
    <w:rsid w:val="3182E068"/>
    <w:rsid w:val="319A2E6A"/>
    <w:rsid w:val="32037750"/>
    <w:rsid w:val="32070B66"/>
    <w:rsid w:val="325903A2"/>
    <w:rsid w:val="325A9760"/>
    <w:rsid w:val="32A19ED5"/>
    <w:rsid w:val="32FFDC6F"/>
    <w:rsid w:val="336667B7"/>
    <w:rsid w:val="336C5ED3"/>
    <w:rsid w:val="33BF5CF4"/>
    <w:rsid w:val="33DF2C22"/>
    <w:rsid w:val="347841C0"/>
    <w:rsid w:val="34835AFC"/>
    <w:rsid w:val="34CA12F4"/>
    <w:rsid w:val="3510EB74"/>
    <w:rsid w:val="352E425E"/>
    <w:rsid w:val="35500E30"/>
    <w:rsid w:val="355E7C33"/>
    <w:rsid w:val="35785562"/>
    <w:rsid w:val="35894ED8"/>
    <w:rsid w:val="35948329"/>
    <w:rsid w:val="359F9012"/>
    <w:rsid w:val="364A235C"/>
    <w:rsid w:val="367BCE8E"/>
    <w:rsid w:val="368418BA"/>
    <w:rsid w:val="36E9A329"/>
    <w:rsid w:val="37AF4D9A"/>
    <w:rsid w:val="37D5EB17"/>
    <w:rsid w:val="37E510F5"/>
    <w:rsid w:val="37E595C8"/>
    <w:rsid w:val="382E320D"/>
    <w:rsid w:val="3843FC4D"/>
    <w:rsid w:val="385E8108"/>
    <w:rsid w:val="388DACAB"/>
    <w:rsid w:val="38FA12C4"/>
    <w:rsid w:val="391BBF44"/>
    <w:rsid w:val="39EF56CD"/>
    <w:rsid w:val="3A21D4E8"/>
    <w:rsid w:val="3AA8262B"/>
    <w:rsid w:val="3ABEBFCD"/>
    <w:rsid w:val="3ACB7E5B"/>
    <w:rsid w:val="3ACF1EB0"/>
    <w:rsid w:val="3AD9C6F5"/>
    <w:rsid w:val="3B5063B3"/>
    <w:rsid w:val="3B56C083"/>
    <w:rsid w:val="3BF430FF"/>
    <w:rsid w:val="3C0FA1CB"/>
    <w:rsid w:val="3C210D63"/>
    <w:rsid w:val="3C371F0E"/>
    <w:rsid w:val="3C745FEA"/>
    <w:rsid w:val="3C9BF0FF"/>
    <w:rsid w:val="3CE7C919"/>
    <w:rsid w:val="3D22B884"/>
    <w:rsid w:val="3D3780EA"/>
    <w:rsid w:val="3D9AF520"/>
    <w:rsid w:val="3DCE2F07"/>
    <w:rsid w:val="3DD72A82"/>
    <w:rsid w:val="3E45C0D5"/>
    <w:rsid w:val="3E493097"/>
    <w:rsid w:val="3E922900"/>
    <w:rsid w:val="3EB25257"/>
    <w:rsid w:val="3EB878FB"/>
    <w:rsid w:val="3F1EABDB"/>
    <w:rsid w:val="3F31D607"/>
    <w:rsid w:val="3F53BA2D"/>
    <w:rsid w:val="3F552C7F"/>
    <w:rsid w:val="3FA02926"/>
    <w:rsid w:val="3FBC72C4"/>
    <w:rsid w:val="3FC6F787"/>
    <w:rsid w:val="401B0D2B"/>
    <w:rsid w:val="40725273"/>
    <w:rsid w:val="408AEB04"/>
    <w:rsid w:val="409CD9F8"/>
    <w:rsid w:val="413E10DD"/>
    <w:rsid w:val="41AFD886"/>
    <w:rsid w:val="41B05B1D"/>
    <w:rsid w:val="4202C90F"/>
    <w:rsid w:val="42680A22"/>
    <w:rsid w:val="426C3125"/>
    <w:rsid w:val="4278311D"/>
    <w:rsid w:val="42B3B528"/>
    <w:rsid w:val="42C6FF56"/>
    <w:rsid w:val="43056F56"/>
    <w:rsid w:val="43225010"/>
    <w:rsid w:val="433CC58B"/>
    <w:rsid w:val="440BD502"/>
    <w:rsid w:val="4450007F"/>
    <w:rsid w:val="4475FB11"/>
    <w:rsid w:val="447FF4A5"/>
    <w:rsid w:val="4499AFDE"/>
    <w:rsid w:val="44DE139F"/>
    <w:rsid w:val="44EA8629"/>
    <w:rsid w:val="44FE4BBD"/>
    <w:rsid w:val="4511CDAF"/>
    <w:rsid w:val="452C4AB1"/>
    <w:rsid w:val="455B5724"/>
    <w:rsid w:val="4563D149"/>
    <w:rsid w:val="459E2888"/>
    <w:rsid w:val="45B3941E"/>
    <w:rsid w:val="46152FA0"/>
    <w:rsid w:val="46155A11"/>
    <w:rsid w:val="46236D32"/>
    <w:rsid w:val="46523018"/>
    <w:rsid w:val="46745D15"/>
    <w:rsid w:val="46ACAFE0"/>
    <w:rsid w:val="46C8BE1B"/>
    <w:rsid w:val="475FCB84"/>
    <w:rsid w:val="47616D20"/>
    <w:rsid w:val="47A4B91F"/>
    <w:rsid w:val="47E2A05D"/>
    <w:rsid w:val="48B87FBC"/>
    <w:rsid w:val="49205160"/>
    <w:rsid w:val="49210B83"/>
    <w:rsid w:val="4931D41C"/>
    <w:rsid w:val="49CC85CF"/>
    <w:rsid w:val="49DC4571"/>
    <w:rsid w:val="4A346EFC"/>
    <w:rsid w:val="4A459E95"/>
    <w:rsid w:val="4B3E2EA6"/>
    <w:rsid w:val="4B401A85"/>
    <w:rsid w:val="4B7DF917"/>
    <w:rsid w:val="4B8E9070"/>
    <w:rsid w:val="4BFA2B54"/>
    <w:rsid w:val="4C1655C4"/>
    <w:rsid w:val="4C291E88"/>
    <w:rsid w:val="4C338CA0"/>
    <w:rsid w:val="4C86C39B"/>
    <w:rsid w:val="4CE0B5B2"/>
    <w:rsid w:val="4DD37755"/>
    <w:rsid w:val="4E205F20"/>
    <w:rsid w:val="4EBFF657"/>
    <w:rsid w:val="4F0748A3"/>
    <w:rsid w:val="4F56D750"/>
    <w:rsid w:val="4FD0BE31"/>
    <w:rsid w:val="4FD5C23E"/>
    <w:rsid w:val="50758806"/>
    <w:rsid w:val="508FE38D"/>
    <w:rsid w:val="50AB6CCB"/>
    <w:rsid w:val="50D75B77"/>
    <w:rsid w:val="50E50C5C"/>
    <w:rsid w:val="514A3E9D"/>
    <w:rsid w:val="51EF4845"/>
    <w:rsid w:val="5238A78B"/>
    <w:rsid w:val="526A3704"/>
    <w:rsid w:val="52AF50F0"/>
    <w:rsid w:val="52F724B1"/>
    <w:rsid w:val="52F972F7"/>
    <w:rsid w:val="5316E8B5"/>
    <w:rsid w:val="532A8429"/>
    <w:rsid w:val="534BED85"/>
    <w:rsid w:val="53C59572"/>
    <w:rsid w:val="53DB7E10"/>
    <w:rsid w:val="54120842"/>
    <w:rsid w:val="544C94F3"/>
    <w:rsid w:val="556047DF"/>
    <w:rsid w:val="557BD783"/>
    <w:rsid w:val="563F2AA2"/>
    <w:rsid w:val="56561D99"/>
    <w:rsid w:val="566A66CE"/>
    <w:rsid w:val="567DD04C"/>
    <w:rsid w:val="56887F7A"/>
    <w:rsid w:val="5692E7CD"/>
    <w:rsid w:val="5698DDDE"/>
    <w:rsid w:val="569E617D"/>
    <w:rsid w:val="56BB709A"/>
    <w:rsid w:val="56F5BDE1"/>
    <w:rsid w:val="56F6935C"/>
    <w:rsid w:val="56FE2626"/>
    <w:rsid w:val="577AD4B6"/>
    <w:rsid w:val="5786CED0"/>
    <w:rsid w:val="57A8148C"/>
    <w:rsid w:val="57E71B05"/>
    <w:rsid w:val="57E7CC6C"/>
    <w:rsid w:val="5821F2F9"/>
    <w:rsid w:val="58770B30"/>
    <w:rsid w:val="58B0ECC8"/>
    <w:rsid w:val="58DDC981"/>
    <w:rsid w:val="58EF85A6"/>
    <w:rsid w:val="595849B0"/>
    <w:rsid w:val="599A4BE9"/>
    <w:rsid w:val="59A120C9"/>
    <w:rsid w:val="5B8B6442"/>
    <w:rsid w:val="5C236BE0"/>
    <w:rsid w:val="5C23FC7A"/>
    <w:rsid w:val="5C5DDC0D"/>
    <w:rsid w:val="5C93BDCA"/>
    <w:rsid w:val="5CB20C93"/>
    <w:rsid w:val="5CC8424C"/>
    <w:rsid w:val="5CE6C9BD"/>
    <w:rsid w:val="5D2ECE45"/>
    <w:rsid w:val="5D5E3507"/>
    <w:rsid w:val="5D7B7F33"/>
    <w:rsid w:val="5E5AC5C9"/>
    <w:rsid w:val="5E8AB5AC"/>
    <w:rsid w:val="5E8AC305"/>
    <w:rsid w:val="5EEDF475"/>
    <w:rsid w:val="5F32EA95"/>
    <w:rsid w:val="5F92444D"/>
    <w:rsid w:val="6018DFFD"/>
    <w:rsid w:val="608D6F6A"/>
    <w:rsid w:val="60958012"/>
    <w:rsid w:val="60B35A4A"/>
    <w:rsid w:val="60BE02AC"/>
    <w:rsid w:val="610BB421"/>
    <w:rsid w:val="614234E2"/>
    <w:rsid w:val="614432A2"/>
    <w:rsid w:val="61843E15"/>
    <w:rsid w:val="6184FCF2"/>
    <w:rsid w:val="61DA5EB8"/>
    <w:rsid w:val="61F84614"/>
    <w:rsid w:val="6228BD22"/>
    <w:rsid w:val="62A30F77"/>
    <w:rsid w:val="62A5C9DC"/>
    <w:rsid w:val="62AD89FB"/>
    <w:rsid w:val="63777E19"/>
    <w:rsid w:val="63BC9244"/>
    <w:rsid w:val="63BFE512"/>
    <w:rsid w:val="641A0749"/>
    <w:rsid w:val="64594D3C"/>
    <w:rsid w:val="64749E77"/>
    <w:rsid w:val="648DD708"/>
    <w:rsid w:val="652274C1"/>
    <w:rsid w:val="65633A0D"/>
    <w:rsid w:val="65AC3DE2"/>
    <w:rsid w:val="65DF3756"/>
    <w:rsid w:val="6667F2D7"/>
    <w:rsid w:val="666CE344"/>
    <w:rsid w:val="66859FD6"/>
    <w:rsid w:val="66C8E66B"/>
    <w:rsid w:val="66FACD23"/>
    <w:rsid w:val="6726E7D2"/>
    <w:rsid w:val="67506E84"/>
    <w:rsid w:val="67939321"/>
    <w:rsid w:val="67C5E8B7"/>
    <w:rsid w:val="6866C780"/>
    <w:rsid w:val="68A06E63"/>
    <w:rsid w:val="68C807CC"/>
    <w:rsid w:val="690E3EB0"/>
    <w:rsid w:val="694E55A8"/>
    <w:rsid w:val="69BCF7B1"/>
    <w:rsid w:val="69BF99EE"/>
    <w:rsid w:val="69F75654"/>
    <w:rsid w:val="6A0B4B19"/>
    <w:rsid w:val="6A3366A3"/>
    <w:rsid w:val="6A51EAA7"/>
    <w:rsid w:val="6A56EF22"/>
    <w:rsid w:val="6A64CCC1"/>
    <w:rsid w:val="6AFAC52F"/>
    <w:rsid w:val="6C0E851F"/>
    <w:rsid w:val="6C10B304"/>
    <w:rsid w:val="6C193DBA"/>
    <w:rsid w:val="6C2E03FF"/>
    <w:rsid w:val="6C3EC6EC"/>
    <w:rsid w:val="6C4B015C"/>
    <w:rsid w:val="6CB33EE9"/>
    <w:rsid w:val="6CDA8908"/>
    <w:rsid w:val="6D852112"/>
    <w:rsid w:val="6DA96A4E"/>
    <w:rsid w:val="6DCCDE45"/>
    <w:rsid w:val="6EA89EBC"/>
    <w:rsid w:val="6EBCE56F"/>
    <w:rsid w:val="6EBF55F8"/>
    <w:rsid w:val="6F3E6230"/>
    <w:rsid w:val="6F68A4D5"/>
    <w:rsid w:val="6FB49B35"/>
    <w:rsid w:val="6FE03C2F"/>
    <w:rsid w:val="6FE2877F"/>
    <w:rsid w:val="7029A92A"/>
    <w:rsid w:val="703654F9"/>
    <w:rsid w:val="708F1F08"/>
    <w:rsid w:val="70CCAC0B"/>
    <w:rsid w:val="70FE0860"/>
    <w:rsid w:val="71657D68"/>
    <w:rsid w:val="718C6CFB"/>
    <w:rsid w:val="719D1848"/>
    <w:rsid w:val="71C75CF3"/>
    <w:rsid w:val="71CF92FA"/>
    <w:rsid w:val="7201CEB4"/>
    <w:rsid w:val="724AE7A9"/>
    <w:rsid w:val="725F9D8B"/>
    <w:rsid w:val="7274FCDD"/>
    <w:rsid w:val="72DB4595"/>
    <w:rsid w:val="730FF62C"/>
    <w:rsid w:val="7355DC20"/>
    <w:rsid w:val="73588F49"/>
    <w:rsid w:val="73A68FD6"/>
    <w:rsid w:val="75263D5F"/>
    <w:rsid w:val="75C81AC4"/>
    <w:rsid w:val="7608C233"/>
    <w:rsid w:val="7655F088"/>
    <w:rsid w:val="766E0174"/>
    <w:rsid w:val="769BDAC2"/>
    <w:rsid w:val="77D0ED60"/>
    <w:rsid w:val="77FE7D57"/>
    <w:rsid w:val="7805343A"/>
    <w:rsid w:val="78213B0B"/>
    <w:rsid w:val="7824F6D0"/>
    <w:rsid w:val="788A8B12"/>
    <w:rsid w:val="78A4E00D"/>
    <w:rsid w:val="791BB91A"/>
    <w:rsid w:val="7935C3C7"/>
    <w:rsid w:val="7996EB6F"/>
    <w:rsid w:val="7999FA68"/>
    <w:rsid w:val="79D0CB91"/>
    <w:rsid w:val="79DBA4FC"/>
    <w:rsid w:val="7A2792FD"/>
    <w:rsid w:val="7A2BA739"/>
    <w:rsid w:val="7A2EB27F"/>
    <w:rsid w:val="7A4A5D14"/>
    <w:rsid w:val="7A7CD0A1"/>
    <w:rsid w:val="7A7EB557"/>
    <w:rsid w:val="7AA9BA27"/>
    <w:rsid w:val="7B6AE588"/>
    <w:rsid w:val="7B73E662"/>
    <w:rsid w:val="7BC75282"/>
    <w:rsid w:val="7BEA3B72"/>
    <w:rsid w:val="7BFAD5A3"/>
    <w:rsid w:val="7BFF710E"/>
    <w:rsid w:val="7CD49BCF"/>
    <w:rsid w:val="7CE13B4C"/>
    <w:rsid w:val="7D4D5655"/>
    <w:rsid w:val="7D5BDDA7"/>
    <w:rsid w:val="7D7FD4B7"/>
    <w:rsid w:val="7DB3B2F4"/>
    <w:rsid w:val="7DD1DFA3"/>
    <w:rsid w:val="7E11E22C"/>
    <w:rsid w:val="7EFAFD48"/>
    <w:rsid w:val="7F1C318A"/>
    <w:rsid w:val="7F6FEE13"/>
    <w:rsid w:val="7FA269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9D5B6A62-A950-420D-9283-2683B90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subsection">
    <w:name w:val="subsection"/>
    <w:aliases w:val="ss,Subsection"/>
    <w:basedOn w:val="Normal"/>
    <w:link w:val="subsectionChar"/>
    <w:rsid w:val="00230591"/>
    <w:pPr>
      <w:tabs>
        <w:tab w:val="right" w:pos="1021"/>
      </w:tabs>
      <w:spacing w:before="180" w:after="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230591"/>
    <w:rPr>
      <w:rFonts w:eastAsia="Times New Roman" w:cs="Times New Roman"/>
      <w:sz w:val="22"/>
      <w:szCs w:val="20"/>
      <w:lang w:eastAsia="en-AU"/>
    </w:rPr>
  </w:style>
  <w:style w:type="paragraph" w:customStyle="1" w:styleId="notetext">
    <w:name w:val="note(text)"/>
    <w:aliases w:val="n"/>
    <w:basedOn w:val="Normal"/>
    <w:link w:val="notetextChar"/>
    <w:rsid w:val="007B0C98"/>
    <w:pPr>
      <w:spacing w:before="122" w:after="0"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7B0C98"/>
    <w:rPr>
      <w:rFonts w:eastAsia="Times New Roman" w:cs="Times New Roman"/>
      <w:sz w:val="18"/>
      <w:szCs w:val="20"/>
      <w:lang w:eastAsia="en-AU"/>
    </w:rPr>
  </w:style>
  <w:style w:type="paragraph" w:customStyle="1" w:styleId="paragraph">
    <w:name w:val="paragraph"/>
    <w:aliases w:val="a"/>
    <w:basedOn w:val="Normal"/>
    <w:rsid w:val="004A7BE3"/>
    <w:pPr>
      <w:tabs>
        <w:tab w:val="right" w:pos="1531"/>
      </w:tabs>
      <w:spacing w:before="40" w:after="0" w:line="240" w:lineRule="auto"/>
      <w:ind w:left="1644" w:hanging="1644"/>
    </w:pPr>
    <w:rPr>
      <w:rFonts w:eastAsia="Times New Roman" w:cs="Times New Roman"/>
      <w:sz w:val="22"/>
      <w:szCs w:val="20"/>
      <w:lang w:eastAsia="en-AU"/>
    </w:rPr>
  </w:style>
  <w:style w:type="character" w:customStyle="1" w:styleId="OPCCharBase">
    <w:name w:val="OPCCharBase"/>
    <w:uiPriority w:val="1"/>
    <w:qFormat/>
    <w:rsid w:val="00D63519"/>
  </w:style>
  <w:style w:type="paragraph" w:customStyle="1" w:styleId="paragraphsub">
    <w:name w:val="paragraph(sub)"/>
    <w:aliases w:val="aa"/>
    <w:basedOn w:val="Normal"/>
    <w:rsid w:val="00D63519"/>
    <w:pPr>
      <w:tabs>
        <w:tab w:val="right" w:pos="1985"/>
      </w:tabs>
      <w:spacing w:before="40" w:after="0" w:line="240" w:lineRule="auto"/>
      <w:ind w:left="2098" w:hanging="2098"/>
    </w:pPr>
    <w:rPr>
      <w:rFonts w:eastAsia="Times New Roman" w:cs="Times New Roman"/>
      <w:sz w:val="22"/>
      <w:szCs w:val="20"/>
      <w:lang w:eastAsia="en-AU"/>
    </w:rPr>
  </w:style>
  <w:style w:type="character" w:styleId="Mention">
    <w:name w:val="Mention"/>
    <w:basedOn w:val="DefaultParagraphFont"/>
    <w:uiPriority w:val="99"/>
    <w:unhideWhenUsed/>
    <w:rsid w:val="003150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2585762">
      <w:bodyDiv w:val="1"/>
      <w:marLeft w:val="0"/>
      <w:marRight w:val="0"/>
      <w:marTop w:val="0"/>
      <w:marBottom w:val="0"/>
      <w:divBdr>
        <w:top w:val="none" w:sz="0" w:space="0" w:color="auto"/>
        <w:left w:val="none" w:sz="0" w:space="0" w:color="auto"/>
        <w:bottom w:val="none" w:sz="0" w:space="0" w:color="auto"/>
        <w:right w:val="none" w:sz="0" w:space="0" w:color="auto"/>
      </w:divBdr>
    </w:div>
    <w:div w:id="1132405953">
      <w:bodyDiv w:val="1"/>
      <w:marLeft w:val="0"/>
      <w:marRight w:val="0"/>
      <w:marTop w:val="0"/>
      <w:marBottom w:val="0"/>
      <w:divBdr>
        <w:top w:val="none" w:sz="0" w:space="0" w:color="auto"/>
        <w:left w:val="none" w:sz="0" w:space="0" w:color="auto"/>
        <w:bottom w:val="none" w:sz="0" w:space="0" w:color="auto"/>
        <w:right w:val="none" w:sz="0" w:space="0" w:color="auto"/>
      </w:divBdr>
      <w:divsChild>
        <w:div w:id="922491814">
          <w:marLeft w:val="0"/>
          <w:marRight w:val="0"/>
          <w:marTop w:val="0"/>
          <w:marBottom w:val="0"/>
          <w:divBdr>
            <w:top w:val="none" w:sz="0" w:space="0" w:color="auto"/>
            <w:left w:val="none" w:sz="0" w:space="0" w:color="auto"/>
            <w:bottom w:val="none" w:sz="0" w:space="0" w:color="auto"/>
            <w:right w:val="none" w:sz="0" w:space="0" w:color="auto"/>
          </w:divBdr>
        </w:div>
        <w:div w:id="1637294874">
          <w:marLeft w:val="0"/>
          <w:marRight w:val="0"/>
          <w:marTop w:val="0"/>
          <w:marBottom w:val="0"/>
          <w:divBdr>
            <w:top w:val="none" w:sz="0" w:space="0" w:color="auto"/>
            <w:left w:val="none" w:sz="0" w:space="0" w:color="auto"/>
            <w:bottom w:val="none" w:sz="0" w:space="0" w:color="auto"/>
            <w:right w:val="none" w:sz="0" w:space="0" w:color="auto"/>
          </w:divBdr>
        </w:div>
      </w:divsChild>
    </w:div>
    <w:div w:id="1507404691">
      <w:bodyDiv w:val="1"/>
      <w:marLeft w:val="0"/>
      <w:marRight w:val="0"/>
      <w:marTop w:val="0"/>
      <w:marBottom w:val="0"/>
      <w:divBdr>
        <w:top w:val="none" w:sz="0" w:space="0" w:color="auto"/>
        <w:left w:val="none" w:sz="0" w:space="0" w:color="auto"/>
        <w:bottom w:val="none" w:sz="0" w:space="0" w:color="auto"/>
        <w:right w:val="none" w:sz="0" w:space="0" w:color="auto"/>
      </w:divBdr>
      <w:divsChild>
        <w:div w:id="1367101067">
          <w:marLeft w:val="0"/>
          <w:marRight w:val="0"/>
          <w:marTop w:val="0"/>
          <w:marBottom w:val="0"/>
          <w:divBdr>
            <w:top w:val="none" w:sz="0" w:space="0" w:color="auto"/>
            <w:left w:val="none" w:sz="0" w:space="0" w:color="auto"/>
            <w:bottom w:val="none" w:sz="0" w:space="0" w:color="auto"/>
            <w:right w:val="none" w:sz="0" w:space="0" w:color="auto"/>
          </w:divBdr>
        </w:div>
        <w:div w:id="1382434599">
          <w:marLeft w:val="0"/>
          <w:marRight w:val="0"/>
          <w:marTop w:val="0"/>
          <w:marBottom w:val="0"/>
          <w:divBdr>
            <w:top w:val="none" w:sz="0" w:space="0" w:color="auto"/>
            <w:left w:val="none" w:sz="0" w:space="0" w:color="auto"/>
            <w:bottom w:val="none" w:sz="0" w:space="0" w:color="auto"/>
            <w:right w:val="none" w:sz="0" w:space="0" w:color="auto"/>
          </w:divBdr>
        </w:div>
      </w:divsChild>
    </w:div>
    <w:div w:id="1515415113">
      <w:bodyDiv w:val="1"/>
      <w:marLeft w:val="0"/>
      <w:marRight w:val="0"/>
      <w:marTop w:val="0"/>
      <w:marBottom w:val="0"/>
      <w:divBdr>
        <w:top w:val="none" w:sz="0" w:space="0" w:color="auto"/>
        <w:left w:val="none" w:sz="0" w:space="0" w:color="auto"/>
        <w:bottom w:val="none" w:sz="0" w:space="0" w:color="auto"/>
        <w:right w:val="none" w:sz="0" w:space="0" w:color="auto"/>
      </w:divBdr>
    </w:div>
    <w:div w:id="18036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C8F6F9A-FAF1-4F88-BBD7-D764430EFE4C"/>
    <ds:schemaRef ds:uri="http://purl.org/dc/dcmitype/"/>
  </ds:schemaRefs>
</ds:datastoreItem>
</file>

<file path=customXml/itemProps2.xml><?xml version="1.0" encoding="utf-8"?>
<ds:datastoreItem xmlns:ds="http://schemas.openxmlformats.org/officeDocument/2006/customXml" ds:itemID="{4F93D509-297B-4F23-AA6A-7B83DD07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5887</Words>
  <Characters>29382</Characters>
  <Application>Microsoft Office Word</Application>
  <DocSecurity>0</DocSecurity>
  <Lines>544</Lines>
  <Paragraphs>146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35123</CharactersWithSpaces>
  <SharedDoc>false</SharedDoc>
  <HLinks>
    <vt:vector size="12" baseType="variant">
      <vt:variant>
        <vt:i4>2883636</vt:i4>
      </vt:variant>
      <vt:variant>
        <vt:i4>3</vt:i4>
      </vt:variant>
      <vt:variant>
        <vt:i4>0</vt:i4>
      </vt:variant>
      <vt:variant>
        <vt:i4>5</vt:i4>
      </vt:variant>
      <vt:variant>
        <vt:lpwstr>https://www.legislation.gov.au/F2015L01281/latest/text</vt:lpwstr>
      </vt:variant>
      <vt:variant>
        <vt:lpwstr/>
      </vt:variant>
      <vt:variant>
        <vt:i4>6291562</vt:i4>
      </vt:variant>
      <vt:variant>
        <vt:i4>0</vt:i4>
      </vt:variant>
      <vt:variant>
        <vt:i4>0</vt:i4>
      </vt:variant>
      <vt:variant>
        <vt:i4>5</vt:i4>
      </vt:variant>
      <vt:variant>
        <vt:lpwstr>https://www.legislation.gov.au/F2015L01280/2023-09-20/text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OSTOJIC,Stephanie</cp:lastModifiedBy>
  <cp:revision>3</cp:revision>
  <cp:lastPrinted>2019-11-25T01:12:00Z</cp:lastPrinted>
  <dcterms:created xsi:type="dcterms:W3CDTF">2025-06-18T00:53:00Z</dcterms:created>
  <dcterms:modified xsi:type="dcterms:W3CDTF">2025-06-18T02:45:00Z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Hub_Year">
    <vt:lpwstr>3075;#2019|7e451fe0-4dc6-437a-a849-bab7965a9aee</vt:lpwstr>
  </property>
  <property fmtid="{D5CDD505-2E9C-101B-9397-08002B2CF9AE}" pid="3" name="DocHub_DocumentType">
    <vt:lpwstr>1456;#Explanatory Memorandum|e1baf4eb-cfb1-4562-a99a-5aebab1aca70</vt:lpwstr>
  </property>
  <property fmtid="{D5CDD505-2E9C-101B-9397-08002B2CF9AE}" pid="4" name="DocHub_SecurityClassification">
    <vt:lpwstr>1;#UNCLASSIFIED|6106d03b-a1a0-4e30-9d91-d5e9fb4314f9</vt:lpwstr>
  </property>
  <property fmtid="{D5CDD505-2E9C-101B-9397-08002B2CF9AE}" pid="5" name="DocHub_GovernmentEntities">
    <vt:lpwstr/>
  </property>
  <property fmtid="{D5CDD505-2E9C-101B-9397-08002B2CF9AE}" pid="6" name="DocHub_OrganisationEntities">
    <vt:lpwstr/>
  </property>
  <property fmtid="{D5CDD505-2E9C-101B-9397-08002B2CF9AE}" pid="7" name="DocHub_WorkActivity">
    <vt:lpwstr>102;#Legislation and Regulation|6cbc66f5-f4a2-4565-a58b-d5f2d2ac9bd0</vt:lpwstr>
  </property>
  <property fmtid="{D5CDD505-2E9C-101B-9397-08002B2CF9AE}" pid="8" name="DocHub_WorkTopic">
    <vt:lpwstr>407;#Legislative Amendments|dd198551-46f6-4185-84c8-5a26b7614e9c</vt:lpwstr>
  </property>
  <property fmtid="{D5CDD505-2E9C-101B-9397-08002B2CF9AE}" pid="9" name="_dlc_DocIdItemGuid">
    <vt:lpwstr>a6680b9a-9763-413f-a3b0-03d98c5ba8f8</vt:lpwstr>
  </property>
  <property fmtid="{D5CDD505-2E9C-101B-9397-08002B2CF9AE}" pid="10" name="MSIP_Label_79d889eb-932f-4752-8739-64d25806ef64_Enabled">
    <vt:lpwstr>true</vt:lpwstr>
  </property>
  <property fmtid="{D5CDD505-2E9C-101B-9397-08002B2CF9AE}" pid="11" name="MSIP_Label_79d889eb-932f-4752-8739-64d25806ef64_SetDate">
    <vt:lpwstr>2022-10-19T11:25:40Z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9bc28db1-1627-49b0-a1fc-e4fbb1c176e0</vt:lpwstr>
  </property>
  <property fmtid="{D5CDD505-2E9C-101B-9397-08002B2CF9AE}" pid="16" name="MSIP_Label_79d889eb-932f-4752-8739-64d25806ef64_ContentBits">
    <vt:lpwstr>0</vt:lpwstr>
  </property>
  <property fmtid="{D5CDD505-2E9C-101B-9397-08002B2CF9AE}" pid="17" name="MediaServiceImageTags">
    <vt:lpwstr/>
  </property>
  <property fmtid="{D5CDD505-2E9C-101B-9397-08002B2CF9AE}" pid="18" name="ContentTypeId">
    <vt:lpwstr>0x010100266966F133664895A6EE3632470D45F500177DFDF82C0F3548A2D67B97362E22CA</vt:lpwstr>
  </property>
</Properties>
</file>