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4305" w14:textId="77777777" w:rsidR="00D22EA2" w:rsidRPr="00397701" w:rsidRDefault="004D2843" w:rsidP="004D2843">
      <w:pPr>
        <w:jc w:val="center"/>
        <w:rPr>
          <w:rFonts w:ascii="Times New Roman" w:hAnsi="Times New Roman" w:cs="Times New Roman"/>
          <w:b/>
          <w:sz w:val="28"/>
          <w:szCs w:val="28"/>
        </w:rPr>
      </w:pPr>
      <w:bookmarkStart w:id="0" w:name="_Hlk196237100"/>
      <w:r w:rsidRPr="00397701">
        <w:rPr>
          <w:rFonts w:ascii="Times New Roman" w:hAnsi="Times New Roman" w:cs="Times New Roman"/>
          <w:b/>
          <w:sz w:val="28"/>
          <w:szCs w:val="28"/>
        </w:rPr>
        <w:t>EXPLANATORY STATEMENT</w:t>
      </w:r>
    </w:p>
    <w:p w14:paraId="6E54F659" w14:textId="5B8545C6" w:rsidR="004D2843" w:rsidRPr="00397701" w:rsidRDefault="00C57E29" w:rsidP="004D2843">
      <w:pPr>
        <w:jc w:val="center"/>
        <w:rPr>
          <w:rFonts w:ascii="Times New Roman" w:hAnsi="Times New Roman" w:cs="Times New Roman"/>
        </w:rPr>
      </w:pPr>
      <w:r w:rsidRPr="00397701">
        <w:rPr>
          <w:rFonts w:ascii="Times New Roman" w:hAnsi="Times New Roman" w:cs="Times New Roman"/>
        </w:rPr>
        <w:t>Approved</w:t>
      </w:r>
      <w:r w:rsidR="004D2843" w:rsidRPr="00397701">
        <w:rPr>
          <w:rFonts w:ascii="Times New Roman" w:hAnsi="Times New Roman" w:cs="Times New Roman"/>
        </w:rPr>
        <w:t xml:space="preserve"> by the Australian Communications and Media Authority</w:t>
      </w:r>
    </w:p>
    <w:p w14:paraId="4C7BA4E0" w14:textId="12832C7F" w:rsidR="004D2843" w:rsidRPr="00397701" w:rsidRDefault="00826915" w:rsidP="004D2843">
      <w:pPr>
        <w:jc w:val="center"/>
        <w:rPr>
          <w:rFonts w:ascii="Times New Roman" w:hAnsi="Times New Roman" w:cs="Times New Roman"/>
          <w:i/>
        </w:rPr>
      </w:pPr>
      <w:r w:rsidRPr="00397701">
        <w:rPr>
          <w:rFonts w:ascii="Times New Roman" w:hAnsi="Times New Roman" w:cs="Times New Roman"/>
          <w:i/>
        </w:rPr>
        <w:t>Telecommunications Act</w:t>
      </w:r>
    </w:p>
    <w:p w14:paraId="3E70F89F" w14:textId="3D47948E" w:rsidR="004D2843" w:rsidRPr="00397701" w:rsidRDefault="00BE5212" w:rsidP="004D2843">
      <w:pPr>
        <w:jc w:val="center"/>
        <w:rPr>
          <w:rFonts w:ascii="Times New Roman" w:hAnsi="Times New Roman" w:cs="Times New Roman"/>
          <w:b/>
          <w:i/>
        </w:rPr>
      </w:pPr>
      <w:r w:rsidRPr="00397701">
        <w:rPr>
          <w:rFonts w:ascii="Times New Roman" w:hAnsi="Times New Roman" w:cs="Times New Roman"/>
          <w:b/>
          <w:i/>
        </w:rPr>
        <w:t>Telecommunications (Domestic, Family and Sexual Violence</w:t>
      </w:r>
      <w:r w:rsidR="0084068A" w:rsidRPr="00397701">
        <w:rPr>
          <w:rFonts w:ascii="Times New Roman" w:hAnsi="Times New Roman" w:cs="Times New Roman"/>
          <w:b/>
          <w:i/>
        </w:rPr>
        <w:t xml:space="preserve"> Consumer Protections)</w:t>
      </w:r>
      <w:r w:rsidRPr="00397701">
        <w:rPr>
          <w:rFonts w:ascii="Times New Roman" w:hAnsi="Times New Roman" w:cs="Times New Roman"/>
          <w:b/>
          <w:i/>
        </w:rPr>
        <w:t xml:space="preserve"> Industry Standard 2025</w:t>
      </w:r>
    </w:p>
    <w:p w14:paraId="0EFEBE09" w14:textId="77777777" w:rsidR="004D2843" w:rsidRPr="00397701" w:rsidRDefault="004D2843" w:rsidP="00AD500F">
      <w:pPr>
        <w:spacing w:before="280"/>
        <w:rPr>
          <w:rFonts w:ascii="Times New Roman" w:hAnsi="Times New Roman" w:cs="Times New Roman"/>
          <w:b/>
        </w:rPr>
      </w:pPr>
      <w:r w:rsidRPr="00397701">
        <w:rPr>
          <w:rFonts w:ascii="Times New Roman" w:hAnsi="Times New Roman" w:cs="Times New Roman"/>
          <w:b/>
        </w:rPr>
        <w:t>Authority</w:t>
      </w:r>
    </w:p>
    <w:p w14:paraId="10291F59" w14:textId="4C7F695D" w:rsidR="00A13C48" w:rsidRPr="00397701" w:rsidRDefault="00B727F3" w:rsidP="0084068A">
      <w:pPr>
        <w:rPr>
          <w:rFonts w:ascii="Times New Roman" w:hAnsi="Times New Roman" w:cs="Times New Roman"/>
        </w:rPr>
      </w:pPr>
      <w:r w:rsidRPr="00397701">
        <w:rPr>
          <w:rFonts w:ascii="Times New Roman" w:hAnsi="Times New Roman" w:cs="Times New Roman"/>
        </w:rPr>
        <w:t>T</w:t>
      </w:r>
      <w:r w:rsidR="000B4B6C" w:rsidRPr="00397701">
        <w:rPr>
          <w:rFonts w:ascii="Times New Roman" w:hAnsi="Times New Roman" w:cs="Times New Roman"/>
        </w:rPr>
        <w:t>he</w:t>
      </w:r>
      <w:r w:rsidR="0091080B" w:rsidRPr="00397701">
        <w:rPr>
          <w:rFonts w:ascii="Times New Roman" w:hAnsi="Times New Roman" w:cs="Times New Roman"/>
        </w:rPr>
        <w:t xml:space="preserve"> Australian Communications and Media Authority (</w:t>
      </w:r>
      <w:r w:rsidR="0091080B" w:rsidRPr="00397701">
        <w:rPr>
          <w:rFonts w:ascii="Times New Roman" w:hAnsi="Times New Roman" w:cs="Times New Roman"/>
          <w:bCs/>
        </w:rPr>
        <w:t>the</w:t>
      </w:r>
      <w:r w:rsidR="0091080B" w:rsidRPr="00397701">
        <w:rPr>
          <w:rFonts w:ascii="Times New Roman" w:hAnsi="Times New Roman" w:cs="Times New Roman"/>
          <w:b/>
        </w:rPr>
        <w:t xml:space="preserve"> ACMA</w:t>
      </w:r>
      <w:r w:rsidR="0091080B" w:rsidRPr="00397701">
        <w:rPr>
          <w:rFonts w:ascii="Times New Roman" w:hAnsi="Times New Roman" w:cs="Times New Roman"/>
        </w:rPr>
        <w:t xml:space="preserve">) </w:t>
      </w:r>
      <w:r w:rsidR="001E343E" w:rsidRPr="00397701">
        <w:rPr>
          <w:rFonts w:ascii="Times New Roman" w:hAnsi="Times New Roman" w:cs="Times New Roman"/>
        </w:rPr>
        <w:t>has mad</w:t>
      </w:r>
      <w:r w:rsidR="0091080B" w:rsidRPr="00397701">
        <w:rPr>
          <w:rFonts w:ascii="Times New Roman" w:hAnsi="Times New Roman" w:cs="Times New Roman"/>
        </w:rPr>
        <w:t xml:space="preserve">e the </w:t>
      </w:r>
      <w:r w:rsidR="0084068A" w:rsidRPr="00397701">
        <w:rPr>
          <w:rFonts w:ascii="Times New Roman" w:hAnsi="Times New Roman" w:cs="Times New Roman"/>
          <w:bCs/>
          <w:i/>
        </w:rPr>
        <w:t>Telecommunications (Domestic, Family and Sexual Violence Consumer Protections) Industry Standard 2025</w:t>
      </w:r>
      <w:r w:rsidR="0091080B" w:rsidRPr="00397701">
        <w:rPr>
          <w:rFonts w:ascii="Times New Roman" w:hAnsi="Times New Roman" w:cs="Times New Roman"/>
          <w:i/>
        </w:rPr>
        <w:t xml:space="preserve"> </w:t>
      </w:r>
      <w:r w:rsidR="0091080B" w:rsidRPr="00397701">
        <w:rPr>
          <w:rFonts w:ascii="Times New Roman" w:hAnsi="Times New Roman" w:cs="Times New Roman"/>
        </w:rPr>
        <w:t>(</w:t>
      </w:r>
      <w:r w:rsidR="0091080B" w:rsidRPr="00397701">
        <w:rPr>
          <w:rFonts w:ascii="Times New Roman" w:hAnsi="Times New Roman" w:cs="Times New Roman"/>
          <w:bCs/>
        </w:rPr>
        <w:t>the</w:t>
      </w:r>
      <w:r w:rsidR="0091080B" w:rsidRPr="00397701">
        <w:rPr>
          <w:rFonts w:ascii="Times New Roman" w:hAnsi="Times New Roman" w:cs="Times New Roman"/>
          <w:b/>
        </w:rPr>
        <w:t xml:space="preserve"> </w:t>
      </w:r>
      <w:r w:rsidR="00F4241B" w:rsidRPr="00397701">
        <w:rPr>
          <w:rFonts w:ascii="Times New Roman" w:hAnsi="Times New Roman" w:cs="Times New Roman"/>
          <w:b/>
        </w:rPr>
        <w:t>Standard</w:t>
      </w:r>
      <w:r w:rsidR="0091080B" w:rsidRPr="00397701">
        <w:rPr>
          <w:rFonts w:ascii="Times New Roman" w:hAnsi="Times New Roman" w:cs="Times New Roman"/>
        </w:rPr>
        <w:t xml:space="preserve">) under </w:t>
      </w:r>
      <w:r w:rsidR="00E50EA5" w:rsidRPr="00397701">
        <w:rPr>
          <w:rFonts w:ascii="Times New Roman" w:hAnsi="Times New Roman" w:cs="Times New Roman"/>
        </w:rPr>
        <w:t>subsection 125</w:t>
      </w:r>
      <w:proofErr w:type="gramStart"/>
      <w:r w:rsidR="002B4660" w:rsidRPr="00397701">
        <w:rPr>
          <w:rFonts w:ascii="Times New Roman" w:hAnsi="Times New Roman" w:cs="Times New Roman"/>
        </w:rPr>
        <w:t>AA</w:t>
      </w:r>
      <w:r w:rsidR="00E50EA5" w:rsidRPr="00397701">
        <w:rPr>
          <w:rFonts w:ascii="Times New Roman" w:hAnsi="Times New Roman" w:cs="Times New Roman"/>
        </w:rPr>
        <w:t>(</w:t>
      </w:r>
      <w:proofErr w:type="gramEnd"/>
      <w:r w:rsidR="00E50EA5" w:rsidRPr="00397701">
        <w:rPr>
          <w:rFonts w:ascii="Times New Roman" w:hAnsi="Times New Roman" w:cs="Times New Roman"/>
        </w:rPr>
        <w:t>1)</w:t>
      </w:r>
      <w:r w:rsidR="0091080B" w:rsidRPr="00397701">
        <w:rPr>
          <w:rFonts w:ascii="Times New Roman" w:hAnsi="Times New Roman" w:cs="Times New Roman"/>
        </w:rPr>
        <w:t xml:space="preserve"> of the </w:t>
      </w:r>
      <w:r w:rsidR="00E50EA5" w:rsidRPr="00397701">
        <w:rPr>
          <w:rFonts w:ascii="Times New Roman" w:hAnsi="Times New Roman" w:cs="Times New Roman"/>
          <w:i/>
        </w:rPr>
        <w:t>Telecommunications act 1997</w:t>
      </w:r>
      <w:r w:rsidR="0091080B" w:rsidRPr="00397701">
        <w:rPr>
          <w:rFonts w:ascii="Times New Roman" w:hAnsi="Times New Roman" w:cs="Times New Roman"/>
        </w:rPr>
        <w:t xml:space="preserve"> (</w:t>
      </w:r>
      <w:r w:rsidR="0091080B" w:rsidRPr="00397701">
        <w:rPr>
          <w:rFonts w:ascii="Times New Roman" w:hAnsi="Times New Roman" w:cs="Times New Roman"/>
          <w:bCs/>
        </w:rPr>
        <w:t>the</w:t>
      </w:r>
      <w:r w:rsidR="0091080B" w:rsidRPr="00397701">
        <w:rPr>
          <w:rFonts w:ascii="Times New Roman" w:hAnsi="Times New Roman" w:cs="Times New Roman"/>
          <w:b/>
        </w:rPr>
        <w:t xml:space="preserve"> Act</w:t>
      </w:r>
      <w:r w:rsidR="0091080B" w:rsidRPr="00397701">
        <w:rPr>
          <w:rFonts w:ascii="Times New Roman" w:hAnsi="Times New Roman" w:cs="Times New Roman"/>
        </w:rPr>
        <w:t>)</w:t>
      </w:r>
      <w:r w:rsidR="002B4660" w:rsidRPr="00397701">
        <w:rPr>
          <w:rFonts w:ascii="Times New Roman" w:hAnsi="Times New Roman" w:cs="Times New Roman"/>
        </w:rPr>
        <w:t xml:space="preserve"> and in accordance with sections </w:t>
      </w:r>
      <w:r w:rsidR="00661982" w:rsidRPr="00397701">
        <w:rPr>
          <w:rFonts w:ascii="Times New Roman" w:hAnsi="Times New Roman" w:cs="Times New Roman"/>
        </w:rPr>
        <w:t>5, 6</w:t>
      </w:r>
      <w:r w:rsidR="002B4660" w:rsidRPr="00397701">
        <w:rPr>
          <w:rFonts w:ascii="Times New Roman" w:hAnsi="Times New Roman" w:cs="Times New Roman"/>
        </w:rPr>
        <w:t xml:space="preserve"> and </w:t>
      </w:r>
      <w:r w:rsidR="00661982" w:rsidRPr="00397701">
        <w:rPr>
          <w:rFonts w:ascii="Times New Roman" w:hAnsi="Times New Roman" w:cs="Times New Roman"/>
        </w:rPr>
        <w:t xml:space="preserve">7 </w:t>
      </w:r>
      <w:r w:rsidR="002B4660" w:rsidRPr="00397701">
        <w:rPr>
          <w:rFonts w:ascii="Times New Roman" w:hAnsi="Times New Roman" w:cs="Times New Roman"/>
        </w:rPr>
        <w:t xml:space="preserve">of the </w:t>
      </w:r>
      <w:r w:rsidR="002A27C7" w:rsidRPr="00397701">
        <w:rPr>
          <w:rFonts w:ascii="Times New Roman" w:hAnsi="Times New Roman" w:cs="Times New Roman"/>
          <w:i/>
          <w:iCs/>
        </w:rPr>
        <w:t xml:space="preserve">Telecommunications (Domestic, Family </w:t>
      </w:r>
      <w:r w:rsidR="00EC6D86" w:rsidRPr="00397701">
        <w:rPr>
          <w:rFonts w:ascii="Times New Roman" w:hAnsi="Times New Roman" w:cs="Times New Roman"/>
          <w:i/>
          <w:iCs/>
        </w:rPr>
        <w:t>and Sexual Violence Consumer Protection</w:t>
      </w:r>
      <w:r w:rsidR="00B458F5" w:rsidRPr="00397701">
        <w:rPr>
          <w:rFonts w:ascii="Times New Roman" w:hAnsi="Times New Roman" w:cs="Times New Roman"/>
          <w:i/>
          <w:iCs/>
        </w:rPr>
        <w:t>s</w:t>
      </w:r>
      <w:r w:rsidR="00863DD4" w:rsidRPr="00397701">
        <w:rPr>
          <w:rFonts w:ascii="Times New Roman" w:hAnsi="Times New Roman" w:cs="Times New Roman"/>
          <w:i/>
          <w:iCs/>
        </w:rPr>
        <w:t xml:space="preserve"> Industry Standard) Direction 2024</w:t>
      </w:r>
      <w:r w:rsidR="00D53CA4" w:rsidRPr="00397701">
        <w:rPr>
          <w:rFonts w:ascii="Times New Roman" w:hAnsi="Times New Roman" w:cs="Times New Roman"/>
          <w:i/>
          <w:iCs/>
        </w:rPr>
        <w:t xml:space="preserve"> </w:t>
      </w:r>
      <w:r w:rsidR="00D53CA4" w:rsidRPr="00397701">
        <w:rPr>
          <w:rFonts w:ascii="Times New Roman" w:hAnsi="Times New Roman" w:cs="Times New Roman"/>
        </w:rPr>
        <w:t xml:space="preserve">(the </w:t>
      </w:r>
      <w:r w:rsidR="00D53CA4" w:rsidRPr="00397701">
        <w:rPr>
          <w:rFonts w:ascii="Times New Roman" w:hAnsi="Times New Roman" w:cs="Times New Roman"/>
          <w:b/>
          <w:bCs/>
        </w:rPr>
        <w:t>Direction</w:t>
      </w:r>
      <w:r w:rsidR="00D53CA4" w:rsidRPr="00397701">
        <w:rPr>
          <w:rFonts w:ascii="Times New Roman" w:hAnsi="Times New Roman" w:cs="Times New Roman"/>
        </w:rPr>
        <w:t>)</w:t>
      </w:r>
      <w:r w:rsidR="0091080B" w:rsidRPr="00397701">
        <w:rPr>
          <w:rFonts w:ascii="Times New Roman" w:hAnsi="Times New Roman" w:cs="Times New Roman"/>
        </w:rPr>
        <w:t>.</w:t>
      </w:r>
    </w:p>
    <w:p w14:paraId="355D1634" w14:textId="32CD44E6" w:rsidR="00307C39" w:rsidRPr="00397701" w:rsidRDefault="00B867EF" w:rsidP="00307C39">
      <w:pPr>
        <w:spacing w:before="120" w:after="0"/>
        <w:rPr>
          <w:rFonts w:ascii="Times New Roman" w:hAnsi="Times New Roman"/>
        </w:rPr>
      </w:pPr>
      <w:r w:rsidRPr="00397701">
        <w:rPr>
          <w:rFonts w:ascii="Times New Roman" w:hAnsi="Times New Roman"/>
        </w:rPr>
        <w:t>Under subsection 125</w:t>
      </w:r>
      <w:proofErr w:type="gramStart"/>
      <w:r w:rsidRPr="00397701">
        <w:rPr>
          <w:rFonts w:ascii="Times New Roman" w:hAnsi="Times New Roman"/>
        </w:rPr>
        <w:t>AA(</w:t>
      </w:r>
      <w:proofErr w:type="gramEnd"/>
      <w:r w:rsidRPr="00397701">
        <w:rPr>
          <w:rFonts w:ascii="Times New Roman" w:hAnsi="Times New Roman"/>
        </w:rPr>
        <w:t>4) of the Act, t</w:t>
      </w:r>
      <w:r w:rsidR="00307C39" w:rsidRPr="00397701">
        <w:rPr>
          <w:rFonts w:ascii="Times New Roman" w:hAnsi="Times New Roman"/>
        </w:rPr>
        <w:t xml:space="preserve">he Minister for Communications (the </w:t>
      </w:r>
      <w:r w:rsidR="00307C39" w:rsidRPr="00397701">
        <w:rPr>
          <w:rFonts w:ascii="Times New Roman" w:hAnsi="Times New Roman"/>
          <w:b/>
          <w:bCs/>
        </w:rPr>
        <w:t>Minister</w:t>
      </w:r>
      <w:r w:rsidR="00307C39" w:rsidRPr="00397701">
        <w:rPr>
          <w:rFonts w:ascii="Times New Roman" w:hAnsi="Times New Roman"/>
        </w:rPr>
        <w:t>) has the power to direct the ACMA to:</w:t>
      </w:r>
    </w:p>
    <w:p w14:paraId="4F298B6D" w14:textId="77777777" w:rsidR="00307C39" w:rsidRPr="00397701" w:rsidRDefault="00307C39" w:rsidP="001D0578">
      <w:pPr>
        <w:pStyle w:val="ListParagraph"/>
        <w:numPr>
          <w:ilvl w:val="0"/>
          <w:numId w:val="2"/>
        </w:numPr>
        <w:spacing w:before="120" w:after="0" w:line="240" w:lineRule="auto"/>
        <w:ind w:left="1134" w:hanging="567"/>
        <w:contextualSpacing w:val="0"/>
        <w:rPr>
          <w:rFonts w:ascii="Times New Roman" w:hAnsi="Times New Roman"/>
        </w:rPr>
      </w:pPr>
      <w:r w:rsidRPr="00397701">
        <w:rPr>
          <w:rFonts w:ascii="Times New Roman" w:hAnsi="Times New Roman"/>
        </w:rPr>
        <w:t>determine a standard under subsection 125</w:t>
      </w:r>
      <w:proofErr w:type="gramStart"/>
      <w:r w:rsidRPr="00397701">
        <w:rPr>
          <w:rFonts w:ascii="Times New Roman" w:hAnsi="Times New Roman"/>
        </w:rPr>
        <w:t>AA(</w:t>
      </w:r>
      <w:proofErr w:type="gramEnd"/>
      <w:r w:rsidRPr="00397701">
        <w:rPr>
          <w:rFonts w:ascii="Times New Roman" w:hAnsi="Times New Roman"/>
        </w:rPr>
        <w:t>1) of the Act that:</w:t>
      </w:r>
    </w:p>
    <w:p w14:paraId="07D6B9D4" w14:textId="77777777" w:rsidR="00307C39" w:rsidRPr="00397701" w:rsidRDefault="00307C39" w:rsidP="001D0578">
      <w:pPr>
        <w:pStyle w:val="ListParagraph"/>
        <w:numPr>
          <w:ilvl w:val="1"/>
          <w:numId w:val="3"/>
        </w:numPr>
        <w:spacing w:before="120" w:after="0" w:line="240" w:lineRule="auto"/>
        <w:ind w:left="1701" w:hanging="283"/>
        <w:contextualSpacing w:val="0"/>
        <w:rPr>
          <w:rFonts w:ascii="Times New Roman" w:hAnsi="Times New Roman"/>
        </w:rPr>
      </w:pPr>
      <w:r w:rsidRPr="00397701">
        <w:rPr>
          <w:rFonts w:ascii="Times New Roman" w:hAnsi="Times New Roman"/>
        </w:rPr>
        <w:t>applies to participants in a specified section of the telecommunications industry;</w:t>
      </w:r>
    </w:p>
    <w:p w14:paraId="53A3BCB3" w14:textId="77777777" w:rsidR="00307C39" w:rsidRPr="00397701" w:rsidRDefault="00307C39" w:rsidP="001D0578">
      <w:pPr>
        <w:pStyle w:val="ListParagraph"/>
        <w:numPr>
          <w:ilvl w:val="1"/>
          <w:numId w:val="3"/>
        </w:numPr>
        <w:spacing w:before="120" w:after="0" w:line="240" w:lineRule="auto"/>
        <w:ind w:left="1701" w:hanging="283"/>
        <w:contextualSpacing w:val="0"/>
        <w:rPr>
          <w:rFonts w:ascii="Times New Roman" w:hAnsi="Times New Roman"/>
        </w:rPr>
      </w:pPr>
      <w:r w:rsidRPr="00397701">
        <w:rPr>
          <w:rFonts w:ascii="Times New Roman" w:hAnsi="Times New Roman"/>
        </w:rPr>
        <w:t>deals with one or more specified matters relating to the activities of those participants; and</w:t>
      </w:r>
    </w:p>
    <w:p w14:paraId="1C144167" w14:textId="554B3438" w:rsidR="00132BBF" w:rsidRPr="00397701" w:rsidRDefault="00307C39" w:rsidP="00132BBF">
      <w:pPr>
        <w:pStyle w:val="ListParagraph"/>
        <w:numPr>
          <w:ilvl w:val="0"/>
          <w:numId w:val="2"/>
        </w:numPr>
        <w:spacing w:before="120" w:after="0" w:line="240" w:lineRule="auto"/>
        <w:ind w:left="1134" w:hanging="567"/>
        <w:contextualSpacing w:val="0"/>
        <w:rPr>
          <w:rFonts w:ascii="Times New Roman" w:hAnsi="Times New Roman"/>
        </w:rPr>
      </w:pPr>
      <w:r w:rsidRPr="00397701">
        <w:rPr>
          <w:rFonts w:ascii="Times New Roman" w:hAnsi="Times New Roman"/>
        </w:rPr>
        <w:t>do so within a specified period.</w:t>
      </w:r>
    </w:p>
    <w:p w14:paraId="623ED98C" w14:textId="5993C2A5" w:rsidR="00132BBF" w:rsidRPr="00397701" w:rsidRDefault="00307C39" w:rsidP="00AD50B8">
      <w:pPr>
        <w:spacing w:before="120"/>
        <w:rPr>
          <w:rFonts w:ascii="Times New Roman" w:hAnsi="Times New Roman"/>
        </w:rPr>
      </w:pPr>
      <w:r w:rsidRPr="00397701">
        <w:rPr>
          <w:rFonts w:ascii="Times New Roman" w:hAnsi="Times New Roman"/>
        </w:rPr>
        <w:t>The Direction was given to the ACMA by the Minister under subsection 125</w:t>
      </w:r>
      <w:proofErr w:type="gramStart"/>
      <w:r w:rsidRPr="00397701">
        <w:rPr>
          <w:rFonts w:ascii="Times New Roman" w:hAnsi="Times New Roman"/>
        </w:rPr>
        <w:t>AA(</w:t>
      </w:r>
      <w:proofErr w:type="gramEnd"/>
      <w:r w:rsidRPr="00397701">
        <w:rPr>
          <w:rFonts w:ascii="Times New Roman" w:hAnsi="Times New Roman"/>
        </w:rPr>
        <w:t xml:space="preserve">4) of the Act and commenced on </w:t>
      </w:r>
      <w:r w:rsidR="00132BBF" w:rsidRPr="00397701">
        <w:rPr>
          <w:rFonts w:ascii="Times New Roman" w:hAnsi="Times New Roman"/>
        </w:rPr>
        <w:t>10 December 2024</w:t>
      </w:r>
      <w:r w:rsidRPr="00397701">
        <w:rPr>
          <w:rFonts w:ascii="Times New Roman" w:hAnsi="Times New Roman"/>
        </w:rPr>
        <w:t xml:space="preserve">. </w:t>
      </w:r>
      <w:r w:rsidR="00B867EF" w:rsidRPr="00397701">
        <w:rPr>
          <w:rFonts w:ascii="Times New Roman" w:hAnsi="Times New Roman"/>
        </w:rPr>
        <w:t>It</w:t>
      </w:r>
      <w:r w:rsidRPr="00397701">
        <w:rPr>
          <w:rFonts w:ascii="Times New Roman" w:hAnsi="Times New Roman"/>
        </w:rPr>
        <w:t xml:space="preserve"> requires the ACMA to determine an industry standard under subsection 125</w:t>
      </w:r>
      <w:proofErr w:type="gramStart"/>
      <w:r w:rsidRPr="00397701">
        <w:rPr>
          <w:rFonts w:ascii="Times New Roman" w:hAnsi="Times New Roman"/>
        </w:rPr>
        <w:t>AA(</w:t>
      </w:r>
      <w:proofErr w:type="gramEnd"/>
      <w:r w:rsidRPr="00397701">
        <w:rPr>
          <w:rFonts w:ascii="Times New Roman" w:hAnsi="Times New Roman"/>
        </w:rPr>
        <w:t>1) of the Act that</w:t>
      </w:r>
      <w:r w:rsidR="0049684F" w:rsidRPr="00397701">
        <w:rPr>
          <w:rFonts w:ascii="Times New Roman" w:hAnsi="Times New Roman"/>
        </w:rPr>
        <w:t xml:space="preserve"> deals with </w:t>
      </w:r>
      <w:r w:rsidR="0049684F" w:rsidRPr="00397701">
        <w:rPr>
          <w:rFonts w:ascii="Times New Roman" w:hAnsi="Times New Roman"/>
          <w:lang w:val="en-US"/>
        </w:rPr>
        <w:t>safeguarding telecommunications consumers who are, or may be, affected by domestic and family violence</w:t>
      </w:r>
      <w:r w:rsidR="00ED7184" w:rsidRPr="00397701">
        <w:rPr>
          <w:rFonts w:ascii="Times New Roman" w:hAnsi="Times New Roman"/>
          <w:lang w:val="en-US"/>
        </w:rPr>
        <w:t xml:space="preserve"> (</w:t>
      </w:r>
      <w:r w:rsidR="00ED7184" w:rsidRPr="00397701">
        <w:rPr>
          <w:rFonts w:ascii="Times New Roman" w:hAnsi="Times New Roman"/>
          <w:b/>
          <w:lang w:val="en-US"/>
        </w:rPr>
        <w:t>DFV</w:t>
      </w:r>
      <w:r w:rsidR="00ED7184" w:rsidRPr="00397701">
        <w:rPr>
          <w:rFonts w:ascii="Times New Roman" w:hAnsi="Times New Roman"/>
          <w:lang w:val="en-US"/>
        </w:rPr>
        <w:t>)</w:t>
      </w:r>
      <w:r w:rsidR="0049684F" w:rsidRPr="00397701">
        <w:rPr>
          <w:rFonts w:ascii="Times New Roman" w:hAnsi="Times New Roman"/>
          <w:lang w:val="en-US"/>
        </w:rPr>
        <w:t>, and where relevant, sexual violence</w:t>
      </w:r>
      <w:r w:rsidR="0049684F" w:rsidRPr="00397701">
        <w:rPr>
          <w:rFonts w:ascii="Times New Roman" w:hAnsi="Times New Roman"/>
        </w:rPr>
        <w:t>.</w:t>
      </w:r>
    </w:p>
    <w:p w14:paraId="222DE4A5" w14:textId="7D033461" w:rsidR="00AB34CE" w:rsidRPr="00397701" w:rsidRDefault="00AB34CE" w:rsidP="00AB34CE">
      <w:pPr>
        <w:pStyle w:val="Default"/>
        <w:spacing w:before="120"/>
        <w:rPr>
          <w:sz w:val="22"/>
          <w:szCs w:val="22"/>
        </w:rPr>
      </w:pPr>
      <w:r w:rsidRPr="00397701">
        <w:rPr>
          <w:sz w:val="22"/>
          <w:szCs w:val="22"/>
        </w:rPr>
        <w:t xml:space="preserve">The Standard meets the requirements </w:t>
      </w:r>
      <w:r w:rsidR="00121FF9" w:rsidRPr="00397701">
        <w:rPr>
          <w:sz w:val="22"/>
          <w:szCs w:val="22"/>
        </w:rPr>
        <w:t xml:space="preserve">and objectives in </w:t>
      </w:r>
      <w:r w:rsidRPr="00397701">
        <w:rPr>
          <w:sz w:val="22"/>
          <w:szCs w:val="22"/>
        </w:rPr>
        <w:t xml:space="preserve">sections </w:t>
      </w:r>
      <w:r w:rsidR="0049684F" w:rsidRPr="00397701">
        <w:rPr>
          <w:sz w:val="22"/>
          <w:szCs w:val="22"/>
        </w:rPr>
        <w:t>5,</w:t>
      </w:r>
      <w:r w:rsidR="00EF2488" w:rsidRPr="00397701">
        <w:rPr>
          <w:sz w:val="22"/>
          <w:szCs w:val="22"/>
        </w:rPr>
        <w:t xml:space="preserve"> </w:t>
      </w:r>
      <w:r w:rsidR="0049684F" w:rsidRPr="00397701">
        <w:rPr>
          <w:sz w:val="22"/>
          <w:szCs w:val="22"/>
        </w:rPr>
        <w:t xml:space="preserve">6 and 7 </w:t>
      </w:r>
      <w:r w:rsidRPr="00397701">
        <w:rPr>
          <w:sz w:val="22"/>
          <w:szCs w:val="22"/>
        </w:rPr>
        <w:t>of the Direction</w:t>
      </w:r>
      <w:r w:rsidR="00B867EF" w:rsidRPr="00397701">
        <w:rPr>
          <w:sz w:val="22"/>
          <w:szCs w:val="22"/>
        </w:rPr>
        <w:t xml:space="preserve">. </w:t>
      </w:r>
      <w:r w:rsidRPr="00397701">
        <w:rPr>
          <w:sz w:val="22"/>
          <w:szCs w:val="22"/>
        </w:rPr>
        <w:t xml:space="preserve"> </w:t>
      </w:r>
      <w:r w:rsidR="00B867EF" w:rsidRPr="00397701">
        <w:rPr>
          <w:sz w:val="22"/>
          <w:szCs w:val="22"/>
        </w:rPr>
        <w:t>I</w:t>
      </w:r>
      <w:r w:rsidRPr="00397701">
        <w:rPr>
          <w:sz w:val="22"/>
          <w:szCs w:val="22"/>
        </w:rPr>
        <w:t xml:space="preserve">n accordance with subsection </w:t>
      </w:r>
      <w:r w:rsidR="00D66915" w:rsidRPr="00397701">
        <w:rPr>
          <w:sz w:val="22"/>
          <w:szCs w:val="22"/>
        </w:rPr>
        <w:t xml:space="preserve">5(2) </w:t>
      </w:r>
      <w:r w:rsidRPr="00397701">
        <w:rPr>
          <w:sz w:val="22"/>
          <w:szCs w:val="22"/>
        </w:rPr>
        <w:t xml:space="preserve">of the Direction </w:t>
      </w:r>
      <w:r w:rsidR="00B867EF" w:rsidRPr="00397701">
        <w:rPr>
          <w:sz w:val="22"/>
          <w:szCs w:val="22"/>
        </w:rPr>
        <w:t>the Standard</w:t>
      </w:r>
      <w:r w:rsidRPr="00397701">
        <w:rPr>
          <w:sz w:val="22"/>
          <w:szCs w:val="22"/>
        </w:rPr>
        <w:t xml:space="preserve"> was determined </w:t>
      </w:r>
      <w:r w:rsidR="00D66915" w:rsidRPr="00397701">
        <w:rPr>
          <w:sz w:val="22"/>
          <w:szCs w:val="22"/>
        </w:rPr>
        <w:t xml:space="preserve">no later than </w:t>
      </w:r>
      <w:r w:rsidR="00B867EF" w:rsidRPr="00397701">
        <w:rPr>
          <w:sz w:val="22"/>
          <w:szCs w:val="22"/>
        </w:rPr>
        <w:t>six</w:t>
      </w:r>
      <w:r w:rsidR="00D66915" w:rsidRPr="00397701">
        <w:rPr>
          <w:sz w:val="22"/>
          <w:szCs w:val="22"/>
        </w:rPr>
        <w:t xml:space="preserve"> months after the commencement of the Direction</w:t>
      </w:r>
      <w:r w:rsidR="00291B2A" w:rsidRPr="00397701">
        <w:rPr>
          <w:sz w:val="22"/>
          <w:szCs w:val="22"/>
        </w:rPr>
        <w:t>.</w:t>
      </w:r>
      <w:r w:rsidR="00B867EF" w:rsidRPr="00397701">
        <w:rPr>
          <w:sz w:val="22"/>
          <w:szCs w:val="22"/>
        </w:rPr>
        <w:t xml:space="preserve"> </w:t>
      </w:r>
      <w:r w:rsidR="00EF2488" w:rsidRPr="00397701">
        <w:rPr>
          <w:sz w:val="22"/>
          <w:szCs w:val="22"/>
        </w:rPr>
        <w:t xml:space="preserve"> </w:t>
      </w:r>
      <w:r w:rsidR="005E3FCD" w:rsidRPr="00397701">
        <w:rPr>
          <w:sz w:val="22"/>
          <w:szCs w:val="22"/>
        </w:rPr>
        <w:t xml:space="preserve">In accordance with paragraph 5(2)(b) of the </w:t>
      </w:r>
      <w:r w:rsidR="009D2C70" w:rsidRPr="00397701">
        <w:rPr>
          <w:sz w:val="22"/>
          <w:szCs w:val="22"/>
        </w:rPr>
        <w:t>Direction</w:t>
      </w:r>
      <w:r w:rsidR="005E3FCD" w:rsidRPr="00397701">
        <w:rPr>
          <w:sz w:val="22"/>
          <w:szCs w:val="22"/>
        </w:rPr>
        <w:t xml:space="preserve">, the </w:t>
      </w:r>
      <w:r w:rsidR="00EF2488" w:rsidRPr="00397701">
        <w:rPr>
          <w:sz w:val="22"/>
          <w:szCs w:val="22"/>
        </w:rPr>
        <w:t xml:space="preserve">Standard </w:t>
      </w:r>
      <w:r w:rsidR="005E3FCD" w:rsidRPr="00397701">
        <w:rPr>
          <w:sz w:val="22"/>
          <w:szCs w:val="22"/>
        </w:rPr>
        <w:t>commences at the earliest practicable opportunity</w:t>
      </w:r>
      <w:r w:rsidR="00A74AC4" w:rsidRPr="00397701">
        <w:rPr>
          <w:sz w:val="22"/>
          <w:szCs w:val="22"/>
        </w:rPr>
        <w:t xml:space="preserve"> which is on 1 July 2025 for some provisions and on 1 January 2026 for the remaining provisions (</w:t>
      </w:r>
      <w:r w:rsidR="00A74AC4" w:rsidRPr="00397701">
        <w:rPr>
          <w:b/>
          <w:bCs/>
          <w:sz w:val="22"/>
          <w:szCs w:val="22"/>
        </w:rPr>
        <w:t>the 1 January provisions</w:t>
      </w:r>
      <w:r w:rsidR="00A74AC4" w:rsidRPr="00397701">
        <w:rPr>
          <w:sz w:val="22"/>
          <w:szCs w:val="22"/>
        </w:rPr>
        <w:t>)</w:t>
      </w:r>
      <w:r w:rsidR="005E3FCD" w:rsidRPr="00397701">
        <w:rPr>
          <w:sz w:val="22"/>
          <w:szCs w:val="22"/>
        </w:rPr>
        <w:t xml:space="preserve">.  </w:t>
      </w:r>
      <w:r w:rsidR="00054C23" w:rsidRPr="00397701">
        <w:rPr>
          <w:sz w:val="22"/>
          <w:szCs w:val="22"/>
        </w:rPr>
        <w:t xml:space="preserve">The staggered </w:t>
      </w:r>
      <w:r w:rsidR="00A74AC4" w:rsidRPr="00397701">
        <w:rPr>
          <w:sz w:val="22"/>
          <w:szCs w:val="22"/>
        </w:rPr>
        <w:t xml:space="preserve">commencement of the Standard allows for telecommunications providers to have sufficient time to prepare for the implementation of obligations which require consultation or the </w:t>
      </w:r>
      <w:r w:rsidR="005E3FCD" w:rsidRPr="00397701">
        <w:rPr>
          <w:sz w:val="22"/>
          <w:szCs w:val="22"/>
        </w:rPr>
        <w:t>establishment of new systems and processes</w:t>
      </w:r>
      <w:r w:rsidR="00A74AC4" w:rsidRPr="00397701">
        <w:rPr>
          <w:sz w:val="22"/>
          <w:szCs w:val="22"/>
        </w:rPr>
        <w:t xml:space="preserve">.  Pursuant to subsection 4(2) of the Standard, small providers are given 3 months extra to implement the 1 January provisions, which will apply to small providers from 1 April 2026. </w:t>
      </w:r>
      <w:r w:rsidR="00644B96" w:rsidRPr="00397701">
        <w:rPr>
          <w:sz w:val="22"/>
          <w:szCs w:val="22"/>
        </w:rPr>
        <w:t xml:space="preserve"> </w:t>
      </w:r>
    </w:p>
    <w:p w14:paraId="7095FA3C" w14:textId="77777777" w:rsidR="00132BBF" w:rsidRPr="00397701" w:rsidRDefault="00132BBF" w:rsidP="00132BBF">
      <w:pPr>
        <w:rPr>
          <w:rFonts w:ascii="Times New Roman" w:hAnsi="Times New Roman"/>
        </w:rPr>
      </w:pPr>
    </w:p>
    <w:p w14:paraId="329F9F28" w14:textId="57039C5A" w:rsidR="00C57E29" w:rsidRPr="00397701" w:rsidRDefault="00C57E29" w:rsidP="004D2843">
      <w:pPr>
        <w:rPr>
          <w:rFonts w:ascii="Times New Roman" w:hAnsi="Times New Roman" w:cs="Times New Roman"/>
          <w:b/>
        </w:rPr>
      </w:pPr>
      <w:r w:rsidRPr="00397701">
        <w:rPr>
          <w:rFonts w:ascii="Times New Roman" w:hAnsi="Times New Roman" w:cs="Times New Roman"/>
          <w:b/>
        </w:rPr>
        <w:t xml:space="preserve">Purpose </w:t>
      </w:r>
      <w:r w:rsidR="00185BDC" w:rsidRPr="00397701">
        <w:rPr>
          <w:rFonts w:ascii="Times New Roman" w:hAnsi="Times New Roman" w:cs="Times New Roman"/>
          <w:b/>
        </w:rPr>
        <w:t xml:space="preserve">and operation </w:t>
      </w:r>
      <w:r w:rsidRPr="00397701">
        <w:rPr>
          <w:rFonts w:ascii="Times New Roman" w:hAnsi="Times New Roman" w:cs="Times New Roman"/>
          <w:b/>
        </w:rPr>
        <w:t>of the instrument</w:t>
      </w:r>
    </w:p>
    <w:p w14:paraId="783E84F6" w14:textId="3EFA80D5" w:rsidR="007F33AE" w:rsidRPr="00397701" w:rsidRDefault="007F33AE" w:rsidP="00670716">
      <w:pPr>
        <w:spacing w:after="40"/>
        <w:rPr>
          <w:rFonts w:ascii="Times New Roman" w:hAnsi="Times New Roman" w:cs="Times New Roman"/>
          <w:b/>
          <w:bCs/>
          <w:i/>
          <w:iCs/>
        </w:rPr>
      </w:pPr>
      <w:r w:rsidRPr="00397701">
        <w:rPr>
          <w:rFonts w:ascii="Times New Roman" w:hAnsi="Times New Roman" w:cs="Times New Roman"/>
          <w:b/>
          <w:bCs/>
          <w:i/>
          <w:iCs/>
        </w:rPr>
        <w:t>Background</w:t>
      </w:r>
    </w:p>
    <w:p w14:paraId="3AA0FC90" w14:textId="630E4C66" w:rsidR="00524FD1" w:rsidRPr="00397701" w:rsidRDefault="00B867EF" w:rsidP="00213FC2">
      <w:pPr>
        <w:spacing w:after="40"/>
        <w:rPr>
          <w:rFonts w:ascii="Times New Roman" w:hAnsi="Times New Roman" w:cs="Times New Roman"/>
        </w:rPr>
      </w:pPr>
      <w:r w:rsidRPr="00397701">
        <w:rPr>
          <w:rFonts w:ascii="Times New Roman" w:hAnsi="Times New Roman" w:cs="Times New Roman"/>
        </w:rPr>
        <w:t>D</w:t>
      </w:r>
      <w:r w:rsidR="00F04B83" w:rsidRPr="00397701">
        <w:rPr>
          <w:rFonts w:ascii="Times New Roman" w:hAnsi="Times New Roman" w:cs="Times New Roman"/>
        </w:rPr>
        <w:t>omestic, family and sexual violence (</w:t>
      </w:r>
      <w:r w:rsidR="00F04B83" w:rsidRPr="00397701">
        <w:rPr>
          <w:rFonts w:ascii="Times New Roman" w:hAnsi="Times New Roman"/>
          <w:b/>
        </w:rPr>
        <w:t>DFSV</w:t>
      </w:r>
      <w:r w:rsidR="00F04B83" w:rsidRPr="00397701">
        <w:rPr>
          <w:rFonts w:ascii="Times New Roman" w:hAnsi="Times New Roman" w:cs="Times New Roman"/>
        </w:rPr>
        <w:t xml:space="preserve">) </w:t>
      </w:r>
      <w:r w:rsidRPr="00397701">
        <w:rPr>
          <w:rFonts w:ascii="Times New Roman" w:hAnsi="Times New Roman" w:cs="Times New Roman"/>
        </w:rPr>
        <w:t xml:space="preserve">causes </w:t>
      </w:r>
      <w:r w:rsidR="00F04B83" w:rsidRPr="00397701">
        <w:rPr>
          <w:rFonts w:ascii="Times New Roman" w:hAnsi="Times New Roman" w:cs="Times New Roman"/>
        </w:rPr>
        <w:t xml:space="preserve">profound </w:t>
      </w:r>
      <w:r w:rsidRPr="00397701">
        <w:rPr>
          <w:rFonts w:ascii="Times New Roman" w:hAnsi="Times New Roman" w:cs="Times New Roman"/>
        </w:rPr>
        <w:t>harm across</w:t>
      </w:r>
      <w:r w:rsidR="00F04B83" w:rsidRPr="00397701">
        <w:rPr>
          <w:rFonts w:ascii="Times New Roman" w:hAnsi="Times New Roman" w:cs="Times New Roman"/>
        </w:rPr>
        <w:t xml:space="preserve"> Australian society</w:t>
      </w:r>
      <w:r w:rsidRPr="00397701">
        <w:rPr>
          <w:rFonts w:ascii="Times New Roman" w:hAnsi="Times New Roman" w:cs="Times New Roman"/>
        </w:rPr>
        <w:t>.</w:t>
      </w:r>
      <w:r w:rsidR="00FA2325" w:rsidRPr="00397701">
        <w:rPr>
          <w:rFonts w:ascii="Times New Roman" w:hAnsi="Times New Roman" w:cs="Times New Roman"/>
        </w:rPr>
        <w:t xml:space="preserve"> </w:t>
      </w:r>
      <w:r w:rsidRPr="00397701">
        <w:rPr>
          <w:rFonts w:ascii="Times New Roman" w:hAnsi="Times New Roman" w:cs="Times New Roman"/>
        </w:rPr>
        <w:t>One</w:t>
      </w:r>
      <w:r w:rsidR="00F04B83" w:rsidRPr="00397701" w:rsidDel="00FA2325">
        <w:rPr>
          <w:rFonts w:ascii="Times New Roman" w:hAnsi="Times New Roman" w:cs="Times New Roman"/>
        </w:rPr>
        <w:t xml:space="preserve"> </w:t>
      </w:r>
      <w:r w:rsidR="00FA2325" w:rsidRPr="00397701">
        <w:rPr>
          <w:rFonts w:ascii="Times New Roman" w:hAnsi="Times New Roman" w:cs="Times New Roman"/>
        </w:rPr>
        <w:t xml:space="preserve">in </w:t>
      </w:r>
      <w:r w:rsidRPr="00397701">
        <w:rPr>
          <w:rFonts w:ascii="Times New Roman" w:hAnsi="Times New Roman" w:cs="Times New Roman"/>
        </w:rPr>
        <w:t>four</w:t>
      </w:r>
      <w:r w:rsidR="00FA2325" w:rsidRPr="00397701">
        <w:rPr>
          <w:rFonts w:ascii="Times New Roman" w:hAnsi="Times New Roman" w:cs="Times New Roman"/>
        </w:rPr>
        <w:t xml:space="preserve"> women and </w:t>
      </w:r>
      <w:r w:rsidRPr="00397701">
        <w:rPr>
          <w:rFonts w:ascii="Times New Roman" w:hAnsi="Times New Roman" w:cs="Times New Roman"/>
        </w:rPr>
        <w:t>one</w:t>
      </w:r>
      <w:r w:rsidR="00FA2325" w:rsidRPr="00397701">
        <w:rPr>
          <w:rFonts w:ascii="Times New Roman" w:hAnsi="Times New Roman" w:cs="Times New Roman"/>
        </w:rPr>
        <w:t xml:space="preserve"> in </w:t>
      </w:r>
      <w:r w:rsidRPr="00397701">
        <w:rPr>
          <w:rFonts w:ascii="Times New Roman" w:hAnsi="Times New Roman" w:cs="Times New Roman"/>
        </w:rPr>
        <w:t>eight</w:t>
      </w:r>
      <w:r w:rsidR="00FA2325" w:rsidRPr="00397701">
        <w:rPr>
          <w:rFonts w:ascii="Times New Roman" w:hAnsi="Times New Roman" w:cs="Times New Roman"/>
        </w:rPr>
        <w:t xml:space="preserve"> men </w:t>
      </w:r>
      <w:r w:rsidRPr="00397701">
        <w:rPr>
          <w:rFonts w:ascii="Times New Roman" w:hAnsi="Times New Roman" w:cs="Times New Roman"/>
        </w:rPr>
        <w:t xml:space="preserve">have </w:t>
      </w:r>
      <w:r w:rsidR="00FA2325" w:rsidRPr="00397701">
        <w:rPr>
          <w:rFonts w:ascii="Times New Roman" w:hAnsi="Times New Roman" w:cs="Times New Roman"/>
        </w:rPr>
        <w:t>experienc</w:t>
      </w:r>
      <w:r w:rsidRPr="00397701">
        <w:rPr>
          <w:rFonts w:ascii="Times New Roman" w:hAnsi="Times New Roman" w:cs="Times New Roman"/>
        </w:rPr>
        <w:t>ed</w:t>
      </w:r>
      <w:r w:rsidR="00FA2325" w:rsidRPr="00397701">
        <w:rPr>
          <w:rFonts w:ascii="Times New Roman" w:hAnsi="Times New Roman" w:cs="Times New Roman"/>
        </w:rPr>
        <w:t xml:space="preserve"> violence by an intimate partner or family member since </w:t>
      </w:r>
      <w:r w:rsidRPr="00397701">
        <w:rPr>
          <w:rFonts w:ascii="Times New Roman" w:hAnsi="Times New Roman" w:cs="Times New Roman"/>
        </w:rPr>
        <w:t xml:space="preserve">the </w:t>
      </w:r>
      <w:r w:rsidR="00FA2325" w:rsidRPr="00397701">
        <w:rPr>
          <w:rFonts w:ascii="Times New Roman" w:hAnsi="Times New Roman" w:cs="Times New Roman"/>
        </w:rPr>
        <w:t>age</w:t>
      </w:r>
      <w:r w:rsidRPr="00397701">
        <w:rPr>
          <w:rFonts w:ascii="Times New Roman" w:hAnsi="Times New Roman" w:cs="Times New Roman"/>
        </w:rPr>
        <w:t xml:space="preserve"> of</w:t>
      </w:r>
      <w:r w:rsidR="00FA2325" w:rsidRPr="00397701">
        <w:rPr>
          <w:rFonts w:ascii="Times New Roman" w:hAnsi="Times New Roman" w:cs="Times New Roman"/>
        </w:rPr>
        <w:t xml:space="preserve"> 15. </w:t>
      </w:r>
      <w:r w:rsidR="00E61C34" w:rsidRPr="00397701">
        <w:rPr>
          <w:rFonts w:ascii="Times New Roman" w:hAnsi="Times New Roman" w:cs="Times New Roman"/>
        </w:rPr>
        <w:t xml:space="preserve">Intimate partner violence </w:t>
      </w:r>
      <w:r w:rsidRPr="00397701">
        <w:rPr>
          <w:rFonts w:ascii="Times New Roman" w:hAnsi="Times New Roman" w:cs="Times New Roman"/>
        </w:rPr>
        <w:t xml:space="preserve">is the leading risk factor contributing to </w:t>
      </w:r>
      <w:r w:rsidR="00E61C34" w:rsidRPr="00397701">
        <w:rPr>
          <w:rFonts w:ascii="Times New Roman" w:hAnsi="Times New Roman" w:cs="Times New Roman"/>
        </w:rPr>
        <w:t xml:space="preserve">illness, disability, and </w:t>
      </w:r>
      <w:r w:rsidRPr="00397701">
        <w:rPr>
          <w:rFonts w:ascii="Times New Roman" w:hAnsi="Times New Roman" w:cs="Times New Roman"/>
        </w:rPr>
        <w:t xml:space="preserve">premature </w:t>
      </w:r>
      <w:r w:rsidR="00E61C34" w:rsidRPr="00397701">
        <w:rPr>
          <w:rFonts w:ascii="Times New Roman" w:hAnsi="Times New Roman" w:cs="Times New Roman"/>
        </w:rPr>
        <w:t>death for women aged 25–44</w:t>
      </w:r>
      <w:r w:rsidRPr="00397701">
        <w:rPr>
          <w:rFonts w:ascii="Times New Roman" w:hAnsi="Times New Roman" w:cs="Times New Roman"/>
        </w:rPr>
        <w:t xml:space="preserve">. Certain groups, including </w:t>
      </w:r>
      <w:r w:rsidR="00E61C34" w:rsidRPr="00397701">
        <w:rPr>
          <w:rFonts w:ascii="Times New Roman" w:hAnsi="Times New Roman" w:cs="Times New Roman"/>
        </w:rPr>
        <w:t>younger women</w:t>
      </w:r>
      <w:r w:rsidRPr="00397701">
        <w:rPr>
          <w:rFonts w:ascii="Times New Roman" w:hAnsi="Times New Roman" w:cs="Times New Roman"/>
        </w:rPr>
        <w:t xml:space="preserve">, </w:t>
      </w:r>
      <w:r w:rsidR="00E61C34" w:rsidRPr="00397701">
        <w:rPr>
          <w:rFonts w:ascii="Times New Roman" w:hAnsi="Times New Roman" w:cs="Times New Roman"/>
        </w:rPr>
        <w:t xml:space="preserve">Aboriginal or Torres Strait Islander </w:t>
      </w:r>
      <w:r w:rsidRPr="00397701">
        <w:rPr>
          <w:rFonts w:ascii="Times New Roman" w:hAnsi="Times New Roman" w:cs="Times New Roman"/>
        </w:rPr>
        <w:t>people</w:t>
      </w:r>
      <w:r w:rsidR="00E61C34" w:rsidRPr="00397701">
        <w:rPr>
          <w:rFonts w:ascii="Times New Roman" w:hAnsi="Times New Roman" w:cs="Times New Roman"/>
        </w:rPr>
        <w:t xml:space="preserve">, and </w:t>
      </w:r>
      <w:r w:rsidRPr="00397701">
        <w:rPr>
          <w:rFonts w:ascii="Times New Roman" w:hAnsi="Times New Roman" w:cs="Times New Roman"/>
        </w:rPr>
        <w:t xml:space="preserve">people </w:t>
      </w:r>
      <w:r w:rsidR="00E61C34" w:rsidRPr="00397701">
        <w:rPr>
          <w:rFonts w:ascii="Times New Roman" w:hAnsi="Times New Roman" w:cs="Times New Roman"/>
        </w:rPr>
        <w:t xml:space="preserve">living with a disability </w:t>
      </w:r>
      <w:r w:rsidRPr="00397701">
        <w:rPr>
          <w:rFonts w:ascii="Times New Roman" w:hAnsi="Times New Roman" w:cs="Times New Roman"/>
        </w:rPr>
        <w:t>are disproportionately affected</w:t>
      </w:r>
      <w:r w:rsidR="00E61C34" w:rsidRPr="00397701">
        <w:rPr>
          <w:rFonts w:ascii="Times New Roman" w:hAnsi="Times New Roman" w:cs="Times New Roman"/>
        </w:rPr>
        <w:t>.</w:t>
      </w:r>
    </w:p>
    <w:p w14:paraId="30498F02" w14:textId="3519D22E" w:rsidR="00C9427F" w:rsidRPr="00397701" w:rsidRDefault="00C9427F" w:rsidP="00213FC2">
      <w:pPr>
        <w:pStyle w:val="NoSpacing"/>
        <w:widowControl w:val="0"/>
        <w:spacing w:before="120" w:after="120"/>
        <w:rPr>
          <w:rFonts w:ascii="Times New Roman" w:hAnsi="Times New Roman" w:cs="Times New Roman"/>
          <w:lang w:val="en-US"/>
        </w:rPr>
      </w:pPr>
      <w:r w:rsidRPr="00397701">
        <w:rPr>
          <w:rFonts w:ascii="Times New Roman" w:hAnsi="Times New Roman" w:cs="Times New Roman"/>
          <w:lang w:val="en-US"/>
        </w:rPr>
        <w:t xml:space="preserve">The </w:t>
      </w:r>
      <w:r w:rsidRPr="00397701">
        <w:rPr>
          <w:rFonts w:ascii="Times New Roman" w:hAnsi="Times New Roman" w:cs="Times New Roman"/>
          <w:i/>
          <w:lang w:val="en-US"/>
        </w:rPr>
        <w:t xml:space="preserve">National Plan to End Violence against Women and Children 2022-2032 </w:t>
      </w:r>
      <w:r w:rsidRPr="00397701">
        <w:rPr>
          <w:rFonts w:ascii="Times New Roman" w:hAnsi="Times New Roman" w:cs="Times New Roman"/>
          <w:lang w:val="en-US"/>
        </w:rPr>
        <w:t>(</w:t>
      </w:r>
      <w:r w:rsidRPr="00397701">
        <w:rPr>
          <w:rFonts w:ascii="Times New Roman" w:hAnsi="Times New Roman"/>
          <w:b/>
          <w:lang w:val="en-US"/>
        </w:rPr>
        <w:t>the National Plan</w:t>
      </w:r>
      <w:r w:rsidRPr="00397701">
        <w:rPr>
          <w:rFonts w:ascii="Times New Roman" w:hAnsi="Times New Roman" w:cs="Times New Roman"/>
          <w:lang w:val="en-US"/>
        </w:rPr>
        <w:t xml:space="preserve">) is </w:t>
      </w:r>
      <w:r w:rsidR="00FA2325" w:rsidRPr="00397701">
        <w:rPr>
          <w:rFonts w:ascii="Times New Roman" w:hAnsi="Times New Roman" w:cs="Times New Roman"/>
          <w:lang w:val="en-US"/>
        </w:rPr>
        <w:t>the Australian Government’s</w:t>
      </w:r>
      <w:r w:rsidRPr="00397701">
        <w:rPr>
          <w:rFonts w:ascii="Times New Roman" w:hAnsi="Times New Roman" w:cs="Times New Roman"/>
          <w:lang w:val="en-US"/>
        </w:rPr>
        <w:t xml:space="preserve"> </w:t>
      </w:r>
      <w:r w:rsidR="00B867EF" w:rsidRPr="00397701">
        <w:rPr>
          <w:rFonts w:ascii="Times New Roman" w:hAnsi="Times New Roman" w:cs="Times New Roman"/>
          <w:lang w:val="en-US"/>
        </w:rPr>
        <w:t>overarching strategy</w:t>
      </w:r>
      <w:r w:rsidRPr="00397701">
        <w:rPr>
          <w:rFonts w:ascii="Times New Roman" w:hAnsi="Times New Roman" w:cs="Times New Roman"/>
          <w:lang w:val="en-US"/>
        </w:rPr>
        <w:t xml:space="preserve"> to end </w:t>
      </w:r>
      <w:r w:rsidR="006C18C5" w:rsidRPr="00397701">
        <w:rPr>
          <w:rFonts w:ascii="Times New Roman" w:hAnsi="Times New Roman" w:cs="Times New Roman"/>
          <w:lang w:val="en-US"/>
        </w:rPr>
        <w:t xml:space="preserve">gender-based </w:t>
      </w:r>
      <w:r w:rsidRPr="00397701">
        <w:rPr>
          <w:rFonts w:ascii="Times New Roman" w:hAnsi="Times New Roman" w:cs="Times New Roman"/>
          <w:lang w:val="en-US"/>
        </w:rPr>
        <w:t xml:space="preserve">violence within one </w:t>
      </w:r>
      <w:r w:rsidRPr="00397701">
        <w:rPr>
          <w:rFonts w:ascii="Times New Roman" w:hAnsi="Times New Roman" w:cs="Times New Roman"/>
          <w:lang w:val="en-US"/>
        </w:rPr>
        <w:lastRenderedPageBreak/>
        <w:t xml:space="preserve">generation. The National Plan </w:t>
      </w:r>
      <w:proofErr w:type="spellStart"/>
      <w:r w:rsidRPr="00397701">
        <w:rPr>
          <w:rFonts w:ascii="Times New Roman" w:hAnsi="Times New Roman" w:cs="Times New Roman"/>
          <w:lang w:val="en-US"/>
        </w:rPr>
        <w:t>recognises</w:t>
      </w:r>
      <w:proofErr w:type="spellEnd"/>
      <w:r w:rsidRPr="00397701">
        <w:rPr>
          <w:rFonts w:ascii="Times New Roman" w:hAnsi="Times New Roman" w:cs="Times New Roman"/>
          <w:lang w:val="en-US"/>
        </w:rPr>
        <w:t xml:space="preserve"> that</w:t>
      </w:r>
      <w:r w:rsidRPr="00397701">
        <w:rPr>
          <w:rFonts w:ascii="Times New Roman" w:hAnsi="Times New Roman" w:cs="Times New Roman"/>
          <w:i/>
          <w:lang w:val="en-US"/>
        </w:rPr>
        <w:t xml:space="preserve"> </w:t>
      </w:r>
      <w:r w:rsidRPr="00397701">
        <w:rPr>
          <w:rFonts w:ascii="Times New Roman" w:hAnsi="Times New Roman" w:cs="Times New Roman"/>
          <w:lang w:val="en-US"/>
        </w:rPr>
        <w:t xml:space="preserve">addressing violence against women and children requires </w:t>
      </w:r>
      <w:r w:rsidR="006C18C5" w:rsidRPr="00397701">
        <w:rPr>
          <w:rFonts w:ascii="Times New Roman" w:hAnsi="Times New Roman" w:cs="Times New Roman"/>
          <w:lang w:val="en-US"/>
        </w:rPr>
        <w:t>a whole-of-community approach</w:t>
      </w:r>
      <w:r w:rsidRPr="00397701">
        <w:rPr>
          <w:rFonts w:ascii="Times New Roman" w:hAnsi="Times New Roman" w:cs="Times New Roman"/>
          <w:lang w:val="en-US"/>
        </w:rPr>
        <w:t xml:space="preserve">, with businesses and the corporate sector playing a vital role. </w:t>
      </w:r>
    </w:p>
    <w:p w14:paraId="41C1428B" w14:textId="19489A0F" w:rsidR="00F04B83" w:rsidRPr="00397701" w:rsidRDefault="00F04B83" w:rsidP="000C6E80">
      <w:pPr>
        <w:spacing w:before="120" w:after="0"/>
        <w:rPr>
          <w:rFonts w:ascii="Times New Roman" w:hAnsi="Times New Roman" w:cs="Times New Roman"/>
        </w:rPr>
      </w:pPr>
      <w:r w:rsidRPr="00397701">
        <w:rPr>
          <w:rFonts w:ascii="Times New Roman" w:hAnsi="Times New Roman" w:cs="Times New Roman"/>
        </w:rPr>
        <w:t xml:space="preserve">Telecommunications services are essential </w:t>
      </w:r>
      <w:r w:rsidR="00CB3147" w:rsidRPr="00397701">
        <w:rPr>
          <w:rFonts w:ascii="Times New Roman" w:hAnsi="Times New Roman" w:cs="Times New Roman"/>
        </w:rPr>
        <w:t>for</w:t>
      </w:r>
      <w:r w:rsidR="007D1538" w:rsidRPr="00397701">
        <w:rPr>
          <w:rFonts w:ascii="Times New Roman" w:hAnsi="Times New Roman" w:cs="Times New Roman"/>
        </w:rPr>
        <w:t xml:space="preserve"> </w:t>
      </w:r>
      <w:r w:rsidR="00370ED7" w:rsidRPr="00397701">
        <w:rPr>
          <w:rFonts w:ascii="Times New Roman" w:hAnsi="Times New Roman" w:cs="Times New Roman"/>
        </w:rPr>
        <w:t xml:space="preserve">participation in modern life, enabling access to </w:t>
      </w:r>
      <w:r w:rsidR="006C18C5" w:rsidRPr="00397701">
        <w:rPr>
          <w:rFonts w:ascii="Times New Roman" w:hAnsi="Times New Roman" w:cs="Times New Roman"/>
        </w:rPr>
        <w:t>employment</w:t>
      </w:r>
      <w:r w:rsidR="007D1538" w:rsidRPr="00397701">
        <w:rPr>
          <w:rFonts w:ascii="Times New Roman" w:hAnsi="Times New Roman" w:cs="Times New Roman"/>
        </w:rPr>
        <w:t xml:space="preserve">, education, healthcare, banking, </w:t>
      </w:r>
      <w:r w:rsidR="00F820B2" w:rsidRPr="00397701">
        <w:rPr>
          <w:rFonts w:ascii="Times New Roman" w:hAnsi="Times New Roman" w:cs="Times New Roman"/>
        </w:rPr>
        <w:t xml:space="preserve">government </w:t>
      </w:r>
      <w:r w:rsidR="007D1538" w:rsidRPr="00397701" w:rsidDel="00F820B2">
        <w:rPr>
          <w:rFonts w:ascii="Times New Roman" w:hAnsi="Times New Roman" w:cs="Times New Roman"/>
        </w:rPr>
        <w:t xml:space="preserve">and </w:t>
      </w:r>
      <w:r w:rsidR="007D1538" w:rsidRPr="00397701">
        <w:rPr>
          <w:rFonts w:ascii="Times New Roman" w:hAnsi="Times New Roman" w:cs="Times New Roman"/>
        </w:rPr>
        <w:t xml:space="preserve">community </w:t>
      </w:r>
      <w:r w:rsidR="006C18C5" w:rsidRPr="00397701">
        <w:rPr>
          <w:rFonts w:ascii="Times New Roman" w:hAnsi="Times New Roman" w:cs="Times New Roman"/>
        </w:rPr>
        <w:t>support</w:t>
      </w:r>
      <w:r w:rsidR="007D1538" w:rsidRPr="00397701">
        <w:rPr>
          <w:rFonts w:ascii="Times New Roman" w:hAnsi="Times New Roman" w:cs="Times New Roman"/>
        </w:rPr>
        <w:t xml:space="preserve">. </w:t>
      </w:r>
      <w:r w:rsidR="00F820B2" w:rsidRPr="00397701">
        <w:rPr>
          <w:rFonts w:ascii="Times New Roman" w:hAnsi="Times New Roman" w:cs="Times New Roman"/>
        </w:rPr>
        <w:t>For victim-survivors of DFSV, a</w:t>
      </w:r>
      <w:r w:rsidR="00590CF4" w:rsidRPr="00397701">
        <w:rPr>
          <w:rFonts w:ascii="Times New Roman" w:hAnsi="Times New Roman" w:cs="Times New Roman"/>
        </w:rPr>
        <w:t xml:space="preserve">ccess to </w:t>
      </w:r>
      <w:r w:rsidR="00833215" w:rsidRPr="00397701">
        <w:rPr>
          <w:rFonts w:ascii="Times New Roman" w:hAnsi="Times New Roman" w:cs="Times New Roman"/>
        </w:rPr>
        <w:t xml:space="preserve">safe, </w:t>
      </w:r>
      <w:r w:rsidR="00590CF4" w:rsidRPr="00397701">
        <w:rPr>
          <w:rFonts w:ascii="Times New Roman" w:hAnsi="Times New Roman" w:cs="Times New Roman"/>
        </w:rPr>
        <w:t>r</w:t>
      </w:r>
      <w:r w:rsidRPr="00397701">
        <w:rPr>
          <w:rFonts w:ascii="Times New Roman" w:hAnsi="Times New Roman" w:cs="Times New Roman"/>
        </w:rPr>
        <w:t>eliable</w:t>
      </w:r>
      <w:r w:rsidR="00590CF4" w:rsidRPr="00397701" w:rsidDel="00F820B2">
        <w:rPr>
          <w:rFonts w:ascii="Times New Roman" w:hAnsi="Times New Roman" w:cs="Times New Roman"/>
        </w:rPr>
        <w:t xml:space="preserve"> </w:t>
      </w:r>
      <w:r w:rsidR="00590CF4" w:rsidRPr="00397701">
        <w:rPr>
          <w:rFonts w:ascii="Times New Roman" w:hAnsi="Times New Roman" w:cs="Times New Roman"/>
        </w:rPr>
        <w:t>and secure</w:t>
      </w:r>
      <w:r w:rsidRPr="00397701">
        <w:rPr>
          <w:rFonts w:ascii="Times New Roman" w:hAnsi="Times New Roman" w:cs="Times New Roman"/>
        </w:rPr>
        <w:t xml:space="preserve"> </w:t>
      </w:r>
      <w:r w:rsidR="00F820B2" w:rsidRPr="00397701">
        <w:rPr>
          <w:rFonts w:ascii="Times New Roman" w:hAnsi="Times New Roman" w:cs="Times New Roman"/>
        </w:rPr>
        <w:t>communications</w:t>
      </w:r>
      <w:r w:rsidRPr="00397701">
        <w:rPr>
          <w:rFonts w:ascii="Times New Roman" w:hAnsi="Times New Roman" w:cs="Times New Roman"/>
        </w:rPr>
        <w:t xml:space="preserve"> </w:t>
      </w:r>
      <w:r w:rsidR="00F820B2" w:rsidRPr="00397701">
        <w:rPr>
          <w:rFonts w:ascii="Times New Roman" w:hAnsi="Times New Roman" w:cs="Times New Roman"/>
        </w:rPr>
        <w:t>can be critical to safety</w:t>
      </w:r>
      <w:r w:rsidR="00CB3147" w:rsidRPr="00397701">
        <w:rPr>
          <w:rFonts w:ascii="Times New Roman" w:hAnsi="Times New Roman" w:cs="Times New Roman"/>
        </w:rPr>
        <w:t>, privacy</w:t>
      </w:r>
      <w:r w:rsidR="00F820B2" w:rsidRPr="00397701">
        <w:rPr>
          <w:rFonts w:ascii="Times New Roman" w:hAnsi="Times New Roman" w:cs="Times New Roman"/>
        </w:rPr>
        <w:t xml:space="preserve"> and wellbeing. Telecommunications services </w:t>
      </w:r>
      <w:r w:rsidR="00CB3147" w:rsidRPr="00397701">
        <w:rPr>
          <w:rFonts w:ascii="Times New Roman" w:hAnsi="Times New Roman" w:cs="Times New Roman"/>
        </w:rPr>
        <w:t>play a</w:t>
      </w:r>
      <w:r w:rsidR="00F820B2" w:rsidRPr="00397701">
        <w:rPr>
          <w:rFonts w:ascii="Times New Roman" w:hAnsi="Times New Roman" w:cs="Times New Roman"/>
        </w:rPr>
        <w:t xml:space="preserve"> vital </w:t>
      </w:r>
      <w:r w:rsidR="00CB3147" w:rsidRPr="00397701">
        <w:rPr>
          <w:rFonts w:ascii="Times New Roman" w:hAnsi="Times New Roman" w:cs="Times New Roman"/>
        </w:rPr>
        <w:t>role</w:t>
      </w:r>
      <w:r w:rsidR="00F820B2" w:rsidRPr="00397701">
        <w:rPr>
          <w:rFonts w:ascii="Times New Roman" w:hAnsi="Times New Roman" w:cs="Times New Roman"/>
        </w:rPr>
        <w:t xml:space="preserve"> </w:t>
      </w:r>
      <w:r w:rsidR="00CB3147" w:rsidRPr="00397701">
        <w:rPr>
          <w:rFonts w:ascii="Times New Roman" w:hAnsi="Times New Roman" w:cs="Times New Roman"/>
        </w:rPr>
        <w:t>in supporting</w:t>
      </w:r>
      <w:r w:rsidR="00F820B2" w:rsidRPr="00397701">
        <w:rPr>
          <w:rFonts w:ascii="Times New Roman" w:hAnsi="Times New Roman" w:cs="Times New Roman"/>
        </w:rPr>
        <w:t xml:space="preserve"> victim-survivors to </w:t>
      </w:r>
      <w:r w:rsidR="00CB3147" w:rsidRPr="00397701">
        <w:rPr>
          <w:rFonts w:ascii="Times New Roman" w:hAnsi="Times New Roman" w:cs="Times New Roman"/>
        </w:rPr>
        <w:t xml:space="preserve">stay connected, </w:t>
      </w:r>
      <w:r w:rsidR="00F820B2" w:rsidRPr="00397701">
        <w:rPr>
          <w:rFonts w:ascii="Times New Roman" w:hAnsi="Times New Roman" w:cs="Times New Roman"/>
        </w:rPr>
        <w:t>seek help</w:t>
      </w:r>
      <w:r w:rsidR="00CB3147" w:rsidRPr="00397701">
        <w:rPr>
          <w:rFonts w:ascii="Times New Roman" w:hAnsi="Times New Roman" w:cs="Times New Roman"/>
        </w:rPr>
        <w:t xml:space="preserve"> and</w:t>
      </w:r>
      <w:r w:rsidR="00F820B2" w:rsidRPr="00397701">
        <w:rPr>
          <w:rFonts w:ascii="Times New Roman" w:hAnsi="Times New Roman" w:cs="Times New Roman"/>
        </w:rPr>
        <w:t xml:space="preserve"> </w:t>
      </w:r>
      <w:r w:rsidR="00CB3147" w:rsidRPr="00397701">
        <w:rPr>
          <w:rFonts w:ascii="Times New Roman" w:hAnsi="Times New Roman" w:cs="Times New Roman"/>
        </w:rPr>
        <w:t>plan for safety</w:t>
      </w:r>
      <w:r w:rsidR="00F820B2" w:rsidRPr="00397701">
        <w:rPr>
          <w:rFonts w:ascii="Times New Roman" w:hAnsi="Times New Roman" w:cs="Times New Roman"/>
        </w:rPr>
        <w:t xml:space="preserve">. Conversely, </w:t>
      </w:r>
      <w:r w:rsidRPr="00397701">
        <w:rPr>
          <w:rFonts w:ascii="Times New Roman" w:hAnsi="Times New Roman" w:cs="Times New Roman"/>
        </w:rPr>
        <w:t xml:space="preserve">communications can also be used to </w:t>
      </w:r>
      <w:r w:rsidR="00514416" w:rsidRPr="00397701">
        <w:rPr>
          <w:rFonts w:ascii="Times New Roman" w:hAnsi="Times New Roman" w:cs="Times New Roman"/>
        </w:rPr>
        <w:t xml:space="preserve">compromise safety and security and </w:t>
      </w:r>
      <w:r w:rsidRPr="00397701">
        <w:rPr>
          <w:rFonts w:ascii="Times New Roman" w:hAnsi="Times New Roman" w:cs="Times New Roman"/>
        </w:rPr>
        <w:t>facilitate DFV, for example via technology</w:t>
      </w:r>
      <w:r w:rsidR="00AC2010" w:rsidRPr="00397701">
        <w:rPr>
          <w:rFonts w:ascii="Times New Roman" w:hAnsi="Times New Roman" w:cs="Times New Roman"/>
        </w:rPr>
        <w:t xml:space="preserve"> </w:t>
      </w:r>
      <w:r w:rsidRPr="00397701">
        <w:rPr>
          <w:rFonts w:ascii="Times New Roman" w:hAnsi="Times New Roman" w:cs="Times New Roman"/>
        </w:rPr>
        <w:t>facilitated abuse</w:t>
      </w:r>
      <w:r w:rsidR="00514416" w:rsidRPr="00397701">
        <w:rPr>
          <w:rFonts w:ascii="Times New Roman" w:hAnsi="Times New Roman" w:cs="Times New Roman"/>
        </w:rPr>
        <w:t xml:space="preserve"> and/or </w:t>
      </w:r>
      <w:r w:rsidRPr="00397701">
        <w:rPr>
          <w:rFonts w:ascii="Times New Roman" w:hAnsi="Times New Roman" w:cs="Times New Roman"/>
        </w:rPr>
        <w:t>economic abuse.</w:t>
      </w:r>
    </w:p>
    <w:p w14:paraId="094854DA" w14:textId="1A41B355" w:rsidR="00C96CB1" w:rsidRPr="00397701" w:rsidDel="00C96CB1" w:rsidRDefault="00CB3147" w:rsidP="00A35BE2">
      <w:pPr>
        <w:spacing w:before="120" w:after="0"/>
        <w:rPr>
          <w:rFonts w:ascii="Times New Roman" w:hAnsi="Times New Roman"/>
        </w:rPr>
      </w:pPr>
      <w:r w:rsidRPr="00397701">
        <w:rPr>
          <w:rFonts w:ascii="Times New Roman" w:hAnsi="Times New Roman" w:cs="Times New Roman"/>
        </w:rPr>
        <w:t>Although the industry developed</w:t>
      </w:r>
      <w:r w:rsidR="00AD601A" w:rsidRPr="00397701">
        <w:rPr>
          <w:rFonts w:ascii="Times New Roman" w:hAnsi="Times New Roman" w:cs="Times New Roman"/>
        </w:rPr>
        <w:t xml:space="preserve"> a voluntary</w:t>
      </w:r>
      <w:r w:rsidR="00F04B83" w:rsidRPr="00397701" w:rsidDel="00CB3147">
        <w:rPr>
          <w:rFonts w:ascii="Times New Roman" w:hAnsi="Times New Roman" w:cs="Times New Roman"/>
        </w:rPr>
        <w:t xml:space="preserve"> </w:t>
      </w:r>
      <w:r w:rsidR="00F04B83" w:rsidRPr="00397701">
        <w:rPr>
          <w:rFonts w:ascii="Times New Roman" w:hAnsi="Times New Roman" w:cs="Times New Roman"/>
        </w:rPr>
        <w:t xml:space="preserve">guideline </w:t>
      </w:r>
      <w:r w:rsidR="00AD601A" w:rsidRPr="00397701">
        <w:rPr>
          <w:rFonts w:ascii="Times New Roman" w:hAnsi="Times New Roman" w:cs="Times New Roman"/>
        </w:rPr>
        <w:t xml:space="preserve">(Communications Alliance </w:t>
      </w:r>
      <w:r w:rsidR="00F04B83" w:rsidRPr="00397701">
        <w:rPr>
          <w:rFonts w:ascii="Times New Roman" w:hAnsi="Times New Roman" w:cs="Times New Roman"/>
        </w:rPr>
        <w:t>G660:2023 Assisting Consumers Affected by Domestic and Family Violence</w:t>
      </w:r>
      <w:r w:rsidR="00F04B83" w:rsidRPr="00397701" w:rsidDel="00AD601A">
        <w:rPr>
          <w:rFonts w:ascii="Times New Roman" w:hAnsi="Times New Roman" w:cs="Times New Roman"/>
        </w:rPr>
        <w:t>)</w:t>
      </w:r>
      <w:r w:rsidR="00F04B83" w:rsidRPr="00397701">
        <w:rPr>
          <w:rFonts w:ascii="Times New Roman" w:hAnsi="Times New Roman" w:cs="Times New Roman"/>
        </w:rPr>
        <w:t xml:space="preserve">, </w:t>
      </w:r>
      <w:r w:rsidR="002C43B0" w:rsidRPr="00397701">
        <w:rPr>
          <w:rFonts w:ascii="Times New Roman" w:hAnsi="Times New Roman" w:cs="Times New Roman"/>
        </w:rPr>
        <w:t xml:space="preserve">a need has been </w:t>
      </w:r>
      <w:r w:rsidR="00C049ED" w:rsidRPr="00397701">
        <w:rPr>
          <w:rFonts w:ascii="Times New Roman" w:hAnsi="Times New Roman" w:cs="Times New Roman"/>
        </w:rPr>
        <w:t>recognised</w:t>
      </w:r>
      <w:r w:rsidR="002C43B0" w:rsidRPr="00397701">
        <w:rPr>
          <w:rFonts w:ascii="Times New Roman" w:hAnsi="Times New Roman" w:cs="Times New Roman"/>
        </w:rPr>
        <w:t xml:space="preserve"> for an</w:t>
      </w:r>
      <w:r w:rsidR="00AD601A" w:rsidRPr="00397701">
        <w:rPr>
          <w:rFonts w:ascii="Times New Roman" w:hAnsi="Times New Roman" w:cs="Times New Roman"/>
        </w:rPr>
        <w:t xml:space="preserve"> </w:t>
      </w:r>
      <w:r w:rsidR="00F04B83" w:rsidRPr="00397701">
        <w:rPr>
          <w:rFonts w:ascii="Times New Roman" w:hAnsi="Times New Roman" w:cs="Times New Roman"/>
        </w:rPr>
        <w:t>enforceable</w:t>
      </w:r>
      <w:r w:rsidR="00AD601A" w:rsidRPr="00397701">
        <w:rPr>
          <w:rFonts w:ascii="Times New Roman" w:hAnsi="Times New Roman" w:cs="Times New Roman"/>
        </w:rPr>
        <w:t xml:space="preserve"> regulatory instrument requiring minimum, consistent protections for consumers affected by DFSV across the telecommunications sector</w:t>
      </w:r>
      <w:r w:rsidR="00F04B83" w:rsidRPr="00397701">
        <w:rPr>
          <w:rFonts w:ascii="Times New Roman" w:hAnsi="Times New Roman" w:cs="Times New Roman"/>
        </w:rPr>
        <w:t xml:space="preserve">. </w:t>
      </w:r>
      <w:r w:rsidR="00AD601A" w:rsidRPr="00397701">
        <w:rPr>
          <w:rFonts w:ascii="Times New Roman" w:hAnsi="Times New Roman" w:cs="Times New Roman"/>
        </w:rPr>
        <w:t xml:space="preserve">While some providers </w:t>
      </w:r>
      <w:r w:rsidRPr="00397701">
        <w:rPr>
          <w:rFonts w:ascii="Times New Roman" w:hAnsi="Times New Roman" w:cs="Times New Roman"/>
        </w:rPr>
        <w:t>have</w:t>
      </w:r>
      <w:r w:rsidR="00AD601A" w:rsidRPr="00397701">
        <w:rPr>
          <w:rFonts w:ascii="Times New Roman" w:hAnsi="Times New Roman" w:cs="Times New Roman"/>
        </w:rPr>
        <w:t xml:space="preserve"> taken steps to adopt practices that support affected consumers, the level of uptake and implementation across the sector </w:t>
      </w:r>
      <w:r w:rsidR="00C96CB1" w:rsidRPr="00397701">
        <w:rPr>
          <w:rFonts w:ascii="Times New Roman" w:hAnsi="Times New Roman" w:cs="Times New Roman"/>
        </w:rPr>
        <w:t>is</w:t>
      </w:r>
      <w:r w:rsidR="00AD601A" w:rsidRPr="00397701">
        <w:rPr>
          <w:rFonts w:ascii="Times New Roman" w:hAnsi="Times New Roman" w:cs="Times New Roman"/>
        </w:rPr>
        <w:t xml:space="preserve"> unclear.</w:t>
      </w:r>
      <w:r w:rsidR="00514416" w:rsidRPr="00397701">
        <w:rPr>
          <w:rFonts w:ascii="Times New Roman" w:hAnsi="Times New Roman" w:cs="Times New Roman"/>
        </w:rPr>
        <w:t xml:space="preserve"> </w:t>
      </w:r>
      <w:r w:rsidRPr="00397701">
        <w:rPr>
          <w:rFonts w:ascii="Times New Roman" w:hAnsi="Times New Roman" w:cs="Times New Roman"/>
        </w:rPr>
        <w:t>Recognising</w:t>
      </w:r>
      <w:r w:rsidR="00F04B83" w:rsidRPr="00397701">
        <w:rPr>
          <w:rFonts w:ascii="Times New Roman" w:hAnsi="Times New Roman" w:cs="Times New Roman"/>
        </w:rPr>
        <w:t xml:space="preserve"> the importance of this issue, the </w:t>
      </w:r>
      <w:r w:rsidR="008B1A18" w:rsidRPr="00397701">
        <w:rPr>
          <w:rFonts w:ascii="Times New Roman" w:hAnsi="Times New Roman" w:cs="Times New Roman"/>
        </w:rPr>
        <w:t>Australian</w:t>
      </w:r>
      <w:r w:rsidRPr="00397701">
        <w:rPr>
          <w:rFonts w:ascii="Times New Roman" w:hAnsi="Times New Roman" w:cs="Times New Roman"/>
        </w:rPr>
        <w:t xml:space="preserve"> G</w:t>
      </w:r>
      <w:r w:rsidR="00F04B83" w:rsidRPr="00397701">
        <w:rPr>
          <w:rFonts w:ascii="Times New Roman" w:hAnsi="Times New Roman" w:cs="Times New Roman"/>
        </w:rPr>
        <w:t>overnment</w:t>
      </w:r>
      <w:r w:rsidR="00F04B83" w:rsidRPr="00397701" w:rsidDel="00C96CB1">
        <w:rPr>
          <w:rFonts w:ascii="Times New Roman" w:hAnsi="Times New Roman" w:cs="Times New Roman"/>
        </w:rPr>
        <w:t xml:space="preserve"> </w:t>
      </w:r>
      <w:r w:rsidR="00F04B83" w:rsidRPr="00397701">
        <w:rPr>
          <w:rFonts w:ascii="Times New Roman" w:hAnsi="Times New Roman" w:cs="Times New Roman"/>
        </w:rPr>
        <w:t xml:space="preserve">determined that </w:t>
      </w:r>
      <w:r w:rsidR="00C96CB1" w:rsidRPr="00397701">
        <w:rPr>
          <w:rFonts w:ascii="Times New Roman" w:hAnsi="Times New Roman"/>
        </w:rPr>
        <w:t xml:space="preserve">enforceable </w:t>
      </w:r>
      <w:r w:rsidRPr="00397701">
        <w:rPr>
          <w:rFonts w:ascii="Times New Roman" w:hAnsi="Times New Roman"/>
        </w:rPr>
        <w:t>obligations</w:t>
      </w:r>
      <w:r w:rsidR="00C96CB1" w:rsidRPr="00397701">
        <w:rPr>
          <w:rFonts w:ascii="Times New Roman" w:hAnsi="Times New Roman"/>
        </w:rPr>
        <w:t xml:space="preserve"> </w:t>
      </w:r>
      <w:r w:rsidR="00CE5002" w:rsidRPr="00397701">
        <w:rPr>
          <w:rFonts w:ascii="Times New Roman" w:hAnsi="Times New Roman"/>
        </w:rPr>
        <w:t>are</w:t>
      </w:r>
      <w:r w:rsidR="00C96CB1" w:rsidRPr="00397701">
        <w:rPr>
          <w:rFonts w:ascii="Times New Roman" w:hAnsi="Times New Roman"/>
        </w:rPr>
        <w:t xml:space="preserve"> necessary </w:t>
      </w:r>
      <w:r w:rsidR="00514416" w:rsidRPr="00397701">
        <w:rPr>
          <w:rFonts w:ascii="Times New Roman" w:hAnsi="Times New Roman"/>
        </w:rPr>
        <w:t>so that</w:t>
      </w:r>
      <w:r w:rsidR="00C96CB1" w:rsidRPr="00397701">
        <w:rPr>
          <w:rFonts w:ascii="Times New Roman" w:hAnsi="Times New Roman"/>
        </w:rPr>
        <w:t xml:space="preserve"> </w:t>
      </w:r>
      <w:r w:rsidRPr="00397701">
        <w:rPr>
          <w:rFonts w:ascii="Times New Roman" w:hAnsi="Times New Roman"/>
        </w:rPr>
        <w:t>all consumers</w:t>
      </w:r>
      <w:r w:rsidR="00C96CB1" w:rsidRPr="00397701">
        <w:rPr>
          <w:rFonts w:ascii="Times New Roman" w:hAnsi="Times New Roman"/>
        </w:rPr>
        <w:t xml:space="preserve"> affected by DFSV </w:t>
      </w:r>
      <w:r w:rsidRPr="00397701">
        <w:rPr>
          <w:rFonts w:ascii="Times New Roman" w:hAnsi="Times New Roman"/>
        </w:rPr>
        <w:t>receive appropriate support from their</w:t>
      </w:r>
      <w:r w:rsidR="00C96CB1" w:rsidRPr="00397701">
        <w:rPr>
          <w:rFonts w:ascii="Times New Roman" w:hAnsi="Times New Roman"/>
        </w:rPr>
        <w:t xml:space="preserve"> telecommunications provider. The Minister’s Direction </w:t>
      </w:r>
      <w:r w:rsidRPr="00397701">
        <w:rPr>
          <w:rFonts w:ascii="Times New Roman" w:hAnsi="Times New Roman"/>
        </w:rPr>
        <w:t xml:space="preserve">acknowledges </w:t>
      </w:r>
      <w:r w:rsidR="00C96CB1" w:rsidRPr="00397701">
        <w:rPr>
          <w:rFonts w:ascii="Times New Roman" w:hAnsi="Times New Roman"/>
        </w:rPr>
        <w:t xml:space="preserve">the </w:t>
      </w:r>
      <w:r w:rsidRPr="00397701">
        <w:rPr>
          <w:rFonts w:ascii="Times New Roman" w:hAnsi="Times New Roman"/>
        </w:rPr>
        <w:t xml:space="preserve">essential role the </w:t>
      </w:r>
      <w:r w:rsidR="00C96CB1" w:rsidRPr="00397701">
        <w:rPr>
          <w:rFonts w:ascii="Times New Roman" w:hAnsi="Times New Roman"/>
        </w:rPr>
        <w:t>telecommunications sector play</w:t>
      </w:r>
      <w:r w:rsidRPr="00397701">
        <w:rPr>
          <w:rFonts w:ascii="Times New Roman" w:hAnsi="Times New Roman"/>
        </w:rPr>
        <w:t>s</w:t>
      </w:r>
      <w:r w:rsidR="00C96CB1" w:rsidRPr="00397701">
        <w:rPr>
          <w:rFonts w:ascii="Times New Roman" w:hAnsi="Times New Roman"/>
        </w:rPr>
        <w:t xml:space="preserve"> in </w:t>
      </w:r>
      <w:r w:rsidRPr="00397701">
        <w:rPr>
          <w:rFonts w:ascii="Times New Roman" w:hAnsi="Times New Roman"/>
        </w:rPr>
        <w:t>safeguarding</w:t>
      </w:r>
      <w:r w:rsidR="00C96CB1" w:rsidRPr="00397701">
        <w:rPr>
          <w:rFonts w:ascii="Times New Roman" w:hAnsi="Times New Roman"/>
        </w:rPr>
        <w:t xml:space="preserve"> victim-survivors and </w:t>
      </w:r>
      <w:r w:rsidRPr="00397701">
        <w:rPr>
          <w:rFonts w:ascii="Times New Roman" w:hAnsi="Times New Roman"/>
        </w:rPr>
        <w:t>supporting their rights to privacy, safety and ongoing connectivity.</w:t>
      </w:r>
      <w:r w:rsidR="00C96CB1" w:rsidRPr="00397701" w:rsidDel="00C96CB1">
        <w:rPr>
          <w:rFonts w:ascii="Times New Roman" w:hAnsi="Times New Roman"/>
        </w:rPr>
        <w:t xml:space="preserve"> </w:t>
      </w:r>
    </w:p>
    <w:p w14:paraId="03396909" w14:textId="04481547" w:rsidR="00A35BE2" w:rsidRPr="00397701" w:rsidRDefault="00A35BE2" w:rsidP="00A35BE2">
      <w:pPr>
        <w:spacing w:before="120" w:after="0"/>
        <w:rPr>
          <w:rFonts w:ascii="Times New Roman" w:hAnsi="Times New Roman"/>
          <w:b/>
          <w:i/>
          <w:iCs/>
          <w:lang w:val="en-US"/>
        </w:rPr>
      </w:pPr>
      <w:r w:rsidRPr="00397701">
        <w:rPr>
          <w:rFonts w:ascii="Times New Roman" w:hAnsi="Times New Roman"/>
          <w:b/>
          <w:i/>
          <w:iCs/>
          <w:lang w:val="en-US"/>
        </w:rPr>
        <w:t>Purpose</w:t>
      </w:r>
    </w:p>
    <w:p w14:paraId="0BD0511C" w14:textId="29D7FE19" w:rsidR="00C16334" w:rsidRPr="00397701" w:rsidRDefault="00A35BE2" w:rsidP="00C16334">
      <w:pPr>
        <w:spacing w:after="40"/>
        <w:rPr>
          <w:rFonts w:ascii="Times New Roman" w:hAnsi="Times New Roman"/>
          <w:lang w:val="en-US"/>
        </w:rPr>
      </w:pPr>
      <w:r w:rsidRPr="00397701">
        <w:rPr>
          <w:rFonts w:ascii="Times New Roman" w:hAnsi="Times New Roman"/>
          <w:lang w:val="en-US"/>
        </w:rPr>
        <w:t xml:space="preserve">The </w:t>
      </w:r>
      <w:r w:rsidR="0021176B" w:rsidRPr="00397701">
        <w:rPr>
          <w:rFonts w:ascii="Times New Roman" w:hAnsi="Times New Roman"/>
          <w:lang w:val="en-US"/>
        </w:rPr>
        <w:t xml:space="preserve">purpose of the </w:t>
      </w:r>
      <w:r w:rsidRPr="00397701">
        <w:rPr>
          <w:rFonts w:ascii="Times New Roman" w:hAnsi="Times New Roman"/>
          <w:lang w:val="en-US"/>
        </w:rPr>
        <w:t xml:space="preserve">Standard </w:t>
      </w:r>
      <w:r w:rsidR="00A36D94" w:rsidRPr="00397701">
        <w:rPr>
          <w:rFonts w:ascii="Times New Roman" w:hAnsi="Times New Roman"/>
          <w:lang w:val="en-US"/>
        </w:rPr>
        <w:t xml:space="preserve">is to ensure that </w:t>
      </w:r>
      <w:r w:rsidR="00A36D94" w:rsidRPr="00397701">
        <w:rPr>
          <w:rFonts w:ascii="Times New Roman" w:hAnsi="Times New Roman"/>
        </w:rPr>
        <w:t xml:space="preserve">carriers and </w:t>
      </w:r>
      <w:r w:rsidR="00ED7184" w:rsidRPr="00397701">
        <w:rPr>
          <w:rFonts w:ascii="Times New Roman" w:hAnsi="Times New Roman"/>
        </w:rPr>
        <w:t>carriage service providers (</w:t>
      </w:r>
      <w:r w:rsidR="00A36D94" w:rsidRPr="00397701">
        <w:rPr>
          <w:rFonts w:ascii="Times New Roman" w:hAnsi="Times New Roman"/>
          <w:b/>
          <w:bCs/>
        </w:rPr>
        <w:t>CSPs</w:t>
      </w:r>
      <w:r w:rsidR="00ED7184" w:rsidRPr="00397701">
        <w:rPr>
          <w:rFonts w:ascii="Times New Roman" w:hAnsi="Times New Roman"/>
        </w:rPr>
        <w:t>)</w:t>
      </w:r>
      <w:r w:rsidR="00A36D94" w:rsidRPr="00397701">
        <w:rPr>
          <w:rFonts w:ascii="Times New Roman" w:hAnsi="Times New Roman"/>
        </w:rPr>
        <w:t xml:space="preserve"> take effective</w:t>
      </w:r>
      <w:r w:rsidR="00CB3147" w:rsidRPr="00397701">
        <w:rPr>
          <w:rFonts w:ascii="Times New Roman" w:hAnsi="Times New Roman"/>
        </w:rPr>
        <w:t>, timely</w:t>
      </w:r>
      <w:r w:rsidR="00A36D94" w:rsidRPr="00397701">
        <w:rPr>
          <w:rFonts w:ascii="Times New Roman" w:hAnsi="Times New Roman"/>
        </w:rPr>
        <w:t xml:space="preserve"> and trauma-informed action </w:t>
      </w:r>
      <w:r w:rsidRPr="00397701">
        <w:rPr>
          <w:rFonts w:ascii="Times New Roman" w:hAnsi="Times New Roman"/>
          <w:lang w:val="en-US"/>
        </w:rPr>
        <w:t>to sup</w:t>
      </w:r>
      <w:r w:rsidR="007A7AB2" w:rsidRPr="00397701">
        <w:rPr>
          <w:rFonts w:ascii="Times New Roman" w:hAnsi="Times New Roman"/>
          <w:lang w:val="en-US"/>
        </w:rPr>
        <w:t xml:space="preserve">port </w:t>
      </w:r>
      <w:r w:rsidR="008330D5" w:rsidRPr="00397701">
        <w:rPr>
          <w:rFonts w:ascii="Times New Roman" w:hAnsi="Times New Roman"/>
          <w:lang w:val="en-US"/>
        </w:rPr>
        <w:t>telecommunications consumers who are, or may be, affected by domestic and family violence, and where relevant, sexual violence.</w:t>
      </w:r>
      <w:r w:rsidR="0051666C" w:rsidRPr="00397701">
        <w:rPr>
          <w:rFonts w:ascii="Times New Roman" w:hAnsi="Times New Roman"/>
          <w:lang w:val="en-US"/>
        </w:rPr>
        <w:t xml:space="preserve"> </w:t>
      </w:r>
    </w:p>
    <w:p w14:paraId="510538B4" w14:textId="526E3737" w:rsidR="00C16334" w:rsidRPr="00397701" w:rsidRDefault="00C16334" w:rsidP="00C16334">
      <w:pPr>
        <w:spacing w:after="40"/>
        <w:rPr>
          <w:rFonts w:ascii="Times New Roman" w:hAnsi="Times New Roman"/>
          <w:lang w:val="en-US"/>
        </w:rPr>
      </w:pPr>
      <w:r w:rsidRPr="00397701">
        <w:rPr>
          <w:rFonts w:ascii="Times New Roman" w:hAnsi="Times New Roman"/>
          <w:lang w:val="en-US"/>
        </w:rPr>
        <w:t>The Standard gives effect to the objectives set out in the Direction by:</w:t>
      </w:r>
    </w:p>
    <w:p w14:paraId="4793320D" w14:textId="77777777" w:rsidR="00C16334" w:rsidRPr="00397701" w:rsidRDefault="00C16334" w:rsidP="001D0578">
      <w:pPr>
        <w:numPr>
          <w:ilvl w:val="0"/>
          <w:numId w:val="4"/>
        </w:numPr>
        <w:spacing w:after="40"/>
        <w:rPr>
          <w:rFonts w:ascii="Times New Roman" w:hAnsi="Times New Roman"/>
        </w:rPr>
      </w:pPr>
      <w:r w:rsidRPr="00397701">
        <w:rPr>
          <w:rFonts w:ascii="Times New Roman" w:hAnsi="Times New Roman"/>
        </w:rPr>
        <w:t>requiring CSPs to take action to protect the safety and security of affected consumers;</w:t>
      </w:r>
    </w:p>
    <w:p w14:paraId="74F3E4F3" w14:textId="3E1B64D4" w:rsidR="00C16334" w:rsidRPr="00397701" w:rsidRDefault="00C16334" w:rsidP="001D0578">
      <w:pPr>
        <w:numPr>
          <w:ilvl w:val="0"/>
          <w:numId w:val="4"/>
        </w:numPr>
        <w:spacing w:after="40"/>
        <w:rPr>
          <w:rFonts w:ascii="Times New Roman" w:hAnsi="Times New Roman"/>
        </w:rPr>
      </w:pPr>
      <w:r w:rsidRPr="00397701">
        <w:rPr>
          <w:rFonts w:ascii="Times New Roman" w:hAnsi="Times New Roman"/>
        </w:rPr>
        <w:t>ensuring CSPs maintain the privacy of personal information and the security of telecommunications accounts;</w:t>
      </w:r>
    </w:p>
    <w:p w14:paraId="4BA34260" w14:textId="4E157853" w:rsidR="00C16334" w:rsidRPr="00397701" w:rsidRDefault="00C16334" w:rsidP="001D0578">
      <w:pPr>
        <w:numPr>
          <w:ilvl w:val="0"/>
          <w:numId w:val="4"/>
        </w:numPr>
        <w:spacing w:after="40"/>
        <w:rPr>
          <w:rFonts w:ascii="Times New Roman" w:hAnsi="Times New Roman"/>
        </w:rPr>
      </w:pPr>
      <w:r w:rsidRPr="00397701">
        <w:rPr>
          <w:rFonts w:ascii="Times New Roman" w:hAnsi="Times New Roman"/>
        </w:rPr>
        <w:t xml:space="preserve">mandating </w:t>
      </w:r>
      <w:r w:rsidR="00A74AC4" w:rsidRPr="00397701">
        <w:rPr>
          <w:rFonts w:ascii="Times New Roman" w:hAnsi="Times New Roman"/>
        </w:rPr>
        <w:t xml:space="preserve">personnel </w:t>
      </w:r>
      <w:r w:rsidRPr="00397701">
        <w:rPr>
          <w:rFonts w:ascii="Times New Roman" w:hAnsi="Times New Roman"/>
        </w:rPr>
        <w:t xml:space="preserve">training and </w:t>
      </w:r>
      <w:r w:rsidR="002C1052" w:rsidRPr="00397701">
        <w:rPr>
          <w:rFonts w:ascii="Times New Roman" w:hAnsi="Times New Roman"/>
        </w:rPr>
        <w:t xml:space="preserve">internal </w:t>
      </w:r>
      <w:r w:rsidRPr="00397701">
        <w:rPr>
          <w:rFonts w:ascii="Times New Roman" w:hAnsi="Times New Roman"/>
        </w:rPr>
        <w:t xml:space="preserve">support </w:t>
      </w:r>
      <w:r w:rsidR="002C1052" w:rsidRPr="00397701">
        <w:rPr>
          <w:rFonts w:ascii="Times New Roman" w:hAnsi="Times New Roman"/>
        </w:rPr>
        <w:t xml:space="preserve">structures </w:t>
      </w:r>
      <w:r w:rsidRPr="00397701">
        <w:rPr>
          <w:rFonts w:ascii="Times New Roman" w:hAnsi="Times New Roman"/>
        </w:rPr>
        <w:t xml:space="preserve">to enable appropriate identification </w:t>
      </w:r>
      <w:r w:rsidR="007354EE" w:rsidRPr="00397701">
        <w:rPr>
          <w:rFonts w:ascii="Times New Roman" w:hAnsi="Times New Roman"/>
        </w:rPr>
        <w:t xml:space="preserve">of, </w:t>
      </w:r>
      <w:r w:rsidRPr="00397701">
        <w:rPr>
          <w:rFonts w:ascii="Times New Roman" w:hAnsi="Times New Roman"/>
        </w:rPr>
        <w:t>and response</w:t>
      </w:r>
      <w:r w:rsidR="007354EE" w:rsidRPr="00397701">
        <w:rPr>
          <w:rFonts w:ascii="Times New Roman" w:hAnsi="Times New Roman"/>
        </w:rPr>
        <w:t>s</w:t>
      </w:r>
      <w:r w:rsidRPr="00397701">
        <w:rPr>
          <w:rFonts w:ascii="Times New Roman" w:hAnsi="Times New Roman"/>
        </w:rPr>
        <w:t xml:space="preserve"> to</w:t>
      </w:r>
      <w:r w:rsidR="00142AA9" w:rsidRPr="00397701">
        <w:rPr>
          <w:rFonts w:ascii="Times New Roman" w:hAnsi="Times New Roman"/>
        </w:rPr>
        <w:t>,</w:t>
      </w:r>
      <w:r w:rsidRPr="00397701">
        <w:rPr>
          <w:rFonts w:ascii="Times New Roman" w:hAnsi="Times New Roman"/>
        </w:rPr>
        <w:t xml:space="preserve"> affected consumers;</w:t>
      </w:r>
    </w:p>
    <w:p w14:paraId="51363FB4" w14:textId="202B8D96" w:rsidR="00C16334" w:rsidRPr="00397701" w:rsidRDefault="00C16334" w:rsidP="001D0578">
      <w:pPr>
        <w:numPr>
          <w:ilvl w:val="0"/>
          <w:numId w:val="4"/>
        </w:numPr>
        <w:spacing w:after="40"/>
        <w:rPr>
          <w:rFonts w:ascii="Times New Roman" w:hAnsi="Times New Roman"/>
        </w:rPr>
      </w:pPr>
      <w:r w:rsidRPr="00397701">
        <w:rPr>
          <w:rFonts w:ascii="Times New Roman" w:hAnsi="Times New Roman"/>
        </w:rPr>
        <w:t xml:space="preserve">promoting the development and implementation of policies and processes that </w:t>
      </w:r>
      <w:r w:rsidR="002C1052" w:rsidRPr="00397701">
        <w:rPr>
          <w:rFonts w:ascii="Times New Roman" w:hAnsi="Times New Roman"/>
        </w:rPr>
        <w:t>account for the</w:t>
      </w:r>
      <w:r w:rsidRPr="00397701">
        <w:rPr>
          <w:rFonts w:ascii="Times New Roman" w:hAnsi="Times New Roman"/>
        </w:rPr>
        <w:t xml:space="preserve"> needs of diverse</w:t>
      </w:r>
      <w:r w:rsidR="002C1052" w:rsidRPr="00397701">
        <w:rPr>
          <w:rFonts w:ascii="Times New Roman" w:hAnsi="Times New Roman"/>
        </w:rPr>
        <w:t xml:space="preserve"> and </w:t>
      </w:r>
      <w:r w:rsidRPr="00397701">
        <w:rPr>
          <w:rFonts w:ascii="Times New Roman" w:hAnsi="Times New Roman"/>
        </w:rPr>
        <w:t>disproportionately affected</w:t>
      </w:r>
      <w:r w:rsidR="002C1052" w:rsidRPr="00397701">
        <w:rPr>
          <w:rFonts w:ascii="Times New Roman" w:hAnsi="Times New Roman"/>
        </w:rPr>
        <w:t xml:space="preserve"> consumer groups</w:t>
      </w:r>
      <w:r w:rsidRPr="00397701">
        <w:rPr>
          <w:rFonts w:ascii="Times New Roman" w:hAnsi="Times New Roman"/>
        </w:rPr>
        <w:t>;</w:t>
      </w:r>
    </w:p>
    <w:p w14:paraId="2936CCA3" w14:textId="13BCDC41" w:rsidR="00C16334" w:rsidRPr="00397701" w:rsidRDefault="00C16334" w:rsidP="001D0578">
      <w:pPr>
        <w:numPr>
          <w:ilvl w:val="0"/>
          <w:numId w:val="4"/>
        </w:numPr>
        <w:spacing w:after="40"/>
        <w:rPr>
          <w:rFonts w:ascii="Times New Roman" w:hAnsi="Times New Roman"/>
        </w:rPr>
      </w:pPr>
      <w:r w:rsidRPr="00397701">
        <w:rPr>
          <w:rFonts w:ascii="Times New Roman" w:hAnsi="Times New Roman"/>
        </w:rPr>
        <w:t xml:space="preserve">requiring CSPs to </w:t>
      </w:r>
      <w:r w:rsidR="002C1052" w:rsidRPr="00397701">
        <w:rPr>
          <w:rFonts w:ascii="Times New Roman" w:hAnsi="Times New Roman"/>
        </w:rPr>
        <w:t>provide</w:t>
      </w:r>
      <w:r w:rsidRPr="00397701">
        <w:rPr>
          <w:rFonts w:ascii="Times New Roman" w:hAnsi="Times New Roman"/>
        </w:rPr>
        <w:t xml:space="preserve"> prompt and appropriate assistance to support affected consumers to remain safely connected to telecommunications services;</w:t>
      </w:r>
    </w:p>
    <w:p w14:paraId="36554070" w14:textId="77777777" w:rsidR="00C16334" w:rsidRPr="00397701" w:rsidRDefault="00C16334" w:rsidP="001D0578">
      <w:pPr>
        <w:numPr>
          <w:ilvl w:val="0"/>
          <w:numId w:val="4"/>
        </w:numPr>
        <w:spacing w:after="40"/>
        <w:rPr>
          <w:rFonts w:ascii="Times New Roman" w:hAnsi="Times New Roman"/>
        </w:rPr>
      </w:pPr>
      <w:r w:rsidRPr="00397701">
        <w:rPr>
          <w:rFonts w:ascii="Times New Roman" w:hAnsi="Times New Roman"/>
        </w:rPr>
        <w:t>reducing the risk of harm by identifying and addressing risks within telecommunications systems, processes and products;</w:t>
      </w:r>
    </w:p>
    <w:p w14:paraId="7F95DD81" w14:textId="0D0E2128" w:rsidR="00C16334" w:rsidRPr="00397701" w:rsidRDefault="00C16334" w:rsidP="001D0578">
      <w:pPr>
        <w:numPr>
          <w:ilvl w:val="0"/>
          <w:numId w:val="4"/>
        </w:numPr>
        <w:spacing w:after="40"/>
        <w:rPr>
          <w:rFonts w:ascii="Times New Roman" w:hAnsi="Times New Roman"/>
        </w:rPr>
      </w:pPr>
      <w:r w:rsidRPr="00397701">
        <w:rPr>
          <w:rFonts w:ascii="Times New Roman" w:hAnsi="Times New Roman"/>
        </w:rPr>
        <w:t xml:space="preserve">limiting the disclosure of information </w:t>
      </w:r>
      <w:r w:rsidR="002C1052" w:rsidRPr="00397701">
        <w:rPr>
          <w:rFonts w:ascii="Times New Roman" w:hAnsi="Times New Roman"/>
        </w:rPr>
        <w:t>in</w:t>
      </w:r>
      <w:r w:rsidRPr="00397701">
        <w:rPr>
          <w:rFonts w:ascii="Times New Roman" w:hAnsi="Times New Roman"/>
        </w:rPr>
        <w:t xml:space="preserve"> customer-facing communications that may </w:t>
      </w:r>
      <w:r w:rsidR="002C1052" w:rsidRPr="00397701">
        <w:rPr>
          <w:rFonts w:ascii="Times New Roman" w:hAnsi="Times New Roman"/>
        </w:rPr>
        <w:t>compromise a consumer’s</w:t>
      </w:r>
      <w:r w:rsidRPr="00397701">
        <w:rPr>
          <w:rFonts w:ascii="Times New Roman" w:hAnsi="Times New Roman"/>
        </w:rPr>
        <w:t xml:space="preserve"> safety;</w:t>
      </w:r>
    </w:p>
    <w:p w14:paraId="335F8F61" w14:textId="382CF34B" w:rsidR="00C16334" w:rsidRPr="00397701" w:rsidRDefault="00C16334" w:rsidP="001D0578">
      <w:pPr>
        <w:numPr>
          <w:ilvl w:val="0"/>
          <w:numId w:val="4"/>
        </w:numPr>
        <w:spacing w:after="40"/>
        <w:rPr>
          <w:rFonts w:ascii="Times New Roman" w:hAnsi="Times New Roman"/>
        </w:rPr>
      </w:pPr>
      <w:r w:rsidRPr="00397701">
        <w:rPr>
          <w:rFonts w:ascii="Times New Roman" w:hAnsi="Times New Roman"/>
        </w:rPr>
        <w:t xml:space="preserve">promoting </w:t>
      </w:r>
      <w:r w:rsidR="002C1052" w:rsidRPr="00397701">
        <w:rPr>
          <w:rFonts w:ascii="Times New Roman" w:hAnsi="Times New Roman"/>
        </w:rPr>
        <w:t xml:space="preserve">consumer </w:t>
      </w:r>
      <w:r w:rsidRPr="00397701">
        <w:rPr>
          <w:rFonts w:ascii="Times New Roman" w:hAnsi="Times New Roman"/>
        </w:rPr>
        <w:t xml:space="preserve">awareness of available assistance and referrals to </w:t>
      </w:r>
      <w:r w:rsidR="002C1052" w:rsidRPr="00397701">
        <w:rPr>
          <w:rFonts w:ascii="Times New Roman" w:hAnsi="Times New Roman"/>
        </w:rPr>
        <w:t xml:space="preserve">specialist </w:t>
      </w:r>
      <w:r w:rsidRPr="00397701">
        <w:rPr>
          <w:rFonts w:ascii="Times New Roman" w:hAnsi="Times New Roman"/>
        </w:rPr>
        <w:t>support services;</w:t>
      </w:r>
    </w:p>
    <w:p w14:paraId="740C5D44" w14:textId="65898D4F" w:rsidR="00C16334" w:rsidRPr="00397701" w:rsidRDefault="00C16334" w:rsidP="001D0578">
      <w:pPr>
        <w:numPr>
          <w:ilvl w:val="0"/>
          <w:numId w:val="4"/>
        </w:numPr>
        <w:spacing w:after="40"/>
        <w:rPr>
          <w:rFonts w:ascii="Times New Roman" w:hAnsi="Times New Roman"/>
        </w:rPr>
      </w:pPr>
      <w:r w:rsidRPr="00397701">
        <w:rPr>
          <w:rFonts w:ascii="Times New Roman" w:hAnsi="Times New Roman"/>
        </w:rPr>
        <w:t>requiring CSPs to maintain relevant records and demonstrate compliance</w:t>
      </w:r>
      <w:r w:rsidR="002C1052" w:rsidRPr="00397701">
        <w:rPr>
          <w:rFonts w:ascii="Times New Roman" w:hAnsi="Times New Roman"/>
        </w:rPr>
        <w:t xml:space="preserve"> with the Standard</w:t>
      </w:r>
      <w:r w:rsidRPr="00397701">
        <w:rPr>
          <w:rFonts w:ascii="Times New Roman" w:hAnsi="Times New Roman"/>
        </w:rPr>
        <w:t>; and</w:t>
      </w:r>
    </w:p>
    <w:p w14:paraId="1728BD46" w14:textId="7E041372" w:rsidR="00C16334" w:rsidRPr="00397701" w:rsidRDefault="00261925" w:rsidP="001D0578">
      <w:pPr>
        <w:numPr>
          <w:ilvl w:val="0"/>
          <w:numId w:val="4"/>
        </w:numPr>
        <w:spacing w:after="40"/>
        <w:rPr>
          <w:rFonts w:ascii="Times New Roman" w:hAnsi="Times New Roman"/>
        </w:rPr>
      </w:pPr>
      <w:r w:rsidRPr="00397701">
        <w:rPr>
          <w:rFonts w:ascii="Times New Roman" w:hAnsi="Times New Roman"/>
        </w:rPr>
        <w:t xml:space="preserve">encouraging CSPs to </w:t>
      </w:r>
      <w:r w:rsidR="008B1A18" w:rsidRPr="00397701">
        <w:rPr>
          <w:rFonts w:ascii="Times New Roman" w:hAnsi="Times New Roman"/>
        </w:rPr>
        <w:t xml:space="preserve">consider safe and appropriate </w:t>
      </w:r>
      <w:r w:rsidRPr="00397701">
        <w:rPr>
          <w:rFonts w:ascii="Times New Roman" w:hAnsi="Times New Roman"/>
        </w:rPr>
        <w:t>practices for staff in engaging</w:t>
      </w:r>
      <w:r w:rsidR="00C16334" w:rsidRPr="00397701">
        <w:rPr>
          <w:rFonts w:ascii="Times New Roman" w:hAnsi="Times New Roman"/>
        </w:rPr>
        <w:t xml:space="preserve"> with alleged perpetrators of DFSV.</w:t>
      </w:r>
    </w:p>
    <w:p w14:paraId="15AB45B9" w14:textId="065D5450" w:rsidR="00F04B83" w:rsidRPr="00397701" w:rsidRDefault="00F04B83" w:rsidP="00A35BE2">
      <w:pPr>
        <w:spacing w:after="40"/>
        <w:rPr>
          <w:rFonts w:ascii="Times New Roman" w:hAnsi="Times New Roman"/>
          <w:lang w:val="en-US"/>
        </w:rPr>
      </w:pPr>
    </w:p>
    <w:p w14:paraId="0C3403AD" w14:textId="77777777" w:rsidR="00524FD1" w:rsidRPr="00397701" w:rsidRDefault="00524FD1" w:rsidP="0092038A">
      <w:pPr>
        <w:spacing w:before="120" w:after="0"/>
        <w:rPr>
          <w:rFonts w:ascii="Times New Roman" w:hAnsi="Times New Roman"/>
          <w:b/>
          <w:bCs/>
        </w:rPr>
      </w:pPr>
    </w:p>
    <w:p w14:paraId="1154B754" w14:textId="19D14440" w:rsidR="00CD2A73" w:rsidRPr="00397701" w:rsidRDefault="00CD2A73" w:rsidP="00213FC2">
      <w:pPr>
        <w:keepNext/>
        <w:spacing w:before="120" w:after="0"/>
        <w:rPr>
          <w:rFonts w:ascii="Times New Roman" w:hAnsi="Times New Roman"/>
          <w:b/>
          <w:bCs/>
          <w:i/>
          <w:iCs/>
        </w:rPr>
      </w:pPr>
      <w:r w:rsidRPr="00397701">
        <w:rPr>
          <w:rFonts w:ascii="Times New Roman" w:hAnsi="Times New Roman"/>
          <w:b/>
          <w:bCs/>
          <w:i/>
          <w:iCs/>
        </w:rPr>
        <w:lastRenderedPageBreak/>
        <w:t xml:space="preserve">Operation </w:t>
      </w:r>
    </w:p>
    <w:p w14:paraId="36F30647" w14:textId="550DC415" w:rsidR="0092038A" w:rsidRPr="00397701" w:rsidRDefault="0092038A" w:rsidP="00D568A6">
      <w:pPr>
        <w:spacing w:before="120" w:after="0"/>
        <w:rPr>
          <w:rFonts w:ascii="Times New Roman" w:hAnsi="Times New Roman" w:cs="Times New Roman"/>
        </w:rPr>
      </w:pPr>
      <w:r w:rsidRPr="00397701">
        <w:rPr>
          <w:rFonts w:ascii="Times New Roman" w:hAnsi="Times New Roman" w:cs="Times New Roman"/>
        </w:rPr>
        <w:t xml:space="preserve">The Standard has been made to fulfil the requirements of the Direction. </w:t>
      </w:r>
      <w:r w:rsidR="002C1052" w:rsidRPr="00397701">
        <w:rPr>
          <w:rFonts w:ascii="Times New Roman" w:hAnsi="Times New Roman" w:cs="Times New Roman"/>
        </w:rPr>
        <w:t xml:space="preserve">It establishes enforceable consumer protections that apply to telecommunications providers dealing with </w:t>
      </w:r>
      <w:r w:rsidR="00641CC4">
        <w:rPr>
          <w:rFonts w:ascii="Times New Roman" w:hAnsi="Times New Roman" w:cs="Times New Roman"/>
        </w:rPr>
        <w:t>consumers</w:t>
      </w:r>
      <w:r w:rsidR="00641CC4" w:rsidRPr="00397701">
        <w:rPr>
          <w:rFonts w:ascii="Times New Roman" w:hAnsi="Times New Roman" w:cs="Times New Roman"/>
        </w:rPr>
        <w:t xml:space="preserve"> </w:t>
      </w:r>
      <w:r w:rsidR="002C1052" w:rsidRPr="00397701">
        <w:rPr>
          <w:rFonts w:ascii="Times New Roman" w:hAnsi="Times New Roman" w:cs="Times New Roman"/>
        </w:rPr>
        <w:t>who are, or may be, affected by domestic, family or sexual violence.</w:t>
      </w:r>
    </w:p>
    <w:p w14:paraId="5C608B92" w14:textId="0C2834F8" w:rsidR="00D568A6" w:rsidRPr="00397701" w:rsidRDefault="00D568A6" w:rsidP="00D568A6">
      <w:pPr>
        <w:spacing w:before="120" w:after="0"/>
        <w:rPr>
          <w:rFonts w:ascii="Times New Roman" w:hAnsi="Times New Roman" w:cs="Times New Roman"/>
        </w:rPr>
      </w:pPr>
      <w:r w:rsidRPr="00397701">
        <w:rPr>
          <w:rFonts w:ascii="Times New Roman" w:hAnsi="Times New Roman" w:cs="Times New Roman"/>
        </w:rPr>
        <w:t xml:space="preserve">Part 1 sets out the </w:t>
      </w:r>
      <w:r w:rsidR="002C1052" w:rsidRPr="00397701">
        <w:rPr>
          <w:rFonts w:ascii="Times New Roman" w:hAnsi="Times New Roman" w:cs="Times New Roman"/>
        </w:rPr>
        <w:t xml:space="preserve">name, </w:t>
      </w:r>
      <w:r w:rsidRPr="00397701">
        <w:rPr>
          <w:rFonts w:ascii="Times New Roman" w:hAnsi="Times New Roman" w:cs="Times New Roman"/>
        </w:rPr>
        <w:t>commencement</w:t>
      </w:r>
      <w:r w:rsidR="002C1052" w:rsidRPr="00397701">
        <w:rPr>
          <w:rFonts w:ascii="Times New Roman" w:hAnsi="Times New Roman" w:cs="Times New Roman"/>
        </w:rPr>
        <w:t xml:space="preserve"> date </w:t>
      </w:r>
      <w:r w:rsidRPr="00397701">
        <w:rPr>
          <w:rFonts w:ascii="Times New Roman" w:hAnsi="Times New Roman" w:cs="Times New Roman"/>
        </w:rPr>
        <w:t xml:space="preserve">and application of the Standard. </w:t>
      </w:r>
      <w:r w:rsidR="002C1052" w:rsidRPr="00397701">
        <w:rPr>
          <w:rFonts w:ascii="Times New Roman" w:hAnsi="Times New Roman" w:cs="Times New Roman"/>
        </w:rPr>
        <w:t xml:space="preserve">It includes definitions of key terms used throughout the instrument, and sets out to whom the Standard applies. </w:t>
      </w:r>
      <w:r w:rsidRPr="00397701">
        <w:rPr>
          <w:rFonts w:ascii="Times New Roman" w:hAnsi="Times New Roman" w:cs="Times New Roman"/>
        </w:rPr>
        <w:t>The Standard applies to CSPs that deal with residential</w:t>
      </w:r>
      <w:r w:rsidR="00E17661" w:rsidRPr="00397701">
        <w:rPr>
          <w:rFonts w:ascii="Times New Roman" w:hAnsi="Times New Roman" w:cs="Times New Roman"/>
        </w:rPr>
        <w:t xml:space="preserve">, </w:t>
      </w:r>
      <w:r w:rsidRPr="00397701">
        <w:rPr>
          <w:rFonts w:ascii="Times New Roman" w:hAnsi="Times New Roman" w:cs="Times New Roman"/>
        </w:rPr>
        <w:t xml:space="preserve">small business </w:t>
      </w:r>
      <w:r w:rsidR="00E17661" w:rsidRPr="00397701">
        <w:rPr>
          <w:rFonts w:ascii="Times New Roman" w:hAnsi="Times New Roman" w:cs="Times New Roman"/>
        </w:rPr>
        <w:t xml:space="preserve">and not-for-profit </w:t>
      </w:r>
      <w:r w:rsidR="00012820" w:rsidRPr="00397701">
        <w:rPr>
          <w:rFonts w:ascii="Times New Roman" w:hAnsi="Times New Roman" w:cs="Times New Roman"/>
        </w:rPr>
        <w:t>(</w:t>
      </w:r>
      <w:r w:rsidR="00012820" w:rsidRPr="003E2E24">
        <w:rPr>
          <w:rFonts w:ascii="Times New Roman" w:hAnsi="Times New Roman" w:cs="Times New Roman"/>
          <w:b/>
          <w:bCs/>
        </w:rPr>
        <w:t>NFP</w:t>
      </w:r>
      <w:r w:rsidR="00012820" w:rsidRPr="00397701">
        <w:rPr>
          <w:rFonts w:ascii="Times New Roman" w:hAnsi="Times New Roman" w:cs="Times New Roman"/>
        </w:rPr>
        <w:t>)</w:t>
      </w:r>
      <w:r w:rsidR="00E17661" w:rsidRPr="00397701">
        <w:rPr>
          <w:rFonts w:ascii="Times New Roman" w:hAnsi="Times New Roman" w:cs="Times New Roman"/>
        </w:rPr>
        <w:t xml:space="preserve"> </w:t>
      </w:r>
      <w:r w:rsidR="00C3743B">
        <w:rPr>
          <w:rFonts w:ascii="Times New Roman" w:hAnsi="Times New Roman" w:cs="Times New Roman"/>
        </w:rPr>
        <w:t>consumer</w:t>
      </w:r>
      <w:r w:rsidR="005B6A1E">
        <w:rPr>
          <w:rFonts w:ascii="Times New Roman" w:hAnsi="Times New Roman" w:cs="Times New Roman"/>
        </w:rPr>
        <w:t>s</w:t>
      </w:r>
      <w:r w:rsidR="00744F23" w:rsidRPr="00397701">
        <w:rPr>
          <w:rFonts w:ascii="Times New Roman" w:hAnsi="Times New Roman" w:cs="Times New Roman"/>
        </w:rPr>
        <w:t xml:space="preserve">, as well as to carriers in relation to </w:t>
      </w:r>
      <w:r w:rsidR="001B5DD3" w:rsidRPr="00397701">
        <w:rPr>
          <w:rFonts w:ascii="Times New Roman" w:hAnsi="Times New Roman" w:cs="Times New Roman"/>
        </w:rPr>
        <w:t>their supply of carriage services to CSPs</w:t>
      </w:r>
      <w:r w:rsidR="00ED7184" w:rsidRPr="00397701">
        <w:rPr>
          <w:rFonts w:ascii="Times New Roman" w:hAnsi="Times New Roman" w:cs="Times New Roman"/>
        </w:rPr>
        <w:t>.</w:t>
      </w:r>
      <w:r w:rsidR="00744F23" w:rsidRPr="00397701">
        <w:rPr>
          <w:rFonts w:ascii="Times New Roman" w:hAnsi="Times New Roman" w:cs="Times New Roman"/>
        </w:rPr>
        <w:t xml:space="preserve"> </w:t>
      </w:r>
      <w:r w:rsidRPr="00397701">
        <w:rPr>
          <w:rFonts w:ascii="Times New Roman" w:hAnsi="Times New Roman" w:cs="Times New Roman"/>
        </w:rPr>
        <w:t xml:space="preserve"> </w:t>
      </w:r>
    </w:p>
    <w:p w14:paraId="0FED1B2A" w14:textId="76D4191C" w:rsidR="00C32E88" w:rsidRPr="00397701" w:rsidRDefault="00D568A6" w:rsidP="00D568A6">
      <w:pPr>
        <w:spacing w:before="120" w:after="0"/>
        <w:rPr>
          <w:rFonts w:ascii="Times New Roman" w:hAnsi="Times New Roman" w:cs="Times New Roman"/>
        </w:rPr>
      </w:pPr>
      <w:r w:rsidRPr="00397701">
        <w:rPr>
          <w:rFonts w:ascii="Times New Roman" w:hAnsi="Times New Roman" w:cs="Times New Roman"/>
        </w:rPr>
        <w:t xml:space="preserve">Part 2 </w:t>
      </w:r>
      <w:r w:rsidR="001B5DD3" w:rsidRPr="00397701">
        <w:rPr>
          <w:rFonts w:ascii="Times New Roman" w:hAnsi="Times New Roman" w:cs="Times New Roman"/>
        </w:rPr>
        <w:t xml:space="preserve">requires that </w:t>
      </w:r>
      <w:r w:rsidR="005D7008" w:rsidRPr="00397701">
        <w:rPr>
          <w:rFonts w:ascii="Times New Roman" w:hAnsi="Times New Roman" w:cs="Times New Roman"/>
        </w:rPr>
        <w:t xml:space="preserve">where a consumer </w:t>
      </w:r>
      <w:r w:rsidR="00261925" w:rsidRPr="00397701">
        <w:rPr>
          <w:rFonts w:ascii="Times New Roman" w:hAnsi="Times New Roman" w:cs="Times New Roman"/>
        </w:rPr>
        <w:t xml:space="preserve">seeking support with their telecommunications products </w:t>
      </w:r>
      <w:r w:rsidR="005D7008" w:rsidRPr="00397701">
        <w:rPr>
          <w:rFonts w:ascii="Times New Roman" w:hAnsi="Times New Roman" w:cs="Times New Roman"/>
        </w:rPr>
        <w:t>discloses that they have experienced sexual violence outside of a DFV situation</w:t>
      </w:r>
      <w:r w:rsidR="001B5DD3" w:rsidRPr="00397701">
        <w:rPr>
          <w:rFonts w:ascii="Times New Roman" w:hAnsi="Times New Roman" w:cs="Times New Roman"/>
        </w:rPr>
        <w:t>, the CSP must treat the consumer as an affected person for the purposes of providing telecommunications support in accordance with specified provisions of the Standard</w:t>
      </w:r>
      <w:r w:rsidR="005D7008" w:rsidRPr="00397701">
        <w:rPr>
          <w:rFonts w:ascii="Times New Roman" w:hAnsi="Times New Roman" w:cs="Times New Roman"/>
        </w:rPr>
        <w:t xml:space="preserve">. </w:t>
      </w:r>
      <w:r w:rsidR="00C32E88" w:rsidRPr="00397701">
        <w:rPr>
          <w:rFonts w:ascii="Times New Roman" w:hAnsi="Times New Roman" w:cs="Times New Roman"/>
        </w:rPr>
        <w:t xml:space="preserve"> </w:t>
      </w:r>
    </w:p>
    <w:p w14:paraId="5A4C8314" w14:textId="3867C070" w:rsidR="005D7008" w:rsidRPr="00397701" w:rsidRDefault="005D7008" w:rsidP="00D568A6">
      <w:pPr>
        <w:spacing w:before="120" w:after="0"/>
        <w:rPr>
          <w:rFonts w:ascii="Times New Roman" w:hAnsi="Times New Roman" w:cs="Times New Roman"/>
        </w:rPr>
      </w:pPr>
      <w:r w:rsidRPr="00397701">
        <w:rPr>
          <w:rFonts w:ascii="Times New Roman" w:hAnsi="Times New Roman" w:cs="Times New Roman"/>
        </w:rPr>
        <w:t xml:space="preserve">Part 3 </w:t>
      </w:r>
      <w:r w:rsidR="00581C31" w:rsidRPr="00397701">
        <w:rPr>
          <w:rFonts w:ascii="Times New Roman" w:hAnsi="Times New Roman" w:cs="Times New Roman"/>
        </w:rPr>
        <w:t>sets out the advice and support that a CSP must offer an affected person. It includes minimum requirements about what information must be given to an affected person</w:t>
      </w:r>
      <w:r w:rsidR="001106FC" w:rsidRPr="00397701">
        <w:rPr>
          <w:rFonts w:ascii="Times New Roman" w:hAnsi="Times New Roman" w:cs="Times New Roman"/>
        </w:rPr>
        <w:t>,</w:t>
      </w:r>
      <w:r w:rsidR="00581C31" w:rsidRPr="00397701">
        <w:rPr>
          <w:rFonts w:ascii="Times New Roman" w:hAnsi="Times New Roman" w:cs="Times New Roman"/>
        </w:rPr>
        <w:t xml:space="preserve"> when</w:t>
      </w:r>
      <w:r w:rsidR="001E6C34" w:rsidRPr="00397701">
        <w:rPr>
          <w:rFonts w:ascii="Times New Roman" w:hAnsi="Times New Roman" w:cs="Times New Roman"/>
        </w:rPr>
        <w:t xml:space="preserve"> and</w:t>
      </w:r>
      <w:r w:rsidR="00581C31" w:rsidRPr="00397701">
        <w:rPr>
          <w:rFonts w:ascii="Times New Roman" w:hAnsi="Times New Roman" w:cs="Times New Roman"/>
        </w:rPr>
        <w:t xml:space="preserve"> how to communicate with them and </w:t>
      </w:r>
      <w:r w:rsidR="00570F54" w:rsidRPr="00397701">
        <w:rPr>
          <w:rFonts w:ascii="Times New Roman" w:hAnsi="Times New Roman" w:cs="Times New Roman"/>
        </w:rPr>
        <w:t xml:space="preserve">the </w:t>
      </w:r>
      <w:r w:rsidR="00581C31" w:rsidRPr="00397701">
        <w:rPr>
          <w:rFonts w:ascii="Times New Roman" w:hAnsi="Times New Roman" w:cs="Times New Roman"/>
        </w:rPr>
        <w:t>minimum support that must be offered.</w:t>
      </w:r>
    </w:p>
    <w:p w14:paraId="04791E83" w14:textId="14024EB1" w:rsidR="005D7008" w:rsidRPr="00397701" w:rsidRDefault="005D7008" w:rsidP="005D7008">
      <w:pPr>
        <w:spacing w:before="120" w:after="0"/>
        <w:rPr>
          <w:rFonts w:ascii="Times New Roman" w:hAnsi="Times New Roman" w:cs="Times New Roman"/>
        </w:rPr>
      </w:pPr>
      <w:r w:rsidRPr="00397701">
        <w:rPr>
          <w:rFonts w:ascii="Times New Roman" w:hAnsi="Times New Roman" w:cs="Times New Roman"/>
        </w:rPr>
        <w:t xml:space="preserve">Part 4 </w:t>
      </w:r>
      <w:r w:rsidR="001B5DD3" w:rsidRPr="00397701">
        <w:rPr>
          <w:rFonts w:ascii="Times New Roman" w:hAnsi="Times New Roman" w:cs="Times New Roman"/>
        </w:rPr>
        <w:t xml:space="preserve">requires that a CSP must publish a </w:t>
      </w:r>
      <w:r w:rsidRPr="00397701">
        <w:rPr>
          <w:rFonts w:ascii="Times New Roman" w:hAnsi="Times New Roman" w:cs="Times New Roman"/>
        </w:rPr>
        <w:t xml:space="preserve">DFV </w:t>
      </w:r>
      <w:r w:rsidR="002E2B16" w:rsidRPr="00397701">
        <w:rPr>
          <w:rFonts w:ascii="Times New Roman" w:hAnsi="Times New Roman" w:cs="Times New Roman"/>
        </w:rPr>
        <w:t>s</w:t>
      </w:r>
      <w:r w:rsidRPr="00397701">
        <w:rPr>
          <w:rFonts w:ascii="Times New Roman" w:hAnsi="Times New Roman" w:cs="Times New Roman"/>
        </w:rPr>
        <w:t>tatement</w:t>
      </w:r>
      <w:r w:rsidR="00A445A7">
        <w:rPr>
          <w:rFonts w:ascii="Times New Roman" w:hAnsi="Times New Roman" w:cs="Times New Roman"/>
        </w:rPr>
        <w:t>,</w:t>
      </w:r>
      <w:r w:rsidRPr="00397701">
        <w:rPr>
          <w:rFonts w:ascii="Times New Roman" w:hAnsi="Times New Roman" w:cs="Times New Roman"/>
        </w:rPr>
        <w:t xml:space="preserve"> </w:t>
      </w:r>
      <w:r w:rsidR="003B1D11" w:rsidRPr="00397701">
        <w:rPr>
          <w:rFonts w:ascii="Times New Roman" w:hAnsi="Times New Roman" w:cs="Times New Roman"/>
        </w:rPr>
        <w:t xml:space="preserve">and it </w:t>
      </w:r>
      <w:r w:rsidR="00570F54" w:rsidRPr="00397701">
        <w:rPr>
          <w:rFonts w:ascii="Times New Roman" w:hAnsi="Times New Roman" w:cs="Times New Roman"/>
        </w:rPr>
        <w:t xml:space="preserve">sets out </w:t>
      </w:r>
      <w:r w:rsidR="003B1D11" w:rsidRPr="00397701">
        <w:rPr>
          <w:rFonts w:ascii="Times New Roman" w:hAnsi="Times New Roman" w:cs="Times New Roman"/>
        </w:rPr>
        <w:t xml:space="preserve">minimum content and accessibility requirements </w:t>
      </w:r>
      <w:r w:rsidR="00570F54" w:rsidRPr="00397701">
        <w:rPr>
          <w:rFonts w:ascii="Times New Roman" w:hAnsi="Times New Roman" w:cs="Times New Roman"/>
        </w:rPr>
        <w:t xml:space="preserve">for </w:t>
      </w:r>
      <w:r w:rsidR="003B1D11" w:rsidRPr="00397701">
        <w:rPr>
          <w:rFonts w:ascii="Times New Roman" w:hAnsi="Times New Roman" w:cs="Times New Roman"/>
        </w:rPr>
        <w:t xml:space="preserve">the DFV </w:t>
      </w:r>
      <w:r w:rsidR="002E2B16" w:rsidRPr="00397701">
        <w:rPr>
          <w:rFonts w:ascii="Times New Roman" w:hAnsi="Times New Roman" w:cs="Times New Roman"/>
        </w:rPr>
        <w:t>s</w:t>
      </w:r>
      <w:r w:rsidR="003B1D11" w:rsidRPr="00397701">
        <w:rPr>
          <w:rFonts w:ascii="Times New Roman" w:hAnsi="Times New Roman" w:cs="Times New Roman"/>
        </w:rPr>
        <w:t xml:space="preserve">tatement.  It also includes requirements relating to the access a CSP must give an affected person to DFV </w:t>
      </w:r>
      <w:r w:rsidRPr="00397701">
        <w:rPr>
          <w:rFonts w:ascii="Times New Roman" w:hAnsi="Times New Roman" w:cs="Times New Roman"/>
        </w:rPr>
        <w:t xml:space="preserve">support </w:t>
      </w:r>
      <w:r w:rsidR="003B1D11" w:rsidRPr="00397701">
        <w:rPr>
          <w:rFonts w:ascii="Times New Roman" w:hAnsi="Times New Roman" w:cs="Times New Roman"/>
        </w:rPr>
        <w:t xml:space="preserve">services.  </w:t>
      </w:r>
    </w:p>
    <w:p w14:paraId="7ED74F27" w14:textId="0E46DB09" w:rsidR="00D568A6" w:rsidRPr="00397701" w:rsidRDefault="005D7008" w:rsidP="00D568A6">
      <w:pPr>
        <w:spacing w:before="120" w:after="0"/>
        <w:rPr>
          <w:rFonts w:ascii="Times New Roman" w:hAnsi="Times New Roman" w:cs="Times New Roman"/>
        </w:rPr>
      </w:pPr>
      <w:r w:rsidRPr="00397701">
        <w:rPr>
          <w:rFonts w:ascii="Times New Roman" w:hAnsi="Times New Roman" w:cs="Times New Roman"/>
        </w:rPr>
        <w:t xml:space="preserve">Part 5 </w:t>
      </w:r>
      <w:r w:rsidR="00D568A6" w:rsidRPr="00397701">
        <w:rPr>
          <w:rFonts w:ascii="Times New Roman" w:hAnsi="Times New Roman" w:cs="Times New Roman"/>
        </w:rPr>
        <w:t xml:space="preserve">requires CSPs to establish and comply with </w:t>
      </w:r>
      <w:r w:rsidR="003B1D11" w:rsidRPr="00397701">
        <w:rPr>
          <w:rFonts w:ascii="Times New Roman" w:hAnsi="Times New Roman" w:cs="Times New Roman"/>
        </w:rPr>
        <w:t xml:space="preserve">a DFV policy </w:t>
      </w:r>
      <w:r w:rsidR="00D568A6" w:rsidRPr="00397701">
        <w:rPr>
          <w:rFonts w:ascii="Times New Roman" w:hAnsi="Times New Roman" w:cs="Times New Roman"/>
        </w:rPr>
        <w:t xml:space="preserve">and </w:t>
      </w:r>
      <w:r w:rsidR="003B1D11" w:rsidRPr="00397701">
        <w:rPr>
          <w:rFonts w:ascii="Times New Roman" w:hAnsi="Times New Roman" w:cs="Times New Roman"/>
        </w:rPr>
        <w:t xml:space="preserve">DFV </w:t>
      </w:r>
      <w:r w:rsidR="00FD5F22" w:rsidRPr="00397701">
        <w:rPr>
          <w:rFonts w:ascii="Times New Roman" w:hAnsi="Times New Roman" w:cs="Times New Roman"/>
        </w:rPr>
        <w:t xml:space="preserve">procedures </w:t>
      </w:r>
      <w:r w:rsidR="00744F23" w:rsidRPr="00397701">
        <w:rPr>
          <w:rFonts w:ascii="Times New Roman" w:hAnsi="Times New Roman" w:cs="Times New Roman"/>
        </w:rPr>
        <w:t xml:space="preserve">for supporting affected </w:t>
      </w:r>
      <w:r w:rsidR="00BA6F26" w:rsidRPr="00397701">
        <w:rPr>
          <w:rFonts w:ascii="Times New Roman" w:hAnsi="Times New Roman" w:cs="Times New Roman"/>
        </w:rPr>
        <w:t>persons</w:t>
      </w:r>
      <w:r w:rsidR="00744F23" w:rsidRPr="00397701">
        <w:rPr>
          <w:rFonts w:ascii="Times New Roman" w:hAnsi="Times New Roman" w:cs="Times New Roman"/>
        </w:rPr>
        <w:t xml:space="preserve">. It specifies </w:t>
      </w:r>
      <w:r w:rsidR="00D568A6" w:rsidRPr="00397701">
        <w:rPr>
          <w:rFonts w:ascii="Times New Roman" w:hAnsi="Times New Roman" w:cs="Times New Roman"/>
        </w:rPr>
        <w:t xml:space="preserve">minimum content </w:t>
      </w:r>
      <w:r w:rsidR="00744F23" w:rsidRPr="00397701">
        <w:rPr>
          <w:rFonts w:ascii="Times New Roman" w:hAnsi="Times New Roman" w:cs="Times New Roman"/>
        </w:rPr>
        <w:t xml:space="preserve">for </w:t>
      </w:r>
      <w:r w:rsidR="003B1D11" w:rsidRPr="00397701">
        <w:rPr>
          <w:rFonts w:ascii="Times New Roman" w:hAnsi="Times New Roman" w:cs="Times New Roman"/>
        </w:rPr>
        <w:t xml:space="preserve">the policy </w:t>
      </w:r>
      <w:r w:rsidR="00FD5F22" w:rsidRPr="00397701">
        <w:rPr>
          <w:rFonts w:ascii="Times New Roman" w:hAnsi="Times New Roman" w:cs="Times New Roman"/>
        </w:rPr>
        <w:t>and procedures</w:t>
      </w:r>
      <w:r w:rsidR="00581C31" w:rsidRPr="00397701">
        <w:rPr>
          <w:rFonts w:ascii="Times New Roman" w:hAnsi="Times New Roman" w:cs="Times New Roman"/>
        </w:rPr>
        <w:t>.</w:t>
      </w:r>
    </w:p>
    <w:p w14:paraId="5FDD36A9" w14:textId="193D042A" w:rsidR="00816D7C" w:rsidRPr="00397701" w:rsidRDefault="00D568A6" w:rsidP="00816D7C">
      <w:pPr>
        <w:spacing w:before="120" w:after="0"/>
        <w:rPr>
          <w:rFonts w:ascii="Times New Roman" w:hAnsi="Times New Roman" w:cs="Times New Roman"/>
        </w:rPr>
      </w:pPr>
      <w:r w:rsidRPr="00397701">
        <w:rPr>
          <w:rFonts w:ascii="Times New Roman" w:hAnsi="Times New Roman" w:cs="Times New Roman"/>
        </w:rPr>
        <w:t xml:space="preserve">Part </w:t>
      </w:r>
      <w:r w:rsidR="00581C31" w:rsidRPr="00397701">
        <w:rPr>
          <w:rFonts w:ascii="Times New Roman" w:hAnsi="Times New Roman" w:cs="Times New Roman"/>
        </w:rPr>
        <w:t>6</w:t>
      </w:r>
      <w:r w:rsidRPr="00397701">
        <w:rPr>
          <w:rFonts w:ascii="Times New Roman" w:hAnsi="Times New Roman" w:cs="Times New Roman"/>
        </w:rPr>
        <w:t xml:space="preserve"> </w:t>
      </w:r>
      <w:r w:rsidR="00816D7C" w:rsidRPr="00397701">
        <w:rPr>
          <w:rFonts w:ascii="Times New Roman" w:hAnsi="Times New Roman" w:cs="Times New Roman"/>
        </w:rPr>
        <w:t>requires</w:t>
      </w:r>
      <w:r w:rsidR="003B1D11" w:rsidRPr="00397701">
        <w:rPr>
          <w:rFonts w:ascii="Times New Roman" w:hAnsi="Times New Roman" w:cs="Times New Roman"/>
        </w:rPr>
        <w:t xml:space="preserve"> that</w:t>
      </w:r>
      <w:r w:rsidRPr="00397701">
        <w:rPr>
          <w:rFonts w:ascii="Times New Roman" w:hAnsi="Times New Roman" w:cs="Times New Roman"/>
        </w:rPr>
        <w:t xml:space="preserve"> CSPs </w:t>
      </w:r>
      <w:r w:rsidR="003B1D11" w:rsidRPr="00397701">
        <w:rPr>
          <w:rFonts w:ascii="Times New Roman" w:hAnsi="Times New Roman" w:cs="Times New Roman"/>
        </w:rPr>
        <w:t xml:space="preserve">must deliver </w:t>
      </w:r>
      <w:r w:rsidR="00816D7C" w:rsidRPr="00397701">
        <w:rPr>
          <w:rFonts w:ascii="Times New Roman" w:hAnsi="Times New Roman" w:cs="Times New Roman"/>
        </w:rPr>
        <w:t xml:space="preserve">appropriate </w:t>
      </w:r>
      <w:r w:rsidR="00581C31" w:rsidRPr="00397701">
        <w:rPr>
          <w:rFonts w:ascii="Times New Roman" w:hAnsi="Times New Roman" w:cs="Times New Roman"/>
        </w:rPr>
        <w:t>DFV training for all</w:t>
      </w:r>
      <w:r w:rsidR="00816D7C" w:rsidRPr="00397701">
        <w:rPr>
          <w:rFonts w:ascii="Times New Roman" w:hAnsi="Times New Roman" w:cs="Times New Roman"/>
        </w:rPr>
        <w:t xml:space="preserve"> </w:t>
      </w:r>
      <w:r w:rsidRPr="00397701">
        <w:rPr>
          <w:rFonts w:ascii="Times New Roman" w:hAnsi="Times New Roman" w:cs="Times New Roman"/>
        </w:rPr>
        <w:t>personnel</w:t>
      </w:r>
      <w:r w:rsidR="003B1D11" w:rsidRPr="00397701">
        <w:rPr>
          <w:rFonts w:ascii="Times New Roman" w:hAnsi="Times New Roman" w:cs="Times New Roman"/>
        </w:rPr>
        <w:t xml:space="preserve"> who are involved, either directly or indirectly, with consumers in Australia</w:t>
      </w:r>
      <w:r w:rsidR="00581C31" w:rsidRPr="00397701">
        <w:rPr>
          <w:rFonts w:ascii="Times New Roman" w:hAnsi="Times New Roman" w:cs="Times New Roman"/>
        </w:rPr>
        <w:t>. It require</w:t>
      </w:r>
      <w:r w:rsidR="00F20F54" w:rsidRPr="00397701">
        <w:rPr>
          <w:rFonts w:ascii="Times New Roman" w:hAnsi="Times New Roman" w:cs="Times New Roman"/>
        </w:rPr>
        <w:t xml:space="preserve">s training on its DFV policy for </w:t>
      </w:r>
      <w:r w:rsidR="00631A66">
        <w:rPr>
          <w:rFonts w:ascii="Times New Roman" w:hAnsi="Times New Roman" w:cs="Times New Roman"/>
        </w:rPr>
        <w:t>these</w:t>
      </w:r>
      <w:r w:rsidR="00631A66" w:rsidRPr="00397701">
        <w:rPr>
          <w:rFonts w:ascii="Times New Roman" w:hAnsi="Times New Roman" w:cs="Times New Roman"/>
        </w:rPr>
        <w:t xml:space="preserve"> </w:t>
      </w:r>
      <w:r w:rsidR="00F20F54" w:rsidRPr="00397701">
        <w:rPr>
          <w:rFonts w:ascii="Times New Roman" w:hAnsi="Times New Roman" w:cs="Times New Roman"/>
        </w:rPr>
        <w:t>personnel</w:t>
      </w:r>
      <w:r w:rsidR="005E5BEB" w:rsidRPr="00397701">
        <w:rPr>
          <w:rFonts w:ascii="Times New Roman" w:hAnsi="Times New Roman" w:cs="Times New Roman"/>
        </w:rPr>
        <w:t>,</w:t>
      </w:r>
      <w:r w:rsidR="00F20F54" w:rsidRPr="00397701">
        <w:rPr>
          <w:rFonts w:ascii="Times New Roman" w:hAnsi="Times New Roman" w:cs="Times New Roman"/>
        </w:rPr>
        <w:t xml:space="preserve"> with more detailed training for customer</w:t>
      </w:r>
      <w:r w:rsidR="00F63611" w:rsidRPr="00397701">
        <w:rPr>
          <w:rFonts w:ascii="Times New Roman" w:hAnsi="Times New Roman" w:cs="Times New Roman"/>
        </w:rPr>
        <w:t>-</w:t>
      </w:r>
      <w:r w:rsidR="00F20F54" w:rsidRPr="00397701">
        <w:rPr>
          <w:rFonts w:ascii="Times New Roman" w:hAnsi="Times New Roman" w:cs="Times New Roman"/>
        </w:rPr>
        <w:t>facing personnel</w:t>
      </w:r>
      <w:r w:rsidR="005E5BEB" w:rsidRPr="00397701">
        <w:rPr>
          <w:rFonts w:ascii="Times New Roman" w:hAnsi="Times New Roman" w:cs="Times New Roman"/>
        </w:rPr>
        <w:t>,</w:t>
      </w:r>
      <w:r w:rsidR="00F20F54" w:rsidRPr="00397701">
        <w:rPr>
          <w:rFonts w:ascii="Times New Roman" w:hAnsi="Times New Roman" w:cs="Times New Roman"/>
        </w:rPr>
        <w:t xml:space="preserve"> including how to engage with and respond to affected persons</w:t>
      </w:r>
      <w:r w:rsidR="00816D7C" w:rsidRPr="00397701">
        <w:rPr>
          <w:rFonts w:ascii="Times New Roman" w:hAnsi="Times New Roman" w:cs="Times New Roman"/>
        </w:rPr>
        <w:t>.</w:t>
      </w:r>
    </w:p>
    <w:p w14:paraId="41EFD6F7" w14:textId="31FDA2A9" w:rsidR="00D568A6" w:rsidRPr="00397701" w:rsidRDefault="00D568A6" w:rsidP="00D568A6">
      <w:pPr>
        <w:spacing w:before="120" w:after="0"/>
        <w:rPr>
          <w:rFonts w:ascii="Times New Roman" w:hAnsi="Times New Roman" w:cs="Times New Roman"/>
        </w:rPr>
      </w:pPr>
      <w:r w:rsidRPr="00397701">
        <w:rPr>
          <w:rFonts w:ascii="Times New Roman" w:hAnsi="Times New Roman" w:cs="Times New Roman"/>
        </w:rPr>
        <w:t xml:space="preserve">Part </w:t>
      </w:r>
      <w:r w:rsidR="00581C31" w:rsidRPr="00397701">
        <w:rPr>
          <w:rFonts w:ascii="Times New Roman" w:hAnsi="Times New Roman" w:cs="Times New Roman"/>
        </w:rPr>
        <w:t>7</w:t>
      </w:r>
      <w:r w:rsidRPr="00397701">
        <w:rPr>
          <w:rFonts w:ascii="Times New Roman" w:hAnsi="Times New Roman" w:cs="Times New Roman"/>
        </w:rPr>
        <w:t xml:space="preserve"> </w:t>
      </w:r>
      <w:r w:rsidR="00FC735B" w:rsidRPr="00397701">
        <w:rPr>
          <w:rFonts w:ascii="Times New Roman" w:hAnsi="Times New Roman" w:cs="Times New Roman"/>
        </w:rPr>
        <w:t xml:space="preserve">sets out </w:t>
      </w:r>
      <w:r w:rsidR="00581C31" w:rsidRPr="00397701">
        <w:rPr>
          <w:rFonts w:ascii="Times New Roman" w:hAnsi="Times New Roman" w:cs="Times New Roman"/>
        </w:rPr>
        <w:t xml:space="preserve">requirements for monitoring and review </w:t>
      </w:r>
      <w:r w:rsidR="00F20F54" w:rsidRPr="00397701">
        <w:rPr>
          <w:rFonts w:ascii="Times New Roman" w:hAnsi="Times New Roman" w:cs="Times New Roman"/>
        </w:rPr>
        <w:t xml:space="preserve">of </w:t>
      </w:r>
      <w:r w:rsidR="00656878" w:rsidRPr="00397701">
        <w:rPr>
          <w:rFonts w:ascii="Times New Roman" w:hAnsi="Times New Roman" w:cs="Times New Roman"/>
        </w:rPr>
        <w:t xml:space="preserve">the DFV </w:t>
      </w:r>
      <w:r w:rsidR="00F20F54" w:rsidRPr="00397701">
        <w:rPr>
          <w:rFonts w:ascii="Times New Roman" w:hAnsi="Times New Roman" w:cs="Times New Roman"/>
        </w:rPr>
        <w:t>polic</w:t>
      </w:r>
      <w:r w:rsidR="00656878" w:rsidRPr="00397701">
        <w:rPr>
          <w:rFonts w:ascii="Times New Roman" w:hAnsi="Times New Roman" w:cs="Times New Roman"/>
        </w:rPr>
        <w:t>y</w:t>
      </w:r>
      <w:r w:rsidR="00F20F54" w:rsidRPr="00397701">
        <w:rPr>
          <w:rFonts w:ascii="Times New Roman" w:hAnsi="Times New Roman" w:cs="Times New Roman"/>
        </w:rPr>
        <w:t xml:space="preserve"> and </w:t>
      </w:r>
      <w:r w:rsidR="00656878" w:rsidRPr="00397701">
        <w:rPr>
          <w:rFonts w:ascii="Times New Roman" w:hAnsi="Times New Roman" w:cs="Times New Roman"/>
        </w:rPr>
        <w:t xml:space="preserve">DFV </w:t>
      </w:r>
      <w:r w:rsidR="00F20F54" w:rsidRPr="00397701">
        <w:rPr>
          <w:rFonts w:ascii="Times New Roman" w:hAnsi="Times New Roman" w:cs="Times New Roman"/>
        </w:rPr>
        <w:t>procedures and how staff are complying with these.</w:t>
      </w:r>
      <w:r w:rsidR="00FC735B" w:rsidRPr="00397701">
        <w:rPr>
          <w:rFonts w:ascii="Times New Roman" w:hAnsi="Times New Roman" w:cs="Times New Roman"/>
        </w:rPr>
        <w:t xml:space="preserve"> </w:t>
      </w:r>
      <w:r w:rsidR="00581C31" w:rsidRPr="00397701">
        <w:rPr>
          <w:rFonts w:ascii="Times New Roman" w:hAnsi="Times New Roman" w:cs="Times New Roman"/>
        </w:rPr>
        <w:t>It imposes require</w:t>
      </w:r>
      <w:r w:rsidR="00F20F54" w:rsidRPr="00397701">
        <w:rPr>
          <w:rFonts w:ascii="Times New Roman" w:hAnsi="Times New Roman" w:cs="Times New Roman"/>
        </w:rPr>
        <w:t>ments on</w:t>
      </w:r>
      <w:r w:rsidR="0025698B" w:rsidRPr="00397701">
        <w:rPr>
          <w:rFonts w:ascii="Times New Roman" w:hAnsi="Times New Roman" w:cs="Times New Roman"/>
        </w:rPr>
        <w:t xml:space="preserve"> a</w:t>
      </w:r>
      <w:r w:rsidR="00581C31" w:rsidRPr="00397701">
        <w:rPr>
          <w:rFonts w:ascii="Times New Roman" w:hAnsi="Times New Roman" w:cs="Times New Roman"/>
        </w:rPr>
        <w:t xml:space="preserve"> CSP to </w:t>
      </w:r>
      <w:r w:rsidR="00F20F54" w:rsidRPr="00397701">
        <w:rPr>
          <w:rFonts w:ascii="Times New Roman" w:hAnsi="Times New Roman" w:cs="Times New Roman"/>
        </w:rPr>
        <w:t>take action where it i</w:t>
      </w:r>
      <w:r w:rsidR="00581C31" w:rsidRPr="00397701">
        <w:rPr>
          <w:rFonts w:ascii="Times New Roman" w:hAnsi="Times New Roman" w:cs="Times New Roman"/>
        </w:rPr>
        <w:t>dentif</w:t>
      </w:r>
      <w:r w:rsidR="00F20F54" w:rsidRPr="00397701">
        <w:rPr>
          <w:rFonts w:ascii="Times New Roman" w:hAnsi="Times New Roman" w:cs="Times New Roman"/>
        </w:rPr>
        <w:t xml:space="preserve">ies </w:t>
      </w:r>
      <w:r w:rsidR="0025698B" w:rsidRPr="00397701">
        <w:rPr>
          <w:rFonts w:ascii="Times New Roman" w:hAnsi="Times New Roman" w:cs="Times New Roman"/>
        </w:rPr>
        <w:t>that the policy or procedures are not operating as intended</w:t>
      </w:r>
      <w:r w:rsidR="00E22CAB" w:rsidRPr="00397701">
        <w:rPr>
          <w:rFonts w:ascii="Times New Roman" w:hAnsi="Times New Roman" w:cs="Times New Roman"/>
        </w:rPr>
        <w:t>.</w:t>
      </w:r>
    </w:p>
    <w:p w14:paraId="2916A024" w14:textId="16DA35DF" w:rsidR="00D568A6" w:rsidRPr="00397701" w:rsidRDefault="00D568A6" w:rsidP="00D568A6">
      <w:pPr>
        <w:spacing w:before="120" w:after="0"/>
        <w:rPr>
          <w:rFonts w:ascii="Times New Roman" w:hAnsi="Times New Roman" w:cs="Times New Roman"/>
        </w:rPr>
      </w:pPr>
      <w:r w:rsidRPr="00397701">
        <w:rPr>
          <w:rFonts w:ascii="Times New Roman" w:hAnsi="Times New Roman" w:cs="Times New Roman"/>
        </w:rPr>
        <w:t xml:space="preserve">Part </w:t>
      </w:r>
      <w:r w:rsidR="00581C31" w:rsidRPr="00397701">
        <w:rPr>
          <w:rFonts w:ascii="Times New Roman" w:hAnsi="Times New Roman" w:cs="Times New Roman"/>
        </w:rPr>
        <w:t>8</w:t>
      </w:r>
      <w:r w:rsidR="00AC532C" w:rsidRPr="00397701">
        <w:rPr>
          <w:rFonts w:ascii="Times New Roman" w:hAnsi="Times New Roman" w:cs="Times New Roman"/>
        </w:rPr>
        <w:t xml:space="preserve"> </w:t>
      </w:r>
      <w:r w:rsidR="00E22CAB" w:rsidRPr="00397701">
        <w:rPr>
          <w:rFonts w:ascii="Times New Roman" w:hAnsi="Times New Roman" w:cs="Times New Roman"/>
        </w:rPr>
        <w:t>imposes</w:t>
      </w:r>
      <w:r w:rsidR="00AC532C" w:rsidRPr="00397701">
        <w:rPr>
          <w:rFonts w:ascii="Times New Roman" w:hAnsi="Times New Roman" w:cs="Times New Roman"/>
        </w:rPr>
        <w:t xml:space="preserve"> minimum requirements </w:t>
      </w:r>
      <w:r w:rsidR="00E22CAB" w:rsidRPr="00397701">
        <w:rPr>
          <w:rFonts w:ascii="Times New Roman" w:hAnsi="Times New Roman" w:cs="Times New Roman"/>
        </w:rPr>
        <w:t xml:space="preserve">on </w:t>
      </w:r>
      <w:r w:rsidR="00AC532C" w:rsidRPr="00397701">
        <w:rPr>
          <w:rFonts w:ascii="Times New Roman" w:hAnsi="Times New Roman" w:cs="Times New Roman"/>
        </w:rPr>
        <w:t xml:space="preserve">CSPs in relation to </w:t>
      </w:r>
      <w:r w:rsidR="00E22CAB" w:rsidRPr="00397701">
        <w:rPr>
          <w:rFonts w:ascii="Times New Roman" w:hAnsi="Times New Roman" w:cs="Times New Roman"/>
        </w:rPr>
        <w:t xml:space="preserve">account </w:t>
      </w:r>
      <w:r w:rsidR="00AC532C" w:rsidRPr="00397701">
        <w:rPr>
          <w:rFonts w:ascii="Times New Roman" w:hAnsi="Times New Roman" w:cs="Times New Roman"/>
        </w:rPr>
        <w:t xml:space="preserve">security and </w:t>
      </w:r>
      <w:r w:rsidR="00E22CAB" w:rsidRPr="00397701">
        <w:rPr>
          <w:rFonts w:ascii="Times New Roman" w:hAnsi="Times New Roman" w:cs="Times New Roman"/>
        </w:rPr>
        <w:t>the protection of personal information</w:t>
      </w:r>
      <w:r w:rsidR="00656878" w:rsidRPr="00397701">
        <w:rPr>
          <w:rFonts w:ascii="Times New Roman" w:hAnsi="Times New Roman" w:cs="Times New Roman"/>
        </w:rPr>
        <w:t xml:space="preserve"> of affected persons</w:t>
      </w:r>
      <w:r w:rsidR="00E22CAB" w:rsidRPr="00397701">
        <w:rPr>
          <w:rFonts w:ascii="Times New Roman" w:hAnsi="Times New Roman" w:cs="Times New Roman"/>
        </w:rPr>
        <w:t>. It includes obligations to</w:t>
      </w:r>
      <w:r w:rsidR="00656878" w:rsidRPr="00397701">
        <w:rPr>
          <w:rFonts w:ascii="Times New Roman" w:hAnsi="Times New Roman" w:cs="Times New Roman"/>
        </w:rPr>
        <w:t xml:space="preserve"> </w:t>
      </w:r>
      <w:r w:rsidR="00E22CAB" w:rsidRPr="00397701">
        <w:rPr>
          <w:rFonts w:ascii="Times New Roman" w:hAnsi="Times New Roman" w:cs="Times New Roman"/>
        </w:rPr>
        <w:t>prevent and respond to unauthorised access and misuse.</w:t>
      </w:r>
    </w:p>
    <w:p w14:paraId="53880FA3" w14:textId="0A825E92" w:rsidR="00A82AF9" w:rsidRPr="00397701" w:rsidRDefault="00D568A6" w:rsidP="00D568A6">
      <w:pPr>
        <w:spacing w:before="120" w:after="0"/>
        <w:rPr>
          <w:rFonts w:ascii="Times New Roman" w:hAnsi="Times New Roman" w:cs="Times New Roman"/>
        </w:rPr>
      </w:pPr>
      <w:r w:rsidRPr="00397701">
        <w:rPr>
          <w:rFonts w:ascii="Times New Roman" w:hAnsi="Times New Roman" w:cs="Times New Roman"/>
        </w:rPr>
        <w:t xml:space="preserve">Part </w:t>
      </w:r>
      <w:r w:rsidR="00581C31" w:rsidRPr="00397701">
        <w:rPr>
          <w:rFonts w:ascii="Times New Roman" w:hAnsi="Times New Roman" w:cs="Times New Roman"/>
        </w:rPr>
        <w:t>9</w:t>
      </w:r>
      <w:r w:rsidRPr="00397701">
        <w:rPr>
          <w:rFonts w:ascii="Times New Roman" w:hAnsi="Times New Roman" w:cs="Times New Roman"/>
        </w:rPr>
        <w:t xml:space="preserve"> </w:t>
      </w:r>
      <w:r w:rsidR="00880C57" w:rsidRPr="00397701">
        <w:rPr>
          <w:rFonts w:ascii="Times New Roman" w:hAnsi="Times New Roman" w:cs="Times New Roman"/>
        </w:rPr>
        <w:t>requires CSPs to keep records to demonstrate compliance with the Standard</w:t>
      </w:r>
      <w:r w:rsidRPr="00397701">
        <w:rPr>
          <w:rFonts w:ascii="Times New Roman" w:hAnsi="Times New Roman" w:cs="Times New Roman"/>
        </w:rPr>
        <w:t>.</w:t>
      </w:r>
      <w:r w:rsidR="00300A78" w:rsidRPr="00397701">
        <w:rPr>
          <w:rFonts w:ascii="Times New Roman" w:hAnsi="Times New Roman" w:cs="Times New Roman"/>
        </w:rPr>
        <w:t xml:space="preserve"> It also </w:t>
      </w:r>
      <w:r w:rsidR="00E22CAB" w:rsidRPr="00397701">
        <w:rPr>
          <w:rFonts w:ascii="Times New Roman" w:hAnsi="Times New Roman" w:cs="Times New Roman"/>
        </w:rPr>
        <w:t>includes requirements for</w:t>
      </w:r>
      <w:r w:rsidR="00300A78" w:rsidRPr="00397701">
        <w:rPr>
          <w:rFonts w:ascii="Times New Roman" w:hAnsi="Times New Roman" w:cs="Times New Roman"/>
        </w:rPr>
        <w:t xml:space="preserve"> record retention</w:t>
      </w:r>
      <w:r w:rsidR="00F20F54" w:rsidRPr="00397701">
        <w:rPr>
          <w:rFonts w:ascii="Times New Roman" w:hAnsi="Times New Roman" w:cs="Times New Roman"/>
        </w:rPr>
        <w:t xml:space="preserve"> and the </w:t>
      </w:r>
      <w:r w:rsidR="00300A78" w:rsidRPr="00397701">
        <w:rPr>
          <w:rFonts w:ascii="Times New Roman" w:hAnsi="Times New Roman" w:cs="Times New Roman"/>
        </w:rPr>
        <w:t>disposal or destruction</w:t>
      </w:r>
      <w:r w:rsidR="00F20F54" w:rsidRPr="00397701">
        <w:rPr>
          <w:rFonts w:ascii="Times New Roman" w:hAnsi="Times New Roman" w:cs="Times New Roman"/>
        </w:rPr>
        <w:t xml:space="preserve"> of specific materials</w:t>
      </w:r>
      <w:r w:rsidR="00300A78" w:rsidRPr="00397701">
        <w:rPr>
          <w:rFonts w:ascii="Times New Roman" w:hAnsi="Times New Roman" w:cs="Times New Roman"/>
        </w:rPr>
        <w:t>.</w:t>
      </w:r>
    </w:p>
    <w:p w14:paraId="79C7EC0F" w14:textId="275EF7F3" w:rsidR="00A36D94" w:rsidRPr="00397701" w:rsidRDefault="00A82AF9" w:rsidP="00D568A6">
      <w:pPr>
        <w:spacing w:before="120" w:after="0"/>
        <w:rPr>
          <w:rFonts w:ascii="Times New Roman" w:hAnsi="Times New Roman" w:cs="Times New Roman"/>
        </w:rPr>
      </w:pPr>
      <w:r w:rsidRPr="00397701">
        <w:rPr>
          <w:rFonts w:ascii="Times New Roman" w:hAnsi="Times New Roman" w:cs="Times New Roman"/>
        </w:rPr>
        <w:t xml:space="preserve">Part </w:t>
      </w:r>
      <w:r w:rsidR="00581C31" w:rsidRPr="00397701">
        <w:rPr>
          <w:rFonts w:ascii="Times New Roman" w:hAnsi="Times New Roman" w:cs="Times New Roman"/>
        </w:rPr>
        <w:t>10</w:t>
      </w:r>
      <w:r w:rsidRPr="00397701">
        <w:rPr>
          <w:rFonts w:ascii="Times New Roman" w:hAnsi="Times New Roman" w:cs="Times New Roman"/>
        </w:rPr>
        <w:t xml:space="preserve"> </w:t>
      </w:r>
      <w:r w:rsidR="00E22CAB" w:rsidRPr="00397701">
        <w:rPr>
          <w:rFonts w:ascii="Times New Roman" w:hAnsi="Times New Roman" w:cs="Times New Roman"/>
        </w:rPr>
        <w:t>requires</w:t>
      </w:r>
      <w:r w:rsidR="00486E7C" w:rsidRPr="00397701">
        <w:rPr>
          <w:rFonts w:ascii="Times New Roman" w:hAnsi="Times New Roman" w:cs="Times New Roman"/>
        </w:rPr>
        <w:t xml:space="preserve"> CSPs </w:t>
      </w:r>
      <w:r w:rsidR="00E22CAB" w:rsidRPr="00397701">
        <w:rPr>
          <w:rFonts w:ascii="Times New Roman" w:hAnsi="Times New Roman" w:cs="Times New Roman"/>
        </w:rPr>
        <w:t xml:space="preserve">to consult </w:t>
      </w:r>
      <w:r w:rsidR="00486E7C" w:rsidRPr="00397701">
        <w:rPr>
          <w:rFonts w:ascii="Times New Roman" w:hAnsi="Times New Roman" w:cs="Times New Roman"/>
        </w:rPr>
        <w:t xml:space="preserve">with </w:t>
      </w:r>
      <w:r w:rsidR="00E22CAB" w:rsidRPr="00397701">
        <w:rPr>
          <w:rFonts w:ascii="Times New Roman" w:hAnsi="Times New Roman" w:cs="Times New Roman"/>
        </w:rPr>
        <w:t xml:space="preserve">persons or bodies </w:t>
      </w:r>
      <w:r w:rsidR="00486E7C" w:rsidRPr="00397701">
        <w:rPr>
          <w:rFonts w:ascii="Times New Roman" w:hAnsi="Times New Roman" w:cs="Times New Roman"/>
        </w:rPr>
        <w:t xml:space="preserve">with DFV expertise in the development of their </w:t>
      </w:r>
      <w:r w:rsidR="00E22CAB" w:rsidRPr="00397701">
        <w:rPr>
          <w:rFonts w:ascii="Times New Roman" w:hAnsi="Times New Roman" w:cs="Times New Roman"/>
        </w:rPr>
        <w:t xml:space="preserve">DFV </w:t>
      </w:r>
      <w:r w:rsidR="00486E7C" w:rsidRPr="00397701">
        <w:rPr>
          <w:rFonts w:ascii="Times New Roman" w:hAnsi="Times New Roman" w:cs="Times New Roman"/>
        </w:rPr>
        <w:t xml:space="preserve">policies, </w:t>
      </w:r>
      <w:r w:rsidR="00F20F54" w:rsidRPr="00397701">
        <w:rPr>
          <w:rFonts w:ascii="Times New Roman" w:hAnsi="Times New Roman" w:cs="Times New Roman"/>
        </w:rPr>
        <w:t>procedures</w:t>
      </w:r>
      <w:r w:rsidR="00486E7C" w:rsidRPr="00397701">
        <w:rPr>
          <w:rFonts w:ascii="Times New Roman" w:hAnsi="Times New Roman" w:cs="Times New Roman"/>
        </w:rPr>
        <w:t xml:space="preserve"> and training</w:t>
      </w:r>
      <w:r w:rsidR="00E22CAB" w:rsidRPr="00397701">
        <w:rPr>
          <w:rFonts w:ascii="Times New Roman" w:hAnsi="Times New Roman" w:cs="Times New Roman"/>
        </w:rPr>
        <w:t xml:space="preserve"> materials</w:t>
      </w:r>
      <w:r w:rsidR="00486E7C" w:rsidRPr="00397701">
        <w:rPr>
          <w:rFonts w:ascii="Times New Roman" w:hAnsi="Times New Roman" w:cs="Times New Roman"/>
        </w:rPr>
        <w:t xml:space="preserve">. This is </w:t>
      </w:r>
      <w:r w:rsidR="00486E7C" w:rsidRPr="00397701" w:rsidDel="00E22CAB">
        <w:rPr>
          <w:rFonts w:ascii="Times New Roman" w:hAnsi="Times New Roman" w:cs="Times New Roman"/>
        </w:rPr>
        <w:t xml:space="preserve">to </w:t>
      </w:r>
      <w:r w:rsidR="00E22CAB" w:rsidRPr="00397701">
        <w:rPr>
          <w:rFonts w:ascii="Times New Roman" w:hAnsi="Times New Roman" w:cs="Times New Roman"/>
        </w:rPr>
        <w:t>support</w:t>
      </w:r>
      <w:r w:rsidR="00486E7C" w:rsidRPr="00397701">
        <w:rPr>
          <w:rFonts w:ascii="Times New Roman" w:hAnsi="Times New Roman" w:cs="Times New Roman"/>
        </w:rPr>
        <w:t xml:space="preserve"> a</w:t>
      </w:r>
      <w:r w:rsidR="001E6C34" w:rsidRPr="00397701">
        <w:rPr>
          <w:rFonts w:ascii="Times New Roman" w:hAnsi="Times New Roman" w:cs="Times New Roman"/>
        </w:rPr>
        <w:t>n</w:t>
      </w:r>
      <w:r w:rsidR="00486E7C" w:rsidRPr="00397701">
        <w:rPr>
          <w:rFonts w:ascii="Times New Roman" w:hAnsi="Times New Roman" w:cs="Times New Roman"/>
        </w:rPr>
        <w:t xml:space="preserve"> ‘</w:t>
      </w:r>
      <w:r w:rsidR="00F20F54" w:rsidRPr="00397701">
        <w:rPr>
          <w:rFonts w:ascii="Times New Roman" w:hAnsi="Times New Roman" w:cs="Times New Roman"/>
        </w:rPr>
        <w:t>inclusive</w:t>
      </w:r>
      <w:r w:rsidR="00486E7C" w:rsidRPr="00397701">
        <w:rPr>
          <w:rFonts w:ascii="Times New Roman" w:hAnsi="Times New Roman" w:cs="Times New Roman"/>
        </w:rPr>
        <w:t xml:space="preserve"> design’ approach</w:t>
      </w:r>
      <w:r w:rsidR="00300A78" w:rsidRPr="00397701">
        <w:rPr>
          <w:rFonts w:ascii="Times New Roman" w:hAnsi="Times New Roman" w:cs="Times New Roman"/>
        </w:rPr>
        <w:t xml:space="preserve"> </w:t>
      </w:r>
      <w:r w:rsidR="00E22CAB" w:rsidRPr="00397701">
        <w:rPr>
          <w:rFonts w:ascii="Times New Roman" w:hAnsi="Times New Roman" w:cs="Times New Roman"/>
        </w:rPr>
        <w:t xml:space="preserve">and improve </w:t>
      </w:r>
      <w:r w:rsidR="00486E7C" w:rsidRPr="00397701">
        <w:rPr>
          <w:rFonts w:ascii="Times New Roman" w:hAnsi="Times New Roman" w:cs="Times New Roman"/>
        </w:rPr>
        <w:t>outcomes for affected persons.</w:t>
      </w:r>
    </w:p>
    <w:p w14:paraId="29DB82C5" w14:textId="519C7676" w:rsidR="001D3751" w:rsidRPr="00397701" w:rsidRDefault="001D3751" w:rsidP="00D568A6">
      <w:pPr>
        <w:spacing w:before="120" w:after="0"/>
        <w:rPr>
          <w:rFonts w:ascii="Times New Roman" w:hAnsi="Times New Roman" w:cs="Times New Roman"/>
        </w:rPr>
      </w:pPr>
      <w:r w:rsidRPr="00397701">
        <w:rPr>
          <w:rFonts w:ascii="Times New Roman" w:hAnsi="Times New Roman" w:cs="Times New Roman"/>
        </w:rPr>
        <w:t>Part 1</w:t>
      </w:r>
      <w:r w:rsidR="00581C31" w:rsidRPr="00397701">
        <w:rPr>
          <w:rFonts w:ascii="Times New Roman" w:hAnsi="Times New Roman" w:cs="Times New Roman"/>
        </w:rPr>
        <w:t>1</w:t>
      </w:r>
      <w:r w:rsidRPr="00397701">
        <w:rPr>
          <w:rFonts w:ascii="Times New Roman" w:hAnsi="Times New Roman" w:cs="Times New Roman"/>
        </w:rPr>
        <w:t xml:space="preserve"> confers powers and functions on the Telecommunications Industry Ombudsman (</w:t>
      </w:r>
      <w:r w:rsidRPr="00397701">
        <w:rPr>
          <w:rFonts w:ascii="Times New Roman" w:hAnsi="Times New Roman" w:cs="Times New Roman"/>
          <w:b/>
          <w:bCs/>
        </w:rPr>
        <w:t>TIO</w:t>
      </w:r>
      <w:r w:rsidRPr="00397701">
        <w:rPr>
          <w:rFonts w:ascii="Times New Roman" w:hAnsi="Times New Roman" w:cs="Times New Roman"/>
        </w:rPr>
        <w:t xml:space="preserve">) in </w:t>
      </w:r>
      <w:r w:rsidR="00E22CAB" w:rsidRPr="00397701">
        <w:rPr>
          <w:rFonts w:ascii="Times New Roman" w:hAnsi="Times New Roman" w:cs="Times New Roman"/>
        </w:rPr>
        <w:t>relation to</w:t>
      </w:r>
      <w:r w:rsidRPr="00397701">
        <w:rPr>
          <w:rFonts w:ascii="Times New Roman" w:hAnsi="Times New Roman" w:cs="Times New Roman"/>
        </w:rPr>
        <w:t xml:space="preserve"> consumer complaints about the matters </w:t>
      </w:r>
      <w:r w:rsidR="00E22CAB" w:rsidRPr="00397701">
        <w:rPr>
          <w:rFonts w:ascii="Times New Roman" w:hAnsi="Times New Roman" w:cs="Times New Roman"/>
        </w:rPr>
        <w:t>covered by</w:t>
      </w:r>
      <w:r w:rsidRPr="00397701">
        <w:rPr>
          <w:rFonts w:ascii="Times New Roman" w:hAnsi="Times New Roman" w:cs="Times New Roman"/>
        </w:rPr>
        <w:t xml:space="preserve"> the Standard</w:t>
      </w:r>
      <w:r w:rsidR="000A7958" w:rsidRPr="00397701">
        <w:rPr>
          <w:rFonts w:ascii="Times New Roman" w:hAnsi="Times New Roman" w:cs="Times New Roman"/>
        </w:rPr>
        <w:t>, in order</w:t>
      </w:r>
      <w:r w:rsidR="00E22CAB" w:rsidRPr="00397701">
        <w:rPr>
          <w:rFonts w:ascii="Times New Roman" w:hAnsi="Times New Roman" w:cs="Times New Roman"/>
        </w:rPr>
        <w:t xml:space="preserve"> to</w:t>
      </w:r>
      <w:r w:rsidR="001761B6" w:rsidRPr="00397701">
        <w:rPr>
          <w:rFonts w:ascii="Times New Roman" w:hAnsi="Times New Roman" w:cs="Times New Roman"/>
        </w:rPr>
        <w:t xml:space="preserve"> provide</w:t>
      </w:r>
      <w:r w:rsidR="00E22CAB" w:rsidRPr="00397701">
        <w:rPr>
          <w:rFonts w:ascii="Times New Roman" w:hAnsi="Times New Roman" w:cs="Times New Roman"/>
        </w:rPr>
        <w:t xml:space="preserve"> effective dispute resolution pathways for affected consumers.</w:t>
      </w:r>
    </w:p>
    <w:p w14:paraId="01173E68" w14:textId="2CED2ED1" w:rsidR="00805358" w:rsidRPr="00397701" w:rsidRDefault="00025ACE" w:rsidP="00012820">
      <w:pPr>
        <w:spacing w:before="120" w:after="0"/>
        <w:rPr>
          <w:rFonts w:ascii="Times New Roman" w:hAnsi="Times New Roman" w:cs="Times New Roman"/>
        </w:rPr>
      </w:pPr>
      <w:r w:rsidRPr="00397701">
        <w:rPr>
          <w:rFonts w:ascii="Times New Roman" w:hAnsi="Times New Roman" w:cs="Times New Roman"/>
        </w:rPr>
        <w:t xml:space="preserve">A provision-by-provision </w:t>
      </w:r>
      <w:r w:rsidR="00805358" w:rsidRPr="00397701">
        <w:rPr>
          <w:rFonts w:ascii="Times New Roman" w:hAnsi="Times New Roman" w:cs="Times New Roman"/>
        </w:rPr>
        <w:t>description</w:t>
      </w:r>
      <w:r w:rsidRPr="00397701">
        <w:rPr>
          <w:rFonts w:ascii="Times New Roman" w:hAnsi="Times New Roman" w:cs="Times New Roman"/>
        </w:rPr>
        <w:t xml:space="preserve"> of the instrument is </w:t>
      </w:r>
      <w:r w:rsidR="00AD3414" w:rsidRPr="00397701">
        <w:rPr>
          <w:rFonts w:ascii="Times New Roman" w:hAnsi="Times New Roman" w:cs="Times New Roman"/>
        </w:rPr>
        <w:t>set out</w:t>
      </w:r>
      <w:r w:rsidR="001C4BF8" w:rsidRPr="00397701">
        <w:rPr>
          <w:rFonts w:ascii="Times New Roman" w:hAnsi="Times New Roman" w:cs="Times New Roman"/>
        </w:rPr>
        <w:t xml:space="preserve"> in the n</w:t>
      </w:r>
      <w:r w:rsidRPr="00397701">
        <w:rPr>
          <w:rFonts w:ascii="Times New Roman" w:hAnsi="Times New Roman" w:cs="Times New Roman"/>
        </w:rPr>
        <w:t>otes</w:t>
      </w:r>
      <w:r w:rsidR="001C4BF8" w:rsidRPr="00397701">
        <w:rPr>
          <w:rFonts w:ascii="Times New Roman" w:hAnsi="Times New Roman" w:cs="Times New Roman"/>
        </w:rPr>
        <w:t xml:space="preserve"> </w:t>
      </w:r>
      <w:r w:rsidRPr="00397701">
        <w:rPr>
          <w:rFonts w:ascii="Times New Roman" w:hAnsi="Times New Roman" w:cs="Times New Roman"/>
        </w:rPr>
        <w:t xml:space="preserve">at </w:t>
      </w:r>
      <w:r w:rsidRPr="00397701">
        <w:rPr>
          <w:rFonts w:ascii="Times New Roman" w:hAnsi="Times New Roman" w:cs="Times New Roman"/>
          <w:b/>
        </w:rPr>
        <w:t>Attachment A</w:t>
      </w:r>
      <w:r w:rsidRPr="00397701">
        <w:rPr>
          <w:rFonts w:ascii="Times New Roman" w:hAnsi="Times New Roman" w:cs="Times New Roman"/>
        </w:rPr>
        <w:t>.</w:t>
      </w:r>
    </w:p>
    <w:bookmarkEnd w:id="0"/>
    <w:p w14:paraId="6D026E2B" w14:textId="401DAA73" w:rsidR="00025ACE" w:rsidRPr="00397701" w:rsidRDefault="00805358" w:rsidP="00ED7184">
      <w:pPr>
        <w:spacing w:before="120" w:after="0"/>
        <w:rPr>
          <w:rFonts w:ascii="Times New Roman" w:hAnsi="Times New Roman" w:cs="Times New Roman"/>
        </w:rPr>
      </w:pPr>
      <w:r w:rsidRPr="00397701">
        <w:rPr>
          <w:rFonts w:ascii="Times New Roman" w:hAnsi="Times New Roman" w:cs="Times New Roman"/>
        </w:rPr>
        <w:t xml:space="preserve">The </w:t>
      </w:r>
      <w:r w:rsidR="00021B9B" w:rsidRPr="00397701">
        <w:rPr>
          <w:rFonts w:ascii="Times New Roman" w:hAnsi="Times New Roman" w:cs="Times New Roman"/>
        </w:rPr>
        <w:t xml:space="preserve">Standard </w:t>
      </w:r>
      <w:r w:rsidRPr="00397701">
        <w:rPr>
          <w:rFonts w:ascii="Times New Roman" w:hAnsi="Times New Roman" w:cs="Times New Roman"/>
        </w:rPr>
        <w:t xml:space="preserve">is a </w:t>
      </w:r>
      <w:r w:rsidR="00065037" w:rsidRPr="00397701">
        <w:rPr>
          <w:rFonts w:ascii="Times New Roman" w:hAnsi="Times New Roman" w:cs="Times New Roman"/>
        </w:rPr>
        <w:t>legisl</w:t>
      </w:r>
      <w:r w:rsidRPr="00397701">
        <w:rPr>
          <w:rFonts w:ascii="Times New Roman" w:hAnsi="Times New Roman" w:cs="Times New Roman"/>
        </w:rPr>
        <w:t xml:space="preserve">ative instrument for the purposes of the </w:t>
      </w:r>
      <w:r w:rsidRPr="00397701">
        <w:rPr>
          <w:rFonts w:ascii="Times New Roman" w:hAnsi="Times New Roman" w:cs="Times New Roman"/>
          <w:i/>
        </w:rPr>
        <w:t>Legislation Act 2003</w:t>
      </w:r>
      <w:r w:rsidR="00696659" w:rsidRPr="00397701">
        <w:rPr>
          <w:rFonts w:ascii="Times New Roman" w:hAnsi="Times New Roman" w:cs="Times New Roman"/>
          <w:i/>
        </w:rPr>
        <w:t xml:space="preserve"> </w:t>
      </w:r>
      <w:r w:rsidR="00696659" w:rsidRPr="00397701">
        <w:rPr>
          <w:rFonts w:ascii="Times New Roman" w:hAnsi="Times New Roman" w:cs="Times New Roman"/>
        </w:rPr>
        <w:t>(</w:t>
      </w:r>
      <w:r w:rsidR="00696659" w:rsidRPr="00397701">
        <w:rPr>
          <w:rFonts w:ascii="Times New Roman" w:hAnsi="Times New Roman" w:cs="Times New Roman"/>
          <w:bCs/>
        </w:rPr>
        <w:t>the</w:t>
      </w:r>
      <w:r w:rsidR="00696659" w:rsidRPr="00397701">
        <w:rPr>
          <w:rFonts w:ascii="Times New Roman" w:hAnsi="Times New Roman" w:cs="Times New Roman"/>
          <w:b/>
        </w:rPr>
        <w:t xml:space="preserve"> LA</w:t>
      </w:r>
      <w:r w:rsidR="00696659" w:rsidRPr="00397701">
        <w:rPr>
          <w:rFonts w:ascii="Times New Roman" w:hAnsi="Times New Roman" w:cs="Times New Roman"/>
        </w:rPr>
        <w:t>)</w:t>
      </w:r>
      <w:r w:rsidR="00F251E3" w:rsidRPr="00397701">
        <w:rPr>
          <w:rFonts w:ascii="Times New Roman" w:hAnsi="Times New Roman" w:cs="Times New Roman"/>
        </w:rPr>
        <w:t xml:space="preserve"> and is disallowable</w:t>
      </w:r>
      <w:r w:rsidR="00705921" w:rsidRPr="00397701">
        <w:rPr>
          <w:rFonts w:ascii="Times New Roman" w:hAnsi="Times New Roman" w:cs="Times New Roman"/>
        </w:rPr>
        <w:t xml:space="preserve"> and subject to the sunsetting provisions in Part 4 of Chapter 3 of the LA</w:t>
      </w:r>
      <w:r w:rsidR="00021B9B" w:rsidRPr="00397701">
        <w:rPr>
          <w:rFonts w:ascii="Times New Roman" w:hAnsi="Times New Roman" w:cs="Times New Roman"/>
        </w:rPr>
        <w:t>.</w:t>
      </w:r>
    </w:p>
    <w:p w14:paraId="0144DA63" w14:textId="77777777" w:rsidR="00D7447E" w:rsidRPr="00397701" w:rsidRDefault="00D7447E" w:rsidP="00D7447E">
      <w:pPr>
        <w:spacing w:before="120" w:after="0"/>
        <w:rPr>
          <w:rFonts w:ascii="Times New Roman" w:hAnsi="Times New Roman" w:cs="Times New Roman"/>
        </w:rPr>
      </w:pPr>
      <w:r w:rsidRPr="00397701">
        <w:rPr>
          <w:rFonts w:ascii="Times New Roman" w:hAnsi="Times New Roman" w:cs="Times New Roman"/>
        </w:rPr>
        <w:t>If a standard is contravened, the ACMA may:</w:t>
      </w:r>
    </w:p>
    <w:p w14:paraId="497AC9AD" w14:textId="77777777" w:rsidR="00D7447E" w:rsidRPr="00397701" w:rsidRDefault="00D7447E" w:rsidP="00D7447E">
      <w:pPr>
        <w:spacing w:before="120" w:after="0"/>
        <w:rPr>
          <w:rFonts w:ascii="Times New Roman" w:hAnsi="Times New Roman" w:cs="Times New Roman"/>
        </w:rPr>
      </w:pPr>
      <w:r w:rsidRPr="00397701">
        <w:rPr>
          <w:rFonts w:ascii="Times New Roman" w:hAnsi="Times New Roman" w:cs="Times New Roman"/>
        </w:rPr>
        <w:t>&gt;     issue a formal warning</w:t>
      </w:r>
    </w:p>
    <w:p w14:paraId="0697D728" w14:textId="77777777" w:rsidR="00D7447E" w:rsidRPr="00397701" w:rsidRDefault="00D7447E" w:rsidP="00D7447E">
      <w:pPr>
        <w:spacing w:before="120" w:after="0"/>
        <w:rPr>
          <w:rFonts w:ascii="Times New Roman" w:hAnsi="Times New Roman" w:cs="Times New Roman"/>
        </w:rPr>
      </w:pPr>
      <w:r w:rsidRPr="00397701">
        <w:rPr>
          <w:rFonts w:ascii="Times New Roman" w:hAnsi="Times New Roman" w:cs="Times New Roman"/>
        </w:rPr>
        <w:lastRenderedPageBreak/>
        <w:t>&gt;     give a remedial direction</w:t>
      </w:r>
    </w:p>
    <w:p w14:paraId="0A25C84A" w14:textId="77777777" w:rsidR="00D7447E" w:rsidRPr="00397701" w:rsidRDefault="00D7447E" w:rsidP="00D7447E">
      <w:pPr>
        <w:spacing w:before="120" w:after="0"/>
        <w:rPr>
          <w:rFonts w:ascii="Times New Roman" w:hAnsi="Times New Roman" w:cs="Times New Roman"/>
        </w:rPr>
      </w:pPr>
      <w:r w:rsidRPr="00397701">
        <w:rPr>
          <w:rFonts w:ascii="Times New Roman" w:hAnsi="Times New Roman" w:cs="Times New Roman"/>
        </w:rPr>
        <w:t>&gt;     accept an enforceable undertaking</w:t>
      </w:r>
    </w:p>
    <w:p w14:paraId="66817F8B" w14:textId="77777777" w:rsidR="00D7447E" w:rsidRPr="00397701" w:rsidRDefault="00D7447E" w:rsidP="00D7447E">
      <w:pPr>
        <w:spacing w:before="120" w:after="0"/>
        <w:rPr>
          <w:rFonts w:ascii="Times New Roman" w:hAnsi="Times New Roman" w:cs="Times New Roman"/>
        </w:rPr>
      </w:pPr>
      <w:r w:rsidRPr="00397701">
        <w:rPr>
          <w:rFonts w:ascii="Times New Roman" w:hAnsi="Times New Roman" w:cs="Times New Roman"/>
        </w:rPr>
        <w:t>&gt;     give an infringement notice</w:t>
      </w:r>
    </w:p>
    <w:p w14:paraId="1106EE56" w14:textId="77777777" w:rsidR="00D7447E" w:rsidRPr="00397701" w:rsidRDefault="00D7447E" w:rsidP="00DE1E5F">
      <w:pPr>
        <w:spacing w:before="120" w:after="0"/>
        <w:ind w:left="426" w:hanging="426"/>
        <w:rPr>
          <w:rFonts w:ascii="Times New Roman" w:hAnsi="Times New Roman" w:cs="Times New Roman"/>
        </w:rPr>
      </w:pPr>
      <w:r w:rsidRPr="00397701">
        <w:rPr>
          <w:rFonts w:ascii="Times New Roman" w:hAnsi="Times New Roman" w:cs="Times New Roman"/>
        </w:rPr>
        <w:t>&gt;     seek an injunction in the Federal Court to compel the person to act or refrain from acting in a particular way</w:t>
      </w:r>
    </w:p>
    <w:p w14:paraId="51F20FDD" w14:textId="77777777" w:rsidR="00D7447E" w:rsidRPr="00397701" w:rsidRDefault="00D7447E" w:rsidP="00DE1E5F">
      <w:pPr>
        <w:spacing w:before="120" w:after="0"/>
        <w:ind w:left="426" w:hanging="426"/>
        <w:rPr>
          <w:rFonts w:ascii="Times New Roman" w:hAnsi="Times New Roman" w:cs="Times New Roman"/>
        </w:rPr>
      </w:pPr>
      <w:r w:rsidRPr="00397701">
        <w:rPr>
          <w:rFonts w:ascii="Times New Roman" w:hAnsi="Times New Roman" w:cs="Times New Roman"/>
        </w:rPr>
        <w:t>&gt;     seek civil penalties via Federal Court proceedings (up to $50,000 for a person and $250,000 for a body corporate per contravention).</w:t>
      </w:r>
    </w:p>
    <w:p w14:paraId="3E644434" w14:textId="77777777" w:rsidR="00012820" w:rsidRPr="00397701" w:rsidRDefault="00012820" w:rsidP="00012820">
      <w:pPr>
        <w:spacing w:before="120" w:after="0"/>
        <w:rPr>
          <w:rFonts w:ascii="Times New Roman" w:hAnsi="Times New Roman" w:cs="Times New Roman"/>
        </w:rPr>
      </w:pPr>
    </w:p>
    <w:p w14:paraId="6A2E8396" w14:textId="77777777" w:rsidR="00BB076E" w:rsidRPr="00397701" w:rsidRDefault="00BB076E" w:rsidP="00012820">
      <w:pPr>
        <w:spacing w:before="120" w:after="0"/>
        <w:rPr>
          <w:rFonts w:ascii="Times New Roman" w:hAnsi="Times New Roman" w:cs="Times New Roman"/>
          <w:b/>
        </w:rPr>
      </w:pPr>
      <w:r w:rsidRPr="00397701">
        <w:rPr>
          <w:rFonts w:ascii="Times New Roman" w:hAnsi="Times New Roman" w:cs="Times New Roman"/>
          <w:b/>
        </w:rPr>
        <w:t>Documents incorporated by reference</w:t>
      </w:r>
    </w:p>
    <w:p w14:paraId="0E8A4854" w14:textId="77777777" w:rsidR="00561969" w:rsidRPr="00397701" w:rsidRDefault="00561969" w:rsidP="00561969">
      <w:pPr>
        <w:shd w:val="clear" w:color="auto" w:fill="FFFFFF"/>
        <w:spacing w:before="120" w:after="0" w:line="233" w:lineRule="atLeast"/>
        <w:rPr>
          <w:rFonts w:ascii="Times New Roman" w:hAnsi="Times New Roman"/>
          <w:color w:val="000000"/>
        </w:rPr>
      </w:pPr>
      <w:r w:rsidRPr="00397701">
        <w:rPr>
          <w:rFonts w:ascii="Times New Roman" w:hAnsi="Times New Roman"/>
          <w:color w:val="000000"/>
        </w:rPr>
        <w:t>Subsection 589(1) of the Act provides that an instrument under the Act may make provision in relation to a matter by applying, adopting or incorporating (with or without modifications) provisions of any Act as in force at a particular time, or as in force from time to time.</w:t>
      </w:r>
    </w:p>
    <w:p w14:paraId="6A0578CF" w14:textId="77777777" w:rsidR="00561969" w:rsidRPr="00397701" w:rsidRDefault="00561969" w:rsidP="00561969">
      <w:pPr>
        <w:shd w:val="clear" w:color="auto" w:fill="FFFFFF"/>
        <w:spacing w:before="120" w:after="0" w:line="233" w:lineRule="atLeast"/>
        <w:rPr>
          <w:rFonts w:ascii="Times New Roman" w:hAnsi="Times New Roman"/>
          <w:color w:val="000000"/>
        </w:rPr>
      </w:pPr>
      <w:r w:rsidRPr="00397701">
        <w:rPr>
          <w:rFonts w:ascii="Times New Roman" w:hAnsi="Times New Roman"/>
          <w:color w:val="000000"/>
        </w:rPr>
        <w:t>Subsection 589(2) of the Act provides that an instrument under the Act may make provision in relation to a matter by applying, adopting or incorporating (with or without modifications) matter contained in any other instrument or writing as in force or existing at a particular time, or as in force or existing from time to time, even if the other instrument or writing does not yet exist when the instrument made under the Act is made.</w:t>
      </w:r>
    </w:p>
    <w:p w14:paraId="613FC852" w14:textId="692300E9" w:rsidR="006B5F82" w:rsidRPr="00397701" w:rsidRDefault="00561969" w:rsidP="006B5F82">
      <w:pPr>
        <w:shd w:val="clear" w:color="auto" w:fill="FFFFFF"/>
        <w:spacing w:before="120" w:after="0" w:line="233" w:lineRule="atLeast"/>
        <w:rPr>
          <w:rFonts w:ascii="Times New Roman" w:hAnsi="Times New Roman"/>
          <w:color w:val="000000"/>
        </w:rPr>
      </w:pPr>
      <w:r w:rsidRPr="00397701">
        <w:rPr>
          <w:rFonts w:ascii="Times New Roman" w:hAnsi="Times New Roman"/>
          <w:color w:val="000000"/>
        </w:rPr>
        <w:t> </w:t>
      </w:r>
      <w:r w:rsidR="006B5F82" w:rsidRPr="00397701">
        <w:rPr>
          <w:rFonts w:ascii="Times New Roman" w:hAnsi="Times New Roman"/>
          <w:color w:val="000000"/>
        </w:rPr>
        <w:t xml:space="preserve">The Standard incorporates or refers to the following Acts and legislative instruments (including by the adoption of definitions), which are available free of charge on the Federal Register of Legislation </w:t>
      </w:r>
      <w:r w:rsidR="006B5F82" w:rsidRPr="00397701">
        <w:rPr>
          <w:rFonts w:ascii="Times New Roman" w:hAnsi="Times New Roman"/>
        </w:rPr>
        <w:t>(</w:t>
      </w:r>
      <w:r w:rsidR="008E48E6" w:rsidRPr="00397701">
        <w:rPr>
          <w:rFonts w:ascii="Times New Roman" w:hAnsi="Times New Roman"/>
        </w:rPr>
        <w:t>http://www.legislation.gov.au</w:t>
      </w:r>
      <w:r w:rsidR="006B5F82" w:rsidRPr="00397701">
        <w:rPr>
          <w:rFonts w:ascii="Times New Roman" w:hAnsi="Times New Roman"/>
        </w:rPr>
        <w:t>)</w:t>
      </w:r>
      <w:r w:rsidR="006B5F82" w:rsidRPr="00397701">
        <w:rPr>
          <w:rFonts w:ascii="Times New Roman" w:hAnsi="Times New Roman"/>
          <w:color w:val="000000"/>
        </w:rPr>
        <w:t xml:space="preserve"> (the </w:t>
      </w:r>
      <w:r w:rsidR="006B5F82" w:rsidRPr="00397701">
        <w:rPr>
          <w:rFonts w:ascii="Times New Roman" w:hAnsi="Times New Roman"/>
          <w:b/>
          <w:bCs/>
          <w:color w:val="000000"/>
        </w:rPr>
        <w:t>Register</w:t>
      </w:r>
      <w:r w:rsidR="006B5F82" w:rsidRPr="00397701">
        <w:rPr>
          <w:rFonts w:ascii="Times New Roman" w:hAnsi="Times New Roman"/>
          <w:color w:val="000000"/>
        </w:rPr>
        <w:t>):</w:t>
      </w:r>
    </w:p>
    <w:p w14:paraId="76B7F44E" w14:textId="58022CD9" w:rsidR="00692E7D" w:rsidRPr="00397701" w:rsidRDefault="00692E7D" w:rsidP="008A094D">
      <w:pPr>
        <w:pStyle w:val="ListParagraph"/>
        <w:numPr>
          <w:ilvl w:val="0"/>
          <w:numId w:val="39"/>
        </w:numPr>
        <w:shd w:val="clear" w:color="auto" w:fill="FFFFFF"/>
        <w:spacing w:before="120" w:after="0" w:line="233" w:lineRule="atLeast"/>
        <w:contextualSpacing w:val="0"/>
        <w:rPr>
          <w:rFonts w:ascii="Times New Roman" w:hAnsi="Times New Roman"/>
          <w:color w:val="000000"/>
        </w:rPr>
      </w:pPr>
      <w:r w:rsidRPr="00397701">
        <w:rPr>
          <w:rFonts w:ascii="Times New Roman" w:hAnsi="Times New Roman"/>
          <w:color w:val="000000"/>
        </w:rPr>
        <w:t>the</w:t>
      </w:r>
      <w:r w:rsidRPr="00397701">
        <w:rPr>
          <w:rFonts w:ascii="Times New Roman" w:hAnsi="Times New Roman"/>
          <w:i/>
          <w:iCs/>
          <w:color w:val="000000"/>
        </w:rPr>
        <w:t xml:space="preserve"> </w:t>
      </w:r>
      <w:r w:rsidRPr="00397701">
        <w:rPr>
          <w:rFonts w:ascii="Times New Roman" w:hAnsi="Times New Roman"/>
          <w:color w:val="000000"/>
        </w:rPr>
        <w:t>Act</w:t>
      </w:r>
    </w:p>
    <w:p w14:paraId="66F4E30B" w14:textId="7B92DB16" w:rsidR="006B5F82" w:rsidRPr="00397701" w:rsidRDefault="00587D18" w:rsidP="00424CEF">
      <w:pPr>
        <w:pStyle w:val="ListParagraph"/>
        <w:numPr>
          <w:ilvl w:val="0"/>
          <w:numId w:val="39"/>
        </w:numPr>
        <w:shd w:val="clear" w:color="auto" w:fill="FFFFFF"/>
        <w:spacing w:before="120" w:after="0" w:line="233" w:lineRule="atLeast"/>
        <w:contextualSpacing w:val="0"/>
        <w:rPr>
          <w:rFonts w:ascii="Times New Roman" w:hAnsi="Times New Roman"/>
          <w:color w:val="000000"/>
        </w:rPr>
      </w:pPr>
      <w:r w:rsidRPr="00397701">
        <w:rPr>
          <w:rFonts w:ascii="Times New Roman" w:hAnsi="Times New Roman"/>
          <w:color w:val="000000"/>
        </w:rPr>
        <w:t>the</w:t>
      </w:r>
      <w:r w:rsidRPr="00397701">
        <w:rPr>
          <w:rFonts w:ascii="Times New Roman" w:hAnsi="Times New Roman"/>
          <w:i/>
          <w:iCs/>
          <w:color w:val="000000"/>
        </w:rPr>
        <w:t xml:space="preserve"> </w:t>
      </w:r>
      <w:r w:rsidR="006B5F82" w:rsidRPr="00397701">
        <w:rPr>
          <w:rFonts w:ascii="Times New Roman" w:hAnsi="Times New Roman"/>
          <w:i/>
          <w:iCs/>
          <w:color w:val="000000"/>
        </w:rPr>
        <w:t xml:space="preserve">Acts Interpretation Act 1901 </w:t>
      </w:r>
      <w:r w:rsidR="006B5F82" w:rsidRPr="00397701">
        <w:rPr>
          <w:rFonts w:ascii="Times New Roman" w:hAnsi="Times New Roman"/>
          <w:color w:val="000000"/>
        </w:rPr>
        <w:t>(</w:t>
      </w:r>
      <w:r w:rsidR="006B5F82" w:rsidRPr="00397701">
        <w:rPr>
          <w:rFonts w:ascii="Times New Roman" w:hAnsi="Times New Roman"/>
          <w:b/>
          <w:bCs/>
          <w:color w:val="000000"/>
        </w:rPr>
        <w:t>AIA</w:t>
      </w:r>
      <w:r w:rsidR="006B5F82" w:rsidRPr="00397701">
        <w:rPr>
          <w:rFonts w:ascii="Times New Roman" w:hAnsi="Times New Roman"/>
          <w:color w:val="000000"/>
        </w:rPr>
        <w:t>)</w:t>
      </w:r>
    </w:p>
    <w:p w14:paraId="5BB6F8B5" w14:textId="4BEBE097" w:rsidR="006B5F82" w:rsidRPr="00397701" w:rsidRDefault="00587D18" w:rsidP="00424CEF">
      <w:pPr>
        <w:pStyle w:val="ListParagraph"/>
        <w:numPr>
          <w:ilvl w:val="0"/>
          <w:numId w:val="39"/>
        </w:numPr>
        <w:shd w:val="clear" w:color="auto" w:fill="FFFFFF"/>
        <w:spacing w:before="120" w:after="0" w:line="233" w:lineRule="atLeast"/>
        <w:contextualSpacing w:val="0"/>
        <w:rPr>
          <w:rFonts w:ascii="Times New Roman" w:hAnsi="Times New Roman"/>
          <w:color w:val="000000"/>
        </w:rPr>
      </w:pPr>
      <w:r w:rsidRPr="00397701">
        <w:rPr>
          <w:rFonts w:ascii="Times New Roman" w:hAnsi="Times New Roman"/>
          <w:color w:val="000000"/>
        </w:rPr>
        <w:t>the</w:t>
      </w:r>
      <w:r w:rsidRPr="00397701">
        <w:rPr>
          <w:rFonts w:ascii="Times New Roman" w:hAnsi="Times New Roman"/>
          <w:i/>
          <w:iCs/>
          <w:color w:val="000000"/>
        </w:rPr>
        <w:t xml:space="preserve"> </w:t>
      </w:r>
      <w:r w:rsidR="006B5F82" w:rsidRPr="00397701">
        <w:rPr>
          <w:rFonts w:ascii="Times New Roman" w:hAnsi="Times New Roman"/>
          <w:i/>
          <w:iCs/>
          <w:color w:val="000000"/>
        </w:rPr>
        <w:t>Broadcasting Services Act 1992</w:t>
      </w:r>
    </w:p>
    <w:p w14:paraId="09714AE6" w14:textId="03A7EF71" w:rsidR="00692E7D" w:rsidRPr="00397701" w:rsidRDefault="00692E7D" w:rsidP="008A094D">
      <w:pPr>
        <w:pStyle w:val="ListParagraph"/>
        <w:numPr>
          <w:ilvl w:val="0"/>
          <w:numId w:val="39"/>
        </w:numPr>
        <w:shd w:val="clear" w:color="auto" w:fill="FFFFFF"/>
        <w:spacing w:before="120" w:after="0" w:line="233" w:lineRule="atLeast"/>
        <w:contextualSpacing w:val="0"/>
        <w:rPr>
          <w:rFonts w:ascii="Times New Roman" w:hAnsi="Times New Roman"/>
          <w:color w:val="000000"/>
        </w:rPr>
      </w:pPr>
      <w:r w:rsidRPr="00397701">
        <w:rPr>
          <w:rFonts w:ascii="Times New Roman" w:hAnsi="Times New Roman"/>
          <w:color w:val="000000"/>
        </w:rPr>
        <w:t>the</w:t>
      </w:r>
      <w:r w:rsidRPr="00397701">
        <w:rPr>
          <w:rFonts w:ascii="Times New Roman" w:hAnsi="Times New Roman"/>
          <w:i/>
          <w:iCs/>
          <w:color w:val="000000"/>
        </w:rPr>
        <w:t xml:space="preserve"> </w:t>
      </w:r>
      <w:r w:rsidRPr="00397701">
        <w:rPr>
          <w:rFonts w:ascii="Times New Roman" w:hAnsi="Times New Roman"/>
          <w:color w:val="000000"/>
        </w:rPr>
        <w:t>Direction</w:t>
      </w:r>
    </w:p>
    <w:p w14:paraId="2A40D876" w14:textId="3AF6BAC8" w:rsidR="00692E7D" w:rsidRPr="00397701" w:rsidRDefault="00692E7D" w:rsidP="008A094D">
      <w:pPr>
        <w:pStyle w:val="ListParagraph"/>
        <w:numPr>
          <w:ilvl w:val="0"/>
          <w:numId w:val="39"/>
        </w:numPr>
        <w:shd w:val="clear" w:color="auto" w:fill="FFFFFF"/>
        <w:spacing w:before="120" w:after="0" w:line="233" w:lineRule="atLeast"/>
        <w:contextualSpacing w:val="0"/>
        <w:rPr>
          <w:rFonts w:ascii="Times New Roman" w:hAnsi="Times New Roman"/>
          <w:color w:val="000000"/>
        </w:rPr>
      </w:pPr>
      <w:r w:rsidRPr="00397701">
        <w:rPr>
          <w:rFonts w:ascii="Times New Roman" w:hAnsi="Times New Roman"/>
          <w:color w:val="000000"/>
        </w:rPr>
        <w:t>the</w:t>
      </w:r>
      <w:r w:rsidRPr="00397701">
        <w:rPr>
          <w:rFonts w:ascii="Times New Roman" w:hAnsi="Times New Roman"/>
          <w:i/>
          <w:iCs/>
          <w:color w:val="000000"/>
        </w:rPr>
        <w:t xml:space="preserve"> </w:t>
      </w:r>
      <w:r w:rsidRPr="00397701">
        <w:rPr>
          <w:rFonts w:ascii="Times New Roman" w:hAnsi="Times New Roman"/>
          <w:color w:val="000000"/>
        </w:rPr>
        <w:t>LA</w:t>
      </w:r>
    </w:p>
    <w:p w14:paraId="15701E2F" w14:textId="3313D59A" w:rsidR="006B5F82" w:rsidRPr="00397701" w:rsidRDefault="00692E7D" w:rsidP="00424CEF">
      <w:pPr>
        <w:pStyle w:val="ListParagraph"/>
        <w:numPr>
          <w:ilvl w:val="0"/>
          <w:numId w:val="39"/>
        </w:numPr>
        <w:shd w:val="clear" w:color="auto" w:fill="FFFFFF"/>
        <w:spacing w:before="120" w:after="0" w:line="233" w:lineRule="atLeast"/>
        <w:contextualSpacing w:val="0"/>
        <w:rPr>
          <w:rFonts w:ascii="Times New Roman" w:hAnsi="Times New Roman"/>
          <w:color w:val="000000"/>
        </w:rPr>
      </w:pPr>
      <w:r w:rsidRPr="00397701">
        <w:rPr>
          <w:rFonts w:ascii="Times New Roman" w:hAnsi="Times New Roman"/>
          <w:color w:val="000000"/>
        </w:rPr>
        <w:t>the</w:t>
      </w:r>
      <w:r w:rsidRPr="00397701">
        <w:rPr>
          <w:rFonts w:ascii="Times New Roman" w:hAnsi="Times New Roman"/>
          <w:i/>
          <w:iCs/>
          <w:color w:val="000000"/>
        </w:rPr>
        <w:t xml:space="preserve"> </w:t>
      </w:r>
      <w:r w:rsidR="006B5F82" w:rsidRPr="00397701">
        <w:rPr>
          <w:rFonts w:ascii="Times New Roman" w:hAnsi="Times New Roman"/>
          <w:i/>
          <w:iCs/>
          <w:color w:val="000000"/>
        </w:rPr>
        <w:t xml:space="preserve">Privacy Act 1988 </w:t>
      </w:r>
      <w:r w:rsidR="006B5F82" w:rsidRPr="00397701">
        <w:rPr>
          <w:rFonts w:ascii="Times New Roman" w:hAnsi="Times New Roman"/>
        </w:rPr>
        <w:t>(</w:t>
      </w:r>
      <w:r w:rsidR="006B5F82" w:rsidRPr="00397701">
        <w:rPr>
          <w:rFonts w:ascii="Times New Roman" w:hAnsi="Times New Roman"/>
          <w:b/>
          <w:bCs/>
        </w:rPr>
        <w:t>Privacy Act</w:t>
      </w:r>
      <w:r w:rsidR="006B5F82" w:rsidRPr="00397701">
        <w:rPr>
          <w:rFonts w:ascii="Times New Roman" w:hAnsi="Times New Roman"/>
        </w:rPr>
        <w:t>)</w:t>
      </w:r>
      <w:r w:rsidR="006B5F82" w:rsidRPr="00397701">
        <w:rPr>
          <w:rFonts w:ascii="Times New Roman" w:hAnsi="Times New Roman"/>
          <w:i/>
          <w:iCs/>
          <w:color w:val="000000"/>
        </w:rPr>
        <w:t xml:space="preserve"> </w:t>
      </w:r>
    </w:p>
    <w:p w14:paraId="006D0BAD" w14:textId="67E71A3A" w:rsidR="002A3AC0" w:rsidRPr="00397701" w:rsidRDefault="00705921" w:rsidP="00424CEF">
      <w:pPr>
        <w:pStyle w:val="ListParagraph"/>
        <w:numPr>
          <w:ilvl w:val="0"/>
          <w:numId w:val="39"/>
        </w:numPr>
        <w:shd w:val="clear" w:color="auto" w:fill="FFFFFF"/>
        <w:spacing w:before="120" w:after="0" w:line="233" w:lineRule="atLeast"/>
        <w:contextualSpacing w:val="0"/>
        <w:rPr>
          <w:rFonts w:ascii="Times New Roman" w:hAnsi="Times New Roman"/>
          <w:i/>
          <w:color w:val="000000"/>
        </w:rPr>
      </w:pPr>
      <w:r w:rsidRPr="00397701">
        <w:rPr>
          <w:rFonts w:ascii="Times New Roman" w:hAnsi="Times New Roman"/>
          <w:iCs/>
          <w:color w:val="000000"/>
        </w:rPr>
        <w:t>the</w:t>
      </w:r>
      <w:r w:rsidRPr="00397701">
        <w:rPr>
          <w:rFonts w:ascii="Times New Roman" w:hAnsi="Times New Roman"/>
          <w:i/>
          <w:color w:val="000000"/>
        </w:rPr>
        <w:t xml:space="preserve"> </w:t>
      </w:r>
      <w:r w:rsidR="002A3AC0" w:rsidRPr="00397701">
        <w:rPr>
          <w:rFonts w:ascii="Times New Roman" w:hAnsi="Times New Roman"/>
          <w:i/>
          <w:color w:val="000000"/>
        </w:rPr>
        <w:t>Telecommunications (Emergency Call Service) Determination 2019</w:t>
      </w:r>
    </w:p>
    <w:p w14:paraId="5A6B5603" w14:textId="223FB0C4" w:rsidR="00C57E72" w:rsidRPr="00397701" w:rsidRDefault="00692E7D" w:rsidP="00424CEF">
      <w:pPr>
        <w:pStyle w:val="ListParagraph"/>
        <w:numPr>
          <w:ilvl w:val="0"/>
          <w:numId w:val="39"/>
        </w:numPr>
        <w:shd w:val="clear" w:color="auto" w:fill="FFFFFF"/>
        <w:spacing w:before="120" w:after="0" w:line="233" w:lineRule="atLeast"/>
        <w:contextualSpacing w:val="0"/>
        <w:rPr>
          <w:rFonts w:ascii="Times New Roman" w:hAnsi="Times New Roman"/>
          <w:i/>
          <w:color w:val="000000"/>
        </w:rPr>
      </w:pPr>
      <w:r w:rsidRPr="00397701">
        <w:rPr>
          <w:rFonts w:ascii="Times New Roman" w:hAnsi="Times New Roman"/>
          <w:color w:val="000000"/>
        </w:rPr>
        <w:t>the</w:t>
      </w:r>
      <w:r w:rsidRPr="00397701">
        <w:rPr>
          <w:rFonts w:ascii="Times New Roman" w:hAnsi="Times New Roman"/>
          <w:i/>
          <w:iCs/>
          <w:color w:val="000000"/>
        </w:rPr>
        <w:t xml:space="preserve"> </w:t>
      </w:r>
      <w:r w:rsidR="006B5F82" w:rsidRPr="00397701">
        <w:rPr>
          <w:rFonts w:ascii="Times New Roman" w:hAnsi="Times New Roman"/>
          <w:i/>
          <w:color w:val="000000"/>
        </w:rPr>
        <w:t>Telecommunications (Financial Hardship) Industry Standard 2024</w:t>
      </w:r>
      <w:r w:rsidR="00915001" w:rsidRPr="00397701">
        <w:rPr>
          <w:rFonts w:ascii="Times New Roman" w:hAnsi="Times New Roman"/>
          <w:i/>
          <w:iCs/>
          <w:color w:val="000000"/>
        </w:rPr>
        <w:t>.</w:t>
      </w:r>
    </w:p>
    <w:p w14:paraId="507429C8" w14:textId="54F5BCAF" w:rsidR="006B5F82" w:rsidRPr="00397701" w:rsidRDefault="006B5F82" w:rsidP="006B5F82">
      <w:pPr>
        <w:spacing w:before="120" w:after="0"/>
        <w:rPr>
          <w:rFonts w:ascii="Times New Roman" w:hAnsi="Times New Roman"/>
        </w:rPr>
      </w:pPr>
      <w:r w:rsidRPr="00397701">
        <w:rPr>
          <w:rFonts w:ascii="Times New Roman" w:hAnsi="Times New Roman"/>
        </w:rPr>
        <w:t xml:space="preserve">The Acts </w:t>
      </w:r>
      <w:r w:rsidR="00C07F44" w:rsidRPr="00397701">
        <w:rPr>
          <w:rFonts w:ascii="Times New Roman" w:hAnsi="Times New Roman"/>
        </w:rPr>
        <w:t xml:space="preserve">and legislative instruments </w:t>
      </w:r>
      <w:r w:rsidRPr="00397701">
        <w:rPr>
          <w:rFonts w:ascii="Times New Roman" w:hAnsi="Times New Roman"/>
        </w:rPr>
        <w:t xml:space="preserve">listed above </w:t>
      </w:r>
      <w:r w:rsidR="000D4531" w:rsidRPr="00397701">
        <w:rPr>
          <w:rFonts w:ascii="Times New Roman" w:hAnsi="Times New Roman"/>
        </w:rPr>
        <w:t xml:space="preserve">that have been incorporated </w:t>
      </w:r>
      <w:r w:rsidRPr="00397701">
        <w:rPr>
          <w:rFonts w:ascii="Times New Roman" w:hAnsi="Times New Roman"/>
        </w:rPr>
        <w:t xml:space="preserve">are incorporated as in force from time to time, in accordance with section 10 of the AIA, subsection 13(1) of the LA and section 589 of the Act. </w:t>
      </w:r>
    </w:p>
    <w:p w14:paraId="66A583FC" w14:textId="67B4CCEC" w:rsidR="008A094D" w:rsidRPr="00397701" w:rsidRDefault="008A094D" w:rsidP="00406A9B">
      <w:pPr>
        <w:spacing w:before="120" w:after="0"/>
        <w:rPr>
          <w:rFonts w:ascii="Times New Roman" w:hAnsi="Times New Roman"/>
        </w:rPr>
      </w:pPr>
      <w:r w:rsidRPr="00397701">
        <w:rPr>
          <w:rFonts w:ascii="Times New Roman" w:hAnsi="Times New Roman"/>
        </w:rPr>
        <w:t xml:space="preserve">The Standard also incorporates, </w:t>
      </w:r>
      <w:r w:rsidR="00406A9B" w:rsidRPr="00397701">
        <w:rPr>
          <w:rFonts w:ascii="Times New Roman" w:hAnsi="Times New Roman"/>
        </w:rPr>
        <w:t>t</w:t>
      </w:r>
      <w:r w:rsidR="009E1246" w:rsidRPr="00397701">
        <w:rPr>
          <w:rFonts w:ascii="Times New Roman" w:hAnsi="Times New Roman" w:cs="Times New Roman"/>
        </w:rPr>
        <w:t>he</w:t>
      </w:r>
      <w:r w:rsidR="009E1246" w:rsidRPr="00397701">
        <w:rPr>
          <w:rFonts w:ascii="Times New Roman" w:hAnsi="Times New Roman" w:cs="Times New Roman"/>
          <w:b/>
          <w:bCs/>
          <w:i/>
          <w:iCs/>
        </w:rPr>
        <w:t xml:space="preserve"> </w:t>
      </w:r>
      <w:r w:rsidR="009E1246" w:rsidRPr="00397701">
        <w:rPr>
          <w:rFonts w:ascii="Times New Roman" w:hAnsi="Times New Roman" w:cs="Times New Roman"/>
          <w:i/>
          <w:iCs/>
        </w:rPr>
        <w:t>C525 Handling of Life Threatening and Unwelcome Communications Industry Code</w:t>
      </w:r>
      <w:r w:rsidR="00406A9B" w:rsidRPr="00397701">
        <w:rPr>
          <w:rFonts w:ascii="Times New Roman" w:hAnsi="Times New Roman" w:cs="Times New Roman"/>
          <w:i/>
          <w:iCs/>
        </w:rPr>
        <w:t>.</w:t>
      </w:r>
    </w:p>
    <w:p w14:paraId="7669D59B" w14:textId="329E6087" w:rsidR="00AB245C" w:rsidRPr="00397701" w:rsidRDefault="00AB245C" w:rsidP="006B5F82">
      <w:pPr>
        <w:spacing w:before="120" w:after="0"/>
        <w:rPr>
          <w:rFonts w:ascii="Times" w:hAnsi="Times"/>
        </w:rPr>
      </w:pPr>
      <w:r w:rsidRPr="00397701">
        <w:rPr>
          <w:rFonts w:ascii="Times" w:hAnsi="Times"/>
        </w:rPr>
        <w:t>The</w:t>
      </w:r>
      <w:r w:rsidRPr="00397701">
        <w:rPr>
          <w:rFonts w:ascii="Times" w:hAnsi="Times"/>
          <w:b/>
          <w:bCs/>
          <w:i/>
          <w:iCs/>
        </w:rPr>
        <w:t xml:space="preserve"> </w:t>
      </w:r>
      <w:r w:rsidRPr="00397701">
        <w:rPr>
          <w:rFonts w:ascii="Times" w:hAnsi="Times"/>
          <w:i/>
          <w:iCs/>
        </w:rPr>
        <w:t>C525 Handling of Life Threatening and Unwelcome Communications Industry Code</w:t>
      </w:r>
      <w:r w:rsidRPr="00397701">
        <w:rPr>
          <w:rFonts w:ascii="Times" w:hAnsi="Times"/>
        </w:rPr>
        <w:t xml:space="preserve"> </w:t>
      </w:r>
      <w:r w:rsidR="00D67A0F" w:rsidRPr="00397701">
        <w:rPr>
          <w:rFonts w:ascii="Times" w:hAnsi="Times"/>
        </w:rPr>
        <w:t>has been incorporated as in force or existing from time to time (see s</w:t>
      </w:r>
      <w:r w:rsidR="007718B6" w:rsidRPr="00397701">
        <w:rPr>
          <w:rFonts w:ascii="Times" w:hAnsi="Times"/>
        </w:rPr>
        <w:t xml:space="preserve">ubsection </w:t>
      </w:r>
      <w:r w:rsidR="00D67A0F" w:rsidRPr="00397701">
        <w:rPr>
          <w:rFonts w:ascii="Times" w:hAnsi="Times"/>
        </w:rPr>
        <w:t>589(2) of the Act</w:t>
      </w:r>
      <w:r w:rsidR="007E317F" w:rsidRPr="00397701">
        <w:rPr>
          <w:rFonts w:ascii="Times" w:hAnsi="Times"/>
        </w:rPr>
        <w:t xml:space="preserve">) and </w:t>
      </w:r>
      <w:r w:rsidRPr="00397701">
        <w:rPr>
          <w:rFonts w:ascii="Times" w:hAnsi="Times"/>
        </w:rPr>
        <w:t>can be accessed free of charge on Communications Alliance’s website: https://www.commsalliance.com.au.</w:t>
      </w:r>
    </w:p>
    <w:p w14:paraId="157AF12E" w14:textId="20C00BCA" w:rsidR="00BB076E" w:rsidRPr="00397701" w:rsidRDefault="00BB076E" w:rsidP="0052687A">
      <w:pPr>
        <w:rPr>
          <w:rFonts w:ascii="Times New Roman" w:hAnsi="Times New Roman" w:cs="Times New Roman"/>
          <w:iCs/>
        </w:rPr>
      </w:pPr>
    </w:p>
    <w:p w14:paraId="211AC0F7" w14:textId="77777777" w:rsidR="007E317F" w:rsidRPr="00397701" w:rsidRDefault="007E317F" w:rsidP="004D2843">
      <w:pPr>
        <w:rPr>
          <w:rFonts w:ascii="Times New Roman" w:hAnsi="Times New Roman" w:cs="Times New Roman"/>
          <w:b/>
        </w:rPr>
      </w:pPr>
    </w:p>
    <w:p w14:paraId="5BFF8E7E" w14:textId="77777777" w:rsidR="007E317F" w:rsidRPr="00397701" w:rsidRDefault="007E317F" w:rsidP="004D2843">
      <w:pPr>
        <w:rPr>
          <w:rFonts w:ascii="Times New Roman" w:hAnsi="Times New Roman" w:cs="Times New Roman"/>
          <w:b/>
        </w:rPr>
      </w:pPr>
    </w:p>
    <w:p w14:paraId="28832377" w14:textId="564CD120" w:rsidR="00BB076E" w:rsidRPr="00397701" w:rsidRDefault="00BB076E" w:rsidP="00AA105C">
      <w:pPr>
        <w:keepNext/>
        <w:rPr>
          <w:rFonts w:ascii="Times New Roman" w:hAnsi="Times New Roman" w:cs="Times New Roman"/>
          <w:b/>
        </w:rPr>
      </w:pPr>
      <w:r w:rsidRPr="00397701">
        <w:rPr>
          <w:rFonts w:ascii="Times New Roman" w:hAnsi="Times New Roman" w:cs="Times New Roman"/>
          <w:b/>
        </w:rPr>
        <w:lastRenderedPageBreak/>
        <w:t>Consultation</w:t>
      </w:r>
    </w:p>
    <w:p w14:paraId="1D040D7A" w14:textId="0E08A225" w:rsidR="006B5F82" w:rsidRPr="00397701" w:rsidRDefault="006B5F82" w:rsidP="00012820">
      <w:pPr>
        <w:spacing w:before="120" w:after="0"/>
        <w:rPr>
          <w:rFonts w:ascii="Times New Roman" w:hAnsi="Times New Roman"/>
        </w:rPr>
      </w:pPr>
      <w:r w:rsidRPr="00397701">
        <w:rPr>
          <w:rFonts w:ascii="Times New Roman" w:hAnsi="Times New Roman"/>
        </w:rPr>
        <w:t xml:space="preserve">Before the Standard was made, the ACMA was satisfied that consultation was undertaken to the extent appropriate and reasonably practicable, in accordance with section 17 of the LA </w:t>
      </w:r>
      <w:r w:rsidRPr="00397701">
        <w:rPr>
          <w:rFonts w:ascii="Times New Roman" w:hAnsi="Times New Roman"/>
          <w:color w:val="000000"/>
        </w:rPr>
        <w:t>and subsection 125</w:t>
      </w:r>
      <w:proofErr w:type="gramStart"/>
      <w:r w:rsidRPr="00397701">
        <w:rPr>
          <w:rFonts w:ascii="Times New Roman" w:hAnsi="Times New Roman"/>
          <w:color w:val="000000"/>
        </w:rPr>
        <w:t>AA(</w:t>
      </w:r>
      <w:proofErr w:type="gramEnd"/>
      <w:r w:rsidRPr="00397701">
        <w:rPr>
          <w:rFonts w:ascii="Times New Roman" w:hAnsi="Times New Roman"/>
          <w:color w:val="000000"/>
        </w:rPr>
        <w:t>3), and sections 132, 133, 134 and 135 of the Act.</w:t>
      </w:r>
    </w:p>
    <w:p w14:paraId="73626CC1" w14:textId="0A6D27F0" w:rsidR="006B5F82" w:rsidRPr="00397701" w:rsidRDefault="006B5F82" w:rsidP="00012820">
      <w:pPr>
        <w:shd w:val="clear" w:color="auto" w:fill="FFFFFF"/>
        <w:spacing w:before="120" w:after="0" w:line="235" w:lineRule="atLeast"/>
        <w:rPr>
          <w:rFonts w:ascii="Times New Roman" w:hAnsi="Times New Roman"/>
          <w:color w:val="000000"/>
        </w:rPr>
      </w:pPr>
      <w:r w:rsidRPr="00397701">
        <w:rPr>
          <w:rFonts w:ascii="Times New Roman" w:hAnsi="Times New Roman"/>
          <w:color w:val="000000"/>
        </w:rPr>
        <w:t>The ACMA consulted with Communications Alliance (being a body that represents the telecommunications industry), the TIO, the A</w:t>
      </w:r>
      <w:r w:rsidR="00012820" w:rsidRPr="00397701">
        <w:rPr>
          <w:rFonts w:ascii="Times New Roman" w:hAnsi="Times New Roman"/>
          <w:color w:val="000000"/>
        </w:rPr>
        <w:t xml:space="preserve">ustralian </w:t>
      </w:r>
      <w:r w:rsidRPr="00397701">
        <w:rPr>
          <w:rFonts w:ascii="Times New Roman" w:hAnsi="Times New Roman"/>
          <w:color w:val="000000"/>
        </w:rPr>
        <w:t>C</w:t>
      </w:r>
      <w:r w:rsidR="00012820" w:rsidRPr="00397701">
        <w:rPr>
          <w:rFonts w:ascii="Times New Roman" w:hAnsi="Times New Roman"/>
          <w:color w:val="000000"/>
        </w:rPr>
        <w:t xml:space="preserve">ompetition and </w:t>
      </w:r>
      <w:r w:rsidRPr="00397701">
        <w:rPr>
          <w:rFonts w:ascii="Times New Roman" w:hAnsi="Times New Roman"/>
          <w:color w:val="000000"/>
        </w:rPr>
        <w:t>C</w:t>
      </w:r>
      <w:r w:rsidR="00012820" w:rsidRPr="00397701">
        <w:rPr>
          <w:rFonts w:ascii="Times New Roman" w:hAnsi="Times New Roman"/>
          <w:color w:val="000000"/>
        </w:rPr>
        <w:t xml:space="preserve">onsumer </w:t>
      </w:r>
      <w:r w:rsidRPr="00397701">
        <w:rPr>
          <w:rFonts w:ascii="Times New Roman" w:hAnsi="Times New Roman"/>
          <w:color w:val="000000"/>
        </w:rPr>
        <w:t>C</w:t>
      </w:r>
      <w:r w:rsidR="00012820" w:rsidRPr="00397701">
        <w:rPr>
          <w:rFonts w:ascii="Times New Roman" w:hAnsi="Times New Roman"/>
          <w:color w:val="000000"/>
        </w:rPr>
        <w:t>ommission</w:t>
      </w:r>
      <w:r w:rsidRPr="00397701">
        <w:rPr>
          <w:rFonts w:ascii="Times New Roman" w:hAnsi="Times New Roman"/>
          <w:color w:val="000000"/>
        </w:rPr>
        <w:t xml:space="preserve">, </w:t>
      </w:r>
      <w:r w:rsidR="00061D45" w:rsidRPr="00397701">
        <w:rPr>
          <w:rFonts w:ascii="Times New Roman" w:hAnsi="Times New Roman"/>
          <w:color w:val="000000"/>
        </w:rPr>
        <w:t xml:space="preserve">the Office of the Australian </w:t>
      </w:r>
      <w:r w:rsidRPr="00397701">
        <w:rPr>
          <w:rFonts w:ascii="Times New Roman" w:hAnsi="Times New Roman"/>
          <w:color w:val="000000"/>
        </w:rPr>
        <w:t xml:space="preserve">Information Commissioner, </w:t>
      </w:r>
      <w:r w:rsidR="00012820" w:rsidRPr="00397701">
        <w:rPr>
          <w:rFonts w:ascii="Times New Roman" w:hAnsi="Times New Roman"/>
          <w:color w:val="000000"/>
        </w:rPr>
        <w:t xml:space="preserve">the </w:t>
      </w:r>
      <w:r w:rsidRPr="00397701">
        <w:rPr>
          <w:rFonts w:ascii="Times New Roman" w:hAnsi="Times New Roman"/>
          <w:color w:val="000000"/>
        </w:rPr>
        <w:t>A</w:t>
      </w:r>
      <w:r w:rsidR="00012820" w:rsidRPr="00397701">
        <w:rPr>
          <w:rFonts w:ascii="Times New Roman" w:hAnsi="Times New Roman"/>
          <w:color w:val="000000"/>
        </w:rPr>
        <w:t xml:space="preserve">ustralian </w:t>
      </w:r>
      <w:r w:rsidRPr="00397701">
        <w:rPr>
          <w:rFonts w:ascii="Times New Roman" w:hAnsi="Times New Roman"/>
          <w:color w:val="000000"/>
        </w:rPr>
        <w:t>C</w:t>
      </w:r>
      <w:r w:rsidR="00012820" w:rsidRPr="00397701">
        <w:rPr>
          <w:rFonts w:ascii="Times New Roman" w:hAnsi="Times New Roman"/>
          <w:color w:val="000000"/>
        </w:rPr>
        <w:t xml:space="preserve">ommunications </w:t>
      </w:r>
      <w:r w:rsidRPr="00397701">
        <w:rPr>
          <w:rFonts w:ascii="Times New Roman" w:hAnsi="Times New Roman"/>
          <w:color w:val="000000"/>
        </w:rPr>
        <w:t>C</w:t>
      </w:r>
      <w:r w:rsidR="00012820" w:rsidRPr="00397701">
        <w:rPr>
          <w:rFonts w:ascii="Times New Roman" w:hAnsi="Times New Roman"/>
          <w:color w:val="000000"/>
        </w:rPr>
        <w:t xml:space="preserve">onsumer </w:t>
      </w:r>
      <w:r w:rsidRPr="00397701">
        <w:rPr>
          <w:rFonts w:ascii="Times New Roman" w:hAnsi="Times New Roman"/>
          <w:color w:val="000000"/>
        </w:rPr>
        <w:t>A</w:t>
      </w:r>
      <w:r w:rsidR="00012820" w:rsidRPr="00397701">
        <w:rPr>
          <w:rFonts w:ascii="Times New Roman" w:hAnsi="Times New Roman"/>
          <w:color w:val="000000"/>
        </w:rPr>
        <w:t xml:space="preserve">ction </w:t>
      </w:r>
      <w:r w:rsidRPr="00397701">
        <w:rPr>
          <w:rFonts w:ascii="Times New Roman" w:hAnsi="Times New Roman"/>
          <w:color w:val="000000"/>
        </w:rPr>
        <w:t>N</w:t>
      </w:r>
      <w:r w:rsidR="00012820" w:rsidRPr="00397701">
        <w:rPr>
          <w:rFonts w:ascii="Times New Roman" w:hAnsi="Times New Roman"/>
          <w:color w:val="000000"/>
        </w:rPr>
        <w:t>etwork</w:t>
      </w:r>
      <w:r w:rsidRPr="00397701">
        <w:rPr>
          <w:rFonts w:ascii="Times New Roman" w:hAnsi="Times New Roman"/>
          <w:color w:val="000000"/>
        </w:rPr>
        <w:t xml:space="preserve"> (being a body that represents the interests of consumers), industry stakeholders, consumer groups</w:t>
      </w:r>
      <w:r w:rsidR="000F4D05" w:rsidRPr="00397701">
        <w:rPr>
          <w:rFonts w:ascii="Times New Roman" w:hAnsi="Times New Roman"/>
          <w:color w:val="000000"/>
        </w:rPr>
        <w:t>, DFV advocacy groups</w:t>
      </w:r>
      <w:r w:rsidRPr="00397701">
        <w:rPr>
          <w:rFonts w:ascii="Times New Roman" w:hAnsi="Times New Roman"/>
          <w:color w:val="000000"/>
        </w:rPr>
        <w:t xml:space="preserve"> and the public on the making of the Standard. Between </w:t>
      </w:r>
      <w:r w:rsidR="00287416" w:rsidRPr="00397701">
        <w:rPr>
          <w:rFonts w:ascii="Times New Roman" w:hAnsi="Times New Roman"/>
          <w:color w:val="000000"/>
        </w:rPr>
        <w:t>25 February</w:t>
      </w:r>
      <w:r w:rsidR="000F4D05" w:rsidRPr="00397701">
        <w:rPr>
          <w:rFonts w:ascii="Times New Roman" w:hAnsi="Times New Roman"/>
          <w:color w:val="000000"/>
        </w:rPr>
        <w:t xml:space="preserve"> 2025 </w:t>
      </w:r>
      <w:r w:rsidRPr="00397701">
        <w:rPr>
          <w:rFonts w:ascii="Times New Roman" w:hAnsi="Times New Roman"/>
          <w:color w:val="000000"/>
        </w:rPr>
        <w:t xml:space="preserve">and </w:t>
      </w:r>
      <w:r w:rsidR="00287416" w:rsidRPr="00397701">
        <w:rPr>
          <w:rFonts w:ascii="Times New Roman" w:hAnsi="Times New Roman"/>
          <w:color w:val="000000"/>
        </w:rPr>
        <w:t>2</w:t>
      </w:r>
      <w:r w:rsidR="000F4D05" w:rsidRPr="00397701">
        <w:rPr>
          <w:rFonts w:ascii="Times New Roman" w:hAnsi="Times New Roman"/>
          <w:color w:val="000000"/>
        </w:rPr>
        <w:t xml:space="preserve"> April </w:t>
      </w:r>
      <w:r w:rsidRPr="00397701">
        <w:rPr>
          <w:rFonts w:ascii="Times New Roman" w:hAnsi="Times New Roman"/>
          <w:color w:val="000000"/>
        </w:rPr>
        <w:t>202</w:t>
      </w:r>
      <w:r w:rsidR="000F4D05" w:rsidRPr="00397701">
        <w:rPr>
          <w:rFonts w:ascii="Times New Roman" w:hAnsi="Times New Roman"/>
          <w:color w:val="000000"/>
        </w:rPr>
        <w:t>5</w:t>
      </w:r>
      <w:r w:rsidRPr="00397701">
        <w:rPr>
          <w:rFonts w:ascii="Times New Roman" w:hAnsi="Times New Roman"/>
          <w:color w:val="000000"/>
        </w:rPr>
        <w:t>, the ACMA conducted a public consultation process, through the release of a draft Standard and a consultation paper on the ACMA’s website.</w:t>
      </w:r>
    </w:p>
    <w:p w14:paraId="7BCAA527" w14:textId="476E72A4" w:rsidR="000F4D05" w:rsidRPr="00397701" w:rsidRDefault="000F4D05" w:rsidP="000F4D05">
      <w:pPr>
        <w:shd w:val="clear" w:color="auto" w:fill="FFFFFF"/>
        <w:spacing w:before="120" w:after="0" w:line="235" w:lineRule="atLeast"/>
        <w:rPr>
          <w:rFonts w:ascii="Times New Roman" w:hAnsi="Times New Roman"/>
          <w:color w:val="000000"/>
        </w:rPr>
      </w:pPr>
      <w:r w:rsidRPr="00397701">
        <w:rPr>
          <w:rFonts w:ascii="Times New Roman" w:hAnsi="Times New Roman"/>
          <w:color w:val="000000"/>
        </w:rPr>
        <w:t xml:space="preserve">On </w:t>
      </w:r>
      <w:r w:rsidR="00287416" w:rsidRPr="00397701">
        <w:rPr>
          <w:rFonts w:ascii="Times New Roman" w:hAnsi="Times New Roman"/>
          <w:color w:val="000000"/>
        </w:rPr>
        <w:t>26 February</w:t>
      </w:r>
      <w:r w:rsidRPr="00397701">
        <w:rPr>
          <w:rFonts w:ascii="Times New Roman" w:hAnsi="Times New Roman"/>
          <w:color w:val="000000"/>
        </w:rPr>
        <w:t xml:space="preserve"> 2025, the ACMA also published a notice in </w:t>
      </w:r>
      <w:r w:rsidRPr="00397701">
        <w:rPr>
          <w:rFonts w:ascii="Times New Roman" w:hAnsi="Times New Roman"/>
          <w:i/>
          <w:iCs/>
          <w:color w:val="000000"/>
        </w:rPr>
        <w:t>The</w:t>
      </w:r>
      <w:r w:rsidRPr="00397701">
        <w:rPr>
          <w:rFonts w:ascii="Times New Roman" w:hAnsi="Times New Roman"/>
          <w:color w:val="000000"/>
        </w:rPr>
        <w:t xml:space="preserve"> </w:t>
      </w:r>
      <w:r w:rsidRPr="00397701">
        <w:rPr>
          <w:rFonts w:ascii="Times New Roman" w:hAnsi="Times New Roman"/>
          <w:i/>
          <w:iCs/>
          <w:color w:val="000000"/>
        </w:rPr>
        <w:t>Australian</w:t>
      </w:r>
      <w:r w:rsidRPr="00397701">
        <w:rPr>
          <w:rFonts w:ascii="Times New Roman" w:hAnsi="Times New Roman"/>
          <w:color w:val="000000"/>
        </w:rPr>
        <w:t xml:space="preserve"> newspaper, being a newspaper circulating nationally. It stated that the ACMA has prepared a draft Standard, advising that a copy could be accessed via the ACMA’s website and inviting interested persons to give written comments by </w:t>
      </w:r>
      <w:r w:rsidR="00287416" w:rsidRPr="00397701">
        <w:rPr>
          <w:rFonts w:ascii="Times New Roman" w:hAnsi="Times New Roman"/>
          <w:color w:val="000000"/>
        </w:rPr>
        <w:t>2</w:t>
      </w:r>
      <w:r w:rsidRPr="00397701">
        <w:rPr>
          <w:rFonts w:ascii="Times New Roman" w:hAnsi="Times New Roman"/>
          <w:color w:val="000000"/>
        </w:rPr>
        <w:t xml:space="preserve"> April 2025.</w:t>
      </w:r>
    </w:p>
    <w:p w14:paraId="174A7DA9" w14:textId="3FE53A20" w:rsidR="000F4D05" w:rsidRPr="00397701" w:rsidRDefault="000F4D05" w:rsidP="000F4D05">
      <w:pPr>
        <w:shd w:val="clear" w:color="auto" w:fill="FFFFFF"/>
        <w:spacing w:before="120" w:after="0" w:line="233" w:lineRule="atLeast"/>
        <w:rPr>
          <w:rFonts w:ascii="Times New Roman" w:hAnsi="Times New Roman"/>
          <w:color w:val="000000"/>
        </w:rPr>
      </w:pPr>
      <w:r w:rsidRPr="00397701">
        <w:rPr>
          <w:rFonts w:ascii="Times New Roman" w:hAnsi="Times New Roman"/>
          <w:color w:val="000000"/>
        </w:rPr>
        <w:t xml:space="preserve">The ACMA informed key stakeholders of the publication of the documents and invited comment on the draft of the Standard and on the issues set out in the accompanying consultation paper. The ACMA also </w:t>
      </w:r>
      <w:r w:rsidR="00287416" w:rsidRPr="00397701">
        <w:rPr>
          <w:rFonts w:ascii="Times New Roman" w:hAnsi="Times New Roman"/>
          <w:color w:val="000000"/>
        </w:rPr>
        <w:t>held two online consultation workshops</w:t>
      </w:r>
      <w:r w:rsidR="00A613A3" w:rsidRPr="00397701">
        <w:rPr>
          <w:rFonts w:ascii="Times New Roman" w:hAnsi="Times New Roman"/>
          <w:color w:val="000000"/>
        </w:rPr>
        <w:t>,</w:t>
      </w:r>
      <w:r w:rsidR="00287416" w:rsidRPr="00397701">
        <w:rPr>
          <w:rFonts w:ascii="Times New Roman" w:hAnsi="Times New Roman"/>
          <w:color w:val="000000"/>
        </w:rPr>
        <w:t xml:space="preserve"> </w:t>
      </w:r>
      <w:r w:rsidR="00A613A3" w:rsidRPr="00397701">
        <w:rPr>
          <w:rFonts w:ascii="Times New Roman" w:hAnsi="Times New Roman"/>
          <w:color w:val="000000"/>
        </w:rPr>
        <w:t>o</w:t>
      </w:r>
      <w:r w:rsidR="00287416" w:rsidRPr="00397701">
        <w:rPr>
          <w:rFonts w:ascii="Times New Roman" w:hAnsi="Times New Roman"/>
          <w:color w:val="000000"/>
        </w:rPr>
        <w:t>ne on 17 March 2025 for industry stakeholders,</w:t>
      </w:r>
      <w:r w:rsidR="00436B0E" w:rsidRPr="00397701">
        <w:rPr>
          <w:rFonts w:ascii="Times New Roman" w:hAnsi="Times New Roman"/>
          <w:color w:val="000000"/>
        </w:rPr>
        <w:t xml:space="preserve"> and</w:t>
      </w:r>
      <w:r w:rsidR="00287416" w:rsidRPr="00397701">
        <w:rPr>
          <w:rFonts w:ascii="Times New Roman" w:hAnsi="Times New Roman"/>
          <w:color w:val="000000"/>
        </w:rPr>
        <w:t xml:space="preserve"> the second on 24 March 202</w:t>
      </w:r>
      <w:r w:rsidR="001106FC" w:rsidRPr="00397701">
        <w:rPr>
          <w:rFonts w:ascii="Times New Roman" w:hAnsi="Times New Roman"/>
          <w:color w:val="000000"/>
        </w:rPr>
        <w:t>5</w:t>
      </w:r>
      <w:r w:rsidR="00287416" w:rsidRPr="00397701">
        <w:rPr>
          <w:rFonts w:ascii="Times New Roman" w:hAnsi="Times New Roman"/>
          <w:color w:val="000000"/>
        </w:rPr>
        <w:t xml:space="preserve"> for DFV and consumer advocates.</w:t>
      </w:r>
      <w:r w:rsidR="001106FC" w:rsidRPr="00397701">
        <w:rPr>
          <w:rFonts w:ascii="Times New Roman" w:hAnsi="Times New Roman"/>
          <w:color w:val="000000"/>
        </w:rPr>
        <w:t xml:space="preserve">  The ACMA also met with a number of people who have lived experience of DFV. </w:t>
      </w:r>
    </w:p>
    <w:p w14:paraId="1FC38201" w14:textId="3C171ECD" w:rsidR="000F4D05" w:rsidRPr="00397701" w:rsidRDefault="000F4D05" w:rsidP="000F4D05">
      <w:pPr>
        <w:shd w:val="clear" w:color="auto" w:fill="FFFFFF"/>
        <w:spacing w:before="120" w:after="0" w:line="233" w:lineRule="atLeast"/>
        <w:rPr>
          <w:rFonts w:ascii="Times New Roman" w:hAnsi="Times New Roman"/>
          <w:color w:val="000000"/>
        </w:rPr>
      </w:pPr>
      <w:r w:rsidRPr="00397701">
        <w:rPr>
          <w:rFonts w:ascii="Times New Roman" w:hAnsi="Times New Roman"/>
          <w:color w:val="000000"/>
        </w:rPr>
        <w:t xml:space="preserve">The consultation paper sought comment on several key issues included in the draft Standard as well as inviting general comments. The ACMA received </w:t>
      </w:r>
      <w:r w:rsidR="00287416" w:rsidRPr="00397701">
        <w:rPr>
          <w:rFonts w:ascii="Times New Roman" w:hAnsi="Times New Roman"/>
          <w:color w:val="000000"/>
        </w:rPr>
        <w:t>21</w:t>
      </w:r>
      <w:r w:rsidRPr="00397701">
        <w:rPr>
          <w:rFonts w:ascii="Times New Roman" w:hAnsi="Times New Roman"/>
          <w:color w:val="000000"/>
        </w:rPr>
        <w:t xml:space="preserve"> submissions from a range of stakeholders including </w:t>
      </w:r>
      <w:r w:rsidR="00261925" w:rsidRPr="00397701">
        <w:rPr>
          <w:rFonts w:ascii="Times New Roman" w:hAnsi="Times New Roman"/>
          <w:color w:val="000000"/>
        </w:rPr>
        <w:t>participants in</w:t>
      </w:r>
      <w:r w:rsidRPr="00397701">
        <w:rPr>
          <w:rFonts w:ascii="Times New Roman" w:hAnsi="Times New Roman"/>
          <w:color w:val="000000"/>
        </w:rPr>
        <w:t xml:space="preserve"> </w:t>
      </w:r>
      <w:r w:rsidR="00AB7E25" w:rsidRPr="00397701">
        <w:rPr>
          <w:rFonts w:ascii="Times New Roman" w:hAnsi="Times New Roman"/>
          <w:color w:val="000000"/>
        </w:rPr>
        <w:t xml:space="preserve">the </w:t>
      </w:r>
      <w:r w:rsidRPr="00397701">
        <w:rPr>
          <w:rFonts w:ascii="Times New Roman" w:hAnsi="Times New Roman"/>
          <w:color w:val="000000"/>
        </w:rPr>
        <w:t xml:space="preserve">telecommunications industry, consumer and DFV advocates, </w:t>
      </w:r>
      <w:r w:rsidR="00287416" w:rsidRPr="00397701">
        <w:rPr>
          <w:rFonts w:ascii="Times New Roman" w:hAnsi="Times New Roman"/>
          <w:color w:val="000000"/>
        </w:rPr>
        <w:t xml:space="preserve">the </w:t>
      </w:r>
      <w:r w:rsidR="00012820" w:rsidRPr="00397701">
        <w:rPr>
          <w:rFonts w:ascii="Times New Roman" w:hAnsi="Times New Roman"/>
          <w:color w:val="000000"/>
        </w:rPr>
        <w:t>TIO</w:t>
      </w:r>
      <w:r w:rsidRPr="00397701">
        <w:rPr>
          <w:rFonts w:ascii="Times New Roman" w:hAnsi="Times New Roman"/>
          <w:color w:val="000000"/>
        </w:rPr>
        <w:t xml:space="preserve"> and government agencies. The ACMA considered all relevant issues raised by the submissions in the consultation process when making the Standard.</w:t>
      </w:r>
    </w:p>
    <w:p w14:paraId="2E2751CB" w14:textId="1177EB3E" w:rsidR="000F4D05" w:rsidRPr="00397701" w:rsidRDefault="000F4D05" w:rsidP="000F4D05">
      <w:pPr>
        <w:shd w:val="clear" w:color="auto" w:fill="FFFFFF"/>
        <w:spacing w:before="120" w:after="0" w:line="120" w:lineRule="atLeast"/>
        <w:rPr>
          <w:rFonts w:ascii="Times New Roman" w:hAnsi="Times New Roman"/>
        </w:rPr>
      </w:pPr>
      <w:r w:rsidRPr="00397701">
        <w:rPr>
          <w:rFonts w:ascii="Times New Roman" w:hAnsi="Times New Roman"/>
        </w:rPr>
        <w:t xml:space="preserve">All non-confidential submissions were published on the ACMA website </w:t>
      </w:r>
      <w:r w:rsidR="00056281" w:rsidRPr="00397701">
        <w:rPr>
          <w:rFonts w:ascii="Times New Roman" w:hAnsi="Times New Roman"/>
        </w:rPr>
        <w:t xml:space="preserve">between 11 </w:t>
      </w:r>
      <w:r w:rsidR="00012820" w:rsidRPr="00397701">
        <w:rPr>
          <w:rFonts w:ascii="Times New Roman" w:hAnsi="Times New Roman"/>
        </w:rPr>
        <w:t>and</w:t>
      </w:r>
      <w:r w:rsidR="00056281" w:rsidRPr="00397701">
        <w:rPr>
          <w:rFonts w:ascii="Times New Roman" w:hAnsi="Times New Roman"/>
        </w:rPr>
        <w:t xml:space="preserve"> 16 April 2025</w:t>
      </w:r>
      <w:r w:rsidRPr="00397701">
        <w:rPr>
          <w:rFonts w:ascii="Times New Roman" w:hAnsi="Times New Roman"/>
        </w:rPr>
        <w:t>.</w:t>
      </w:r>
    </w:p>
    <w:p w14:paraId="3579973D" w14:textId="25CE74AC" w:rsidR="000F4D05" w:rsidRPr="00397701" w:rsidRDefault="000F4D05" w:rsidP="000F4D05">
      <w:pPr>
        <w:shd w:val="clear" w:color="auto" w:fill="FFFFFF"/>
        <w:spacing w:before="120" w:after="0" w:line="120" w:lineRule="atLeast"/>
        <w:rPr>
          <w:rFonts w:ascii="Times New Roman" w:hAnsi="Times New Roman"/>
        </w:rPr>
      </w:pPr>
      <w:r w:rsidRPr="00397701">
        <w:rPr>
          <w:rFonts w:ascii="Times New Roman" w:hAnsi="Times New Roman"/>
          <w:color w:val="000000"/>
        </w:rPr>
        <w:t>The submissions provided a broad range of feedback on the draft Standard</w:t>
      </w:r>
      <w:r w:rsidRPr="00397701">
        <w:rPr>
          <w:rFonts w:ascii="Times New Roman" w:hAnsi="Times New Roman"/>
        </w:rPr>
        <w:t>. Key issues raised by stakeholders included the following:</w:t>
      </w:r>
    </w:p>
    <w:p w14:paraId="5965F3B6" w14:textId="05717B39" w:rsidR="00876865" w:rsidRPr="00397701" w:rsidRDefault="00876865" w:rsidP="001D0578">
      <w:pPr>
        <w:pStyle w:val="ListParagraph"/>
        <w:numPr>
          <w:ilvl w:val="0"/>
          <w:numId w:val="6"/>
        </w:numPr>
        <w:shd w:val="clear" w:color="auto" w:fill="FFFFFF"/>
        <w:spacing w:before="120" w:after="0" w:line="120" w:lineRule="atLeast"/>
        <w:ind w:left="426"/>
        <w:contextualSpacing w:val="0"/>
        <w:rPr>
          <w:rFonts w:ascii="Times New Roman" w:hAnsi="Times New Roman"/>
        </w:rPr>
      </w:pPr>
      <w:r w:rsidRPr="00397701">
        <w:rPr>
          <w:rFonts w:ascii="Times New Roman" w:hAnsi="Times New Roman"/>
        </w:rPr>
        <w:t>Suppression of information</w:t>
      </w:r>
      <w:r w:rsidR="000F4D05" w:rsidRPr="00397701">
        <w:rPr>
          <w:rFonts w:ascii="Times New Roman" w:hAnsi="Times New Roman"/>
        </w:rPr>
        <w:t xml:space="preserve"> – </w:t>
      </w:r>
      <w:r w:rsidR="00557B18" w:rsidRPr="00397701">
        <w:rPr>
          <w:rFonts w:ascii="Times New Roman" w:hAnsi="Times New Roman"/>
        </w:rPr>
        <w:t xml:space="preserve">industry stakeholders identified </w:t>
      </w:r>
      <w:r w:rsidR="005450AE" w:rsidRPr="00397701">
        <w:rPr>
          <w:rFonts w:ascii="Times New Roman" w:hAnsi="Times New Roman"/>
        </w:rPr>
        <w:t xml:space="preserve">technical and feasibility issues with the application of an opt in/opt out model and the </w:t>
      </w:r>
      <w:r w:rsidR="00557B18" w:rsidRPr="00397701">
        <w:rPr>
          <w:rFonts w:ascii="Times New Roman" w:hAnsi="Times New Roman"/>
        </w:rPr>
        <w:t>suppression</w:t>
      </w:r>
      <w:r w:rsidR="005450AE" w:rsidRPr="00397701">
        <w:rPr>
          <w:rFonts w:ascii="Times New Roman" w:hAnsi="Times New Roman"/>
        </w:rPr>
        <w:t xml:space="preserve"> </w:t>
      </w:r>
      <w:r w:rsidR="00012820" w:rsidRPr="00397701">
        <w:rPr>
          <w:rFonts w:ascii="Times New Roman" w:hAnsi="Times New Roman"/>
        </w:rPr>
        <w:t xml:space="preserve">of </w:t>
      </w:r>
      <w:r w:rsidR="00557B18" w:rsidRPr="00397701">
        <w:rPr>
          <w:rFonts w:ascii="Times New Roman" w:hAnsi="Times New Roman"/>
        </w:rPr>
        <w:t>charged calls compared to zero-rated numbers.</w:t>
      </w:r>
      <w:r w:rsidR="005450AE" w:rsidRPr="00397701">
        <w:rPr>
          <w:rFonts w:ascii="Times New Roman" w:hAnsi="Times New Roman"/>
        </w:rPr>
        <w:t xml:space="preserve"> There was widespread support</w:t>
      </w:r>
      <w:r w:rsidR="00557B18" w:rsidRPr="00397701">
        <w:rPr>
          <w:rFonts w:ascii="Times New Roman" w:hAnsi="Times New Roman"/>
        </w:rPr>
        <w:t xml:space="preserve"> among all stakeholders</w:t>
      </w:r>
      <w:r w:rsidR="005450AE" w:rsidRPr="00397701">
        <w:rPr>
          <w:rFonts w:ascii="Times New Roman" w:hAnsi="Times New Roman"/>
        </w:rPr>
        <w:t xml:space="preserve"> for </w:t>
      </w:r>
      <w:r w:rsidR="00AB7E25" w:rsidRPr="00397701">
        <w:rPr>
          <w:rFonts w:ascii="Times New Roman" w:hAnsi="Times New Roman"/>
        </w:rPr>
        <w:t xml:space="preserve">the </w:t>
      </w:r>
      <w:r w:rsidR="005450AE" w:rsidRPr="00397701">
        <w:rPr>
          <w:rFonts w:ascii="Times New Roman" w:hAnsi="Times New Roman"/>
        </w:rPr>
        <w:t>list of numbers for suppression to sit outside the Standard itself and be operated by a neutral party such as the ACMA.</w:t>
      </w:r>
      <w:r w:rsidR="00524FD1" w:rsidRPr="00397701">
        <w:rPr>
          <w:rFonts w:ascii="Times New Roman" w:hAnsi="Times New Roman"/>
        </w:rPr>
        <w:t xml:space="preserve"> The Standard includes 1800 numbers for relevant national services.</w:t>
      </w:r>
      <w:r w:rsidR="0059149C" w:rsidRPr="00397701">
        <w:rPr>
          <w:rFonts w:ascii="Times New Roman" w:hAnsi="Times New Roman"/>
        </w:rPr>
        <w:t xml:space="preserve"> There will be </w:t>
      </w:r>
      <w:r w:rsidR="00A613A3" w:rsidRPr="00397701">
        <w:rPr>
          <w:rFonts w:ascii="Times New Roman" w:hAnsi="Times New Roman"/>
        </w:rPr>
        <w:t xml:space="preserve">a </w:t>
      </w:r>
      <w:r w:rsidR="008F3FDE" w:rsidRPr="00397701">
        <w:rPr>
          <w:rFonts w:ascii="Times New Roman" w:hAnsi="Times New Roman"/>
        </w:rPr>
        <w:t xml:space="preserve">later </w:t>
      </w:r>
      <w:r w:rsidR="0059149C" w:rsidRPr="00397701">
        <w:rPr>
          <w:rFonts w:ascii="Times New Roman" w:hAnsi="Times New Roman"/>
        </w:rPr>
        <w:t>opportunity to propose amendments to expand the list following further inquiry into technical, operational and feasibility matters.</w:t>
      </w:r>
    </w:p>
    <w:p w14:paraId="389BB43E" w14:textId="21CF980B" w:rsidR="000F4D05" w:rsidRPr="00397701" w:rsidRDefault="000F4D05" w:rsidP="001D0578">
      <w:pPr>
        <w:pStyle w:val="ListParagraph"/>
        <w:numPr>
          <w:ilvl w:val="0"/>
          <w:numId w:val="6"/>
        </w:numPr>
        <w:shd w:val="clear" w:color="auto" w:fill="FFFFFF"/>
        <w:spacing w:before="120" w:after="0" w:line="120" w:lineRule="atLeast"/>
        <w:ind w:left="426"/>
        <w:contextualSpacing w:val="0"/>
        <w:rPr>
          <w:rFonts w:ascii="Times New Roman" w:hAnsi="Times New Roman"/>
        </w:rPr>
      </w:pPr>
      <w:r w:rsidRPr="00397701">
        <w:rPr>
          <w:rFonts w:ascii="Times New Roman" w:hAnsi="Times New Roman"/>
        </w:rPr>
        <w:t xml:space="preserve">Level of prescriptiveness – </w:t>
      </w:r>
      <w:r w:rsidR="00557B18" w:rsidRPr="00397701">
        <w:rPr>
          <w:rFonts w:ascii="Times New Roman" w:hAnsi="Times New Roman"/>
        </w:rPr>
        <w:t xml:space="preserve">all stakeholders supported a flexible, consumer-led approach but </w:t>
      </w:r>
      <w:r w:rsidR="00AA16B7" w:rsidRPr="00397701">
        <w:rPr>
          <w:rFonts w:ascii="Times New Roman" w:hAnsi="Times New Roman"/>
        </w:rPr>
        <w:t xml:space="preserve">there were different views </w:t>
      </w:r>
      <w:r w:rsidR="00557B18" w:rsidRPr="00397701">
        <w:rPr>
          <w:rFonts w:ascii="Times New Roman" w:hAnsi="Times New Roman"/>
        </w:rPr>
        <w:t>on the level of specificity in the requirements that would best deliver this. I</w:t>
      </w:r>
      <w:r w:rsidR="00603B54" w:rsidRPr="00397701">
        <w:rPr>
          <w:rFonts w:ascii="Times New Roman" w:hAnsi="Times New Roman"/>
        </w:rPr>
        <w:t xml:space="preserve">ndustry have argued for less prescriptive requirements, </w:t>
      </w:r>
      <w:r w:rsidR="00557B18" w:rsidRPr="00397701">
        <w:rPr>
          <w:rFonts w:ascii="Times New Roman" w:hAnsi="Times New Roman"/>
        </w:rPr>
        <w:t xml:space="preserve">while consumer advocates </w:t>
      </w:r>
      <w:r w:rsidR="00603B54" w:rsidRPr="00397701">
        <w:rPr>
          <w:rFonts w:ascii="Times New Roman" w:hAnsi="Times New Roman"/>
        </w:rPr>
        <w:t>consider that more specific requirements mandating what CSPs must do and offer to affected persons are needed</w:t>
      </w:r>
      <w:r w:rsidRPr="00397701">
        <w:rPr>
          <w:rFonts w:ascii="Times New Roman" w:hAnsi="Times New Roman"/>
        </w:rPr>
        <w:t>.  </w:t>
      </w:r>
      <w:r w:rsidR="005A7734" w:rsidRPr="00397701">
        <w:rPr>
          <w:rFonts w:ascii="Times New Roman" w:hAnsi="Times New Roman"/>
        </w:rPr>
        <w:t xml:space="preserve">The Standard </w:t>
      </w:r>
      <w:r w:rsidR="00524FD1" w:rsidRPr="00397701">
        <w:rPr>
          <w:rFonts w:ascii="Times New Roman" w:hAnsi="Times New Roman"/>
        </w:rPr>
        <w:t>reflects</w:t>
      </w:r>
      <w:r w:rsidR="005A7734" w:rsidRPr="00397701">
        <w:rPr>
          <w:rFonts w:ascii="Times New Roman" w:hAnsi="Times New Roman"/>
        </w:rPr>
        <w:t xml:space="preserve"> elements of both approaches and detailed guidance will be developed to complement the application of the instrument.</w:t>
      </w:r>
    </w:p>
    <w:p w14:paraId="7449F50A" w14:textId="1B9F67F9" w:rsidR="005450AE" w:rsidRPr="00397701" w:rsidRDefault="00876865" w:rsidP="001D0578">
      <w:pPr>
        <w:pStyle w:val="ListParagraph"/>
        <w:numPr>
          <w:ilvl w:val="0"/>
          <w:numId w:val="6"/>
        </w:numPr>
        <w:shd w:val="clear" w:color="auto" w:fill="FFFFFF"/>
        <w:spacing w:before="120" w:after="0" w:line="120" w:lineRule="atLeast"/>
        <w:ind w:left="426"/>
        <w:contextualSpacing w:val="0"/>
        <w:rPr>
          <w:rFonts w:ascii="Times New Roman" w:hAnsi="Times New Roman"/>
        </w:rPr>
      </w:pPr>
      <w:r w:rsidRPr="00397701">
        <w:rPr>
          <w:rFonts w:ascii="Times New Roman" w:hAnsi="Times New Roman"/>
        </w:rPr>
        <w:t>Application of the standard –</w:t>
      </w:r>
      <w:r w:rsidR="00012820" w:rsidRPr="00397701">
        <w:rPr>
          <w:rFonts w:ascii="Times New Roman" w:hAnsi="Times New Roman"/>
        </w:rPr>
        <w:t xml:space="preserve"> </w:t>
      </w:r>
      <w:r w:rsidR="00B73690" w:rsidRPr="00397701">
        <w:rPr>
          <w:rFonts w:ascii="Times New Roman" w:hAnsi="Times New Roman"/>
        </w:rPr>
        <w:t xml:space="preserve">consumer advocates and government stakeholders were of the view that the Standard should cover small businesses and </w:t>
      </w:r>
      <w:r w:rsidR="00012820" w:rsidRPr="00F558D1">
        <w:rPr>
          <w:rFonts w:ascii="Times New Roman" w:hAnsi="Times New Roman"/>
        </w:rPr>
        <w:t>NFP</w:t>
      </w:r>
      <w:r w:rsidR="00B73690" w:rsidRPr="00397701">
        <w:rPr>
          <w:rFonts w:ascii="Times New Roman" w:hAnsi="Times New Roman"/>
        </w:rPr>
        <w:t xml:space="preserve"> organisations and provided cases where small business consumers had or could be affected by DFV. The majority of industry stakeholders oppose</w:t>
      </w:r>
      <w:r w:rsidR="00A50E5F" w:rsidRPr="00397701">
        <w:rPr>
          <w:rFonts w:ascii="Times New Roman" w:hAnsi="Times New Roman"/>
        </w:rPr>
        <w:t>d</w:t>
      </w:r>
      <w:r w:rsidR="00B73690" w:rsidRPr="00397701">
        <w:rPr>
          <w:rFonts w:ascii="Times New Roman" w:hAnsi="Times New Roman"/>
        </w:rPr>
        <w:t xml:space="preserve"> extending the Standard to small businesses and NFPs due to the risks and complexities involved in transfers and authorisations with business accounts</w:t>
      </w:r>
      <w:r w:rsidR="00D75E64" w:rsidRPr="00397701">
        <w:rPr>
          <w:rFonts w:ascii="Times New Roman" w:hAnsi="Times New Roman"/>
        </w:rPr>
        <w:t xml:space="preserve">. </w:t>
      </w:r>
      <w:r w:rsidRPr="00397701">
        <w:rPr>
          <w:rFonts w:ascii="Times New Roman" w:hAnsi="Times New Roman"/>
        </w:rPr>
        <w:t xml:space="preserve"> </w:t>
      </w:r>
      <w:r w:rsidR="001E6C34" w:rsidRPr="00397701">
        <w:rPr>
          <w:rFonts w:ascii="Times New Roman" w:hAnsi="Times New Roman"/>
        </w:rPr>
        <w:t xml:space="preserve">We have included </w:t>
      </w:r>
      <w:r w:rsidR="009E6561" w:rsidRPr="00397701">
        <w:rPr>
          <w:rFonts w:ascii="Times New Roman" w:hAnsi="Times New Roman"/>
        </w:rPr>
        <w:lastRenderedPageBreak/>
        <w:t xml:space="preserve">certain </w:t>
      </w:r>
      <w:r w:rsidR="001E6C34" w:rsidRPr="00397701">
        <w:rPr>
          <w:rFonts w:ascii="Times New Roman" w:hAnsi="Times New Roman"/>
        </w:rPr>
        <w:t>small business consumers and NFP organisations</w:t>
      </w:r>
      <w:r w:rsidR="009E6561" w:rsidRPr="00397701">
        <w:rPr>
          <w:rFonts w:ascii="Times New Roman" w:hAnsi="Times New Roman"/>
        </w:rPr>
        <w:t xml:space="preserve"> in the</w:t>
      </w:r>
      <w:r w:rsidR="001E6C34" w:rsidRPr="00397701">
        <w:rPr>
          <w:rFonts w:ascii="Times New Roman" w:hAnsi="Times New Roman"/>
        </w:rPr>
        <w:t xml:space="preserve"> definition of </w:t>
      </w:r>
      <w:r w:rsidR="009E6561" w:rsidRPr="00397701">
        <w:rPr>
          <w:rFonts w:ascii="Times New Roman" w:hAnsi="Times New Roman"/>
        </w:rPr>
        <w:t>“</w:t>
      </w:r>
      <w:r w:rsidR="001E6C34" w:rsidRPr="00397701">
        <w:rPr>
          <w:rFonts w:ascii="Times New Roman" w:hAnsi="Times New Roman"/>
        </w:rPr>
        <w:t>consumer</w:t>
      </w:r>
      <w:r w:rsidR="009E6561" w:rsidRPr="00397701">
        <w:rPr>
          <w:rFonts w:ascii="Times New Roman" w:hAnsi="Times New Roman"/>
        </w:rPr>
        <w:t>”</w:t>
      </w:r>
      <w:r w:rsidR="001E6C34" w:rsidRPr="00397701">
        <w:rPr>
          <w:rFonts w:ascii="Times New Roman" w:hAnsi="Times New Roman"/>
        </w:rPr>
        <w:t xml:space="preserve"> in the Standard</w:t>
      </w:r>
      <w:r w:rsidR="0059149C" w:rsidRPr="00397701">
        <w:rPr>
          <w:rFonts w:ascii="Times New Roman" w:hAnsi="Times New Roman"/>
        </w:rPr>
        <w:t>.</w:t>
      </w:r>
      <w:r w:rsidR="001E6C34" w:rsidRPr="00397701">
        <w:rPr>
          <w:rFonts w:ascii="Times New Roman" w:hAnsi="Times New Roman"/>
        </w:rPr>
        <w:t xml:space="preserve"> </w:t>
      </w:r>
    </w:p>
    <w:p w14:paraId="0E45219B" w14:textId="37C1CD24" w:rsidR="000F4D05" w:rsidRPr="00397701" w:rsidRDefault="00D75E64" w:rsidP="0059149C">
      <w:pPr>
        <w:pStyle w:val="ListParagraph"/>
        <w:numPr>
          <w:ilvl w:val="0"/>
          <w:numId w:val="6"/>
        </w:numPr>
        <w:shd w:val="clear" w:color="auto" w:fill="FFFFFF"/>
        <w:spacing w:before="120" w:after="0" w:line="120" w:lineRule="atLeast"/>
        <w:ind w:left="426"/>
        <w:contextualSpacing w:val="0"/>
        <w:rPr>
          <w:rFonts w:ascii="Times New Roman" w:hAnsi="Times New Roman"/>
        </w:rPr>
      </w:pPr>
      <w:r w:rsidRPr="00397701">
        <w:rPr>
          <w:rFonts w:ascii="Times New Roman" w:hAnsi="Times New Roman"/>
        </w:rPr>
        <w:t>Consultation with experts</w:t>
      </w:r>
      <w:r w:rsidR="005450AE" w:rsidRPr="00397701">
        <w:rPr>
          <w:rFonts w:ascii="Times New Roman" w:hAnsi="Times New Roman"/>
        </w:rPr>
        <w:t xml:space="preserve"> – there was </w:t>
      </w:r>
      <w:r w:rsidR="008D3880" w:rsidRPr="00397701">
        <w:rPr>
          <w:rFonts w:ascii="Times New Roman" w:hAnsi="Times New Roman"/>
        </w:rPr>
        <w:t>broad</w:t>
      </w:r>
      <w:r w:rsidR="005450AE" w:rsidRPr="00397701">
        <w:rPr>
          <w:rFonts w:ascii="Times New Roman" w:hAnsi="Times New Roman"/>
        </w:rPr>
        <w:t xml:space="preserve"> general support for the inclusion </w:t>
      </w:r>
      <w:r w:rsidR="001E6C34" w:rsidRPr="00397701">
        <w:rPr>
          <w:rFonts w:ascii="Times New Roman" w:hAnsi="Times New Roman"/>
        </w:rPr>
        <w:t xml:space="preserve">of </w:t>
      </w:r>
      <w:r w:rsidR="005450AE" w:rsidRPr="00397701">
        <w:rPr>
          <w:rFonts w:ascii="Times New Roman" w:hAnsi="Times New Roman"/>
        </w:rPr>
        <w:t>consultation with DFV experts in developing DFV policies, procedures and training. However</w:t>
      </w:r>
      <w:r w:rsidR="0059149C" w:rsidRPr="00397701">
        <w:rPr>
          <w:rFonts w:ascii="Times New Roman" w:hAnsi="Times New Roman"/>
        </w:rPr>
        <w:t>,</w:t>
      </w:r>
      <w:r w:rsidR="005450AE" w:rsidRPr="00397701">
        <w:rPr>
          <w:rFonts w:ascii="Times New Roman" w:hAnsi="Times New Roman"/>
        </w:rPr>
        <w:t xml:space="preserve"> there were differing views regarding the scope and </w:t>
      </w:r>
      <w:r w:rsidR="00085060" w:rsidRPr="00397701">
        <w:rPr>
          <w:rFonts w:ascii="Times New Roman" w:hAnsi="Times New Roman"/>
        </w:rPr>
        <w:t>nature of such consultation</w:t>
      </w:r>
      <w:r w:rsidR="00603B54" w:rsidRPr="00397701">
        <w:rPr>
          <w:rFonts w:ascii="Times New Roman" w:hAnsi="Times New Roman"/>
        </w:rPr>
        <w:t xml:space="preserve"> and the </w:t>
      </w:r>
      <w:r w:rsidR="00D56FAA" w:rsidRPr="00397701">
        <w:rPr>
          <w:rFonts w:ascii="Times New Roman" w:hAnsi="Times New Roman"/>
        </w:rPr>
        <w:t>potential burden on</w:t>
      </w:r>
      <w:r w:rsidR="00603B54" w:rsidRPr="00397701">
        <w:rPr>
          <w:rFonts w:ascii="Times New Roman" w:hAnsi="Times New Roman"/>
        </w:rPr>
        <w:t xml:space="preserve"> the DFV sector </w:t>
      </w:r>
      <w:r w:rsidR="00C92EB1" w:rsidRPr="00397701">
        <w:rPr>
          <w:rFonts w:ascii="Times New Roman" w:hAnsi="Times New Roman"/>
        </w:rPr>
        <w:t>in providing</w:t>
      </w:r>
      <w:r w:rsidR="00603B54" w:rsidRPr="00397701">
        <w:rPr>
          <w:rFonts w:ascii="Times New Roman" w:hAnsi="Times New Roman"/>
        </w:rPr>
        <w:t xml:space="preserve"> advice.</w:t>
      </w:r>
      <w:r w:rsidR="005A7734" w:rsidRPr="00397701">
        <w:rPr>
          <w:rFonts w:ascii="Times New Roman" w:hAnsi="Times New Roman"/>
        </w:rPr>
        <w:t xml:space="preserve"> The Standard requires CSPs to consult with a DFV support service or organisation and one of either a panel with lived experience or an organisation representing persons disproportionately affected by DFV. It also allows industry bodies to consult on behalf of small providers.</w:t>
      </w:r>
    </w:p>
    <w:p w14:paraId="276B56F9" w14:textId="20E7A75C" w:rsidR="00603B54" w:rsidRPr="00397701" w:rsidRDefault="00603B54" w:rsidP="001D0578">
      <w:pPr>
        <w:pStyle w:val="ListParagraph"/>
        <w:numPr>
          <w:ilvl w:val="0"/>
          <w:numId w:val="6"/>
        </w:numPr>
        <w:shd w:val="clear" w:color="auto" w:fill="FFFFFF"/>
        <w:spacing w:before="120" w:after="0" w:line="120" w:lineRule="atLeast"/>
        <w:ind w:left="425" w:hanging="357"/>
        <w:contextualSpacing w:val="0"/>
        <w:rPr>
          <w:rFonts w:ascii="Times New Roman" w:hAnsi="Times New Roman"/>
        </w:rPr>
      </w:pPr>
      <w:r w:rsidRPr="00397701">
        <w:rPr>
          <w:rFonts w:ascii="Times New Roman" w:hAnsi="Times New Roman"/>
        </w:rPr>
        <w:t xml:space="preserve">Interaction with other instruments –industry </w:t>
      </w:r>
      <w:r w:rsidR="00380311" w:rsidRPr="00397701">
        <w:rPr>
          <w:rFonts w:ascii="Times New Roman" w:hAnsi="Times New Roman"/>
        </w:rPr>
        <w:t xml:space="preserve">stakeholders </w:t>
      </w:r>
      <w:r w:rsidRPr="00397701">
        <w:rPr>
          <w:rFonts w:ascii="Times New Roman" w:hAnsi="Times New Roman"/>
        </w:rPr>
        <w:t xml:space="preserve">raised concern about potential conflicts between the Standard and other regulations including the </w:t>
      </w:r>
      <w:r w:rsidR="00F64AB9" w:rsidRPr="00397701">
        <w:rPr>
          <w:rFonts w:ascii="Times New Roman" w:hAnsi="Times New Roman"/>
          <w:i/>
        </w:rPr>
        <w:t>Telecommunications Service Provider (</w:t>
      </w:r>
      <w:r w:rsidRPr="00397701">
        <w:rPr>
          <w:rFonts w:ascii="Times New Roman" w:hAnsi="Times New Roman"/>
          <w:i/>
        </w:rPr>
        <w:t>Customer Identity Authentication</w:t>
      </w:r>
      <w:r w:rsidR="00F64AB9" w:rsidRPr="00397701">
        <w:rPr>
          <w:rFonts w:ascii="Times New Roman" w:hAnsi="Times New Roman"/>
          <w:i/>
        </w:rPr>
        <w:t>)</w:t>
      </w:r>
      <w:r w:rsidRPr="00397701">
        <w:rPr>
          <w:rFonts w:ascii="Times New Roman" w:hAnsi="Times New Roman"/>
          <w:i/>
        </w:rPr>
        <w:t xml:space="preserve"> Determination</w:t>
      </w:r>
      <w:r w:rsidR="00F64AB9" w:rsidRPr="00397701">
        <w:rPr>
          <w:rFonts w:ascii="Times New Roman" w:hAnsi="Times New Roman"/>
          <w:i/>
        </w:rPr>
        <w:t xml:space="preserve"> 2022</w:t>
      </w:r>
      <w:r w:rsidRPr="00397701">
        <w:rPr>
          <w:rFonts w:ascii="Times New Roman" w:hAnsi="Times New Roman"/>
        </w:rPr>
        <w:t xml:space="preserve">, the </w:t>
      </w:r>
      <w:r w:rsidR="00F64AB9" w:rsidRPr="00397701">
        <w:rPr>
          <w:rFonts w:ascii="Times New Roman" w:hAnsi="Times New Roman"/>
          <w:i/>
        </w:rPr>
        <w:t xml:space="preserve">Telecommunications (Service Provider – Identity Checks for </w:t>
      </w:r>
      <w:r w:rsidRPr="00397701">
        <w:rPr>
          <w:rFonts w:ascii="Times New Roman" w:hAnsi="Times New Roman"/>
          <w:i/>
        </w:rPr>
        <w:t xml:space="preserve">Prepaid </w:t>
      </w:r>
      <w:r w:rsidR="00F64AB9" w:rsidRPr="00397701">
        <w:rPr>
          <w:rFonts w:ascii="Times New Roman" w:hAnsi="Times New Roman"/>
          <w:i/>
        </w:rPr>
        <w:t xml:space="preserve">Mobile Carriage Services) </w:t>
      </w:r>
      <w:r w:rsidRPr="00397701">
        <w:rPr>
          <w:rFonts w:ascii="Times New Roman" w:hAnsi="Times New Roman"/>
          <w:i/>
        </w:rPr>
        <w:t>Determination</w:t>
      </w:r>
      <w:r w:rsidR="00F64AB9" w:rsidRPr="00397701">
        <w:rPr>
          <w:rFonts w:ascii="Times New Roman" w:hAnsi="Times New Roman"/>
          <w:i/>
        </w:rPr>
        <w:t xml:space="preserve"> 2017</w:t>
      </w:r>
      <w:r w:rsidRPr="00397701">
        <w:rPr>
          <w:rFonts w:ascii="Times New Roman" w:hAnsi="Times New Roman"/>
        </w:rPr>
        <w:t xml:space="preserve">, </w:t>
      </w:r>
      <w:r w:rsidR="00D854B8" w:rsidRPr="00397701">
        <w:rPr>
          <w:rFonts w:ascii="Times New Roman" w:hAnsi="Times New Roman"/>
        </w:rPr>
        <w:t xml:space="preserve">and </w:t>
      </w:r>
      <w:r w:rsidRPr="00397701">
        <w:rPr>
          <w:rFonts w:ascii="Times New Roman" w:hAnsi="Times New Roman"/>
        </w:rPr>
        <w:t xml:space="preserve">the </w:t>
      </w:r>
      <w:r w:rsidR="00F64AB9" w:rsidRPr="00397701">
        <w:rPr>
          <w:rFonts w:ascii="Times New Roman" w:hAnsi="Times New Roman"/>
          <w:i/>
        </w:rPr>
        <w:t>Telecommunications (</w:t>
      </w:r>
      <w:r w:rsidRPr="00397701">
        <w:rPr>
          <w:rFonts w:ascii="Times New Roman" w:hAnsi="Times New Roman"/>
          <w:i/>
        </w:rPr>
        <w:t>Financial Hardship</w:t>
      </w:r>
      <w:r w:rsidR="00F64AB9" w:rsidRPr="00397701">
        <w:rPr>
          <w:rFonts w:ascii="Times New Roman" w:hAnsi="Times New Roman"/>
          <w:i/>
        </w:rPr>
        <w:t>)</w:t>
      </w:r>
      <w:r w:rsidRPr="00397701">
        <w:rPr>
          <w:rFonts w:ascii="Times New Roman" w:hAnsi="Times New Roman"/>
          <w:i/>
        </w:rPr>
        <w:t xml:space="preserve"> </w:t>
      </w:r>
      <w:r w:rsidR="00F64AB9" w:rsidRPr="00397701">
        <w:rPr>
          <w:rFonts w:ascii="Times New Roman" w:hAnsi="Times New Roman"/>
          <w:i/>
        </w:rPr>
        <w:t>Industry</w:t>
      </w:r>
      <w:r w:rsidRPr="00397701">
        <w:rPr>
          <w:rFonts w:ascii="Times New Roman" w:hAnsi="Times New Roman"/>
          <w:i/>
        </w:rPr>
        <w:t xml:space="preserve"> Standard</w:t>
      </w:r>
      <w:r w:rsidR="00F64AB9" w:rsidRPr="00397701">
        <w:rPr>
          <w:rFonts w:ascii="Times New Roman" w:hAnsi="Times New Roman"/>
          <w:i/>
        </w:rPr>
        <w:t xml:space="preserve"> 2024</w:t>
      </w:r>
      <w:r w:rsidRPr="00397701">
        <w:rPr>
          <w:rFonts w:ascii="Times New Roman" w:hAnsi="Times New Roman"/>
        </w:rPr>
        <w:t>. We have included provisions in the Standard to address potential conflicts and harmonise the interaction of the protections</w:t>
      </w:r>
      <w:r w:rsidR="00D03107" w:rsidRPr="00397701">
        <w:rPr>
          <w:rFonts w:ascii="Times New Roman" w:hAnsi="Times New Roman"/>
        </w:rPr>
        <w:t xml:space="preserve"> by </w:t>
      </w:r>
      <w:r w:rsidR="00F02A17" w:rsidRPr="00397701">
        <w:rPr>
          <w:rFonts w:ascii="Times New Roman" w:hAnsi="Times New Roman"/>
        </w:rPr>
        <w:t>allowing for exemptions where the action would contravene another law</w:t>
      </w:r>
      <w:r w:rsidR="00DF0698" w:rsidRPr="00397701">
        <w:rPr>
          <w:rFonts w:ascii="Times New Roman" w:hAnsi="Times New Roman"/>
        </w:rPr>
        <w:t xml:space="preserve"> or limiting the timeframe </w:t>
      </w:r>
      <w:r w:rsidR="00205348" w:rsidRPr="00397701">
        <w:rPr>
          <w:rFonts w:ascii="Times New Roman" w:hAnsi="Times New Roman"/>
        </w:rPr>
        <w:t xml:space="preserve">of an action so that the action does not conflict with other </w:t>
      </w:r>
      <w:r w:rsidR="006A3DC6" w:rsidRPr="00397701">
        <w:rPr>
          <w:rFonts w:ascii="Times New Roman" w:hAnsi="Times New Roman"/>
        </w:rPr>
        <w:t xml:space="preserve">legislative </w:t>
      </w:r>
      <w:r w:rsidR="00205348" w:rsidRPr="00397701">
        <w:rPr>
          <w:rFonts w:ascii="Times New Roman" w:hAnsi="Times New Roman"/>
        </w:rPr>
        <w:t>requirements</w:t>
      </w:r>
      <w:r w:rsidR="00916F17" w:rsidRPr="00397701">
        <w:rPr>
          <w:rFonts w:ascii="Times New Roman" w:hAnsi="Times New Roman"/>
        </w:rPr>
        <w:t>.</w:t>
      </w:r>
    </w:p>
    <w:p w14:paraId="67426226" w14:textId="264A4D96" w:rsidR="008D3880" w:rsidRPr="00397701" w:rsidRDefault="00603B54" w:rsidP="001D0578">
      <w:pPr>
        <w:pStyle w:val="ListParagraph"/>
        <w:numPr>
          <w:ilvl w:val="0"/>
          <w:numId w:val="6"/>
        </w:numPr>
        <w:shd w:val="clear" w:color="auto" w:fill="FFFFFF"/>
        <w:spacing w:before="120" w:after="0" w:line="120" w:lineRule="atLeast"/>
        <w:ind w:left="425" w:hanging="357"/>
        <w:contextualSpacing w:val="0"/>
        <w:rPr>
          <w:rFonts w:ascii="Times New Roman" w:hAnsi="Times New Roman"/>
        </w:rPr>
      </w:pPr>
      <w:r w:rsidRPr="00397701">
        <w:rPr>
          <w:rFonts w:ascii="Times New Roman" w:hAnsi="Times New Roman"/>
        </w:rPr>
        <w:t>Collection of evidence – we received conflicting feedback from stakeholders on this matter</w:t>
      </w:r>
      <w:r w:rsidR="00557B18" w:rsidRPr="00397701">
        <w:rPr>
          <w:rFonts w:ascii="Times New Roman" w:hAnsi="Times New Roman"/>
        </w:rPr>
        <w:t xml:space="preserve">. </w:t>
      </w:r>
      <w:r w:rsidR="00740331" w:rsidRPr="00397701">
        <w:rPr>
          <w:rFonts w:ascii="Times New Roman" w:hAnsi="Times New Roman"/>
        </w:rPr>
        <w:t xml:space="preserve">Many </w:t>
      </w:r>
      <w:r w:rsidR="00854BF8" w:rsidRPr="00397701">
        <w:rPr>
          <w:rFonts w:ascii="Times New Roman" w:hAnsi="Times New Roman"/>
        </w:rPr>
        <w:t>i</w:t>
      </w:r>
      <w:r w:rsidR="00557B18" w:rsidRPr="00397701">
        <w:rPr>
          <w:rFonts w:ascii="Times New Roman" w:hAnsi="Times New Roman"/>
        </w:rPr>
        <w:t xml:space="preserve">ndustry </w:t>
      </w:r>
      <w:r w:rsidR="00854BF8" w:rsidRPr="00397701">
        <w:rPr>
          <w:rFonts w:ascii="Times New Roman" w:hAnsi="Times New Roman"/>
        </w:rPr>
        <w:t xml:space="preserve">participants </w:t>
      </w:r>
      <w:r w:rsidR="00B73690" w:rsidRPr="00397701">
        <w:rPr>
          <w:rFonts w:ascii="Times New Roman" w:hAnsi="Times New Roman"/>
        </w:rPr>
        <w:t>raised</w:t>
      </w:r>
      <w:r w:rsidR="00557B18" w:rsidRPr="00397701">
        <w:rPr>
          <w:rFonts w:ascii="Times New Roman" w:hAnsi="Times New Roman"/>
        </w:rPr>
        <w:t xml:space="preserve"> concerns that an absolute prohibition on the collection of evidence may expose the providers, and consumers themselves, to the risk of fraud</w:t>
      </w:r>
      <w:r w:rsidR="00AA16B7" w:rsidRPr="00397701">
        <w:rPr>
          <w:rFonts w:ascii="Times New Roman" w:hAnsi="Times New Roman"/>
        </w:rPr>
        <w:t xml:space="preserve"> or systems abuse</w:t>
      </w:r>
      <w:r w:rsidR="00557B18" w:rsidRPr="00397701">
        <w:rPr>
          <w:rFonts w:ascii="Times New Roman" w:hAnsi="Times New Roman"/>
        </w:rPr>
        <w:t xml:space="preserve">. </w:t>
      </w:r>
      <w:r w:rsidR="00854BF8" w:rsidRPr="00397701">
        <w:rPr>
          <w:rFonts w:ascii="Times New Roman" w:hAnsi="Times New Roman"/>
        </w:rPr>
        <w:t>Most c</w:t>
      </w:r>
      <w:r w:rsidR="00557B18" w:rsidRPr="00397701">
        <w:rPr>
          <w:rFonts w:ascii="Times New Roman" w:hAnsi="Times New Roman"/>
        </w:rPr>
        <w:t xml:space="preserve">onsumer advocates </w:t>
      </w:r>
      <w:r w:rsidR="00660615" w:rsidRPr="00397701">
        <w:rPr>
          <w:rFonts w:ascii="Times New Roman" w:hAnsi="Times New Roman"/>
        </w:rPr>
        <w:t>w</w:t>
      </w:r>
      <w:r w:rsidR="00557B18" w:rsidRPr="00397701">
        <w:rPr>
          <w:rFonts w:ascii="Times New Roman" w:hAnsi="Times New Roman"/>
        </w:rPr>
        <w:t xml:space="preserve">ere adamantly opposed to the collection of evidence under any circumstances, considering it </w:t>
      </w:r>
      <w:r w:rsidR="00F64AB9" w:rsidRPr="00397701">
        <w:rPr>
          <w:rFonts w:ascii="Times New Roman" w:hAnsi="Times New Roman"/>
        </w:rPr>
        <w:t>can place an additional burden on someone already facing extreme stress and trauma</w:t>
      </w:r>
      <w:r w:rsidR="00557B18" w:rsidRPr="00397701">
        <w:rPr>
          <w:rFonts w:ascii="Times New Roman" w:hAnsi="Times New Roman"/>
        </w:rPr>
        <w:t xml:space="preserve">.  </w:t>
      </w:r>
      <w:r w:rsidR="00696105" w:rsidRPr="00397701">
        <w:rPr>
          <w:rFonts w:ascii="Times New Roman" w:hAnsi="Times New Roman"/>
        </w:rPr>
        <w:t>T</w:t>
      </w:r>
      <w:r w:rsidR="00557B18" w:rsidRPr="00397701">
        <w:rPr>
          <w:rFonts w:ascii="Times New Roman" w:hAnsi="Times New Roman"/>
        </w:rPr>
        <w:t xml:space="preserve">he Standard balances the need to manage potential exploitation by bad actors with the need to minimise barriers for affected persons by allowing for evidence to be collected where it is legally required or where </w:t>
      </w:r>
      <w:r w:rsidR="006A05BE" w:rsidRPr="00397701">
        <w:rPr>
          <w:rFonts w:ascii="Times New Roman" w:hAnsi="Times New Roman"/>
        </w:rPr>
        <w:t xml:space="preserve">it is necessary to protect </w:t>
      </w:r>
      <w:r w:rsidR="005A6852" w:rsidRPr="00397701">
        <w:rPr>
          <w:rFonts w:ascii="Times New Roman" w:hAnsi="Times New Roman"/>
        </w:rPr>
        <w:t xml:space="preserve">the interests of </w:t>
      </w:r>
      <w:r w:rsidR="00AA16B7" w:rsidRPr="00397701">
        <w:rPr>
          <w:rFonts w:ascii="Times New Roman" w:hAnsi="Times New Roman"/>
        </w:rPr>
        <w:t xml:space="preserve">a DFV </w:t>
      </w:r>
      <w:r w:rsidR="00F64AB9" w:rsidRPr="00397701">
        <w:rPr>
          <w:rFonts w:ascii="Times New Roman" w:hAnsi="Times New Roman"/>
        </w:rPr>
        <w:t>affected person</w:t>
      </w:r>
      <w:r w:rsidR="008D3880" w:rsidRPr="00397701">
        <w:rPr>
          <w:rFonts w:ascii="Times New Roman" w:hAnsi="Times New Roman"/>
        </w:rPr>
        <w:t>.</w:t>
      </w:r>
    </w:p>
    <w:p w14:paraId="7CC3EFF9" w14:textId="0B8F32BC" w:rsidR="00603B54" w:rsidRPr="00397701" w:rsidRDefault="00603B54" w:rsidP="001D0578">
      <w:pPr>
        <w:pStyle w:val="ListParagraph"/>
        <w:numPr>
          <w:ilvl w:val="0"/>
          <w:numId w:val="6"/>
        </w:numPr>
        <w:shd w:val="clear" w:color="auto" w:fill="FFFFFF"/>
        <w:spacing w:before="120" w:after="0" w:line="120" w:lineRule="atLeast"/>
        <w:ind w:left="425" w:hanging="357"/>
        <w:contextualSpacing w:val="0"/>
        <w:rPr>
          <w:rFonts w:ascii="Times New Roman" w:hAnsi="Times New Roman"/>
        </w:rPr>
      </w:pPr>
      <w:r w:rsidRPr="00397701">
        <w:rPr>
          <w:rFonts w:ascii="Times New Roman" w:hAnsi="Times New Roman"/>
        </w:rPr>
        <w:t>Implementation</w:t>
      </w:r>
      <w:r w:rsidR="008D3880" w:rsidRPr="00397701">
        <w:rPr>
          <w:rFonts w:ascii="Times New Roman" w:hAnsi="Times New Roman"/>
        </w:rPr>
        <w:t xml:space="preserve"> - all stakeholders indicated a need to allow sufficient time for consultation o</w:t>
      </w:r>
      <w:r w:rsidR="00BE1B67">
        <w:rPr>
          <w:rFonts w:ascii="Times New Roman" w:hAnsi="Times New Roman"/>
        </w:rPr>
        <w:t>n</w:t>
      </w:r>
      <w:r w:rsidR="008D3880" w:rsidRPr="00397701">
        <w:rPr>
          <w:rFonts w:ascii="Times New Roman" w:hAnsi="Times New Roman"/>
        </w:rPr>
        <w:t xml:space="preserve"> policies, procedures and training. There was also widespread acknowledgement that smaller providers would likely require more time for implementation although some larger CSPs posit that they require more time than smaller CSPs due to </w:t>
      </w:r>
      <w:r w:rsidR="00AB7E25" w:rsidRPr="00397701">
        <w:rPr>
          <w:rFonts w:ascii="Times New Roman" w:hAnsi="Times New Roman"/>
        </w:rPr>
        <w:t xml:space="preserve">the </w:t>
      </w:r>
      <w:r w:rsidR="008D3880" w:rsidRPr="00397701">
        <w:rPr>
          <w:rFonts w:ascii="Times New Roman" w:hAnsi="Times New Roman"/>
        </w:rPr>
        <w:t>size and complexity of processes and systems. Consumer advocates considered that many of the provisions which deal with the provision of direct support to affected persons should commence immediately, while industry noted that before support requirements could be implemented, the underlying policies, procedures, systems and training (requiring consultation) would be required.</w:t>
      </w:r>
      <w:r w:rsidR="005A7734" w:rsidRPr="00397701">
        <w:rPr>
          <w:rFonts w:ascii="Times New Roman" w:hAnsi="Times New Roman"/>
        </w:rPr>
        <w:t xml:space="preserve"> The Standard balances this feedback with a staggered approach to implementation.</w:t>
      </w:r>
    </w:p>
    <w:p w14:paraId="20297428" w14:textId="77777777" w:rsidR="006B5F82" w:rsidRPr="00397701" w:rsidRDefault="006B5F82" w:rsidP="009277E2">
      <w:pPr>
        <w:spacing w:after="40"/>
        <w:rPr>
          <w:rFonts w:ascii="Times New Roman" w:hAnsi="Times New Roman" w:cs="Times New Roman"/>
        </w:rPr>
      </w:pPr>
    </w:p>
    <w:p w14:paraId="307F40E0" w14:textId="26261325" w:rsidR="004D2843" w:rsidRPr="00397701" w:rsidRDefault="00FB4437" w:rsidP="004D2843">
      <w:pPr>
        <w:rPr>
          <w:rFonts w:ascii="Times New Roman" w:hAnsi="Times New Roman" w:cs="Times New Roman"/>
          <w:b/>
        </w:rPr>
      </w:pPr>
      <w:r w:rsidRPr="00397701">
        <w:rPr>
          <w:rFonts w:ascii="Times New Roman" w:hAnsi="Times New Roman" w:cs="Times New Roman"/>
          <w:b/>
        </w:rPr>
        <w:t>Statement of compatibility with human r</w:t>
      </w:r>
      <w:r w:rsidR="004D2843" w:rsidRPr="00397701">
        <w:rPr>
          <w:rFonts w:ascii="Times New Roman" w:hAnsi="Times New Roman" w:cs="Times New Roman"/>
          <w:b/>
        </w:rPr>
        <w:t>ights</w:t>
      </w:r>
    </w:p>
    <w:p w14:paraId="6F30A3F1" w14:textId="77777777" w:rsidR="00564790" w:rsidRPr="00397701" w:rsidRDefault="00564790" w:rsidP="00564790">
      <w:pPr>
        <w:spacing w:before="120" w:after="0"/>
        <w:rPr>
          <w:rFonts w:ascii="Times New Roman" w:hAnsi="Times New Roman"/>
        </w:rPr>
      </w:pPr>
      <w:r w:rsidRPr="00397701">
        <w:rPr>
          <w:rFonts w:ascii="Times New Roman" w:hAnsi="Times New Roman"/>
        </w:rPr>
        <w:t xml:space="preserve">Subsection 9(1) of the </w:t>
      </w:r>
      <w:r w:rsidRPr="00397701">
        <w:rPr>
          <w:rFonts w:ascii="Times New Roman" w:hAnsi="Times New Roman"/>
          <w:i/>
        </w:rPr>
        <w:t>Human Rights (Parliamentary Scrutiny) Act 2011</w:t>
      </w:r>
      <w:r w:rsidRPr="00397701">
        <w:rPr>
          <w:rFonts w:ascii="Times New Roman" w:hAnsi="Times New Roman"/>
        </w:rPr>
        <w:t xml:space="preserve"> requires the rule-maker in relation to a legislative instrument to which section 42 (disallowance) of the LA applies to cause a statement of compatibility with human rights to be prepared in respect of that legislative instrument.</w:t>
      </w:r>
    </w:p>
    <w:p w14:paraId="380E3F2D" w14:textId="77777777" w:rsidR="00564790" w:rsidRPr="00397701" w:rsidRDefault="00564790" w:rsidP="00564790">
      <w:pPr>
        <w:spacing w:before="120" w:after="0"/>
        <w:rPr>
          <w:rFonts w:ascii="Times New Roman" w:hAnsi="Times New Roman"/>
        </w:rPr>
      </w:pPr>
      <w:r w:rsidRPr="00397701">
        <w:rPr>
          <w:rFonts w:ascii="Times New Roman" w:hAnsi="Times New Roman"/>
        </w:rPr>
        <w:t xml:space="preserve">The statement of compatibility with human rights set out in </w:t>
      </w:r>
      <w:r w:rsidRPr="00397701">
        <w:rPr>
          <w:rFonts w:ascii="Times New Roman" w:hAnsi="Times New Roman"/>
          <w:b/>
          <w:bCs/>
        </w:rPr>
        <w:t>Attachment B</w:t>
      </w:r>
      <w:r w:rsidRPr="00397701">
        <w:rPr>
          <w:rFonts w:ascii="Times New Roman" w:hAnsi="Times New Roman"/>
        </w:rPr>
        <w:t xml:space="preserve"> has been prepared to meet that requirement.</w:t>
      </w:r>
    </w:p>
    <w:p w14:paraId="54D659A0" w14:textId="77777777" w:rsidR="00932D8F" w:rsidRPr="00397701" w:rsidRDefault="00932D8F">
      <w:pPr>
        <w:rPr>
          <w:rFonts w:ascii="Times New Roman" w:hAnsi="Times New Roman" w:cs="Times New Roman"/>
          <w:b/>
          <w:sz w:val="28"/>
          <w:szCs w:val="28"/>
        </w:rPr>
      </w:pPr>
      <w:r w:rsidRPr="00397701">
        <w:rPr>
          <w:rFonts w:ascii="Times New Roman" w:hAnsi="Times New Roman" w:cs="Times New Roman"/>
          <w:b/>
          <w:sz w:val="28"/>
          <w:szCs w:val="28"/>
        </w:rPr>
        <w:br w:type="page"/>
      </w:r>
    </w:p>
    <w:p w14:paraId="0A465983" w14:textId="6877BE8F" w:rsidR="00025ACE" w:rsidRPr="00397701" w:rsidRDefault="00AD3414" w:rsidP="00641906">
      <w:pPr>
        <w:jc w:val="right"/>
        <w:rPr>
          <w:rFonts w:ascii="Times New Roman" w:hAnsi="Times New Roman" w:cs="Times New Roman"/>
          <w:b/>
          <w:sz w:val="28"/>
          <w:szCs w:val="28"/>
        </w:rPr>
      </w:pPr>
      <w:r w:rsidRPr="00397701">
        <w:rPr>
          <w:rFonts w:ascii="Times New Roman" w:hAnsi="Times New Roman" w:cs="Times New Roman"/>
          <w:b/>
          <w:sz w:val="28"/>
          <w:szCs w:val="28"/>
        </w:rPr>
        <w:lastRenderedPageBreak/>
        <w:t>Attachment A</w:t>
      </w:r>
    </w:p>
    <w:p w14:paraId="2ED05ACE" w14:textId="7D6DD7C0" w:rsidR="008E26B7" w:rsidRPr="00397701" w:rsidRDefault="00AD3414" w:rsidP="008E26B7">
      <w:pPr>
        <w:jc w:val="center"/>
        <w:rPr>
          <w:rFonts w:ascii="Times New Roman" w:hAnsi="Times New Roman" w:cs="Times New Roman"/>
          <w:b/>
          <w:i/>
          <w:sz w:val="28"/>
          <w:szCs w:val="28"/>
        </w:rPr>
      </w:pPr>
      <w:r w:rsidRPr="00397701">
        <w:rPr>
          <w:rFonts w:ascii="Times New Roman" w:hAnsi="Times New Roman" w:cs="Times New Roman"/>
          <w:b/>
          <w:sz w:val="28"/>
          <w:szCs w:val="28"/>
        </w:rPr>
        <w:t>Notes to</w:t>
      </w:r>
      <w:r w:rsidR="00B727F3" w:rsidRPr="00397701">
        <w:rPr>
          <w:rFonts w:ascii="Times New Roman" w:hAnsi="Times New Roman" w:cs="Times New Roman"/>
          <w:b/>
          <w:sz w:val="28"/>
          <w:szCs w:val="28"/>
        </w:rPr>
        <w:t xml:space="preserve"> the</w:t>
      </w:r>
      <w:r w:rsidRPr="00397701">
        <w:rPr>
          <w:rFonts w:ascii="Times New Roman" w:hAnsi="Times New Roman" w:cs="Times New Roman"/>
          <w:b/>
          <w:sz w:val="28"/>
          <w:szCs w:val="28"/>
        </w:rPr>
        <w:t xml:space="preserve"> </w:t>
      </w:r>
      <w:r w:rsidR="008E26B7" w:rsidRPr="00397701">
        <w:rPr>
          <w:rFonts w:ascii="Times New Roman" w:hAnsi="Times New Roman" w:cs="Times New Roman"/>
          <w:b/>
          <w:i/>
          <w:sz w:val="28"/>
          <w:szCs w:val="28"/>
        </w:rPr>
        <w:t>Telecommunications (Domestic, Family and Sexual Violence Consumer Protections) Industry Standard 2025</w:t>
      </w:r>
    </w:p>
    <w:p w14:paraId="77137405" w14:textId="35A665C8" w:rsidR="00641906" w:rsidRPr="00397701" w:rsidRDefault="00641906" w:rsidP="00641906">
      <w:pPr>
        <w:jc w:val="center"/>
        <w:rPr>
          <w:rFonts w:ascii="Times New Roman" w:hAnsi="Times New Roman" w:cs="Times New Roman"/>
          <w:b/>
          <w:sz w:val="28"/>
          <w:szCs w:val="28"/>
        </w:rPr>
      </w:pPr>
    </w:p>
    <w:p w14:paraId="6538AA96" w14:textId="544CEF03" w:rsidR="006940DB" w:rsidRPr="00397701" w:rsidRDefault="006940DB" w:rsidP="00AD500F">
      <w:pPr>
        <w:spacing w:before="280"/>
        <w:rPr>
          <w:rFonts w:ascii="Times New Roman" w:hAnsi="Times New Roman" w:cs="Times New Roman"/>
          <w:b/>
        </w:rPr>
      </w:pPr>
      <w:r w:rsidRPr="00397701">
        <w:rPr>
          <w:rFonts w:ascii="Times New Roman" w:hAnsi="Times New Roman" w:cs="Times New Roman"/>
          <w:b/>
        </w:rPr>
        <w:t>Part 1–Preliminary</w:t>
      </w:r>
    </w:p>
    <w:p w14:paraId="4DD57917" w14:textId="6E58EB11" w:rsidR="006940DB" w:rsidRPr="00397701" w:rsidRDefault="006940DB" w:rsidP="004D2843">
      <w:pPr>
        <w:rPr>
          <w:rFonts w:ascii="Times New Roman" w:hAnsi="Times New Roman" w:cs="Times New Roman"/>
          <w:b/>
        </w:rPr>
      </w:pPr>
      <w:r w:rsidRPr="00397701">
        <w:rPr>
          <w:rFonts w:ascii="Times New Roman" w:hAnsi="Times New Roman" w:cs="Times New Roman"/>
          <w:b/>
        </w:rPr>
        <w:t>Section 1</w:t>
      </w:r>
      <w:r w:rsidRPr="00397701">
        <w:rPr>
          <w:rFonts w:ascii="Times New Roman" w:hAnsi="Times New Roman" w:cs="Times New Roman"/>
          <w:b/>
        </w:rPr>
        <w:tab/>
        <w:t>Name</w:t>
      </w:r>
    </w:p>
    <w:p w14:paraId="2BDE4E85" w14:textId="2E9596F7" w:rsidR="00025ACE" w:rsidRPr="00397701" w:rsidRDefault="006940DB" w:rsidP="004D2843">
      <w:pPr>
        <w:rPr>
          <w:rFonts w:ascii="Times New Roman" w:hAnsi="Times New Roman" w:cs="Times New Roman"/>
          <w:b/>
          <w:iCs/>
        </w:rPr>
      </w:pPr>
      <w:r w:rsidRPr="00397701">
        <w:rPr>
          <w:rFonts w:ascii="Times New Roman" w:hAnsi="Times New Roman" w:cs="Times New Roman"/>
        </w:rPr>
        <w:t xml:space="preserve">This section provides for the </w:t>
      </w:r>
      <w:r w:rsidR="001B309C" w:rsidRPr="00397701">
        <w:rPr>
          <w:rFonts w:ascii="Times New Roman" w:hAnsi="Times New Roman" w:cs="Times New Roman"/>
        </w:rPr>
        <w:t xml:space="preserve">industry standard </w:t>
      </w:r>
      <w:r w:rsidRPr="00397701">
        <w:rPr>
          <w:rFonts w:ascii="Times New Roman" w:hAnsi="Times New Roman" w:cs="Times New Roman"/>
        </w:rPr>
        <w:t>to be cited as</w:t>
      </w:r>
      <w:r w:rsidR="00D32E4E" w:rsidRPr="00397701">
        <w:rPr>
          <w:rFonts w:ascii="Times New Roman" w:hAnsi="Times New Roman" w:cs="Times New Roman"/>
        </w:rPr>
        <w:t xml:space="preserve"> the</w:t>
      </w:r>
      <w:r w:rsidRPr="00397701">
        <w:rPr>
          <w:rFonts w:ascii="Times New Roman" w:hAnsi="Times New Roman" w:cs="Times New Roman"/>
        </w:rPr>
        <w:t xml:space="preserve"> </w:t>
      </w:r>
      <w:r w:rsidR="00BD7C91" w:rsidRPr="00397701">
        <w:rPr>
          <w:rFonts w:ascii="Times New Roman" w:hAnsi="Times New Roman" w:cs="Times New Roman"/>
          <w:bCs/>
          <w:i/>
        </w:rPr>
        <w:t>Telecommunications (Domestic, Family and Sexual Violence Consumer Protections) Industry Standard 2025</w:t>
      </w:r>
      <w:r w:rsidR="00312B36" w:rsidRPr="00397701">
        <w:rPr>
          <w:rFonts w:ascii="Times New Roman" w:hAnsi="Times New Roman" w:cs="Times New Roman"/>
          <w:bCs/>
          <w:i/>
        </w:rPr>
        <w:t xml:space="preserve"> </w:t>
      </w:r>
      <w:r w:rsidR="00312B36" w:rsidRPr="00397701">
        <w:rPr>
          <w:rFonts w:ascii="Times New Roman" w:hAnsi="Times New Roman" w:cs="Times New Roman"/>
          <w:bCs/>
          <w:iCs/>
        </w:rPr>
        <w:t xml:space="preserve">(the </w:t>
      </w:r>
      <w:r w:rsidR="00312B36" w:rsidRPr="00397701">
        <w:rPr>
          <w:rFonts w:ascii="Times New Roman" w:hAnsi="Times New Roman"/>
          <w:b/>
        </w:rPr>
        <w:t>Standard</w:t>
      </w:r>
      <w:r w:rsidR="00312B36" w:rsidRPr="00397701">
        <w:rPr>
          <w:rFonts w:ascii="Times New Roman" w:hAnsi="Times New Roman" w:cs="Times New Roman"/>
          <w:bCs/>
          <w:iCs/>
        </w:rPr>
        <w:t>).</w:t>
      </w:r>
    </w:p>
    <w:p w14:paraId="39A5B6EA" w14:textId="64C1B526" w:rsidR="006940DB" w:rsidRPr="00397701" w:rsidRDefault="006940DB" w:rsidP="006940DB">
      <w:pPr>
        <w:rPr>
          <w:rFonts w:ascii="Times New Roman" w:hAnsi="Times New Roman" w:cs="Times New Roman"/>
          <w:b/>
        </w:rPr>
      </w:pPr>
      <w:r w:rsidRPr="00397701">
        <w:rPr>
          <w:rFonts w:ascii="Times New Roman" w:hAnsi="Times New Roman" w:cs="Times New Roman"/>
          <w:b/>
        </w:rPr>
        <w:t>Section 2</w:t>
      </w:r>
      <w:r w:rsidRPr="00397701">
        <w:rPr>
          <w:rFonts w:ascii="Times New Roman" w:hAnsi="Times New Roman" w:cs="Times New Roman"/>
          <w:b/>
        </w:rPr>
        <w:tab/>
        <w:t>Commencement</w:t>
      </w:r>
    </w:p>
    <w:p w14:paraId="4E9AEEE1" w14:textId="44332E61" w:rsidR="001C5DC1" w:rsidRPr="00397701" w:rsidRDefault="001C5DC1" w:rsidP="001C5DC1">
      <w:pPr>
        <w:rPr>
          <w:rFonts w:ascii="Times New Roman" w:hAnsi="Times New Roman" w:cs="Times New Roman"/>
        </w:rPr>
      </w:pPr>
      <w:r w:rsidRPr="00397701">
        <w:rPr>
          <w:rFonts w:ascii="Times New Roman" w:hAnsi="Times New Roman" w:cs="Times New Roman"/>
        </w:rPr>
        <w:t xml:space="preserve">The obligations under the Standard commence in a </w:t>
      </w:r>
      <w:r w:rsidR="00855F0D" w:rsidRPr="00397701">
        <w:rPr>
          <w:rFonts w:ascii="Times New Roman" w:hAnsi="Times New Roman" w:cs="Times New Roman"/>
        </w:rPr>
        <w:t xml:space="preserve">staggered </w:t>
      </w:r>
      <w:r w:rsidRPr="00397701">
        <w:rPr>
          <w:rFonts w:ascii="Times New Roman" w:hAnsi="Times New Roman" w:cs="Times New Roman"/>
        </w:rPr>
        <w:t>manner to allow telecommunications providers sufficient time to prepare for implementation, particularly where obligations require prior consultation or the establishment of new systems and processes.</w:t>
      </w:r>
    </w:p>
    <w:p w14:paraId="5BC90146" w14:textId="67EE68D3" w:rsidR="006940DB" w:rsidRPr="00397701" w:rsidRDefault="006940DB" w:rsidP="004D2843">
      <w:pPr>
        <w:rPr>
          <w:rFonts w:ascii="Times New Roman" w:hAnsi="Times New Roman" w:cs="Times New Roman"/>
        </w:rPr>
      </w:pPr>
      <w:r w:rsidRPr="00397701">
        <w:rPr>
          <w:rFonts w:ascii="Times New Roman" w:hAnsi="Times New Roman" w:cs="Times New Roman"/>
        </w:rPr>
        <w:t xml:space="preserve">This section provides </w:t>
      </w:r>
      <w:r w:rsidR="00561405" w:rsidRPr="00397701">
        <w:rPr>
          <w:rFonts w:ascii="Times New Roman" w:hAnsi="Times New Roman" w:cs="Times New Roman"/>
        </w:rPr>
        <w:t xml:space="preserve">that certain provisions of the </w:t>
      </w:r>
      <w:r w:rsidR="00FC5226" w:rsidRPr="00397701">
        <w:rPr>
          <w:rFonts w:ascii="Times New Roman" w:hAnsi="Times New Roman" w:cs="Times New Roman"/>
        </w:rPr>
        <w:t xml:space="preserve">industry standard </w:t>
      </w:r>
      <w:r w:rsidR="007E48BD" w:rsidRPr="00397701">
        <w:rPr>
          <w:rFonts w:ascii="Times New Roman" w:hAnsi="Times New Roman" w:cs="Times New Roman"/>
        </w:rPr>
        <w:t xml:space="preserve">will </w:t>
      </w:r>
      <w:r w:rsidRPr="00397701">
        <w:rPr>
          <w:rFonts w:ascii="Times New Roman" w:hAnsi="Times New Roman" w:cs="Times New Roman"/>
        </w:rPr>
        <w:t xml:space="preserve">commence </w:t>
      </w:r>
      <w:r w:rsidR="004D3782" w:rsidRPr="00397701">
        <w:rPr>
          <w:rFonts w:ascii="Times New Roman" w:hAnsi="Times New Roman" w:cs="Times New Roman"/>
        </w:rPr>
        <w:t>on 1 July 2025.</w:t>
      </w:r>
    </w:p>
    <w:p w14:paraId="09E69F1B" w14:textId="38100C23" w:rsidR="001D6AD9" w:rsidRPr="00397701" w:rsidRDefault="001D6AD9" w:rsidP="001D6AD9">
      <w:pPr>
        <w:rPr>
          <w:rFonts w:ascii="Times New Roman" w:hAnsi="Times New Roman" w:cs="Times New Roman"/>
        </w:rPr>
      </w:pPr>
      <w:r w:rsidRPr="00397701">
        <w:rPr>
          <w:rFonts w:ascii="Times New Roman" w:hAnsi="Times New Roman" w:cs="Times New Roman"/>
        </w:rPr>
        <w:t xml:space="preserve">These include provisions relating to </w:t>
      </w:r>
      <w:r w:rsidR="004D3782" w:rsidRPr="00397701">
        <w:rPr>
          <w:rFonts w:ascii="Times New Roman" w:hAnsi="Times New Roman" w:cs="Times New Roman"/>
        </w:rPr>
        <w:t>disconnections and reconnections (</w:t>
      </w:r>
      <w:r w:rsidR="00D15FC4" w:rsidRPr="00397701">
        <w:rPr>
          <w:rFonts w:ascii="Times New Roman" w:hAnsi="Times New Roman" w:cs="Times New Roman"/>
        </w:rPr>
        <w:t xml:space="preserve">parts of </w:t>
      </w:r>
      <w:r w:rsidR="004D3782" w:rsidRPr="00397701">
        <w:rPr>
          <w:rFonts w:ascii="Times New Roman" w:hAnsi="Times New Roman" w:cs="Times New Roman"/>
        </w:rPr>
        <w:t>section 1</w:t>
      </w:r>
      <w:r w:rsidR="00AC25AA" w:rsidRPr="00397701">
        <w:rPr>
          <w:rFonts w:ascii="Times New Roman" w:hAnsi="Times New Roman" w:cs="Times New Roman"/>
        </w:rPr>
        <w:t>3</w:t>
      </w:r>
      <w:r w:rsidR="004D3782" w:rsidRPr="00397701">
        <w:rPr>
          <w:rFonts w:ascii="Times New Roman" w:hAnsi="Times New Roman" w:cs="Times New Roman"/>
        </w:rPr>
        <w:t>), prohibiting providers from requiring affected persons to engage with the perpetrator (</w:t>
      </w:r>
      <w:r w:rsidR="00D15FC4" w:rsidRPr="00397701">
        <w:rPr>
          <w:rFonts w:ascii="Times New Roman" w:hAnsi="Times New Roman" w:cs="Times New Roman"/>
        </w:rPr>
        <w:t>sub</w:t>
      </w:r>
      <w:r w:rsidR="004D3782" w:rsidRPr="00397701">
        <w:rPr>
          <w:rFonts w:ascii="Times New Roman" w:hAnsi="Times New Roman" w:cs="Times New Roman"/>
        </w:rPr>
        <w:t>section 1</w:t>
      </w:r>
      <w:r w:rsidR="00D15FC4" w:rsidRPr="00397701">
        <w:rPr>
          <w:rFonts w:ascii="Times New Roman" w:hAnsi="Times New Roman" w:cs="Times New Roman"/>
        </w:rPr>
        <w:t>5(1)</w:t>
      </w:r>
      <w:r w:rsidR="004D3782" w:rsidRPr="00397701">
        <w:rPr>
          <w:rFonts w:ascii="Times New Roman" w:hAnsi="Times New Roman" w:cs="Times New Roman"/>
        </w:rPr>
        <w:t>)</w:t>
      </w:r>
      <w:r w:rsidR="00362745" w:rsidRPr="00397701">
        <w:rPr>
          <w:rFonts w:ascii="Times New Roman" w:hAnsi="Times New Roman" w:cs="Times New Roman"/>
        </w:rPr>
        <w:t xml:space="preserve">, </w:t>
      </w:r>
      <w:r w:rsidR="004D3782" w:rsidRPr="00397701">
        <w:rPr>
          <w:rFonts w:ascii="Times New Roman" w:hAnsi="Times New Roman" w:cs="Times New Roman"/>
        </w:rPr>
        <w:t xml:space="preserve">the obligation to publish information about available </w:t>
      </w:r>
      <w:r w:rsidRPr="00397701">
        <w:rPr>
          <w:rFonts w:ascii="Times New Roman" w:hAnsi="Times New Roman" w:cs="Times New Roman"/>
        </w:rPr>
        <w:t xml:space="preserve">DFV </w:t>
      </w:r>
      <w:r w:rsidR="004D3782" w:rsidRPr="00397701">
        <w:rPr>
          <w:rFonts w:ascii="Times New Roman" w:hAnsi="Times New Roman" w:cs="Times New Roman"/>
        </w:rPr>
        <w:t>support</w:t>
      </w:r>
      <w:r w:rsidRPr="00397701">
        <w:rPr>
          <w:rFonts w:ascii="Times New Roman" w:hAnsi="Times New Roman" w:cs="Times New Roman"/>
        </w:rPr>
        <w:t xml:space="preserve"> </w:t>
      </w:r>
      <w:r w:rsidR="001715B0" w:rsidRPr="00397701">
        <w:rPr>
          <w:rFonts w:ascii="Times New Roman" w:hAnsi="Times New Roman" w:cs="Times New Roman"/>
        </w:rPr>
        <w:t>offered by the provider</w:t>
      </w:r>
      <w:r w:rsidRPr="00397701">
        <w:rPr>
          <w:rFonts w:ascii="Times New Roman" w:hAnsi="Times New Roman" w:cs="Times New Roman"/>
        </w:rPr>
        <w:t xml:space="preserve"> (section </w:t>
      </w:r>
      <w:r w:rsidR="005E5BEB" w:rsidRPr="00397701">
        <w:rPr>
          <w:rFonts w:ascii="Times New Roman" w:hAnsi="Times New Roman" w:cs="Times New Roman"/>
        </w:rPr>
        <w:t>1</w:t>
      </w:r>
      <w:r w:rsidR="007367A5" w:rsidRPr="00397701">
        <w:rPr>
          <w:rFonts w:ascii="Times New Roman" w:hAnsi="Times New Roman" w:cs="Times New Roman"/>
        </w:rPr>
        <w:t>6</w:t>
      </w:r>
      <w:r w:rsidRPr="00397701">
        <w:rPr>
          <w:rFonts w:ascii="Times New Roman" w:hAnsi="Times New Roman" w:cs="Times New Roman"/>
        </w:rPr>
        <w:t>)</w:t>
      </w:r>
      <w:r w:rsidR="004D3782" w:rsidRPr="00397701">
        <w:rPr>
          <w:rFonts w:ascii="Times New Roman" w:hAnsi="Times New Roman" w:cs="Times New Roman"/>
        </w:rPr>
        <w:t xml:space="preserve">. </w:t>
      </w:r>
      <w:r w:rsidRPr="00397701">
        <w:rPr>
          <w:rFonts w:ascii="Times New Roman" w:hAnsi="Times New Roman" w:cs="Times New Roman"/>
        </w:rPr>
        <w:t xml:space="preserve">These provisions support </w:t>
      </w:r>
      <w:r w:rsidR="001715B0" w:rsidRPr="00397701">
        <w:rPr>
          <w:rFonts w:ascii="Times New Roman" w:hAnsi="Times New Roman" w:cs="Times New Roman"/>
        </w:rPr>
        <w:t xml:space="preserve">the </w:t>
      </w:r>
      <w:r w:rsidRPr="00397701">
        <w:rPr>
          <w:rFonts w:ascii="Times New Roman" w:hAnsi="Times New Roman" w:cs="Times New Roman"/>
        </w:rPr>
        <w:t xml:space="preserve">immediate safety </w:t>
      </w:r>
      <w:r w:rsidR="004D3782" w:rsidRPr="00397701">
        <w:rPr>
          <w:rFonts w:ascii="Times New Roman" w:hAnsi="Times New Roman" w:cs="Times New Roman"/>
        </w:rPr>
        <w:t>of affected persons</w:t>
      </w:r>
      <w:r w:rsidRPr="00397701">
        <w:rPr>
          <w:rFonts w:ascii="Times New Roman" w:hAnsi="Times New Roman" w:cs="Times New Roman"/>
        </w:rPr>
        <w:t xml:space="preserve"> and are capable of implementation without</w:t>
      </w:r>
      <w:r w:rsidR="00E51923" w:rsidRPr="00397701">
        <w:rPr>
          <w:rFonts w:ascii="Times New Roman" w:hAnsi="Times New Roman" w:cs="Times New Roman"/>
        </w:rPr>
        <w:t xml:space="preserve"> an</w:t>
      </w:r>
      <w:r w:rsidRPr="00397701">
        <w:rPr>
          <w:rFonts w:ascii="Times New Roman" w:hAnsi="Times New Roman" w:cs="Times New Roman"/>
        </w:rPr>
        <w:t xml:space="preserve"> extended lead time.</w:t>
      </w:r>
      <w:r w:rsidR="00C049ED" w:rsidRPr="00397701">
        <w:rPr>
          <w:rFonts w:ascii="Times New Roman" w:hAnsi="Times New Roman" w:cs="Times New Roman"/>
        </w:rPr>
        <w:t xml:space="preserve">  </w:t>
      </w:r>
      <w:r w:rsidR="009A4DD0" w:rsidRPr="00397701">
        <w:rPr>
          <w:rFonts w:ascii="Times New Roman" w:hAnsi="Times New Roman" w:cs="Times New Roman"/>
        </w:rPr>
        <w:t xml:space="preserve">Provisions relating to the development of a provider’s DFV policy and DFV procedures (section 19) and the delivery of DFV training (sections </w:t>
      </w:r>
      <w:r w:rsidR="00C049ED" w:rsidRPr="00397701">
        <w:rPr>
          <w:rFonts w:ascii="Times New Roman" w:hAnsi="Times New Roman" w:cs="Times New Roman"/>
        </w:rPr>
        <w:t>21</w:t>
      </w:r>
      <w:r w:rsidR="009A4DD0" w:rsidRPr="00397701">
        <w:rPr>
          <w:rFonts w:ascii="Times New Roman" w:hAnsi="Times New Roman" w:cs="Times New Roman"/>
        </w:rPr>
        <w:t xml:space="preserve"> and </w:t>
      </w:r>
      <w:r w:rsidR="00C049ED" w:rsidRPr="00397701">
        <w:rPr>
          <w:rFonts w:ascii="Times New Roman" w:hAnsi="Times New Roman" w:cs="Times New Roman"/>
        </w:rPr>
        <w:t>22</w:t>
      </w:r>
      <w:r w:rsidR="009A4DD0" w:rsidRPr="00397701">
        <w:rPr>
          <w:rFonts w:ascii="Times New Roman" w:hAnsi="Times New Roman" w:cs="Times New Roman"/>
        </w:rPr>
        <w:t>)</w:t>
      </w:r>
      <w:r w:rsidR="000F2590" w:rsidRPr="00397701">
        <w:rPr>
          <w:rFonts w:ascii="Times New Roman" w:hAnsi="Times New Roman" w:cs="Times New Roman"/>
        </w:rPr>
        <w:t xml:space="preserve"> and the requirement to consult on the development of a provider’s DFV policy, procedures and training (section 32)</w:t>
      </w:r>
      <w:r w:rsidR="009A4DD0" w:rsidRPr="00397701">
        <w:rPr>
          <w:rFonts w:ascii="Times New Roman" w:hAnsi="Times New Roman" w:cs="Times New Roman"/>
        </w:rPr>
        <w:t xml:space="preserve"> will also commence on 1 July 2025.  </w:t>
      </w:r>
      <w:r w:rsidR="000F2590" w:rsidRPr="00397701">
        <w:rPr>
          <w:rFonts w:ascii="Times New Roman" w:hAnsi="Times New Roman" w:cs="Times New Roman"/>
        </w:rPr>
        <w:t>T</w:t>
      </w:r>
      <w:r w:rsidR="009A4DD0" w:rsidRPr="00397701">
        <w:rPr>
          <w:rFonts w:ascii="Times New Roman" w:hAnsi="Times New Roman" w:cs="Times New Roman"/>
        </w:rPr>
        <w:t>o allow time for development and for consultation, the policy and procedures are not required to be in place until 6 months after 1 July 2025 for large providers and 9 months after 1 July 2025 for small providers</w:t>
      </w:r>
      <w:r w:rsidR="00C049ED" w:rsidRPr="00397701">
        <w:rPr>
          <w:rFonts w:ascii="Times New Roman" w:hAnsi="Times New Roman" w:cs="Times New Roman"/>
        </w:rPr>
        <w:t>.</w:t>
      </w:r>
      <w:r w:rsidR="009A4DD0" w:rsidRPr="00397701">
        <w:rPr>
          <w:rFonts w:ascii="Times New Roman" w:hAnsi="Times New Roman" w:cs="Times New Roman"/>
        </w:rPr>
        <w:t xml:space="preserve">  In relation to the training requirements in sections 21 and 22, the relevant training must be delivered by large providers within 9 months of 1 July 2025 and by small providers within 12 months of 1 July 2025.</w:t>
      </w:r>
    </w:p>
    <w:p w14:paraId="6F728B20" w14:textId="0BE5C43F" w:rsidR="001D6AD9" w:rsidRPr="00397701" w:rsidRDefault="003F165F" w:rsidP="001D6AD9">
      <w:pPr>
        <w:rPr>
          <w:rFonts w:ascii="Times New Roman" w:hAnsi="Times New Roman" w:cs="Times New Roman"/>
        </w:rPr>
      </w:pPr>
      <w:r w:rsidRPr="00397701">
        <w:rPr>
          <w:rFonts w:ascii="Times New Roman" w:hAnsi="Times New Roman" w:cs="Times New Roman"/>
        </w:rPr>
        <w:t>Commencement of the o</w:t>
      </w:r>
      <w:r w:rsidR="001D6AD9" w:rsidRPr="00397701">
        <w:rPr>
          <w:rFonts w:ascii="Times New Roman" w:hAnsi="Times New Roman" w:cs="Times New Roman"/>
        </w:rPr>
        <w:t xml:space="preserve">ther </w:t>
      </w:r>
      <w:r w:rsidRPr="00397701">
        <w:rPr>
          <w:rFonts w:ascii="Times New Roman" w:hAnsi="Times New Roman" w:cs="Times New Roman"/>
        </w:rPr>
        <w:t xml:space="preserve">provisions of the Standard are delayed </w:t>
      </w:r>
      <w:r w:rsidR="001D6AD9" w:rsidRPr="00397701">
        <w:rPr>
          <w:rFonts w:ascii="Times New Roman" w:hAnsi="Times New Roman" w:cs="Times New Roman"/>
        </w:rPr>
        <w:t xml:space="preserve">to </w:t>
      </w:r>
      <w:r w:rsidRPr="00397701">
        <w:rPr>
          <w:rFonts w:ascii="Times New Roman" w:hAnsi="Times New Roman" w:cs="Times New Roman"/>
        </w:rPr>
        <w:t xml:space="preserve">allow </w:t>
      </w:r>
      <w:r w:rsidR="001D6AD9" w:rsidRPr="00397701">
        <w:rPr>
          <w:rFonts w:ascii="Times New Roman" w:hAnsi="Times New Roman" w:cs="Times New Roman"/>
        </w:rPr>
        <w:t xml:space="preserve">for capacity-building requirements. These include obligations related to, </w:t>
      </w:r>
      <w:r w:rsidR="00AC322B" w:rsidRPr="00397701">
        <w:rPr>
          <w:rFonts w:ascii="Times New Roman" w:hAnsi="Times New Roman" w:cs="Times New Roman"/>
        </w:rPr>
        <w:t>monitoring and review of policies, procedures and personnel compliance (sections 23 and 24</w:t>
      </w:r>
      <w:r w:rsidR="00820FB0" w:rsidRPr="00397701">
        <w:rPr>
          <w:rFonts w:ascii="Times New Roman" w:hAnsi="Times New Roman" w:cs="Times New Roman"/>
        </w:rPr>
        <w:t xml:space="preserve">) </w:t>
      </w:r>
      <w:r w:rsidR="001D6AD9" w:rsidRPr="00397701">
        <w:rPr>
          <w:rFonts w:ascii="Times New Roman" w:hAnsi="Times New Roman" w:cs="Times New Roman"/>
        </w:rPr>
        <w:t xml:space="preserve">and </w:t>
      </w:r>
      <w:r w:rsidR="00850568" w:rsidRPr="00397701">
        <w:rPr>
          <w:rFonts w:ascii="Times New Roman" w:hAnsi="Times New Roman" w:cs="Times New Roman"/>
        </w:rPr>
        <w:t xml:space="preserve">security, privacy and </w:t>
      </w:r>
      <w:r w:rsidR="0054759B" w:rsidRPr="00397701">
        <w:rPr>
          <w:rFonts w:ascii="Times New Roman" w:hAnsi="Times New Roman" w:cs="Times New Roman"/>
        </w:rPr>
        <w:t>record-keeping (section</w:t>
      </w:r>
      <w:r w:rsidR="00850568" w:rsidRPr="00397701">
        <w:rPr>
          <w:rFonts w:ascii="Times New Roman" w:hAnsi="Times New Roman" w:cs="Times New Roman"/>
        </w:rPr>
        <w:t xml:space="preserve">s </w:t>
      </w:r>
      <w:r w:rsidR="00034036" w:rsidRPr="00397701">
        <w:rPr>
          <w:rFonts w:ascii="Times New Roman" w:hAnsi="Times New Roman" w:cs="Times New Roman"/>
        </w:rPr>
        <w:t>25 – 31)</w:t>
      </w:r>
      <w:r w:rsidR="0054759B" w:rsidRPr="00397701">
        <w:rPr>
          <w:rFonts w:ascii="Times New Roman" w:hAnsi="Times New Roman" w:cs="Times New Roman"/>
        </w:rPr>
        <w:t xml:space="preserve"> </w:t>
      </w:r>
      <w:r w:rsidR="001D6AD9" w:rsidRPr="00397701">
        <w:rPr>
          <w:rFonts w:ascii="Times New Roman" w:hAnsi="Times New Roman" w:cs="Times New Roman"/>
        </w:rPr>
        <w:t>These provisions commence:</w:t>
      </w:r>
    </w:p>
    <w:p w14:paraId="18502CEF" w14:textId="66762CDC" w:rsidR="001D6AD9" w:rsidRPr="00397701" w:rsidRDefault="001D6AD9" w:rsidP="001D0578">
      <w:pPr>
        <w:numPr>
          <w:ilvl w:val="0"/>
          <w:numId w:val="9"/>
        </w:numPr>
        <w:rPr>
          <w:rFonts w:ascii="Times New Roman" w:hAnsi="Times New Roman" w:cs="Times New Roman"/>
        </w:rPr>
      </w:pPr>
      <w:r w:rsidRPr="00397701">
        <w:rPr>
          <w:rFonts w:ascii="Times New Roman" w:hAnsi="Times New Roman" w:cs="Times New Roman"/>
        </w:rPr>
        <w:t xml:space="preserve">for large providers (those </w:t>
      </w:r>
      <w:r w:rsidR="00AA16B7" w:rsidRPr="00397701">
        <w:rPr>
          <w:rFonts w:ascii="Times New Roman" w:hAnsi="Times New Roman" w:cs="Times New Roman"/>
        </w:rPr>
        <w:t xml:space="preserve">with </w:t>
      </w:r>
      <w:r w:rsidRPr="00397701">
        <w:rPr>
          <w:rFonts w:ascii="Times New Roman" w:hAnsi="Times New Roman" w:cs="Times New Roman"/>
        </w:rPr>
        <w:t xml:space="preserve">30,000 </w:t>
      </w:r>
      <w:r w:rsidR="00B82EEE" w:rsidRPr="00397701">
        <w:rPr>
          <w:rFonts w:ascii="Times New Roman" w:hAnsi="Times New Roman" w:cs="Times New Roman"/>
        </w:rPr>
        <w:t xml:space="preserve">or more </w:t>
      </w:r>
      <w:r w:rsidRPr="00397701">
        <w:rPr>
          <w:rFonts w:ascii="Times New Roman" w:hAnsi="Times New Roman" w:cs="Times New Roman"/>
        </w:rPr>
        <w:t xml:space="preserve">services in operation), </w:t>
      </w:r>
      <w:r w:rsidR="00AA16B7" w:rsidRPr="00397701">
        <w:rPr>
          <w:rFonts w:ascii="Times New Roman" w:hAnsi="Times New Roman" w:cs="Times New Roman"/>
        </w:rPr>
        <w:t>on 1 January 2026</w:t>
      </w:r>
      <w:r w:rsidR="001715B0" w:rsidRPr="00397701">
        <w:rPr>
          <w:rFonts w:ascii="Times New Roman" w:hAnsi="Times New Roman" w:cs="Times New Roman"/>
        </w:rPr>
        <w:t xml:space="preserve"> </w:t>
      </w:r>
      <w:r w:rsidR="00EC5E9E" w:rsidRPr="00397701">
        <w:rPr>
          <w:rFonts w:ascii="Times New Roman" w:hAnsi="Times New Roman" w:cs="Times New Roman"/>
        </w:rPr>
        <w:t xml:space="preserve">(see </w:t>
      </w:r>
      <w:r w:rsidR="004E4EE5" w:rsidRPr="00397701">
        <w:rPr>
          <w:rFonts w:ascii="Times New Roman" w:hAnsi="Times New Roman" w:cs="Times New Roman"/>
        </w:rPr>
        <w:t>item 2 in column 1 of the table in section 2)</w:t>
      </w:r>
      <w:r w:rsidR="00773419" w:rsidRPr="00397701">
        <w:rPr>
          <w:rFonts w:ascii="Times New Roman" w:hAnsi="Times New Roman" w:cs="Times New Roman"/>
        </w:rPr>
        <w:t>;</w:t>
      </w:r>
      <w:r w:rsidR="004E4EE5" w:rsidRPr="00397701">
        <w:rPr>
          <w:rFonts w:ascii="Times New Roman" w:hAnsi="Times New Roman" w:cs="Times New Roman"/>
        </w:rPr>
        <w:t xml:space="preserve"> </w:t>
      </w:r>
      <w:r w:rsidRPr="00397701">
        <w:rPr>
          <w:rFonts w:ascii="Times New Roman" w:hAnsi="Times New Roman" w:cs="Times New Roman"/>
        </w:rPr>
        <w:t>and</w:t>
      </w:r>
    </w:p>
    <w:p w14:paraId="56D88C4A" w14:textId="21B2D9BA" w:rsidR="001D6AD9" w:rsidRPr="00397701" w:rsidRDefault="001D6AD9" w:rsidP="001D0578">
      <w:pPr>
        <w:numPr>
          <w:ilvl w:val="0"/>
          <w:numId w:val="9"/>
        </w:numPr>
        <w:rPr>
          <w:rFonts w:ascii="Times New Roman" w:hAnsi="Times New Roman" w:cs="Times New Roman"/>
        </w:rPr>
      </w:pPr>
      <w:r w:rsidRPr="00397701">
        <w:rPr>
          <w:rFonts w:ascii="Times New Roman" w:hAnsi="Times New Roman" w:cs="Times New Roman"/>
        </w:rPr>
        <w:t xml:space="preserve">for small providers (those </w:t>
      </w:r>
      <w:r w:rsidR="00AA16B7" w:rsidRPr="00397701">
        <w:rPr>
          <w:rFonts w:ascii="Times New Roman" w:hAnsi="Times New Roman" w:cs="Times New Roman"/>
        </w:rPr>
        <w:t xml:space="preserve">with </w:t>
      </w:r>
      <w:r w:rsidRPr="00397701">
        <w:rPr>
          <w:rFonts w:ascii="Times New Roman" w:hAnsi="Times New Roman" w:cs="Times New Roman"/>
        </w:rPr>
        <w:t>fewer</w:t>
      </w:r>
      <w:r w:rsidR="00773419" w:rsidRPr="00397701">
        <w:rPr>
          <w:rFonts w:ascii="Times New Roman" w:hAnsi="Times New Roman" w:cs="Times New Roman"/>
        </w:rPr>
        <w:t xml:space="preserve"> than 30,000</w:t>
      </w:r>
      <w:r w:rsidRPr="00397701">
        <w:rPr>
          <w:rFonts w:ascii="Times New Roman" w:hAnsi="Times New Roman" w:cs="Times New Roman"/>
        </w:rPr>
        <w:t xml:space="preserve"> services in operation)</w:t>
      </w:r>
      <w:r w:rsidR="001715B0" w:rsidRPr="00397701">
        <w:rPr>
          <w:rFonts w:ascii="Times New Roman" w:hAnsi="Times New Roman" w:cs="Times New Roman"/>
        </w:rPr>
        <w:t xml:space="preserve">, </w:t>
      </w:r>
      <w:r w:rsidR="00AA16B7" w:rsidRPr="00397701">
        <w:rPr>
          <w:rFonts w:ascii="Times New Roman" w:hAnsi="Times New Roman" w:cs="Times New Roman"/>
        </w:rPr>
        <w:t>on 1 April 2026</w:t>
      </w:r>
      <w:r w:rsidR="00820FB0" w:rsidRPr="00397701">
        <w:rPr>
          <w:rFonts w:ascii="Times New Roman" w:hAnsi="Times New Roman" w:cs="Times New Roman"/>
        </w:rPr>
        <w:t xml:space="preserve"> </w:t>
      </w:r>
      <w:r w:rsidR="004E4EE5" w:rsidRPr="00397701">
        <w:rPr>
          <w:rFonts w:ascii="Times New Roman" w:hAnsi="Times New Roman" w:cs="Times New Roman"/>
        </w:rPr>
        <w:t>(</w:t>
      </w:r>
      <w:r w:rsidR="008C0863">
        <w:rPr>
          <w:rFonts w:ascii="Times New Roman" w:hAnsi="Times New Roman" w:cs="Times New Roman"/>
        </w:rPr>
        <w:t>f</w:t>
      </w:r>
      <w:r w:rsidR="00820FB0" w:rsidRPr="00397701">
        <w:rPr>
          <w:rFonts w:ascii="Times New Roman" w:hAnsi="Times New Roman" w:cs="Times New Roman"/>
        </w:rPr>
        <w:t xml:space="preserve">or the application </w:t>
      </w:r>
      <w:r w:rsidR="00EC5E9E" w:rsidRPr="00397701">
        <w:rPr>
          <w:rFonts w:ascii="Times New Roman" w:hAnsi="Times New Roman" w:cs="Times New Roman"/>
        </w:rPr>
        <w:t>of these provisions to small providers, see subsection 4(2)</w:t>
      </w:r>
      <w:r w:rsidR="00D46191" w:rsidRPr="00397701">
        <w:rPr>
          <w:rFonts w:ascii="Times New Roman" w:hAnsi="Times New Roman" w:cs="Times New Roman"/>
        </w:rPr>
        <w:t>)</w:t>
      </w:r>
      <w:r w:rsidR="007E08F6">
        <w:rPr>
          <w:rFonts w:ascii="Times New Roman" w:hAnsi="Times New Roman" w:cs="Times New Roman"/>
        </w:rPr>
        <w:t>.</w:t>
      </w:r>
    </w:p>
    <w:p w14:paraId="42392E74" w14:textId="4F2B2DE9" w:rsidR="001D6AD9" w:rsidRPr="00397701" w:rsidRDefault="001D6AD9" w:rsidP="004D2843">
      <w:pPr>
        <w:rPr>
          <w:rFonts w:ascii="Times New Roman" w:hAnsi="Times New Roman" w:cs="Times New Roman"/>
        </w:rPr>
      </w:pPr>
      <w:r w:rsidRPr="00397701">
        <w:rPr>
          <w:rFonts w:ascii="Times New Roman" w:hAnsi="Times New Roman" w:cs="Times New Roman"/>
        </w:rPr>
        <w:t>This staggered approach supports a risk-based and proportionate implementation pathway, ensuring that consumers receive timely protections while recognising the varying capabilities and scale of providers across the telecommunications industry.</w:t>
      </w:r>
    </w:p>
    <w:p w14:paraId="536A04AA" w14:textId="120DC3B7" w:rsidR="006940DB" w:rsidRPr="00397701" w:rsidRDefault="006940DB" w:rsidP="006940DB">
      <w:pPr>
        <w:rPr>
          <w:rFonts w:ascii="Times New Roman" w:hAnsi="Times New Roman" w:cs="Times New Roman"/>
          <w:b/>
        </w:rPr>
      </w:pPr>
      <w:r w:rsidRPr="00397701">
        <w:rPr>
          <w:rFonts w:ascii="Times New Roman" w:hAnsi="Times New Roman" w:cs="Times New Roman"/>
          <w:b/>
        </w:rPr>
        <w:t>Section 3</w:t>
      </w:r>
      <w:r w:rsidRPr="00397701">
        <w:rPr>
          <w:rFonts w:ascii="Times New Roman" w:hAnsi="Times New Roman" w:cs="Times New Roman"/>
          <w:b/>
        </w:rPr>
        <w:tab/>
        <w:t>Authority</w:t>
      </w:r>
    </w:p>
    <w:p w14:paraId="0A770E93" w14:textId="27EEB8BE" w:rsidR="00025ACE" w:rsidRPr="00397701" w:rsidRDefault="006940DB" w:rsidP="004D2843">
      <w:pPr>
        <w:rPr>
          <w:rFonts w:ascii="Times New Roman" w:hAnsi="Times New Roman" w:cs="Times New Roman"/>
        </w:rPr>
      </w:pPr>
      <w:r w:rsidRPr="00397701">
        <w:rPr>
          <w:rFonts w:ascii="Times New Roman" w:hAnsi="Times New Roman" w:cs="Times New Roman"/>
        </w:rPr>
        <w:t xml:space="preserve">This section identifies the </w:t>
      </w:r>
      <w:r w:rsidR="00C14388" w:rsidRPr="00397701">
        <w:rPr>
          <w:rFonts w:ascii="Times New Roman" w:hAnsi="Times New Roman" w:cs="Times New Roman"/>
        </w:rPr>
        <w:t xml:space="preserve">provision of the </w:t>
      </w:r>
      <w:r w:rsidR="006A1D4E" w:rsidRPr="00397701">
        <w:rPr>
          <w:rFonts w:ascii="Times New Roman" w:hAnsi="Times New Roman" w:cs="Times New Roman"/>
          <w:i/>
        </w:rPr>
        <w:t>Telecommunications Act 1997</w:t>
      </w:r>
      <w:r w:rsidR="006A1D4E" w:rsidRPr="00397701">
        <w:rPr>
          <w:rFonts w:ascii="Times New Roman" w:hAnsi="Times New Roman" w:cs="Times New Roman"/>
        </w:rPr>
        <w:t xml:space="preserve"> (the</w:t>
      </w:r>
      <w:r w:rsidR="006A1D4E" w:rsidRPr="00397701">
        <w:rPr>
          <w:rFonts w:ascii="Times New Roman" w:hAnsi="Times New Roman" w:cs="Times New Roman"/>
          <w:b/>
          <w:bCs/>
        </w:rPr>
        <w:t xml:space="preserve"> </w:t>
      </w:r>
      <w:r w:rsidRPr="00397701">
        <w:rPr>
          <w:rFonts w:ascii="Times New Roman" w:hAnsi="Times New Roman" w:cs="Times New Roman"/>
          <w:b/>
          <w:bCs/>
        </w:rPr>
        <w:t>Act</w:t>
      </w:r>
      <w:r w:rsidR="006A1D4E" w:rsidRPr="00397701">
        <w:rPr>
          <w:rFonts w:ascii="Times New Roman" w:hAnsi="Times New Roman" w:cs="Times New Roman"/>
        </w:rPr>
        <w:t>)</w:t>
      </w:r>
      <w:r w:rsidRPr="00397701">
        <w:rPr>
          <w:rFonts w:ascii="Times New Roman" w:hAnsi="Times New Roman" w:cs="Times New Roman"/>
        </w:rPr>
        <w:t xml:space="preserve"> that authorises the making of the instrument, namely </w:t>
      </w:r>
      <w:r w:rsidR="007A3D1B" w:rsidRPr="00397701">
        <w:rPr>
          <w:rFonts w:ascii="Times New Roman" w:hAnsi="Times New Roman" w:cs="Times New Roman"/>
        </w:rPr>
        <w:t>subsection 125</w:t>
      </w:r>
      <w:proofErr w:type="gramStart"/>
      <w:r w:rsidR="007A3D1B" w:rsidRPr="00397701">
        <w:rPr>
          <w:rFonts w:ascii="Times New Roman" w:hAnsi="Times New Roman" w:cs="Times New Roman"/>
        </w:rPr>
        <w:t>AA(</w:t>
      </w:r>
      <w:proofErr w:type="gramEnd"/>
      <w:r w:rsidR="007A3D1B" w:rsidRPr="00397701">
        <w:rPr>
          <w:rFonts w:ascii="Times New Roman" w:hAnsi="Times New Roman" w:cs="Times New Roman"/>
        </w:rPr>
        <w:t>1)</w:t>
      </w:r>
      <w:r w:rsidR="00C14388" w:rsidRPr="00397701">
        <w:rPr>
          <w:rFonts w:ascii="Times New Roman" w:hAnsi="Times New Roman" w:cs="Times New Roman"/>
        </w:rPr>
        <w:t xml:space="preserve"> of </w:t>
      </w:r>
      <w:r w:rsidRPr="00397701">
        <w:rPr>
          <w:rFonts w:ascii="Times New Roman" w:hAnsi="Times New Roman" w:cs="Times New Roman"/>
        </w:rPr>
        <w:t xml:space="preserve">the </w:t>
      </w:r>
      <w:r w:rsidRPr="00397701">
        <w:rPr>
          <w:rFonts w:ascii="Times New Roman" w:hAnsi="Times New Roman"/>
        </w:rPr>
        <w:t>Act</w:t>
      </w:r>
      <w:r w:rsidR="00723ACB" w:rsidRPr="00397701">
        <w:rPr>
          <w:rFonts w:ascii="Times New Roman" w:hAnsi="Times New Roman" w:cs="Times New Roman"/>
        </w:rPr>
        <w:t>.</w:t>
      </w:r>
    </w:p>
    <w:p w14:paraId="7B50D725" w14:textId="52C6B655" w:rsidR="005958D6" w:rsidRPr="00397701" w:rsidRDefault="0084470A" w:rsidP="006940DB">
      <w:pPr>
        <w:rPr>
          <w:rFonts w:ascii="Times New Roman" w:hAnsi="Times New Roman" w:cs="Times New Roman"/>
          <w:b/>
        </w:rPr>
      </w:pPr>
      <w:bookmarkStart w:id="1" w:name="_Hlk196307772"/>
      <w:r w:rsidRPr="00397701">
        <w:rPr>
          <w:rFonts w:ascii="Times New Roman" w:hAnsi="Times New Roman" w:cs="Times New Roman"/>
          <w:b/>
        </w:rPr>
        <w:lastRenderedPageBreak/>
        <w:t>Section 4</w:t>
      </w:r>
      <w:r w:rsidRPr="00397701">
        <w:rPr>
          <w:rFonts w:ascii="Times New Roman" w:hAnsi="Times New Roman" w:cs="Times New Roman"/>
          <w:b/>
        </w:rPr>
        <w:tab/>
      </w:r>
      <w:r w:rsidR="00312B36" w:rsidRPr="00397701">
        <w:rPr>
          <w:rFonts w:ascii="Times New Roman" w:hAnsi="Times New Roman" w:cs="Times New Roman"/>
          <w:b/>
        </w:rPr>
        <w:t>Application of industry standard</w:t>
      </w:r>
    </w:p>
    <w:p w14:paraId="7074EABC" w14:textId="63956FE8" w:rsidR="001D6AD9" w:rsidRPr="00397701" w:rsidRDefault="001D6AD9" w:rsidP="001D6AD9">
      <w:pPr>
        <w:spacing w:line="240" w:lineRule="atLeast"/>
        <w:rPr>
          <w:rFonts w:ascii="Times New Roman" w:hAnsi="Times New Roman" w:cs="Times New Roman"/>
        </w:rPr>
      </w:pPr>
      <w:r w:rsidRPr="00397701">
        <w:rPr>
          <w:rFonts w:ascii="Times New Roman" w:hAnsi="Times New Roman" w:cs="Times New Roman"/>
        </w:rPr>
        <w:t>This section sets out the application of the Standard in accordance with subsection 125</w:t>
      </w:r>
      <w:proofErr w:type="gramStart"/>
      <w:r w:rsidRPr="00397701">
        <w:rPr>
          <w:rFonts w:ascii="Times New Roman" w:hAnsi="Times New Roman" w:cs="Times New Roman"/>
        </w:rPr>
        <w:t>AA(</w:t>
      </w:r>
      <w:proofErr w:type="gramEnd"/>
      <w:r w:rsidRPr="00397701">
        <w:rPr>
          <w:rFonts w:ascii="Times New Roman" w:hAnsi="Times New Roman" w:cs="Times New Roman"/>
        </w:rPr>
        <w:t xml:space="preserve">1) of the Act. </w:t>
      </w:r>
    </w:p>
    <w:p w14:paraId="7601D396" w14:textId="0C3220AD" w:rsidR="001D6AD9" w:rsidRPr="00397701" w:rsidRDefault="001D6AD9" w:rsidP="001D6AD9">
      <w:pPr>
        <w:spacing w:line="240" w:lineRule="atLeast"/>
        <w:rPr>
          <w:rFonts w:ascii="Times New Roman" w:hAnsi="Times New Roman" w:cs="Times New Roman"/>
        </w:rPr>
      </w:pPr>
      <w:r w:rsidRPr="00397701">
        <w:rPr>
          <w:rFonts w:ascii="Times New Roman" w:hAnsi="Times New Roman" w:cs="Times New Roman"/>
        </w:rPr>
        <w:t xml:space="preserve">Paragraph </w:t>
      </w:r>
      <w:r w:rsidR="00BB2946" w:rsidRPr="00397701">
        <w:rPr>
          <w:rFonts w:ascii="Times New Roman" w:hAnsi="Times New Roman" w:cs="Times New Roman"/>
        </w:rPr>
        <w:t>4(1)</w:t>
      </w:r>
      <w:r w:rsidRPr="00397701">
        <w:rPr>
          <w:rFonts w:ascii="Times New Roman" w:hAnsi="Times New Roman" w:cs="Times New Roman"/>
        </w:rPr>
        <w:t>(a) provides that the Standard applies to participants in the telecommunications industry as follows:</w:t>
      </w:r>
    </w:p>
    <w:p w14:paraId="3F1F0D9D" w14:textId="46E1E897" w:rsidR="001D6AD9" w:rsidRPr="00397701" w:rsidRDefault="001715B0" w:rsidP="001D0578">
      <w:pPr>
        <w:numPr>
          <w:ilvl w:val="0"/>
          <w:numId w:val="8"/>
        </w:numPr>
        <w:tabs>
          <w:tab w:val="num" w:pos="720"/>
        </w:tabs>
        <w:spacing w:line="240" w:lineRule="atLeast"/>
        <w:rPr>
          <w:rFonts w:ascii="Times New Roman" w:hAnsi="Times New Roman" w:cs="Times New Roman"/>
        </w:rPr>
      </w:pPr>
      <w:r w:rsidRPr="00397701">
        <w:rPr>
          <w:rFonts w:ascii="Times New Roman" w:hAnsi="Times New Roman" w:cs="Times New Roman"/>
        </w:rPr>
        <w:t>s</w:t>
      </w:r>
      <w:r w:rsidR="001D6AD9" w:rsidRPr="00397701">
        <w:rPr>
          <w:rFonts w:ascii="Times New Roman" w:hAnsi="Times New Roman" w:cs="Times New Roman"/>
        </w:rPr>
        <w:t>ubparagraph (i) applies the Standard to CSPs in their dealings with consumers; and</w:t>
      </w:r>
    </w:p>
    <w:p w14:paraId="255A1E12" w14:textId="04C507C5" w:rsidR="001D6AD9" w:rsidRPr="00397701" w:rsidRDefault="001715B0" w:rsidP="001D0578">
      <w:pPr>
        <w:numPr>
          <w:ilvl w:val="0"/>
          <w:numId w:val="8"/>
        </w:numPr>
        <w:tabs>
          <w:tab w:val="num" w:pos="720"/>
        </w:tabs>
        <w:spacing w:line="240" w:lineRule="atLeast"/>
        <w:rPr>
          <w:rFonts w:ascii="Times New Roman" w:hAnsi="Times New Roman" w:cs="Times New Roman"/>
        </w:rPr>
      </w:pPr>
      <w:r w:rsidRPr="00397701">
        <w:rPr>
          <w:rFonts w:ascii="Times New Roman" w:hAnsi="Times New Roman" w:cs="Times New Roman"/>
        </w:rPr>
        <w:t>s</w:t>
      </w:r>
      <w:r w:rsidR="001D6AD9" w:rsidRPr="00397701">
        <w:rPr>
          <w:rFonts w:ascii="Times New Roman" w:hAnsi="Times New Roman" w:cs="Times New Roman"/>
        </w:rPr>
        <w:t xml:space="preserve">ubparagraph (ii) applies the Standard to carriers in relation to their supply of carriage services to </w:t>
      </w:r>
      <w:r w:rsidR="000349A7" w:rsidRPr="00397701">
        <w:rPr>
          <w:rFonts w:ascii="Times New Roman" w:hAnsi="Times New Roman" w:cs="Times New Roman"/>
        </w:rPr>
        <w:t>CSPs</w:t>
      </w:r>
      <w:r w:rsidR="001D6AD9" w:rsidRPr="00397701">
        <w:rPr>
          <w:rFonts w:ascii="Times New Roman" w:hAnsi="Times New Roman" w:cs="Times New Roman"/>
        </w:rPr>
        <w:t>.</w:t>
      </w:r>
    </w:p>
    <w:p w14:paraId="0748E36C" w14:textId="2EB27949" w:rsidR="001D6AD9" w:rsidRPr="00397701" w:rsidRDefault="001D6AD9" w:rsidP="001D6AD9">
      <w:pPr>
        <w:pStyle w:val="gmail-"/>
        <w:spacing w:before="0" w:beforeAutospacing="0" w:after="160" w:afterAutospacing="0" w:line="240" w:lineRule="atLeast"/>
        <w:rPr>
          <w:rFonts w:ascii="Times New Roman" w:hAnsi="Times New Roman" w:cs="Times New Roman"/>
          <w:sz w:val="22"/>
          <w:szCs w:val="22"/>
        </w:rPr>
      </w:pPr>
      <w:r w:rsidRPr="00397701">
        <w:rPr>
          <w:rFonts w:ascii="Times New Roman" w:hAnsi="Times New Roman" w:cs="Times New Roman"/>
          <w:sz w:val="22"/>
          <w:szCs w:val="22"/>
        </w:rPr>
        <w:t xml:space="preserve">Paragraph </w:t>
      </w:r>
      <w:r w:rsidR="000349A7" w:rsidRPr="00397701">
        <w:rPr>
          <w:rFonts w:ascii="Times New Roman" w:hAnsi="Times New Roman" w:cs="Times New Roman"/>
          <w:sz w:val="22"/>
          <w:szCs w:val="22"/>
        </w:rPr>
        <w:t>4(</w:t>
      </w:r>
      <w:r w:rsidR="00D701AA" w:rsidRPr="00397701">
        <w:rPr>
          <w:rFonts w:ascii="Times New Roman" w:hAnsi="Times New Roman" w:cs="Times New Roman"/>
          <w:sz w:val="22"/>
          <w:szCs w:val="22"/>
        </w:rPr>
        <w:t>1</w:t>
      </w:r>
      <w:r w:rsidR="001E4201" w:rsidRPr="00397701">
        <w:rPr>
          <w:rFonts w:ascii="Times New Roman" w:hAnsi="Times New Roman" w:cs="Times New Roman"/>
          <w:sz w:val="22"/>
          <w:szCs w:val="22"/>
        </w:rPr>
        <w:t>)</w:t>
      </w:r>
      <w:r w:rsidRPr="00397701">
        <w:rPr>
          <w:rFonts w:ascii="Times New Roman" w:hAnsi="Times New Roman" w:cs="Times New Roman"/>
          <w:sz w:val="22"/>
          <w:szCs w:val="22"/>
        </w:rPr>
        <w:t>(b) provides that the Standard is drafted to give effect to the objectives set out in section 7 of the Direction. These objectives include requiring telecommunications providers to take reasonable and appropriate steps to support the safety and privacy of consumers experiencing domestic, family or sexual violence.</w:t>
      </w:r>
    </w:p>
    <w:p w14:paraId="6E0D7469" w14:textId="15C7BE0D" w:rsidR="001D6AD9" w:rsidRPr="00397701" w:rsidRDefault="002678FB" w:rsidP="001D6AD9">
      <w:pPr>
        <w:pStyle w:val="gmail-"/>
        <w:spacing w:before="0" w:beforeAutospacing="0" w:after="160" w:afterAutospacing="0" w:line="240" w:lineRule="atLeast"/>
        <w:rPr>
          <w:rFonts w:ascii="Times New Roman" w:hAnsi="Times New Roman" w:cs="Times New Roman"/>
          <w:sz w:val="22"/>
          <w:szCs w:val="22"/>
        </w:rPr>
      </w:pPr>
      <w:r w:rsidRPr="00397701">
        <w:rPr>
          <w:rFonts w:ascii="Times New Roman" w:hAnsi="Times New Roman" w:cs="Times New Roman"/>
          <w:sz w:val="22"/>
          <w:szCs w:val="22"/>
        </w:rPr>
        <w:t>Through the definition of “consumer</w:t>
      </w:r>
      <w:r w:rsidR="009B54E8" w:rsidRPr="00397701">
        <w:rPr>
          <w:rFonts w:ascii="Times New Roman" w:hAnsi="Times New Roman" w:cs="Times New Roman"/>
          <w:sz w:val="22"/>
          <w:szCs w:val="22"/>
        </w:rPr>
        <w:t>”</w:t>
      </w:r>
      <w:r w:rsidRPr="00397701">
        <w:rPr>
          <w:rFonts w:ascii="Times New Roman" w:hAnsi="Times New Roman" w:cs="Times New Roman"/>
          <w:sz w:val="22"/>
          <w:szCs w:val="22"/>
        </w:rPr>
        <w:t>, t</w:t>
      </w:r>
      <w:r w:rsidR="001D6AD9" w:rsidRPr="00397701">
        <w:rPr>
          <w:rFonts w:ascii="Times New Roman" w:hAnsi="Times New Roman" w:cs="Times New Roman"/>
          <w:sz w:val="22"/>
          <w:szCs w:val="22"/>
        </w:rPr>
        <w:t xml:space="preserve">he Standard applies to CSPs that supply telecommunications products to residential, small business and </w:t>
      </w:r>
      <w:r w:rsidR="001E4201" w:rsidRPr="00397701">
        <w:rPr>
          <w:rFonts w:ascii="Times New Roman" w:hAnsi="Times New Roman" w:cs="Times New Roman"/>
          <w:sz w:val="22"/>
          <w:szCs w:val="22"/>
        </w:rPr>
        <w:t>NFP</w:t>
      </w:r>
      <w:r w:rsidR="001D6AD9" w:rsidRPr="00397701">
        <w:rPr>
          <w:rFonts w:ascii="Times New Roman" w:hAnsi="Times New Roman" w:cs="Times New Roman"/>
          <w:sz w:val="22"/>
          <w:szCs w:val="22"/>
        </w:rPr>
        <w:t xml:space="preserve"> customers, recognising that services provided to or used by individuals in these groups may be associated with risk. </w:t>
      </w:r>
    </w:p>
    <w:p w14:paraId="1537E392" w14:textId="258EBB6D" w:rsidR="001D6AD9" w:rsidRPr="00397701" w:rsidRDefault="001D6AD9" w:rsidP="001D6AD9">
      <w:pPr>
        <w:pStyle w:val="gmail-"/>
        <w:spacing w:before="0" w:beforeAutospacing="0" w:after="160" w:afterAutospacing="0" w:line="240" w:lineRule="atLeast"/>
        <w:rPr>
          <w:rFonts w:ascii="Times New Roman" w:hAnsi="Times New Roman" w:cs="Times New Roman"/>
          <w:sz w:val="22"/>
          <w:szCs w:val="22"/>
        </w:rPr>
      </w:pPr>
      <w:r w:rsidRPr="00397701">
        <w:rPr>
          <w:rFonts w:ascii="Times New Roman" w:hAnsi="Times New Roman" w:cs="Times New Roman"/>
          <w:sz w:val="22"/>
          <w:szCs w:val="22"/>
        </w:rPr>
        <w:t xml:space="preserve">The inclusion of carriers within the scope of the Standard ensures that carriers are required to support the implementation of safety and privacy protections at a systems level. </w:t>
      </w:r>
      <w:r w:rsidR="002E57CC" w:rsidRPr="00397701">
        <w:rPr>
          <w:rFonts w:ascii="Times New Roman" w:hAnsi="Times New Roman" w:cs="Times New Roman"/>
          <w:sz w:val="22"/>
          <w:szCs w:val="22"/>
        </w:rPr>
        <w:t xml:space="preserve">There is only one </w:t>
      </w:r>
      <w:r w:rsidR="009F5E1F" w:rsidRPr="00397701">
        <w:rPr>
          <w:rFonts w:ascii="Times New Roman" w:hAnsi="Times New Roman" w:cs="Times New Roman"/>
          <w:sz w:val="22"/>
          <w:szCs w:val="22"/>
        </w:rPr>
        <w:t>obligation placed on carriers under the Standard</w:t>
      </w:r>
      <w:r w:rsidR="00F12A44" w:rsidRPr="00397701">
        <w:rPr>
          <w:rFonts w:ascii="Times New Roman" w:hAnsi="Times New Roman" w:cs="Times New Roman"/>
          <w:sz w:val="22"/>
          <w:szCs w:val="22"/>
        </w:rPr>
        <w:t xml:space="preserve"> (see section 26)</w:t>
      </w:r>
      <w:r w:rsidR="009F5E1F" w:rsidRPr="00397701">
        <w:rPr>
          <w:rFonts w:ascii="Times New Roman" w:hAnsi="Times New Roman" w:cs="Times New Roman"/>
          <w:sz w:val="22"/>
          <w:szCs w:val="22"/>
        </w:rPr>
        <w:t xml:space="preserve">.  That is to provide </w:t>
      </w:r>
      <w:r w:rsidRPr="00397701">
        <w:rPr>
          <w:rFonts w:ascii="Times New Roman" w:hAnsi="Times New Roman" w:cs="Times New Roman"/>
          <w:sz w:val="22"/>
          <w:szCs w:val="22"/>
        </w:rPr>
        <w:t xml:space="preserve">reasonable assistance to </w:t>
      </w:r>
      <w:r w:rsidR="009F5E1F" w:rsidRPr="00397701">
        <w:rPr>
          <w:rFonts w:ascii="Times New Roman" w:hAnsi="Times New Roman" w:cs="Times New Roman"/>
          <w:sz w:val="22"/>
          <w:szCs w:val="22"/>
        </w:rPr>
        <w:t xml:space="preserve">a provider </w:t>
      </w:r>
      <w:r w:rsidRPr="00397701">
        <w:rPr>
          <w:rFonts w:ascii="Times New Roman" w:hAnsi="Times New Roman" w:cs="Times New Roman"/>
          <w:sz w:val="22"/>
          <w:szCs w:val="22"/>
        </w:rPr>
        <w:t xml:space="preserve">to enable compliance with </w:t>
      </w:r>
      <w:r w:rsidR="00F12A44" w:rsidRPr="00397701">
        <w:rPr>
          <w:rFonts w:ascii="Times New Roman" w:hAnsi="Times New Roman" w:cs="Times New Roman"/>
          <w:sz w:val="22"/>
          <w:szCs w:val="22"/>
        </w:rPr>
        <w:t xml:space="preserve">the requirement to </w:t>
      </w:r>
      <w:r w:rsidRPr="00397701">
        <w:rPr>
          <w:rFonts w:ascii="Times New Roman" w:hAnsi="Times New Roman" w:cs="Times New Roman"/>
          <w:sz w:val="22"/>
          <w:szCs w:val="22"/>
        </w:rPr>
        <w:t>suppress calls to specified helpline numbers from appearing on bills or other records</w:t>
      </w:r>
      <w:r w:rsidR="00F12A44" w:rsidRPr="00397701">
        <w:rPr>
          <w:rFonts w:ascii="Times New Roman" w:hAnsi="Times New Roman" w:cs="Times New Roman"/>
          <w:sz w:val="22"/>
          <w:szCs w:val="22"/>
        </w:rPr>
        <w:t xml:space="preserve"> (see </w:t>
      </w:r>
      <w:r w:rsidR="00157D54" w:rsidRPr="00397701">
        <w:rPr>
          <w:rFonts w:ascii="Times New Roman" w:hAnsi="Times New Roman" w:cs="Times New Roman"/>
          <w:sz w:val="22"/>
          <w:szCs w:val="22"/>
        </w:rPr>
        <w:t>subsection 25(3)</w:t>
      </w:r>
      <w:r w:rsidR="00B82EEE" w:rsidRPr="00397701">
        <w:rPr>
          <w:rFonts w:ascii="Times New Roman" w:hAnsi="Times New Roman" w:cs="Times New Roman"/>
          <w:sz w:val="22"/>
          <w:szCs w:val="22"/>
        </w:rPr>
        <w:t>)</w:t>
      </w:r>
      <w:r w:rsidRPr="00397701">
        <w:rPr>
          <w:rFonts w:ascii="Times New Roman" w:hAnsi="Times New Roman" w:cs="Times New Roman"/>
          <w:sz w:val="22"/>
          <w:szCs w:val="22"/>
        </w:rPr>
        <w:t xml:space="preserve">. As carriers play a foundational role in the delivery of telecommunications services and in the operation of billing, numbering and network infrastructure, their cooperation may be necessary to give practical effect to </w:t>
      </w:r>
      <w:r w:rsidR="00F12A44" w:rsidRPr="00397701">
        <w:rPr>
          <w:rFonts w:ascii="Times New Roman" w:hAnsi="Times New Roman" w:cs="Times New Roman"/>
          <w:sz w:val="22"/>
          <w:szCs w:val="22"/>
        </w:rPr>
        <w:t xml:space="preserve">that </w:t>
      </w:r>
      <w:r w:rsidRPr="00397701">
        <w:rPr>
          <w:rFonts w:ascii="Times New Roman" w:hAnsi="Times New Roman" w:cs="Times New Roman"/>
          <w:sz w:val="22"/>
          <w:szCs w:val="22"/>
        </w:rPr>
        <w:t>consumer protection.</w:t>
      </w:r>
    </w:p>
    <w:bookmarkEnd w:id="1"/>
    <w:p w14:paraId="040A5317" w14:textId="2A5BDCE8" w:rsidR="006940DB" w:rsidRPr="00397701" w:rsidRDefault="006940DB" w:rsidP="006940DB">
      <w:pPr>
        <w:rPr>
          <w:rFonts w:ascii="Times New Roman" w:hAnsi="Times New Roman" w:cs="Times New Roman"/>
          <w:b/>
        </w:rPr>
      </w:pPr>
      <w:r w:rsidRPr="00397701">
        <w:rPr>
          <w:rFonts w:ascii="Times New Roman" w:hAnsi="Times New Roman" w:cs="Times New Roman"/>
          <w:b/>
        </w:rPr>
        <w:t xml:space="preserve">Section </w:t>
      </w:r>
      <w:r w:rsidR="00DD7F10" w:rsidRPr="00397701">
        <w:rPr>
          <w:rFonts w:ascii="Times New Roman" w:hAnsi="Times New Roman" w:cs="Times New Roman"/>
          <w:b/>
        </w:rPr>
        <w:t>5</w:t>
      </w:r>
      <w:r w:rsidRPr="00397701">
        <w:rPr>
          <w:rFonts w:ascii="Times New Roman" w:hAnsi="Times New Roman" w:cs="Times New Roman"/>
          <w:b/>
        </w:rPr>
        <w:tab/>
        <w:t>Definitions</w:t>
      </w:r>
    </w:p>
    <w:p w14:paraId="0E0A827E" w14:textId="06DD12C9" w:rsidR="00D32E4E" w:rsidRPr="00397701" w:rsidRDefault="006940DB" w:rsidP="006940DB">
      <w:pPr>
        <w:rPr>
          <w:rFonts w:ascii="Times New Roman" w:hAnsi="Times New Roman" w:cs="Times New Roman"/>
        </w:rPr>
      </w:pPr>
      <w:r w:rsidRPr="00397701">
        <w:rPr>
          <w:rFonts w:ascii="Times New Roman" w:hAnsi="Times New Roman" w:cs="Times New Roman"/>
        </w:rPr>
        <w:t>This section defines key terms</w:t>
      </w:r>
      <w:r w:rsidR="0084470A" w:rsidRPr="00397701">
        <w:rPr>
          <w:rFonts w:ascii="Times New Roman" w:hAnsi="Times New Roman" w:cs="Times New Roman"/>
        </w:rPr>
        <w:t xml:space="preserve"> used throughout the </w:t>
      </w:r>
      <w:r w:rsidR="00564790" w:rsidRPr="00397701">
        <w:rPr>
          <w:rFonts w:ascii="Times New Roman" w:hAnsi="Times New Roman" w:cs="Times New Roman"/>
        </w:rPr>
        <w:t>Standard</w:t>
      </w:r>
      <w:r w:rsidR="0084470A" w:rsidRPr="00397701">
        <w:rPr>
          <w:rFonts w:ascii="Times New Roman" w:hAnsi="Times New Roman" w:cs="Times New Roman"/>
        </w:rPr>
        <w:t>.</w:t>
      </w:r>
    </w:p>
    <w:p w14:paraId="1B22414B" w14:textId="25C99EAD" w:rsidR="006940DB" w:rsidRPr="00397701" w:rsidRDefault="00564790" w:rsidP="006940DB">
      <w:pPr>
        <w:rPr>
          <w:rFonts w:ascii="Times New Roman" w:hAnsi="Times New Roman" w:cs="Times New Roman"/>
        </w:rPr>
      </w:pPr>
      <w:r w:rsidRPr="00397701">
        <w:rPr>
          <w:rFonts w:ascii="Times New Roman" w:hAnsi="Times New Roman" w:cs="Times New Roman"/>
        </w:rPr>
        <w:t>Some</w:t>
      </w:r>
      <w:r w:rsidR="00D32E4E" w:rsidRPr="00397701">
        <w:rPr>
          <w:rFonts w:ascii="Times New Roman" w:hAnsi="Times New Roman" w:cs="Times New Roman"/>
        </w:rPr>
        <w:t xml:space="preserve"> other expressions used</w:t>
      </w:r>
      <w:r w:rsidR="0084470A" w:rsidRPr="00397701">
        <w:rPr>
          <w:rFonts w:ascii="Times New Roman" w:hAnsi="Times New Roman" w:cs="Times New Roman"/>
        </w:rPr>
        <w:t xml:space="preserve"> in the </w:t>
      </w:r>
      <w:r w:rsidR="001E4201" w:rsidRPr="00397701">
        <w:rPr>
          <w:rFonts w:ascii="Times New Roman" w:hAnsi="Times New Roman" w:cs="Times New Roman"/>
        </w:rPr>
        <w:t xml:space="preserve">Standard </w:t>
      </w:r>
      <w:r w:rsidR="0084470A" w:rsidRPr="00397701">
        <w:rPr>
          <w:rFonts w:ascii="Times New Roman" w:hAnsi="Times New Roman" w:cs="Times New Roman"/>
        </w:rPr>
        <w:t>are</w:t>
      </w:r>
      <w:r w:rsidR="006940DB" w:rsidRPr="00397701">
        <w:rPr>
          <w:rFonts w:ascii="Times New Roman" w:hAnsi="Times New Roman" w:cs="Times New Roman"/>
        </w:rPr>
        <w:t xml:space="preserve"> defined in the Act</w:t>
      </w:r>
      <w:r w:rsidR="00157D54" w:rsidRPr="00397701">
        <w:rPr>
          <w:rFonts w:ascii="Times New Roman" w:hAnsi="Times New Roman" w:cs="Times New Roman"/>
        </w:rPr>
        <w:t xml:space="preserve"> </w:t>
      </w:r>
      <w:r w:rsidR="001E4201" w:rsidRPr="00397701">
        <w:rPr>
          <w:rFonts w:ascii="Times New Roman" w:hAnsi="Times New Roman" w:cs="Times New Roman"/>
        </w:rPr>
        <w:t xml:space="preserve">or </w:t>
      </w:r>
      <w:r w:rsidR="00157D54" w:rsidRPr="00397701">
        <w:rPr>
          <w:rFonts w:ascii="Times New Roman" w:hAnsi="Times New Roman" w:cs="Times New Roman"/>
        </w:rPr>
        <w:t xml:space="preserve">in the </w:t>
      </w:r>
      <w:r w:rsidR="0068007E" w:rsidRPr="00397701">
        <w:rPr>
          <w:rFonts w:ascii="Times New Roman" w:hAnsi="Times New Roman" w:cs="Times New Roman"/>
          <w:i/>
          <w:iCs/>
        </w:rPr>
        <w:t>Acts Interpretation Act 1901</w:t>
      </w:r>
      <w:r w:rsidR="006940DB" w:rsidRPr="00397701">
        <w:rPr>
          <w:rFonts w:ascii="Times New Roman" w:hAnsi="Times New Roman" w:cs="Times New Roman"/>
        </w:rPr>
        <w:t>.</w:t>
      </w:r>
    </w:p>
    <w:p w14:paraId="2AE7A164" w14:textId="21367B70" w:rsidR="005958D6" w:rsidRPr="00397701" w:rsidRDefault="00FB4437" w:rsidP="005958D6">
      <w:pPr>
        <w:rPr>
          <w:rFonts w:ascii="Times New Roman" w:hAnsi="Times New Roman" w:cs="Times New Roman"/>
          <w:b/>
        </w:rPr>
      </w:pPr>
      <w:r w:rsidRPr="00397701">
        <w:rPr>
          <w:rFonts w:ascii="Times New Roman" w:hAnsi="Times New Roman" w:cs="Times New Roman"/>
          <w:b/>
        </w:rPr>
        <w:t xml:space="preserve">Section </w:t>
      </w:r>
      <w:r w:rsidR="00DD7F10" w:rsidRPr="00397701">
        <w:rPr>
          <w:rFonts w:ascii="Times New Roman" w:hAnsi="Times New Roman" w:cs="Times New Roman"/>
          <w:b/>
        </w:rPr>
        <w:t>6</w:t>
      </w:r>
      <w:r w:rsidR="00670716" w:rsidRPr="00397701">
        <w:rPr>
          <w:rFonts w:ascii="Times New Roman" w:hAnsi="Times New Roman" w:cs="Times New Roman"/>
          <w:b/>
        </w:rPr>
        <w:tab/>
        <w:t>References to other</w:t>
      </w:r>
      <w:r w:rsidR="005958D6" w:rsidRPr="00397701">
        <w:rPr>
          <w:rFonts w:ascii="Times New Roman" w:hAnsi="Times New Roman" w:cs="Times New Roman"/>
          <w:b/>
        </w:rPr>
        <w:t xml:space="preserve"> instruments</w:t>
      </w:r>
    </w:p>
    <w:p w14:paraId="2744DCEA" w14:textId="42D910F7" w:rsidR="0036752E" w:rsidRPr="00397701" w:rsidRDefault="005958D6" w:rsidP="007008B1">
      <w:pPr>
        <w:spacing w:after="40"/>
        <w:contextualSpacing/>
        <w:rPr>
          <w:rFonts w:ascii="Times New Roman" w:hAnsi="Times New Roman" w:cs="Times New Roman"/>
        </w:rPr>
      </w:pPr>
      <w:r w:rsidRPr="00397701">
        <w:rPr>
          <w:rFonts w:ascii="Times New Roman" w:hAnsi="Times New Roman" w:cs="Times New Roman"/>
        </w:rPr>
        <w:t xml:space="preserve">This section provides that in the </w:t>
      </w:r>
      <w:r w:rsidR="001E4201" w:rsidRPr="00397701">
        <w:rPr>
          <w:rFonts w:ascii="Times New Roman" w:hAnsi="Times New Roman" w:cs="Times New Roman"/>
        </w:rPr>
        <w:t>Standard</w:t>
      </w:r>
      <w:r w:rsidRPr="00397701">
        <w:rPr>
          <w:rFonts w:ascii="Times New Roman" w:hAnsi="Times New Roman" w:cs="Times New Roman"/>
        </w:rPr>
        <w:t xml:space="preserve">, unless </w:t>
      </w:r>
      <w:r w:rsidR="0036752E" w:rsidRPr="00397701">
        <w:rPr>
          <w:rFonts w:ascii="Times New Roman" w:hAnsi="Times New Roman" w:cs="Times New Roman"/>
        </w:rPr>
        <w:t>the contrary intention appears:</w:t>
      </w:r>
    </w:p>
    <w:p w14:paraId="03F1B659" w14:textId="77777777" w:rsidR="0036752E" w:rsidRPr="00397701" w:rsidRDefault="005958D6" w:rsidP="001D0578">
      <w:pPr>
        <w:pStyle w:val="ListParagraph"/>
        <w:numPr>
          <w:ilvl w:val="0"/>
          <w:numId w:val="1"/>
        </w:numPr>
        <w:rPr>
          <w:rFonts w:ascii="Times New Roman" w:hAnsi="Times New Roman" w:cs="Times New Roman"/>
        </w:rPr>
      </w:pPr>
      <w:r w:rsidRPr="00397701">
        <w:rPr>
          <w:rFonts w:ascii="Times New Roman" w:hAnsi="Times New Roman" w:cs="Times New Roman"/>
        </w:rPr>
        <w:t xml:space="preserve">a reference to </w:t>
      </w:r>
      <w:r w:rsidR="0036752E" w:rsidRPr="00397701">
        <w:rPr>
          <w:rFonts w:ascii="Times New Roman" w:hAnsi="Times New Roman" w:cs="Times New Roman"/>
        </w:rPr>
        <w:t xml:space="preserve">any </w:t>
      </w:r>
      <w:r w:rsidRPr="00397701">
        <w:rPr>
          <w:rFonts w:ascii="Times New Roman" w:hAnsi="Times New Roman" w:cs="Times New Roman"/>
        </w:rPr>
        <w:t>other legislative instrument is a reference to that other legislative instrumen</w:t>
      </w:r>
      <w:r w:rsidR="0036752E" w:rsidRPr="00397701">
        <w:rPr>
          <w:rFonts w:ascii="Times New Roman" w:hAnsi="Times New Roman" w:cs="Times New Roman"/>
        </w:rPr>
        <w:t>t as in force from time to time; and</w:t>
      </w:r>
    </w:p>
    <w:p w14:paraId="414A8940" w14:textId="653D0696" w:rsidR="0036752E" w:rsidRPr="00397701" w:rsidRDefault="0036752E" w:rsidP="001D0578">
      <w:pPr>
        <w:pStyle w:val="ListParagraph"/>
        <w:numPr>
          <w:ilvl w:val="0"/>
          <w:numId w:val="1"/>
        </w:numPr>
        <w:rPr>
          <w:rFonts w:ascii="Times New Roman" w:hAnsi="Times New Roman" w:cs="Times New Roman"/>
        </w:rPr>
      </w:pPr>
      <w:r w:rsidRPr="00397701">
        <w:rPr>
          <w:rFonts w:ascii="Times New Roman" w:hAnsi="Times New Roman" w:cs="Times New Roman"/>
        </w:rPr>
        <w:t xml:space="preserve">a reference to any other kind of instrument is a reference to that other instrument as in force </w:t>
      </w:r>
      <w:r w:rsidR="006A38AB" w:rsidRPr="00397701">
        <w:rPr>
          <w:rFonts w:ascii="Times New Roman" w:hAnsi="Times New Roman" w:cs="Times New Roman"/>
        </w:rPr>
        <w:t xml:space="preserve">or existing </w:t>
      </w:r>
      <w:r w:rsidR="00AB7E25" w:rsidRPr="00397701">
        <w:rPr>
          <w:rFonts w:ascii="Times New Roman" w:hAnsi="Times New Roman" w:cs="Times New Roman"/>
        </w:rPr>
        <w:t>from time to time</w:t>
      </w:r>
      <w:r w:rsidRPr="00397701">
        <w:rPr>
          <w:rFonts w:ascii="Times New Roman" w:hAnsi="Times New Roman" w:cs="Times New Roman"/>
        </w:rPr>
        <w:t>.</w:t>
      </w:r>
    </w:p>
    <w:p w14:paraId="58A085C1" w14:textId="73091FC3" w:rsidR="00342EF5" w:rsidRPr="00397701" w:rsidRDefault="00342EF5" w:rsidP="005958D6">
      <w:pPr>
        <w:rPr>
          <w:rFonts w:ascii="Times New Roman" w:hAnsi="Times New Roman" w:cs="Times New Roman"/>
          <w:b/>
        </w:rPr>
      </w:pPr>
      <w:r w:rsidRPr="00397701">
        <w:rPr>
          <w:rFonts w:ascii="Times New Roman" w:hAnsi="Times New Roman" w:cs="Times New Roman"/>
          <w:b/>
        </w:rPr>
        <w:t>Part 2 – Sexual violence outside a domestic and family violence situation</w:t>
      </w:r>
    </w:p>
    <w:p w14:paraId="01D247D2" w14:textId="2ACAB78A" w:rsidR="00342EF5" w:rsidRPr="00397701" w:rsidRDefault="00342EF5" w:rsidP="005958D6">
      <w:pPr>
        <w:rPr>
          <w:rFonts w:ascii="Times New Roman" w:hAnsi="Times New Roman" w:cs="Times New Roman"/>
          <w:b/>
        </w:rPr>
      </w:pPr>
      <w:r w:rsidRPr="00397701">
        <w:rPr>
          <w:rFonts w:ascii="Times New Roman" w:hAnsi="Times New Roman" w:cs="Times New Roman"/>
          <w:b/>
        </w:rPr>
        <w:t>Section 7</w:t>
      </w:r>
      <w:r w:rsidRPr="00397701">
        <w:rPr>
          <w:rFonts w:ascii="Times New Roman" w:hAnsi="Times New Roman" w:cs="Times New Roman"/>
          <w:b/>
        </w:rPr>
        <w:tab/>
        <w:t>Requirement where a consumer has experienced sexual violence ou</w:t>
      </w:r>
      <w:r w:rsidR="00056281" w:rsidRPr="00397701">
        <w:rPr>
          <w:rFonts w:ascii="Times New Roman" w:hAnsi="Times New Roman" w:cs="Times New Roman"/>
          <w:b/>
        </w:rPr>
        <w:t>t</w:t>
      </w:r>
      <w:r w:rsidRPr="00397701">
        <w:rPr>
          <w:rFonts w:ascii="Times New Roman" w:hAnsi="Times New Roman" w:cs="Times New Roman"/>
          <w:b/>
        </w:rPr>
        <w:t>side a domestic and family violence situation</w:t>
      </w:r>
    </w:p>
    <w:p w14:paraId="287F34B8" w14:textId="39AA8201" w:rsidR="002C3A08" w:rsidRPr="00397701" w:rsidRDefault="002C3A08" w:rsidP="002C3A08">
      <w:pPr>
        <w:rPr>
          <w:rFonts w:ascii="Times New Roman" w:hAnsi="Times New Roman" w:cs="Times New Roman"/>
        </w:rPr>
      </w:pPr>
      <w:r w:rsidRPr="00397701">
        <w:rPr>
          <w:rFonts w:ascii="Times New Roman" w:hAnsi="Times New Roman" w:cs="Times New Roman"/>
        </w:rPr>
        <w:t xml:space="preserve">Part 2 of the Standard is designed to </w:t>
      </w:r>
      <w:r w:rsidR="001761B6" w:rsidRPr="00397701">
        <w:rPr>
          <w:rFonts w:ascii="Times New Roman" w:hAnsi="Times New Roman" w:cs="Times New Roman"/>
        </w:rPr>
        <w:t>provide</w:t>
      </w:r>
      <w:r w:rsidRPr="00397701">
        <w:rPr>
          <w:rFonts w:ascii="Times New Roman" w:hAnsi="Times New Roman" w:cs="Times New Roman"/>
        </w:rPr>
        <w:t xml:space="preserve"> consumers who disclose experiences of sexual violence outside a domestic and family violence context</w:t>
      </w:r>
      <w:r w:rsidR="00957AA9">
        <w:rPr>
          <w:rFonts w:ascii="Times New Roman" w:hAnsi="Times New Roman" w:cs="Times New Roman"/>
        </w:rPr>
        <w:t xml:space="preserve"> </w:t>
      </w:r>
      <w:r w:rsidR="00F86163">
        <w:rPr>
          <w:rFonts w:ascii="Times New Roman" w:hAnsi="Times New Roman" w:cs="Times New Roman"/>
        </w:rPr>
        <w:t>(</w:t>
      </w:r>
      <w:r w:rsidR="008D5894">
        <w:rPr>
          <w:rFonts w:ascii="Times New Roman" w:hAnsi="Times New Roman" w:cs="Times New Roman"/>
        </w:rPr>
        <w:t>define</w:t>
      </w:r>
      <w:r w:rsidR="00A9171A">
        <w:rPr>
          <w:rFonts w:ascii="Times New Roman" w:hAnsi="Times New Roman" w:cs="Times New Roman"/>
        </w:rPr>
        <w:t>d</w:t>
      </w:r>
      <w:r w:rsidR="008D5894">
        <w:rPr>
          <w:rFonts w:ascii="Times New Roman" w:hAnsi="Times New Roman" w:cs="Times New Roman"/>
        </w:rPr>
        <w:t xml:space="preserve"> as</w:t>
      </w:r>
      <w:r w:rsidR="00A9171A">
        <w:rPr>
          <w:rFonts w:ascii="Times New Roman" w:hAnsi="Times New Roman" w:cs="Times New Roman"/>
        </w:rPr>
        <w:t xml:space="preserve"> non-</w:t>
      </w:r>
      <w:r w:rsidR="00957AA9">
        <w:rPr>
          <w:rFonts w:ascii="Times New Roman" w:hAnsi="Times New Roman" w:cs="Times New Roman"/>
        </w:rPr>
        <w:t>domestic sexual violence</w:t>
      </w:r>
      <w:r w:rsidR="00F86163">
        <w:rPr>
          <w:rFonts w:ascii="Times New Roman" w:hAnsi="Times New Roman" w:cs="Times New Roman"/>
        </w:rPr>
        <w:t>)</w:t>
      </w:r>
      <w:r w:rsidR="00AB7E25" w:rsidRPr="00397701">
        <w:rPr>
          <w:rFonts w:ascii="Times New Roman" w:hAnsi="Times New Roman" w:cs="Times New Roman"/>
        </w:rPr>
        <w:t>,</w:t>
      </w:r>
      <w:r w:rsidRPr="00397701">
        <w:rPr>
          <w:rFonts w:ascii="Times New Roman" w:hAnsi="Times New Roman" w:cs="Times New Roman"/>
        </w:rPr>
        <w:t xml:space="preserve"> </w:t>
      </w:r>
      <w:r w:rsidR="00C07DAC" w:rsidRPr="00397701">
        <w:rPr>
          <w:rFonts w:ascii="Times New Roman" w:hAnsi="Times New Roman" w:cs="Times New Roman"/>
        </w:rPr>
        <w:t xml:space="preserve">with </w:t>
      </w:r>
      <w:r w:rsidRPr="00397701">
        <w:rPr>
          <w:rFonts w:ascii="Times New Roman" w:hAnsi="Times New Roman" w:cs="Times New Roman"/>
        </w:rPr>
        <w:t>key support measures</w:t>
      </w:r>
      <w:r w:rsidR="005654F8" w:rsidRPr="00397701">
        <w:rPr>
          <w:rFonts w:ascii="Times New Roman" w:hAnsi="Times New Roman" w:cs="Times New Roman"/>
        </w:rPr>
        <w:t xml:space="preserve"> related to the supply of telecommunications products</w:t>
      </w:r>
      <w:r w:rsidRPr="00397701">
        <w:rPr>
          <w:rFonts w:ascii="Times New Roman" w:hAnsi="Times New Roman" w:cs="Times New Roman"/>
        </w:rPr>
        <w:t xml:space="preserve"> under the Standard. It requires </w:t>
      </w:r>
      <w:r w:rsidR="006813C6" w:rsidRPr="00397701">
        <w:rPr>
          <w:rFonts w:ascii="Times New Roman" w:hAnsi="Times New Roman" w:cs="Times New Roman"/>
        </w:rPr>
        <w:t xml:space="preserve">a provider </w:t>
      </w:r>
      <w:r w:rsidRPr="00397701">
        <w:rPr>
          <w:rFonts w:ascii="Times New Roman" w:hAnsi="Times New Roman" w:cs="Times New Roman"/>
        </w:rPr>
        <w:t>to treat such consumers as “affected persons” for the purposes of s</w:t>
      </w:r>
      <w:r w:rsidR="006813C6" w:rsidRPr="00397701">
        <w:rPr>
          <w:rFonts w:ascii="Times New Roman" w:hAnsi="Times New Roman" w:cs="Times New Roman"/>
        </w:rPr>
        <w:t>ubs</w:t>
      </w:r>
      <w:r w:rsidRPr="00397701">
        <w:rPr>
          <w:rFonts w:ascii="Times New Roman" w:hAnsi="Times New Roman" w:cs="Times New Roman"/>
        </w:rPr>
        <w:t xml:space="preserve">ection </w:t>
      </w:r>
      <w:r w:rsidR="00104ABA" w:rsidRPr="00397701">
        <w:rPr>
          <w:rFonts w:ascii="Times New Roman" w:hAnsi="Times New Roman" w:cs="Times New Roman"/>
        </w:rPr>
        <w:t>8(</w:t>
      </w:r>
      <w:r w:rsidR="006813C6" w:rsidRPr="00397701">
        <w:rPr>
          <w:rFonts w:ascii="Times New Roman" w:hAnsi="Times New Roman" w:cs="Times New Roman"/>
        </w:rPr>
        <w:t>2</w:t>
      </w:r>
      <w:r w:rsidR="00104ABA" w:rsidRPr="00397701">
        <w:rPr>
          <w:rFonts w:ascii="Times New Roman" w:hAnsi="Times New Roman" w:cs="Times New Roman"/>
        </w:rPr>
        <w:t xml:space="preserve">), </w:t>
      </w:r>
      <w:r w:rsidR="001D5C13" w:rsidRPr="00397701">
        <w:rPr>
          <w:rFonts w:ascii="Times New Roman" w:hAnsi="Times New Roman" w:cs="Times New Roman"/>
        </w:rPr>
        <w:t>10</w:t>
      </w:r>
      <w:r w:rsidRPr="00397701">
        <w:rPr>
          <w:rFonts w:ascii="Times New Roman" w:hAnsi="Times New Roman" w:cs="Times New Roman"/>
        </w:rPr>
        <w:t>, 1</w:t>
      </w:r>
      <w:r w:rsidR="00104ABA" w:rsidRPr="00397701">
        <w:rPr>
          <w:rFonts w:ascii="Times New Roman" w:hAnsi="Times New Roman" w:cs="Times New Roman"/>
        </w:rPr>
        <w:t>3</w:t>
      </w:r>
      <w:r w:rsidRPr="00397701">
        <w:rPr>
          <w:rFonts w:ascii="Times New Roman" w:hAnsi="Times New Roman" w:cs="Times New Roman"/>
        </w:rPr>
        <w:t>,</w:t>
      </w:r>
      <w:r w:rsidR="001D5C13" w:rsidRPr="00397701">
        <w:rPr>
          <w:rFonts w:ascii="Times New Roman" w:hAnsi="Times New Roman" w:cs="Times New Roman"/>
        </w:rPr>
        <w:t xml:space="preserve"> 14</w:t>
      </w:r>
      <w:r w:rsidRPr="00397701">
        <w:rPr>
          <w:rFonts w:ascii="Times New Roman" w:hAnsi="Times New Roman" w:cs="Times New Roman"/>
        </w:rPr>
        <w:t xml:space="preserve"> and 1</w:t>
      </w:r>
      <w:r w:rsidR="001D5C13" w:rsidRPr="00397701">
        <w:rPr>
          <w:rFonts w:ascii="Times New Roman" w:hAnsi="Times New Roman" w:cs="Times New Roman"/>
        </w:rPr>
        <w:t>5</w:t>
      </w:r>
      <w:r w:rsidRPr="00397701">
        <w:rPr>
          <w:rFonts w:ascii="Times New Roman" w:hAnsi="Times New Roman" w:cs="Times New Roman"/>
        </w:rPr>
        <w:t xml:space="preserve"> which relate to</w:t>
      </w:r>
      <w:r w:rsidR="00104ABA" w:rsidRPr="00397701">
        <w:rPr>
          <w:rFonts w:ascii="Times New Roman" w:hAnsi="Times New Roman" w:cs="Times New Roman"/>
        </w:rPr>
        <w:t xml:space="preserve"> information about available </w:t>
      </w:r>
      <w:r w:rsidRPr="00397701">
        <w:rPr>
          <w:rFonts w:ascii="Times New Roman" w:hAnsi="Times New Roman" w:cs="Times New Roman"/>
        </w:rPr>
        <w:t xml:space="preserve">support, the provision of support, </w:t>
      </w:r>
      <w:r w:rsidR="00104ABA" w:rsidRPr="00397701">
        <w:rPr>
          <w:rFonts w:ascii="Times New Roman" w:hAnsi="Times New Roman" w:cs="Times New Roman"/>
        </w:rPr>
        <w:t>the collection of evidence</w:t>
      </w:r>
      <w:r w:rsidRPr="00397701">
        <w:rPr>
          <w:rFonts w:ascii="Times New Roman" w:hAnsi="Times New Roman" w:cs="Times New Roman"/>
        </w:rPr>
        <w:t>, and access to support services.</w:t>
      </w:r>
    </w:p>
    <w:p w14:paraId="3316443F" w14:textId="64263405" w:rsidR="002C3A08" w:rsidRPr="00397701" w:rsidRDefault="003A6C68" w:rsidP="002C3A08">
      <w:pPr>
        <w:rPr>
          <w:rFonts w:ascii="Times New Roman" w:hAnsi="Times New Roman" w:cs="Times New Roman"/>
        </w:rPr>
      </w:pPr>
      <w:r w:rsidRPr="00397701">
        <w:rPr>
          <w:rFonts w:ascii="Times New Roman" w:hAnsi="Times New Roman" w:cs="Times New Roman"/>
        </w:rPr>
        <w:lastRenderedPageBreak/>
        <w:t>Section 7</w:t>
      </w:r>
      <w:r w:rsidR="002C3A08" w:rsidRPr="00397701">
        <w:rPr>
          <w:rFonts w:ascii="Times New Roman" w:hAnsi="Times New Roman" w:cs="Times New Roman"/>
        </w:rPr>
        <w:t xml:space="preserve"> recognises that </w:t>
      </w:r>
      <w:r w:rsidR="008C7981">
        <w:rPr>
          <w:rFonts w:ascii="Times New Roman" w:hAnsi="Times New Roman" w:cs="Times New Roman"/>
        </w:rPr>
        <w:t xml:space="preserve">non-domestic </w:t>
      </w:r>
      <w:r w:rsidR="002C3A08" w:rsidRPr="00397701">
        <w:rPr>
          <w:rFonts w:ascii="Times New Roman" w:hAnsi="Times New Roman" w:cs="Times New Roman"/>
        </w:rPr>
        <w:t xml:space="preserve">sexual violence can give rise to similar safety, wellbeing, and telecommunications-related needs as domestic and family violence. Extending core </w:t>
      </w:r>
      <w:r w:rsidR="00AB7E25" w:rsidRPr="00397701">
        <w:rPr>
          <w:rFonts w:ascii="Times New Roman" w:hAnsi="Times New Roman" w:cs="Times New Roman"/>
        </w:rPr>
        <w:t>telecommunications</w:t>
      </w:r>
      <w:r w:rsidR="002C3A08" w:rsidRPr="00397701">
        <w:rPr>
          <w:rFonts w:ascii="Times New Roman" w:hAnsi="Times New Roman" w:cs="Times New Roman"/>
        </w:rPr>
        <w:t xml:space="preserve"> support to these consumers </w:t>
      </w:r>
      <w:r w:rsidR="001715B0" w:rsidRPr="00397701">
        <w:rPr>
          <w:rFonts w:ascii="Times New Roman" w:hAnsi="Times New Roman" w:cs="Times New Roman"/>
        </w:rPr>
        <w:t>provides</w:t>
      </w:r>
      <w:r w:rsidR="002C3A08" w:rsidRPr="00397701">
        <w:rPr>
          <w:rFonts w:ascii="Times New Roman" w:hAnsi="Times New Roman" w:cs="Times New Roman"/>
        </w:rPr>
        <w:t xml:space="preserve"> a consistent and trauma-informed response, without requiring distinctions between</w:t>
      </w:r>
      <w:r w:rsidR="00B82EEE" w:rsidRPr="00397701">
        <w:rPr>
          <w:rFonts w:ascii="Times New Roman" w:hAnsi="Times New Roman" w:cs="Times New Roman"/>
        </w:rPr>
        <w:t xml:space="preserve"> the</w:t>
      </w:r>
      <w:r w:rsidR="002C3A08" w:rsidRPr="00397701">
        <w:rPr>
          <w:rFonts w:ascii="Times New Roman" w:hAnsi="Times New Roman" w:cs="Times New Roman"/>
        </w:rPr>
        <w:t xml:space="preserve"> types of violence that may be unclear or re</w:t>
      </w:r>
      <w:r w:rsidRPr="00397701">
        <w:rPr>
          <w:rFonts w:ascii="Times New Roman" w:hAnsi="Times New Roman" w:cs="Times New Roman"/>
        </w:rPr>
        <w:t>-</w:t>
      </w:r>
      <w:r w:rsidR="002C3A08" w:rsidRPr="00397701">
        <w:rPr>
          <w:rFonts w:ascii="Times New Roman" w:hAnsi="Times New Roman" w:cs="Times New Roman"/>
        </w:rPr>
        <w:t>traumatising to disclose.</w:t>
      </w:r>
      <w:r w:rsidR="00104ABA" w:rsidRPr="00397701">
        <w:rPr>
          <w:rFonts w:ascii="Times New Roman" w:hAnsi="Times New Roman" w:cs="Times New Roman"/>
        </w:rPr>
        <w:t xml:space="preserve"> </w:t>
      </w:r>
    </w:p>
    <w:p w14:paraId="3B758944" w14:textId="6133D31A" w:rsidR="00342EF5" w:rsidRPr="00397701" w:rsidRDefault="005958D6" w:rsidP="005958D6">
      <w:pPr>
        <w:rPr>
          <w:rFonts w:ascii="Times New Roman" w:hAnsi="Times New Roman" w:cs="Times New Roman"/>
          <w:b/>
        </w:rPr>
      </w:pPr>
      <w:r w:rsidRPr="00397701">
        <w:rPr>
          <w:rFonts w:ascii="Times New Roman" w:hAnsi="Times New Roman" w:cs="Times New Roman"/>
          <w:b/>
        </w:rPr>
        <w:t xml:space="preserve">Part </w:t>
      </w:r>
      <w:r w:rsidR="00342EF5" w:rsidRPr="00397701">
        <w:rPr>
          <w:rFonts w:ascii="Times New Roman" w:hAnsi="Times New Roman" w:cs="Times New Roman"/>
          <w:b/>
        </w:rPr>
        <w:t>3 - Providing support</w:t>
      </w:r>
    </w:p>
    <w:p w14:paraId="6EF04553" w14:textId="2F490861" w:rsidR="00342EF5" w:rsidRPr="00397701" w:rsidRDefault="00342EF5" w:rsidP="005958D6">
      <w:pPr>
        <w:rPr>
          <w:rFonts w:ascii="Times New Roman" w:hAnsi="Times New Roman" w:cs="Times New Roman"/>
          <w:b/>
        </w:rPr>
      </w:pPr>
      <w:r w:rsidRPr="00397701">
        <w:rPr>
          <w:rFonts w:ascii="Times New Roman" w:hAnsi="Times New Roman" w:cs="Times New Roman"/>
          <w:b/>
        </w:rPr>
        <w:t>Section 8</w:t>
      </w:r>
      <w:r w:rsidRPr="00397701">
        <w:rPr>
          <w:rFonts w:ascii="Times New Roman" w:hAnsi="Times New Roman" w:cs="Times New Roman"/>
          <w:b/>
        </w:rPr>
        <w:tab/>
        <w:t>Requirement to advise affected persons</w:t>
      </w:r>
      <w:r w:rsidR="00BE6AD9" w:rsidRPr="00397701">
        <w:rPr>
          <w:rFonts w:ascii="Times New Roman" w:hAnsi="Times New Roman" w:cs="Times New Roman"/>
          <w:b/>
        </w:rPr>
        <w:t xml:space="preserve"> of available support</w:t>
      </w:r>
    </w:p>
    <w:p w14:paraId="0692AA09" w14:textId="12F07177" w:rsidR="002C3A08" w:rsidRPr="00397701" w:rsidRDefault="002C3A08" w:rsidP="007C3410">
      <w:pPr>
        <w:rPr>
          <w:rFonts w:ascii="Times New Roman" w:hAnsi="Times New Roman" w:cs="Times New Roman"/>
        </w:rPr>
      </w:pPr>
      <w:r w:rsidRPr="00397701">
        <w:rPr>
          <w:rFonts w:ascii="Times New Roman" w:hAnsi="Times New Roman" w:cs="Times New Roman"/>
        </w:rPr>
        <w:t xml:space="preserve">Section 8 outlines a provider’s obligations to </w:t>
      </w:r>
      <w:r w:rsidR="001761B6" w:rsidRPr="00397701">
        <w:rPr>
          <w:rFonts w:ascii="Times New Roman" w:hAnsi="Times New Roman" w:cs="Times New Roman"/>
        </w:rPr>
        <w:t xml:space="preserve">make </w:t>
      </w:r>
      <w:r w:rsidRPr="00397701">
        <w:rPr>
          <w:rFonts w:ascii="Times New Roman" w:hAnsi="Times New Roman" w:cs="Times New Roman"/>
        </w:rPr>
        <w:t xml:space="preserve">affected persons aware </w:t>
      </w:r>
      <w:r w:rsidR="00AB7716" w:rsidRPr="00397701">
        <w:rPr>
          <w:rFonts w:ascii="Times New Roman" w:hAnsi="Times New Roman" w:cs="Times New Roman"/>
        </w:rPr>
        <w:t xml:space="preserve">that there is </w:t>
      </w:r>
      <w:r w:rsidRPr="00397701">
        <w:rPr>
          <w:rFonts w:ascii="Times New Roman" w:hAnsi="Times New Roman" w:cs="Times New Roman"/>
        </w:rPr>
        <w:t xml:space="preserve">support </w:t>
      </w:r>
      <w:r w:rsidR="00AB7716" w:rsidRPr="00397701">
        <w:rPr>
          <w:rFonts w:ascii="Times New Roman" w:hAnsi="Times New Roman" w:cs="Times New Roman"/>
        </w:rPr>
        <w:t xml:space="preserve">available </w:t>
      </w:r>
      <w:r w:rsidRPr="00397701">
        <w:rPr>
          <w:rFonts w:ascii="Times New Roman" w:hAnsi="Times New Roman" w:cs="Times New Roman"/>
        </w:rPr>
        <w:t>to the</w:t>
      </w:r>
      <w:r w:rsidR="00B4460D" w:rsidRPr="00397701">
        <w:rPr>
          <w:rFonts w:ascii="Times New Roman" w:hAnsi="Times New Roman" w:cs="Times New Roman"/>
        </w:rPr>
        <w:t xml:space="preserve"> affected person</w:t>
      </w:r>
      <w:r w:rsidRPr="00397701">
        <w:rPr>
          <w:rFonts w:ascii="Times New Roman" w:hAnsi="Times New Roman" w:cs="Times New Roman"/>
        </w:rPr>
        <w:t xml:space="preserve"> </w:t>
      </w:r>
      <w:r w:rsidR="00096EA2" w:rsidRPr="00397701">
        <w:rPr>
          <w:rFonts w:ascii="Times New Roman" w:hAnsi="Times New Roman" w:cs="Times New Roman"/>
        </w:rPr>
        <w:t xml:space="preserve">at the first opportunity </w:t>
      </w:r>
      <w:r w:rsidR="0027088D" w:rsidRPr="00397701">
        <w:rPr>
          <w:rFonts w:ascii="Times New Roman" w:hAnsi="Times New Roman" w:cs="Times New Roman"/>
        </w:rPr>
        <w:t xml:space="preserve">when </w:t>
      </w:r>
      <w:r w:rsidRPr="00397701">
        <w:rPr>
          <w:rFonts w:ascii="Times New Roman" w:hAnsi="Times New Roman" w:cs="Times New Roman"/>
        </w:rPr>
        <w:t xml:space="preserve">it is safe </w:t>
      </w:r>
      <w:r w:rsidR="00AB7716" w:rsidRPr="00397701">
        <w:rPr>
          <w:rFonts w:ascii="Times New Roman" w:hAnsi="Times New Roman" w:cs="Times New Roman"/>
        </w:rPr>
        <w:t xml:space="preserve">for </w:t>
      </w:r>
      <w:r w:rsidR="0027088D" w:rsidRPr="00397701">
        <w:rPr>
          <w:rFonts w:ascii="Times New Roman" w:hAnsi="Times New Roman" w:cs="Times New Roman"/>
        </w:rPr>
        <w:t xml:space="preserve">the </w:t>
      </w:r>
      <w:r w:rsidR="00AB7716" w:rsidRPr="00397701">
        <w:rPr>
          <w:rFonts w:ascii="Times New Roman" w:hAnsi="Times New Roman" w:cs="Times New Roman"/>
        </w:rPr>
        <w:t>affected person to have that conversation</w:t>
      </w:r>
      <w:r w:rsidRPr="00397701">
        <w:rPr>
          <w:rFonts w:ascii="Times New Roman" w:hAnsi="Times New Roman" w:cs="Times New Roman"/>
        </w:rPr>
        <w:t xml:space="preserve">. This requirement is designed to </w:t>
      </w:r>
      <w:r w:rsidR="001761B6" w:rsidRPr="00397701">
        <w:rPr>
          <w:rFonts w:ascii="Times New Roman" w:hAnsi="Times New Roman" w:cs="Times New Roman"/>
        </w:rPr>
        <w:t>provide</w:t>
      </w:r>
      <w:r w:rsidRPr="00397701">
        <w:rPr>
          <w:rFonts w:ascii="Times New Roman" w:hAnsi="Times New Roman" w:cs="Times New Roman"/>
        </w:rPr>
        <w:t xml:space="preserve"> consumers experiencing domestic, family or </w:t>
      </w:r>
      <w:r w:rsidR="00957AA9">
        <w:rPr>
          <w:rFonts w:ascii="Times New Roman" w:hAnsi="Times New Roman" w:cs="Times New Roman"/>
        </w:rPr>
        <w:t xml:space="preserve">non-domestic </w:t>
      </w:r>
      <w:r w:rsidRPr="00397701">
        <w:rPr>
          <w:rFonts w:ascii="Times New Roman" w:hAnsi="Times New Roman" w:cs="Times New Roman"/>
        </w:rPr>
        <w:t xml:space="preserve">sexual violence </w:t>
      </w:r>
      <w:r w:rsidR="0027088D" w:rsidRPr="00397701">
        <w:rPr>
          <w:rFonts w:ascii="Times New Roman" w:hAnsi="Times New Roman" w:cs="Times New Roman"/>
        </w:rPr>
        <w:t xml:space="preserve">with </w:t>
      </w:r>
      <w:r w:rsidRPr="00397701">
        <w:rPr>
          <w:rFonts w:ascii="Times New Roman" w:hAnsi="Times New Roman" w:cs="Times New Roman"/>
        </w:rPr>
        <w:t xml:space="preserve">access </w:t>
      </w:r>
      <w:r w:rsidR="001761B6" w:rsidRPr="00397701">
        <w:rPr>
          <w:rFonts w:ascii="Times New Roman" w:hAnsi="Times New Roman" w:cs="Times New Roman"/>
        </w:rPr>
        <w:t>to</w:t>
      </w:r>
      <w:r w:rsidRPr="00397701">
        <w:rPr>
          <w:rFonts w:ascii="Times New Roman" w:hAnsi="Times New Roman" w:cs="Times New Roman"/>
        </w:rPr>
        <w:t xml:space="preserve"> relevant assistance in a timely, safe, and informed manner.</w:t>
      </w:r>
      <w:r w:rsidR="00197E49" w:rsidRPr="00397701">
        <w:rPr>
          <w:rFonts w:ascii="Times New Roman" w:hAnsi="Times New Roman" w:cs="Times New Roman"/>
        </w:rPr>
        <w:t xml:space="preserve"> </w:t>
      </w:r>
    </w:p>
    <w:p w14:paraId="3866B571" w14:textId="1DA09D56" w:rsidR="00197E49" w:rsidRPr="00397701" w:rsidRDefault="002C3A08" w:rsidP="007C3410">
      <w:pPr>
        <w:rPr>
          <w:rFonts w:ascii="Times New Roman" w:hAnsi="Times New Roman" w:cs="Times New Roman"/>
        </w:rPr>
      </w:pPr>
      <w:r w:rsidRPr="00397701">
        <w:rPr>
          <w:rFonts w:ascii="Times New Roman" w:hAnsi="Times New Roman" w:cs="Times New Roman"/>
        </w:rPr>
        <w:t xml:space="preserve">Subsection 8(1) requires that, </w:t>
      </w:r>
      <w:r w:rsidR="00197E49" w:rsidRPr="00397701">
        <w:rPr>
          <w:rFonts w:ascii="Times New Roman" w:hAnsi="Times New Roman" w:cs="Times New Roman"/>
        </w:rPr>
        <w:t>where</w:t>
      </w:r>
      <w:r w:rsidRPr="00397701">
        <w:rPr>
          <w:rFonts w:ascii="Times New Roman" w:hAnsi="Times New Roman" w:cs="Times New Roman"/>
        </w:rPr>
        <w:t xml:space="preserve"> a provider interacts with an affected person,</w:t>
      </w:r>
      <w:r w:rsidR="00197E49" w:rsidRPr="00397701">
        <w:rPr>
          <w:rFonts w:ascii="Times New Roman" w:hAnsi="Times New Roman" w:cs="Times New Roman"/>
        </w:rPr>
        <w:t xml:space="preserve"> for the purposes of subsection 8(2) </w:t>
      </w:r>
      <w:r w:rsidR="00090CB7" w:rsidRPr="00397701">
        <w:rPr>
          <w:rFonts w:ascii="Times New Roman" w:hAnsi="Times New Roman" w:cs="Times New Roman"/>
        </w:rPr>
        <w:t>(</w:t>
      </w:r>
      <w:r w:rsidR="00197E49" w:rsidRPr="00397701">
        <w:rPr>
          <w:rFonts w:ascii="Times New Roman" w:hAnsi="Times New Roman" w:cs="Times New Roman"/>
        </w:rPr>
        <w:t xml:space="preserve">which covers the provision of information about </w:t>
      </w:r>
      <w:r w:rsidR="000C7377">
        <w:rPr>
          <w:rFonts w:ascii="Times New Roman" w:hAnsi="Times New Roman" w:cs="Times New Roman"/>
        </w:rPr>
        <w:t xml:space="preserve">available </w:t>
      </w:r>
      <w:r w:rsidR="00197E49" w:rsidRPr="00397701">
        <w:rPr>
          <w:rFonts w:ascii="Times New Roman" w:hAnsi="Times New Roman" w:cs="Times New Roman"/>
        </w:rPr>
        <w:t>DFV support</w:t>
      </w:r>
      <w:r w:rsidR="00090CB7" w:rsidRPr="00397701">
        <w:rPr>
          <w:rFonts w:ascii="Times New Roman" w:hAnsi="Times New Roman" w:cs="Times New Roman"/>
        </w:rPr>
        <w:t xml:space="preserve">) and subsection 9(1) (which </w:t>
      </w:r>
      <w:r w:rsidR="00A9757B" w:rsidRPr="00397701">
        <w:rPr>
          <w:rFonts w:ascii="Times New Roman" w:hAnsi="Times New Roman" w:cs="Times New Roman"/>
        </w:rPr>
        <w:t xml:space="preserve">relates to the application of provisions relating to agreeing on a preferred communication method and </w:t>
      </w:r>
      <w:r w:rsidR="00100715" w:rsidRPr="00397701">
        <w:rPr>
          <w:rFonts w:ascii="Times New Roman" w:hAnsi="Times New Roman" w:cs="Times New Roman"/>
        </w:rPr>
        <w:t>discussion of support options)</w:t>
      </w:r>
      <w:r w:rsidR="00197E49" w:rsidRPr="00397701">
        <w:rPr>
          <w:rFonts w:ascii="Times New Roman" w:hAnsi="Times New Roman" w:cs="Times New Roman"/>
        </w:rPr>
        <w:t xml:space="preserve"> – the provider must</w:t>
      </w:r>
      <w:r w:rsidR="00096EA2" w:rsidRPr="00397701">
        <w:rPr>
          <w:rFonts w:ascii="Times New Roman" w:hAnsi="Times New Roman" w:cs="Times New Roman"/>
        </w:rPr>
        <w:t xml:space="preserve"> </w:t>
      </w:r>
      <w:r w:rsidR="00197E49" w:rsidRPr="00397701">
        <w:rPr>
          <w:rFonts w:ascii="Times New Roman" w:hAnsi="Times New Roman" w:cs="Times New Roman"/>
        </w:rPr>
        <w:t xml:space="preserve">confirm that it is safe for the affected person </w:t>
      </w:r>
      <w:r w:rsidRPr="00397701">
        <w:rPr>
          <w:rFonts w:ascii="Times New Roman" w:hAnsi="Times New Roman" w:cs="Times New Roman"/>
        </w:rPr>
        <w:t xml:space="preserve">to </w:t>
      </w:r>
      <w:r w:rsidR="00096EA2" w:rsidRPr="00397701">
        <w:rPr>
          <w:rFonts w:ascii="Times New Roman" w:hAnsi="Times New Roman" w:cs="Times New Roman"/>
        </w:rPr>
        <w:t>communicate</w:t>
      </w:r>
      <w:r w:rsidR="00197E49" w:rsidRPr="00397701">
        <w:rPr>
          <w:rFonts w:ascii="Times New Roman" w:hAnsi="Times New Roman" w:cs="Times New Roman"/>
        </w:rPr>
        <w:t>.</w:t>
      </w:r>
    </w:p>
    <w:p w14:paraId="4391D32B" w14:textId="0A154820" w:rsidR="002C3A08" w:rsidRPr="00397701" w:rsidRDefault="00197E49" w:rsidP="007C3410">
      <w:pPr>
        <w:rPr>
          <w:rFonts w:ascii="Times New Roman" w:hAnsi="Times New Roman" w:cs="Times New Roman"/>
        </w:rPr>
      </w:pPr>
      <w:r w:rsidRPr="00397701">
        <w:rPr>
          <w:rFonts w:ascii="Times New Roman" w:hAnsi="Times New Roman" w:cs="Times New Roman"/>
        </w:rPr>
        <w:t xml:space="preserve">Under subsection 8(2) </w:t>
      </w:r>
      <w:r w:rsidR="006F05A1" w:rsidRPr="00397701">
        <w:rPr>
          <w:rFonts w:ascii="Times New Roman" w:hAnsi="Times New Roman" w:cs="Times New Roman"/>
        </w:rPr>
        <w:t xml:space="preserve">when the provider interacts with an affected person (and </w:t>
      </w:r>
      <w:r w:rsidR="00C72F45" w:rsidRPr="00397701">
        <w:rPr>
          <w:rFonts w:ascii="Times New Roman" w:hAnsi="Times New Roman" w:cs="Times New Roman"/>
        </w:rPr>
        <w:t xml:space="preserve">has </w:t>
      </w:r>
      <w:r w:rsidR="006F05A1" w:rsidRPr="00397701">
        <w:rPr>
          <w:rFonts w:ascii="Times New Roman" w:hAnsi="Times New Roman" w:cs="Times New Roman"/>
        </w:rPr>
        <w:t>confirmed it is safe to have the conversation as required by 8(1)), the</w:t>
      </w:r>
      <w:r w:rsidR="002C3A08" w:rsidRPr="00397701">
        <w:rPr>
          <w:rFonts w:ascii="Times New Roman" w:hAnsi="Times New Roman" w:cs="Times New Roman"/>
        </w:rPr>
        <w:t xml:space="preserve"> provider must proactively inform the affected person about </w:t>
      </w:r>
      <w:r w:rsidR="00096EA2" w:rsidRPr="00397701">
        <w:rPr>
          <w:rFonts w:ascii="Times New Roman" w:hAnsi="Times New Roman" w:cs="Times New Roman"/>
        </w:rPr>
        <w:t>the availability of its DFV support</w:t>
      </w:r>
      <w:r w:rsidR="006F05A1" w:rsidRPr="00397701">
        <w:rPr>
          <w:rFonts w:ascii="Times New Roman" w:hAnsi="Times New Roman" w:cs="Times New Roman"/>
        </w:rPr>
        <w:t xml:space="preserve">. </w:t>
      </w:r>
      <w:r w:rsidR="002C3A08" w:rsidRPr="00397701">
        <w:rPr>
          <w:rFonts w:ascii="Times New Roman" w:hAnsi="Times New Roman" w:cs="Times New Roman"/>
        </w:rPr>
        <w:t>This includes:</w:t>
      </w:r>
    </w:p>
    <w:p w14:paraId="4C5EDF6E" w14:textId="44934CC9" w:rsidR="002C3A08" w:rsidRPr="00397701" w:rsidRDefault="002C3A08" w:rsidP="001D0578">
      <w:pPr>
        <w:numPr>
          <w:ilvl w:val="0"/>
          <w:numId w:val="10"/>
        </w:numPr>
        <w:tabs>
          <w:tab w:val="num" w:pos="720"/>
        </w:tabs>
        <w:rPr>
          <w:rFonts w:ascii="Times New Roman" w:hAnsi="Times New Roman" w:cs="Times New Roman"/>
        </w:rPr>
      </w:pPr>
      <w:r w:rsidRPr="00397701">
        <w:rPr>
          <w:rFonts w:ascii="Times New Roman" w:hAnsi="Times New Roman" w:cs="Times New Roman"/>
        </w:rPr>
        <w:t>Paragraph 8(</w:t>
      </w:r>
      <w:r w:rsidR="006F05A1" w:rsidRPr="00397701">
        <w:rPr>
          <w:rFonts w:ascii="Times New Roman" w:hAnsi="Times New Roman" w:cs="Times New Roman"/>
        </w:rPr>
        <w:t>2</w:t>
      </w:r>
      <w:r w:rsidRPr="00397701">
        <w:rPr>
          <w:rFonts w:ascii="Times New Roman" w:hAnsi="Times New Roman" w:cs="Times New Roman"/>
        </w:rPr>
        <w:t>)(</w:t>
      </w:r>
      <w:r w:rsidR="00104ABA" w:rsidRPr="00397701">
        <w:rPr>
          <w:rFonts w:ascii="Times New Roman" w:hAnsi="Times New Roman" w:cs="Times New Roman"/>
        </w:rPr>
        <w:t>a</w:t>
      </w:r>
      <w:r w:rsidRPr="00397701">
        <w:rPr>
          <w:rFonts w:ascii="Times New Roman" w:hAnsi="Times New Roman" w:cs="Times New Roman"/>
        </w:rPr>
        <w:t xml:space="preserve">) – </w:t>
      </w:r>
      <w:r w:rsidR="00096EA2" w:rsidRPr="00397701">
        <w:rPr>
          <w:rFonts w:ascii="Times New Roman" w:hAnsi="Times New Roman" w:cs="Times New Roman"/>
        </w:rPr>
        <w:t xml:space="preserve">Advising that the provider can assist the affected person in accordance with the provider’s DFV policy. This is intended to make affected persons aware that dedicated support </w:t>
      </w:r>
      <w:r w:rsidR="009B7FAF" w:rsidRPr="00397701">
        <w:rPr>
          <w:rFonts w:ascii="Times New Roman" w:hAnsi="Times New Roman" w:cs="Times New Roman"/>
        </w:rPr>
        <w:t xml:space="preserve">is </w:t>
      </w:r>
      <w:r w:rsidR="00096EA2" w:rsidRPr="00397701">
        <w:rPr>
          <w:rFonts w:ascii="Times New Roman" w:hAnsi="Times New Roman" w:cs="Times New Roman"/>
        </w:rPr>
        <w:t>available to them.</w:t>
      </w:r>
    </w:p>
    <w:p w14:paraId="2F8EF94C" w14:textId="640EC7F5" w:rsidR="002C3A08" w:rsidRPr="00397701" w:rsidRDefault="002C3A08" w:rsidP="001D0578">
      <w:pPr>
        <w:numPr>
          <w:ilvl w:val="0"/>
          <w:numId w:val="10"/>
        </w:numPr>
        <w:tabs>
          <w:tab w:val="num" w:pos="720"/>
        </w:tabs>
        <w:rPr>
          <w:rFonts w:ascii="Times New Roman" w:hAnsi="Times New Roman" w:cs="Times New Roman"/>
        </w:rPr>
      </w:pPr>
      <w:r w:rsidRPr="00397701">
        <w:rPr>
          <w:rFonts w:ascii="Times New Roman" w:hAnsi="Times New Roman" w:cs="Times New Roman"/>
        </w:rPr>
        <w:t>Paragraph 8(</w:t>
      </w:r>
      <w:r w:rsidR="006F05A1" w:rsidRPr="00397701">
        <w:rPr>
          <w:rFonts w:ascii="Times New Roman" w:hAnsi="Times New Roman" w:cs="Times New Roman"/>
        </w:rPr>
        <w:t>2</w:t>
      </w:r>
      <w:r w:rsidRPr="00397701">
        <w:rPr>
          <w:rFonts w:ascii="Times New Roman" w:hAnsi="Times New Roman" w:cs="Times New Roman"/>
        </w:rPr>
        <w:t>)(</w:t>
      </w:r>
      <w:r w:rsidR="006F05A1" w:rsidRPr="00397701">
        <w:rPr>
          <w:rFonts w:ascii="Times New Roman" w:hAnsi="Times New Roman" w:cs="Times New Roman"/>
        </w:rPr>
        <w:t>b</w:t>
      </w:r>
      <w:r w:rsidRPr="00397701">
        <w:rPr>
          <w:rFonts w:ascii="Times New Roman" w:hAnsi="Times New Roman" w:cs="Times New Roman"/>
        </w:rPr>
        <w:t xml:space="preserve">) – </w:t>
      </w:r>
      <w:r w:rsidR="00892360" w:rsidRPr="00397701">
        <w:rPr>
          <w:rFonts w:ascii="Times New Roman" w:hAnsi="Times New Roman" w:cs="Times New Roman"/>
        </w:rPr>
        <w:t xml:space="preserve">Informing affected persons if the provider has a specialised DFV team or trained personnel, </w:t>
      </w:r>
      <w:r w:rsidRPr="00397701">
        <w:rPr>
          <w:rFonts w:ascii="Times New Roman" w:hAnsi="Times New Roman" w:cs="Times New Roman"/>
        </w:rPr>
        <w:t xml:space="preserve">and that the </w:t>
      </w:r>
      <w:r w:rsidR="00FA70C2" w:rsidRPr="00397701">
        <w:rPr>
          <w:rFonts w:ascii="Times New Roman" w:hAnsi="Times New Roman" w:cs="Times New Roman"/>
        </w:rPr>
        <w:t>affected person</w:t>
      </w:r>
      <w:r w:rsidR="4997108B" w:rsidRPr="00397701">
        <w:rPr>
          <w:rFonts w:ascii="Times New Roman" w:hAnsi="Times New Roman" w:cs="Times New Roman"/>
        </w:rPr>
        <w:t xml:space="preserve"> </w:t>
      </w:r>
      <w:r w:rsidRPr="00397701">
        <w:rPr>
          <w:rFonts w:ascii="Times New Roman" w:hAnsi="Times New Roman" w:cs="Times New Roman"/>
        </w:rPr>
        <w:t xml:space="preserve">may request </w:t>
      </w:r>
      <w:r w:rsidR="004963FD">
        <w:rPr>
          <w:rFonts w:ascii="Times New Roman" w:hAnsi="Times New Roman" w:cs="Times New Roman"/>
        </w:rPr>
        <w:t>to be put through to that team directly</w:t>
      </w:r>
      <w:r w:rsidR="004E39BD">
        <w:rPr>
          <w:rFonts w:ascii="Times New Roman" w:hAnsi="Times New Roman" w:cs="Times New Roman"/>
        </w:rPr>
        <w:t xml:space="preserve"> (known as </w:t>
      </w:r>
      <w:r w:rsidRPr="00397701">
        <w:rPr>
          <w:rFonts w:ascii="Times New Roman" w:hAnsi="Times New Roman" w:cs="Times New Roman"/>
        </w:rPr>
        <w:t>a warm transfer</w:t>
      </w:r>
      <w:r w:rsidR="004E39BD">
        <w:rPr>
          <w:rFonts w:ascii="Times New Roman" w:hAnsi="Times New Roman" w:cs="Times New Roman"/>
        </w:rPr>
        <w:t>)</w:t>
      </w:r>
      <w:r w:rsidRPr="00397701">
        <w:rPr>
          <w:rFonts w:ascii="Times New Roman" w:hAnsi="Times New Roman" w:cs="Times New Roman"/>
        </w:rPr>
        <w:t xml:space="preserve">. This </w:t>
      </w:r>
      <w:r w:rsidR="007C3410" w:rsidRPr="00397701">
        <w:rPr>
          <w:rFonts w:ascii="Times New Roman" w:hAnsi="Times New Roman" w:cs="Times New Roman"/>
        </w:rPr>
        <w:t xml:space="preserve">helps to </w:t>
      </w:r>
      <w:r w:rsidRPr="00397701">
        <w:rPr>
          <w:rFonts w:ascii="Times New Roman" w:hAnsi="Times New Roman" w:cs="Times New Roman"/>
        </w:rPr>
        <w:t>facilitat</w:t>
      </w:r>
      <w:r w:rsidR="007C3410" w:rsidRPr="00397701">
        <w:rPr>
          <w:rFonts w:ascii="Times New Roman" w:hAnsi="Times New Roman" w:cs="Times New Roman"/>
        </w:rPr>
        <w:t>e</w:t>
      </w:r>
      <w:r w:rsidRPr="00397701">
        <w:rPr>
          <w:rFonts w:ascii="Times New Roman" w:hAnsi="Times New Roman" w:cs="Times New Roman"/>
        </w:rPr>
        <w:t xml:space="preserve"> access to appropriately trained staff who can provide tailored and trauma-informed assistance.</w:t>
      </w:r>
    </w:p>
    <w:p w14:paraId="1AFE947B" w14:textId="61F58DF7" w:rsidR="002C3A08" w:rsidRPr="00397701" w:rsidRDefault="002C3A08" w:rsidP="001D0578">
      <w:pPr>
        <w:numPr>
          <w:ilvl w:val="0"/>
          <w:numId w:val="10"/>
        </w:numPr>
        <w:tabs>
          <w:tab w:val="num" w:pos="720"/>
        </w:tabs>
        <w:rPr>
          <w:rFonts w:ascii="Times New Roman" w:hAnsi="Times New Roman" w:cs="Times New Roman"/>
        </w:rPr>
      </w:pPr>
      <w:r w:rsidRPr="00397701">
        <w:rPr>
          <w:rFonts w:ascii="Times New Roman" w:hAnsi="Times New Roman" w:cs="Times New Roman"/>
        </w:rPr>
        <w:t>Paragraph 8(</w:t>
      </w:r>
      <w:r w:rsidR="001B73CB" w:rsidRPr="00397701">
        <w:rPr>
          <w:rFonts w:ascii="Times New Roman" w:hAnsi="Times New Roman" w:cs="Times New Roman"/>
        </w:rPr>
        <w:t>2</w:t>
      </w:r>
      <w:r w:rsidRPr="00397701">
        <w:rPr>
          <w:rFonts w:ascii="Times New Roman" w:hAnsi="Times New Roman" w:cs="Times New Roman"/>
        </w:rPr>
        <w:t>)(</w:t>
      </w:r>
      <w:r w:rsidR="006F05A1" w:rsidRPr="00397701">
        <w:rPr>
          <w:rFonts w:ascii="Times New Roman" w:hAnsi="Times New Roman" w:cs="Times New Roman"/>
        </w:rPr>
        <w:t>c</w:t>
      </w:r>
      <w:r w:rsidRPr="00397701">
        <w:rPr>
          <w:rFonts w:ascii="Times New Roman" w:hAnsi="Times New Roman" w:cs="Times New Roman"/>
        </w:rPr>
        <w:t xml:space="preserve">) – Advising the affected person </w:t>
      </w:r>
      <w:r w:rsidR="00892360" w:rsidRPr="00397701">
        <w:rPr>
          <w:rFonts w:ascii="Times New Roman" w:hAnsi="Times New Roman" w:cs="Times New Roman"/>
        </w:rPr>
        <w:t xml:space="preserve">that there are </w:t>
      </w:r>
      <w:r w:rsidRPr="00397701">
        <w:rPr>
          <w:rFonts w:ascii="Times New Roman" w:hAnsi="Times New Roman" w:cs="Times New Roman"/>
        </w:rPr>
        <w:t>support organisations listed in the provider’s DFV statement and where the statement can be accessed. This helps connect affected persons with external specialist services.</w:t>
      </w:r>
    </w:p>
    <w:p w14:paraId="554A217C" w14:textId="3AC9AC49" w:rsidR="006F05A1" w:rsidRPr="00397701" w:rsidRDefault="006670BC" w:rsidP="006F05A1">
      <w:pPr>
        <w:tabs>
          <w:tab w:val="num" w:pos="720"/>
        </w:tabs>
        <w:rPr>
          <w:rFonts w:ascii="Times New Roman" w:hAnsi="Times New Roman" w:cs="Times New Roman"/>
        </w:rPr>
      </w:pPr>
      <w:r w:rsidRPr="00397701">
        <w:rPr>
          <w:rFonts w:ascii="Times New Roman" w:hAnsi="Times New Roman" w:cs="Times New Roman"/>
        </w:rPr>
        <w:t xml:space="preserve">A provider is only required to provide this </w:t>
      </w:r>
      <w:r w:rsidR="006F05A1" w:rsidRPr="00397701">
        <w:rPr>
          <w:rFonts w:ascii="Times New Roman" w:hAnsi="Times New Roman" w:cs="Times New Roman"/>
        </w:rPr>
        <w:t xml:space="preserve">information </w:t>
      </w:r>
      <w:r w:rsidRPr="00397701">
        <w:rPr>
          <w:rFonts w:ascii="Times New Roman" w:hAnsi="Times New Roman" w:cs="Times New Roman"/>
        </w:rPr>
        <w:t xml:space="preserve">when it </w:t>
      </w:r>
      <w:r w:rsidR="006F05A1" w:rsidRPr="00397701">
        <w:rPr>
          <w:rFonts w:ascii="Times New Roman" w:hAnsi="Times New Roman" w:cs="Times New Roman"/>
        </w:rPr>
        <w:t xml:space="preserve">has not </w:t>
      </w:r>
      <w:r w:rsidR="00AB7E25" w:rsidRPr="00397701">
        <w:rPr>
          <w:rFonts w:ascii="Times New Roman" w:hAnsi="Times New Roman" w:cs="Times New Roman"/>
        </w:rPr>
        <w:t xml:space="preserve">been </w:t>
      </w:r>
      <w:r w:rsidR="006F05A1" w:rsidRPr="00397701">
        <w:rPr>
          <w:rFonts w:ascii="Times New Roman" w:hAnsi="Times New Roman" w:cs="Times New Roman"/>
        </w:rPr>
        <w:t xml:space="preserve">previously given. </w:t>
      </w:r>
    </w:p>
    <w:p w14:paraId="5AF27A97" w14:textId="65E33A4B" w:rsidR="002C3A08" w:rsidRPr="00397701" w:rsidRDefault="002C3A08" w:rsidP="007C3410">
      <w:pPr>
        <w:pStyle w:val="gmail-"/>
        <w:spacing w:before="0" w:beforeAutospacing="0" w:after="160" w:afterAutospacing="0" w:line="259" w:lineRule="auto"/>
        <w:rPr>
          <w:rFonts w:ascii="Times New Roman" w:hAnsi="Times New Roman" w:cs="Times New Roman"/>
          <w:sz w:val="22"/>
          <w:szCs w:val="22"/>
        </w:rPr>
      </w:pPr>
      <w:r w:rsidRPr="00397701">
        <w:rPr>
          <w:rStyle w:val="Strong"/>
          <w:rFonts w:ascii="Times New Roman" w:hAnsi="Times New Roman" w:cs="Times New Roman"/>
          <w:b w:val="0"/>
          <w:bCs w:val="0"/>
          <w:sz w:val="22"/>
          <w:szCs w:val="22"/>
        </w:rPr>
        <w:t>Subsection 8(</w:t>
      </w:r>
      <w:r w:rsidR="001B73CB" w:rsidRPr="00397701">
        <w:rPr>
          <w:rStyle w:val="Strong"/>
          <w:rFonts w:ascii="Times New Roman" w:hAnsi="Times New Roman" w:cs="Times New Roman"/>
          <w:b w:val="0"/>
          <w:bCs w:val="0"/>
          <w:sz w:val="22"/>
          <w:szCs w:val="22"/>
        </w:rPr>
        <w:t>3</w:t>
      </w:r>
      <w:r w:rsidRPr="00397701">
        <w:rPr>
          <w:rStyle w:val="Strong"/>
          <w:rFonts w:ascii="Times New Roman" w:hAnsi="Times New Roman" w:cs="Times New Roman"/>
          <w:b w:val="0"/>
          <w:bCs w:val="0"/>
          <w:sz w:val="22"/>
          <w:szCs w:val="22"/>
        </w:rPr>
        <w:t>)</w:t>
      </w:r>
      <w:r w:rsidRPr="00397701">
        <w:rPr>
          <w:rFonts w:ascii="Times New Roman" w:hAnsi="Times New Roman" w:cs="Times New Roman"/>
          <w:sz w:val="22"/>
          <w:szCs w:val="22"/>
        </w:rPr>
        <w:t xml:space="preserve"> provides that, after delivering the required information under subsection (</w:t>
      </w:r>
      <w:r w:rsidR="001B73CB" w:rsidRPr="00397701">
        <w:rPr>
          <w:rFonts w:ascii="Times New Roman" w:hAnsi="Times New Roman" w:cs="Times New Roman"/>
          <w:sz w:val="22"/>
          <w:szCs w:val="22"/>
        </w:rPr>
        <w:t>2</w:t>
      </w:r>
      <w:r w:rsidRPr="00397701">
        <w:rPr>
          <w:rFonts w:ascii="Times New Roman" w:hAnsi="Times New Roman" w:cs="Times New Roman"/>
          <w:sz w:val="22"/>
          <w:szCs w:val="22"/>
        </w:rPr>
        <w:t xml:space="preserve">), the provider must ask the affected person whether they wish to access further information or support. This reinforces </w:t>
      </w:r>
      <w:r w:rsidR="00D854B8" w:rsidRPr="00397701">
        <w:rPr>
          <w:rFonts w:ascii="Times New Roman" w:hAnsi="Times New Roman" w:cs="Times New Roman"/>
          <w:sz w:val="22"/>
          <w:szCs w:val="22"/>
        </w:rPr>
        <w:t>a consumer</w:t>
      </w:r>
      <w:r w:rsidR="005C3C5E" w:rsidRPr="00397701">
        <w:rPr>
          <w:rFonts w:ascii="Times New Roman" w:hAnsi="Times New Roman" w:cs="Times New Roman"/>
          <w:sz w:val="22"/>
          <w:szCs w:val="22"/>
        </w:rPr>
        <w:t>-</w:t>
      </w:r>
      <w:r w:rsidR="00D854B8" w:rsidRPr="00397701">
        <w:rPr>
          <w:rFonts w:ascii="Times New Roman" w:hAnsi="Times New Roman" w:cs="Times New Roman"/>
          <w:sz w:val="22"/>
          <w:szCs w:val="22"/>
        </w:rPr>
        <w:t>led approach</w:t>
      </w:r>
      <w:r w:rsidRPr="00397701">
        <w:rPr>
          <w:rFonts w:ascii="Times New Roman" w:hAnsi="Times New Roman" w:cs="Times New Roman"/>
          <w:sz w:val="22"/>
          <w:szCs w:val="22"/>
        </w:rPr>
        <w:t xml:space="preserve"> and allows affected persons to engage with support at a pace and level that suits their individual needs.</w:t>
      </w:r>
    </w:p>
    <w:p w14:paraId="32A88CA9" w14:textId="10941EB7" w:rsidR="002C3A08" w:rsidRPr="00397701" w:rsidRDefault="002C3A08" w:rsidP="007C3410">
      <w:pPr>
        <w:pStyle w:val="gmail-"/>
        <w:spacing w:before="0" w:beforeAutospacing="0" w:after="160" w:afterAutospacing="0" w:line="259" w:lineRule="auto"/>
        <w:rPr>
          <w:rFonts w:ascii="Times New Roman" w:hAnsi="Times New Roman" w:cs="Times New Roman"/>
          <w:sz w:val="22"/>
          <w:szCs w:val="22"/>
        </w:rPr>
      </w:pPr>
      <w:r w:rsidRPr="00397701">
        <w:rPr>
          <w:rFonts w:ascii="Times New Roman" w:hAnsi="Times New Roman" w:cs="Times New Roman"/>
          <w:sz w:val="22"/>
          <w:szCs w:val="22"/>
        </w:rPr>
        <w:t xml:space="preserve">Together, these provisions support a proactive and consistent approach to engagement with affected persons, </w:t>
      </w:r>
      <w:r w:rsidR="003A6C68" w:rsidRPr="00397701">
        <w:rPr>
          <w:rFonts w:ascii="Times New Roman" w:hAnsi="Times New Roman" w:cs="Times New Roman"/>
          <w:sz w:val="22"/>
          <w:szCs w:val="22"/>
        </w:rPr>
        <w:t xml:space="preserve">and </w:t>
      </w:r>
      <w:r w:rsidR="00882F85" w:rsidRPr="00397701">
        <w:rPr>
          <w:rFonts w:ascii="Times New Roman" w:hAnsi="Times New Roman" w:cs="Times New Roman"/>
          <w:sz w:val="22"/>
          <w:szCs w:val="22"/>
        </w:rPr>
        <w:t>require</w:t>
      </w:r>
      <w:r w:rsidRPr="00397701">
        <w:rPr>
          <w:rFonts w:ascii="Times New Roman" w:hAnsi="Times New Roman" w:cs="Times New Roman"/>
          <w:sz w:val="22"/>
          <w:szCs w:val="22"/>
        </w:rPr>
        <w:t xml:space="preserve"> all providers</w:t>
      </w:r>
      <w:r w:rsidR="006B23D4" w:rsidRPr="00397701">
        <w:rPr>
          <w:rFonts w:ascii="Times New Roman" w:hAnsi="Times New Roman" w:cs="Times New Roman"/>
          <w:sz w:val="22"/>
          <w:szCs w:val="22"/>
        </w:rPr>
        <w:t xml:space="preserve"> to</w:t>
      </w:r>
      <w:r w:rsidRPr="00397701">
        <w:rPr>
          <w:rFonts w:ascii="Times New Roman" w:hAnsi="Times New Roman" w:cs="Times New Roman"/>
          <w:sz w:val="22"/>
          <w:szCs w:val="22"/>
        </w:rPr>
        <w:t xml:space="preserve"> offer timely and appropriate information to support consumer safety, choice, and access to help.</w:t>
      </w:r>
    </w:p>
    <w:p w14:paraId="4F636129" w14:textId="0EA60FE1" w:rsidR="007E438A" w:rsidRPr="00397701" w:rsidRDefault="007E438A" w:rsidP="007E438A">
      <w:pPr>
        <w:rPr>
          <w:rFonts w:ascii="Times New Roman" w:hAnsi="Times New Roman" w:cs="Times New Roman"/>
          <w:b/>
        </w:rPr>
      </w:pPr>
      <w:r w:rsidRPr="00397701">
        <w:rPr>
          <w:rFonts w:ascii="Times New Roman" w:hAnsi="Times New Roman" w:cs="Times New Roman"/>
          <w:b/>
        </w:rPr>
        <w:t xml:space="preserve">Section </w:t>
      </w:r>
      <w:r w:rsidR="001D5C13" w:rsidRPr="00397701">
        <w:rPr>
          <w:rFonts w:ascii="Times New Roman" w:hAnsi="Times New Roman" w:cs="Times New Roman"/>
          <w:b/>
        </w:rPr>
        <w:t>9</w:t>
      </w:r>
      <w:r w:rsidRPr="00397701">
        <w:rPr>
          <w:rFonts w:ascii="Times New Roman" w:hAnsi="Times New Roman" w:cs="Times New Roman"/>
          <w:b/>
        </w:rPr>
        <w:tab/>
      </w:r>
      <w:r w:rsidR="00B3209A" w:rsidRPr="00397701">
        <w:rPr>
          <w:rFonts w:ascii="Times New Roman" w:hAnsi="Times New Roman" w:cs="Times New Roman"/>
          <w:b/>
        </w:rPr>
        <w:t>Application of sections 10</w:t>
      </w:r>
      <w:r w:rsidR="00F26E7F" w:rsidRPr="00397701">
        <w:rPr>
          <w:rFonts w:ascii="Times New Roman" w:hAnsi="Times New Roman" w:cs="Times New Roman"/>
          <w:b/>
        </w:rPr>
        <w:t xml:space="preserve"> and</w:t>
      </w:r>
      <w:r w:rsidR="001D5C13" w:rsidRPr="00397701">
        <w:rPr>
          <w:rFonts w:ascii="Times New Roman" w:hAnsi="Times New Roman" w:cs="Times New Roman"/>
          <w:b/>
        </w:rPr>
        <w:t xml:space="preserve"> 11</w:t>
      </w:r>
      <w:r w:rsidR="00B3209A" w:rsidRPr="00397701">
        <w:rPr>
          <w:rFonts w:ascii="Times New Roman" w:hAnsi="Times New Roman" w:cs="Times New Roman"/>
          <w:b/>
        </w:rPr>
        <w:t xml:space="preserve"> </w:t>
      </w:r>
    </w:p>
    <w:p w14:paraId="7DD379B7" w14:textId="1D6B0AC1" w:rsidR="00B3209A" w:rsidRPr="00397701" w:rsidRDefault="00096EA2" w:rsidP="007E438A">
      <w:pPr>
        <w:rPr>
          <w:rFonts w:ascii="Times New Roman" w:hAnsi="Times New Roman" w:cs="Times New Roman"/>
          <w:bCs/>
        </w:rPr>
      </w:pPr>
      <w:r w:rsidRPr="00397701">
        <w:rPr>
          <w:rFonts w:ascii="Times New Roman" w:hAnsi="Times New Roman" w:cs="Times New Roman"/>
          <w:bCs/>
        </w:rPr>
        <w:t xml:space="preserve">This </w:t>
      </w:r>
      <w:r w:rsidR="00B81339" w:rsidRPr="00397701">
        <w:rPr>
          <w:rFonts w:ascii="Times New Roman" w:hAnsi="Times New Roman" w:cs="Times New Roman"/>
          <w:bCs/>
        </w:rPr>
        <w:t xml:space="preserve">section provides that sections 10 and 11 of the Standard </w:t>
      </w:r>
      <w:r w:rsidR="00B74250" w:rsidRPr="00397701">
        <w:rPr>
          <w:rFonts w:ascii="Times New Roman" w:hAnsi="Times New Roman" w:cs="Times New Roman"/>
          <w:bCs/>
        </w:rPr>
        <w:t xml:space="preserve">will apply </w:t>
      </w:r>
      <w:r w:rsidR="001D5C13" w:rsidRPr="00397701">
        <w:rPr>
          <w:rFonts w:ascii="Times New Roman" w:hAnsi="Times New Roman" w:cs="Times New Roman"/>
        </w:rPr>
        <w:t>when the affected person has indicated they want to receive more information</w:t>
      </w:r>
      <w:r w:rsidR="00AB57A3" w:rsidRPr="00397701">
        <w:rPr>
          <w:rFonts w:ascii="Times New Roman" w:hAnsi="Times New Roman" w:cs="Times New Roman"/>
        </w:rPr>
        <w:t xml:space="preserve"> under subsection 8(3)</w:t>
      </w:r>
      <w:r w:rsidR="001D5C13" w:rsidRPr="00397701">
        <w:rPr>
          <w:rFonts w:ascii="Times New Roman" w:hAnsi="Times New Roman" w:cs="Times New Roman"/>
        </w:rPr>
        <w:t xml:space="preserve"> and the provider has received </w:t>
      </w:r>
      <w:r w:rsidR="00AB57A3" w:rsidRPr="00397701">
        <w:rPr>
          <w:rFonts w:ascii="Times New Roman" w:hAnsi="Times New Roman" w:cs="Times New Roman"/>
        </w:rPr>
        <w:t xml:space="preserve">confirmation </w:t>
      </w:r>
      <w:r w:rsidR="001D5C13" w:rsidRPr="00397701">
        <w:rPr>
          <w:rFonts w:ascii="Times New Roman" w:hAnsi="Times New Roman" w:cs="Times New Roman"/>
        </w:rPr>
        <w:t>that it is safe for the</w:t>
      </w:r>
      <w:r w:rsidR="00B3209A" w:rsidRPr="00397701">
        <w:rPr>
          <w:rFonts w:ascii="Times New Roman" w:hAnsi="Times New Roman" w:cs="Times New Roman"/>
        </w:rPr>
        <w:t xml:space="preserve"> affected person</w:t>
      </w:r>
      <w:r w:rsidR="00C22EB2" w:rsidRPr="00397701">
        <w:rPr>
          <w:rFonts w:ascii="Times New Roman" w:hAnsi="Times New Roman" w:cs="Times New Roman"/>
        </w:rPr>
        <w:t xml:space="preserve"> to communicate</w:t>
      </w:r>
      <w:r w:rsidR="00AB57A3" w:rsidRPr="00397701">
        <w:rPr>
          <w:rFonts w:ascii="Times New Roman" w:hAnsi="Times New Roman" w:cs="Times New Roman"/>
        </w:rPr>
        <w:t xml:space="preserve"> under subsection 8(1)</w:t>
      </w:r>
      <w:r w:rsidR="001D5C13" w:rsidRPr="00397701">
        <w:rPr>
          <w:rFonts w:ascii="Times New Roman" w:hAnsi="Times New Roman" w:cs="Times New Roman"/>
        </w:rPr>
        <w:t xml:space="preserve">. </w:t>
      </w:r>
      <w:r w:rsidR="00DF7827" w:rsidRPr="00397701">
        <w:rPr>
          <w:rFonts w:ascii="Times New Roman" w:hAnsi="Times New Roman" w:cs="Times New Roman"/>
        </w:rPr>
        <w:t xml:space="preserve">Subsection </w:t>
      </w:r>
      <w:r w:rsidR="00DF7827" w:rsidRPr="00397701">
        <w:rPr>
          <w:rFonts w:ascii="Times New Roman" w:hAnsi="Times New Roman" w:cs="Times New Roman"/>
        </w:rPr>
        <w:lastRenderedPageBreak/>
        <w:t>9(2) confirms that a provider does not need</w:t>
      </w:r>
      <w:r w:rsidR="001704EA" w:rsidRPr="00397701">
        <w:rPr>
          <w:rFonts w:ascii="Times New Roman" w:hAnsi="Times New Roman" w:cs="Times New Roman"/>
        </w:rPr>
        <w:t xml:space="preserve"> to comply with subsection 10(1) and 11(1) </w:t>
      </w:r>
      <w:r w:rsidR="004F7CD3" w:rsidRPr="00397701">
        <w:rPr>
          <w:rFonts w:ascii="Times New Roman" w:hAnsi="Times New Roman" w:cs="Times New Roman"/>
        </w:rPr>
        <w:t xml:space="preserve">more than </w:t>
      </w:r>
      <w:r w:rsidR="001704EA" w:rsidRPr="00397701">
        <w:rPr>
          <w:rFonts w:ascii="Times New Roman" w:hAnsi="Times New Roman" w:cs="Times New Roman"/>
        </w:rPr>
        <w:t xml:space="preserve">once.  </w:t>
      </w:r>
      <w:r w:rsidR="009E12C6" w:rsidRPr="00397701">
        <w:rPr>
          <w:rFonts w:ascii="Times New Roman" w:hAnsi="Times New Roman" w:cs="Times New Roman"/>
        </w:rPr>
        <w:t xml:space="preserve">This is intended to help affected persons receive the information they want at the first opportunity it is safe for them to do so without placing an obligation on providers to provide such information </w:t>
      </w:r>
      <w:r w:rsidR="00731945" w:rsidRPr="00397701">
        <w:rPr>
          <w:rFonts w:ascii="Times New Roman" w:hAnsi="Times New Roman" w:cs="Times New Roman"/>
        </w:rPr>
        <w:t xml:space="preserve">during </w:t>
      </w:r>
      <w:r w:rsidR="009E12C6" w:rsidRPr="00397701">
        <w:rPr>
          <w:rFonts w:ascii="Times New Roman" w:hAnsi="Times New Roman" w:cs="Times New Roman"/>
        </w:rPr>
        <w:t>each interaction</w:t>
      </w:r>
      <w:r w:rsidR="00B3209A" w:rsidRPr="00397701">
        <w:rPr>
          <w:rFonts w:ascii="Times New Roman" w:hAnsi="Times New Roman" w:cs="Times New Roman"/>
        </w:rPr>
        <w:t>.</w:t>
      </w:r>
    </w:p>
    <w:p w14:paraId="272024DD" w14:textId="54C722B3" w:rsidR="00096EA2" w:rsidRPr="00397701" w:rsidRDefault="00096EA2" w:rsidP="00096EA2">
      <w:pPr>
        <w:rPr>
          <w:rFonts w:ascii="Times New Roman" w:hAnsi="Times New Roman" w:cs="Times New Roman"/>
          <w:b/>
        </w:rPr>
      </w:pPr>
      <w:r w:rsidRPr="00397701">
        <w:rPr>
          <w:rFonts w:ascii="Times New Roman" w:hAnsi="Times New Roman" w:cs="Times New Roman"/>
          <w:b/>
        </w:rPr>
        <w:t xml:space="preserve">Section </w:t>
      </w:r>
      <w:r w:rsidR="009E12C6" w:rsidRPr="00397701">
        <w:rPr>
          <w:rFonts w:ascii="Times New Roman" w:hAnsi="Times New Roman" w:cs="Times New Roman"/>
          <w:b/>
        </w:rPr>
        <w:t>10</w:t>
      </w:r>
      <w:r w:rsidRPr="00397701">
        <w:rPr>
          <w:rFonts w:ascii="Times New Roman" w:hAnsi="Times New Roman" w:cs="Times New Roman"/>
          <w:b/>
        </w:rPr>
        <w:tab/>
        <w:t>Requirement to agree on a preferred communication method</w:t>
      </w:r>
    </w:p>
    <w:p w14:paraId="534EA00C" w14:textId="2D3D9568" w:rsidR="007C3410" w:rsidRPr="00397701" w:rsidRDefault="007C3410" w:rsidP="007C3410">
      <w:pPr>
        <w:rPr>
          <w:rFonts w:ascii="Times New Roman" w:hAnsi="Times New Roman" w:cs="Times New Roman"/>
        </w:rPr>
      </w:pPr>
      <w:r w:rsidRPr="00397701">
        <w:rPr>
          <w:rFonts w:ascii="Times New Roman" w:hAnsi="Times New Roman" w:cs="Times New Roman"/>
        </w:rPr>
        <w:t xml:space="preserve">Section </w:t>
      </w:r>
      <w:r w:rsidR="009E12C6" w:rsidRPr="00397701">
        <w:rPr>
          <w:rFonts w:ascii="Times New Roman" w:hAnsi="Times New Roman" w:cs="Times New Roman"/>
        </w:rPr>
        <w:t>10</w:t>
      </w:r>
      <w:r w:rsidRPr="00397701">
        <w:rPr>
          <w:rFonts w:ascii="Times New Roman" w:hAnsi="Times New Roman" w:cs="Times New Roman"/>
        </w:rPr>
        <w:t xml:space="preserve"> sets out the requirement for providers to establish a safe and appropriate method of communication with affected persons </w:t>
      </w:r>
      <w:r w:rsidR="006337F7">
        <w:rPr>
          <w:rFonts w:ascii="Times New Roman" w:hAnsi="Times New Roman" w:cs="Times New Roman"/>
        </w:rPr>
        <w:t xml:space="preserve">and those </w:t>
      </w:r>
      <w:r w:rsidRPr="00397701">
        <w:rPr>
          <w:rFonts w:ascii="Times New Roman" w:hAnsi="Times New Roman" w:cs="Times New Roman"/>
        </w:rPr>
        <w:t xml:space="preserve">who have disclosed </w:t>
      </w:r>
      <w:r w:rsidR="00AF1E40">
        <w:rPr>
          <w:rFonts w:ascii="Times New Roman" w:hAnsi="Times New Roman" w:cs="Times New Roman"/>
        </w:rPr>
        <w:t>non-domestic</w:t>
      </w:r>
      <w:r w:rsidR="008757CC">
        <w:rPr>
          <w:rFonts w:ascii="Times New Roman" w:hAnsi="Times New Roman" w:cs="Times New Roman"/>
        </w:rPr>
        <w:t xml:space="preserve"> </w:t>
      </w:r>
      <w:r w:rsidRPr="00397701">
        <w:rPr>
          <w:rFonts w:ascii="Times New Roman" w:hAnsi="Times New Roman" w:cs="Times New Roman"/>
        </w:rPr>
        <w:t>sexual violence, and who have indicated they wish to receive further support from the provider.</w:t>
      </w:r>
    </w:p>
    <w:p w14:paraId="0A5ECC0C" w14:textId="2AB2E55C" w:rsidR="007C3410" w:rsidRPr="00397701" w:rsidRDefault="007C3410" w:rsidP="007C3410">
      <w:pPr>
        <w:rPr>
          <w:rFonts w:ascii="Times New Roman" w:hAnsi="Times New Roman" w:cs="Times New Roman"/>
        </w:rPr>
      </w:pPr>
      <w:r w:rsidRPr="00397701">
        <w:rPr>
          <w:rFonts w:ascii="Times New Roman" w:hAnsi="Times New Roman" w:cs="Times New Roman"/>
        </w:rPr>
        <w:t xml:space="preserve">Subsection </w:t>
      </w:r>
      <w:r w:rsidR="009E12C6" w:rsidRPr="00397701">
        <w:rPr>
          <w:rFonts w:ascii="Times New Roman" w:hAnsi="Times New Roman" w:cs="Times New Roman"/>
        </w:rPr>
        <w:t>10</w:t>
      </w:r>
      <w:r w:rsidRPr="00397701">
        <w:rPr>
          <w:rFonts w:ascii="Times New Roman" w:hAnsi="Times New Roman" w:cs="Times New Roman"/>
        </w:rPr>
        <w:t xml:space="preserve">(1) requires that, </w:t>
      </w:r>
      <w:r w:rsidR="009E12C6" w:rsidRPr="00397701">
        <w:rPr>
          <w:rFonts w:ascii="Times New Roman" w:hAnsi="Times New Roman" w:cs="Times New Roman"/>
        </w:rPr>
        <w:t>where</w:t>
      </w:r>
      <w:r w:rsidRPr="00397701">
        <w:rPr>
          <w:rFonts w:ascii="Times New Roman" w:hAnsi="Times New Roman" w:cs="Times New Roman"/>
        </w:rPr>
        <w:t xml:space="preserve"> an affected person has expressed interest in accessing further support,</w:t>
      </w:r>
      <w:r w:rsidR="00904C35" w:rsidRPr="00397701">
        <w:rPr>
          <w:rFonts w:ascii="Times New Roman" w:hAnsi="Times New Roman" w:cs="Times New Roman"/>
        </w:rPr>
        <w:t xml:space="preserve"> and the provider has received</w:t>
      </w:r>
      <w:r w:rsidRPr="00397701">
        <w:rPr>
          <w:rFonts w:ascii="Times New Roman" w:hAnsi="Times New Roman" w:cs="Times New Roman"/>
        </w:rPr>
        <w:t xml:space="preserve"> </w:t>
      </w:r>
      <w:r w:rsidR="009E12C6" w:rsidRPr="00397701">
        <w:rPr>
          <w:rFonts w:ascii="Times New Roman" w:hAnsi="Times New Roman" w:cs="Times New Roman"/>
        </w:rPr>
        <w:t>confirm</w:t>
      </w:r>
      <w:r w:rsidR="00904C35" w:rsidRPr="00397701">
        <w:rPr>
          <w:rFonts w:ascii="Times New Roman" w:hAnsi="Times New Roman" w:cs="Times New Roman"/>
        </w:rPr>
        <w:t xml:space="preserve">ation that </w:t>
      </w:r>
      <w:r w:rsidRPr="00397701">
        <w:rPr>
          <w:rFonts w:ascii="Times New Roman" w:hAnsi="Times New Roman" w:cs="Times New Roman"/>
        </w:rPr>
        <w:t xml:space="preserve">it is safe to proceed with the conversation, the provider must </w:t>
      </w:r>
      <w:r w:rsidR="00A03F82" w:rsidRPr="00397701">
        <w:rPr>
          <w:rFonts w:ascii="Times New Roman" w:hAnsi="Times New Roman" w:cs="Times New Roman"/>
        </w:rPr>
        <w:t>advise</w:t>
      </w:r>
      <w:r w:rsidRPr="00397701">
        <w:rPr>
          <w:rFonts w:ascii="Times New Roman" w:hAnsi="Times New Roman" w:cs="Times New Roman"/>
        </w:rPr>
        <w:t xml:space="preserve"> the affected person</w:t>
      </w:r>
      <w:r w:rsidR="00A03F82" w:rsidRPr="00397701">
        <w:rPr>
          <w:rFonts w:ascii="Times New Roman" w:hAnsi="Times New Roman" w:cs="Times New Roman"/>
        </w:rPr>
        <w:t xml:space="preserve"> of the communication methods offered by the provider and ask </w:t>
      </w:r>
      <w:r w:rsidR="00882F85" w:rsidRPr="00397701">
        <w:rPr>
          <w:rFonts w:ascii="Times New Roman" w:hAnsi="Times New Roman" w:cs="Times New Roman"/>
        </w:rPr>
        <w:t>whether they have a preferred</w:t>
      </w:r>
      <w:r w:rsidRPr="00397701">
        <w:rPr>
          <w:rFonts w:ascii="Times New Roman" w:hAnsi="Times New Roman" w:cs="Times New Roman"/>
        </w:rPr>
        <w:t>:</w:t>
      </w:r>
    </w:p>
    <w:p w14:paraId="71C69A1C" w14:textId="2F4CA397" w:rsidR="007C3410" w:rsidRPr="00397701" w:rsidRDefault="007C3410" w:rsidP="001D0578">
      <w:pPr>
        <w:numPr>
          <w:ilvl w:val="0"/>
          <w:numId w:val="11"/>
        </w:numPr>
        <w:tabs>
          <w:tab w:val="num" w:pos="720"/>
        </w:tabs>
        <w:rPr>
          <w:rFonts w:ascii="Times New Roman" w:hAnsi="Times New Roman" w:cs="Times New Roman"/>
        </w:rPr>
      </w:pPr>
      <w:r w:rsidRPr="00397701">
        <w:rPr>
          <w:rFonts w:ascii="Times New Roman" w:hAnsi="Times New Roman" w:cs="Times New Roman"/>
        </w:rPr>
        <w:t>method of communication (for example, phone, email, SMS); and</w:t>
      </w:r>
    </w:p>
    <w:p w14:paraId="6B131563" w14:textId="0B87FAEE" w:rsidR="007C3410" w:rsidRPr="00397701" w:rsidRDefault="007C3410" w:rsidP="001D0578">
      <w:pPr>
        <w:numPr>
          <w:ilvl w:val="0"/>
          <w:numId w:val="11"/>
        </w:numPr>
        <w:tabs>
          <w:tab w:val="num" w:pos="720"/>
        </w:tabs>
        <w:rPr>
          <w:rFonts w:ascii="Times New Roman" w:hAnsi="Times New Roman" w:cs="Times New Roman"/>
        </w:rPr>
      </w:pPr>
      <w:r w:rsidRPr="00397701">
        <w:rPr>
          <w:rFonts w:ascii="Times New Roman" w:hAnsi="Times New Roman" w:cs="Times New Roman"/>
        </w:rPr>
        <w:t>time of day for receiving communications from the provider using that method.</w:t>
      </w:r>
    </w:p>
    <w:p w14:paraId="2F9A595F" w14:textId="0E6A8F61" w:rsidR="007E438A" w:rsidRPr="00397701" w:rsidRDefault="007C3410" w:rsidP="007C3410">
      <w:pPr>
        <w:rPr>
          <w:rFonts w:ascii="Times New Roman" w:hAnsi="Times New Roman" w:cs="Times New Roman"/>
        </w:rPr>
      </w:pPr>
      <w:r w:rsidRPr="00397701">
        <w:rPr>
          <w:rFonts w:ascii="Times New Roman" w:hAnsi="Times New Roman" w:cs="Times New Roman"/>
        </w:rPr>
        <w:t xml:space="preserve">This provision is designed to respect the affected person’s safety, privacy and communication needs, </w:t>
      </w:r>
      <w:r w:rsidR="00882F85" w:rsidRPr="00397701">
        <w:rPr>
          <w:rFonts w:ascii="Times New Roman" w:hAnsi="Times New Roman" w:cs="Times New Roman"/>
        </w:rPr>
        <w:t>so</w:t>
      </w:r>
      <w:r w:rsidRPr="00397701">
        <w:rPr>
          <w:rFonts w:ascii="Times New Roman" w:hAnsi="Times New Roman" w:cs="Times New Roman"/>
        </w:rPr>
        <w:t xml:space="preserve"> that </w:t>
      </w:r>
      <w:r w:rsidR="00AB7E25" w:rsidRPr="00397701">
        <w:rPr>
          <w:rFonts w:ascii="Times New Roman" w:hAnsi="Times New Roman" w:cs="Times New Roman"/>
        </w:rPr>
        <w:t xml:space="preserve">the </w:t>
      </w:r>
      <w:r w:rsidRPr="00397701">
        <w:rPr>
          <w:rFonts w:ascii="Times New Roman" w:hAnsi="Times New Roman" w:cs="Times New Roman"/>
        </w:rPr>
        <w:t xml:space="preserve">provider contact does not inadvertently place the person at </w:t>
      </w:r>
      <w:r w:rsidR="006E05B4" w:rsidRPr="00397701">
        <w:rPr>
          <w:rFonts w:ascii="Times New Roman" w:hAnsi="Times New Roman" w:cs="Times New Roman"/>
        </w:rPr>
        <w:t xml:space="preserve">increased </w:t>
      </w:r>
      <w:r w:rsidRPr="00397701">
        <w:rPr>
          <w:rFonts w:ascii="Times New Roman" w:hAnsi="Times New Roman" w:cs="Times New Roman"/>
        </w:rPr>
        <w:t>risk.</w:t>
      </w:r>
    </w:p>
    <w:p w14:paraId="59648BD5" w14:textId="2E885166" w:rsidR="007C3410" w:rsidRPr="00397701" w:rsidRDefault="007C3410" w:rsidP="007C3410">
      <w:pPr>
        <w:rPr>
          <w:rFonts w:ascii="Times New Roman" w:hAnsi="Times New Roman" w:cs="Times New Roman"/>
        </w:rPr>
      </w:pPr>
      <w:r w:rsidRPr="00397701">
        <w:rPr>
          <w:rFonts w:ascii="Times New Roman" w:hAnsi="Times New Roman" w:cs="Times New Roman"/>
        </w:rPr>
        <w:t xml:space="preserve">Subsection </w:t>
      </w:r>
      <w:r w:rsidR="009E12C6" w:rsidRPr="00397701">
        <w:rPr>
          <w:rFonts w:ascii="Times New Roman" w:hAnsi="Times New Roman" w:cs="Times New Roman"/>
        </w:rPr>
        <w:t>10</w:t>
      </w:r>
      <w:r w:rsidRPr="00397701">
        <w:rPr>
          <w:rFonts w:ascii="Times New Roman" w:hAnsi="Times New Roman" w:cs="Times New Roman"/>
        </w:rPr>
        <w:t xml:space="preserve">(2) provides that the </w:t>
      </w:r>
      <w:r w:rsidR="00CD7831" w:rsidRPr="00397701">
        <w:rPr>
          <w:rFonts w:ascii="Times New Roman" w:hAnsi="Times New Roman" w:cs="Times New Roman"/>
        </w:rPr>
        <w:t xml:space="preserve">preferred </w:t>
      </w:r>
      <w:r w:rsidRPr="00397701">
        <w:rPr>
          <w:rFonts w:ascii="Times New Roman" w:hAnsi="Times New Roman" w:cs="Times New Roman"/>
        </w:rPr>
        <w:t xml:space="preserve">communication method and time will constitute the “agreed communication method” for future interactions related to domestic and family violence. This agreement will remain in place unless </w:t>
      </w:r>
      <w:r w:rsidR="00EA5DC9" w:rsidRPr="00397701">
        <w:rPr>
          <w:rFonts w:ascii="Times New Roman" w:hAnsi="Times New Roman" w:cs="Times New Roman"/>
        </w:rPr>
        <w:t xml:space="preserve">and </w:t>
      </w:r>
      <w:r w:rsidRPr="00397701">
        <w:rPr>
          <w:rFonts w:ascii="Times New Roman" w:hAnsi="Times New Roman" w:cs="Times New Roman"/>
        </w:rPr>
        <w:t xml:space="preserve">until the affected person </w:t>
      </w:r>
      <w:r w:rsidR="00147909" w:rsidRPr="00397701">
        <w:rPr>
          <w:rFonts w:ascii="Times New Roman" w:hAnsi="Times New Roman" w:cs="Times New Roman"/>
        </w:rPr>
        <w:t>requests a different communication method</w:t>
      </w:r>
      <w:r w:rsidRPr="00397701">
        <w:rPr>
          <w:rFonts w:ascii="Times New Roman" w:hAnsi="Times New Roman" w:cs="Times New Roman"/>
        </w:rPr>
        <w:t xml:space="preserve">. This recognises that affected persons may need to revise their preferences over time as their personal circumstances </w:t>
      </w:r>
      <w:r w:rsidR="00882F85" w:rsidRPr="00397701">
        <w:rPr>
          <w:rFonts w:ascii="Times New Roman" w:hAnsi="Times New Roman" w:cs="Times New Roman"/>
        </w:rPr>
        <w:t>change</w:t>
      </w:r>
      <w:r w:rsidRPr="00397701">
        <w:rPr>
          <w:rFonts w:ascii="Times New Roman" w:hAnsi="Times New Roman" w:cs="Times New Roman"/>
        </w:rPr>
        <w:t>.</w:t>
      </w:r>
      <w:r w:rsidR="006C7C1A" w:rsidRPr="00397701">
        <w:rPr>
          <w:rFonts w:ascii="Times New Roman" w:hAnsi="Times New Roman" w:cs="Times New Roman"/>
        </w:rPr>
        <w:t xml:space="preserve"> </w:t>
      </w:r>
    </w:p>
    <w:p w14:paraId="0155595A" w14:textId="44A9CE17" w:rsidR="007C3410" w:rsidRPr="00397701" w:rsidRDefault="007C3410" w:rsidP="007C3410">
      <w:pPr>
        <w:rPr>
          <w:rFonts w:ascii="Times New Roman" w:hAnsi="Times New Roman" w:cs="Times New Roman"/>
        </w:rPr>
      </w:pPr>
      <w:r w:rsidRPr="00397701">
        <w:rPr>
          <w:rFonts w:ascii="Times New Roman" w:hAnsi="Times New Roman" w:cs="Times New Roman"/>
        </w:rPr>
        <w:t xml:space="preserve">Subsection </w:t>
      </w:r>
      <w:r w:rsidR="009E12C6" w:rsidRPr="00397701">
        <w:rPr>
          <w:rFonts w:ascii="Times New Roman" w:hAnsi="Times New Roman" w:cs="Times New Roman"/>
        </w:rPr>
        <w:t>10</w:t>
      </w:r>
      <w:r w:rsidRPr="00397701">
        <w:rPr>
          <w:rFonts w:ascii="Times New Roman" w:hAnsi="Times New Roman" w:cs="Times New Roman"/>
        </w:rPr>
        <w:t xml:space="preserve">(3) </w:t>
      </w:r>
      <w:r w:rsidR="00236D53" w:rsidRPr="00397701">
        <w:rPr>
          <w:rFonts w:ascii="Times New Roman" w:hAnsi="Times New Roman" w:cs="Times New Roman"/>
        </w:rPr>
        <w:t xml:space="preserve">requires that a </w:t>
      </w:r>
      <w:r w:rsidRPr="00397701">
        <w:rPr>
          <w:rFonts w:ascii="Times New Roman" w:hAnsi="Times New Roman" w:cs="Times New Roman"/>
        </w:rPr>
        <w:t xml:space="preserve">provider </w:t>
      </w:r>
      <w:r w:rsidR="00236D53" w:rsidRPr="00397701">
        <w:rPr>
          <w:rFonts w:ascii="Times New Roman" w:hAnsi="Times New Roman" w:cs="Times New Roman"/>
        </w:rPr>
        <w:t xml:space="preserve">must </w:t>
      </w:r>
      <w:r w:rsidRPr="00397701">
        <w:rPr>
          <w:rFonts w:ascii="Times New Roman" w:hAnsi="Times New Roman" w:cs="Times New Roman"/>
        </w:rPr>
        <w:t>only use the agreed communication method when contacting an affected person about matters related to domestic and family violence. Exceptions to this requirement are limited to circumstances where:</w:t>
      </w:r>
    </w:p>
    <w:p w14:paraId="4251858C" w14:textId="77777777" w:rsidR="007C3410" w:rsidRPr="00397701" w:rsidRDefault="007C3410" w:rsidP="001D0578">
      <w:pPr>
        <w:numPr>
          <w:ilvl w:val="0"/>
          <w:numId w:val="12"/>
        </w:numPr>
        <w:tabs>
          <w:tab w:val="num" w:pos="720"/>
        </w:tabs>
        <w:rPr>
          <w:rFonts w:ascii="Times New Roman" w:hAnsi="Times New Roman" w:cs="Times New Roman"/>
        </w:rPr>
      </w:pPr>
      <w:r w:rsidRPr="00397701">
        <w:rPr>
          <w:rFonts w:ascii="Times New Roman" w:hAnsi="Times New Roman" w:cs="Times New Roman"/>
        </w:rPr>
        <w:t>the provider is legally required to use a different communication method (e.g., under a court order or statutory obligation); or</w:t>
      </w:r>
    </w:p>
    <w:p w14:paraId="4C7D1A03" w14:textId="2F618AC8" w:rsidR="007C3410" w:rsidRPr="00397701" w:rsidRDefault="007C3410" w:rsidP="001D0578">
      <w:pPr>
        <w:numPr>
          <w:ilvl w:val="0"/>
          <w:numId w:val="12"/>
        </w:numPr>
        <w:tabs>
          <w:tab w:val="num" w:pos="720"/>
        </w:tabs>
        <w:rPr>
          <w:rFonts w:ascii="Times New Roman" w:hAnsi="Times New Roman" w:cs="Times New Roman"/>
        </w:rPr>
      </w:pPr>
      <w:r w:rsidRPr="00397701">
        <w:rPr>
          <w:rFonts w:ascii="Times New Roman" w:hAnsi="Times New Roman" w:cs="Times New Roman"/>
        </w:rPr>
        <w:t xml:space="preserve">the affected person initiates contact through a different method and </w:t>
      </w:r>
      <w:r w:rsidR="00141843" w:rsidRPr="00397701">
        <w:rPr>
          <w:rFonts w:ascii="Times New Roman" w:hAnsi="Times New Roman" w:cs="Times New Roman"/>
        </w:rPr>
        <w:t xml:space="preserve">confirms </w:t>
      </w:r>
      <w:r w:rsidRPr="00397701">
        <w:rPr>
          <w:rFonts w:ascii="Times New Roman" w:hAnsi="Times New Roman" w:cs="Times New Roman"/>
        </w:rPr>
        <w:t xml:space="preserve">that </w:t>
      </w:r>
      <w:r w:rsidR="00EB4644" w:rsidRPr="00397701">
        <w:rPr>
          <w:rFonts w:ascii="Times New Roman" w:hAnsi="Times New Roman" w:cs="Times New Roman"/>
        </w:rPr>
        <w:t xml:space="preserve">the provider can use that different communication </w:t>
      </w:r>
      <w:r w:rsidRPr="00397701">
        <w:rPr>
          <w:rFonts w:ascii="Times New Roman" w:hAnsi="Times New Roman" w:cs="Times New Roman"/>
        </w:rPr>
        <w:t xml:space="preserve">method </w:t>
      </w:r>
      <w:r w:rsidR="00AB7E25" w:rsidRPr="00397701">
        <w:rPr>
          <w:rFonts w:ascii="Times New Roman" w:hAnsi="Times New Roman" w:cs="Times New Roman"/>
        </w:rPr>
        <w:t xml:space="preserve">for the purposes of that </w:t>
      </w:r>
      <w:r w:rsidR="009731A9" w:rsidRPr="00397701">
        <w:rPr>
          <w:rFonts w:ascii="Times New Roman" w:hAnsi="Times New Roman" w:cs="Times New Roman"/>
        </w:rPr>
        <w:t>interaction</w:t>
      </w:r>
      <w:r w:rsidR="001A0489" w:rsidRPr="00397701">
        <w:rPr>
          <w:rFonts w:ascii="Times New Roman" w:hAnsi="Times New Roman" w:cs="Times New Roman"/>
        </w:rPr>
        <w:t>.</w:t>
      </w:r>
      <w:r w:rsidR="00AB7E25" w:rsidRPr="00397701">
        <w:rPr>
          <w:rFonts w:ascii="Times New Roman" w:hAnsi="Times New Roman" w:cs="Times New Roman"/>
        </w:rPr>
        <w:t xml:space="preserve"> </w:t>
      </w:r>
      <w:r w:rsidR="00A03F82" w:rsidRPr="00397701">
        <w:rPr>
          <w:rFonts w:ascii="Times New Roman" w:hAnsi="Times New Roman" w:cs="Times New Roman"/>
        </w:rPr>
        <w:t xml:space="preserve"> </w:t>
      </w:r>
    </w:p>
    <w:p w14:paraId="69ACF7B4" w14:textId="544F3E6D" w:rsidR="007C3410" w:rsidRPr="00397701" w:rsidRDefault="007C3410" w:rsidP="007C3410">
      <w:pPr>
        <w:rPr>
          <w:rFonts w:ascii="Times New Roman" w:hAnsi="Times New Roman" w:cs="Times New Roman"/>
        </w:rPr>
      </w:pPr>
      <w:r w:rsidRPr="00397701">
        <w:rPr>
          <w:rFonts w:ascii="Times New Roman" w:hAnsi="Times New Roman" w:cs="Times New Roman"/>
        </w:rPr>
        <w:t xml:space="preserve">This section is fundamental to supporting victim-survivor safety and autonomy. </w:t>
      </w:r>
      <w:r w:rsidR="00882F85" w:rsidRPr="00397701">
        <w:rPr>
          <w:rFonts w:ascii="Times New Roman" w:hAnsi="Times New Roman" w:cs="Times New Roman"/>
        </w:rPr>
        <w:t>The intention is</w:t>
      </w:r>
      <w:r w:rsidRPr="00397701">
        <w:rPr>
          <w:rFonts w:ascii="Times New Roman" w:hAnsi="Times New Roman" w:cs="Times New Roman"/>
        </w:rPr>
        <w:t xml:space="preserve"> that providers take proactive steps to minimise risks of inadvertent disclosure or contact that could lead to harm, while also promoting trust</w:t>
      </w:r>
      <w:r w:rsidR="00850635" w:rsidRPr="00397701">
        <w:rPr>
          <w:rFonts w:ascii="Times New Roman" w:hAnsi="Times New Roman" w:cs="Times New Roman"/>
        </w:rPr>
        <w:t>, flexibility</w:t>
      </w:r>
      <w:r w:rsidRPr="00397701">
        <w:rPr>
          <w:rFonts w:ascii="Times New Roman" w:hAnsi="Times New Roman" w:cs="Times New Roman"/>
        </w:rPr>
        <w:t xml:space="preserve"> and consistency in provider communications.</w:t>
      </w:r>
    </w:p>
    <w:p w14:paraId="416D933F" w14:textId="26DB2617" w:rsidR="00F96FA7" w:rsidRPr="00397701" w:rsidRDefault="00F96FA7" w:rsidP="392F2FAD">
      <w:pPr>
        <w:rPr>
          <w:rFonts w:ascii="Times New Roman" w:hAnsi="Times New Roman" w:cs="Times New Roman"/>
        </w:rPr>
      </w:pPr>
      <w:r w:rsidRPr="00397701">
        <w:rPr>
          <w:rFonts w:ascii="Times New Roman" w:hAnsi="Times New Roman" w:cs="Times New Roman"/>
          <w:b/>
          <w:bCs/>
        </w:rPr>
        <w:t>Section 1</w:t>
      </w:r>
      <w:r w:rsidR="009E12C6" w:rsidRPr="00397701">
        <w:rPr>
          <w:rFonts w:ascii="Times New Roman" w:hAnsi="Times New Roman" w:cs="Times New Roman"/>
          <w:b/>
          <w:bCs/>
        </w:rPr>
        <w:t>1</w:t>
      </w:r>
      <w:r w:rsidRPr="00397701">
        <w:rPr>
          <w:rFonts w:ascii="Times New Roman" w:hAnsi="Times New Roman" w:cs="Times New Roman"/>
          <w:b/>
          <w:bCs/>
        </w:rPr>
        <w:t xml:space="preserve"> </w:t>
      </w:r>
      <w:r w:rsidRPr="00397701">
        <w:rPr>
          <w:rFonts w:ascii="Times New Roman" w:hAnsi="Times New Roman" w:cs="Times New Roman"/>
          <w:b/>
        </w:rPr>
        <w:tab/>
      </w:r>
      <w:r w:rsidRPr="00397701">
        <w:rPr>
          <w:rFonts w:ascii="Times New Roman" w:hAnsi="Times New Roman" w:cs="Times New Roman"/>
          <w:b/>
          <w:bCs/>
        </w:rPr>
        <w:t xml:space="preserve">Requirement to discuss support options </w:t>
      </w:r>
    </w:p>
    <w:p w14:paraId="0E017348" w14:textId="01360F8C" w:rsidR="007C3410" w:rsidRPr="00397701" w:rsidRDefault="007C3410" w:rsidP="007C3410">
      <w:pPr>
        <w:rPr>
          <w:rFonts w:ascii="Times New Roman" w:hAnsi="Times New Roman" w:cs="Times New Roman"/>
        </w:rPr>
      </w:pPr>
      <w:r w:rsidRPr="00397701">
        <w:rPr>
          <w:rFonts w:ascii="Times New Roman" w:hAnsi="Times New Roman" w:cs="Times New Roman"/>
        </w:rPr>
        <w:t>Section 1</w:t>
      </w:r>
      <w:r w:rsidR="009E12C6" w:rsidRPr="00397701">
        <w:rPr>
          <w:rFonts w:ascii="Times New Roman" w:hAnsi="Times New Roman" w:cs="Times New Roman"/>
        </w:rPr>
        <w:t>1</w:t>
      </w:r>
      <w:r w:rsidRPr="00397701">
        <w:rPr>
          <w:rFonts w:ascii="Times New Roman" w:hAnsi="Times New Roman" w:cs="Times New Roman"/>
        </w:rPr>
        <w:t xml:space="preserve"> sets out obligations for providers to have a structured and </w:t>
      </w:r>
      <w:r w:rsidR="005732B5" w:rsidRPr="00397701">
        <w:rPr>
          <w:rFonts w:ascii="Times New Roman" w:hAnsi="Times New Roman" w:cs="Times New Roman"/>
        </w:rPr>
        <w:t>consumer-led</w:t>
      </w:r>
      <w:r w:rsidRPr="00397701">
        <w:rPr>
          <w:rFonts w:ascii="Times New Roman" w:hAnsi="Times New Roman" w:cs="Times New Roman"/>
        </w:rPr>
        <w:t xml:space="preserve"> conversation with affected persons who have indicated they want to access more information and support. It also requires providers to act on any instructions the person gives about safeguarding their telecommunications services.</w:t>
      </w:r>
    </w:p>
    <w:p w14:paraId="68B04A06" w14:textId="05D69917" w:rsidR="007C3410" w:rsidRPr="00397701" w:rsidRDefault="007C3410" w:rsidP="007C3410">
      <w:pPr>
        <w:rPr>
          <w:rFonts w:ascii="Times New Roman" w:hAnsi="Times New Roman" w:cs="Times New Roman"/>
        </w:rPr>
      </w:pPr>
      <w:r w:rsidRPr="00397701">
        <w:rPr>
          <w:rFonts w:ascii="Times New Roman" w:hAnsi="Times New Roman" w:cs="Times New Roman"/>
        </w:rPr>
        <w:t>Subsection 1</w:t>
      </w:r>
      <w:r w:rsidR="009E12C6" w:rsidRPr="00397701">
        <w:rPr>
          <w:rFonts w:ascii="Times New Roman" w:hAnsi="Times New Roman" w:cs="Times New Roman"/>
        </w:rPr>
        <w:t>1</w:t>
      </w:r>
      <w:r w:rsidRPr="00397701">
        <w:rPr>
          <w:rFonts w:ascii="Times New Roman" w:hAnsi="Times New Roman" w:cs="Times New Roman"/>
        </w:rPr>
        <w:t>(1) sets out the required steps a provider must take when they first interact with an affected person, where the person has requested support.</w:t>
      </w:r>
    </w:p>
    <w:p w14:paraId="4E14C336" w14:textId="7F0B755B" w:rsidR="007C3410" w:rsidRPr="00397701" w:rsidRDefault="007C3410" w:rsidP="001D0578">
      <w:pPr>
        <w:numPr>
          <w:ilvl w:val="0"/>
          <w:numId w:val="13"/>
        </w:numPr>
        <w:tabs>
          <w:tab w:val="num" w:pos="720"/>
        </w:tabs>
        <w:rPr>
          <w:rFonts w:ascii="Times New Roman" w:hAnsi="Times New Roman" w:cs="Times New Roman"/>
        </w:rPr>
      </w:pPr>
      <w:r w:rsidRPr="00397701">
        <w:rPr>
          <w:rFonts w:ascii="Times New Roman" w:hAnsi="Times New Roman" w:cs="Times New Roman"/>
        </w:rPr>
        <w:t>Paragraph 1</w:t>
      </w:r>
      <w:r w:rsidR="009E12C6" w:rsidRPr="00397701">
        <w:rPr>
          <w:rFonts w:ascii="Times New Roman" w:hAnsi="Times New Roman" w:cs="Times New Roman"/>
        </w:rPr>
        <w:t>1</w:t>
      </w:r>
      <w:r w:rsidRPr="00397701">
        <w:rPr>
          <w:rFonts w:ascii="Times New Roman" w:hAnsi="Times New Roman" w:cs="Times New Roman"/>
        </w:rPr>
        <w:t>(1)(</w:t>
      </w:r>
      <w:r w:rsidR="008703B6" w:rsidRPr="00397701">
        <w:rPr>
          <w:rFonts w:ascii="Times New Roman" w:hAnsi="Times New Roman" w:cs="Times New Roman"/>
        </w:rPr>
        <w:t>a</w:t>
      </w:r>
      <w:r w:rsidRPr="00397701">
        <w:rPr>
          <w:rFonts w:ascii="Times New Roman" w:hAnsi="Times New Roman" w:cs="Times New Roman"/>
        </w:rPr>
        <w:t>) requires the provider to identify whether the affected person is the customer (i.e. account holder) or an end-user. This distinction is important because it determines what actions the provider can take and what information can be accessed or changed.</w:t>
      </w:r>
    </w:p>
    <w:p w14:paraId="1D46BADB" w14:textId="3DEECE5D" w:rsidR="00CA00D7" w:rsidRPr="00397701" w:rsidRDefault="004B62D7" w:rsidP="001D0578">
      <w:pPr>
        <w:numPr>
          <w:ilvl w:val="0"/>
          <w:numId w:val="13"/>
        </w:numPr>
        <w:tabs>
          <w:tab w:val="num" w:pos="720"/>
        </w:tabs>
        <w:rPr>
          <w:rFonts w:ascii="Times New Roman" w:hAnsi="Times New Roman" w:cs="Times New Roman"/>
        </w:rPr>
      </w:pPr>
      <w:r w:rsidRPr="00397701">
        <w:rPr>
          <w:rFonts w:ascii="Times New Roman" w:hAnsi="Times New Roman" w:cs="Times New Roman"/>
        </w:rPr>
        <w:lastRenderedPageBreak/>
        <w:t>Paragraph</w:t>
      </w:r>
      <w:r w:rsidR="00EA5DC9" w:rsidRPr="00397701">
        <w:rPr>
          <w:rFonts w:ascii="Times New Roman" w:hAnsi="Times New Roman" w:cs="Times New Roman"/>
        </w:rPr>
        <w:t>s</w:t>
      </w:r>
      <w:r w:rsidRPr="00397701">
        <w:rPr>
          <w:rFonts w:ascii="Times New Roman" w:hAnsi="Times New Roman" w:cs="Times New Roman"/>
        </w:rPr>
        <w:t xml:space="preserve"> 1</w:t>
      </w:r>
      <w:r w:rsidR="009E12C6" w:rsidRPr="00397701">
        <w:rPr>
          <w:rFonts w:ascii="Times New Roman" w:hAnsi="Times New Roman" w:cs="Times New Roman"/>
        </w:rPr>
        <w:t>1</w:t>
      </w:r>
      <w:r w:rsidRPr="00397701">
        <w:rPr>
          <w:rFonts w:ascii="Times New Roman" w:hAnsi="Times New Roman" w:cs="Times New Roman"/>
        </w:rPr>
        <w:t xml:space="preserve">(1)(b) </w:t>
      </w:r>
      <w:r w:rsidR="00EA5DC9" w:rsidRPr="00397701">
        <w:rPr>
          <w:rFonts w:ascii="Times New Roman" w:hAnsi="Times New Roman" w:cs="Times New Roman"/>
        </w:rPr>
        <w:t xml:space="preserve">and </w:t>
      </w:r>
      <w:r w:rsidR="00B52C9E" w:rsidRPr="00397701">
        <w:rPr>
          <w:rFonts w:ascii="Times New Roman" w:hAnsi="Times New Roman" w:cs="Times New Roman"/>
        </w:rPr>
        <w:t xml:space="preserve">(c) </w:t>
      </w:r>
      <w:r w:rsidRPr="00397701">
        <w:rPr>
          <w:rFonts w:ascii="Times New Roman" w:hAnsi="Times New Roman" w:cs="Times New Roman"/>
        </w:rPr>
        <w:t>–</w:t>
      </w:r>
      <w:r w:rsidR="000873B4" w:rsidRPr="00397701">
        <w:rPr>
          <w:rFonts w:ascii="Times New Roman" w:hAnsi="Times New Roman" w:cs="Times New Roman"/>
        </w:rPr>
        <w:t xml:space="preserve"> require </w:t>
      </w:r>
      <w:r w:rsidRPr="00397701">
        <w:rPr>
          <w:rFonts w:ascii="Times New Roman" w:hAnsi="Times New Roman" w:cs="Times New Roman"/>
        </w:rPr>
        <w:t xml:space="preserve">the provider </w:t>
      </w:r>
      <w:r w:rsidR="00EA5DC9" w:rsidRPr="00397701">
        <w:rPr>
          <w:rFonts w:ascii="Times New Roman" w:hAnsi="Times New Roman" w:cs="Times New Roman"/>
        </w:rPr>
        <w:t xml:space="preserve">to </w:t>
      </w:r>
      <w:r w:rsidRPr="00397701">
        <w:rPr>
          <w:rFonts w:ascii="Times New Roman" w:hAnsi="Times New Roman" w:cs="Times New Roman"/>
        </w:rPr>
        <w:t>explain</w:t>
      </w:r>
      <w:r w:rsidR="00CA00D7" w:rsidRPr="00397701">
        <w:rPr>
          <w:rFonts w:ascii="Times New Roman" w:hAnsi="Times New Roman" w:cs="Times New Roman"/>
        </w:rPr>
        <w:t>:</w:t>
      </w:r>
    </w:p>
    <w:p w14:paraId="21E6A9B0" w14:textId="4C15F039" w:rsidR="00CA00D7" w:rsidRPr="00397701" w:rsidRDefault="00F76CBA" w:rsidP="001D0578">
      <w:pPr>
        <w:pStyle w:val="ListParagraph"/>
        <w:numPr>
          <w:ilvl w:val="0"/>
          <w:numId w:val="36"/>
        </w:numPr>
        <w:tabs>
          <w:tab w:val="num" w:pos="720"/>
        </w:tabs>
        <w:rPr>
          <w:rFonts w:ascii="Times New Roman" w:hAnsi="Times New Roman" w:cs="Times New Roman"/>
        </w:rPr>
      </w:pPr>
      <w:r w:rsidRPr="00397701">
        <w:rPr>
          <w:rFonts w:ascii="Times New Roman" w:hAnsi="Times New Roman" w:cs="Times New Roman"/>
        </w:rPr>
        <w:t xml:space="preserve">where </w:t>
      </w:r>
      <w:r w:rsidR="009731A9" w:rsidRPr="00397701">
        <w:rPr>
          <w:rFonts w:ascii="Times New Roman" w:hAnsi="Times New Roman" w:cs="Times New Roman"/>
        </w:rPr>
        <w:t xml:space="preserve">the affected person is the customer and </w:t>
      </w:r>
      <w:r w:rsidRPr="00397701">
        <w:rPr>
          <w:rFonts w:ascii="Times New Roman" w:hAnsi="Times New Roman" w:cs="Times New Roman"/>
        </w:rPr>
        <w:t>there is as an authorised representative on the account, what that representative can access and inform the affected person that they can retain, change, or remove that representative</w:t>
      </w:r>
      <w:r w:rsidR="00051D06" w:rsidRPr="00397701">
        <w:rPr>
          <w:rFonts w:ascii="Times New Roman" w:hAnsi="Times New Roman" w:cs="Times New Roman"/>
        </w:rPr>
        <w:t>;</w:t>
      </w:r>
      <w:r w:rsidRPr="00397701">
        <w:rPr>
          <w:rFonts w:ascii="Times New Roman" w:hAnsi="Times New Roman" w:cs="Times New Roman"/>
        </w:rPr>
        <w:t xml:space="preserve"> </w:t>
      </w:r>
      <w:r w:rsidR="004B62D7" w:rsidRPr="00397701">
        <w:rPr>
          <w:rFonts w:ascii="Times New Roman" w:hAnsi="Times New Roman" w:cs="Times New Roman"/>
        </w:rPr>
        <w:t xml:space="preserve">and </w:t>
      </w:r>
    </w:p>
    <w:p w14:paraId="377D4302" w14:textId="00ADA52F" w:rsidR="00A360F9" w:rsidRPr="00397701" w:rsidRDefault="00F76CBA" w:rsidP="001D0578">
      <w:pPr>
        <w:pStyle w:val="ListParagraph"/>
        <w:numPr>
          <w:ilvl w:val="0"/>
          <w:numId w:val="36"/>
        </w:numPr>
        <w:tabs>
          <w:tab w:val="num" w:pos="720"/>
        </w:tabs>
        <w:rPr>
          <w:rFonts w:ascii="Times New Roman" w:hAnsi="Times New Roman" w:cs="Times New Roman"/>
        </w:rPr>
      </w:pPr>
      <w:r w:rsidRPr="00397701">
        <w:rPr>
          <w:rFonts w:ascii="Times New Roman" w:hAnsi="Times New Roman" w:cs="Times New Roman"/>
        </w:rPr>
        <w:t>how affected persons can make changes to their account or update their information,</w:t>
      </w:r>
      <w:r w:rsidR="00A360F9" w:rsidRPr="00397701">
        <w:rPr>
          <w:rFonts w:ascii="Times New Roman" w:hAnsi="Times New Roman" w:cs="Times New Roman"/>
        </w:rPr>
        <w:t xml:space="preserve"> </w:t>
      </w:r>
    </w:p>
    <w:p w14:paraId="02598D46" w14:textId="364D5E86" w:rsidR="004B62D7" w:rsidRPr="00397701" w:rsidRDefault="00CA00D7" w:rsidP="00424CEF">
      <w:pPr>
        <w:ind w:left="360"/>
        <w:rPr>
          <w:rFonts w:ascii="Times New Roman" w:hAnsi="Times New Roman" w:cs="Times New Roman"/>
        </w:rPr>
      </w:pPr>
      <w:r w:rsidRPr="00397701">
        <w:rPr>
          <w:rFonts w:ascii="Times New Roman" w:hAnsi="Times New Roman" w:cs="Times New Roman"/>
        </w:rPr>
        <w:t>Together these paragraphs</w:t>
      </w:r>
      <w:r w:rsidR="004B62D7" w:rsidRPr="00397701">
        <w:rPr>
          <w:rFonts w:ascii="Times New Roman" w:hAnsi="Times New Roman" w:cs="Times New Roman"/>
        </w:rPr>
        <w:t xml:space="preserve"> support consumer control over account access and personal information and empower affected persons to take practical steps in managing their account and personal safety.</w:t>
      </w:r>
    </w:p>
    <w:p w14:paraId="0D91D233" w14:textId="2C297E05" w:rsidR="007C3410" w:rsidRPr="00397701" w:rsidRDefault="007C3410" w:rsidP="001D0578">
      <w:pPr>
        <w:numPr>
          <w:ilvl w:val="0"/>
          <w:numId w:val="13"/>
        </w:numPr>
        <w:tabs>
          <w:tab w:val="num" w:pos="720"/>
        </w:tabs>
        <w:rPr>
          <w:rFonts w:ascii="Times New Roman" w:hAnsi="Times New Roman" w:cs="Times New Roman"/>
        </w:rPr>
      </w:pPr>
      <w:r w:rsidRPr="00397701">
        <w:rPr>
          <w:rFonts w:ascii="Times New Roman" w:hAnsi="Times New Roman" w:cs="Times New Roman"/>
        </w:rPr>
        <w:t>Paragraph 1</w:t>
      </w:r>
      <w:r w:rsidR="009E12C6" w:rsidRPr="00397701">
        <w:rPr>
          <w:rFonts w:ascii="Times New Roman" w:hAnsi="Times New Roman" w:cs="Times New Roman"/>
        </w:rPr>
        <w:t>1</w:t>
      </w:r>
      <w:r w:rsidRPr="00397701">
        <w:rPr>
          <w:rFonts w:ascii="Times New Roman" w:hAnsi="Times New Roman" w:cs="Times New Roman"/>
        </w:rPr>
        <w:t>(1)(</w:t>
      </w:r>
      <w:r w:rsidR="00CA00D7" w:rsidRPr="00397701">
        <w:rPr>
          <w:rFonts w:ascii="Times New Roman" w:hAnsi="Times New Roman" w:cs="Times New Roman"/>
        </w:rPr>
        <w:t>d</w:t>
      </w:r>
      <w:r w:rsidRPr="00397701">
        <w:rPr>
          <w:rFonts w:ascii="Times New Roman" w:hAnsi="Times New Roman" w:cs="Times New Roman"/>
        </w:rPr>
        <w:t>) requires the provider to ask the affected person whether they have any concerns about their privacy, safety or security in relation to their telecommunications product or account.</w:t>
      </w:r>
    </w:p>
    <w:p w14:paraId="2E39B15D" w14:textId="4477C0ED" w:rsidR="007C3410" w:rsidRPr="00397701" w:rsidRDefault="007C3410" w:rsidP="001D0578">
      <w:pPr>
        <w:numPr>
          <w:ilvl w:val="0"/>
          <w:numId w:val="13"/>
        </w:numPr>
        <w:tabs>
          <w:tab w:val="num" w:pos="720"/>
        </w:tabs>
        <w:rPr>
          <w:rFonts w:ascii="Times New Roman" w:hAnsi="Times New Roman" w:cs="Times New Roman"/>
        </w:rPr>
      </w:pPr>
      <w:r w:rsidRPr="00397701">
        <w:rPr>
          <w:rFonts w:ascii="Times New Roman" w:hAnsi="Times New Roman" w:cs="Times New Roman"/>
        </w:rPr>
        <w:t>Paragraph 1</w:t>
      </w:r>
      <w:r w:rsidR="009E12C6" w:rsidRPr="00397701">
        <w:rPr>
          <w:rFonts w:ascii="Times New Roman" w:hAnsi="Times New Roman" w:cs="Times New Roman"/>
        </w:rPr>
        <w:t>1</w:t>
      </w:r>
      <w:r w:rsidRPr="00397701">
        <w:rPr>
          <w:rFonts w:ascii="Times New Roman" w:hAnsi="Times New Roman" w:cs="Times New Roman"/>
        </w:rPr>
        <w:t>(1)(</w:t>
      </w:r>
      <w:r w:rsidR="00CA00D7" w:rsidRPr="00397701">
        <w:rPr>
          <w:rFonts w:ascii="Times New Roman" w:hAnsi="Times New Roman" w:cs="Times New Roman"/>
        </w:rPr>
        <w:t>e</w:t>
      </w:r>
      <w:r w:rsidRPr="00397701">
        <w:rPr>
          <w:rFonts w:ascii="Times New Roman" w:hAnsi="Times New Roman" w:cs="Times New Roman"/>
        </w:rPr>
        <w:t>) provides that, where concerns are raised, the provider must explain the options available to help address those concerns, having regard to whether the person is a customer or end-user.</w:t>
      </w:r>
    </w:p>
    <w:p w14:paraId="76561785" w14:textId="16503B1A" w:rsidR="007C3410" w:rsidRPr="00397701" w:rsidRDefault="007C3410" w:rsidP="001D0578">
      <w:pPr>
        <w:numPr>
          <w:ilvl w:val="0"/>
          <w:numId w:val="13"/>
        </w:numPr>
        <w:tabs>
          <w:tab w:val="num" w:pos="720"/>
        </w:tabs>
        <w:rPr>
          <w:rFonts w:ascii="Times New Roman" w:hAnsi="Times New Roman" w:cs="Times New Roman"/>
        </w:rPr>
      </w:pPr>
      <w:r w:rsidRPr="00397701">
        <w:rPr>
          <w:rFonts w:ascii="Times New Roman" w:hAnsi="Times New Roman" w:cs="Times New Roman"/>
        </w:rPr>
        <w:t>Paragraph 1</w:t>
      </w:r>
      <w:r w:rsidR="009E12C6" w:rsidRPr="00397701">
        <w:rPr>
          <w:rFonts w:ascii="Times New Roman" w:hAnsi="Times New Roman" w:cs="Times New Roman"/>
        </w:rPr>
        <w:t>1</w:t>
      </w:r>
      <w:r w:rsidRPr="00397701">
        <w:rPr>
          <w:rFonts w:ascii="Times New Roman" w:hAnsi="Times New Roman" w:cs="Times New Roman"/>
        </w:rPr>
        <w:t>(</w:t>
      </w:r>
      <w:r w:rsidR="004B62D7" w:rsidRPr="00397701">
        <w:rPr>
          <w:rFonts w:ascii="Times New Roman" w:hAnsi="Times New Roman" w:cs="Times New Roman"/>
        </w:rPr>
        <w:t>1</w:t>
      </w:r>
      <w:r w:rsidRPr="00397701">
        <w:rPr>
          <w:rFonts w:ascii="Times New Roman" w:hAnsi="Times New Roman" w:cs="Times New Roman"/>
        </w:rPr>
        <w:t>)</w:t>
      </w:r>
      <w:r w:rsidR="004B62D7" w:rsidRPr="00397701">
        <w:rPr>
          <w:rFonts w:ascii="Times New Roman" w:hAnsi="Times New Roman" w:cs="Times New Roman"/>
        </w:rPr>
        <w:t>(</w:t>
      </w:r>
      <w:r w:rsidR="00CA00D7" w:rsidRPr="00397701">
        <w:rPr>
          <w:rFonts w:ascii="Times New Roman" w:hAnsi="Times New Roman" w:cs="Times New Roman"/>
        </w:rPr>
        <w:t>f</w:t>
      </w:r>
      <w:r w:rsidRPr="00397701">
        <w:rPr>
          <w:rFonts w:ascii="Times New Roman" w:hAnsi="Times New Roman" w:cs="Times New Roman"/>
        </w:rPr>
        <w:t>) requires the provider to ask the affected person for their instructions about which of the discussed options they would like to adopt.</w:t>
      </w:r>
    </w:p>
    <w:p w14:paraId="5FD1483E" w14:textId="62325E20" w:rsidR="007C3410" w:rsidRPr="00397701" w:rsidRDefault="007C3410" w:rsidP="007C3410">
      <w:pPr>
        <w:rPr>
          <w:rFonts w:ascii="Times New Roman" w:hAnsi="Times New Roman" w:cs="Times New Roman"/>
        </w:rPr>
      </w:pPr>
      <w:r w:rsidRPr="00397701">
        <w:rPr>
          <w:rFonts w:ascii="Times New Roman" w:hAnsi="Times New Roman" w:cs="Times New Roman"/>
        </w:rPr>
        <w:t>Subsection 1</w:t>
      </w:r>
      <w:r w:rsidR="009E12C6" w:rsidRPr="00397701">
        <w:rPr>
          <w:rFonts w:ascii="Times New Roman" w:hAnsi="Times New Roman" w:cs="Times New Roman"/>
        </w:rPr>
        <w:t>1</w:t>
      </w:r>
      <w:r w:rsidRPr="00397701">
        <w:rPr>
          <w:rFonts w:ascii="Times New Roman" w:hAnsi="Times New Roman" w:cs="Times New Roman"/>
        </w:rPr>
        <w:t>(2) provides that, where an affected person later informs the provider that their circumstances have changed and asks to update the instructions given under paragraph 1</w:t>
      </w:r>
      <w:r w:rsidR="00C36C09" w:rsidRPr="00397701">
        <w:rPr>
          <w:rFonts w:ascii="Times New Roman" w:hAnsi="Times New Roman" w:cs="Times New Roman"/>
        </w:rPr>
        <w:t>1</w:t>
      </w:r>
      <w:r w:rsidRPr="00397701">
        <w:rPr>
          <w:rFonts w:ascii="Times New Roman" w:hAnsi="Times New Roman" w:cs="Times New Roman"/>
        </w:rPr>
        <w:t>(1)(</w:t>
      </w:r>
      <w:r w:rsidR="00C36C09" w:rsidRPr="00397701">
        <w:rPr>
          <w:rFonts w:ascii="Times New Roman" w:hAnsi="Times New Roman" w:cs="Times New Roman"/>
        </w:rPr>
        <w:t>f</w:t>
      </w:r>
      <w:r w:rsidRPr="00397701">
        <w:rPr>
          <w:rFonts w:ascii="Times New Roman" w:hAnsi="Times New Roman" w:cs="Times New Roman"/>
        </w:rPr>
        <w:t xml:space="preserve">), the provider must amend those instructions as requested. This </w:t>
      </w:r>
      <w:r w:rsidR="007D787B" w:rsidRPr="00397701">
        <w:rPr>
          <w:rFonts w:ascii="Times New Roman" w:hAnsi="Times New Roman" w:cs="Times New Roman"/>
        </w:rPr>
        <w:t>allows</w:t>
      </w:r>
      <w:r w:rsidRPr="00397701">
        <w:rPr>
          <w:rFonts w:ascii="Times New Roman" w:hAnsi="Times New Roman" w:cs="Times New Roman"/>
        </w:rPr>
        <w:t xml:space="preserve"> </w:t>
      </w:r>
      <w:r w:rsidR="007D787B" w:rsidRPr="00397701">
        <w:rPr>
          <w:rFonts w:ascii="Times New Roman" w:hAnsi="Times New Roman" w:cs="Times New Roman"/>
        </w:rPr>
        <w:t>for</w:t>
      </w:r>
      <w:r w:rsidRPr="00397701">
        <w:rPr>
          <w:rFonts w:ascii="Times New Roman" w:hAnsi="Times New Roman" w:cs="Times New Roman"/>
        </w:rPr>
        <w:t xml:space="preserve"> the support </w:t>
      </w:r>
      <w:r w:rsidR="007D787B" w:rsidRPr="00397701">
        <w:rPr>
          <w:rFonts w:ascii="Times New Roman" w:hAnsi="Times New Roman" w:cs="Times New Roman"/>
        </w:rPr>
        <w:t xml:space="preserve">to </w:t>
      </w:r>
      <w:r w:rsidRPr="00397701">
        <w:rPr>
          <w:rFonts w:ascii="Times New Roman" w:hAnsi="Times New Roman" w:cs="Times New Roman"/>
        </w:rPr>
        <w:t xml:space="preserve">remain responsive to the </w:t>
      </w:r>
      <w:r w:rsidR="00001FA8" w:rsidRPr="00397701">
        <w:rPr>
          <w:rFonts w:ascii="Times New Roman" w:hAnsi="Times New Roman" w:cs="Times New Roman"/>
        </w:rPr>
        <w:t xml:space="preserve">affected </w:t>
      </w:r>
      <w:r w:rsidRPr="00397701">
        <w:rPr>
          <w:rFonts w:ascii="Times New Roman" w:hAnsi="Times New Roman" w:cs="Times New Roman"/>
        </w:rPr>
        <w:t>person’s needs over time.</w:t>
      </w:r>
    </w:p>
    <w:p w14:paraId="7ACD6755" w14:textId="2E9992F2" w:rsidR="007C3410" w:rsidRPr="00397701" w:rsidRDefault="007C3410" w:rsidP="007C3410">
      <w:pPr>
        <w:rPr>
          <w:rFonts w:ascii="Times New Roman" w:hAnsi="Times New Roman" w:cs="Times New Roman"/>
        </w:rPr>
      </w:pPr>
      <w:r w:rsidRPr="00397701">
        <w:rPr>
          <w:rFonts w:ascii="Times New Roman" w:hAnsi="Times New Roman" w:cs="Times New Roman"/>
        </w:rPr>
        <w:t>Subsection 1</w:t>
      </w:r>
      <w:r w:rsidR="009E12C6" w:rsidRPr="00397701">
        <w:rPr>
          <w:rFonts w:ascii="Times New Roman" w:hAnsi="Times New Roman" w:cs="Times New Roman"/>
        </w:rPr>
        <w:t>1</w:t>
      </w:r>
      <w:r w:rsidRPr="00397701">
        <w:rPr>
          <w:rFonts w:ascii="Times New Roman" w:hAnsi="Times New Roman" w:cs="Times New Roman"/>
        </w:rPr>
        <w:t>(3) confirms that providers must act in accordance with the instructions agreed with the affected person under section</w:t>
      </w:r>
      <w:r w:rsidR="00C44694" w:rsidRPr="00397701">
        <w:rPr>
          <w:rFonts w:ascii="Times New Roman" w:hAnsi="Times New Roman" w:cs="Times New Roman"/>
        </w:rPr>
        <w:t xml:space="preserve"> 11</w:t>
      </w:r>
      <w:r w:rsidR="00A8503D">
        <w:rPr>
          <w:rFonts w:ascii="Times New Roman" w:hAnsi="Times New Roman" w:cs="Times New Roman"/>
        </w:rPr>
        <w:t xml:space="preserve"> as soon </w:t>
      </w:r>
      <w:r w:rsidR="00A6280D">
        <w:rPr>
          <w:rFonts w:ascii="Times New Roman" w:hAnsi="Times New Roman" w:cs="Times New Roman"/>
        </w:rPr>
        <w:t>practicable</w:t>
      </w:r>
      <w:r w:rsidRPr="00397701">
        <w:rPr>
          <w:rFonts w:ascii="Times New Roman" w:hAnsi="Times New Roman" w:cs="Times New Roman"/>
        </w:rPr>
        <w:t xml:space="preserve">. This reinforces that affected persons should be able to rely on the provider to implement their decisions about how best to manage their telecommunications </w:t>
      </w:r>
      <w:r w:rsidR="006E05B4" w:rsidRPr="00397701">
        <w:rPr>
          <w:rFonts w:ascii="Times New Roman" w:hAnsi="Times New Roman" w:cs="Times New Roman"/>
        </w:rPr>
        <w:t xml:space="preserve">products (being goods and services) </w:t>
      </w:r>
      <w:r w:rsidR="00804EEC">
        <w:rPr>
          <w:rFonts w:ascii="Times New Roman" w:hAnsi="Times New Roman" w:cs="Times New Roman"/>
        </w:rPr>
        <w:t>as soon as practicable</w:t>
      </w:r>
      <w:r w:rsidR="0050556C">
        <w:rPr>
          <w:rFonts w:ascii="Times New Roman" w:hAnsi="Times New Roman" w:cs="Times New Roman"/>
        </w:rPr>
        <w:t xml:space="preserve">, </w:t>
      </w:r>
      <w:proofErr w:type="gramStart"/>
      <w:r w:rsidRPr="00397701">
        <w:rPr>
          <w:rFonts w:ascii="Times New Roman" w:hAnsi="Times New Roman" w:cs="Times New Roman"/>
        </w:rPr>
        <w:t>in light of</w:t>
      </w:r>
      <w:proofErr w:type="gramEnd"/>
      <w:r w:rsidRPr="00397701">
        <w:rPr>
          <w:rFonts w:ascii="Times New Roman" w:hAnsi="Times New Roman" w:cs="Times New Roman"/>
        </w:rPr>
        <w:t xml:space="preserve"> safety or privacy risks.</w:t>
      </w:r>
    </w:p>
    <w:p w14:paraId="24A55869" w14:textId="5C2FC996" w:rsidR="0012797C" w:rsidRPr="00397701" w:rsidRDefault="007C3410" w:rsidP="005958D6">
      <w:pPr>
        <w:rPr>
          <w:rFonts w:ascii="Times New Roman" w:hAnsi="Times New Roman" w:cs="Times New Roman"/>
        </w:rPr>
      </w:pPr>
      <w:r w:rsidRPr="00397701">
        <w:rPr>
          <w:rFonts w:ascii="Times New Roman" w:hAnsi="Times New Roman" w:cs="Times New Roman"/>
        </w:rPr>
        <w:t>This section is intended to promote a trauma-informed and person-centred approach, by ensuring providers give affected persons a clear opportunity to raise concerns and adopt protective measures that meet their individual needs.</w:t>
      </w:r>
      <w:r w:rsidR="008703B6" w:rsidRPr="00397701">
        <w:rPr>
          <w:rFonts w:ascii="Times New Roman" w:hAnsi="Times New Roman" w:cs="Times New Roman"/>
        </w:rPr>
        <w:t xml:space="preserve"> </w:t>
      </w:r>
    </w:p>
    <w:p w14:paraId="34BEE9EF" w14:textId="5DFB948F" w:rsidR="007A6346" w:rsidRPr="00397701" w:rsidRDefault="007A6346" w:rsidP="007A6346">
      <w:pPr>
        <w:rPr>
          <w:rFonts w:ascii="Times New Roman" w:hAnsi="Times New Roman" w:cs="Times New Roman"/>
          <w:b/>
          <w:bCs/>
        </w:rPr>
      </w:pPr>
      <w:r w:rsidRPr="00397701">
        <w:rPr>
          <w:rFonts w:ascii="Times New Roman" w:hAnsi="Times New Roman" w:cs="Times New Roman"/>
          <w:b/>
          <w:bCs/>
        </w:rPr>
        <w:t>Section 1</w:t>
      </w:r>
      <w:r w:rsidR="009E12C6" w:rsidRPr="00397701">
        <w:rPr>
          <w:rFonts w:ascii="Times New Roman" w:hAnsi="Times New Roman" w:cs="Times New Roman"/>
          <w:b/>
          <w:bCs/>
        </w:rPr>
        <w:t>2</w:t>
      </w:r>
      <w:r w:rsidRPr="00397701">
        <w:rPr>
          <w:rFonts w:ascii="Times New Roman" w:hAnsi="Times New Roman" w:cs="Times New Roman"/>
          <w:b/>
          <w:bCs/>
        </w:rPr>
        <w:tab/>
        <w:t>Minimum requirements for support</w:t>
      </w:r>
    </w:p>
    <w:p w14:paraId="1B2140FB" w14:textId="5F8CC065" w:rsidR="007A6346" w:rsidRPr="00397701" w:rsidRDefault="007A6346" w:rsidP="007A6346">
      <w:pPr>
        <w:rPr>
          <w:rFonts w:ascii="Times New Roman" w:hAnsi="Times New Roman" w:cs="Times New Roman"/>
        </w:rPr>
      </w:pPr>
      <w:r w:rsidRPr="00397701">
        <w:rPr>
          <w:rFonts w:ascii="Times New Roman" w:hAnsi="Times New Roman" w:cs="Times New Roman"/>
        </w:rPr>
        <w:t>Section 1</w:t>
      </w:r>
      <w:r w:rsidR="009E12C6" w:rsidRPr="00397701">
        <w:rPr>
          <w:rFonts w:ascii="Times New Roman" w:hAnsi="Times New Roman" w:cs="Times New Roman"/>
        </w:rPr>
        <w:t>2</w:t>
      </w:r>
      <w:r w:rsidRPr="00397701">
        <w:rPr>
          <w:rFonts w:ascii="Times New Roman" w:hAnsi="Times New Roman" w:cs="Times New Roman"/>
        </w:rPr>
        <w:t xml:space="preserve"> prescribes the minimum support options that providers must offer to affected persons under paragraph 1</w:t>
      </w:r>
      <w:r w:rsidR="009E12C6" w:rsidRPr="00397701">
        <w:rPr>
          <w:rFonts w:ascii="Times New Roman" w:hAnsi="Times New Roman" w:cs="Times New Roman"/>
        </w:rPr>
        <w:t>1</w:t>
      </w:r>
      <w:r w:rsidRPr="00397701">
        <w:rPr>
          <w:rFonts w:ascii="Times New Roman" w:hAnsi="Times New Roman" w:cs="Times New Roman"/>
        </w:rPr>
        <w:t>(1)(</w:t>
      </w:r>
      <w:r w:rsidR="00CA00D7" w:rsidRPr="00397701">
        <w:rPr>
          <w:rFonts w:ascii="Times New Roman" w:hAnsi="Times New Roman" w:cs="Times New Roman"/>
        </w:rPr>
        <w:t>e</w:t>
      </w:r>
      <w:r w:rsidRPr="00397701">
        <w:rPr>
          <w:rFonts w:ascii="Times New Roman" w:hAnsi="Times New Roman" w:cs="Times New Roman"/>
        </w:rPr>
        <w:t xml:space="preserve">), which requires providers to discuss options available to enhance the </w:t>
      </w:r>
      <w:r w:rsidR="005C0058">
        <w:rPr>
          <w:rFonts w:ascii="Times New Roman" w:hAnsi="Times New Roman" w:cs="Times New Roman"/>
        </w:rPr>
        <w:t xml:space="preserve">affected </w:t>
      </w:r>
      <w:r w:rsidRPr="00397701">
        <w:rPr>
          <w:rFonts w:ascii="Times New Roman" w:hAnsi="Times New Roman" w:cs="Times New Roman"/>
        </w:rPr>
        <w:t>person’s safety, privacy, and security.</w:t>
      </w:r>
      <w:r w:rsidR="008703B6" w:rsidRPr="00397701">
        <w:rPr>
          <w:rFonts w:ascii="Times New Roman" w:hAnsi="Times New Roman" w:cs="Times New Roman"/>
        </w:rPr>
        <w:t xml:space="preserve"> </w:t>
      </w:r>
    </w:p>
    <w:p w14:paraId="65C697C7" w14:textId="2996B8F8" w:rsidR="007A6346" w:rsidRPr="00397701" w:rsidRDefault="007A6346" w:rsidP="007A6346">
      <w:pPr>
        <w:rPr>
          <w:rFonts w:ascii="Times New Roman" w:hAnsi="Times New Roman" w:cs="Times New Roman"/>
        </w:rPr>
      </w:pPr>
      <w:r w:rsidRPr="00397701">
        <w:rPr>
          <w:rFonts w:ascii="Times New Roman" w:hAnsi="Times New Roman" w:cs="Times New Roman"/>
        </w:rPr>
        <w:t>Paragraph 1</w:t>
      </w:r>
      <w:r w:rsidR="009E12C6" w:rsidRPr="00397701">
        <w:rPr>
          <w:rFonts w:ascii="Times New Roman" w:hAnsi="Times New Roman" w:cs="Times New Roman"/>
        </w:rPr>
        <w:t>2</w:t>
      </w:r>
      <w:r w:rsidRPr="00397701">
        <w:rPr>
          <w:rFonts w:ascii="Times New Roman" w:hAnsi="Times New Roman" w:cs="Times New Roman"/>
        </w:rPr>
        <w:t>(a) requires that providers make available the option to set up a new telecommunications account that is not linked to the perpetrator. This is intended to assist affected persons to separate their telecommunications arrangements from those of a perpetrator</w:t>
      </w:r>
      <w:r w:rsidR="00245D52" w:rsidRPr="00397701">
        <w:rPr>
          <w:rFonts w:ascii="Times New Roman" w:hAnsi="Times New Roman" w:cs="Times New Roman"/>
        </w:rPr>
        <w:t xml:space="preserve"> and take steps to secure their account information. </w:t>
      </w:r>
    </w:p>
    <w:p w14:paraId="0EB988C9" w14:textId="20A6DB19" w:rsidR="007A6346" w:rsidRPr="00397701" w:rsidRDefault="007A6346" w:rsidP="007A6346">
      <w:pPr>
        <w:rPr>
          <w:rFonts w:ascii="Times New Roman" w:hAnsi="Times New Roman" w:cs="Times New Roman"/>
        </w:rPr>
      </w:pPr>
      <w:r w:rsidRPr="00397701">
        <w:rPr>
          <w:rFonts w:ascii="Times New Roman" w:hAnsi="Times New Roman" w:cs="Times New Roman"/>
        </w:rPr>
        <w:t>Paragraph 1</w:t>
      </w:r>
      <w:r w:rsidR="009E12C6" w:rsidRPr="00397701">
        <w:rPr>
          <w:rFonts w:ascii="Times New Roman" w:hAnsi="Times New Roman" w:cs="Times New Roman"/>
        </w:rPr>
        <w:t>2</w:t>
      </w:r>
      <w:r w:rsidRPr="00397701">
        <w:rPr>
          <w:rFonts w:ascii="Times New Roman" w:hAnsi="Times New Roman" w:cs="Times New Roman"/>
        </w:rPr>
        <w:t>(b) requires providers to offer privacy</w:t>
      </w:r>
      <w:r w:rsidR="00FA1F40" w:rsidRPr="00397701">
        <w:rPr>
          <w:rFonts w:ascii="Times New Roman" w:hAnsi="Times New Roman" w:cs="Times New Roman"/>
        </w:rPr>
        <w:t xml:space="preserve">, </w:t>
      </w:r>
      <w:r w:rsidRPr="00397701">
        <w:rPr>
          <w:rFonts w:ascii="Times New Roman" w:hAnsi="Times New Roman" w:cs="Times New Roman"/>
        </w:rPr>
        <w:t xml:space="preserve">security </w:t>
      </w:r>
      <w:r w:rsidR="00FA1F40" w:rsidRPr="00397701">
        <w:rPr>
          <w:rFonts w:ascii="Times New Roman" w:hAnsi="Times New Roman" w:cs="Times New Roman"/>
        </w:rPr>
        <w:t xml:space="preserve">and safety </w:t>
      </w:r>
      <w:r w:rsidRPr="00397701">
        <w:rPr>
          <w:rFonts w:ascii="Times New Roman" w:hAnsi="Times New Roman" w:cs="Times New Roman"/>
        </w:rPr>
        <w:t>protections on the affected person’s account</w:t>
      </w:r>
      <w:r w:rsidR="00650E9F" w:rsidRPr="00397701">
        <w:rPr>
          <w:rFonts w:ascii="Times New Roman" w:hAnsi="Times New Roman" w:cs="Times New Roman"/>
        </w:rPr>
        <w:t>.</w:t>
      </w:r>
      <w:r w:rsidR="00FA1F40" w:rsidRPr="00397701">
        <w:rPr>
          <w:rFonts w:ascii="Times New Roman" w:hAnsi="Times New Roman" w:cs="Times New Roman"/>
        </w:rPr>
        <w:t xml:space="preserve"> </w:t>
      </w:r>
      <w:r w:rsidRPr="00397701">
        <w:rPr>
          <w:rFonts w:ascii="Times New Roman" w:hAnsi="Times New Roman" w:cs="Times New Roman"/>
        </w:rPr>
        <w:t xml:space="preserve">This may include requiring a PIN, password, or verification code sent to a safe number </w:t>
      </w:r>
      <w:r w:rsidR="00AB7E25" w:rsidRPr="00397701">
        <w:rPr>
          <w:rFonts w:ascii="Times New Roman" w:hAnsi="Times New Roman" w:cs="Times New Roman"/>
        </w:rPr>
        <w:t>or email address</w:t>
      </w:r>
      <w:r w:rsidRPr="00397701">
        <w:rPr>
          <w:rFonts w:ascii="Times New Roman" w:hAnsi="Times New Roman" w:cs="Times New Roman"/>
        </w:rPr>
        <w:t xml:space="preserve"> nominated by the affected person</w:t>
      </w:r>
      <w:r w:rsidR="008427E8" w:rsidRPr="00397701">
        <w:rPr>
          <w:rFonts w:ascii="Times New Roman" w:hAnsi="Times New Roman" w:cs="Times New Roman"/>
        </w:rPr>
        <w:t xml:space="preserve"> or within a mobile application</w:t>
      </w:r>
      <w:r w:rsidRPr="00397701">
        <w:rPr>
          <w:rFonts w:ascii="Times New Roman" w:hAnsi="Times New Roman" w:cs="Times New Roman"/>
        </w:rPr>
        <w:t xml:space="preserve">. These measures are designed to </w:t>
      </w:r>
      <w:r w:rsidR="006E05B4" w:rsidRPr="00397701">
        <w:rPr>
          <w:rFonts w:ascii="Times New Roman" w:hAnsi="Times New Roman" w:cs="Times New Roman"/>
        </w:rPr>
        <w:t xml:space="preserve">enhance protections that </w:t>
      </w:r>
      <w:r w:rsidRPr="00397701">
        <w:rPr>
          <w:rFonts w:ascii="Times New Roman" w:hAnsi="Times New Roman" w:cs="Times New Roman"/>
        </w:rPr>
        <w:t>help prevent unauthorised access to accounts and communications and to safeguard sensitive personal information.</w:t>
      </w:r>
      <w:r w:rsidR="009E12C6" w:rsidRPr="00397701">
        <w:rPr>
          <w:rFonts w:ascii="Times New Roman" w:hAnsi="Times New Roman" w:cs="Times New Roman"/>
        </w:rPr>
        <w:t xml:space="preserve"> </w:t>
      </w:r>
    </w:p>
    <w:p w14:paraId="7EC1322D" w14:textId="0CE71ED6" w:rsidR="007A6346" w:rsidRPr="00397701" w:rsidRDefault="007A6346" w:rsidP="007A6346">
      <w:pPr>
        <w:rPr>
          <w:rFonts w:ascii="Times New Roman" w:hAnsi="Times New Roman" w:cs="Times New Roman"/>
        </w:rPr>
      </w:pPr>
      <w:r w:rsidRPr="00397701">
        <w:rPr>
          <w:rFonts w:ascii="Times New Roman" w:hAnsi="Times New Roman" w:cs="Times New Roman"/>
        </w:rPr>
        <w:lastRenderedPageBreak/>
        <w:t xml:space="preserve">The minimum support requirements are intended to </w:t>
      </w:r>
      <w:r w:rsidR="00C92778" w:rsidRPr="00397701">
        <w:rPr>
          <w:rFonts w:ascii="Times New Roman" w:hAnsi="Times New Roman" w:cs="Times New Roman"/>
        </w:rPr>
        <w:t xml:space="preserve">make </w:t>
      </w:r>
      <w:r w:rsidRPr="00397701">
        <w:rPr>
          <w:rFonts w:ascii="Times New Roman" w:hAnsi="Times New Roman" w:cs="Times New Roman"/>
        </w:rPr>
        <w:t xml:space="preserve">a consistent baseline of safety-related assistance </w:t>
      </w:r>
      <w:r w:rsidR="005F0FAE" w:rsidRPr="00397701">
        <w:rPr>
          <w:rFonts w:ascii="Times New Roman" w:hAnsi="Times New Roman" w:cs="Times New Roman"/>
        </w:rPr>
        <w:t xml:space="preserve">to all affected persons </w:t>
      </w:r>
      <w:r w:rsidRPr="00397701">
        <w:rPr>
          <w:rFonts w:ascii="Times New Roman" w:hAnsi="Times New Roman" w:cs="Times New Roman"/>
        </w:rPr>
        <w:t>across all providers, while allowing for additional support to be offered where appropriate.</w:t>
      </w:r>
      <w:r w:rsidR="00CA00D7" w:rsidRPr="00397701">
        <w:rPr>
          <w:rFonts w:ascii="Times New Roman" w:hAnsi="Times New Roman" w:cs="Times New Roman"/>
        </w:rPr>
        <w:t xml:space="preserve"> </w:t>
      </w:r>
      <w:r w:rsidR="002F7005" w:rsidRPr="00397701">
        <w:rPr>
          <w:rFonts w:ascii="Times New Roman" w:hAnsi="Times New Roman" w:cs="Times New Roman"/>
        </w:rPr>
        <w:t>Pursuant to subsection 9(2)</w:t>
      </w:r>
      <w:r w:rsidR="00CA00D7" w:rsidRPr="00397701">
        <w:rPr>
          <w:rFonts w:ascii="Times New Roman" w:hAnsi="Times New Roman" w:cs="Times New Roman"/>
        </w:rPr>
        <w:t xml:space="preserve">, these options </w:t>
      </w:r>
      <w:r w:rsidR="00971F1E" w:rsidRPr="00397701">
        <w:rPr>
          <w:rFonts w:ascii="Times New Roman" w:hAnsi="Times New Roman" w:cs="Times New Roman"/>
        </w:rPr>
        <w:t>do not have to be</w:t>
      </w:r>
      <w:r w:rsidR="00CA00D7" w:rsidRPr="00397701">
        <w:rPr>
          <w:rFonts w:ascii="Times New Roman" w:hAnsi="Times New Roman" w:cs="Times New Roman"/>
        </w:rPr>
        <w:t xml:space="preserve"> offered to in every </w:t>
      </w:r>
      <w:r w:rsidR="00971F1E" w:rsidRPr="00397701">
        <w:rPr>
          <w:rFonts w:ascii="Times New Roman" w:hAnsi="Times New Roman" w:cs="Times New Roman"/>
        </w:rPr>
        <w:t>discussion</w:t>
      </w:r>
      <w:r w:rsidR="00CA00D7" w:rsidRPr="00397701">
        <w:rPr>
          <w:rFonts w:ascii="Times New Roman" w:hAnsi="Times New Roman" w:cs="Times New Roman"/>
        </w:rPr>
        <w:t xml:space="preserve">. </w:t>
      </w:r>
      <w:r w:rsidR="00971F1E" w:rsidRPr="00397701">
        <w:rPr>
          <w:rFonts w:ascii="Times New Roman" w:hAnsi="Times New Roman" w:cs="Times New Roman"/>
        </w:rPr>
        <w:t xml:space="preserve">However, when discussing privacy safety and security options with an affected person </w:t>
      </w:r>
      <w:r w:rsidR="000861F1" w:rsidRPr="00397701">
        <w:rPr>
          <w:rFonts w:ascii="Times New Roman" w:hAnsi="Times New Roman" w:cs="Times New Roman"/>
        </w:rPr>
        <w:t xml:space="preserve">under paragraph 11(1)(e) </w:t>
      </w:r>
      <w:r w:rsidR="00971F1E" w:rsidRPr="00397701">
        <w:rPr>
          <w:rFonts w:ascii="Times New Roman" w:hAnsi="Times New Roman" w:cs="Times New Roman"/>
        </w:rPr>
        <w:t>these options must be offered.</w:t>
      </w:r>
      <w:r w:rsidR="00CA00D7" w:rsidRPr="00397701">
        <w:rPr>
          <w:rFonts w:ascii="Times New Roman" w:hAnsi="Times New Roman" w:cs="Times New Roman"/>
        </w:rPr>
        <w:t xml:space="preserve"> </w:t>
      </w:r>
      <w:r w:rsidR="005F0FAE" w:rsidRPr="00397701">
        <w:rPr>
          <w:rFonts w:ascii="Times New Roman" w:hAnsi="Times New Roman" w:cs="Times New Roman"/>
        </w:rPr>
        <w:t xml:space="preserve"> </w:t>
      </w:r>
    </w:p>
    <w:p w14:paraId="03E776DA" w14:textId="5A1378FB" w:rsidR="007A6346" w:rsidRPr="00397701" w:rsidRDefault="007A6346" w:rsidP="007A6346">
      <w:pPr>
        <w:rPr>
          <w:rFonts w:ascii="Times New Roman" w:hAnsi="Times New Roman" w:cs="Times New Roman"/>
          <w:b/>
          <w:bCs/>
        </w:rPr>
      </w:pPr>
      <w:r w:rsidRPr="00397701">
        <w:rPr>
          <w:rFonts w:ascii="Times New Roman" w:hAnsi="Times New Roman" w:cs="Times New Roman"/>
          <w:b/>
          <w:bCs/>
        </w:rPr>
        <w:t>Section 1</w:t>
      </w:r>
      <w:r w:rsidR="009E12C6" w:rsidRPr="00397701">
        <w:rPr>
          <w:rFonts w:ascii="Times New Roman" w:hAnsi="Times New Roman" w:cs="Times New Roman"/>
          <w:b/>
          <w:bCs/>
        </w:rPr>
        <w:t>3</w:t>
      </w:r>
      <w:r w:rsidRPr="00397701">
        <w:rPr>
          <w:rFonts w:ascii="Times New Roman" w:hAnsi="Times New Roman" w:cs="Times New Roman"/>
          <w:b/>
          <w:bCs/>
        </w:rPr>
        <w:tab/>
        <w:t>Providing support to affected persons</w:t>
      </w:r>
    </w:p>
    <w:p w14:paraId="61C73C25" w14:textId="778C33F9" w:rsidR="007A6346" w:rsidRPr="00397701" w:rsidRDefault="007A6346" w:rsidP="007A6346">
      <w:pPr>
        <w:rPr>
          <w:rFonts w:ascii="Times New Roman" w:hAnsi="Times New Roman" w:cs="Times New Roman"/>
        </w:rPr>
      </w:pPr>
      <w:r w:rsidRPr="00397701">
        <w:rPr>
          <w:rFonts w:ascii="Times New Roman" w:hAnsi="Times New Roman" w:cs="Times New Roman"/>
        </w:rPr>
        <w:t>Section 1</w:t>
      </w:r>
      <w:r w:rsidR="009E12C6" w:rsidRPr="00397701">
        <w:rPr>
          <w:rFonts w:ascii="Times New Roman" w:hAnsi="Times New Roman" w:cs="Times New Roman"/>
        </w:rPr>
        <w:t>3</w:t>
      </w:r>
      <w:r w:rsidRPr="00397701">
        <w:rPr>
          <w:rFonts w:ascii="Times New Roman" w:hAnsi="Times New Roman" w:cs="Times New Roman"/>
        </w:rPr>
        <w:t xml:space="preserve"> sets out further obligations on providers once an affected person has sought assistance</w:t>
      </w:r>
      <w:r w:rsidR="006C03B3" w:rsidRPr="00397701">
        <w:rPr>
          <w:rFonts w:ascii="Times New Roman" w:hAnsi="Times New Roman" w:cs="Times New Roman"/>
        </w:rPr>
        <w:t xml:space="preserve"> from a provider</w:t>
      </w:r>
      <w:r w:rsidRPr="00397701">
        <w:rPr>
          <w:rFonts w:ascii="Times New Roman" w:hAnsi="Times New Roman" w:cs="Times New Roman"/>
        </w:rPr>
        <w:t>.</w:t>
      </w:r>
    </w:p>
    <w:p w14:paraId="335B4510" w14:textId="6B187DC8" w:rsidR="007A6346" w:rsidRPr="00397701" w:rsidRDefault="007A6346" w:rsidP="007A6346">
      <w:pPr>
        <w:rPr>
          <w:rFonts w:ascii="Times New Roman" w:hAnsi="Times New Roman" w:cs="Times New Roman"/>
        </w:rPr>
      </w:pPr>
      <w:r w:rsidRPr="00397701">
        <w:rPr>
          <w:rFonts w:ascii="Times New Roman" w:hAnsi="Times New Roman" w:cs="Times New Roman"/>
        </w:rPr>
        <w:t>Subsection 1</w:t>
      </w:r>
      <w:r w:rsidR="009E12C6" w:rsidRPr="00397701">
        <w:rPr>
          <w:rFonts w:ascii="Times New Roman" w:hAnsi="Times New Roman" w:cs="Times New Roman"/>
        </w:rPr>
        <w:t>3</w:t>
      </w:r>
      <w:r w:rsidRPr="00397701">
        <w:rPr>
          <w:rFonts w:ascii="Times New Roman" w:hAnsi="Times New Roman" w:cs="Times New Roman"/>
        </w:rPr>
        <w:t xml:space="preserve">(1) requires providers to keep the affected person informed </w:t>
      </w:r>
      <w:r w:rsidR="00971F1E" w:rsidRPr="00397701">
        <w:rPr>
          <w:rFonts w:ascii="Times New Roman" w:hAnsi="Times New Roman" w:cs="Times New Roman"/>
        </w:rPr>
        <w:t xml:space="preserve">about the matter on which they have sought assistance. </w:t>
      </w:r>
      <w:r w:rsidR="00131375" w:rsidRPr="00397701">
        <w:rPr>
          <w:rFonts w:ascii="Times New Roman" w:hAnsi="Times New Roman" w:cs="Times New Roman"/>
        </w:rPr>
        <w:t>T</w:t>
      </w:r>
      <w:r w:rsidR="00971F1E" w:rsidRPr="00397701">
        <w:rPr>
          <w:rFonts w:ascii="Times New Roman" w:hAnsi="Times New Roman" w:cs="Times New Roman"/>
        </w:rPr>
        <w:t xml:space="preserve">hese communications must be </w:t>
      </w:r>
      <w:r w:rsidRPr="00397701">
        <w:rPr>
          <w:rFonts w:ascii="Times New Roman" w:hAnsi="Times New Roman" w:cs="Times New Roman"/>
        </w:rPr>
        <w:t>via the agreed communication method, if one is in place. This</w:t>
      </w:r>
      <w:r w:rsidR="005F0FAE" w:rsidRPr="00397701">
        <w:rPr>
          <w:rFonts w:ascii="Times New Roman" w:hAnsi="Times New Roman" w:cs="Times New Roman"/>
        </w:rPr>
        <w:t xml:space="preserve"> is to </w:t>
      </w:r>
      <w:r w:rsidR="007D787B" w:rsidRPr="00397701">
        <w:rPr>
          <w:rFonts w:ascii="Times New Roman" w:hAnsi="Times New Roman" w:cs="Times New Roman"/>
        </w:rPr>
        <w:t>keep the</w:t>
      </w:r>
      <w:r w:rsidR="005F0FAE" w:rsidRPr="00397701">
        <w:rPr>
          <w:rFonts w:ascii="Times New Roman" w:hAnsi="Times New Roman" w:cs="Times New Roman"/>
        </w:rPr>
        <w:t xml:space="preserve"> affected person informed and aware of the status of the assistance and support they have sought which may have direct impacts on their safety and security. It also</w:t>
      </w:r>
      <w:r w:rsidRPr="00397701">
        <w:rPr>
          <w:rFonts w:ascii="Times New Roman" w:hAnsi="Times New Roman" w:cs="Times New Roman"/>
        </w:rPr>
        <w:t xml:space="preserve"> </w:t>
      </w:r>
      <w:r w:rsidR="007D787B" w:rsidRPr="00397701">
        <w:rPr>
          <w:rFonts w:ascii="Times New Roman" w:hAnsi="Times New Roman" w:cs="Times New Roman"/>
        </w:rPr>
        <w:t>means</w:t>
      </w:r>
      <w:r w:rsidRPr="00397701">
        <w:rPr>
          <w:rFonts w:ascii="Times New Roman" w:hAnsi="Times New Roman" w:cs="Times New Roman"/>
        </w:rPr>
        <w:t xml:space="preserve"> communication remains safe and appropriate to the person's circumstances.</w:t>
      </w:r>
    </w:p>
    <w:p w14:paraId="6125998A" w14:textId="4725D1CA" w:rsidR="007A6346" w:rsidRPr="00397701" w:rsidRDefault="007A6346" w:rsidP="007A6346">
      <w:pPr>
        <w:rPr>
          <w:rFonts w:ascii="Times New Roman" w:hAnsi="Times New Roman" w:cs="Times New Roman"/>
        </w:rPr>
      </w:pPr>
      <w:r w:rsidRPr="00397701">
        <w:rPr>
          <w:rFonts w:ascii="Times New Roman" w:hAnsi="Times New Roman" w:cs="Times New Roman"/>
        </w:rPr>
        <w:t>Subsection 1</w:t>
      </w:r>
      <w:r w:rsidR="009E12C6" w:rsidRPr="00397701">
        <w:rPr>
          <w:rFonts w:ascii="Times New Roman" w:hAnsi="Times New Roman" w:cs="Times New Roman"/>
        </w:rPr>
        <w:t>3</w:t>
      </w:r>
      <w:r w:rsidRPr="00397701">
        <w:rPr>
          <w:rFonts w:ascii="Times New Roman" w:hAnsi="Times New Roman" w:cs="Times New Roman"/>
        </w:rPr>
        <w:t>(</w:t>
      </w:r>
      <w:r w:rsidR="00971F1E" w:rsidRPr="00397701">
        <w:rPr>
          <w:rFonts w:ascii="Times New Roman" w:hAnsi="Times New Roman" w:cs="Times New Roman"/>
        </w:rPr>
        <w:t>2</w:t>
      </w:r>
      <w:r w:rsidRPr="00397701">
        <w:rPr>
          <w:rFonts w:ascii="Times New Roman" w:hAnsi="Times New Roman" w:cs="Times New Roman"/>
        </w:rPr>
        <w:t xml:space="preserve">) imposes </w:t>
      </w:r>
      <w:r w:rsidR="00506BAF" w:rsidRPr="00397701">
        <w:rPr>
          <w:rFonts w:ascii="Times New Roman" w:hAnsi="Times New Roman" w:cs="Times New Roman"/>
        </w:rPr>
        <w:t xml:space="preserve">obligations </w:t>
      </w:r>
      <w:r w:rsidRPr="00397701">
        <w:rPr>
          <w:rFonts w:ascii="Times New Roman" w:hAnsi="Times New Roman" w:cs="Times New Roman"/>
        </w:rPr>
        <w:t>when an affected person expresses safety concerns:</w:t>
      </w:r>
    </w:p>
    <w:p w14:paraId="7A802789" w14:textId="0EB4DE79" w:rsidR="007A6346" w:rsidRPr="00397701" w:rsidRDefault="007A6346" w:rsidP="001D0578">
      <w:pPr>
        <w:numPr>
          <w:ilvl w:val="0"/>
          <w:numId w:val="14"/>
        </w:numPr>
        <w:tabs>
          <w:tab w:val="num" w:pos="720"/>
        </w:tabs>
        <w:rPr>
          <w:rFonts w:ascii="Times New Roman" w:hAnsi="Times New Roman" w:cs="Times New Roman"/>
        </w:rPr>
      </w:pPr>
      <w:r w:rsidRPr="00397701">
        <w:rPr>
          <w:rFonts w:ascii="Times New Roman" w:hAnsi="Times New Roman" w:cs="Times New Roman"/>
        </w:rPr>
        <w:t>Paragraph 1</w:t>
      </w:r>
      <w:r w:rsidR="009E12C6" w:rsidRPr="00397701">
        <w:rPr>
          <w:rFonts w:ascii="Times New Roman" w:hAnsi="Times New Roman" w:cs="Times New Roman"/>
        </w:rPr>
        <w:t>3</w:t>
      </w:r>
      <w:r w:rsidRPr="00397701">
        <w:rPr>
          <w:rFonts w:ascii="Times New Roman" w:hAnsi="Times New Roman" w:cs="Times New Roman"/>
        </w:rPr>
        <w:t>(</w:t>
      </w:r>
      <w:r w:rsidR="00971F1E" w:rsidRPr="00397701">
        <w:rPr>
          <w:rFonts w:ascii="Times New Roman" w:hAnsi="Times New Roman" w:cs="Times New Roman"/>
        </w:rPr>
        <w:t>2</w:t>
      </w:r>
      <w:r w:rsidRPr="00397701">
        <w:rPr>
          <w:rFonts w:ascii="Times New Roman" w:hAnsi="Times New Roman" w:cs="Times New Roman"/>
        </w:rPr>
        <w:t>)(a) requires the provider to prioritise assisting the person in relation to their telecommunications service;</w:t>
      </w:r>
      <w:r w:rsidR="00A46BE4" w:rsidRPr="00397701">
        <w:rPr>
          <w:rFonts w:ascii="Times New Roman" w:hAnsi="Times New Roman" w:cs="Times New Roman"/>
        </w:rPr>
        <w:t xml:space="preserve"> and</w:t>
      </w:r>
    </w:p>
    <w:p w14:paraId="515E7409" w14:textId="486CD7C1" w:rsidR="007A6346" w:rsidRPr="00397701" w:rsidRDefault="007A6346" w:rsidP="001D0578">
      <w:pPr>
        <w:numPr>
          <w:ilvl w:val="0"/>
          <w:numId w:val="14"/>
        </w:numPr>
        <w:tabs>
          <w:tab w:val="num" w:pos="720"/>
        </w:tabs>
        <w:rPr>
          <w:rFonts w:ascii="Times New Roman" w:hAnsi="Times New Roman" w:cs="Times New Roman"/>
        </w:rPr>
      </w:pPr>
      <w:r w:rsidRPr="00397701">
        <w:rPr>
          <w:rFonts w:ascii="Times New Roman" w:hAnsi="Times New Roman" w:cs="Times New Roman"/>
        </w:rPr>
        <w:t>Paragraph 1</w:t>
      </w:r>
      <w:r w:rsidR="009E12C6" w:rsidRPr="00397701">
        <w:rPr>
          <w:rFonts w:ascii="Times New Roman" w:hAnsi="Times New Roman" w:cs="Times New Roman"/>
        </w:rPr>
        <w:t>3</w:t>
      </w:r>
      <w:r w:rsidRPr="00397701">
        <w:rPr>
          <w:rFonts w:ascii="Times New Roman" w:hAnsi="Times New Roman" w:cs="Times New Roman"/>
        </w:rPr>
        <w:t>(</w:t>
      </w:r>
      <w:r w:rsidR="00971F1E" w:rsidRPr="00397701">
        <w:rPr>
          <w:rFonts w:ascii="Times New Roman" w:hAnsi="Times New Roman" w:cs="Times New Roman"/>
        </w:rPr>
        <w:t>2</w:t>
      </w:r>
      <w:r w:rsidRPr="00397701">
        <w:rPr>
          <w:rFonts w:ascii="Times New Roman" w:hAnsi="Times New Roman" w:cs="Times New Roman"/>
        </w:rPr>
        <w:t xml:space="preserve">)(b) prohibits disconnection, restriction or suspension of the service for 30 days </w:t>
      </w:r>
      <w:r w:rsidR="005F0FAE" w:rsidRPr="00397701">
        <w:rPr>
          <w:rFonts w:ascii="Times New Roman" w:hAnsi="Times New Roman" w:cs="Times New Roman"/>
        </w:rPr>
        <w:t xml:space="preserve">or </w:t>
      </w:r>
      <w:r w:rsidR="004D11FF">
        <w:rPr>
          <w:rFonts w:ascii="Times New Roman" w:hAnsi="Times New Roman" w:cs="Times New Roman"/>
        </w:rPr>
        <w:t xml:space="preserve">a </w:t>
      </w:r>
      <w:r w:rsidR="0050556C">
        <w:rPr>
          <w:rFonts w:ascii="Times New Roman" w:hAnsi="Times New Roman" w:cs="Times New Roman"/>
        </w:rPr>
        <w:t>longer</w:t>
      </w:r>
      <w:r w:rsidR="0050556C" w:rsidRPr="00397701">
        <w:rPr>
          <w:rFonts w:ascii="Times New Roman" w:hAnsi="Times New Roman" w:cs="Times New Roman"/>
        </w:rPr>
        <w:t xml:space="preserve"> </w:t>
      </w:r>
      <w:r w:rsidR="005F0FAE" w:rsidRPr="00397701">
        <w:rPr>
          <w:rFonts w:ascii="Times New Roman" w:hAnsi="Times New Roman" w:cs="Times New Roman"/>
        </w:rPr>
        <w:t>period</w:t>
      </w:r>
      <w:r w:rsidR="00572456">
        <w:rPr>
          <w:rFonts w:ascii="Times New Roman" w:hAnsi="Times New Roman" w:cs="Times New Roman"/>
        </w:rPr>
        <w:t xml:space="preserve"> as</w:t>
      </w:r>
      <w:r w:rsidR="005F0FAE" w:rsidRPr="00397701">
        <w:rPr>
          <w:rFonts w:ascii="Times New Roman" w:hAnsi="Times New Roman" w:cs="Times New Roman"/>
        </w:rPr>
        <w:t xml:space="preserve"> agreed between the provider and the affected </w:t>
      </w:r>
      <w:proofErr w:type="gramStart"/>
      <w:r w:rsidR="005F0FAE" w:rsidRPr="00397701">
        <w:rPr>
          <w:rFonts w:ascii="Times New Roman" w:hAnsi="Times New Roman" w:cs="Times New Roman"/>
        </w:rPr>
        <w:t xml:space="preserve">person </w:t>
      </w:r>
      <w:r w:rsidRPr="00397701">
        <w:rPr>
          <w:rFonts w:ascii="Times New Roman" w:hAnsi="Times New Roman" w:cs="Times New Roman"/>
        </w:rPr>
        <w:t xml:space="preserve"> if</w:t>
      </w:r>
      <w:proofErr w:type="gramEnd"/>
      <w:r w:rsidRPr="00397701">
        <w:rPr>
          <w:rFonts w:ascii="Times New Roman" w:hAnsi="Times New Roman" w:cs="Times New Roman"/>
        </w:rPr>
        <w:t xml:space="preserve"> the person is the customer of the account</w:t>
      </w:r>
      <w:r w:rsidR="00A46BE4" w:rsidRPr="00397701">
        <w:rPr>
          <w:rFonts w:ascii="Times New Roman" w:hAnsi="Times New Roman" w:cs="Times New Roman"/>
        </w:rPr>
        <w:t>.</w:t>
      </w:r>
      <w:r w:rsidR="001D0AE2">
        <w:rPr>
          <w:rFonts w:ascii="Times New Roman" w:hAnsi="Times New Roman" w:cs="Times New Roman"/>
        </w:rPr>
        <w:t xml:space="preserve"> </w:t>
      </w:r>
      <w:r w:rsidR="00457E57">
        <w:rPr>
          <w:rFonts w:ascii="Times New Roman" w:hAnsi="Times New Roman" w:cs="Times New Roman"/>
        </w:rPr>
        <w:t>D</w:t>
      </w:r>
      <w:r w:rsidR="00DD693C">
        <w:rPr>
          <w:rFonts w:ascii="Times New Roman" w:hAnsi="Times New Roman" w:cs="Times New Roman"/>
        </w:rPr>
        <w:t>isconnection, restriction or suspe</w:t>
      </w:r>
      <w:r w:rsidR="004D0567">
        <w:rPr>
          <w:rFonts w:ascii="Times New Roman" w:hAnsi="Times New Roman" w:cs="Times New Roman"/>
        </w:rPr>
        <w:t xml:space="preserve">nsion </w:t>
      </w:r>
      <w:r w:rsidR="00457E57">
        <w:rPr>
          <w:rFonts w:ascii="Times New Roman" w:hAnsi="Times New Roman" w:cs="Times New Roman"/>
        </w:rPr>
        <w:t xml:space="preserve">can </w:t>
      </w:r>
      <w:r w:rsidR="004D0567">
        <w:rPr>
          <w:rFonts w:ascii="Times New Roman" w:hAnsi="Times New Roman" w:cs="Times New Roman"/>
        </w:rPr>
        <w:t xml:space="preserve">occur </w:t>
      </w:r>
      <w:r w:rsidR="00457E57">
        <w:rPr>
          <w:rFonts w:ascii="Times New Roman" w:hAnsi="Times New Roman" w:cs="Times New Roman"/>
        </w:rPr>
        <w:t xml:space="preserve">where it is </w:t>
      </w:r>
      <w:r w:rsidR="003F47C2">
        <w:rPr>
          <w:rFonts w:ascii="Times New Roman" w:hAnsi="Times New Roman" w:cs="Times New Roman"/>
        </w:rPr>
        <w:t>request</w:t>
      </w:r>
      <w:r w:rsidR="00457E57">
        <w:rPr>
          <w:rFonts w:ascii="Times New Roman" w:hAnsi="Times New Roman" w:cs="Times New Roman"/>
        </w:rPr>
        <w:t>ed by</w:t>
      </w:r>
      <w:r w:rsidR="003F47C2">
        <w:rPr>
          <w:rFonts w:ascii="Times New Roman" w:hAnsi="Times New Roman" w:cs="Times New Roman"/>
        </w:rPr>
        <w:t xml:space="preserve"> the affected person.</w:t>
      </w:r>
    </w:p>
    <w:p w14:paraId="2F9660ED" w14:textId="3DF1C139" w:rsidR="007A6346" w:rsidRPr="00397701" w:rsidRDefault="007A6346" w:rsidP="007A6346">
      <w:pPr>
        <w:rPr>
          <w:rFonts w:ascii="Times New Roman" w:hAnsi="Times New Roman" w:cs="Times New Roman"/>
        </w:rPr>
      </w:pPr>
      <w:r w:rsidRPr="00397701">
        <w:rPr>
          <w:rFonts w:ascii="Times New Roman" w:hAnsi="Times New Roman" w:cs="Times New Roman"/>
        </w:rPr>
        <w:t>Subsection 1</w:t>
      </w:r>
      <w:r w:rsidR="009E12C6" w:rsidRPr="00397701">
        <w:rPr>
          <w:rFonts w:ascii="Times New Roman" w:hAnsi="Times New Roman" w:cs="Times New Roman"/>
        </w:rPr>
        <w:t>3</w:t>
      </w:r>
      <w:r w:rsidRPr="00397701">
        <w:rPr>
          <w:rFonts w:ascii="Times New Roman" w:hAnsi="Times New Roman" w:cs="Times New Roman"/>
        </w:rPr>
        <w:t>(</w:t>
      </w:r>
      <w:r w:rsidR="00971F1E" w:rsidRPr="00397701">
        <w:rPr>
          <w:rFonts w:ascii="Times New Roman" w:hAnsi="Times New Roman" w:cs="Times New Roman"/>
        </w:rPr>
        <w:t>3</w:t>
      </w:r>
      <w:r w:rsidRPr="00397701">
        <w:rPr>
          <w:rFonts w:ascii="Times New Roman" w:hAnsi="Times New Roman" w:cs="Times New Roman"/>
        </w:rPr>
        <w:t xml:space="preserve">) provides that where a telecommunications service has been </w:t>
      </w:r>
      <w:r w:rsidR="0028705A" w:rsidRPr="00397701">
        <w:rPr>
          <w:rFonts w:ascii="Times New Roman" w:hAnsi="Times New Roman" w:cs="Times New Roman"/>
        </w:rPr>
        <w:t xml:space="preserve">restricted, suspended or disconnected </w:t>
      </w:r>
      <w:r w:rsidRPr="00397701">
        <w:rPr>
          <w:rFonts w:ascii="Times New Roman" w:hAnsi="Times New Roman" w:cs="Times New Roman"/>
        </w:rPr>
        <w:t xml:space="preserve">and the affected person </w:t>
      </w:r>
      <w:r w:rsidR="00BA2B06" w:rsidRPr="00397701">
        <w:rPr>
          <w:rFonts w:ascii="Times New Roman" w:hAnsi="Times New Roman" w:cs="Times New Roman"/>
        </w:rPr>
        <w:t xml:space="preserve">requests reversal of that action because of </w:t>
      </w:r>
      <w:r w:rsidRPr="00397701">
        <w:rPr>
          <w:rFonts w:ascii="Times New Roman" w:hAnsi="Times New Roman" w:cs="Times New Roman"/>
        </w:rPr>
        <w:t xml:space="preserve">a domestic and family violence-related safety risk, the provider must reverse the action as a matter of urgency. </w:t>
      </w:r>
      <w:r w:rsidR="00B334BD" w:rsidRPr="00397701">
        <w:rPr>
          <w:rFonts w:ascii="Times New Roman" w:hAnsi="Times New Roman" w:cs="Times New Roman"/>
        </w:rPr>
        <w:t xml:space="preserve">The provision requires that the provider must reverse the action </w:t>
      </w:r>
      <w:r w:rsidR="007A09AE" w:rsidRPr="00397701">
        <w:rPr>
          <w:rFonts w:ascii="Times New Roman" w:hAnsi="Times New Roman" w:cs="Times New Roman"/>
        </w:rPr>
        <w:t xml:space="preserve">the first time </w:t>
      </w:r>
      <w:r w:rsidR="00215093" w:rsidRPr="00397701">
        <w:rPr>
          <w:rFonts w:ascii="Times New Roman" w:hAnsi="Times New Roman" w:cs="Times New Roman"/>
        </w:rPr>
        <w:t xml:space="preserve">that the affected person contacts the provider and raises </w:t>
      </w:r>
      <w:r w:rsidR="00E534A9" w:rsidRPr="00397701">
        <w:rPr>
          <w:rFonts w:ascii="Times New Roman" w:hAnsi="Times New Roman" w:cs="Times New Roman"/>
        </w:rPr>
        <w:t>the domestic and family violence-related safety risk</w:t>
      </w:r>
      <w:r w:rsidRPr="00397701">
        <w:rPr>
          <w:rFonts w:ascii="Times New Roman" w:hAnsi="Times New Roman" w:cs="Times New Roman"/>
        </w:rPr>
        <w:t>.</w:t>
      </w:r>
    </w:p>
    <w:p w14:paraId="37112DE7" w14:textId="4E3BDD45" w:rsidR="007A6346" w:rsidRPr="00397701" w:rsidRDefault="007A6346" w:rsidP="007A6346">
      <w:pPr>
        <w:rPr>
          <w:rFonts w:ascii="Times New Roman" w:hAnsi="Times New Roman" w:cs="Times New Roman"/>
        </w:rPr>
      </w:pPr>
      <w:r w:rsidRPr="00397701">
        <w:rPr>
          <w:rFonts w:ascii="Times New Roman" w:hAnsi="Times New Roman" w:cs="Times New Roman"/>
        </w:rPr>
        <w:t>Subsection 1</w:t>
      </w:r>
      <w:r w:rsidR="009E12C6" w:rsidRPr="00397701">
        <w:rPr>
          <w:rFonts w:ascii="Times New Roman" w:hAnsi="Times New Roman" w:cs="Times New Roman"/>
        </w:rPr>
        <w:t>3</w:t>
      </w:r>
      <w:r w:rsidRPr="00397701">
        <w:rPr>
          <w:rFonts w:ascii="Times New Roman" w:hAnsi="Times New Roman" w:cs="Times New Roman"/>
        </w:rPr>
        <w:t>(</w:t>
      </w:r>
      <w:r w:rsidR="00971F1E" w:rsidRPr="00397701">
        <w:rPr>
          <w:rFonts w:ascii="Times New Roman" w:hAnsi="Times New Roman" w:cs="Times New Roman"/>
        </w:rPr>
        <w:t>4</w:t>
      </w:r>
      <w:r w:rsidRPr="00397701">
        <w:rPr>
          <w:rFonts w:ascii="Times New Roman" w:hAnsi="Times New Roman" w:cs="Times New Roman"/>
        </w:rPr>
        <w:t xml:space="preserve">) </w:t>
      </w:r>
      <w:r w:rsidR="00215093" w:rsidRPr="00397701">
        <w:rPr>
          <w:rFonts w:ascii="Times New Roman" w:hAnsi="Times New Roman" w:cs="Times New Roman"/>
        </w:rPr>
        <w:t xml:space="preserve">provides </w:t>
      </w:r>
      <w:r w:rsidRPr="00397701">
        <w:rPr>
          <w:rFonts w:ascii="Times New Roman" w:hAnsi="Times New Roman" w:cs="Times New Roman"/>
        </w:rPr>
        <w:t xml:space="preserve">that if reversing the </w:t>
      </w:r>
      <w:r w:rsidR="00371CC0" w:rsidRPr="00397701">
        <w:rPr>
          <w:rFonts w:ascii="Times New Roman" w:hAnsi="Times New Roman" w:cs="Times New Roman"/>
        </w:rPr>
        <w:t xml:space="preserve">action under subsection 13(3) </w:t>
      </w:r>
      <w:r w:rsidRPr="00397701">
        <w:rPr>
          <w:rFonts w:ascii="Times New Roman" w:hAnsi="Times New Roman" w:cs="Times New Roman"/>
        </w:rPr>
        <w:t xml:space="preserve">is not </w:t>
      </w:r>
      <w:r w:rsidR="004314C3" w:rsidRPr="00397701">
        <w:rPr>
          <w:rFonts w:ascii="Times New Roman" w:hAnsi="Times New Roman" w:cs="Times New Roman"/>
        </w:rPr>
        <w:t>practical</w:t>
      </w:r>
      <w:r w:rsidRPr="00397701">
        <w:rPr>
          <w:rFonts w:ascii="Times New Roman" w:hAnsi="Times New Roman" w:cs="Times New Roman"/>
        </w:rPr>
        <w:t>, the provider must offer an equivalent telecommunications service. Th</w:t>
      </w:r>
      <w:r w:rsidR="001A2124" w:rsidRPr="00397701">
        <w:rPr>
          <w:rFonts w:ascii="Times New Roman" w:hAnsi="Times New Roman" w:cs="Times New Roman"/>
        </w:rPr>
        <w:t>e</w:t>
      </w:r>
      <w:r w:rsidRPr="00397701">
        <w:rPr>
          <w:rFonts w:ascii="Times New Roman" w:hAnsi="Times New Roman" w:cs="Times New Roman"/>
        </w:rPr>
        <w:t xml:space="preserve"> </w:t>
      </w:r>
      <w:r w:rsidR="001A2124" w:rsidRPr="00397701">
        <w:rPr>
          <w:rFonts w:ascii="Times New Roman" w:hAnsi="Times New Roman" w:cs="Times New Roman"/>
        </w:rPr>
        <w:t>intention of this provision is so</w:t>
      </w:r>
      <w:r w:rsidRPr="00397701">
        <w:rPr>
          <w:rFonts w:ascii="Times New Roman" w:hAnsi="Times New Roman" w:cs="Times New Roman"/>
        </w:rPr>
        <w:t xml:space="preserve"> the affected person is not left without access to communications services</w:t>
      </w:r>
      <w:r w:rsidR="00C00B6B" w:rsidRPr="00397701">
        <w:rPr>
          <w:rFonts w:ascii="Times New Roman" w:hAnsi="Times New Roman" w:cs="Times New Roman"/>
        </w:rPr>
        <w:t xml:space="preserve"> essential to their safety and security. </w:t>
      </w:r>
      <w:r w:rsidR="00971F1E" w:rsidRPr="00397701">
        <w:rPr>
          <w:rFonts w:ascii="Times New Roman" w:hAnsi="Times New Roman" w:cs="Times New Roman"/>
        </w:rPr>
        <w:t xml:space="preserve">For example, </w:t>
      </w:r>
      <w:r w:rsidR="007358A3" w:rsidRPr="00397701">
        <w:rPr>
          <w:rFonts w:ascii="Times New Roman" w:hAnsi="Times New Roman" w:cs="Times New Roman"/>
        </w:rPr>
        <w:t xml:space="preserve">if an affected person who is an end-user has their service disconnected by a customer it may not be possible for the provider to reconnect that specific service. However, this provision requires the provider to offer the affected person an equivalent service. Under this requirement </w:t>
      </w:r>
      <w:r w:rsidR="00971F1E" w:rsidRPr="00397701">
        <w:rPr>
          <w:rFonts w:ascii="Times New Roman" w:hAnsi="Times New Roman" w:cs="Times New Roman"/>
        </w:rPr>
        <w:t xml:space="preserve">if an affected </w:t>
      </w:r>
      <w:r w:rsidR="005C2619">
        <w:rPr>
          <w:rFonts w:ascii="Times New Roman" w:hAnsi="Times New Roman" w:cs="Times New Roman"/>
        </w:rPr>
        <w:t>person</w:t>
      </w:r>
      <w:r w:rsidR="005C2619" w:rsidRPr="00397701">
        <w:rPr>
          <w:rFonts w:ascii="Times New Roman" w:hAnsi="Times New Roman" w:cs="Times New Roman"/>
        </w:rPr>
        <w:t xml:space="preserve"> </w:t>
      </w:r>
      <w:r w:rsidR="00971F1E" w:rsidRPr="00397701">
        <w:rPr>
          <w:rFonts w:ascii="Times New Roman" w:hAnsi="Times New Roman" w:cs="Times New Roman"/>
        </w:rPr>
        <w:t>has a mobile phone service and an internet service that is used to support security cameras</w:t>
      </w:r>
      <w:r w:rsidR="00017FC2" w:rsidRPr="00397701">
        <w:rPr>
          <w:rFonts w:ascii="Times New Roman" w:hAnsi="Times New Roman" w:cs="Times New Roman"/>
        </w:rPr>
        <w:t>,</w:t>
      </w:r>
      <w:r w:rsidR="00971F1E" w:rsidRPr="00397701">
        <w:rPr>
          <w:rFonts w:ascii="Times New Roman" w:hAnsi="Times New Roman" w:cs="Times New Roman"/>
        </w:rPr>
        <w:t xml:space="preserve"> the provider must offer equivalent services appropriate to </w:t>
      </w:r>
      <w:proofErr w:type="gramStart"/>
      <w:r w:rsidR="00971F1E" w:rsidRPr="00397701">
        <w:rPr>
          <w:rFonts w:ascii="Times New Roman" w:hAnsi="Times New Roman" w:cs="Times New Roman"/>
        </w:rPr>
        <w:t xml:space="preserve">the </w:t>
      </w:r>
      <w:r w:rsidR="005C2619">
        <w:rPr>
          <w:rFonts w:ascii="Times New Roman" w:hAnsi="Times New Roman" w:cs="Times New Roman"/>
        </w:rPr>
        <w:t>their</w:t>
      </w:r>
      <w:proofErr w:type="gramEnd"/>
      <w:r w:rsidR="005C2619" w:rsidRPr="00397701">
        <w:rPr>
          <w:rFonts w:ascii="Times New Roman" w:hAnsi="Times New Roman" w:cs="Times New Roman"/>
        </w:rPr>
        <w:t xml:space="preserve"> </w:t>
      </w:r>
      <w:r w:rsidR="00971F1E" w:rsidRPr="00397701">
        <w:rPr>
          <w:rFonts w:ascii="Times New Roman" w:hAnsi="Times New Roman" w:cs="Times New Roman"/>
        </w:rPr>
        <w:t>needs.</w:t>
      </w:r>
    </w:p>
    <w:p w14:paraId="3257A517" w14:textId="77777777" w:rsidR="001C7681" w:rsidRPr="00397701" w:rsidRDefault="007A6346" w:rsidP="007A6346">
      <w:pPr>
        <w:rPr>
          <w:rFonts w:ascii="Times New Roman" w:hAnsi="Times New Roman" w:cs="Times New Roman"/>
        </w:rPr>
      </w:pPr>
      <w:r w:rsidRPr="00397701">
        <w:rPr>
          <w:rFonts w:ascii="Times New Roman" w:hAnsi="Times New Roman" w:cs="Times New Roman"/>
        </w:rPr>
        <w:t>Subsection 1</w:t>
      </w:r>
      <w:r w:rsidR="009E12C6" w:rsidRPr="00397701">
        <w:rPr>
          <w:rFonts w:ascii="Times New Roman" w:hAnsi="Times New Roman" w:cs="Times New Roman"/>
        </w:rPr>
        <w:t>3</w:t>
      </w:r>
      <w:r w:rsidRPr="00397701">
        <w:rPr>
          <w:rFonts w:ascii="Times New Roman" w:hAnsi="Times New Roman" w:cs="Times New Roman"/>
        </w:rPr>
        <w:t>(</w:t>
      </w:r>
      <w:r w:rsidR="00971F1E" w:rsidRPr="00397701">
        <w:rPr>
          <w:rFonts w:ascii="Times New Roman" w:hAnsi="Times New Roman" w:cs="Times New Roman"/>
        </w:rPr>
        <w:t>5</w:t>
      </w:r>
      <w:r w:rsidRPr="00397701">
        <w:rPr>
          <w:rFonts w:ascii="Times New Roman" w:hAnsi="Times New Roman" w:cs="Times New Roman"/>
        </w:rPr>
        <w:t xml:space="preserve">) </w:t>
      </w:r>
      <w:r w:rsidR="00C00B6B" w:rsidRPr="00397701">
        <w:rPr>
          <w:rFonts w:ascii="Times New Roman" w:hAnsi="Times New Roman" w:cs="Times New Roman"/>
        </w:rPr>
        <w:t>provides that reversal of a disconnection, restriction or suspension of a service is not required where the reversal would contravene another law of the Commonwealth.</w:t>
      </w:r>
    </w:p>
    <w:p w14:paraId="0DCD12E8" w14:textId="78C83674" w:rsidR="001C7681" w:rsidRPr="00397701" w:rsidRDefault="001C7681" w:rsidP="007A6346">
      <w:pPr>
        <w:rPr>
          <w:rFonts w:ascii="Times New Roman" w:hAnsi="Times New Roman" w:cs="Times New Roman"/>
        </w:rPr>
      </w:pPr>
      <w:r w:rsidRPr="00397701">
        <w:rPr>
          <w:rFonts w:ascii="Times" w:hAnsi="Times" w:cs="Times"/>
          <w:szCs w:val="18"/>
        </w:rPr>
        <w:t xml:space="preserve">Sections 65, 67 and 69 of the </w:t>
      </w:r>
      <w:r w:rsidRPr="00397701">
        <w:rPr>
          <w:rFonts w:ascii="Times" w:hAnsi="Times" w:cs="Times"/>
          <w:i/>
          <w:iCs/>
          <w:szCs w:val="18"/>
        </w:rPr>
        <w:t xml:space="preserve">Telecommunications (Emergency Call Service) Determination 2019 </w:t>
      </w:r>
      <w:r w:rsidR="002C3B49" w:rsidRPr="00397701">
        <w:rPr>
          <w:rFonts w:ascii="Times" w:hAnsi="Times" w:cs="Times"/>
          <w:szCs w:val="18"/>
        </w:rPr>
        <w:t xml:space="preserve">are an example of where the reversal would contravene another law of the Commonwealth as they </w:t>
      </w:r>
      <w:r w:rsidRPr="00397701">
        <w:rPr>
          <w:rFonts w:ascii="Times" w:hAnsi="Times" w:cs="Times"/>
          <w:szCs w:val="18"/>
        </w:rPr>
        <w:t>prohibit the supply of carriage services to a mobile phone that is not configured to be able to access the emergency call service</w:t>
      </w:r>
      <w:r w:rsidR="002C3B49" w:rsidRPr="00397701">
        <w:rPr>
          <w:rFonts w:ascii="Times" w:hAnsi="Times" w:cs="Times"/>
          <w:szCs w:val="18"/>
        </w:rPr>
        <w:t>.</w:t>
      </w:r>
      <w:r w:rsidR="002879A4" w:rsidRPr="00397701">
        <w:rPr>
          <w:rFonts w:ascii="Times" w:hAnsi="Times" w:cs="Times"/>
          <w:szCs w:val="18"/>
        </w:rPr>
        <w:t xml:space="preserve"> </w:t>
      </w:r>
    </w:p>
    <w:p w14:paraId="6CE87EE5" w14:textId="49618B5C" w:rsidR="00971F1E" w:rsidRPr="00397701" w:rsidRDefault="00C00B6B" w:rsidP="007A6346">
      <w:pPr>
        <w:rPr>
          <w:rFonts w:ascii="Times New Roman" w:hAnsi="Times New Roman" w:cs="Times New Roman"/>
        </w:rPr>
      </w:pPr>
      <w:r w:rsidRPr="00397701">
        <w:rPr>
          <w:rFonts w:ascii="Times New Roman" w:hAnsi="Times New Roman" w:cs="Times New Roman"/>
        </w:rPr>
        <w:t>Subsection 1</w:t>
      </w:r>
      <w:r w:rsidR="009E12C6" w:rsidRPr="00397701">
        <w:rPr>
          <w:rFonts w:ascii="Times New Roman" w:hAnsi="Times New Roman" w:cs="Times New Roman"/>
        </w:rPr>
        <w:t>3</w:t>
      </w:r>
      <w:r w:rsidRPr="00397701">
        <w:rPr>
          <w:rFonts w:ascii="Times New Roman" w:hAnsi="Times New Roman" w:cs="Times New Roman"/>
        </w:rPr>
        <w:t>(</w:t>
      </w:r>
      <w:r w:rsidR="00971F1E" w:rsidRPr="00397701">
        <w:rPr>
          <w:rFonts w:ascii="Times New Roman" w:hAnsi="Times New Roman" w:cs="Times New Roman"/>
        </w:rPr>
        <w:t>6</w:t>
      </w:r>
      <w:r w:rsidRPr="00397701">
        <w:rPr>
          <w:rFonts w:ascii="Times New Roman" w:hAnsi="Times New Roman" w:cs="Times New Roman"/>
        </w:rPr>
        <w:t xml:space="preserve">) </w:t>
      </w:r>
      <w:r w:rsidR="007A6346" w:rsidRPr="00397701">
        <w:rPr>
          <w:rFonts w:ascii="Times New Roman" w:hAnsi="Times New Roman" w:cs="Times New Roman"/>
        </w:rPr>
        <w:t xml:space="preserve">requires that, </w:t>
      </w:r>
      <w:r w:rsidR="00971F1E" w:rsidRPr="00397701">
        <w:rPr>
          <w:rFonts w:ascii="Times New Roman" w:hAnsi="Times New Roman" w:cs="Times New Roman"/>
        </w:rPr>
        <w:t xml:space="preserve">where an affected person has sought assistance from the provider within the last 60 days, </w:t>
      </w:r>
      <w:r w:rsidR="007A6346" w:rsidRPr="00397701">
        <w:rPr>
          <w:rFonts w:ascii="Times New Roman" w:hAnsi="Times New Roman" w:cs="Times New Roman"/>
        </w:rPr>
        <w:t>before initiating credit management action, providers must</w:t>
      </w:r>
      <w:r w:rsidR="00971F1E" w:rsidRPr="00397701">
        <w:rPr>
          <w:rFonts w:ascii="Times New Roman" w:hAnsi="Times New Roman" w:cs="Times New Roman"/>
        </w:rPr>
        <w:t>:</w:t>
      </w:r>
    </w:p>
    <w:p w14:paraId="3D0A3CF6" w14:textId="02554AC5" w:rsidR="00971F1E" w:rsidRPr="00397701" w:rsidRDefault="00F30DBA" w:rsidP="001D0578">
      <w:pPr>
        <w:pStyle w:val="ListParagraph"/>
        <w:numPr>
          <w:ilvl w:val="0"/>
          <w:numId w:val="37"/>
        </w:numPr>
        <w:rPr>
          <w:rFonts w:ascii="Times New Roman" w:hAnsi="Times New Roman"/>
        </w:rPr>
      </w:pPr>
      <w:r w:rsidRPr="00397701">
        <w:rPr>
          <w:rFonts w:ascii="Times New Roman" w:hAnsi="Times New Roman" w:cs="Times New Roman"/>
        </w:rPr>
        <w:t>t</w:t>
      </w:r>
      <w:r w:rsidR="002E2563" w:rsidRPr="00397701">
        <w:rPr>
          <w:rFonts w:ascii="Times New Roman" w:hAnsi="Times New Roman" w:cs="Times New Roman"/>
        </w:rPr>
        <w:t>ake into account the potential impact on the affected person of such action at that time (1</w:t>
      </w:r>
      <w:r w:rsidR="009E12C6" w:rsidRPr="00397701">
        <w:rPr>
          <w:rFonts w:ascii="Times New Roman" w:hAnsi="Times New Roman" w:cs="Times New Roman"/>
        </w:rPr>
        <w:t>3</w:t>
      </w:r>
      <w:r w:rsidR="002E2563" w:rsidRPr="00397701">
        <w:rPr>
          <w:rFonts w:ascii="Times New Roman" w:hAnsi="Times New Roman" w:cs="Times New Roman"/>
        </w:rPr>
        <w:t xml:space="preserve">(6)(c)) and whether another person (such as the perpetrator) may be responsible for the </w:t>
      </w:r>
      <w:r w:rsidR="002E2563" w:rsidRPr="00397701">
        <w:rPr>
          <w:rFonts w:ascii="Times New Roman" w:hAnsi="Times New Roman" w:cs="Times New Roman"/>
        </w:rPr>
        <w:lastRenderedPageBreak/>
        <w:t>debt (1</w:t>
      </w:r>
      <w:r w:rsidR="009E12C6" w:rsidRPr="00397701">
        <w:rPr>
          <w:rFonts w:ascii="Times New Roman" w:hAnsi="Times New Roman" w:cs="Times New Roman"/>
        </w:rPr>
        <w:t>3</w:t>
      </w:r>
      <w:r w:rsidR="002E2563" w:rsidRPr="00397701">
        <w:rPr>
          <w:rFonts w:ascii="Times New Roman" w:hAnsi="Times New Roman" w:cs="Times New Roman"/>
        </w:rPr>
        <w:t>(6)(d)</w:t>
      </w:r>
      <w:r w:rsidR="00D52058" w:rsidRPr="00397701">
        <w:rPr>
          <w:rFonts w:ascii="Times New Roman" w:hAnsi="Times New Roman" w:cs="Times New Roman"/>
        </w:rPr>
        <w:t>)</w:t>
      </w:r>
      <w:r w:rsidR="002E2563" w:rsidRPr="00397701">
        <w:rPr>
          <w:rFonts w:ascii="Times New Roman" w:hAnsi="Times New Roman" w:cs="Times New Roman"/>
        </w:rPr>
        <w:t xml:space="preserve">.  </w:t>
      </w:r>
      <w:r w:rsidR="002E2563" w:rsidRPr="00397701">
        <w:rPr>
          <w:rFonts w:ascii="Times New Roman" w:hAnsi="Times New Roman"/>
        </w:rPr>
        <w:t>This seeks to reduce the risk of re-traumatisation or financial harm to affected persons resulting from debt they did not incur or cannot safely address at that time</w:t>
      </w:r>
      <w:r w:rsidR="008427E8" w:rsidRPr="00397701">
        <w:rPr>
          <w:rFonts w:ascii="Times New Roman" w:hAnsi="Times New Roman" w:cs="Times New Roman"/>
        </w:rPr>
        <w:t>.</w:t>
      </w:r>
    </w:p>
    <w:p w14:paraId="2E5917EB" w14:textId="30576126" w:rsidR="00971F1E" w:rsidRPr="00397701" w:rsidRDefault="00971F1E" w:rsidP="001D0578">
      <w:pPr>
        <w:pStyle w:val="ListParagraph"/>
        <w:numPr>
          <w:ilvl w:val="0"/>
          <w:numId w:val="37"/>
        </w:numPr>
        <w:rPr>
          <w:rFonts w:ascii="Times New Roman" w:hAnsi="Times New Roman" w:cs="Times New Roman"/>
        </w:rPr>
      </w:pPr>
      <w:r w:rsidRPr="00397701">
        <w:rPr>
          <w:rFonts w:ascii="Times New Roman" w:hAnsi="Times New Roman" w:cs="Times New Roman"/>
        </w:rPr>
        <w:t>review the affected person’s records to confirm that all agreed support actions – such as setting up payment plans or extensions – have been correctly implemented</w:t>
      </w:r>
      <w:r w:rsidR="002E2563" w:rsidRPr="00397701">
        <w:rPr>
          <w:rFonts w:ascii="Times New Roman" w:hAnsi="Times New Roman" w:cs="Times New Roman"/>
        </w:rPr>
        <w:t xml:space="preserve"> (1</w:t>
      </w:r>
      <w:r w:rsidR="009E12C6" w:rsidRPr="00397701">
        <w:rPr>
          <w:rFonts w:ascii="Times New Roman" w:hAnsi="Times New Roman" w:cs="Times New Roman"/>
        </w:rPr>
        <w:t>3</w:t>
      </w:r>
      <w:r w:rsidR="002E2563" w:rsidRPr="00397701">
        <w:rPr>
          <w:rFonts w:ascii="Times New Roman" w:hAnsi="Times New Roman" w:cs="Times New Roman"/>
        </w:rPr>
        <w:t>(6)(e))</w:t>
      </w:r>
      <w:r w:rsidRPr="00397701">
        <w:rPr>
          <w:rFonts w:ascii="Times New Roman" w:hAnsi="Times New Roman" w:cs="Times New Roman"/>
        </w:rPr>
        <w:t xml:space="preserve">. This requirement seeks to prevent service interruptions that may inadvertently undermine the person’s safety. </w:t>
      </w:r>
    </w:p>
    <w:p w14:paraId="044BD9B7" w14:textId="523CEABA" w:rsidR="007A6346" w:rsidRPr="00397701" w:rsidRDefault="007A6346" w:rsidP="007A6346">
      <w:pPr>
        <w:rPr>
          <w:rFonts w:ascii="Times New Roman" w:hAnsi="Times New Roman" w:cs="Times New Roman"/>
        </w:rPr>
      </w:pPr>
      <w:r w:rsidRPr="00397701">
        <w:rPr>
          <w:rFonts w:ascii="Times New Roman" w:hAnsi="Times New Roman" w:cs="Times New Roman"/>
        </w:rPr>
        <w:t xml:space="preserve">Taken together, these provisions are designed to </w:t>
      </w:r>
      <w:r w:rsidR="001A2124" w:rsidRPr="00397701">
        <w:rPr>
          <w:rFonts w:ascii="Times New Roman" w:hAnsi="Times New Roman" w:cs="Times New Roman"/>
        </w:rPr>
        <w:t>provide</w:t>
      </w:r>
      <w:r w:rsidRPr="00397701">
        <w:rPr>
          <w:rFonts w:ascii="Times New Roman" w:hAnsi="Times New Roman" w:cs="Times New Roman"/>
        </w:rPr>
        <w:t xml:space="preserve"> affected persons </w:t>
      </w:r>
      <w:r w:rsidR="001A2124" w:rsidRPr="00397701">
        <w:rPr>
          <w:rFonts w:ascii="Times New Roman" w:hAnsi="Times New Roman" w:cs="Times New Roman"/>
        </w:rPr>
        <w:t>with</w:t>
      </w:r>
      <w:r w:rsidRPr="00397701">
        <w:rPr>
          <w:rFonts w:ascii="Times New Roman" w:hAnsi="Times New Roman" w:cs="Times New Roman"/>
        </w:rPr>
        <w:t xml:space="preserve"> tailored, timely, and trauma-informed support from providers</w:t>
      </w:r>
      <w:r w:rsidR="00C00B6B" w:rsidRPr="00397701">
        <w:rPr>
          <w:rFonts w:ascii="Times New Roman" w:hAnsi="Times New Roman" w:cs="Times New Roman"/>
        </w:rPr>
        <w:t xml:space="preserve"> in remaining connected to telecommunications networks </w:t>
      </w:r>
      <w:r w:rsidRPr="00397701">
        <w:rPr>
          <w:rFonts w:ascii="Times New Roman" w:hAnsi="Times New Roman" w:cs="Times New Roman"/>
        </w:rPr>
        <w:t>particularly in circumstances involving safety risks or financial vulnerability</w:t>
      </w:r>
      <w:r w:rsidR="00C00B6B" w:rsidRPr="00397701">
        <w:rPr>
          <w:rFonts w:ascii="Times New Roman" w:hAnsi="Times New Roman" w:cs="Times New Roman"/>
        </w:rPr>
        <w:t>, while recognising legal and technical limitations.</w:t>
      </w:r>
    </w:p>
    <w:p w14:paraId="3984F558" w14:textId="6612AFEA" w:rsidR="007A6346" w:rsidRPr="00397701" w:rsidRDefault="007A6346" w:rsidP="007A6346">
      <w:pPr>
        <w:rPr>
          <w:rFonts w:ascii="Times New Roman" w:hAnsi="Times New Roman" w:cs="Times New Roman"/>
          <w:b/>
          <w:bCs/>
        </w:rPr>
      </w:pPr>
      <w:r w:rsidRPr="00397701">
        <w:rPr>
          <w:rFonts w:ascii="Times New Roman" w:hAnsi="Times New Roman" w:cs="Times New Roman"/>
          <w:b/>
          <w:bCs/>
        </w:rPr>
        <w:t>Section 1</w:t>
      </w:r>
      <w:r w:rsidR="009E12C6" w:rsidRPr="00397701">
        <w:rPr>
          <w:rFonts w:ascii="Times New Roman" w:hAnsi="Times New Roman" w:cs="Times New Roman"/>
          <w:b/>
          <w:bCs/>
        </w:rPr>
        <w:t>4</w:t>
      </w:r>
      <w:r w:rsidRPr="00397701">
        <w:rPr>
          <w:rFonts w:ascii="Times New Roman" w:hAnsi="Times New Roman" w:cs="Times New Roman"/>
          <w:b/>
          <w:bCs/>
        </w:rPr>
        <w:tab/>
        <w:t>A provider must not require evidence</w:t>
      </w:r>
    </w:p>
    <w:p w14:paraId="3CC5039D" w14:textId="7E253070" w:rsidR="007A6346" w:rsidRPr="00397701" w:rsidRDefault="007A6346" w:rsidP="007A6346">
      <w:pPr>
        <w:rPr>
          <w:rFonts w:ascii="Times New Roman" w:hAnsi="Times New Roman" w:cs="Times New Roman"/>
        </w:rPr>
      </w:pPr>
      <w:r w:rsidRPr="00397701">
        <w:rPr>
          <w:rFonts w:ascii="Times New Roman" w:hAnsi="Times New Roman" w:cs="Times New Roman"/>
        </w:rPr>
        <w:t>Section 1</w:t>
      </w:r>
      <w:r w:rsidR="009E12C6" w:rsidRPr="00397701">
        <w:rPr>
          <w:rFonts w:ascii="Times New Roman" w:hAnsi="Times New Roman" w:cs="Times New Roman"/>
        </w:rPr>
        <w:t>4</w:t>
      </w:r>
      <w:r w:rsidRPr="00397701">
        <w:rPr>
          <w:rFonts w:ascii="Times New Roman" w:hAnsi="Times New Roman" w:cs="Times New Roman"/>
        </w:rPr>
        <w:t xml:space="preserve"> limits the circumstances in which a provider may require an individual to provide evidence or supporting material to be recognised as an “affected person” for the purposes of </w:t>
      </w:r>
      <w:r w:rsidR="00660B16" w:rsidRPr="00397701">
        <w:rPr>
          <w:rFonts w:ascii="Times New Roman" w:hAnsi="Times New Roman" w:cs="Times New Roman"/>
        </w:rPr>
        <w:t xml:space="preserve">the </w:t>
      </w:r>
      <w:r w:rsidRPr="00397701">
        <w:rPr>
          <w:rFonts w:ascii="Times New Roman" w:hAnsi="Times New Roman" w:cs="Times New Roman"/>
        </w:rPr>
        <w:t>Standard.</w:t>
      </w:r>
      <w:r w:rsidR="005F5C33">
        <w:rPr>
          <w:rFonts w:ascii="Times New Roman" w:hAnsi="Times New Roman" w:cs="Times New Roman"/>
        </w:rPr>
        <w:t xml:space="preserve"> T</w:t>
      </w:r>
      <w:r w:rsidR="00BA2965">
        <w:rPr>
          <w:rFonts w:ascii="Times New Roman" w:hAnsi="Times New Roman" w:cs="Times New Roman"/>
        </w:rPr>
        <w:t>o</w:t>
      </w:r>
      <w:r w:rsidR="005F5C33">
        <w:rPr>
          <w:rFonts w:ascii="Times New Roman" w:hAnsi="Times New Roman" w:cs="Times New Roman"/>
        </w:rPr>
        <w:t xml:space="preserve"> minimise barriers to accessing support</w:t>
      </w:r>
      <w:r w:rsidR="00684F4C">
        <w:rPr>
          <w:rFonts w:ascii="Times New Roman" w:hAnsi="Times New Roman" w:cs="Times New Roman"/>
        </w:rPr>
        <w:t xml:space="preserve"> for affected persons it is expected that the collection of evidence </w:t>
      </w:r>
      <w:r w:rsidR="00C20A8E">
        <w:rPr>
          <w:rFonts w:ascii="Times New Roman" w:hAnsi="Times New Roman" w:cs="Times New Roman"/>
        </w:rPr>
        <w:t>should be a last resort.</w:t>
      </w:r>
    </w:p>
    <w:p w14:paraId="6D288549" w14:textId="69A47230" w:rsidR="007A6346" w:rsidRPr="00397701" w:rsidRDefault="007A6346" w:rsidP="007A6346">
      <w:pPr>
        <w:rPr>
          <w:rFonts w:ascii="Times New Roman" w:hAnsi="Times New Roman" w:cs="Times New Roman"/>
        </w:rPr>
      </w:pPr>
      <w:r w:rsidRPr="00397701">
        <w:rPr>
          <w:rFonts w:ascii="Times New Roman" w:hAnsi="Times New Roman" w:cs="Times New Roman"/>
        </w:rPr>
        <w:t>Subsection 1</w:t>
      </w:r>
      <w:r w:rsidR="009E12C6" w:rsidRPr="00397701">
        <w:rPr>
          <w:rFonts w:ascii="Times New Roman" w:hAnsi="Times New Roman" w:cs="Times New Roman"/>
        </w:rPr>
        <w:t>4</w:t>
      </w:r>
      <w:r w:rsidRPr="00397701">
        <w:rPr>
          <w:rFonts w:ascii="Times New Roman" w:hAnsi="Times New Roman" w:cs="Times New Roman"/>
        </w:rPr>
        <w:t>(1) provides that providers must not require individuals to supply evidence to demonstrate that they are affected by domestic and family violence. This reflects best practice trauma-informed approaches and recognises that many affected persons may be unwilling or unable to provide documentary or other proof of abuse. Requiring such evidence can re-traumatise individuals or discourage them from seeking assistance.</w:t>
      </w:r>
    </w:p>
    <w:p w14:paraId="468E26E6" w14:textId="03C827CC" w:rsidR="007A6346" w:rsidRPr="00397701" w:rsidRDefault="007A6346" w:rsidP="007A6346">
      <w:pPr>
        <w:rPr>
          <w:rFonts w:ascii="Times New Roman" w:hAnsi="Times New Roman" w:cs="Times New Roman"/>
        </w:rPr>
      </w:pPr>
      <w:r w:rsidRPr="00397701">
        <w:rPr>
          <w:rFonts w:ascii="Times New Roman" w:hAnsi="Times New Roman" w:cs="Times New Roman"/>
        </w:rPr>
        <w:t>Subsection 1</w:t>
      </w:r>
      <w:r w:rsidR="009E12C6" w:rsidRPr="00397701">
        <w:rPr>
          <w:rFonts w:ascii="Times New Roman" w:hAnsi="Times New Roman" w:cs="Times New Roman"/>
        </w:rPr>
        <w:t>4</w:t>
      </w:r>
      <w:r w:rsidRPr="00397701">
        <w:rPr>
          <w:rFonts w:ascii="Times New Roman" w:hAnsi="Times New Roman" w:cs="Times New Roman"/>
        </w:rPr>
        <w:t xml:space="preserve">(2) outlines two </w:t>
      </w:r>
      <w:r w:rsidR="00823896" w:rsidRPr="00397701">
        <w:rPr>
          <w:rFonts w:ascii="Times New Roman" w:hAnsi="Times New Roman" w:cs="Times New Roman"/>
        </w:rPr>
        <w:t xml:space="preserve">very </w:t>
      </w:r>
      <w:r w:rsidRPr="00397701">
        <w:rPr>
          <w:rFonts w:ascii="Times New Roman" w:hAnsi="Times New Roman" w:cs="Times New Roman"/>
        </w:rPr>
        <w:t>limited exceptions to the general prohibition. Providers may request evidence:</w:t>
      </w:r>
    </w:p>
    <w:p w14:paraId="56771640" w14:textId="380CEE03" w:rsidR="007A6346" w:rsidRPr="00397701" w:rsidRDefault="007A6346" w:rsidP="001D0578">
      <w:pPr>
        <w:numPr>
          <w:ilvl w:val="0"/>
          <w:numId w:val="15"/>
        </w:numPr>
        <w:tabs>
          <w:tab w:val="num" w:pos="720"/>
        </w:tabs>
        <w:rPr>
          <w:rFonts w:ascii="Times New Roman" w:hAnsi="Times New Roman" w:cs="Times New Roman"/>
        </w:rPr>
      </w:pPr>
      <w:r w:rsidRPr="00397701">
        <w:rPr>
          <w:rFonts w:ascii="Times New Roman" w:hAnsi="Times New Roman" w:cs="Times New Roman"/>
        </w:rPr>
        <w:t>Paragraph 1</w:t>
      </w:r>
      <w:r w:rsidR="009E12C6" w:rsidRPr="00397701">
        <w:rPr>
          <w:rFonts w:ascii="Times New Roman" w:hAnsi="Times New Roman" w:cs="Times New Roman"/>
        </w:rPr>
        <w:t>4</w:t>
      </w:r>
      <w:r w:rsidRPr="00397701">
        <w:rPr>
          <w:rFonts w:ascii="Times New Roman" w:hAnsi="Times New Roman" w:cs="Times New Roman"/>
        </w:rPr>
        <w:t>(2)(a) - where the provider is under a legal obligation to do so</w:t>
      </w:r>
      <w:r w:rsidR="005F3697" w:rsidRPr="00397701">
        <w:rPr>
          <w:rFonts w:ascii="Times New Roman" w:hAnsi="Times New Roman" w:cs="Times New Roman"/>
        </w:rPr>
        <w:t xml:space="preserve"> (</w:t>
      </w:r>
      <w:proofErr w:type="spellStart"/>
      <w:r w:rsidR="005F3697" w:rsidRPr="00397701">
        <w:rPr>
          <w:rFonts w:ascii="Times New Roman" w:hAnsi="Times New Roman" w:cs="Times New Roman"/>
        </w:rPr>
        <w:t>eg.</w:t>
      </w:r>
      <w:proofErr w:type="spellEnd"/>
      <w:r w:rsidR="005F3697" w:rsidRPr="00397701">
        <w:rPr>
          <w:rFonts w:ascii="Times New Roman" w:hAnsi="Times New Roman" w:cs="Times New Roman"/>
        </w:rPr>
        <w:t xml:space="preserve"> </w:t>
      </w:r>
      <w:r w:rsidR="00DA4663" w:rsidRPr="00397701">
        <w:rPr>
          <w:rFonts w:ascii="Times New Roman" w:hAnsi="Times New Roman" w:cs="Times New Roman"/>
        </w:rPr>
        <w:t>s</w:t>
      </w:r>
      <w:r w:rsidR="001358E1" w:rsidRPr="00397701">
        <w:rPr>
          <w:rFonts w:ascii="Times New Roman" w:hAnsi="Times New Roman" w:cs="Times New Roman"/>
        </w:rPr>
        <w:t xml:space="preserve">ubsection 11(3) of the </w:t>
      </w:r>
      <w:r w:rsidR="001358E1" w:rsidRPr="00397701">
        <w:rPr>
          <w:rFonts w:ascii="Times New Roman" w:hAnsi="Times New Roman" w:cs="Times New Roman"/>
          <w:i/>
          <w:iCs/>
        </w:rPr>
        <w:t>Telecommunications Service Provider (Customer Identity Authentication) Determination 2022</w:t>
      </w:r>
      <w:r w:rsidR="001358E1" w:rsidRPr="00397701">
        <w:rPr>
          <w:rFonts w:ascii="Times New Roman" w:hAnsi="Times New Roman" w:cs="Times New Roman"/>
        </w:rPr>
        <w:t xml:space="preserve"> requires that </w:t>
      </w:r>
      <w:r w:rsidR="00E746AA" w:rsidRPr="00397701">
        <w:rPr>
          <w:rFonts w:ascii="Times New Roman" w:hAnsi="Times New Roman" w:cs="Times New Roman"/>
        </w:rPr>
        <w:t xml:space="preserve">a provider must keep a record of the basis on which the employee or agent of the provider reasonably believed that the requesting person was a person in vulnerable circumstances (which </w:t>
      </w:r>
      <w:r w:rsidR="00DA4663" w:rsidRPr="00397701">
        <w:rPr>
          <w:rFonts w:ascii="Times New Roman" w:hAnsi="Times New Roman" w:cs="Times New Roman"/>
        </w:rPr>
        <w:t>would include affected persons)</w:t>
      </w:r>
      <w:r w:rsidR="00735661" w:rsidRPr="00397701">
        <w:rPr>
          <w:rFonts w:ascii="Times New Roman" w:hAnsi="Times New Roman" w:cs="Times New Roman"/>
        </w:rPr>
        <w:t>)</w:t>
      </w:r>
      <w:r w:rsidRPr="00397701">
        <w:rPr>
          <w:rFonts w:ascii="Times New Roman" w:hAnsi="Times New Roman" w:cs="Times New Roman"/>
        </w:rPr>
        <w:t>; or</w:t>
      </w:r>
    </w:p>
    <w:p w14:paraId="319D8724" w14:textId="64BD7846" w:rsidR="007A6346" w:rsidRPr="00397701" w:rsidRDefault="007A6346" w:rsidP="001D0578">
      <w:pPr>
        <w:numPr>
          <w:ilvl w:val="0"/>
          <w:numId w:val="15"/>
        </w:numPr>
        <w:tabs>
          <w:tab w:val="num" w:pos="720"/>
        </w:tabs>
        <w:rPr>
          <w:rFonts w:ascii="Times New Roman" w:hAnsi="Times New Roman" w:cs="Times New Roman"/>
        </w:rPr>
      </w:pPr>
      <w:r w:rsidRPr="00397701">
        <w:rPr>
          <w:rFonts w:ascii="Times New Roman" w:hAnsi="Times New Roman" w:cs="Times New Roman"/>
        </w:rPr>
        <w:t>Paragraph 1</w:t>
      </w:r>
      <w:r w:rsidR="009E12C6" w:rsidRPr="00397701">
        <w:rPr>
          <w:rFonts w:ascii="Times New Roman" w:hAnsi="Times New Roman" w:cs="Times New Roman"/>
        </w:rPr>
        <w:t>4</w:t>
      </w:r>
      <w:r w:rsidRPr="00397701">
        <w:rPr>
          <w:rFonts w:ascii="Times New Roman" w:hAnsi="Times New Roman" w:cs="Times New Roman"/>
        </w:rPr>
        <w:t xml:space="preserve">(2)(b) - where the provider </w:t>
      </w:r>
      <w:r w:rsidR="001A2124" w:rsidRPr="00397701">
        <w:rPr>
          <w:rFonts w:ascii="Times New Roman" w:hAnsi="Times New Roman" w:cs="Times New Roman"/>
        </w:rPr>
        <w:t xml:space="preserve">reasonably requires it to </w:t>
      </w:r>
      <w:r w:rsidR="00E42EBC" w:rsidRPr="00397701">
        <w:rPr>
          <w:rFonts w:ascii="Times New Roman" w:hAnsi="Times New Roman" w:cs="Times New Roman"/>
        </w:rPr>
        <w:t>protect the interests of</w:t>
      </w:r>
      <w:r w:rsidR="001A2124" w:rsidRPr="00397701">
        <w:rPr>
          <w:rFonts w:ascii="Times New Roman" w:hAnsi="Times New Roman" w:cs="Times New Roman"/>
        </w:rPr>
        <w:t xml:space="preserve"> </w:t>
      </w:r>
      <w:r w:rsidR="00823896" w:rsidRPr="00397701">
        <w:rPr>
          <w:rFonts w:ascii="Times New Roman" w:hAnsi="Times New Roman" w:cs="Times New Roman"/>
        </w:rPr>
        <w:t xml:space="preserve">an </w:t>
      </w:r>
      <w:r w:rsidR="001A2124" w:rsidRPr="00397701">
        <w:rPr>
          <w:rFonts w:ascii="Times New Roman" w:hAnsi="Times New Roman" w:cs="Times New Roman"/>
        </w:rPr>
        <w:t>affected person</w:t>
      </w:r>
      <w:r w:rsidRPr="00397701">
        <w:rPr>
          <w:rFonts w:ascii="Times New Roman" w:hAnsi="Times New Roman" w:cs="Times New Roman"/>
        </w:rPr>
        <w:t>.</w:t>
      </w:r>
      <w:r w:rsidR="001A2124" w:rsidRPr="00397701">
        <w:t xml:space="preserve"> </w:t>
      </w:r>
      <w:r w:rsidR="00823896" w:rsidRPr="00397701">
        <w:rPr>
          <w:rFonts w:ascii="Times New Roman" w:hAnsi="Times New Roman" w:cs="Times New Roman"/>
        </w:rPr>
        <w:t>This could, f</w:t>
      </w:r>
      <w:r w:rsidR="001A2124" w:rsidRPr="00397701">
        <w:rPr>
          <w:rFonts w:ascii="Times New Roman" w:hAnsi="Times New Roman" w:cs="Times New Roman"/>
        </w:rPr>
        <w:t xml:space="preserve">or example, </w:t>
      </w:r>
      <w:r w:rsidR="00823896" w:rsidRPr="00397701">
        <w:rPr>
          <w:rFonts w:ascii="Times New Roman" w:hAnsi="Times New Roman" w:cs="Times New Roman"/>
        </w:rPr>
        <w:t xml:space="preserve">be used if the provider </w:t>
      </w:r>
      <w:r w:rsidR="00142232">
        <w:rPr>
          <w:rFonts w:ascii="Times New Roman" w:hAnsi="Times New Roman" w:cs="Times New Roman"/>
        </w:rPr>
        <w:t>reasonably</w:t>
      </w:r>
      <w:r w:rsidR="00823896" w:rsidRPr="00397701">
        <w:rPr>
          <w:rFonts w:ascii="Times New Roman" w:hAnsi="Times New Roman" w:cs="Times New Roman"/>
        </w:rPr>
        <w:t xml:space="preserve"> suspect</w:t>
      </w:r>
      <w:r w:rsidR="00142232">
        <w:rPr>
          <w:rFonts w:ascii="Times New Roman" w:hAnsi="Times New Roman" w:cs="Times New Roman"/>
        </w:rPr>
        <w:t>s</w:t>
      </w:r>
      <w:r w:rsidR="00823896" w:rsidRPr="00397701">
        <w:rPr>
          <w:rFonts w:ascii="Times New Roman" w:hAnsi="Times New Roman" w:cs="Times New Roman"/>
        </w:rPr>
        <w:t xml:space="preserve"> </w:t>
      </w:r>
      <w:r w:rsidR="001A2124" w:rsidRPr="00397701">
        <w:rPr>
          <w:rFonts w:ascii="Times New Roman" w:hAnsi="Times New Roman" w:cs="Times New Roman"/>
        </w:rPr>
        <w:t xml:space="preserve">a customer is </w:t>
      </w:r>
      <w:r w:rsidR="00823896" w:rsidRPr="00397701">
        <w:rPr>
          <w:rFonts w:ascii="Times New Roman" w:hAnsi="Times New Roman" w:cs="Times New Roman"/>
        </w:rPr>
        <w:t xml:space="preserve">claiming to be </w:t>
      </w:r>
      <w:r w:rsidR="001A2124" w:rsidRPr="00397701">
        <w:rPr>
          <w:rFonts w:ascii="Times New Roman" w:hAnsi="Times New Roman" w:cs="Times New Roman"/>
        </w:rPr>
        <w:t xml:space="preserve">an affected person for the purpose of making changes to </w:t>
      </w:r>
      <w:r w:rsidR="00823896" w:rsidRPr="00397701">
        <w:rPr>
          <w:rFonts w:ascii="Times New Roman" w:hAnsi="Times New Roman" w:cs="Times New Roman"/>
        </w:rPr>
        <w:t xml:space="preserve">a service used by </w:t>
      </w:r>
      <w:r w:rsidR="001A2124" w:rsidRPr="00397701">
        <w:rPr>
          <w:rFonts w:ascii="Times New Roman" w:hAnsi="Times New Roman" w:cs="Times New Roman"/>
        </w:rPr>
        <w:t>an affected person’s account</w:t>
      </w:r>
      <w:r w:rsidR="00823896" w:rsidRPr="00397701">
        <w:rPr>
          <w:rFonts w:ascii="Times New Roman" w:hAnsi="Times New Roman" w:cs="Times New Roman"/>
        </w:rPr>
        <w:t xml:space="preserve"> to interfere with their privacy, safety or otherwise perpetrate abuse</w:t>
      </w:r>
      <w:r w:rsidR="001A2124" w:rsidRPr="00397701">
        <w:rPr>
          <w:rFonts w:ascii="Times New Roman" w:hAnsi="Times New Roman" w:cs="Times New Roman"/>
        </w:rPr>
        <w:t xml:space="preserve">. </w:t>
      </w:r>
    </w:p>
    <w:p w14:paraId="03564D85" w14:textId="430E49C4" w:rsidR="007A6346" w:rsidRPr="00397701" w:rsidRDefault="007A6346" w:rsidP="007A6346">
      <w:pPr>
        <w:rPr>
          <w:rFonts w:ascii="Times New Roman" w:hAnsi="Times New Roman" w:cs="Times New Roman"/>
        </w:rPr>
      </w:pPr>
      <w:r w:rsidRPr="00397701">
        <w:rPr>
          <w:rFonts w:ascii="Times New Roman" w:hAnsi="Times New Roman" w:cs="Times New Roman"/>
        </w:rPr>
        <w:t>Subsection 1</w:t>
      </w:r>
      <w:r w:rsidR="009E12C6" w:rsidRPr="00397701">
        <w:rPr>
          <w:rFonts w:ascii="Times New Roman" w:hAnsi="Times New Roman" w:cs="Times New Roman"/>
        </w:rPr>
        <w:t>4</w:t>
      </w:r>
      <w:r w:rsidRPr="00397701">
        <w:rPr>
          <w:rFonts w:ascii="Times New Roman" w:hAnsi="Times New Roman" w:cs="Times New Roman"/>
        </w:rPr>
        <w:t>(3) imposes safeguards on the use of these exceptions. Where a request for evidence is permitted, providers must:</w:t>
      </w:r>
    </w:p>
    <w:p w14:paraId="20E887D6" w14:textId="54CB7803" w:rsidR="007A6346" w:rsidRPr="00397701" w:rsidRDefault="007A6346" w:rsidP="001D0578">
      <w:pPr>
        <w:numPr>
          <w:ilvl w:val="0"/>
          <w:numId w:val="16"/>
        </w:numPr>
        <w:tabs>
          <w:tab w:val="num" w:pos="720"/>
        </w:tabs>
        <w:rPr>
          <w:rFonts w:ascii="Times New Roman" w:hAnsi="Times New Roman" w:cs="Times New Roman"/>
        </w:rPr>
      </w:pPr>
      <w:r w:rsidRPr="00397701">
        <w:rPr>
          <w:rFonts w:ascii="Times New Roman" w:hAnsi="Times New Roman" w:cs="Times New Roman"/>
        </w:rPr>
        <w:t>first consider whether existing internal records contain sufficient information to satisfy the requirement</w:t>
      </w:r>
      <w:r w:rsidR="00C00B6B" w:rsidRPr="00397701">
        <w:rPr>
          <w:rFonts w:ascii="Times New Roman" w:hAnsi="Times New Roman" w:cs="Times New Roman"/>
        </w:rPr>
        <w:t xml:space="preserve"> (e.g. the</w:t>
      </w:r>
      <w:r w:rsidR="009731A9" w:rsidRPr="00397701">
        <w:rPr>
          <w:rFonts w:ascii="Times New Roman" w:hAnsi="Times New Roman" w:cs="Times New Roman"/>
        </w:rPr>
        <w:t xml:space="preserve"> affected person has made a claim in relation to a telecommunications product or service</w:t>
      </w:r>
      <w:r w:rsidR="006947BE" w:rsidRPr="00397701">
        <w:rPr>
          <w:rFonts w:ascii="Times New Roman" w:hAnsi="Times New Roman" w:cs="Times New Roman"/>
        </w:rPr>
        <w:t xml:space="preserve">, stating that it is not in their possession and </w:t>
      </w:r>
      <w:r w:rsidR="001B3E84" w:rsidRPr="00397701">
        <w:rPr>
          <w:rFonts w:ascii="Times New Roman" w:hAnsi="Times New Roman" w:cs="Times New Roman"/>
        </w:rPr>
        <w:t>they can show they are located</w:t>
      </w:r>
      <w:r w:rsidR="009731A9" w:rsidRPr="00397701">
        <w:rPr>
          <w:rFonts w:ascii="Times New Roman" w:hAnsi="Times New Roman" w:cs="Times New Roman"/>
        </w:rPr>
        <w:t xml:space="preserve"> in one State, and the call records of the provider show that the product or service is being used in a different State</w:t>
      </w:r>
      <w:r w:rsidR="006E5FB5" w:rsidRPr="00397701">
        <w:rPr>
          <w:rFonts w:ascii="Times New Roman" w:hAnsi="Times New Roman" w:cs="Times New Roman"/>
        </w:rPr>
        <w:t>)</w:t>
      </w:r>
      <w:r w:rsidRPr="00397701">
        <w:rPr>
          <w:rFonts w:ascii="Times New Roman" w:hAnsi="Times New Roman" w:cs="Times New Roman"/>
        </w:rPr>
        <w:t>; and</w:t>
      </w:r>
    </w:p>
    <w:p w14:paraId="13AFF024" w14:textId="45D9362D" w:rsidR="007A6346" w:rsidRPr="00397701" w:rsidRDefault="007A6346" w:rsidP="001D0578">
      <w:pPr>
        <w:numPr>
          <w:ilvl w:val="0"/>
          <w:numId w:val="16"/>
        </w:numPr>
        <w:tabs>
          <w:tab w:val="num" w:pos="720"/>
        </w:tabs>
        <w:rPr>
          <w:rFonts w:ascii="Times New Roman" w:hAnsi="Times New Roman" w:cs="Times New Roman"/>
        </w:rPr>
      </w:pPr>
      <w:r w:rsidRPr="00397701">
        <w:rPr>
          <w:rFonts w:ascii="Times New Roman" w:hAnsi="Times New Roman" w:cs="Times New Roman"/>
        </w:rPr>
        <w:t>request only the minimum amount of evidence or information needed to</w:t>
      </w:r>
      <w:r w:rsidR="00D57C57" w:rsidRPr="00397701">
        <w:rPr>
          <w:rFonts w:ascii="Times New Roman" w:hAnsi="Times New Roman" w:cs="Times New Roman"/>
        </w:rPr>
        <w:t xml:space="preserve"> satisfy the legal obligation or</w:t>
      </w:r>
      <w:r w:rsidR="00A20716" w:rsidRPr="00397701">
        <w:rPr>
          <w:rFonts w:ascii="Times New Roman" w:hAnsi="Times New Roman" w:cs="Times New Roman"/>
        </w:rPr>
        <w:t xml:space="preserve"> to</w:t>
      </w:r>
      <w:r w:rsidRPr="00397701">
        <w:rPr>
          <w:rFonts w:ascii="Times New Roman" w:hAnsi="Times New Roman" w:cs="Times New Roman"/>
        </w:rPr>
        <w:t xml:space="preserve"> </w:t>
      </w:r>
      <w:r w:rsidR="00A20716" w:rsidRPr="00397701">
        <w:rPr>
          <w:rFonts w:ascii="Times New Roman" w:hAnsi="Times New Roman" w:cs="Times New Roman"/>
        </w:rPr>
        <w:t xml:space="preserve">protect </w:t>
      </w:r>
      <w:r w:rsidR="00EA356A" w:rsidRPr="00397701">
        <w:rPr>
          <w:rFonts w:ascii="Times New Roman" w:hAnsi="Times New Roman" w:cs="Times New Roman"/>
        </w:rPr>
        <w:t>the interests of the affected person</w:t>
      </w:r>
      <w:r w:rsidRPr="00397701">
        <w:rPr>
          <w:rFonts w:ascii="Times New Roman" w:hAnsi="Times New Roman" w:cs="Times New Roman"/>
        </w:rPr>
        <w:t>.</w:t>
      </w:r>
    </w:p>
    <w:p w14:paraId="5F9C4EEC" w14:textId="55830A89" w:rsidR="007A6346" w:rsidRPr="00397701" w:rsidRDefault="007A6346" w:rsidP="007A6346">
      <w:pPr>
        <w:rPr>
          <w:rFonts w:ascii="Times New Roman" w:hAnsi="Times New Roman" w:cs="Times New Roman"/>
        </w:rPr>
      </w:pPr>
      <w:r w:rsidRPr="00397701">
        <w:rPr>
          <w:rFonts w:ascii="Times New Roman" w:hAnsi="Times New Roman" w:cs="Times New Roman"/>
        </w:rPr>
        <w:t>The intent of section 1</w:t>
      </w:r>
      <w:r w:rsidR="009E12C6" w:rsidRPr="00397701">
        <w:rPr>
          <w:rFonts w:ascii="Times New Roman" w:hAnsi="Times New Roman" w:cs="Times New Roman"/>
        </w:rPr>
        <w:t>4</w:t>
      </w:r>
      <w:r w:rsidRPr="00397701">
        <w:rPr>
          <w:rFonts w:ascii="Times New Roman" w:hAnsi="Times New Roman" w:cs="Times New Roman"/>
        </w:rPr>
        <w:t xml:space="preserve"> is to minimise barriers for affected persons to access assistance under the Standard, while allowing for limited, justifiable exceptions grounded in legal compliance or risk mitigation</w:t>
      </w:r>
      <w:r w:rsidR="00823896" w:rsidRPr="00397701">
        <w:rPr>
          <w:rFonts w:ascii="Times New Roman" w:hAnsi="Times New Roman" w:cs="Times New Roman"/>
        </w:rPr>
        <w:t xml:space="preserve"> related to DFV</w:t>
      </w:r>
      <w:r w:rsidRPr="00397701">
        <w:rPr>
          <w:rFonts w:ascii="Times New Roman" w:hAnsi="Times New Roman" w:cs="Times New Roman"/>
        </w:rPr>
        <w:t>.</w:t>
      </w:r>
    </w:p>
    <w:p w14:paraId="7719D368" w14:textId="7C490275" w:rsidR="007A6346" w:rsidRPr="00397701" w:rsidRDefault="007A6346" w:rsidP="392F2FAD">
      <w:pPr>
        <w:rPr>
          <w:rFonts w:ascii="Times New Roman" w:hAnsi="Times New Roman" w:cs="Times New Roman"/>
          <w:b/>
          <w:bCs/>
        </w:rPr>
      </w:pPr>
      <w:r w:rsidRPr="00397701">
        <w:rPr>
          <w:rFonts w:ascii="Times New Roman" w:hAnsi="Times New Roman" w:cs="Times New Roman"/>
          <w:b/>
          <w:bCs/>
        </w:rPr>
        <w:lastRenderedPageBreak/>
        <w:t>Section 1</w:t>
      </w:r>
      <w:r w:rsidR="009E12C6" w:rsidRPr="00397701">
        <w:rPr>
          <w:rFonts w:ascii="Times New Roman" w:hAnsi="Times New Roman" w:cs="Times New Roman"/>
          <w:b/>
          <w:bCs/>
        </w:rPr>
        <w:t>5</w:t>
      </w:r>
      <w:r w:rsidRPr="00397701">
        <w:rPr>
          <w:rFonts w:ascii="Times New Roman" w:hAnsi="Times New Roman" w:cs="Times New Roman"/>
          <w:b/>
          <w:bCs/>
        </w:rPr>
        <w:t xml:space="preserve"> </w:t>
      </w:r>
      <w:r w:rsidRPr="00397701">
        <w:rPr>
          <w:rFonts w:ascii="Times New Roman" w:hAnsi="Times New Roman" w:cs="Times New Roman"/>
          <w:b/>
          <w:bCs/>
        </w:rPr>
        <w:tab/>
        <w:t>Communications with an affected person</w:t>
      </w:r>
    </w:p>
    <w:p w14:paraId="34D03F15" w14:textId="75789FE0" w:rsidR="007A6346" w:rsidRPr="00397701" w:rsidRDefault="007A6346" w:rsidP="007A6346">
      <w:pPr>
        <w:rPr>
          <w:rFonts w:ascii="Times New Roman" w:hAnsi="Times New Roman" w:cs="Times New Roman"/>
        </w:rPr>
      </w:pPr>
      <w:r w:rsidRPr="00397701">
        <w:rPr>
          <w:rFonts w:ascii="Times New Roman" w:hAnsi="Times New Roman" w:cs="Times New Roman"/>
        </w:rPr>
        <w:t>Section 1</w:t>
      </w:r>
      <w:r w:rsidR="009E12C6" w:rsidRPr="00397701">
        <w:rPr>
          <w:rFonts w:ascii="Times New Roman" w:hAnsi="Times New Roman" w:cs="Times New Roman"/>
        </w:rPr>
        <w:t>5</w:t>
      </w:r>
      <w:r w:rsidRPr="00397701">
        <w:rPr>
          <w:rFonts w:ascii="Times New Roman" w:hAnsi="Times New Roman" w:cs="Times New Roman"/>
        </w:rPr>
        <w:t xml:space="preserve"> imposes safeguards and standards </w:t>
      </w:r>
      <w:r w:rsidR="00EA356A" w:rsidRPr="00397701">
        <w:rPr>
          <w:rFonts w:ascii="Times New Roman" w:hAnsi="Times New Roman" w:cs="Times New Roman"/>
        </w:rPr>
        <w:t>so</w:t>
      </w:r>
      <w:r w:rsidRPr="00397701">
        <w:rPr>
          <w:rFonts w:ascii="Times New Roman" w:hAnsi="Times New Roman" w:cs="Times New Roman"/>
        </w:rPr>
        <w:t xml:space="preserve"> that providers communicate with affected persons in a respectful, safe, and trauma-informed manner.</w:t>
      </w:r>
    </w:p>
    <w:p w14:paraId="3410DDAC" w14:textId="4FEA953B" w:rsidR="007A6346" w:rsidRPr="00397701" w:rsidRDefault="007A6346" w:rsidP="007A6346">
      <w:pPr>
        <w:rPr>
          <w:rFonts w:ascii="Times New Roman" w:hAnsi="Times New Roman" w:cs="Times New Roman"/>
        </w:rPr>
      </w:pPr>
      <w:r w:rsidRPr="00397701">
        <w:rPr>
          <w:rFonts w:ascii="Times New Roman" w:hAnsi="Times New Roman" w:cs="Times New Roman"/>
        </w:rPr>
        <w:t>Subsection 1</w:t>
      </w:r>
      <w:r w:rsidR="009E12C6" w:rsidRPr="00397701">
        <w:rPr>
          <w:rFonts w:ascii="Times New Roman" w:hAnsi="Times New Roman" w:cs="Times New Roman"/>
        </w:rPr>
        <w:t>5</w:t>
      </w:r>
      <w:r w:rsidRPr="00397701">
        <w:rPr>
          <w:rFonts w:ascii="Times New Roman" w:hAnsi="Times New Roman" w:cs="Times New Roman"/>
        </w:rPr>
        <w:t>(1) prohibits providers from requiring affected persons to contact or otherwise engage with their perpetrator or the perpetrator’s authorised representative. This protects individuals from further trauma, intimidation, or safety risks that may arise from such interactions.</w:t>
      </w:r>
    </w:p>
    <w:p w14:paraId="0614EF8C" w14:textId="36B47978" w:rsidR="007A6346" w:rsidRPr="00397701" w:rsidRDefault="007A6346" w:rsidP="007A6346">
      <w:pPr>
        <w:rPr>
          <w:rFonts w:ascii="Times New Roman" w:hAnsi="Times New Roman" w:cs="Times New Roman"/>
        </w:rPr>
      </w:pPr>
      <w:r w:rsidRPr="00397701">
        <w:rPr>
          <w:rFonts w:ascii="Times New Roman" w:hAnsi="Times New Roman" w:cs="Times New Roman"/>
        </w:rPr>
        <w:t>Subsection 1</w:t>
      </w:r>
      <w:r w:rsidR="009E12C6" w:rsidRPr="00397701">
        <w:rPr>
          <w:rFonts w:ascii="Times New Roman" w:hAnsi="Times New Roman" w:cs="Times New Roman"/>
        </w:rPr>
        <w:t>5</w:t>
      </w:r>
      <w:r w:rsidRPr="00397701">
        <w:rPr>
          <w:rFonts w:ascii="Times New Roman" w:hAnsi="Times New Roman" w:cs="Times New Roman"/>
        </w:rPr>
        <w:t xml:space="preserve">(2) provides that affected persons must not be required to disclose the details or nature of the abuse they have experienced in order to receive support. This recognises that affected persons </w:t>
      </w:r>
      <w:r w:rsidR="00823896" w:rsidRPr="00397701">
        <w:rPr>
          <w:rFonts w:ascii="Times New Roman" w:hAnsi="Times New Roman" w:cs="Times New Roman"/>
        </w:rPr>
        <w:t xml:space="preserve">should not be compelled to disclose this information to receive support </w:t>
      </w:r>
      <w:r w:rsidR="00BC32E9" w:rsidRPr="00397701">
        <w:rPr>
          <w:rFonts w:ascii="Times New Roman" w:hAnsi="Times New Roman" w:cs="Times New Roman"/>
        </w:rPr>
        <w:t>from their provider</w:t>
      </w:r>
      <w:r w:rsidRPr="00397701">
        <w:rPr>
          <w:rFonts w:ascii="Times New Roman" w:hAnsi="Times New Roman" w:cs="Times New Roman"/>
        </w:rPr>
        <w:t xml:space="preserve"> and </w:t>
      </w:r>
      <w:r w:rsidR="00EA356A" w:rsidRPr="00397701">
        <w:rPr>
          <w:rFonts w:ascii="Times New Roman" w:hAnsi="Times New Roman" w:cs="Times New Roman"/>
        </w:rPr>
        <w:t xml:space="preserve">provides </w:t>
      </w:r>
      <w:r w:rsidR="00E979BE" w:rsidRPr="00397701">
        <w:rPr>
          <w:rFonts w:ascii="Times New Roman" w:hAnsi="Times New Roman" w:cs="Times New Roman"/>
        </w:rPr>
        <w:t xml:space="preserve">for an </w:t>
      </w:r>
      <w:r w:rsidR="00EA356A" w:rsidRPr="00397701">
        <w:rPr>
          <w:rFonts w:ascii="Times New Roman" w:hAnsi="Times New Roman" w:cs="Times New Roman"/>
        </w:rPr>
        <w:t xml:space="preserve">affected person </w:t>
      </w:r>
      <w:r w:rsidR="00E979BE" w:rsidRPr="00397701">
        <w:rPr>
          <w:rFonts w:ascii="Times New Roman" w:hAnsi="Times New Roman" w:cs="Times New Roman"/>
        </w:rPr>
        <w:t xml:space="preserve">to receive </w:t>
      </w:r>
      <w:r w:rsidRPr="00397701">
        <w:rPr>
          <w:rFonts w:ascii="Times New Roman" w:hAnsi="Times New Roman" w:cs="Times New Roman"/>
        </w:rPr>
        <w:t xml:space="preserve">support </w:t>
      </w:r>
      <w:r w:rsidR="00EA356A" w:rsidRPr="00397701">
        <w:rPr>
          <w:rFonts w:ascii="Times New Roman" w:hAnsi="Times New Roman" w:cs="Times New Roman"/>
        </w:rPr>
        <w:t xml:space="preserve">that </w:t>
      </w:r>
      <w:r w:rsidRPr="00397701">
        <w:rPr>
          <w:rFonts w:ascii="Times New Roman" w:hAnsi="Times New Roman" w:cs="Times New Roman"/>
        </w:rPr>
        <w:t>is accessible without barriers.</w:t>
      </w:r>
    </w:p>
    <w:p w14:paraId="6C367C16" w14:textId="478C833E" w:rsidR="007A6346" w:rsidRPr="00397701" w:rsidRDefault="007A6346" w:rsidP="007A6346">
      <w:pPr>
        <w:rPr>
          <w:rFonts w:ascii="Times New Roman" w:hAnsi="Times New Roman" w:cs="Times New Roman"/>
        </w:rPr>
      </w:pPr>
      <w:r w:rsidRPr="00397701">
        <w:rPr>
          <w:rFonts w:ascii="Times New Roman" w:hAnsi="Times New Roman" w:cs="Times New Roman"/>
        </w:rPr>
        <w:t>Subsections 1</w:t>
      </w:r>
      <w:r w:rsidR="009E12C6" w:rsidRPr="00397701">
        <w:rPr>
          <w:rFonts w:ascii="Times New Roman" w:hAnsi="Times New Roman" w:cs="Times New Roman"/>
        </w:rPr>
        <w:t>5</w:t>
      </w:r>
      <w:r w:rsidRPr="00397701">
        <w:rPr>
          <w:rFonts w:ascii="Times New Roman" w:hAnsi="Times New Roman" w:cs="Times New Roman"/>
        </w:rPr>
        <w:t xml:space="preserve">(3) and (4) establish requirements for warm transfers. Where an affected person is communicating with one staff member (the </w:t>
      </w:r>
      <w:r w:rsidRPr="00397701">
        <w:rPr>
          <w:rFonts w:ascii="Times New Roman" w:hAnsi="Times New Roman" w:cs="Times New Roman"/>
          <w:b/>
          <w:bCs/>
        </w:rPr>
        <w:t>transferor</w:t>
      </w:r>
      <w:r w:rsidRPr="00397701">
        <w:rPr>
          <w:rFonts w:ascii="Times New Roman" w:hAnsi="Times New Roman" w:cs="Times New Roman"/>
        </w:rPr>
        <w:t xml:space="preserve">) but needs to be transferred to another (the </w:t>
      </w:r>
      <w:r w:rsidRPr="00397701">
        <w:rPr>
          <w:rFonts w:ascii="Times New Roman" w:hAnsi="Times New Roman" w:cs="Times New Roman"/>
          <w:b/>
          <w:bCs/>
        </w:rPr>
        <w:t>transferee</w:t>
      </w:r>
      <w:r w:rsidRPr="00397701">
        <w:rPr>
          <w:rFonts w:ascii="Times New Roman" w:hAnsi="Times New Roman" w:cs="Times New Roman"/>
        </w:rPr>
        <w:t>) for appropriate support:</w:t>
      </w:r>
    </w:p>
    <w:p w14:paraId="01435AF9" w14:textId="44FA1CC4" w:rsidR="007A6346" w:rsidRPr="00397701" w:rsidRDefault="007A6346" w:rsidP="001D0578">
      <w:pPr>
        <w:numPr>
          <w:ilvl w:val="0"/>
          <w:numId w:val="17"/>
        </w:numPr>
        <w:tabs>
          <w:tab w:val="num" w:pos="720"/>
        </w:tabs>
        <w:rPr>
          <w:rFonts w:ascii="Times New Roman" w:hAnsi="Times New Roman" w:cs="Times New Roman"/>
        </w:rPr>
      </w:pPr>
      <w:r w:rsidRPr="00397701">
        <w:rPr>
          <w:rFonts w:ascii="Times New Roman" w:hAnsi="Times New Roman" w:cs="Times New Roman"/>
        </w:rPr>
        <w:t>Paragraph 1</w:t>
      </w:r>
      <w:r w:rsidR="009E12C6" w:rsidRPr="00397701">
        <w:rPr>
          <w:rFonts w:ascii="Times New Roman" w:hAnsi="Times New Roman" w:cs="Times New Roman"/>
        </w:rPr>
        <w:t>5</w:t>
      </w:r>
      <w:r w:rsidRPr="00397701">
        <w:rPr>
          <w:rFonts w:ascii="Times New Roman" w:hAnsi="Times New Roman" w:cs="Times New Roman"/>
        </w:rPr>
        <w:t>(3) requires the transferor to offer a warm transfer</w:t>
      </w:r>
      <w:r w:rsidR="00EA356A" w:rsidRPr="00397701">
        <w:rPr>
          <w:rFonts w:ascii="Times New Roman" w:hAnsi="Times New Roman" w:cs="Times New Roman"/>
        </w:rPr>
        <w:t xml:space="preserve"> – </w:t>
      </w:r>
      <w:r w:rsidR="00EE6AA6" w:rsidRPr="00397701">
        <w:rPr>
          <w:rFonts w:ascii="Times New Roman" w:hAnsi="Times New Roman" w:cs="Times New Roman"/>
        </w:rPr>
        <w:t xml:space="preserve">which is defined in section </w:t>
      </w:r>
      <w:r w:rsidR="004742BA" w:rsidRPr="00397701">
        <w:rPr>
          <w:rFonts w:ascii="Times New Roman" w:hAnsi="Times New Roman" w:cs="Times New Roman"/>
        </w:rPr>
        <w:t xml:space="preserve">5 </w:t>
      </w:r>
      <w:r w:rsidR="008E7BF0" w:rsidRPr="00397701">
        <w:rPr>
          <w:rFonts w:ascii="Times New Roman" w:hAnsi="Times New Roman" w:cs="Times New Roman"/>
        </w:rPr>
        <w:t xml:space="preserve">and means that </w:t>
      </w:r>
      <w:r w:rsidRPr="00397701">
        <w:rPr>
          <w:rFonts w:ascii="Times New Roman" w:hAnsi="Times New Roman" w:cs="Times New Roman"/>
        </w:rPr>
        <w:t xml:space="preserve">the transferor </w:t>
      </w:r>
      <w:r w:rsidR="001E1490" w:rsidRPr="00397701">
        <w:rPr>
          <w:rFonts w:ascii="Times New Roman" w:hAnsi="Times New Roman" w:cs="Times New Roman"/>
        </w:rPr>
        <w:t xml:space="preserve">must </w:t>
      </w:r>
      <w:r w:rsidR="005407DA" w:rsidRPr="00397701">
        <w:rPr>
          <w:rFonts w:ascii="Times New Roman" w:hAnsi="Times New Roman" w:cs="Times New Roman"/>
        </w:rPr>
        <w:t xml:space="preserve">explain the details of the </w:t>
      </w:r>
      <w:r w:rsidR="00FC2CEF" w:rsidRPr="00397701">
        <w:rPr>
          <w:rFonts w:ascii="Times New Roman" w:hAnsi="Times New Roman" w:cs="Times New Roman"/>
        </w:rPr>
        <w:t xml:space="preserve">affected person’s query to the transferee </w:t>
      </w:r>
      <w:r w:rsidRPr="00397701">
        <w:rPr>
          <w:rFonts w:ascii="Times New Roman" w:hAnsi="Times New Roman" w:cs="Times New Roman"/>
        </w:rPr>
        <w:t xml:space="preserve">in the call or chat </w:t>
      </w:r>
      <w:r w:rsidR="00D13EC1" w:rsidRPr="00397701">
        <w:rPr>
          <w:rFonts w:ascii="Times New Roman" w:hAnsi="Times New Roman" w:cs="Times New Roman"/>
        </w:rPr>
        <w:t>before transferring the query</w:t>
      </w:r>
      <w:r w:rsidRPr="00397701">
        <w:rPr>
          <w:rFonts w:ascii="Times New Roman" w:hAnsi="Times New Roman" w:cs="Times New Roman"/>
        </w:rPr>
        <w:t xml:space="preserve">, </w:t>
      </w:r>
      <w:r w:rsidR="00EA356A" w:rsidRPr="00397701">
        <w:rPr>
          <w:rFonts w:ascii="Times New Roman" w:hAnsi="Times New Roman" w:cs="Times New Roman"/>
        </w:rPr>
        <w:t xml:space="preserve">to facilitate </w:t>
      </w:r>
      <w:r w:rsidRPr="00397701">
        <w:rPr>
          <w:rFonts w:ascii="Times New Roman" w:hAnsi="Times New Roman" w:cs="Times New Roman"/>
        </w:rPr>
        <w:t>a continuous and supported handover</w:t>
      </w:r>
      <w:r w:rsidR="0000531A" w:rsidRPr="00397701">
        <w:rPr>
          <w:rFonts w:ascii="Times New Roman" w:hAnsi="Times New Roman" w:cs="Times New Roman"/>
        </w:rPr>
        <w:t>.</w:t>
      </w:r>
    </w:p>
    <w:p w14:paraId="1005A30E" w14:textId="1980F7F5" w:rsidR="007A6346" w:rsidRPr="00397701" w:rsidRDefault="007A6346" w:rsidP="001D0578">
      <w:pPr>
        <w:numPr>
          <w:ilvl w:val="0"/>
          <w:numId w:val="17"/>
        </w:numPr>
        <w:tabs>
          <w:tab w:val="num" w:pos="720"/>
        </w:tabs>
        <w:rPr>
          <w:rFonts w:ascii="Times New Roman" w:hAnsi="Times New Roman" w:cs="Times New Roman"/>
        </w:rPr>
      </w:pPr>
      <w:r w:rsidRPr="00397701">
        <w:rPr>
          <w:rFonts w:ascii="Times New Roman" w:hAnsi="Times New Roman" w:cs="Times New Roman"/>
        </w:rPr>
        <w:t>Subsection 1</w:t>
      </w:r>
      <w:r w:rsidR="009E12C6" w:rsidRPr="00397701">
        <w:rPr>
          <w:rFonts w:ascii="Times New Roman" w:hAnsi="Times New Roman" w:cs="Times New Roman"/>
        </w:rPr>
        <w:t>5</w:t>
      </w:r>
      <w:r w:rsidRPr="00397701">
        <w:rPr>
          <w:rFonts w:ascii="Times New Roman" w:hAnsi="Times New Roman" w:cs="Times New Roman"/>
        </w:rPr>
        <w:t>(4) requires the provider to carry out the warm transfer if the offer is accepted by the affected person.</w:t>
      </w:r>
    </w:p>
    <w:p w14:paraId="434D0416" w14:textId="218DD91F" w:rsidR="007A6346" w:rsidRPr="00397701" w:rsidRDefault="392F2FAD" w:rsidP="392F2FAD">
      <w:pPr>
        <w:rPr>
          <w:rFonts w:ascii="Times New Roman" w:hAnsi="Times New Roman" w:cs="Times New Roman"/>
        </w:rPr>
      </w:pPr>
      <w:r w:rsidRPr="00397701">
        <w:rPr>
          <w:rFonts w:ascii="Times New Roman" w:hAnsi="Times New Roman" w:cs="Times New Roman"/>
        </w:rPr>
        <w:t>Th</w:t>
      </w:r>
      <w:r w:rsidR="00E938C1" w:rsidRPr="00397701">
        <w:rPr>
          <w:rFonts w:ascii="Times New Roman" w:hAnsi="Times New Roman" w:cs="Times New Roman"/>
        </w:rPr>
        <w:t>ese</w:t>
      </w:r>
      <w:r w:rsidRPr="00397701">
        <w:rPr>
          <w:rFonts w:ascii="Times New Roman" w:hAnsi="Times New Roman" w:cs="Times New Roman"/>
        </w:rPr>
        <w:t xml:space="preserve"> requirement</w:t>
      </w:r>
      <w:r w:rsidR="00E938C1" w:rsidRPr="00397701">
        <w:rPr>
          <w:rFonts w:ascii="Times New Roman" w:hAnsi="Times New Roman" w:cs="Times New Roman"/>
        </w:rPr>
        <w:t>s</w:t>
      </w:r>
      <w:r w:rsidRPr="00397701">
        <w:rPr>
          <w:rFonts w:ascii="Times New Roman" w:hAnsi="Times New Roman" w:cs="Times New Roman"/>
        </w:rPr>
        <w:t xml:space="preserve"> </w:t>
      </w:r>
      <w:r w:rsidR="00E938C1" w:rsidRPr="00397701">
        <w:rPr>
          <w:rFonts w:ascii="Times New Roman" w:hAnsi="Times New Roman" w:cs="Times New Roman"/>
        </w:rPr>
        <w:t>are designed to prevent the</w:t>
      </w:r>
      <w:r w:rsidRPr="00397701">
        <w:rPr>
          <w:rFonts w:ascii="Times New Roman" w:hAnsi="Times New Roman" w:cs="Times New Roman"/>
        </w:rPr>
        <w:t xml:space="preserve"> affected persons </w:t>
      </w:r>
      <w:r w:rsidR="00E938C1" w:rsidRPr="00397701">
        <w:rPr>
          <w:rFonts w:ascii="Times New Roman" w:hAnsi="Times New Roman" w:cs="Times New Roman"/>
        </w:rPr>
        <w:t>being</w:t>
      </w:r>
      <w:r w:rsidRPr="00397701">
        <w:rPr>
          <w:rFonts w:ascii="Times New Roman" w:hAnsi="Times New Roman" w:cs="Times New Roman"/>
        </w:rPr>
        <w:t xml:space="preserve"> </w:t>
      </w:r>
      <w:r w:rsidR="00E938C1" w:rsidRPr="00397701">
        <w:rPr>
          <w:rFonts w:ascii="Times New Roman" w:hAnsi="Times New Roman" w:cs="Times New Roman"/>
        </w:rPr>
        <w:t>obligated</w:t>
      </w:r>
      <w:r w:rsidRPr="00397701">
        <w:rPr>
          <w:rFonts w:ascii="Times New Roman" w:hAnsi="Times New Roman" w:cs="Times New Roman"/>
        </w:rPr>
        <w:t xml:space="preserve"> to repeat information, which may be distressing</w:t>
      </w:r>
      <w:r w:rsidR="001D3B23" w:rsidRPr="00397701">
        <w:rPr>
          <w:rFonts w:ascii="Times New Roman" w:hAnsi="Times New Roman" w:cs="Times New Roman"/>
        </w:rPr>
        <w:t>. P</w:t>
      </w:r>
      <w:r w:rsidR="004B0616" w:rsidRPr="00397701">
        <w:rPr>
          <w:rFonts w:ascii="Times New Roman" w:hAnsi="Times New Roman" w:cs="Times New Roman"/>
        </w:rPr>
        <w:t xml:space="preserve">ersonal information collected by a provider when actioning a </w:t>
      </w:r>
      <w:r w:rsidR="00162E27" w:rsidRPr="00397701">
        <w:rPr>
          <w:rFonts w:ascii="Times New Roman" w:hAnsi="Times New Roman" w:cs="Times New Roman"/>
        </w:rPr>
        <w:t>“</w:t>
      </w:r>
      <w:r w:rsidR="004B0616" w:rsidRPr="00397701">
        <w:rPr>
          <w:rFonts w:ascii="Times New Roman" w:hAnsi="Times New Roman" w:cs="Times New Roman"/>
        </w:rPr>
        <w:t>warm transfer</w:t>
      </w:r>
      <w:r w:rsidR="00162E27" w:rsidRPr="00397701">
        <w:rPr>
          <w:rFonts w:ascii="Times New Roman" w:hAnsi="Times New Roman" w:cs="Times New Roman"/>
        </w:rPr>
        <w:t>”</w:t>
      </w:r>
      <w:r w:rsidR="004B0616" w:rsidRPr="00397701">
        <w:rPr>
          <w:rFonts w:ascii="Times New Roman" w:hAnsi="Times New Roman" w:cs="Times New Roman"/>
        </w:rPr>
        <w:t xml:space="preserve"> under section 1</w:t>
      </w:r>
      <w:r w:rsidR="009E12C6" w:rsidRPr="00397701">
        <w:rPr>
          <w:rFonts w:ascii="Times New Roman" w:hAnsi="Times New Roman" w:cs="Times New Roman"/>
        </w:rPr>
        <w:t>5</w:t>
      </w:r>
      <w:r w:rsidR="004B0616" w:rsidRPr="00397701">
        <w:rPr>
          <w:rFonts w:ascii="Times New Roman" w:hAnsi="Times New Roman" w:cs="Times New Roman"/>
        </w:rPr>
        <w:t xml:space="preserve"> should not be recorded</w:t>
      </w:r>
      <w:r w:rsidR="001D3B23" w:rsidRPr="00397701">
        <w:rPr>
          <w:rFonts w:ascii="Times New Roman" w:hAnsi="Times New Roman" w:cs="Times New Roman"/>
        </w:rPr>
        <w:t xml:space="preserve"> to protect the privacy and security of affected persons</w:t>
      </w:r>
      <w:r w:rsidR="004A4BA5" w:rsidRPr="00397701">
        <w:rPr>
          <w:rFonts w:ascii="Times New Roman" w:hAnsi="Times New Roman" w:cs="Times New Roman"/>
        </w:rPr>
        <w:t xml:space="preserve"> (see subsection 31</w:t>
      </w:r>
      <w:r w:rsidR="00F359E1" w:rsidRPr="00397701">
        <w:rPr>
          <w:rFonts w:ascii="Times New Roman" w:hAnsi="Times New Roman" w:cs="Times New Roman"/>
        </w:rPr>
        <w:t>(3))</w:t>
      </w:r>
      <w:r w:rsidR="001D3B23" w:rsidRPr="00397701">
        <w:rPr>
          <w:rFonts w:ascii="Times New Roman" w:hAnsi="Times New Roman" w:cs="Times New Roman"/>
        </w:rPr>
        <w:t>.</w:t>
      </w:r>
    </w:p>
    <w:p w14:paraId="7CA2A794" w14:textId="6187E7BD" w:rsidR="007A6346" w:rsidRPr="00397701" w:rsidRDefault="007A6346" w:rsidP="007A6346">
      <w:pPr>
        <w:rPr>
          <w:rFonts w:ascii="Times New Roman" w:hAnsi="Times New Roman" w:cs="Times New Roman"/>
        </w:rPr>
      </w:pPr>
      <w:r w:rsidRPr="00397701">
        <w:rPr>
          <w:rFonts w:ascii="Times New Roman" w:hAnsi="Times New Roman" w:cs="Times New Roman"/>
        </w:rPr>
        <w:t>Subsection 1</w:t>
      </w:r>
      <w:r w:rsidR="009E12C6" w:rsidRPr="00397701">
        <w:rPr>
          <w:rFonts w:ascii="Times New Roman" w:hAnsi="Times New Roman" w:cs="Times New Roman"/>
        </w:rPr>
        <w:t>5</w:t>
      </w:r>
      <w:r w:rsidRPr="00397701">
        <w:rPr>
          <w:rFonts w:ascii="Times New Roman" w:hAnsi="Times New Roman" w:cs="Times New Roman"/>
        </w:rPr>
        <w:t xml:space="preserve">(5) provides that, where an affected person raises domestic and family violence as a safety concern and makes a request about how their bill is to be received (e.g. requesting a change of delivery method or </w:t>
      </w:r>
      <w:r w:rsidR="00BC7E74" w:rsidRPr="00397701">
        <w:rPr>
          <w:rFonts w:ascii="Times New Roman" w:hAnsi="Times New Roman" w:cs="Times New Roman"/>
        </w:rPr>
        <w:t>a</w:t>
      </w:r>
      <w:r w:rsidRPr="00397701">
        <w:rPr>
          <w:rFonts w:ascii="Times New Roman" w:hAnsi="Times New Roman" w:cs="Times New Roman"/>
        </w:rPr>
        <w:t xml:space="preserve"> billing address), the provider must comply with the request if it is able to do so. This supports safety planning and helps prevent inadvertent disclosure of the affected person’s situation or location.</w:t>
      </w:r>
    </w:p>
    <w:p w14:paraId="0703CA5C" w14:textId="59CF3AEC" w:rsidR="007A6346" w:rsidRPr="00397701" w:rsidRDefault="007A6346" w:rsidP="007A6346">
      <w:pPr>
        <w:rPr>
          <w:rFonts w:ascii="Times New Roman" w:hAnsi="Times New Roman" w:cs="Times New Roman"/>
        </w:rPr>
      </w:pPr>
      <w:r w:rsidRPr="00397701">
        <w:rPr>
          <w:rFonts w:ascii="Times New Roman" w:hAnsi="Times New Roman" w:cs="Times New Roman"/>
        </w:rPr>
        <w:t xml:space="preserve">Together, the provisions in section </w:t>
      </w:r>
      <w:r w:rsidR="00162E27" w:rsidRPr="00397701">
        <w:rPr>
          <w:rFonts w:ascii="Times New Roman" w:hAnsi="Times New Roman" w:cs="Times New Roman"/>
        </w:rPr>
        <w:t xml:space="preserve">15 </w:t>
      </w:r>
      <w:r w:rsidRPr="00397701">
        <w:rPr>
          <w:rFonts w:ascii="Times New Roman" w:hAnsi="Times New Roman" w:cs="Times New Roman"/>
        </w:rPr>
        <w:t xml:space="preserve">are designed to reduce the risk of further harm or re-traumatisation through provider communication practices, while also </w:t>
      </w:r>
      <w:r w:rsidR="00213389" w:rsidRPr="00397701">
        <w:rPr>
          <w:rFonts w:ascii="Times New Roman" w:hAnsi="Times New Roman" w:cs="Times New Roman"/>
        </w:rPr>
        <w:t>treating the</w:t>
      </w:r>
      <w:r w:rsidRPr="00397701">
        <w:rPr>
          <w:rFonts w:ascii="Times New Roman" w:hAnsi="Times New Roman" w:cs="Times New Roman"/>
        </w:rPr>
        <w:t xml:space="preserve"> affected persons with dignity, discretion, and care.</w:t>
      </w:r>
    </w:p>
    <w:p w14:paraId="41E7F7EB" w14:textId="1D3DDC21" w:rsidR="004E5891" w:rsidRPr="00397701" w:rsidRDefault="004E5891" w:rsidP="004E5891">
      <w:pPr>
        <w:rPr>
          <w:rFonts w:ascii="Times New Roman" w:hAnsi="Times New Roman" w:cs="Times New Roman"/>
          <w:b/>
        </w:rPr>
      </w:pPr>
      <w:r w:rsidRPr="00397701">
        <w:rPr>
          <w:rFonts w:ascii="Times New Roman" w:hAnsi="Times New Roman" w:cs="Times New Roman"/>
          <w:b/>
        </w:rPr>
        <w:t>Part 4 –Requirements relating to availability of DFV support information</w:t>
      </w:r>
    </w:p>
    <w:p w14:paraId="0DBE5C90" w14:textId="4F41E6EA" w:rsidR="00AC6C76" w:rsidRPr="00397701" w:rsidRDefault="009E12C6" w:rsidP="392F2FAD">
      <w:pPr>
        <w:rPr>
          <w:rFonts w:ascii="Times New Roman" w:hAnsi="Times New Roman" w:cs="Times New Roman"/>
          <w:b/>
          <w:bCs/>
        </w:rPr>
      </w:pPr>
      <w:r w:rsidRPr="00397701">
        <w:rPr>
          <w:rFonts w:ascii="Times New Roman" w:hAnsi="Times New Roman" w:cs="Times New Roman"/>
          <w:b/>
          <w:bCs/>
        </w:rPr>
        <w:t>16</w:t>
      </w:r>
      <w:r w:rsidR="00AC6C76" w:rsidRPr="00397701">
        <w:rPr>
          <w:rFonts w:ascii="Times New Roman" w:hAnsi="Times New Roman" w:cs="Times New Roman"/>
          <w:b/>
          <w:bCs/>
        </w:rPr>
        <w:tab/>
      </w:r>
      <w:r w:rsidR="006F0FF3" w:rsidRPr="00397701">
        <w:rPr>
          <w:rFonts w:ascii="Times New Roman" w:hAnsi="Times New Roman" w:cs="Times New Roman"/>
          <w:b/>
          <w:bCs/>
        </w:rPr>
        <w:t>Requirement to p</w:t>
      </w:r>
      <w:r w:rsidR="00AC6C76" w:rsidRPr="00397701">
        <w:rPr>
          <w:rFonts w:ascii="Times New Roman" w:hAnsi="Times New Roman" w:cs="Times New Roman"/>
          <w:b/>
          <w:bCs/>
        </w:rPr>
        <w:t>ublish</w:t>
      </w:r>
      <w:r w:rsidR="00222B92" w:rsidRPr="00397701">
        <w:rPr>
          <w:rFonts w:ascii="Times New Roman" w:hAnsi="Times New Roman" w:cs="Times New Roman"/>
          <w:b/>
          <w:bCs/>
        </w:rPr>
        <w:t>,</w:t>
      </w:r>
      <w:r w:rsidR="00AC6C76" w:rsidRPr="00397701">
        <w:rPr>
          <w:rFonts w:ascii="Times New Roman" w:hAnsi="Times New Roman" w:cs="Times New Roman"/>
          <w:b/>
          <w:bCs/>
        </w:rPr>
        <w:t xml:space="preserve"> </w:t>
      </w:r>
      <w:r w:rsidR="00920D08" w:rsidRPr="00397701">
        <w:rPr>
          <w:rFonts w:ascii="Times New Roman" w:hAnsi="Times New Roman" w:cs="Times New Roman"/>
          <w:b/>
          <w:bCs/>
        </w:rPr>
        <w:t xml:space="preserve">on commencement </w:t>
      </w:r>
      <w:r w:rsidR="00222B92" w:rsidRPr="00397701">
        <w:rPr>
          <w:rFonts w:ascii="Times New Roman" w:hAnsi="Times New Roman" w:cs="Times New Roman"/>
          <w:b/>
          <w:bCs/>
        </w:rPr>
        <w:t xml:space="preserve">of this provision, information relating to </w:t>
      </w:r>
      <w:r w:rsidR="00920D08" w:rsidRPr="00397701">
        <w:rPr>
          <w:rFonts w:ascii="Times New Roman" w:hAnsi="Times New Roman" w:cs="Times New Roman"/>
          <w:b/>
          <w:bCs/>
        </w:rPr>
        <w:t xml:space="preserve">available </w:t>
      </w:r>
      <w:r w:rsidR="00AC6C76" w:rsidRPr="00397701">
        <w:rPr>
          <w:rFonts w:ascii="Times New Roman" w:hAnsi="Times New Roman" w:cs="Times New Roman"/>
          <w:b/>
          <w:bCs/>
        </w:rPr>
        <w:t xml:space="preserve">support </w:t>
      </w:r>
      <w:r w:rsidR="00FB62F5" w:rsidRPr="00397701">
        <w:rPr>
          <w:rFonts w:ascii="Times New Roman" w:hAnsi="Times New Roman" w:cs="Times New Roman"/>
          <w:b/>
          <w:bCs/>
        </w:rPr>
        <w:t>for affected persons</w:t>
      </w:r>
    </w:p>
    <w:p w14:paraId="0DE64A33" w14:textId="5A1CC981" w:rsidR="00AC6C76" w:rsidRPr="00397701" w:rsidRDefault="00AC6C76" w:rsidP="00AC6C76">
      <w:pPr>
        <w:rPr>
          <w:rFonts w:ascii="Times New Roman" w:hAnsi="Times New Roman" w:cs="Times New Roman"/>
        </w:rPr>
      </w:pPr>
      <w:r w:rsidRPr="00397701">
        <w:rPr>
          <w:rFonts w:ascii="Times New Roman" w:hAnsi="Times New Roman" w:cs="Times New Roman"/>
        </w:rPr>
        <w:t xml:space="preserve">Section </w:t>
      </w:r>
      <w:r w:rsidR="009E12C6" w:rsidRPr="00397701">
        <w:rPr>
          <w:rFonts w:ascii="Times New Roman" w:hAnsi="Times New Roman" w:cs="Times New Roman"/>
        </w:rPr>
        <w:t>16</w:t>
      </w:r>
      <w:r w:rsidRPr="00397701">
        <w:rPr>
          <w:rFonts w:ascii="Times New Roman" w:hAnsi="Times New Roman" w:cs="Times New Roman"/>
        </w:rPr>
        <w:t xml:space="preserve"> </w:t>
      </w:r>
      <w:r w:rsidR="008D77F8" w:rsidRPr="00397701">
        <w:rPr>
          <w:rFonts w:ascii="Times New Roman" w:hAnsi="Times New Roman" w:cs="Times New Roman"/>
        </w:rPr>
        <w:t xml:space="preserve">is an interim provision that </w:t>
      </w:r>
      <w:r w:rsidR="00613394" w:rsidRPr="00397701">
        <w:rPr>
          <w:rFonts w:ascii="Times New Roman" w:hAnsi="Times New Roman" w:cs="Times New Roman"/>
        </w:rPr>
        <w:t xml:space="preserve">applies </w:t>
      </w:r>
      <w:r w:rsidR="00607C9C" w:rsidRPr="00397701">
        <w:rPr>
          <w:rFonts w:ascii="Times New Roman" w:hAnsi="Times New Roman" w:cs="Times New Roman"/>
        </w:rPr>
        <w:t xml:space="preserve">from 1 July 2025 and </w:t>
      </w:r>
      <w:r w:rsidRPr="00397701">
        <w:rPr>
          <w:rFonts w:ascii="Times New Roman" w:hAnsi="Times New Roman" w:cs="Times New Roman"/>
        </w:rPr>
        <w:t xml:space="preserve">requires providers </w:t>
      </w:r>
      <w:r w:rsidR="008D77F8" w:rsidRPr="00397701">
        <w:rPr>
          <w:rFonts w:ascii="Times New Roman" w:hAnsi="Times New Roman" w:cs="Times New Roman"/>
        </w:rPr>
        <w:t xml:space="preserve">to </w:t>
      </w:r>
      <w:r w:rsidRPr="00397701">
        <w:rPr>
          <w:rFonts w:ascii="Times New Roman" w:hAnsi="Times New Roman" w:cs="Times New Roman"/>
        </w:rPr>
        <w:t>publish information that informs consumers about the provider’s DFV-related supports and how to access relevant assistance that is available on commencement. This recognises the importance of consumers and affected persons having a clear</w:t>
      </w:r>
      <w:r w:rsidR="00F40D1C" w:rsidRPr="00397701">
        <w:rPr>
          <w:rFonts w:ascii="Times New Roman" w:hAnsi="Times New Roman" w:cs="Times New Roman"/>
        </w:rPr>
        <w:t xml:space="preserve"> and immediate</w:t>
      </w:r>
      <w:r w:rsidRPr="00397701">
        <w:rPr>
          <w:rFonts w:ascii="Times New Roman" w:hAnsi="Times New Roman" w:cs="Times New Roman"/>
        </w:rPr>
        <w:t xml:space="preserve"> understanding of what support is available to them and how to access that</w:t>
      </w:r>
      <w:r w:rsidR="007B03A1" w:rsidRPr="00397701">
        <w:rPr>
          <w:rFonts w:ascii="Times New Roman" w:hAnsi="Times New Roman" w:cs="Times New Roman"/>
        </w:rPr>
        <w:t xml:space="preserve"> information.  </w:t>
      </w:r>
    </w:p>
    <w:p w14:paraId="6FF88983" w14:textId="1D6B4430" w:rsidR="00F40D1C" w:rsidRPr="00397701" w:rsidRDefault="00F40D1C" w:rsidP="00AC6C76">
      <w:pPr>
        <w:rPr>
          <w:rFonts w:ascii="Times New Roman" w:hAnsi="Times New Roman" w:cs="Times New Roman"/>
        </w:rPr>
      </w:pPr>
      <w:r w:rsidRPr="00397701">
        <w:rPr>
          <w:rFonts w:ascii="Times New Roman" w:hAnsi="Times New Roman" w:cs="Times New Roman"/>
        </w:rPr>
        <w:t xml:space="preserve">Subsection </w:t>
      </w:r>
      <w:r w:rsidR="00515B85" w:rsidRPr="00397701">
        <w:rPr>
          <w:rFonts w:ascii="Times New Roman" w:hAnsi="Times New Roman" w:cs="Times New Roman"/>
        </w:rPr>
        <w:t>16</w:t>
      </w:r>
      <w:r w:rsidRPr="00397701">
        <w:rPr>
          <w:rFonts w:ascii="Times New Roman" w:hAnsi="Times New Roman" w:cs="Times New Roman"/>
        </w:rPr>
        <w:t xml:space="preserve">(1) requires a provider to publish information on its website about what support it offers to affected persons and </w:t>
      </w:r>
      <w:r w:rsidR="00794533" w:rsidRPr="00397701">
        <w:rPr>
          <w:rFonts w:ascii="Times New Roman" w:hAnsi="Times New Roman" w:cs="Times New Roman"/>
        </w:rPr>
        <w:t xml:space="preserve">how </w:t>
      </w:r>
      <w:r w:rsidRPr="00397701">
        <w:rPr>
          <w:rFonts w:ascii="Times New Roman" w:hAnsi="Times New Roman" w:cs="Times New Roman"/>
        </w:rPr>
        <w:t xml:space="preserve">the affected person can access that support. This information should refer to any DFV support the provider currently has in place at the commencement of </w:t>
      </w:r>
      <w:r w:rsidR="008427E8" w:rsidRPr="00397701">
        <w:rPr>
          <w:rFonts w:ascii="Times New Roman" w:hAnsi="Times New Roman" w:cs="Times New Roman"/>
        </w:rPr>
        <w:t xml:space="preserve">the </w:t>
      </w:r>
      <w:r w:rsidRPr="00397701">
        <w:rPr>
          <w:rFonts w:ascii="Times New Roman" w:hAnsi="Times New Roman" w:cs="Times New Roman"/>
        </w:rPr>
        <w:t>Standard.</w:t>
      </w:r>
    </w:p>
    <w:p w14:paraId="510E6858" w14:textId="68FE208D" w:rsidR="00F40D1C" w:rsidRPr="00397701" w:rsidRDefault="00F40D1C" w:rsidP="00AC6C76">
      <w:pPr>
        <w:rPr>
          <w:rFonts w:ascii="Times New Roman" w:hAnsi="Times New Roman" w:cs="Times New Roman"/>
        </w:rPr>
      </w:pPr>
      <w:r w:rsidRPr="00397701">
        <w:rPr>
          <w:rFonts w:ascii="Times New Roman" w:hAnsi="Times New Roman" w:cs="Times New Roman"/>
        </w:rPr>
        <w:lastRenderedPageBreak/>
        <w:t xml:space="preserve">Subsection </w:t>
      </w:r>
      <w:r w:rsidR="00515B85" w:rsidRPr="00397701">
        <w:rPr>
          <w:rFonts w:ascii="Times New Roman" w:hAnsi="Times New Roman" w:cs="Times New Roman"/>
        </w:rPr>
        <w:t>16</w:t>
      </w:r>
      <w:r w:rsidRPr="00397701">
        <w:rPr>
          <w:rFonts w:ascii="Times New Roman" w:hAnsi="Times New Roman" w:cs="Times New Roman"/>
        </w:rPr>
        <w:t>(2) applies to providers who may not offer any specific support to affected persons at the commencement of the Standard. It requires that these providers publish specified information for affected persons. This includes:</w:t>
      </w:r>
    </w:p>
    <w:p w14:paraId="16A530C0" w14:textId="3723B59D" w:rsidR="00AC6C76" w:rsidRPr="00397701" w:rsidRDefault="00F40D1C" w:rsidP="001D0578">
      <w:pPr>
        <w:pStyle w:val="ListParagraph"/>
        <w:numPr>
          <w:ilvl w:val="0"/>
          <w:numId w:val="38"/>
        </w:numPr>
        <w:rPr>
          <w:rFonts w:ascii="Times New Roman" w:hAnsi="Times New Roman" w:cs="Times New Roman"/>
        </w:rPr>
      </w:pPr>
      <w:r w:rsidRPr="00397701">
        <w:rPr>
          <w:rFonts w:ascii="Times New Roman" w:hAnsi="Times New Roman" w:cs="Times New Roman"/>
        </w:rPr>
        <w:t>Paragraph (a) – information for one or more organisation</w:t>
      </w:r>
      <w:r w:rsidR="008427E8" w:rsidRPr="00397701">
        <w:rPr>
          <w:rFonts w:ascii="Times New Roman" w:hAnsi="Times New Roman" w:cs="Times New Roman"/>
        </w:rPr>
        <w:t>s that</w:t>
      </w:r>
      <w:r w:rsidRPr="00397701">
        <w:rPr>
          <w:rFonts w:ascii="Times New Roman" w:hAnsi="Times New Roman" w:cs="Times New Roman"/>
        </w:rPr>
        <w:t xml:space="preserve"> an affected person can contact for support in relation to domestic and family violence</w:t>
      </w:r>
      <w:r w:rsidR="008427E8" w:rsidRPr="00397701">
        <w:rPr>
          <w:rFonts w:ascii="Times New Roman" w:hAnsi="Times New Roman" w:cs="Times New Roman"/>
        </w:rPr>
        <w:t>,</w:t>
      </w:r>
      <w:r w:rsidRPr="00397701">
        <w:rPr>
          <w:rFonts w:ascii="Times New Roman" w:hAnsi="Times New Roman" w:cs="Times New Roman"/>
        </w:rPr>
        <w:t xml:space="preserve"> including contact details</w:t>
      </w:r>
      <w:r w:rsidR="008427E8" w:rsidRPr="00397701">
        <w:rPr>
          <w:rFonts w:ascii="Times New Roman" w:hAnsi="Times New Roman" w:cs="Times New Roman"/>
        </w:rPr>
        <w:t>,</w:t>
      </w:r>
      <w:r w:rsidRPr="00397701">
        <w:rPr>
          <w:rFonts w:ascii="Times New Roman" w:hAnsi="Times New Roman" w:cs="Times New Roman"/>
        </w:rPr>
        <w:t xml:space="preserve"> for example 1800RESEPECT or the details of a State or Territory DFV support service.</w:t>
      </w:r>
    </w:p>
    <w:p w14:paraId="71345607" w14:textId="0C9ACABA" w:rsidR="00F40D1C" w:rsidRPr="00397701" w:rsidRDefault="00F40D1C" w:rsidP="001D0578">
      <w:pPr>
        <w:pStyle w:val="ListParagraph"/>
        <w:numPr>
          <w:ilvl w:val="0"/>
          <w:numId w:val="38"/>
        </w:numPr>
        <w:rPr>
          <w:rFonts w:ascii="Times New Roman" w:hAnsi="Times New Roman" w:cs="Times New Roman"/>
        </w:rPr>
      </w:pPr>
      <w:r w:rsidRPr="00397701">
        <w:rPr>
          <w:rFonts w:ascii="Times New Roman" w:hAnsi="Times New Roman" w:cs="Times New Roman"/>
        </w:rPr>
        <w:t xml:space="preserve">Paragraph (b) – a statement </w:t>
      </w:r>
      <w:r w:rsidR="008427E8" w:rsidRPr="00397701">
        <w:rPr>
          <w:rFonts w:ascii="Times New Roman" w:hAnsi="Times New Roman" w:cs="Times New Roman"/>
        </w:rPr>
        <w:t xml:space="preserve">that </w:t>
      </w:r>
      <w:r w:rsidRPr="00397701">
        <w:rPr>
          <w:rFonts w:ascii="Times New Roman" w:hAnsi="Times New Roman" w:cs="Times New Roman"/>
        </w:rPr>
        <w:t xml:space="preserve">the provider will have DFV support in place by the date </w:t>
      </w:r>
      <w:r w:rsidR="00944141" w:rsidRPr="00397701">
        <w:rPr>
          <w:rFonts w:ascii="Times New Roman" w:hAnsi="Times New Roman" w:cs="Times New Roman"/>
        </w:rPr>
        <w:t xml:space="preserve">on </w:t>
      </w:r>
      <w:r w:rsidRPr="00397701">
        <w:rPr>
          <w:rFonts w:ascii="Times New Roman" w:hAnsi="Times New Roman" w:cs="Times New Roman"/>
        </w:rPr>
        <w:t xml:space="preserve">which </w:t>
      </w:r>
      <w:r w:rsidR="00F07CB0" w:rsidRPr="00397701">
        <w:rPr>
          <w:rFonts w:ascii="Times New Roman" w:hAnsi="Times New Roman" w:cs="Times New Roman"/>
        </w:rPr>
        <w:t xml:space="preserve">section 17 </w:t>
      </w:r>
      <w:r w:rsidRPr="00397701">
        <w:rPr>
          <w:rFonts w:ascii="Times New Roman" w:hAnsi="Times New Roman" w:cs="Times New Roman"/>
        </w:rPr>
        <w:t>applies to them under the Standard</w:t>
      </w:r>
      <w:r w:rsidR="00944141" w:rsidRPr="00397701">
        <w:rPr>
          <w:rFonts w:ascii="Times New Roman" w:hAnsi="Times New Roman" w:cs="Times New Roman"/>
        </w:rPr>
        <w:t xml:space="preserve"> (that is, </w:t>
      </w:r>
      <w:r w:rsidR="00F07CB0" w:rsidRPr="00397701">
        <w:rPr>
          <w:rFonts w:ascii="Times New Roman" w:hAnsi="Times New Roman" w:cs="Times New Roman"/>
        </w:rPr>
        <w:t>1 January 2026 for large providers and 1 April 2026 for small providers)</w:t>
      </w:r>
      <w:r w:rsidRPr="00397701">
        <w:rPr>
          <w:rFonts w:ascii="Times New Roman" w:hAnsi="Times New Roman" w:cs="Times New Roman"/>
        </w:rPr>
        <w:t>.</w:t>
      </w:r>
    </w:p>
    <w:p w14:paraId="20F7F30E" w14:textId="296005D5" w:rsidR="00F40D1C" w:rsidRPr="00397701" w:rsidRDefault="00F40D1C" w:rsidP="001D0578">
      <w:pPr>
        <w:pStyle w:val="ListParagraph"/>
        <w:numPr>
          <w:ilvl w:val="0"/>
          <w:numId w:val="38"/>
        </w:numPr>
        <w:rPr>
          <w:rFonts w:ascii="Times New Roman" w:hAnsi="Times New Roman" w:cs="Times New Roman"/>
        </w:rPr>
      </w:pPr>
      <w:r w:rsidRPr="00397701">
        <w:rPr>
          <w:rFonts w:ascii="Times New Roman" w:hAnsi="Times New Roman" w:cs="Times New Roman"/>
        </w:rPr>
        <w:t xml:space="preserve">Paragraph (c) </w:t>
      </w:r>
      <w:r w:rsidR="001D0578" w:rsidRPr="00397701">
        <w:rPr>
          <w:rFonts w:ascii="Times New Roman" w:hAnsi="Times New Roman" w:cs="Times New Roman"/>
        </w:rPr>
        <w:t>–</w:t>
      </w:r>
      <w:r w:rsidRPr="00397701">
        <w:rPr>
          <w:rFonts w:ascii="Times New Roman" w:hAnsi="Times New Roman" w:cs="Times New Roman"/>
        </w:rPr>
        <w:t xml:space="preserve"> </w:t>
      </w:r>
      <w:r w:rsidR="001D0578" w:rsidRPr="00397701">
        <w:rPr>
          <w:rFonts w:ascii="Times New Roman" w:hAnsi="Times New Roman" w:cs="Times New Roman"/>
        </w:rPr>
        <w:t>details of where the affected person should direct their queries for support from the provider until the provider</w:t>
      </w:r>
      <w:r w:rsidR="00F07CB0" w:rsidRPr="00397701">
        <w:rPr>
          <w:rFonts w:ascii="Times New Roman" w:hAnsi="Times New Roman" w:cs="Times New Roman"/>
        </w:rPr>
        <w:t>’</w:t>
      </w:r>
      <w:r w:rsidR="001D0578" w:rsidRPr="00397701">
        <w:rPr>
          <w:rFonts w:ascii="Times New Roman" w:hAnsi="Times New Roman" w:cs="Times New Roman"/>
        </w:rPr>
        <w:t>s DFV support arrangements are in place.</w:t>
      </w:r>
    </w:p>
    <w:p w14:paraId="708292F4" w14:textId="30BC6391" w:rsidR="00515B85" w:rsidRPr="00397701" w:rsidRDefault="00515B85" w:rsidP="00515B85">
      <w:pPr>
        <w:rPr>
          <w:rFonts w:ascii="Times New Roman" w:hAnsi="Times New Roman" w:cs="Times New Roman"/>
        </w:rPr>
      </w:pPr>
      <w:r w:rsidRPr="00397701">
        <w:rPr>
          <w:rFonts w:ascii="Times New Roman" w:hAnsi="Times New Roman" w:cs="Times New Roman"/>
        </w:rPr>
        <w:t>This provision will cease operation</w:t>
      </w:r>
      <w:r w:rsidR="00D104C1" w:rsidRPr="00397701">
        <w:rPr>
          <w:rFonts w:ascii="Times New Roman" w:hAnsi="Times New Roman" w:cs="Times New Roman"/>
        </w:rPr>
        <w:t xml:space="preserve"> on</w:t>
      </w:r>
      <w:r w:rsidRPr="00397701">
        <w:rPr>
          <w:rFonts w:ascii="Times New Roman" w:hAnsi="Times New Roman" w:cs="Times New Roman"/>
        </w:rPr>
        <w:t xml:space="preserve"> the day before the obligation to publish a DFV Statement under section 17 takes effect, which is 31 December 2025 for large providers, and on 31 March 2026 for small providers.</w:t>
      </w:r>
      <w:r w:rsidR="00FA75D9" w:rsidRPr="00397701">
        <w:rPr>
          <w:rFonts w:ascii="Times New Roman" w:hAnsi="Times New Roman" w:cs="Times New Roman"/>
        </w:rPr>
        <w:t xml:space="preserve">  This balances the need for appropriate consultation and implementation timeframes to deliver </w:t>
      </w:r>
      <w:r w:rsidR="004204A4" w:rsidRPr="00397701">
        <w:rPr>
          <w:rFonts w:ascii="Times New Roman" w:hAnsi="Times New Roman" w:cs="Times New Roman"/>
        </w:rPr>
        <w:t xml:space="preserve">the </w:t>
      </w:r>
      <w:r w:rsidR="00794533" w:rsidRPr="00397701">
        <w:rPr>
          <w:rFonts w:ascii="Times New Roman" w:hAnsi="Times New Roman" w:cs="Times New Roman"/>
        </w:rPr>
        <w:t xml:space="preserve">requirements of </w:t>
      </w:r>
      <w:r w:rsidR="004204A4" w:rsidRPr="00397701">
        <w:rPr>
          <w:rFonts w:ascii="Times New Roman" w:hAnsi="Times New Roman" w:cs="Times New Roman"/>
        </w:rPr>
        <w:t>section 17</w:t>
      </w:r>
      <w:r w:rsidR="00FA75D9" w:rsidRPr="00397701">
        <w:rPr>
          <w:rFonts w:ascii="Times New Roman" w:hAnsi="Times New Roman" w:cs="Times New Roman"/>
        </w:rPr>
        <w:t>.</w:t>
      </w:r>
    </w:p>
    <w:p w14:paraId="6E6ABD63" w14:textId="2A96A1E4" w:rsidR="004E5891" w:rsidRPr="00397701" w:rsidRDefault="004E5891" w:rsidP="392F2FAD">
      <w:pPr>
        <w:rPr>
          <w:rFonts w:ascii="Times New Roman" w:hAnsi="Times New Roman" w:cs="Times New Roman"/>
          <w:b/>
          <w:bCs/>
        </w:rPr>
      </w:pPr>
      <w:r w:rsidRPr="00397701">
        <w:rPr>
          <w:rFonts w:ascii="Times New Roman" w:hAnsi="Times New Roman" w:cs="Times New Roman"/>
          <w:b/>
          <w:bCs/>
        </w:rPr>
        <w:t>Section 1</w:t>
      </w:r>
      <w:r w:rsidR="009E12C6" w:rsidRPr="00397701">
        <w:rPr>
          <w:rFonts w:ascii="Times New Roman" w:hAnsi="Times New Roman" w:cs="Times New Roman"/>
          <w:b/>
          <w:bCs/>
        </w:rPr>
        <w:t>7</w:t>
      </w:r>
      <w:r w:rsidRPr="00397701">
        <w:rPr>
          <w:rFonts w:ascii="Times New Roman" w:hAnsi="Times New Roman" w:cs="Times New Roman"/>
          <w:b/>
          <w:bCs/>
        </w:rPr>
        <w:t xml:space="preserve"> </w:t>
      </w:r>
      <w:r w:rsidRPr="00397701">
        <w:rPr>
          <w:rFonts w:ascii="Times New Roman" w:hAnsi="Times New Roman" w:cs="Times New Roman"/>
          <w:b/>
        </w:rPr>
        <w:tab/>
      </w:r>
      <w:r w:rsidR="005B59CD" w:rsidRPr="00397701">
        <w:rPr>
          <w:rFonts w:ascii="Times New Roman" w:hAnsi="Times New Roman" w:cs="Times New Roman"/>
          <w:b/>
        </w:rPr>
        <w:t>Requirement to p</w:t>
      </w:r>
      <w:r w:rsidRPr="00397701">
        <w:rPr>
          <w:rFonts w:ascii="Times New Roman" w:hAnsi="Times New Roman" w:cs="Times New Roman"/>
          <w:b/>
          <w:bCs/>
        </w:rPr>
        <w:t xml:space="preserve">ublish a DFV Statement </w:t>
      </w:r>
    </w:p>
    <w:p w14:paraId="4C769816" w14:textId="5E488626" w:rsidR="004E5891" w:rsidRPr="00397701" w:rsidRDefault="004E5891" w:rsidP="004E5891">
      <w:pPr>
        <w:rPr>
          <w:rFonts w:ascii="Times New Roman" w:hAnsi="Times New Roman" w:cs="Times New Roman"/>
        </w:rPr>
      </w:pPr>
      <w:r w:rsidRPr="00397701">
        <w:rPr>
          <w:rFonts w:ascii="Times New Roman" w:hAnsi="Times New Roman" w:cs="Times New Roman"/>
        </w:rPr>
        <w:t>Section 1</w:t>
      </w:r>
      <w:r w:rsidR="009E12C6" w:rsidRPr="00397701">
        <w:rPr>
          <w:rFonts w:ascii="Times New Roman" w:hAnsi="Times New Roman" w:cs="Times New Roman"/>
        </w:rPr>
        <w:t>7</w:t>
      </w:r>
      <w:r w:rsidRPr="00397701">
        <w:rPr>
          <w:rFonts w:ascii="Times New Roman" w:hAnsi="Times New Roman" w:cs="Times New Roman"/>
        </w:rPr>
        <w:t xml:space="preserve"> requires providers to make publicly available a Domestic and Family Violence (DFV) Statement that informs consumers about the provider’s DFV-related supports, commitments, and how to access relevant assistance.</w:t>
      </w:r>
    </w:p>
    <w:p w14:paraId="7CB57402" w14:textId="6C27AED3" w:rsidR="004E5891" w:rsidRPr="00397701" w:rsidRDefault="004E5891" w:rsidP="004E5891">
      <w:pPr>
        <w:rPr>
          <w:rFonts w:ascii="Times New Roman" w:hAnsi="Times New Roman" w:cs="Times New Roman"/>
        </w:rPr>
      </w:pPr>
      <w:r w:rsidRPr="00397701">
        <w:rPr>
          <w:rFonts w:ascii="Times New Roman" w:hAnsi="Times New Roman" w:cs="Times New Roman"/>
        </w:rPr>
        <w:t>Subsection 1</w:t>
      </w:r>
      <w:r w:rsidR="009E12C6" w:rsidRPr="00397701">
        <w:rPr>
          <w:rFonts w:ascii="Times New Roman" w:hAnsi="Times New Roman" w:cs="Times New Roman"/>
        </w:rPr>
        <w:t>7</w:t>
      </w:r>
      <w:r w:rsidRPr="00397701">
        <w:rPr>
          <w:rFonts w:ascii="Times New Roman" w:hAnsi="Times New Roman" w:cs="Times New Roman"/>
        </w:rPr>
        <w:t xml:space="preserve">(1) applies to all providers that offer telecommunications products to consumers. It requires those providers to publish a DFV Statement that includes information about </w:t>
      </w:r>
      <w:r w:rsidR="00C17975" w:rsidRPr="00397701">
        <w:rPr>
          <w:rFonts w:ascii="Times New Roman" w:hAnsi="Times New Roman" w:cs="Times New Roman"/>
        </w:rPr>
        <w:t>how and where</w:t>
      </w:r>
      <w:r w:rsidR="008D0C50" w:rsidRPr="00397701">
        <w:rPr>
          <w:rFonts w:ascii="Times New Roman" w:hAnsi="Times New Roman" w:cs="Times New Roman"/>
        </w:rPr>
        <w:t xml:space="preserve"> consumers can find DFV support. </w:t>
      </w:r>
    </w:p>
    <w:p w14:paraId="58305FC5" w14:textId="08C49272" w:rsidR="004E5891" w:rsidRPr="00397701" w:rsidRDefault="004E5891" w:rsidP="004E5891">
      <w:pPr>
        <w:rPr>
          <w:rFonts w:ascii="Times New Roman" w:hAnsi="Times New Roman" w:cs="Times New Roman"/>
        </w:rPr>
      </w:pPr>
      <w:r w:rsidRPr="00397701">
        <w:rPr>
          <w:rFonts w:ascii="Times New Roman" w:hAnsi="Times New Roman" w:cs="Times New Roman"/>
        </w:rPr>
        <w:t>Subsection 1</w:t>
      </w:r>
      <w:r w:rsidR="009E12C6" w:rsidRPr="00397701">
        <w:rPr>
          <w:rFonts w:ascii="Times New Roman" w:hAnsi="Times New Roman" w:cs="Times New Roman"/>
        </w:rPr>
        <w:t>7</w:t>
      </w:r>
      <w:r w:rsidRPr="00397701">
        <w:rPr>
          <w:rFonts w:ascii="Times New Roman" w:hAnsi="Times New Roman" w:cs="Times New Roman"/>
        </w:rPr>
        <w:t>(2) sets out the required content of the DFV Statement. This includes:</w:t>
      </w:r>
    </w:p>
    <w:p w14:paraId="52D6E9E6" w14:textId="6FCD6245" w:rsidR="004E5891" w:rsidRPr="00397701" w:rsidRDefault="004E5891" w:rsidP="001D0578">
      <w:pPr>
        <w:numPr>
          <w:ilvl w:val="0"/>
          <w:numId w:val="18"/>
        </w:numPr>
        <w:tabs>
          <w:tab w:val="num" w:pos="720"/>
        </w:tabs>
        <w:rPr>
          <w:rFonts w:ascii="Times New Roman" w:hAnsi="Times New Roman" w:cs="Times New Roman"/>
        </w:rPr>
      </w:pPr>
      <w:r w:rsidRPr="00397701">
        <w:rPr>
          <w:rFonts w:ascii="Times New Roman" w:hAnsi="Times New Roman" w:cs="Times New Roman"/>
        </w:rPr>
        <w:t xml:space="preserve">A </w:t>
      </w:r>
      <w:r w:rsidR="008D0C50" w:rsidRPr="00397701">
        <w:rPr>
          <w:rFonts w:ascii="Times New Roman" w:hAnsi="Times New Roman" w:cs="Times New Roman"/>
        </w:rPr>
        <w:t xml:space="preserve">statement </w:t>
      </w:r>
      <w:r w:rsidRPr="00397701">
        <w:rPr>
          <w:rFonts w:ascii="Times New Roman" w:hAnsi="Times New Roman" w:cs="Times New Roman"/>
        </w:rPr>
        <w:t xml:space="preserve">that the provider has procedures and policies in place to </w:t>
      </w:r>
      <w:r w:rsidR="008D0C50" w:rsidRPr="00397701">
        <w:rPr>
          <w:rFonts w:ascii="Times New Roman" w:hAnsi="Times New Roman" w:cs="Times New Roman"/>
        </w:rPr>
        <w:t xml:space="preserve">protect </w:t>
      </w:r>
      <w:r w:rsidRPr="00397701">
        <w:rPr>
          <w:rFonts w:ascii="Times New Roman" w:hAnsi="Times New Roman" w:cs="Times New Roman"/>
        </w:rPr>
        <w:t>the safety of affected persons.</w:t>
      </w:r>
    </w:p>
    <w:p w14:paraId="19D7F486" w14:textId="108AF6DB" w:rsidR="004E5891" w:rsidRPr="00397701" w:rsidRDefault="004E5891" w:rsidP="006523D5">
      <w:pPr>
        <w:numPr>
          <w:ilvl w:val="0"/>
          <w:numId w:val="18"/>
        </w:numPr>
        <w:tabs>
          <w:tab w:val="num" w:pos="720"/>
        </w:tabs>
        <w:rPr>
          <w:rFonts w:ascii="Times New Roman" w:hAnsi="Times New Roman" w:cs="Times New Roman"/>
        </w:rPr>
      </w:pPr>
      <w:r w:rsidRPr="00397701">
        <w:rPr>
          <w:rFonts w:ascii="Times New Roman" w:hAnsi="Times New Roman" w:cs="Times New Roman"/>
        </w:rPr>
        <w:t xml:space="preserve">A commitment to maintaining affected persons’ telecommunications connectivity and, where services have been restricted, suspended or disconnected, to reversing those actions urgently if a safety concern is expressed or </w:t>
      </w:r>
      <w:r w:rsidR="001405E6" w:rsidRPr="00397701">
        <w:rPr>
          <w:rFonts w:ascii="Times New Roman" w:hAnsi="Times New Roman" w:cs="Times New Roman"/>
        </w:rPr>
        <w:t>indicated</w:t>
      </w:r>
      <w:r w:rsidRPr="00397701">
        <w:rPr>
          <w:rFonts w:ascii="Times New Roman" w:hAnsi="Times New Roman" w:cs="Times New Roman"/>
        </w:rPr>
        <w:t xml:space="preserve">. </w:t>
      </w:r>
      <w:r w:rsidR="006508E1" w:rsidRPr="00397701">
        <w:rPr>
          <w:rFonts w:ascii="Times New Roman" w:hAnsi="Times New Roman" w:cs="Times New Roman"/>
        </w:rPr>
        <w:t>That statement must also</w:t>
      </w:r>
      <w:r w:rsidR="006523D5" w:rsidRPr="00397701">
        <w:rPr>
          <w:rFonts w:ascii="Times New Roman" w:hAnsi="Times New Roman" w:cs="Times New Roman"/>
        </w:rPr>
        <w:t xml:space="preserve"> confirm that a provider will –where </w:t>
      </w:r>
      <w:r w:rsidRPr="00397701">
        <w:rPr>
          <w:rFonts w:ascii="Times New Roman" w:hAnsi="Times New Roman" w:cs="Times New Roman"/>
        </w:rPr>
        <w:t xml:space="preserve">reversal is not </w:t>
      </w:r>
      <w:r w:rsidR="001405E6" w:rsidRPr="00397701">
        <w:rPr>
          <w:rFonts w:ascii="Times New Roman" w:hAnsi="Times New Roman" w:cs="Times New Roman"/>
        </w:rPr>
        <w:t xml:space="preserve">practical </w:t>
      </w:r>
      <w:proofErr w:type="gramStart"/>
      <w:r w:rsidR="006523D5" w:rsidRPr="00397701">
        <w:rPr>
          <w:rFonts w:ascii="Times New Roman" w:hAnsi="Times New Roman" w:cs="Times New Roman"/>
        </w:rPr>
        <w:t xml:space="preserve">– </w:t>
      </w:r>
      <w:r w:rsidRPr="00397701">
        <w:rPr>
          <w:rFonts w:ascii="Times New Roman" w:hAnsi="Times New Roman" w:cs="Times New Roman"/>
        </w:rPr>
        <w:t xml:space="preserve"> </w:t>
      </w:r>
      <w:r w:rsidR="006523D5" w:rsidRPr="00397701">
        <w:rPr>
          <w:rFonts w:ascii="Times New Roman" w:hAnsi="Times New Roman" w:cs="Times New Roman"/>
        </w:rPr>
        <w:t>offer</w:t>
      </w:r>
      <w:proofErr w:type="gramEnd"/>
      <w:r w:rsidR="006523D5" w:rsidRPr="00397701">
        <w:rPr>
          <w:rFonts w:ascii="Times New Roman" w:hAnsi="Times New Roman" w:cs="Times New Roman"/>
        </w:rPr>
        <w:t xml:space="preserve"> </w:t>
      </w:r>
      <w:r w:rsidRPr="00397701">
        <w:rPr>
          <w:rFonts w:ascii="Times New Roman" w:hAnsi="Times New Roman" w:cs="Times New Roman"/>
        </w:rPr>
        <w:t>an equivalent service.</w:t>
      </w:r>
    </w:p>
    <w:p w14:paraId="0CCC759A" w14:textId="5B032275" w:rsidR="004E5891" w:rsidRPr="00397701" w:rsidRDefault="004E5891" w:rsidP="001D0578">
      <w:pPr>
        <w:numPr>
          <w:ilvl w:val="0"/>
          <w:numId w:val="18"/>
        </w:numPr>
        <w:tabs>
          <w:tab w:val="num" w:pos="720"/>
        </w:tabs>
        <w:rPr>
          <w:rFonts w:ascii="Times New Roman" w:hAnsi="Times New Roman" w:cs="Times New Roman"/>
        </w:rPr>
      </w:pPr>
      <w:r w:rsidRPr="00397701">
        <w:rPr>
          <w:rFonts w:ascii="Times New Roman" w:hAnsi="Times New Roman" w:cs="Times New Roman"/>
        </w:rPr>
        <w:t xml:space="preserve">Recognition that domestic and family violence (and, </w:t>
      </w:r>
      <w:r w:rsidR="000F2590" w:rsidRPr="00397701">
        <w:rPr>
          <w:rFonts w:ascii="Times New Roman" w:hAnsi="Times New Roman" w:cs="Times New Roman"/>
        </w:rPr>
        <w:t>non-domestic</w:t>
      </w:r>
      <w:r w:rsidRPr="00397701">
        <w:rPr>
          <w:rFonts w:ascii="Times New Roman" w:hAnsi="Times New Roman" w:cs="Times New Roman"/>
        </w:rPr>
        <w:t xml:space="preserve"> sexual violence) </w:t>
      </w:r>
      <w:r w:rsidR="001405E6" w:rsidRPr="00397701">
        <w:rPr>
          <w:rFonts w:ascii="Times New Roman" w:hAnsi="Times New Roman" w:cs="Times New Roman"/>
        </w:rPr>
        <w:t xml:space="preserve">can be </w:t>
      </w:r>
      <w:r w:rsidRPr="00397701">
        <w:rPr>
          <w:rFonts w:ascii="Times New Roman" w:hAnsi="Times New Roman" w:cs="Times New Roman"/>
        </w:rPr>
        <w:t xml:space="preserve">a reason for non-payment, and that affected persons may qualify for financial hardship support under the </w:t>
      </w:r>
      <w:r w:rsidRPr="00397701">
        <w:rPr>
          <w:rFonts w:ascii="Times New Roman" w:hAnsi="Times New Roman" w:cs="Times New Roman"/>
          <w:i/>
        </w:rPr>
        <w:t xml:space="preserve">Telecommunications (Financial Hardship) </w:t>
      </w:r>
      <w:r w:rsidR="000A491C" w:rsidRPr="00397701">
        <w:rPr>
          <w:rFonts w:ascii="Times New Roman" w:hAnsi="Times New Roman" w:cs="Times New Roman"/>
          <w:i/>
          <w:iCs/>
        </w:rPr>
        <w:t xml:space="preserve">Industry </w:t>
      </w:r>
      <w:r w:rsidRPr="00397701">
        <w:rPr>
          <w:rFonts w:ascii="Times New Roman" w:hAnsi="Times New Roman" w:cs="Times New Roman"/>
          <w:i/>
        </w:rPr>
        <w:t>Standard 2024</w:t>
      </w:r>
      <w:r w:rsidRPr="00397701">
        <w:rPr>
          <w:rFonts w:ascii="Times New Roman" w:hAnsi="Times New Roman" w:cs="Times New Roman"/>
        </w:rPr>
        <w:t>.</w:t>
      </w:r>
    </w:p>
    <w:p w14:paraId="1AC83BE9" w14:textId="77777777" w:rsidR="004E5891" w:rsidRPr="00397701" w:rsidRDefault="004E5891" w:rsidP="001D0578">
      <w:pPr>
        <w:numPr>
          <w:ilvl w:val="0"/>
          <w:numId w:val="18"/>
        </w:numPr>
        <w:tabs>
          <w:tab w:val="num" w:pos="720"/>
        </w:tabs>
        <w:rPr>
          <w:rFonts w:ascii="Times New Roman" w:hAnsi="Times New Roman" w:cs="Times New Roman"/>
        </w:rPr>
      </w:pPr>
      <w:r w:rsidRPr="00397701">
        <w:rPr>
          <w:rFonts w:ascii="Times New Roman" w:hAnsi="Times New Roman" w:cs="Times New Roman"/>
        </w:rPr>
        <w:t>Details on how consumers can contact the provider for DFV assistance, including contact methods, hours of operation, and how to request a call-back.</w:t>
      </w:r>
    </w:p>
    <w:p w14:paraId="0EAF1E82" w14:textId="0BE052DA" w:rsidR="004E5891" w:rsidRPr="00397701" w:rsidRDefault="004E5891" w:rsidP="001D0578">
      <w:pPr>
        <w:numPr>
          <w:ilvl w:val="0"/>
          <w:numId w:val="18"/>
        </w:numPr>
        <w:tabs>
          <w:tab w:val="num" w:pos="720"/>
        </w:tabs>
        <w:rPr>
          <w:rFonts w:ascii="Times New Roman" w:hAnsi="Times New Roman" w:cs="Times New Roman"/>
        </w:rPr>
      </w:pPr>
      <w:r w:rsidRPr="00397701">
        <w:rPr>
          <w:rFonts w:ascii="Times New Roman" w:hAnsi="Times New Roman" w:cs="Times New Roman"/>
        </w:rPr>
        <w:t xml:space="preserve">Information about how to access support from one or more third-party DFV support organisations, </w:t>
      </w:r>
      <w:r w:rsidR="00F24EA2" w:rsidRPr="00397701">
        <w:rPr>
          <w:rFonts w:ascii="Times New Roman" w:hAnsi="Times New Roman" w:cs="Times New Roman"/>
        </w:rPr>
        <w:t xml:space="preserve">(for example, </w:t>
      </w:r>
      <w:r w:rsidRPr="00397701">
        <w:rPr>
          <w:rFonts w:ascii="Times New Roman" w:hAnsi="Times New Roman" w:cs="Times New Roman"/>
        </w:rPr>
        <w:t>1800</w:t>
      </w:r>
      <w:r w:rsidR="00213389" w:rsidRPr="00397701">
        <w:rPr>
          <w:rFonts w:ascii="Times New Roman" w:hAnsi="Times New Roman" w:cs="Times New Roman"/>
        </w:rPr>
        <w:t>RESPECT</w:t>
      </w:r>
      <w:r w:rsidR="00F24EA2" w:rsidRPr="00397701">
        <w:rPr>
          <w:rFonts w:ascii="Times New Roman" w:hAnsi="Times New Roman" w:cs="Times New Roman"/>
        </w:rPr>
        <w:t>)</w:t>
      </w:r>
      <w:r w:rsidRPr="00397701">
        <w:rPr>
          <w:rFonts w:ascii="Times New Roman" w:hAnsi="Times New Roman" w:cs="Times New Roman"/>
        </w:rPr>
        <w:t>.</w:t>
      </w:r>
      <w:r w:rsidR="001D3B23" w:rsidRPr="00397701">
        <w:rPr>
          <w:rFonts w:ascii="Times New Roman" w:hAnsi="Times New Roman" w:cs="Times New Roman"/>
        </w:rPr>
        <w:t xml:space="preserve"> </w:t>
      </w:r>
    </w:p>
    <w:p w14:paraId="6F3211ED" w14:textId="4F80F5A1" w:rsidR="004E5891" w:rsidRPr="00397701" w:rsidRDefault="004E5891" w:rsidP="004E5891">
      <w:pPr>
        <w:rPr>
          <w:rFonts w:ascii="Times New Roman" w:hAnsi="Times New Roman" w:cs="Times New Roman"/>
        </w:rPr>
      </w:pPr>
      <w:r w:rsidRPr="00397701">
        <w:rPr>
          <w:rFonts w:ascii="Times New Roman" w:hAnsi="Times New Roman" w:cs="Times New Roman"/>
        </w:rPr>
        <w:t>Subsection 1</w:t>
      </w:r>
      <w:r w:rsidR="009E12C6" w:rsidRPr="00397701">
        <w:rPr>
          <w:rFonts w:ascii="Times New Roman" w:hAnsi="Times New Roman" w:cs="Times New Roman"/>
        </w:rPr>
        <w:t>7</w:t>
      </w:r>
      <w:r w:rsidRPr="00397701">
        <w:rPr>
          <w:rFonts w:ascii="Times New Roman" w:hAnsi="Times New Roman" w:cs="Times New Roman"/>
        </w:rPr>
        <w:t>(3) prescribes how the DFV Statement must be presented and made accessible. It must:</w:t>
      </w:r>
    </w:p>
    <w:p w14:paraId="6EE6B3D8" w14:textId="3A916BB2" w:rsidR="004E5891" w:rsidRPr="00397701" w:rsidRDefault="00213389" w:rsidP="001D0578">
      <w:pPr>
        <w:numPr>
          <w:ilvl w:val="0"/>
          <w:numId w:val="19"/>
        </w:numPr>
        <w:tabs>
          <w:tab w:val="num" w:pos="720"/>
        </w:tabs>
        <w:rPr>
          <w:rFonts w:ascii="Times New Roman" w:hAnsi="Times New Roman" w:cs="Times New Roman"/>
        </w:rPr>
      </w:pPr>
      <w:r w:rsidRPr="00397701">
        <w:rPr>
          <w:rFonts w:ascii="Times New Roman" w:hAnsi="Times New Roman" w:cs="Times New Roman"/>
        </w:rPr>
        <w:t>b</w:t>
      </w:r>
      <w:r w:rsidR="004E5891" w:rsidRPr="00397701">
        <w:rPr>
          <w:rFonts w:ascii="Times New Roman" w:hAnsi="Times New Roman" w:cs="Times New Roman"/>
        </w:rPr>
        <w:t>e in written form, either print or digital;</w:t>
      </w:r>
    </w:p>
    <w:p w14:paraId="238E6453" w14:textId="2E03F892" w:rsidR="004E5891" w:rsidRPr="00397701" w:rsidRDefault="00213389" w:rsidP="001D0578">
      <w:pPr>
        <w:numPr>
          <w:ilvl w:val="0"/>
          <w:numId w:val="19"/>
        </w:numPr>
        <w:tabs>
          <w:tab w:val="num" w:pos="720"/>
        </w:tabs>
        <w:rPr>
          <w:rFonts w:ascii="Times New Roman" w:hAnsi="Times New Roman" w:cs="Times New Roman"/>
        </w:rPr>
      </w:pPr>
      <w:r w:rsidRPr="00397701">
        <w:rPr>
          <w:rFonts w:ascii="Times New Roman" w:hAnsi="Times New Roman" w:cs="Times New Roman"/>
        </w:rPr>
        <w:t>u</w:t>
      </w:r>
      <w:r w:rsidR="004E5891" w:rsidRPr="00397701">
        <w:rPr>
          <w:rFonts w:ascii="Times New Roman" w:hAnsi="Times New Roman" w:cs="Times New Roman"/>
        </w:rPr>
        <w:t>se clear, plain, and accurate language</w:t>
      </w:r>
      <w:r w:rsidR="00DD3803" w:rsidRPr="00397701">
        <w:rPr>
          <w:rFonts w:ascii="Times New Roman" w:hAnsi="Times New Roman" w:cs="Times New Roman"/>
        </w:rPr>
        <w:t xml:space="preserve"> and be up to date</w:t>
      </w:r>
      <w:r w:rsidR="004E5891" w:rsidRPr="00397701">
        <w:rPr>
          <w:rFonts w:ascii="Times New Roman" w:hAnsi="Times New Roman" w:cs="Times New Roman"/>
        </w:rPr>
        <w:t>;</w:t>
      </w:r>
    </w:p>
    <w:p w14:paraId="159E691E" w14:textId="3E507DF2" w:rsidR="00E86EC9" w:rsidRPr="00397701" w:rsidRDefault="00E86EC9" w:rsidP="001D0578">
      <w:pPr>
        <w:numPr>
          <w:ilvl w:val="0"/>
          <w:numId w:val="19"/>
        </w:numPr>
        <w:tabs>
          <w:tab w:val="num" w:pos="720"/>
        </w:tabs>
        <w:rPr>
          <w:rFonts w:ascii="Times New Roman" w:hAnsi="Times New Roman" w:cs="Times New Roman"/>
        </w:rPr>
      </w:pPr>
      <w:r w:rsidRPr="00397701">
        <w:rPr>
          <w:rFonts w:ascii="Times New Roman" w:hAnsi="Times New Roman" w:cs="Times New Roman"/>
        </w:rPr>
        <w:t xml:space="preserve">use a font style and size that is clear and </w:t>
      </w:r>
      <w:r w:rsidR="004E5891" w:rsidRPr="00397701">
        <w:rPr>
          <w:rFonts w:ascii="Times New Roman" w:hAnsi="Times New Roman" w:cs="Times New Roman"/>
        </w:rPr>
        <w:t>easy to read</w:t>
      </w:r>
      <w:r w:rsidR="00DE727C" w:rsidRPr="00397701">
        <w:rPr>
          <w:rFonts w:ascii="Times New Roman" w:hAnsi="Times New Roman" w:cs="Times New Roman"/>
        </w:rPr>
        <w:t>;</w:t>
      </w:r>
      <w:r w:rsidR="004E5891" w:rsidRPr="00397701">
        <w:rPr>
          <w:rFonts w:ascii="Times New Roman" w:hAnsi="Times New Roman" w:cs="Times New Roman"/>
        </w:rPr>
        <w:t xml:space="preserve"> </w:t>
      </w:r>
    </w:p>
    <w:p w14:paraId="28AB8B90" w14:textId="6EF581F1" w:rsidR="004E5891" w:rsidRPr="00397701" w:rsidRDefault="00E86EC9" w:rsidP="001D0578">
      <w:pPr>
        <w:numPr>
          <w:ilvl w:val="0"/>
          <w:numId w:val="19"/>
        </w:numPr>
        <w:tabs>
          <w:tab w:val="num" w:pos="720"/>
        </w:tabs>
        <w:rPr>
          <w:rFonts w:ascii="Times New Roman" w:hAnsi="Times New Roman" w:cs="Times New Roman"/>
        </w:rPr>
      </w:pPr>
      <w:r w:rsidRPr="00397701">
        <w:rPr>
          <w:rFonts w:ascii="Times New Roman" w:hAnsi="Times New Roman" w:cs="Times New Roman"/>
        </w:rPr>
        <w:lastRenderedPageBreak/>
        <w:t xml:space="preserve">be </w:t>
      </w:r>
      <w:r w:rsidR="004E5891" w:rsidRPr="00397701">
        <w:rPr>
          <w:rFonts w:ascii="Times New Roman" w:hAnsi="Times New Roman" w:cs="Times New Roman"/>
        </w:rPr>
        <w:t>accessible to consumers with disabilities, from culturally and linguistically diverse backgrounds, or with other support needs</w:t>
      </w:r>
      <w:r w:rsidR="005825D8" w:rsidRPr="00397701">
        <w:rPr>
          <w:rFonts w:ascii="Times New Roman" w:hAnsi="Times New Roman" w:cs="Times New Roman"/>
        </w:rPr>
        <w:t xml:space="preserve"> for example through offering the information in multiple languages and</w:t>
      </w:r>
      <w:r w:rsidR="00737F53" w:rsidRPr="00397701">
        <w:rPr>
          <w:rFonts w:ascii="Times New Roman" w:hAnsi="Times New Roman" w:cs="Times New Roman"/>
        </w:rPr>
        <w:t>/or with</w:t>
      </w:r>
      <w:r w:rsidR="005825D8" w:rsidRPr="00397701">
        <w:rPr>
          <w:rFonts w:ascii="Times New Roman" w:hAnsi="Times New Roman" w:cs="Times New Roman"/>
        </w:rPr>
        <w:t xml:space="preserve"> access to interpreters</w:t>
      </w:r>
      <w:r w:rsidR="004E5891" w:rsidRPr="00397701">
        <w:rPr>
          <w:rFonts w:ascii="Times New Roman" w:hAnsi="Times New Roman" w:cs="Times New Roman"/>
        </w:rPr>
        <w:t>;</w:t>
      </w:r>
    </w:p>
    <w:p w14:paraId="5815CAC2" w14:textId="64E5F3E6" w:rsidR="004E5891" w:rsidRPr="00397701" w:rsidRDefault="00213389" w:rsidP="001D0578">
      <w:pPr>
        <w:numPr>
          <w:ilvl w:val="0"/>
          <w:numId w:val="19"/>
        </w:numPr>
        <w:tabs>
          <w:tab w:val="num" w:pos="720"/>
        </w:tabs>
        <w:rPr>
          <w:rFonts w:ascii="Times New Roman" w:hAnsi="Times New Roman" w:cs="Times New Roman"/>
        </w:rPr>
      </w:pPr>
      <w:r w:rsidRPr="00397701">
        <w:rPr>
          <w:rFonts w:ascii="Times New Roman" w:hAnsi="Times New Roman" w:cs="Times New Roman"/>
        </w:rPr>
        <w:t>b</w:t>
      </w:r>
      <w:r w:rsidR="004E5891" w:rsidRPr="00397701">
        <w:rPr>
          <w:rFonts w:ascii="Times New Roman" w:hAnsi="Times New Roman" w:cs="Times New Roman"/>
        </w:rPr>
        <w:t xml:space="preserve">e </w:t>
      </w:r>
      <w:r w:rsidR="00525ECB" w:rsidRPr="00397701">
        <w:rPr>
          <w:rFonts w:ascii="Times New Roman" w:hAnsi="Times New Roman" w:cs="Times New Roman"/>
        </w:rPr>
        <w:t xml:space="preserve">clearly </w:t>
      </w:r>
      <w:r w:rsidR="004E5891" w:rsidRPr="00397701">
        <w:rPr>
          <w:rFonts w:ascii="Times New Roman" w:hAnsi="Times New Roman" w:cs="Times New Roman"/>
        </w:rPr>
        <w:t>available on the provider’s website homepage and, if applicable, through its mobile application;</w:t>
      </w:r>
    </w:p>
    <w:p w14:paraId="57105E33" w14:textId="1F49BF94" w:rsidR="004E5891" w:rsidRPr="00397701" w:rsidRDefault="00213389" w:rsidP="001D0578">
      <w:pPr>
        <w:numPr>
          <w:ilvl w:val="0"/>
          <w:numId w:val="19"/>
        </w:numPr>
        <w:tabs>
          <w:tab w:val="num" w:pos="720"/>
        </w:tabs>
        <w:rPr>
          <w:rFonts w:ascii="Times New Roman" w:hAnsi="Times New Roman" w:cs="Times New Roman"/>
        </w:rPr>
      </w:pPr>
      <w:r w:rsidRPr="00397701">
        <w:rPr>
          <w:rFonts w:ascii="Times New Roman" w:hAnsi="Times New Roman" w:cs="Times New Roman"/>
        </w:rPr>
        <w:t>b</w:t>
      </w:r>
      <w:r w:rsidR="004E5891" w:rsidRPr="00397701">
        <w:rPr>
          <w:rFonts w:ascii="Times New Roman" w:hAnsi="Times New Roman" w:cs="Times New Roman"/>
        </w:rPr>
        <w:t>e made available during online chat interactions where a consumer self-identifies or is suspected to be an affected person and consents to receiving the statement.</w:t>
      </w:r>
    </w:p>
    <w:p w14:paraId="42D1DD2E" w14:textId="59B80454" w:rsidR="007A6346" w:rsidRPr="00397701" w:rsidRDefault="004E5891" w:rsidP="005958D6">
      <w:pPr>
        <w:rPr>
          <w:rFonts w:ascii="Times New Roman" w:hAnsi="Times New Roman" w:cs="Times New Roman"/>
        </w:rPr>
      </w:pPr>
      <w:r w:rsidRPr="00397701">
        <w:rPr>
          <w:rFonts w:ascii="Times New Roman" w:hAnsi="Times New Roman" w:cs="Times New Roman"/>
        </w:rPr>
        <w:t>These provisions promote transparency and facilitate consumer access to DFV-related support information, particularly for those in vulnerable circumstances.</w:t>
      </w:r>
    </w:p>
    <w:p w14:paraId="1B5EE7C9" w14:textId="63FBB233" w:rsidR="007F6805" w:rsidRPr="00397701" w:rsidRDefault="007F6805" w:rsidP="007F6805">
      <w:pPr>
        <w:rPr>
          <w:rFonts w:ascii="Times New Roman" w:hAnsi="Times New Roman" w:cs="Times New Roman"/>
          <w:b/>
          <w:bCs/>
        </w:rPr>
      </w:pPr>
      <w:r w:rsidRPr="00397701">
        <w:rPr>
          <w:rFonts w:ascii="Times New Roman" w:hAnsi="Times New Roman" w:cs="Times New Roman"/>
          <w:b/>
          <w:bCs/>
        </w:rPr>
        <w:t>Section 1</w:t>
      </w:r>
      <w:r w:rsidR="009E12C6" w:rsidRPr="00397701">
        <w:rPr>
          <w:rFonts w:ascii="Times New Roman" w:hAnsi="Times New Roman" w:cs="Times New Roman"/>
          <w:b/>
          <w:bCs/>
        </w:rPr>
        <w:t>8</w:t>
      </w:r>
      <w:r w:rsidRPr="00397701">
        <w:rPr>
          <w:rFonts w:ascii="Times New Roman" w:hAnsi="Times New Roman" w:cs="Times New Roman"/>
          <w:b/>
          <w:bCs/>
        </w:rPr>
        <w:tab/>
        <w:t>Requirements regarding access to DFV support services</w:t>
      </w:r>
    </w:p>
    <w:p w14:paraId="22EED447" w14:textId="7FB3C97D" w:rsidR="007F6805" w:rsidRPr="00397701" w:rsidRDefault="007F6805" w:rsidP="007F6805">
      <w:pPr>
        <w:rPr>
          <w:rFonts w:ascii="Times New Roman" w:hAnsi="Times New Roman" w:cs="Times New Roman"/>
        </w:rPr>
      </w:pPr>
      <w:r w:rsidRPr="00397701">
        <w:rPr>
          <w:rFonts w:ascii="Times New Roman" w:hAnsi="Times New Roman" w:cs="Times New Roman"/>
        </w:rPr>
        <w:t>Section 1</w:t>
      </w:r>
      <w:r w:rsidR="009E12C6" w:rsidRPr="00397701">
        <w:rPr>
          <w:rFonts w:ascii="Times New Roman" w:hAnsi="Times New Roman" w:cs="Times New Roman"/>
        </w:rPr>
        <w:t>8</w:t>
      </w:r>
      <w:r w:rsidRPr="00397701">
        <w:rPr>
          <w:rFonts w:ascii="Times New Roman" w:hAnsi="Times New Roman" w:cs="Times New Roman"/>
        </w:rPr>
        <w:t xml:space="preserve"> sets out minimum requirements for how providers must enable affected persons to contact them for DFV-related assistance. It supports timely and accessible communication, through channels</w:t>
      </w:r>
      <w:r w:rsidR="00B13344" w:rsidRPr="00397701">
        <w:rPr>
          <w:rFonts w:ascii="Times New Roman" w:hAnsi="Times New Roman" w:cs="Times New Roman"/>
        </w:rPr>
        <w:t xml:space="preserve"> that may be private from</w:t>
      </w:r>
      <w:r w:rsidR="0060711D" w:rsidRPr="00397701">
        <w:rPr>
          <w:rFonts w:ascii="Times New Roman" w:hAnsi="Times New Roman" w:cs="Times New Roman"/>
        </w:rPr>
        <w:t>,</w:t>
      </w:r>
      <w:r w:rsidR="00B13344" w:rsidRPr="00397701">
        <w:rPr>
          <w:rFonts w:ascii="Times New Roman" w:hAnsi="Times New Roman" w:cs="Times New Roman"/>
        </w:rPr>
        <w:t xml:space="preserve"> or less accessible to</w:t>
      </w:r>
      <w:r w:rsidR="0060711D" w:rsidRPr="00397701">
        <w:rPr>
          <w:rFonts w:ascii="Times New Roman" w:hAnsi="Times New Roman" w:cs="Times New Roman"/>
        </w:rPr>
        <w:t>,</w:t>
      </w:r>
      <w:r w:rsidR="00B13344" w:rsidRPr="00397701">
        <w:rPr>
          <w:rFonts w:ascii="Times New Roman" w:hAnsi="Times New Roman" w:cs="Times New Roman"/>
        </w:rPr>
        <w:t xml:space="preserve"> a perpetrator</w:t>
      </w:r>
      <w:r w:rsidRPr="00397701">
        <w:rPr>
          <w:rFonts w:ascii="Times New Roman" w:hAnsi="Times New Roman" w:cs="Times New Roman"/>
        </w:rPr>
        <w:t xml:space="preserve">, to </w:t>
      </w:r>
      <w:r w:rsidR="00B13344" w:rsidRPr="00397701">
        <w:rPr>
          <w:rFonts w:ascii="Times New Roman" w:hAnsi="Times New Roman" w:cs="Times New Roman"/>
        </w:rPr>
        <w:t>better meet</w:t>
      </w:r>
      <w:r w:rsidRPr="00397701">
        <w:rPr>
          <w:rFonts w:ascii="Times New Roman" w:hAnsi="Times New Roman" w:cs="Times New Roman"/>
        </w:rPr>
        <w:t xml:space="preserve"> the safety needs of affected persons.</w:t>
      </w:r>
    </w:p>
    <w:p w14:paraId="3F525B7E" w14:textId="10E95A4D" w:rsidR="007F6805" w:rsidRPr="00397701" w:rsidRDefault="007F6805" w:rsidP="007F6805">
      <w:pPr>
        <w:rPr>
          <w:rFonts w:ascii="Times New Roman" w:hAnsi="Times New Roman" w:cs="Times New Roman"/>
        </w:rPr>
      </w:pPr>
      <w:r w:rsidRPr="00397701">
        <w:rPr>
          <w:rFonts w:ascii="Times New Roman" w:hAnsi="Times New Roman" w:cs="Times New Roman"/>
        </w:rPr>
        <w:t>Subsection 1</w:t>
      </w:r>
      <w:r w:rsidR="009E12C6" w:rsidRPr="00397701">
        <w:rPr>
          <w:rFonts w:ascii="Times New Roman" w:hAnsi="Times New Roman" w:cs="Times New Roman"/>
        </w:rPr>
        <w:t>8</w:t>
      </w:r>
      <w:r w:rsidRPr="00397701">
        <w:rPr>
          <w:rFonts w:ascii="Times New Roman" w:hAnsi="Times New Roman" w:cs="Times New Roman"/>
        </w:rPr>
        <w:t>(1) requires providers to offer at least two communication channels from a list of options. These may include a specialist DFV support phone line, a dedicated webform, online written chat, in-person assistance at a retail store, or an email address. Providers may offer more than the minimum number of channels if they choose.</w:t>
      </w:r>
    </w:p>
    <w:p w14:paraId="558CD759" w14:textId="11506297" w:rsidR="007F6805" w:rsidRPr="00397701" w:rsidRDefault="007F6805" w:rsidP="007F6805">
      <w:pPr>
        <w:rPr>
          <w:rFonts w:ascii="Times New Roman" w:hAnsi="Times New Roman" w:cs="Times New Roman"/>
        </w:rPr>
      </w:pPr>
      <w:r w:rsidRPr="00397701">
        <w:rPr>
          <w:rFonts w:ascii="Times New Roman" w:hAnsi="Times New Roman" w:cs="Times New Roman"/>
        </w:rPr>
        <w:t>Subsection 1</w:t>
      </w:r>
      <w:r w:rsidR="008C12CE" w:rsidRPr="00397701">
        <w:rPr>
          <w:rFonts w:ascii="Times New Roman" w:hAnsi="Times New Roman" w:cs="Times New Roman"/>
        </w:rPr>
        <w:t>8</w:t>
      </w:r>
      <w:r w:rsidRPr="00397701">
        <w:rPr>
          <w:rFonts w:ascii="Times New Roman" w:hAnsi="Times New Roman" w:cs="Times New Roman"/>
        </w:rPr>
        <w:t>(2) requires that at least one of the available communication channels</w:t>
      </w:r>
      <w:r w:rsidR="00133A13" w:rsidRPr="00397701">
        <w:rPr>
          <w:rFonts w:ascii="Times New Roman" w:hAnsi="Times New Roman" w:cs="Times New Roman"/>
        </w:rPr>
        <w:t xml:space="preserve"> under subsection (1) must</w:t>
      </w:r>
      <w:r w:rsidRPr="00397701">
        <w:rPr>
          <w:rFonts w:ascii="Times New Roman" w:hAnsi="Times New Roman" w:cs="Times New Roman"/>
        </w:rPr>
        <w:t xml:space="preserve"> connect the affected person to an individual member of the provider’s personnel. This </w:t>
      </w:r>
      <w:r w:rsidR="00801A6C" w:rsidRPr="00397701">
        <w:rPr>
          <w:rFonts w:ascii="Times New Roman" w:hAnsi="Times New Roman" w:cs="Times New Roman"/>
        </w:rPr>
        <w:t xml:space="preserve">is intended to </w:t>
      </w:r>
      <w:r w:rsidRPr="00397701">
        <w:rPr>
          <w:rFonts w:ascii="Times New Roman" w:hAnsi="Times New Roman" w:cs="Times New Roman"/>
        </w:rPr>
        <w:t xml:space="preserve">support access to trauma-informed and empathetic engagement, </w:t>
      </w:r>
      <w:r w:rsidR="00801A6C" w:rsidRPr="00397701">
        <w:rPr>
          <w:rFonts w:ascii="Times New Roman" w:hAnsi="Times New Roman" w:cs="Times New Roman"/>
        </w:rPr>
        <w:t xml:space="preserve">in order to </w:t>
      </w:r>
      <w:r w:rsidRPr="00397701">
        <w:rPr>
          <w:rFonts w:ascii="Times New Roman" w:hAnsi="Times New Roman" w:cs="Times New Roman"/>
        </w:rPr>
        <w:t>build trust and deliver effective assistance.</w:t>
      </w:r>
    </w:p>
    <w:p w14:paraId="172E64B9" w14:textId="56156203" w:rsidR="007F6805" w:rsidRPr="00397701" w:rsidRDefault="007F6805" w:rsidP="007F6805">
      <w:pPr>
        <w:rPr>
          <w:rFonts w:ascii="Times New Roman" w:hAnsi="Times New Roman" w:cs="Times New Roman"/>
        </w:rPr>
      </w:pPr>
      <w:r w:rsidRPr="00397701">
        <w:rPr>
          <w:rFonts w:ascii="Times New Roman" w:hAnsi="Times New Roman" w:cs="Times New Roman"/>
        </w:rPr>
        <w:t>Subsection 1</w:t>
      </w:r>
      <w:r w:rsidR="008C12CE" w:rsidRPr="00397701">
        <w:rPr>
          <w:rFonts w:ascii="Times New Roman" w:hAnsi="Times New Roman" w:cs="Times New Roman"/>
        </w:rPr>
        <w:t>8</w:t>
      </w:r>
      <w:r w:rsidRPr="00397701">
        <w:rPr>
          <w:rFonts w:ascii="Times New Roman" w:hAnsi="Times New Roman" w:cs="Times New Roman"/>
        </w:rPr>
        <w:t xml:space="preserve">(3) establishes that when an affected person requests the provider to initiate contact or to return a call, the provider must do so using either the agreed communication method or </w:t>
      </w:r>
      <w:r w:rsidR="008A5470" w:rsidRPr="00397701">
        <w:rPr>
          <w:rFonts w:ascii="Times New Roman" w:hAnsi="Times New Roman" w:cs="Times New Roman"/>
        </w:rPr>
        <w:t>the</w:t>
      </w:r>
      <w:r w:rsidRPr="00397701">
        <w:rPr>
          <w:rFonts w:ascii="Times New Roman" w:hAnsi="Times New Roman" w:cs="Times New Roman"/>
        </w:rPr>
        <w:t xml:space="preserve"> method and time nominated by the affected person</w:t>
      </w:r>
      <w:r w:rsidR="008A5470" w:rsidRPr="00397701">
        <w:rPr>
          <w:rFonts w:ascii="Times New Roman" w:hAnsi="Times New Roman" w:cs="Times New Roman"/>
        </w:rPr>
        <w:t xml:space="preserve"> </w:t>
      </w:r>
      <w:r w:rsidR="000A34DA" w:rsidRPr="00397701">
        <w:rPr>
          <w:rFonts w:ascii="Times New Roman" w:hAnsi="Times New Roman" w:cs="Times New Roman"/>
        </w:rPr>
        <w:t xml:space="preserve">if </w:t>
      </w:r>
      <w:r w:rsidR="008A5470" w:rsidRPr="00397701">
        <w:rPr>
          <w:rFonts w:ascii="Times New Roman" w:hAnsi="Times New Roman" w:cs="Times New Roman"/>
        </w:rPr>
        <w:t>that is supported by the provider</w:t>
      </w:r>
      <w:r w:rsidRPr="00397701">
        <w:rPr>
          <w:rFonts w:ascii="Times New Roman" w:hAnsi="Times New Roman" w:cs="Times New Roman"/>
        </w:rPr>
        <w:t>. This provision prioritises safety and respects consumer preferences about how and when they can be contacted.</w:t>
      </w:r>
    </w:p>
    <w:p w14:paraId="69DADC8E" w14:textId="156EEA93" w:rsidR="007F6805" w:rsidRPr="00397701" w:rsidRDefault="007F6805" w:rsidP="007F6805">
      <w:pPr>
        <w:rPr>
          <w:rFonts w:ascii="Times New Roman" w:hAnsi="Times New Roman" w:cs="Times New Roman"/>
        </w:rPr>
      </w:pPr>
      <w:r w:rsidRPr="00397701">
        <w:rPr>
          <w:rFonts w:ascii="Times New Roman" w:hAnsi="Times New Roman" w:cs="Times New Roman"/>
        </w:rPr>
        <w:t>Subsection 1</w:t>
      </w:r>
      <w:r w:rsidR="008C12CE" w:rsidRPr="00397701">
        <w:rPr>
          <w:rFonts w:ascii="Times New Roman" w:hAnsi="Times New Roman" w:cs="Times New Roman"/>
        </w:rPr>
        <w:t>8</w:t>
      </w:r>
      <w:r w:rsidRPr="00397701">
        <w:rPr>
          <w:rFonts w:ascii="Times New Roman" w:hAnsi="Times New Roman" w:cs="Times New Roman"/>
        </w:rPr>
        <w:t>(4) mandates that personnel must be accessible during business hours to directly assist affected persons.</w:t>
      </w:r>
    </w:p>
    <w:p w14:paraId="0C4C1B24" w14:textId="7B8B7E64" w:rsidR="007F6805" w:rsidRPr="00397701" w:rsidRDefault="007F6805" w:rsidP="007F6805">
      <w:pPr>
        <w:rPr>
          <w:rFonts w:ascii="Times New Roman" w:hAnsi="Times New Roman" w:cs="Times New Roman"/>
        </w:rPr>
      </w:pPr>
      <w:r w:rsidRPr="00397701">
        <w:rPr>
          <w:rFonts w:ascii="Times New Roman" w:hAnsi="Times New Roman" w:cs="Times New Roman"/>
        </w:rPr>
        <w:t>Collectively, these requirements contribute to a consistent and accessible approach to consumer engagement for people experiencing DFV</w:t>
      </w:r>
      <w:r w:rsidR="008A5470" w:rsidRPr="00397701">
        <w:rPr>
          <w:rFonts w:ascii="Times New Roman" w:hAnsi="Times New Roman" w:cs="Times New Roman"/>
        </w:rPr>
        <w:t xml:space="preserve"> </w:t>
      </w:r>
      <w:r w:rsidRPr="00397701">
        <w:rPr>
          <w:rFonts w:ascii="Times New Roman" w:hAnsi="Times New Roman" w:cs="Times New Roman"/>
        </w:rPr>
        <w:t xml:space="preserve">across </w:t>
      </w:r>
      <w:r w:rsidR="008A5470" w:rsidRPr="00397701">
        <w:rPr>
          <w:rFonts w:ascii="Times New Roman" w:hAnsi="Times New Roman" w:cs="Times New Roman"/>
        </w:rPr>
        <w:t xml:space="preserve">a range of </w:t>
      </w:r>
      <w:r w:rsidRPr="00397701">
        <w:rPr>
          <w:rFonts w:ascii="Times New Roman" w:hAnsi="Times New Roman" w:cs="Times New Roman"/>
        </w:rPr>
        <w:t>communication platforms.</w:t>
      </w:r>
    </w:p>
    <w:p w14:paraId="17EFA77B" w14:textId="680B823E" w:rsidR="000F72F9" w:rsidRPr="00397701" w:rsidRDefault="000F72F9" w:rsidP="000F72F9">
      <w:pPr>
        <w:rPr>
          <w:rFonts w:ascii="Times New Roman" w:hAnsi="Times New Roman" w:cs="Times New Roman"/>
          <w:b/>
        </w:rPr>
      </w:pPr>
      <w:r w:rsidRPr="00397701">
        <w:rPr>
          <w:rFonts w:ascii="Times New Roman" w:hAnsi="Times New Roman" w:cs="Times New Roman"/>
          <w:b/>
        </w:rPr>
        <w:t>Part 5 – General requirements relating to policies and procedures</w:t>
      </w:r>
    </w:p>
    <w:p w14:paraId="6ED08A49" w14:textId="433BAAF4" w:rsidR="000F72F9" w:rsidRPr="00397701" w:rsidRDefault="000F72F9" w:rsidP="000F72F9">
      <w:pPr>
        <w:rPr>
          <w:rFonts w:ascii="Times New Roman" w:hAnsi="Times New Roman" w:cs="Times New Roman"/>
          <w:b/>
        </w:rPr>
      </w:pPr>
      <w:r w:rsidRPr="00397701">
        <w:rPr>
          <w:rFonts w:ascii="Times New Roman" w:hAnsi="Times New Roman" w:cs="Times New Roman"/>
          <w:b/>
        </w:rPr>
        <w:t>Section</w:t>
      </w:r>
      <w:r w:rsidR="00131318" w:rsidRPr="00397701">
        <w:rPr>
          <w:rFonts w:ascii="Times New Roman" w:hAnsi="Times New Roman" w:cs="Times New Roman"/>
          <w:b/>
        </w:rPr>
        <w:t xml:space="preserve"> </w:t>
      </w:r>
      <w:r w:rsidRPr="00397701">
        <w:rPr>
          <w:rFonts w:ascii="Times New Roman" w:hAnsi="Times New Roman" w:cs="Times New Roman"/>
          <w:b/>
        </w:rPr>
        <w:t>1</w:t>
      </w:r>
      <w:r w:rsidR="008C12CE" w:rsidRPr="00397701">
        <w:rPr>
          <w:rFonts w:ascii="Times New Roman" w:hAnsi="Times New Roman" w:cs="Times New Roman"/>
          <w:b/>
        </w:rPr>
        <w:t>9</w:t>
      </w:r>
      <w:r w:rsidRPr="00397701">
        <w:rPr>
          <w:rFonts w:ascii="Times New Roman" w:hAnsi="Times New Roman" w:cs="Times New Roman"/>
          <w:b/>
        </w:rPr>
        <w:tab/>
        <w:t>Develop domestic and family violence policies and procedures</w:t>
      </w:r>
    </w:p>
    <w:p w14:paraId="613F1B7A" w14:textId="0B828DE6" w:rsidR="000F72F9" w:rsidRPr="00397701" w:rsidRDefault="000F72F9" w:rsidP="000F72F9">
      <w:pPr>
        <w:rPr>
          <w:rFonts w:ascii="Times New Roman" w:hAnsi="Times New Roman" w:cs="Times New Roman"/>
        </w:rPr>
      </w:pPr>
      <w:r w:rsidRPr="00397701">
        <w:rPr>
          <w:rFonts w:ascii="Times New Roman" w:hAnsi="Times New Roman" w:cs="Times New Roman"/>
        </w:rPr>
        <w:t>Section 1</w:t>
      </w:r>
      <w:r w:rsidR="008C12CE" w:rsidRPr="00397701">
        <w:rPr>
          <w:rFonts w:ascii="Times New Roman" w:hAnsi="Times New Roman" w:cs="Times New Roman"/>
        </w:rPr>
        <w:t>9</w:t>
      </w:r>
      <w:r w:rsidRPr="00397701">
        <w:rPr>
          <w:rFonts w:ascii="Times New Roman" w:hAnsi="Times New Roman" w:cs="Times New Roman"/>
        </w:rPr>
        <w:t xml:space="preserve"> establishes a</w:t>
      </w:r>
      <w:r w:rsidR="007C54B2" w:rsidRPr="00397701">
        <w:rPr>
          <w:rFonts w:ascii="Times New Roman" w:hAnsi="Times New Roman" w:cs="Times New Roman"/>
        </w:rPr>
        <w:t>n</w:t>
      </w:r>
      <w:r w:rsidRPr="00397701">
        <w:rPr>
          <w:rFonts w:ascii="Times New Roman" w:hAnsi="Times New Roman" w:cs="Times New Roman"/>
        </w:rPr>
        <w:t xml:space="preserve"> obligation for CSPs to </w:t>
      </w:r>
      <w:r w:rsidR="00DE7A77" w:rsidRPr="00397701">
        <w:rPr>
          <w:rFonts w:ascii="Times New Roman" w:hAnsi="Times New Roman" w:cs="Times New Roman"/>
        </w:rPr>
        <w:t xml:space="preserve">develop </w:t>
      </w:r>
      <w:r w:rsidR="0050587D" w:rsidRPr="00397701">
        <w:rPr>
          <w:rFonts w:ascii="Times New Roman" w:hAnsi="Times New Roman" w:cs="Times New Roman"/>
        </w:rPr>
        <w:t xml:space="preserve">a </w:t>
      </w:r>
      <w:r w:rsidRPr="00397701">
        <w:rPr>
          <w:rFonts w:ascii="Times New Roman" w:hAnsi="Times New Roman" w:cs="Times New Roman"/>
        </w:rPr>
        <w:t>DFV polic</w:t>
      </w:r>
      <w:r w:rsidR="0050587D" w:rsidRPr="00397701">
        <w:rPr>
          <w:rFonts w:ascii="Times New Roman" w:hAnsi="Times New Roman" w:cs="Times New Roman"/>
        </w:rPr>
        <w:t>y</w:t>
      </w:r>
      <w:r w:rsidRPr="00397701">
        <w:rPr>
          <w:rFonts w:ascii="Times New Roman" w:hAnsi="Times New Roman" w:cs="Times New Roman"/>
        </w:rPr>
        <w:t xml:space="preserve"> and </w:t>
      </w:r>
      <w:r w:rsidR="0050587D" w:rsidRPr="00397701">
        <w:rPr>
          <w:rFonts w:ascii="Times New Roman" w:hAnsi="Times New Roman" w:cs="Times New Roman"/>
        </w:rPr>
        <w:t xml:space="preserve">DFV </w:t>
      </w:r>
      <w:r w:rsidRPr="00397701">
        <w:rPr>
          <w:rFonts w:ascii="Times New Roman" w:hAnsi="Times New Roman" w:cs="Times New Roman"/>
        </w:rPr>
        <w:t xml:space="preserve">procedures that support effective compliance with </w:t>
      </w:r>
      <w:r w:rsidR="00131E46" w:rsidRPr="00397701">
        <w:rPr>
          <w:rFonts w:ascii="Times New Roman" w:hAnsi="Times New Roman" w:cs="Times New Roman"/>
        </w:rPr>
        <w:t xml:space="preserve">the </w:t>
      </w:r>
      <w:r w:rsidRPr="00397701">
        <w:rPr>
          <w:rFonts w:ascii="Times New Roman" w:hAnsi="Times New Roman" w:cs="Times New Roman"/>
        </w:rPr>
        <w:t xml:space="preserve">Standard and </w:t>
      </w:r>
      <w:r w:rsidR="002A451D" w:rsidRPr="00397701">
        <w:rPr>
          <w:rFonts w:ascii="Times New Roman" w:hAnsi="Times New Roman" w:cs="Times New Roman"/>
        </w:rPr>
        <w:t xml:space="preserve">that are intended to </w:t>
      </w:r>
      <w:r w:rsidRPr="00397701">
        <w:rPr>
          <w:rFonts w:ascii="Times New Roman" w:hAnsi="Times New Roman" w:cs="Times New Roman"/>
        </w:rPr>
        <w:t>promote consistent, safe, and informed interactions with affected persons.</w:t>
      </w:r>
    </w:p>
    <w:p w14:paraId="0D45539A" w14:textId="4336290D" w:rsidR="00213389" w:rsidRPr="00397701" w:rsidRDefault="000F72F9" w:rsidP="000F72F9">
      <w:pPr>
        <w:rPr>
          <w:rFonts w:ascii="Times New Roman" w:hAnsi="Times New Roman" w:cs="Times New Roman"/>
        </w:rPr>
      </w:pPr>
      <w:r w:rsidRPr="00397701">
        <w:rPr>
          <w:rFonts w:ascii="Times New Roman" w:hAnsi="Times New Roman" w:cs="Times New Roman"/>
        </w:rPr>
        <w:t>Subsection 1</w:t>
      </w:r>
      <w:r w:rsidR="008C12CE" w:rsidRPr="00397701">
        <w:rPr>
          <w:rFonts w:ascii="Times New Roman" w:hAnsi="Times New Roman" w:cs="Times New Roman"/>
        </w:rPr>
        <w:t>9</w:t>
      </w:r>
      <w:r w:rsidRPr="00397701">
        <w:rPr>
          <w:rFonts w:ascii="Times New Roman" w:hAnsi="Times New Roman" w:cs="Times New Roman"/>
        </w:rPr>
        <w:t xml:space="preserve">(1) outlines the key components of this obligation. </w:t>
      </w:r>
    </w:p>
    <w:p w14:paraId="020D6A32" w14:textId="555776A3" w:rsidR="000F72F9" w:rsidRPr="00397701" w:rsidRDefault="000F72F9" w:rsidP="001D0578">
      <w:pPr>
        <w:numPr>
          <w:ilvl w:val="0"/>
          <w:numId w:val="19"/>
        </w:numPr>
        <w:tabs>
          <w:tab w:val="num" w:pos="720"/>
        </w:tabs>
        <w:rPr>
          <w:rFonts w:ascii="Times New Roman" w:hAnsi="Times New Roman" w:cs="Times New Roman"/>
        </w:rPr>
      </w:pPr>
      <w:r w:rsidRPr="00397701">
        <w:rPr>
          <w:rFonts w:ascii="Times New Roman" w:hAnsi="Times New Roman" w:cs="Times New Roman"/>
        </w:rPr>
        <w:t xml:space="preserve">Paragraph (a) requires providers to </w:t>
      </w:r>
      <w:r w:rsidR="008C12CE" w:rsidRPr="00397701">
        <w:rPr>
          <w:rFonts w:ascii="Times New Roman" w:hAnsi="Times New Roman" w:cs="Times New Roman"/>
        </w:rPr>
        <w:t>establish</w:t>
      </w:r>
      <w:r w:rsidRPr="00397701">
        <w:rPr>
          <w:rFonts w:ascii="Times New Roman" w:hAnsi="Times New Roman" w:cs="Times New Roman"/>
        </w:rPr>
        <w:t xml:space="preserve"> a DFV policy that complies with the minimum content requirements in subsection </w:t>
      </w:r>
      <w:r w:rsidR="002A451D" w:rsidRPr="00397701">
        <w:rPr>
          <w:rFonts w:ascii="Times New Roman" w:hAnsi="Times New Roman" w:cs="Times New Roman"/>
        </w:rPr>
        <w:t>20</w:t>
      </w:r>
      <w:r w:rsidRPr="00397701">
        <w:rPr>
          <w:rFonts w:ascii="Times New Roman" w:hAnsi="Times New Roman" w:cs="Times New Roman"/>
        </w:rPr>
        <w:t>(1). This policy should guide the provider’s organisational response to DFV, including how it engages with affected persons and the principles that underpin its service delivery in this context.</w:t>
      </w:r>
    </w:p>
    <w:p w14:paraId="57AFB031" w14:textId="53BBF14A" w:rsidR="000F72F9" w:rsidRPr="00397701" w:rsidRDefault="000F72F9" w:rsidP="001D0578">
      <w:pPr>
        <w:numPr>
          <w:ilvl w:val="0"/>
          <w:numId w:val="19"/>
        </w:numPr>
        <w:tabs>
          <w:tab w:val="num" w:pos="720"/>
        </w:tabs>
        <w:rPr>
          <w:rFonts w:ascii="Times New Roman" w:hAnsi="Times New Roman" w:cs="Times New Roman"/>
        </w:rPr>
      </w:pPr>
      <w:r w:rsidRPr="00397701">
        <w:rPr>
          <w:rFonts w:ascii="Times New Roman" w:hAnsi="Times New Roman" w:cs="Times New Roman"/>
        </w:rPr>
        <w:lastRenderedPageBreak/>
        <w:t xml:space="preserve">Paragraph (b) requires providers to </w:t>
      </w:r>
      <w:r w:rsidR="00804EEC">
        <w:rPr>
          <w:rFonts w:ascii="Times New Roman" w:hAnsi="Times New Roman" w:cs="Times New Roman"/>
        </w:rPr>
        <w:t>develop</w:t>
      </w:r>
      <w:r w:rsidRPr="00397701">
        <w:rPr>
          <w:rFonts w:ascii="Times New Roman" w:hAnsi="Times New Roman" w:cs="Times New Roman"/>
        </w:rPr>
        <w:t xml:space="preserve"> DFV procedures that operationalise their DFV policy and ensure compliance with the broader requirements of the Standard. These procedures must meet the minimum requirements set out in subsection </w:t>
      </w:r>
      <w:r w:rsidR="008C12CE" w:rsidRPr="00397701">
        <w:rPr>
          <w:rFonts w:ascii="Times New Roman" w:hAnsi="Times New Roman" w:cs="Times New Roman"/>
        </w:rPr>
        <w:t>20</w:t>
      </w:r>
      <w:r w:rsidRPr="00397701">
        <w:rPr>
          <w:rFonts w:ascii="Times New Roman" w:hAnsi="Times New Roman" w:cs="Times New Roman"/>
        </w:rPr>
        <w:t>(2), and provide guidance to personnel on how to respond to DFV in practice. Subparagraphs (i)–(iii) make clear that these procedures must do more than reflect policy intent; they must enable frontline compliance and effective implementation of the Standard.</w:t>
      </w:r>
    </w:p>
    <w:p w14:paraId="6CEEBB40" w14:textId="3034F400" w:rsidR="00DE7A77" w:rsidRPr="00397701" w:rsidRDefault="00DE7A77" w:rsidP="00DE7A77">
      <w:pPr>
        <w:tabs>
          <w:tab w:val="num" w:pos="720"/>
        </w:tabs>
        <w:rPr>
          <w:rFonts w:ascii="Times New Roman" w:hAnsi="Times New Roman" w:cs="Times New Roman"/>
        </w:rPr>
      </w:pPr>
      <w:r w:rsidRPr="00397701">
        <w:rPr>
          <w:rFonts w:ascii="Times New Roman" w:hAnsi="Times New Roman" w:cs="Times New Roman"/>
        </w:rPr>
        <w:t>Subsection 19(2) requires that a provider must ensure that its DFV policy and DFV procedures are in place at all times after the end of 6 months from 1 July 2025, for large providers and after the end of 9 months for small providers.</w:t>
      </w:r>
    </w:p>
    <w:p w14:paraId="0A073234" w14:textId="016C7963" w:rsidR="000F72F9" w:rsidRPr="00397701" w:rsidRDefault="00DE7A77" w:rsidP="00DE7A77">
      <w:pPr>
        <w:tabs>
          <w:tab w:val="num" w:pos="720"/>
        </w:tabs>
        <w:rPr>
          <w:rFonts w:ascii="Times New Roman" w:hAnsi="Times New Roman" w:cs="Times New Roman"/>
        </w:rPr>
      </w:pPr>
      <w:r w:rsidRPr="00397701">
        <w:rPr>
          <w:rFonts w:ascii="Times New Roman" w:hAnsi="Times New Roman" w:cs="Times New Roman"/>
        </w:rPr>
        <w:t xml:space="preserve">Subsection 19(3) </w:t>
      </w:r>
      <w:r w:rsidR="000F72F9" w:rsidRPr="00397701">
        <w:rPr>
          <w:rFonts w:ascii="Times New Roman" w:hAnsi="Times New Roman" w:cs="Times New Roman"/>
        </w:rPr>
        <w:t>require</w:t>
      </w:r>
      <w:r w:rsidRPr="00397701">
        <w:rPr>
          <w:rFonts w:ascii="Times New Roman" w:hAnsi="Times New Roman" w:cs="Times New Roman"/>
        </w:rPr>
        <w:t>s</w:t>
      </w:r>
      <w:r w:rsidR="000F72F9" w:rsidRPr="00397701">
        <w:rPr>
          <w:rFonts w:ascii="Times New Roman" w:hAnsi="Times New Roman" w:cs="Times New Roman"/>
        </w:rPr>
        <w:t xml:space="preserve"> </w:t>
      </w:r>
      <w:r w:rsidRPr="00397701">
        <w:rPr>
          <w:rFonts w:ascii="Times New Roman" w:hAnsi="Times New Roman" w:cs="Times New Roman"/>
        </w:rPr>
        <w:t xml:space="preserve">that </w:t>
      </w:r>
      <w:r w:rsidR="000F72F9" w:rsidRPr="00397701">
        <w:rPr>
          <w:rFonts w:ascii="Times New Roman" w:hAnsi="Times New Roman" w:cs="Times New Roman"/>
        </w:rPr>
        <w:t xml:space="preserve">providers </w:t>
      </w:r>
      <w:r w:rsidRPr="00397701">
        <w:rPr>
          <w:rFonts w:ascii="Times New Roman" w:hAnsi="Times New Roman" w:cs="Times New Roman"/>
        </w:rPr>
        <w:t xml:space="preserve">must </w:t>
      </w:r>
      <w:r w:rsidR="000F72F9" w:rsidRPr="00397701">
        <w:rPr>
          <w:rFonts w:ascii="Times New Roman" w:hAnsi="Times New Roman" w:cs="Times New Roman"/>
        </w:rPr>
        <w:t xml:space="preserve">comply with both their DFV policy and </w:t>
      </w:r>
      <w:r w:rsidR="0084299E" w:rsidRPr="00397701">
        <w:rPr>
          <w:rFonts w:ascii="Times New Roman" w:hAnsi="Times New Roman" w:cs="Times New Roman"/>
        </w:rPr>
        <w:t xml:space="preserve">DFV </w:t>
      </w:r>
      <w:r w:rsidR="000F72F9" w:rsidRPr="00397701">
        <w:rPr>
          <w:rFonts w:ascii="Times New Roman" w:hAnsi="Times New Roman" w:cs="Times New Roman"/>
        </w:rPr>
        <w:t>procedures. This reflects the intent that policies and procedures must be embedded into day-to-day operations and service practices, with staff trained and supported to act in accordance with them.</w:t>
      </w:r>
    </w:p>
    <w:p w14:paraId="511DBCAC" w14:textId="46B56A90" w:rsidR="000F72F9" w:rsidRPr="00397701" w:rsidRDefault="000F72F9" w:rsidP="000F72F9">
      <w:pPr>
        <w:rPr>
          <w:rFonts w:ascii="Times New Roman" w:hAnsi="Times New Roman" w:cs="Times New Roman"/>
        </w:rPr>
      </w:pPr>
      <w:r w:rsidRPr="00397701">
        <w:rPr>
          <w:rFonts w:ascii="Times New Roman" w:hAnsi="Times New Roman" w:cs="Times New Roman"/>
        </w:rPr>
        <w:t>Subsection 1</w:t>
      </w:r>
      <w:r w:rsidR="008C12CE" w:rsidRPr="00397701">
        <w:rPr>
          <w:rFonts w:ascii="Times New Roman" w:hAnsi="Times New Roman" w:cs="Times New Roman"/>
        </w:rPr>
        <w:t>9</w:t>
      </w:r>
      <w:r w:rsidRPr="00397701">
        <w:rPr>
          <w:rFonts w:ascii="Times New Roman" w:hAnsi="Times New Roman" w:cs="Times New Roman"/>
        </w:rPr>
        <w:t>(</w:t>
      </w:r>
      <w:r w:rsidR="00DE7A77" w:rsidRPr="00397701">
        <w:rPr>
          <w:rFonts w:ascii="Times New Roman" w:hAnsi="Times New Roman" w:cs="Times New Roman"/>
        </w:rPr>
        <w:t>4</w:t>
      </w:r>
      <w:r w:rsidRPr="00397701">
        <w:rPr>
          <w:rFonts w:ascii="Times New Roman" w:hAnsi="Times New Roman" w:cs="Times New Roman"/>
        </w:rPr>
        <w:t>) places accountability for DFV governance at the highest level of the provider’s organisation. It requires the most senior responsible executive</w:t>
      </w:r>
      <w:r w:rsidR="00E31C92" w:rsidRPr="00397701">
        <w:rPr>
          <w:rFonts w:ascii="Times New Roman" w:hAnsi="Times New Roman" w:cs="Times New Roman"/>
        </w:rPr>
        <w:t xml:space="preserve">, </w:t>
      </w:r>
      <w:r w:rsidRPr="00397701">
        <w:rPr>
          <w:rFonts w:ascii="Times New Roman" w:hAnsi="Times New Roman" w:cs="Times New Roman"/>
        </w:rPr>
        <w:t>typically the Chief Executive Officer</w:t>
      </w:r>
      <w:r w:rsidR="00396A1A" w:rsidRPr="00397701">
        <w:rPr>
          <w:rFonts w:ascii="Times New Roman" w:hAnsi="Times New Roman" w:cs="Times New Roman"/>
        </w:rPr>
        <w:t>.</w:t>
      </w:r>
      <w:r w:rsidR="00E31C92" w:rsidRPr="00397701">
        <w:rPr>
          <w:rFonts w:ascii="Times New Roman" w:hAnsi="Times New Roman" w:cs="Times New Roman"/>
        </w:rPr>
        <w:t xml:space="preserve"> </w:t>
      </w:r>
      <w:r w:rsidRPr="00397701">
        <w:rPr>
          <w:rFonts w:ascii="Times New Roman" w:hAnsi="Times New Roman" w:cs="Times New Roman"/>
        </w:rPr>
        <w:t xml:space="preserve">to approve both the DFV </w:t>
      </w:r>
      <w:r w:rsidR="005E2F84" w:rsidRPr="00397701">
        <w:rPr>
          <w:rFonts w:ascii="Times New Roman" w:hAnsi="Times New Roman" w:cs="Times New Roman"/>
        </w:rPr>
        <w:t>p</w:t>
      </w:r>
      <w:r w:rsidRPr="00397701">
        <w:rPr>
          <w:rFonts w:ascii="Times New Roman" w:hAnsi="Times New Roman" w:cs="Times New Roman"/>
        </w:rPr>
        <w:t xml:space="preserve">olicy and the DFV </w:t>
      </w:r>
      <w:r w:rsidR="005E2F84" w:rsidRPr="00397701">
        <w:rPr>
          <w:rFonts w:ascii="Times New Roman" w:hAnsi="Times New Roman" w:cs="Times New Roman"/>
        </w:rPr>
        <w:t>s</w:t>
      </w:r>
      <w:r w:rsidRPr="00397701">
        <w:rPr>
          <w:rFonts w:ascii="Times New Roman" w:hAnsi="Times New Roman" w:cs="Times New Roman"/>
        </w:rPr>
        <w:t xml:space="preserve">tatement (a separate requirement under section </w:t>
      </w:r>
      <w:r w:rsidR="003A6C68" w:rsidRPr="00397701">
        <w:rPr>
          <w:rFonts w:ascii="Times New Roman" w:hAnsi="Times New Roman" w:cs="Times New Roman"/>
        </w:rPr>
        <w:t>1</w:t>
      </w:r>
      <w:r w:rsidR="00705673" w:rsidRPr="00397701">
        <w:rPr>
          <w:rFonts w:ascii="Times New Roman" w:hAnsi="Times New Roman" w:cs="Times New Roman"/>
        </w:rPr>
        <w:t>7</w:t>
      </w:r>
      <w:r w:rsidRPr="00397701">
        <w:rPr>
          <w:rFonts w:ascii="Times New Roman" w:hAnsi="Times New Roman" w:cs="Times New Roman"/>
        </w:rPr>
        <w:t xml:space="preserve">), and to assume overall responsibility for the implementation and operation of the DFV </w:t>
      </w:r>
      <w:r w:rsidR="0028287A" w:rsidRPr="00397701">
        <w:rPr>
          <w:rFonts w:ascii="Times New Roman" w:hAnsi="Times New Roman" w:cs="Times New Roman"/>
        </w:rPr>
        <w:t>p</w:t>
      </w:r>
      <w:r w:rsidRPr="00397701">
        <w:rPr>
          <w:rFonts w:ascii="Times New Roman" w:hAnsi="Times New Roman" w:cs="Times New Roman"/>
        </w:rPr>
        <w:t>rocedures. Th</w:t>
      </w:r>
      <w:r w:rsidR="00FC5F05" w:rsidRPr="00397701">
        <w:rPr>
          <w:rFonts w:ascii="Times New Roman" w:hAnsi="Times New Roman" w:cs="Times New Roman"/>
        </w:rPr>
        <w:t>e</w:t>
      </w:r>
      <w:r w:rsidRPr="00397701">
        <w:rPr>
          <w:rFonts w:ascii="Times New Roman" w:hAnsi="Times New Roman" w:cs="Times New Roman"/>
        </w:rPr>
        <w:t xml:space="preserve"> inten</w:t>
      </w:r>
      <w:r w:rsidR="00FC5F05" w:rsidRPr="00397701">
        <w:rPr>
          <w:rFonts w:ascii="Times New Roman" w:hAnsi="Times New Roman" w:cs="Times New Roman"/>
        </w:rPr>
        <w:t>tion</w:t>
      </w:r>
      <w:r w:rsidR="00CD32C6" w:rsidRPr="00397701">
        <w:rPr>
          <w:rFonts w:ascii="Times New Roman" w:hAnsi="Times New Roman" w:cs="Times New Roman"/>
        </w:rPr>
        <w:t xml:space="preserve"> </w:t>
      </w:r>
      <w:r w:rsidR="00FC5F05" w:rsidRPr="00397701">
        <w:rPr>
          <w:rFonts w:ascii="Times New Roman" w:hAnsi="Times New Roman" w:cs="Times New Roman"/>
        </w:rPr>
        <w:t>is</w:t>
      </w:r>
      <w:r w:rsidRPr="00397701">
        <w:rPr>
          <w:rFonts w:ascii="Times New Roman" w:hAnsi="Times New Roman" w:cs="Times New Roman"/>
        </w:rPr>
        <w:t xml:space="preserve"> that DFV responsiveness is integrated into organisational leadership, strategic oversight, and resource allocation.</w:t>
      </w:r>
    </w:p>
    <w:p w14:paraId="17996CF7" w14:textId="53122E24" w:rsidR="00E31C92" w:rsidRPr="00397701" w:rsidRDefault="000F72F9" w:rsidP="00E31C92">
      <w:pPr>
        <w:rPr>
          <w:rFonts w:ascii="Times New Roman" w:hAnsi="Times New Roman" w:cs="Times New Roman"/>
        </w:rPr>
      </w:pPr>
      <w:r w:rsidRPr="00397701">
        <w:rPr>
          <w:rFonts w:ascii="Times New Roman" w:hAnsi="Times New Roman" w:cs="Times New Roman"/>
        </w:rPr>
        <w:t>This section is central to embedding systemic, whole-of-organisation approaches to DFV, in line with evidence that ad hoc, discretionary, or individual-led responses are insufficient to support affected persons safely and effectively.</w:t>
      </w:r>
      <w:r w:rsidR="00E31C92" w:rsidRPr="00397701">
        <w:rPr>
          <w:rFonts w:ascii="Times New Roman" w:hAnsi="Times New Roman" w:cs="Times New Roman"/>
        </w:rPr>
        <w:t xml:space="preserve"> It does not prevent a CSP from including additional content in its DFV policy or procedures beyond the minimum requirements of the Standard.</w:t>
      </w:r>
    </w:p>
    <w:p w14:paraId="04F3CB61" w14:textId="7E1E52E5" w:rsidR="004E5891" w:rsidRPr="00397701" w:rsidRDefault="00E31C92" w:rsidP="005958D6">
      <w:pPr>
        <w:rPr>
          <w:rFonts w:ascii="Times New Roman" w:hAnsi="Times New Roman" w:cs="Times New Roman"/>
          <w:b/>
        </w:rPr>
      </w:pPr>
      <w:r w:rsidRPr="00397701">
        <w:rPr>
          <w:rFonts w:ascii="Times New Roman" w:hAnsi="Times New Roman" w:cs="Times New Roman"/>
          <w:b/>
        </w:rPr>
        <w:t xml:space="preserve">Section </w:t>
      </w:r>
      <w:r w:rsidR="008C12CE" w:rsidRPr="00397701">
        <w:rPr>
          <w:rFonts w:ascii="Times New Roman" w:hAnsi="Times New Roman" w:cs="Times New Roman"/>
          <w:b/>
        </w:rPr>
        <w:t>20</w:t>
      </w:r>
      <w:r w:rsidRPr="00397701">
        <w:rPr>
          <w:rFonts w:ascii="Times New Roman" w:hAnsi="Times New Roman" w:cs="Times New Roman"/>
          <w:b/>
        </w:rPr>
        <w:tab/>
        <w:t>Minimum requirements for DFV policies and procedures</w:t>
      </w:r>
    </w:p>
    <w:p w14:paraId="33131CFE" w14:textId="6036D2DE" w:rsidR="00E31C92" w:rsidRPr="00397701" w:rsidRDefault="00E31C92" w:rsidP="00E31C92">
      <w:pPr>
        <w:rPr>
          <w:rFonts w:ascii="Times New Roman" w:hAnsi="Times New Roman" w:cs="Times New Roman"/>
        </w:rPr>
      </w:pPr>
      <w:r w:rsidRPr="00397701">
        <w:rPr>
          <w:rFonts w:ascii="Times New Roman" w:hAnsi="Times New Roman" w:cs="Times New Roman"/>
        </w:rPr>
        <w:t xml:space="preserve">Section </w:t>
      </w:r>
      <w:r w:rsidR="00253153" w:rsidRPr="00397701">
        <w:rPr>
          <w:rFonts w:ascii="Times New Roman" w:hAnsi="Times New Roman" w:cs="Times New Roman"/>
        </w:rPr>
        <w:t>20</w:t>
      </w:r>
      <w:r w:rsidRPr="00397701">
        <w:rPr>
          <w:rFonts w:ascii="Times New Roman" w:hAnsi="Times New Roman" w:cs="Times New Roman"/>
        </w:rPr>
        <w:t xml:space="preserve"> sets out the minimum content requirements that must be addressed in </w:t>
      </w:r>
      <w:r w:rsidR="006F1651" w:rsidRPr="00397701">
        <w:rPr>
          <w:rFonts w:ascii="Times New Roman" w:hAnsi="Times New Roman" w:cs="Times New Roman"/>
        </w:rPr>
        <w:t xml:space="preserve">a </w:t>
      </w:r>
      <w:r w:rsidRPr="00397701">
        <w:rPr>
          <w:rFonts w:ascii="Times New Roman" w:hAnsi="Times New Roman" w:cs="Times New Roman"/>
        </w:rPr>
        <w:t xml:space="preserve">provider’s DFV policy and </w:t>
      </w:r>
      <w:r w:rsidR="006F1651" w:rsidRPr="00397701">
        <w:rPr>
          <w:rFonts w:ascii="Times New Roman" w:hAnsi="Times New Roman" w:cs="Times New Roman"/>
        </w:rPr>
        <w:t xml:space="preserve">DFV </w:t>
      </w:r>
      <w:r w:rsidRPr="00397701">
        <w:rPr>
          <w:rFonts w:ascii="Times New Roman" w:hAnsi="Times New Roman" w:cs="Times New Roman"/>
        </w:rPr>
        <w:t>procedures. These minimum standards are intended to support consistency across the sector while allowing flexibility for providers to tailor their approach to their business model, services, and customer base.</w:t>
      </w:r>
    </w:p>
    <w:p w14:paraId="7F4C06C0" w14:textId="6F2C31E3" w:rsidR="00E31C92" w:rsidRPr="00397701" w:rsidRDefault="00E31C92" w:rsidP="00E31C92">
      <w:pPr>
        <w:rPr>
          <w:rFonts w:ascii="Times New Roman" w:hAnsi="Times New Roman" w:cs="Times New Roman"/>
        </w:rPr>
      </w:pPr>
      <w:r w:rsidRPr="00397701">
        <w:rPr>
          <w:rFonts w:ascii="Times New Roman" w:hAnsi="Times New Roman" w:cs="Times New Roman"/>
        </w:rPr>
        <w:t xml:space="preserve">Subsection </w:t>
      </w:r>
      <w:r w:rsidR="008C12CE" w:rsidRPr="00397701">
        <w:rPr>
          <w:rFonts w:ascii="Times New Roman" w:hAnsi="Times New Roman" w:cs="Times New Roman"/>
        </w:rPr>
        <w:t>20</w:t>
      </w:r>
      <w:r w:rsidRPr="00397701">
        <w:rPr>
          <w:rFonts w:ascii="Times New Roman" w:hAnsi="Times New Roman" w:cs="Times New Roman"/>
        </w:rPr>
        <w:t>(1) identifies eight matters that must be addressed in the DFV policy:</w:t>
      </w:r>
    </w:p>
    <w:p w14:paraId="22ABE2B9" w14:textId="07E3C7BC" w:rsidR="00E31C92" w:rsidRPr="00397701" w:rsidRDefault="00E31C92" w:rsidP="001D0578">
      <w:pPr>
        <w:numPr>
          <w:ilvl w:val="0"/>
          <w:numId w:val="20"/>
        </w:numPr>
        <w:tabs>
          <w:tab w:val="num" w:pos="720"/>
        </w:tabs>
        <w:rPr>
          <w:rFonts w:ascii="Times New Roman" w:hAnsi="Times New Roman" w:cs="Times New Roman"/>
        </w:rPr>
      </w:pPr>
      <w:r w:rsidRPr="00397701">
        <w:rPr>
          <w:rFonts w:ascii="Times New Roman" w:hAnsi="Times New Roman" w:cs="Times New Roman"/>
        </w:rPr>
        <w:t xml:space="preserve">Paragraph (a) requires the policy to be in writing, </w:t>
      </w:r>
      <w:r w:rsidR="00FC5F05" w:rsidRPr="00397701">
        <w:rPr>
          <w:rFonts w:ascii="Times New Roman" w:hAnsi="Times New Roman" w:cs="Times New Roman"/>
        </w:rPr>
        <w:t>providing</w:t>
      </w:r>
      <w:r w:rsidRPr="00397701">
        <w:rPr>
          <w:rFonts w:ascii="Times New Roman" w:hAnsi="Times New Roman" w:cs="Times New Roman"/>
        </w:rPr>
        <w:t xml:space="preserve"> transparency and accountability.</w:t>
      </w:r>
    </w:p>
    <w:p w14:paraId="37258722" w14:textId="3FC20A77" w:rsidR="00E31C92" w:rsidRPr="00397701" w:rsidRDefault="00E31C92" w:rsidP="001D0578">
      <w:pPr>
        <w:numPr>
          <w:ilvl w:val="0"/>
          <w:numId w:val="20"/>
        </w:numPr>
        <w:tabs>
          <w:tab w:val="num" w:pos="720"/>
        </w:tabs>
        <w:rPr>
          <w:rFonts w:ascii="Times New Roman" w:hAnsi="Times New Roman" w:cs="Times New Roman"/>
        </w:rPr>
      </w:pPr>
      <w:r w:rsidRPr="00397701">
        <w:rPr>
          <w:rFonts w:ascii="Times New Roman" w:hAnsi="Times New Roman" w:cs="Times New Roman"/>
        </w:rPr>
        <w:t xml:space="preserve">Paragraph (b) requires that the policy prioritise the safety of affected persons. This overarching principle must guide how services are delivered and how internal systems </w:t>
      </w:r>
      <w:r w:rsidR="00EC3098" w:rsidRPr="00397701">
        <w:rPr>
          <w:rFonts w:ascii="Times New Roman" w:hAnsi="Times New Roman" w:cs="Times New Roman"/>
        </w:rPr>
        <w:t xml:space="preserve">identify and </w:t>
      </w:r>
      <w:r w:rsidRPr="00397701">
        <w:rPr>
          <w:rFonts w:ascii="Times New Roman" w:hAnsi="Times New Roman" w:cs="Times New Roman"/>
        </w:rPr>
        <w:t xml:space="preserve">manage risk and escalate </w:t>
      </w:r>
      <w:r w:rsidR="00EC3098" w:rsidRPr="00397701">
        <w:rPr>
          <w:rFonts w:ascii="Times New Roman" w:hAnsi="Times New Roman" w:cs="Times New Roman"/>
        </w:rPr>
        <w:t xml:space="preserve">and resolve </w:t>
      </w:r>
      <w:r w:rsidRPr="00397701">
        <w:rPr>
          <w:rFonts w:ascii="Times New Roman" w:hAnsi="Times New Roman" w:cs="Times New Roman"/>
        </w:rPr>
        <w:t>concerns.</w:t>
      </w:r>
    </w:p>
    <w:p w14:paraId="35BDF879" w14:textId="48722E72" w:rsidR="00E31C92" w:rsidRPr="00397701" w:rsidRDefault="00E31C92" w:rsidP="001D0578">
      <w:pPr>
        <w:numPr>
          <w:ilvl w:val="0"/>
          <w:numId w:val="20"/>
        </w:numPr>
        <w:tabs>
          <w:tab w:val="num" w:pos="720"/>
        </w:tabs>
        <w:rPr>
          <w:rFonts w:ascii="Times New Roman" w:hAnsi="Times New Roman" w:cs="Times New Roman"/>
        </w:rPr>
      </w:pPr>
      <w:r w:rsidRPr="00397701">
        <w:rPr>
          <w:rFonts w:ascii="Times New Roman" w:hAnsi="Times New Roman" w:cs="Times New Roman"/>
        </w:rPr>
        <w:t>Paragraphs (c) and (d) require the policy to set out how the provider will support and manage affected persons, and the options for assistance it can offer</w:t>
      </w:r>
      <w:r w:rsidR="00FC5F05" w:rsidRPr="00397701">
        <w:rPr>
          <w:rFonts w:ascii="Times New Roman" w:hAnsi="Times New Roman" w:cs="Times New Roman"/>
        </w:rPr>
        <w:t xml:space="preserve"> so</w:t>
      </w:r>
      <w:r w:rsidRPr="00397701">
        <w:rPr>
          <w:rFonts w:ascii="Times New Roman" w:hAnsi="Times New Roman" w:cs="Times New Roman"/>
        </w:rPr>
        <w:t xml:space="preserve"> that affected persons are provided with accessible and consistent information about what support is available, and how it may be tailored to their needs.</w:t>
      </w:r>
    </w:p>
    <w:p w14:paraId="53F1FA9F" w14:textId="77777777" w:rsidR="00E31C92" w:rsidRPr="00397701" w:rsidRDefault="00E31C92" w:rsidP="001D0578">
      <w:pPr>
        <w:numPr>
          <w:ilvl w:val="0"/>
          <w:numId w:val="20"/>
        </w:numPr>
        <w:tabs>
          <w:tab w:val="num" w:pos="720"/>
        </w:tabs>
        <w:rPr>
          <w:rFonts w:ascii="Times New Roman" w:hAnsi="Times New Roman" w:cs="Times New Roman"/>
        </w:rPr>
      </w:pPr>
      <w:r w:rsidRPr="00397701">
        <w:rPr>
          <w:rFonts w:ascii="Times New Roman" w:hAnsi="Times New Roman" w:cs="Times New Roman"/>
        </w:rPr>
        <w:t>Paragraph (e) requires the policy to address how the provider supports its personnel who engage with affected persons, recognising that this work can be complex, sensitive and emotionally taxing. Support may include training, supervision, or access to employee assistance programs.</w:t>
      </w:r>
    </w:p>
    <w:p w14:paraId="0528763D" w14:textId="77777777" w:rsidR="00E31C92" w:rsidRPr="00397701" w:rsidRDefault="00E31C92" w:rsidP="001D0578">
      <w:pPr>
        <w:numPr>
          <w:ilvl w:val="0"/>
          <w:numId w:val="20"/>
        </w:numPr>
        <w:tabs>
          <w:tab w:val="num" w:pos="720"/>
        </w:tabs>
        <w:rPr>
          <w:rFonts w:ascii="Times New Roman" w:hAnsi="Times New Roman" w:cs="Times New Roman"/>
        </w:rPr>
      </w:pPr>
      <w:r w:rsidRPr="00397701">
        <w:rPr>
          <w:rFonts w:ascii="Times New Roman" w:hAnsi="Times New Roman" w:cs="Times New Roman"/>
        </w:rPr>
        <w:t>Paragraph (f) requires the provider to address how it will protect the privacy and security of affected persons, including through secure record-keeping and appropriate handling of personal information. This reflects a key concern raised by stakeholders about unauthorised disclosure or access by perpetrators.</w:t>
      </w:r>
    </w:p>
    <w:p w14:paraId="7C4CB8C8" w14:textId="77777777" w:rsidR="00E31C92" w:rsidRPr="00397701" w:rsidRDefault="00E31C92" w:rsidP="001D0578">
      <w:pPr>
        <w:numPr>
          <w:ilvl w:val="0"/>
          <w:numId w:val="20"/>
        </w:numPr>
        <w:tabs>
          <w:tab w:val="num" w:pos="720"/>
        </w:tabs>
        <w:rPr>
          <w:rFonts w:ascii="Times New Roman" w:hAnsi="Times New Roman" w:cs="Times New Roman"/>
        </w:rPr>
      </w:pPr>
      <w:r w:rsidRPr="00397701">
        <w:rPr>
          <w:rFonts w:ascii="Times New Roman" w:hAnsi="Times New Roman" w:cs="Times New Roman"/>
        </w:rPr>
        <w:lastRenderedPageBreak/>
        <w:t>Paragraph (g) requires that the policy set out how inclusive design will be used in the development and review of the provider’s systems, processes and telecommunications products, to identify and reduce risks to affected persons. This encourages providers to take a proactive, systems-based approach to DFV safety, rather than relying solely on reactive measures.</w:t>
      </w:r>
    </w:p>
    <w:p w14:paraId="2659BA75" w14:textId="6C24983E" w:rsidR="00E31C92" w:rsidRPr="00397701" w:rsidRDefault="00E31C92" w:rsidP="001D0578">
      <w:pPr>
        <w:numPr>
          <w:ilvl w:val="0"/>
          <w:numId w:val="20"/>
        </w:numPr>
        <w:tabs>
          <w:tab w:val="num" w:pos="720"/>
        </w:tabs>
        <w:rPr>
          <w:rFonts w:ascii="Times New Roman" w:hAnsi="Times New Roman" w:cs="Times New Roman"/>
        </w:rPr>
      </w:pPr>
      <w:r w:rsidRPr="00397701">
        <w:rPr>
          <w:rFonts w:ascii="Times New Roman" w:hAnsi="Times New Roman" w:cs="Times New Roman"/>
        </w:rPr>
        <w:t xml:space="preserve">Paragraph (h) requires the policy to address how the provider will </w:t>
      </w:r>
      <w:r w:rsidR="001F4ABF" w:rsidRPr="00397701">
        <w:rPr>
          <w:rFonts w:ascii="Times New Roman" w:hAnsi="Times New Roman" w:cs="Times New Roman"/>
        </w:rPr>
        <w:t xml:space="preserve">use </w:t>
      </w:r>
      <w:r w:rsidR="00A92EBB" w:rsidRPr="00397701">
        <w:rPr>
          <w:rFonts w:ascii="Times New Roman" w:hAnsi="Times New Roman" w:cs="Times New Roman"/>
        </w:rPr>
        <w:t>an</w:t>
      </w:r>
      <w:r w:rsidRPr="00397701">
        <w:rPr>
          <w:rFonts w:ascii="Times New Roman" w:hAnsi="Times New Roman" w:cs="Times New Roman"/>
        </w:rPr>
        <w:t xml:space="preserve"> intersectional </w:t>
      </w:r>
      <w:r w:rsidR="00A92EBB" w:rsidRPr="00397701">
        <w:rPr>
          <w:rFonts w:ascii="Times New Roman" w:hAnsi="Times New Roman" w:cs="Times New Roman"/>
        </w:rPr>
        <w:t>approach in supporting affected persons</w:t>
      </w:r>
      <w:r w:rsidRPr="00397701">
        <w:rPr>
          <w:rFonts w:ascii="Times New Roman" w:hAnsi="Times New Roman" w:cs="Times New Roman"/>
        </w:rPr>
        <w:t xml:space="preserve"> (and, where </w:t>
      </w:r>
      <w:r w:rsidR="00A92EBB" w:rsidRPr="00397701">
        <w:rPr>
          <w:rFonts w:ascii="Times New Roman" w:hAnsi="Times New Roman" w:cs="Times New Roman"/>
        </w:rPr>
        <w:t>applicable in accordance with section 7</w:t>
      </w:r>
      <w:r w:rsidRPr="00397701">
        <w:rPr>
          <w:rFonts w:ascii="Times New Roman" w:hAnsi="Times New Roman" w:cs="Times New Roman"/>
        </w:rPr>
        <w:t xml:space="preserve">, </w:t>
      </w:r>
      <w:r w:rsidR="00A92EBB" w:rsidRPr="00397701">
        <w:rPr>
          <w:rFonts w:ascii="Times New Roman" w:hAnsi="Times New Roman" w:cs="Times New Roman"/>
        </w:rPr>
        <w:t xml:space="preserve">those who have experienced </w:t>
      </w:r>
      <w:r w:rsidR="00D84FAB">
        <w:rPr>
          <w:rFonts w:ascii="Times New Roman" w:hAnsi="Times New Roman" w:cs="Times New Roman"/>
        </w:rPr>
        <w:t>non</w:t>
      </w:r>
      <w:r w:rsidR="006214FB">
        <w:rPr>
          <w:rFonts w:ascii="Times New Roman" w:hAnsi="Times New Roman" w:cs="Times New Roman"/>
        </w:rPr>
        <w:t>-</w:t>
      </w:r>
      <w:r w:rsidR="00D84FAB">
        <w:rPr>
          <w:rFonts w:ascii="Times New Roman" w:hAnsi="Times New Roman" w:cs="Times New Roman"/>
        </w:rPr>
        <w:t xml:space="preserve">domestic </w:t>
      </w:r>
      <w:r w:rsidRPr="00397701">
        <w:rPr>
          <w:rFonts w:ascii="Times New Roman" w:hAnsi="Times New Roman" w:cs="Times New Roman"/>
        </w:rPr>
        <w:t xml:space="preserve">sexual violence). This </w:t>
      </w:r>
      <w:r w:rsidR="00612387" w:rsidRPr="00397701">
        <w:rPr>
          <w:rFonts w:ascii="Times New Roman" w:hAnsi="Times New Roman" w:cs="Times New Roman"/>
        </w:rPr>
        <w:t>type of approach</w:t>
      </w:r>
      <w:r w:rsidR="00B57002" w:rsidRPr="00397701">
        <w:rPr>
          <w:rFonts w:ascii="Times New Roman" w:hAnsi="Times New Roman" w:cs="Times New Roman"/>
        </w:rPr>
        <w:t xml:space="preserve"> to</w:t>
      </w:r>
      <w:r w:rsidRPr="00397701">
        <w:rPr>
          <w:rFonts w:ascii="Times New Roman" w:hAnsi="Times New Roman" w:cs="Times New Roman"/>
        </w:rPr>
        <w:t xml:space="preserve"> the policy recognises and responds to the diverse experiences and needs of affected persons, including those shaped by disability, race, cultural background, sexuality or gender identit</w:t>
      </w:r>
      <w:r w:rsidR="00A92EBB" w:rsidRPr="00397701">
        <w:rPr>
          <w:rFonts w:ascii="Times New Roman" w:hAnsi="Times New Roman" w:cs="Times New Roman"/>
        </w:rPr>
        <w:t xml:space="preserve">y and how this impacts their experiences of DFV and </w:t>
      </w:r>
      <w:r w:rsidR="006F525B">
        <w:rPr>
          <w:rFonts w:ascii="Times New Roman" w:hAnsi="Times New Roman" w:cs="Times New Roman"/>
        </w:rPr>
        <w:t>non</w:t>
      </w:r>
      <w:r w:rsidR="006214FB">
        <w:rPr>
          <w:rFonts w:ascii="Times New Roman" w:hAnsi="Times New Roman" w:cs="Times New Roman"/>
        </w:rPr>
        <w:t>-</w:t>
      </w:r>
      <w:r w:rsidR="006F525B">
        <w:rPr>
          <w:rFonts w:ascii="Times New Roman" w:hAnsi="Times New Roman" w:cs="Times New Roman"/>
        </w:rPr>
        <w:t xml:space="preserve">domestic </w:t>
      </w:r>
      <w:r w:rsidR="00A92EBB" w:rsidRPr="00397701">
        <w:rPr>
          <w:rFonts w:ascii="Times New Roman" w:hAnsi="Times New Roman" w:cs="Times New Roman"/>
        </w:rPr>
        <w:t>sexual violence and accessing support.</w:t>
      </w:r>
      <w:r w:rsidR="00B5321B" w:rsidRPr="00397701">
        <w:rPr>
          <w:rFonts w:ascii="Times New Roman" w:hAnsi="Times New Roman" w:cs="Times New Roman"/>
        </w:rPr>
        <w:t xml:space="preserve"> </w:t>
      </w:r>
      <w:r w:rsidR="005825D8" w:rsidRPr="00397701">
        <w:rPr>
          <w:rFonts w:ascii="Times New Roman" w:hAnsi="Times New Roman" w:cs="Times New Roman"/>
        </w:rPr>
        <w:t>Consultation with appropriate experts in accordance with section 32 will support providers in this.</w:t>
      </w:r>
    </w:p>
    <w:p w14:paraId="5B52E043" w14:textId="0788AB08" w:rsidR="00E31C92" w:rsidRPr="00397701" w:rsidRDefault="00E31C92" w:rsidP="00E31C92">
      <w:pPr>
        <w:rPr>
          <w:rFonts w:ascii="Times New Roman" w:hAnsi="Times New Roman" w:cs="Times New Roman"/>
        </w:rPr>
      </w:pPr>
      <w:r w:rsidRPr="00397701">
        <w:rPr>
          <w:rFonts w:ascii="Times New Roman" w:hAnsi="Times New Roman" w:cs="Times New Roman"/>
        </w:rPr>
        <w:t xml:space="preserve">Subsection </w:t>
      </w:r>
      <w:r w:rsidR="008C12CE" w:rsidRPr="00397701">
        <w:rPr>
          <w:rFonts w:ascii="Times New Roman" w:hAnsi="Times New Roman" w:cs="Times New Roman"/>
        </w:rPr>
        <w:t>20</w:t>
      </w:r>
      <w:r w:rsidRPr="00397701">
        <w:rPr>
          <w:rFonts w:ascii="Times New Roman" w:hAnsi="Times New Roman" w:cs="Times New Roman"/>
        </w:rPr>
        <w:t xml:space="preserve">(2) specifies the required content for the provider’s DFV procedures, which </w:t>
      </w:r>
      <w:r w:rsidR="00863656" w:rsidRPr="00397701">
        <w:rPr>
          <w:rFonts w:ascii="Times New Roman" w:hAnsi="Times New Roman" w:cs="Times New Roman"/>
        </w:rPr>
        <w:t xml:space="preserve">are intended to </w:t>
      </w:r>
      <w:r w:rsidRPr="00397701">
        <w:rPr>
          <w:rFonts w:ascii="Times New Roman" w:hAnsi="Times New Roman" w:cs="Times New Roman"/>
        </w:rPr>
        <w:t>operationalise the policy and support safe, consistent engagement with affected persons. These procedural elements are key to frontline implementation and should be informed by good practice principles, including trauma-informed care.</w:t>
      </w:r>
    </w:p>
    <w:p w14:paraId="1572484E" w14:textId="2C5279C0" w:rsidR="00E31C92" w:rsidRPr="00397701" w:rsidRDefault="00E31C92" w:rsidP="001D0578">
      <w:pPr>
        <w:numPr>
          <w:ilvl w:val="0"/>
          <w:numId w:val="21"/>
        </w:numPr>
        <w:tabs>
          <w:tab w:val="num" w:pos="720"/>
        </w:tabs>
        <w:rPr>
          <w:rFonts w:ascii="Times New Roman" w:hAnsi="Times New Roman" w:cs="Times New Roman"/>
        </w:rPr>
      </w:pPr>
      <w:r w:rsidRPr="00397701">
        <w:rPr>
          <w:rFonts w:ascii="Times New Roman" w:hAnsi="Times New Roman" w:cs="Times New Roman"/>
        </w:rPr>
        <w:t xml:space="preserve">Paragraph (a) requires that procedures be </w:t>
      </w:r>
      <w:proofErr w:type="gramStart"/>
      <w:r w:rsidRPr="00397701">
        <w:rPr>
          <w:rFonts w:ascii="Times New Roman" w:hAnsi="Times New Roman" w:cs="Times New Roman"/>
        </w:rPr>
        <w:t>trauma-informed</w:t>
      </w:r>
      <w:proofErr w:type="gramEnd"/>
      <w:r w:rsidRPr="00397701">
        <w:rPr>
          <w:rFonts w:ascii="Times New Roman" w:hAnsi="Times New Roman" w:cs="Times New Roman"/>
        </w:rPr>
        <w:t>. This means they must be designed to reduce the risk of re-traumatisation and to support interactions that are respectful, safe, and empowering</w:t>
      </w:r>
      <w:r w:rsidR="00897B6F" w:rsidRPr="00397701">
        <w:rPr>
          <w:rFonts w:ascii="Times New Roman" w:hAnsi="Times New Roman" w:cs="Times New Roman"/>
        </w:rPr>
        <w:t xml:space="preserve"> for an affected person</w:t>
      </w:r>
      <w:r w:rsidRPr="00397701">
        <w:rPr>
          <w:rFonts w:ascii="Times New Roman" w:hAnsi="Times New Roman" w:cs="Times New Roman"/>
        </w:rPr>
        <w:t>.</w:t>
      </w:r>
    </w:p>
    <w:p w14:paraId="5C4C8345" w14:textId="56DB47E1" w:rsidR="00E31C92" w:rsidRPr="00397701" w:rsidRDefault="00E31C92" w:rsidP="001D0578">
      <w:pPr>
        <w:numPr>
          <w:ilvl w:val="0"/>
          <w:numId w:val="21"/>
        </w:numPr>
        <w:tabs>
          <w:tab w:val="num" w:pos="720"/>
        </w:tabs>
        <w:rPr>
          <w:rFonts w:ascii="Times New Roman" w:hAnsi="Times New Roman" w:cs="Times New Roman"/>
        </w:rPr>
      </w:pPr>
      <w:r w:rsidRPr="00397701">
        <w:rPr>
          <w:rFonts w:ascii="Times New Roman" w:hAnsi="Times New Roman" w:cs="Times New Roman"/>
        </w:rPr>
        <w:t xml:space="preserve">Paragraph (b) requires procedures to set out how personnel can safely and appropriately identify, support and assist affected persons. This </w:t>
      </w:r>
      <w:r w:rsidR="00A92EBB" w:rsidRPr="00397701">
        <w:rPr>
          <w:rFonts w:ascii="Times New Roman" w:hAnsi="Times New Roman" w:cs="Times New Roman"/>
        </w:rPr>
        <w:t>should</w:t>
      </w:r>
      <w:r w:rsidRPr="00397701">
        <w:rPr>
          <w:rFonts w:ascii="Times New Roman" w:hAnsi="Times New Roman" w:cs="Times New Roman"/>
        </w:rPr>
        <w:t xml:space="preserve"> include practical guidance on recognising signs of DFV, responding to disclosures, and managing complex account issues.</w:t>
      </w:r>
    </w:p>
    <w:p w14:paraId="7E54CAF9" w14:textId="6D384C83" w:rsidR="00E31C92" w:rsidRPr="00397701" w:rsidRDefault="00E31C92" w:rsidP="001D0578">
      <w:pPr>
        <w:numPr>
          <w:ilvl w:val="0"/>
          <w:numId w:val="21"/>
        </w:numPr>
        <w:tabs>
          <w:tab w:val="num" w:pos="720"/>
        </w:tabs>
        <w:rPr>
          <w:rFonts w:ascii="Times New Roman" w:hAnsi="Times New Roman" w:cs="Times New Roman"/>
        </w:rPr>
      </w:pPr>
      <w:r w:rsidRPr="00397701">
        <w:rPr>
          <w:rFonts w:ascii="Times New Roman" w:hAnsi="Times New Roman" w:cs="Times New Roman"/>
        </w:rPr>
        <w:t xml:space="preserve">Paragraph (c) requires providers to include guidance on how personnel can </w:t>
      </w:r>
      <w:r w:rsidR="00F97459" w:rsidRPr="00397701">
        <w:rPr>
          <w:rFonts w:ascii="Times New Roman" w:hAnsi="Times New Roman" w:cs="Times New Roman"/>
        </w:rPr>
        <w:t xml:space="preserve">safely and appropriately </w:t>
      </w:r>
      <w:r w:rsidRPr="00397701">
        <w:rPr>
          <w:rFonts w:ascii="Times New Roman" w:hAnsi="Times New Roman" w:cs="Times New Roman"/>
        </w:rPr>
        <w:t>engage with perpetrators where necessary</w:t>
      </w:r>
      <w:r w:rsidR="00B57002" w:rsidRPr="00397701">
        <w:rPr>
          <w:rFonts w:ascii="Times New Roman" w:hAnsi="Times New Roman" w:cs="Times New Roman"/>
        </w:rPr>
        <w:t xml:space="preserve"> – </w:t>
      </w:r>
      <w:r w:rsidRPr="00397701">
        <w:rPr>
          <w:rFonts w:ascii="Times New Roman" w:hAnsi="Times New Roman" w:cs="Times New Roman"/>
        </w:rPr>
        <w:t>for example, when a perpetrator is an account holder or seeks access to services. Clear procedures in such cases are essential to managing risk and avoiding inadvertent harm.</w:t>
      </w:r>
    </w:p>
    <w:p w14:paraId="15FBBBA7" w14:textId="14530F6C" w:rsidR="00E31C92" w:rsidRPr="00397701" w:rsidRDefault="00E31C92" w:rsidP="001D0578">
      <w:pPr>
        <w:numPr>
          <w:ilvl w:val="0"/>
          <w:numId w:val="21"/>
        </w:numPr>
        <w:tabs>
          <w:tab w:val="num" w:pos="720"/>
        </w:tabs>
        <w:rPr>
          <w:rFonts w:ascii="Times New Roman" w:hAnsi="Times New Roman" w:cs="Times New Roman"/>
        </w:rPr>
      </w:pPr>
      <w:r w:rsidRPr="00397701">
        <w:rPr>
          <w:rFonts w:ascii="Times New Roman" w:hAnsi="Times New Roman" w:cs="Times New Roman"/>
        </w:rPr>
        <w:t>Paragraph (d) requires procedures to explain how staff will implement the requirements in subsections 2</w:t>
      </w:r>
      <w:r w:rsidR="00C468CA" w:rsidRPr="00397701">
        <w:rPr>
          <w:rFonts w:ascii="Times New Roman" w:hAnsi="Times New Roman" w:cs="Times New Roman"/>
        </w:rPr>
        <w:t>7</w:t>
      </w:r>
      <w:r w:rsidRPr="00397701">
        <w:rPr>
          <w:rFonts w:ascii="Times New Roman" w:hAnsi="Times New Roman" w:cs="Times New Roman"/>
        </w:rPr>
        <w:t xml:space="preserve">(1) and (2), which relate to </w:t>
      </w:r>
      <w:r w:rsidR="00B5321B" w:rsidRPr="00397701">
        <w:rPr>
          <w:rFonts w:ascii="Times New Roman" w:hAnsi="Times New Roman" w:cs="Times New Roman"/>
        </w:rPr>
        <w:t>collection</w:t>
      </w:r>
      <w:r w:rsidR="008427E8" w:rsidRPr="00397701">
        <w:rPr>
          <w:rFonts w:ascii="Times New Roman" w:hAnsi="Times New Roman" w:cs="Times New Roman"/>
        </w:rPr>
        <w:t>,</w:t>
      </w:r>
      <w:r w:rsidR="00B5321B" w:rsidRPr="00397701">
        <w:rPr>
          <w:rFonts w:ascii="Times New Roman" w:hAnsi="Times New Roman" w:cs="Times New Roman"/>
        </w:rPr>
        <w:t xml:space="preserve"> storage</w:t>
      </w:r>
      <w:r w:rsidR="008427E8" w:rsidRPr="00397701">
        <w:rPr>
          <w:rFonts w:ascii="Times New Roman" w:hAnsi="Times New Roman" w:cs="Times New Roman"/>
        </w:rPr>
        <w:t>,</w:t>
      </w:r>
      <w:r w:rsidR="00B5321B" w:rsidRPr="00397701">
        <w:rPr>
          <w:rFonts w:ascii="Times New Roman" w:hAnsi="Times New Roman" w:cs="Times New Roman"/>
        </w:rPr>
        <w:t xml:space="preserve"> </w:t>
      </w:r>
      <w:r w:rsidRPr="00397701">
        <w:rPr>
          <w:rFonts w:ascii="Times New Roman" w:hAnsi="Times New Roman" w:cs="Times New Roman"/>
        </w:rPr>
        <w:t xml:space="preserve">privacy and </w:t>
      </w:r>
      <w:r w:rsidR="00B5321B" w:rsidRPr="00397701">
        <w:rPr>
          <w:rFonts w:ascii="Times New Roman" w:hAnsi="Times New Roman" w:cs="Times New Roman"/>
        </w:rPr>
        <w:t>security of personal information</w:t>
      </w:r>
      <w:r w:rsidR="00150CE9" w:rsidRPr="00397701">
        <w:rPr>
          <w:rFonts w:ascii="Times New Roman" w:hAnsi="Times New Roman" w:cs="Times New Roman"/>
        </w:rPr>
        <w:t>.</w:t>
      </w:r>
      <w:r w:rsidR="00B5321B" w:rsidRPr="00397701">
        <w:rPr>
          <w:rFonts w:ascii="Times New Roman" w:hAnsi="Times New Roman" w:cs="Times New Roman"/>
        </w:rPr>
        <w:t xml:space="preserve"> </w:t>
      </w:r>
    </w:p>
    <w:p w14:paraId="755ABF9F" w14:textId="66D264C3" w:rsidR="00E31C92" w:rsidRPr="00397701" w:rsidRDefault="00E31C92" w:rsidP="001D0578">
      <w:pPr>
        <w:numPr>
          <w:ilvl w:val="0"/>
          <w:numId w:val="21"/>
        </w:numPr>
        <w:tabs>
          <w:tab w:val="num" w:pos="720"/>
        </w:tabs>
        <w:rPr>
          <w:rFonts w:ascii="Times New Roman" w:hAnsi="Times New Roman" w:cs="Times New Roman"/>
        </w:rPr>
      </w:pPr>
      <w:r w:rsidRPr="00397701">
        <w:rPr>
          <w:rFonts w:ascii="Times New Roman" w:hAnsi="Times New Roman" w:cs="Times New Roman"/>
        </w:rPr>
        <w:t xml:space="preserve">Paragraph (e) requires that procedures include how </w:t>
      </w:r>
      <w:r w:rsidR="00B33603" w:rsidRPr="00397701">
        <w:rPr>
          <w:rFonts w:ascii="Times New Roman" w:hAnsi="Times New Roman" w:cs="Times New Roman"/>
        </w:rPr>
        <w:t xml:space="preserve">personnel </w:t>
      </w:r>
      <w:r w:rsidRPr="00397701">
        <w:rPr>
          <w:rFonts w:ascii="Times New Roman" w:hAnsi="Times New Roman" w:cs="Times New Roman"/>
        </w:rPr>
        <w:t>can manage and respond to DFV (and, where relevant,</w:t>
      </w:r>
      <w:r w:rsidR="00F53C48">
        <w:rPr>
          <w:rFonts w:ascii="Times New Roman" w:hAnsi="Times New Roman" w:cs="Times New Roman"/>
        </w:rPr>
        <w:t xml:space="preserve"> non-domestic</w:t>
      </w:r>
      <w:r w:rsidRPr="00397701">
        <w:rPr>
          <w:rFonts w:ascii="Times New Roman" w:hAnsi="Times New Roman" w:cs="Times New Roman"/>
        </w:rPr>
        <w:t xml:space="preserve"> sexual violence), including how and when to escalate matters internally. This ensures staff are supported in responding to risk and complexity.</w:t>
      </w:r>
    </w:p>
    <w:p w14:paraId="35761B51" w14:textId="49DFEF77" w:rsidR="00E31C92" w:rsidRPr="00397701" w:rsidRDefault="00E31C92" w:rsidP="001D0578">
      <w:pPr>
        <w:numPr>
          <w:ilvl w:val="0"/>
          <w:numId w:val="21"/>
        </w:numPr>
        <w:tabs>
          <w:tab w:val="num" w:pos="720"/>
        </w:tabs>
        <w:rPr>
          <w:rFonts w:ascii="Times New Roman" w:hAnsi="Times New Roman" w:cs="Times New Roman"/>
        </w:rPr>
      </w:pPr>
      <w:r w:rsidRPr="00397701">
        <w:rPr>
          <w:rFonts w:ascii="Times New Roman" w:hAnsi="Times New Roman" w:cs="Times New Roman"/>
        </w:rPr>
        <w:t>Paragraph (f) requires that actions agreed with affected persons</w:t>
      </w:r>
      <w:r w:rsidR="00B57002" w:rsidRPr="00397701">
        <w:rPr>
          <w:rFonts w:ascii="Times New Roman" w:hAnsi="Times New Roman" w:cs="Times New Roman"/>
        </w:rPr>
        <w:t xml:space="preserve"> – </w:t>
      </w:r>
      <w:r w:rsidRPr="00397701">
        <w:rPr>
          <w:rFonts w:ascii="Times New Roman" w:hAnsi="Times New Roman" w:cs="Times New Roman"/>
        </w:rPr>
        <w:t>such as changes to account access</w:t>
      </w:r>
      <w:r w:rsidR="00B57002" w:rsidRPr="00397701">
        <w:rPr>
          <w:rFonts w:ascii="Times New Roman" w:hAnsi="Times New Roman" w:cs="Times New Roman"/>
        </w:rPr>
        <w:t xml:space="preserve"> – </w:t>
      </w:r>
      <w:r w:rsidRPr="00397701">
        <w:rPr>
          <w:rFonts w:ascii="Times New Roman" w:hAnsi="Times New Roman" w:cs="Times New Roman"/>
        </w:rPr>
        <w:t>are recorded in ways that prevent inadvertent disclosure to perpetrators. This supports both safety and continuity of support.</w:t>
      </w:r>
    </w:p>
    <w:p w14:paraId="0F02C347" w14:textId="77777777" w:rsidR="00E31C92" w:rsidRPr="00397701" w:rsidRDefault="00E31C92" w:rsidP="001D0578">
      <w:pPr>
        <w:numPr>
          <w:ilvl w:val="0"/>
          <w:numId w:val="21"/>
        </w:numPr>
        <w:tabs>
          <w:tab w:val="num" w:pos="720"/>
        </w:tabs>
        <w:rPr>
          <w:rFonts w:ascii="Times New Roman" w:hAnsi="Times New Roman" w:cs="Times New Roman"/>
        </w:rPr>
      </w:pPr>
      <w:r w:rsidRPr="00397701">
        <w:rPr>
          <w:rFonts w:ascii="Times New Roman" w:hAnsi="Times New Roman" w:cs="Times New Roman"/>
        </w:rPr>
        <w:t>Paragraph (g) requires that procedures include steps to minimise the number of times an affected person is required to explain their circumstances, acknowledging the harm caused by repeated disclosure. This may involve consistent case management or internal information-sharing protocols that reduce the need for consumers to retell their story.</w:t>
      </w:r>
    </w:p>
    <w:p w14:paraId="780A2DE4" w14:textId="52F18619" w:rsidR="00E31C92" w:rsidRPr="00397701" w:rsidRDefault="00131318" w:rsidP="00E31C92">
      <w:pPr>
        <w:rPr>
          <w:rFonts w:ascii="Times New Roman" w:hAnsi="Times New Roman" w:cs="Times New Roman"/>
        </w:rPr>
      </w:pPr>
      <w:r w:rsidRPr="00397701">
        <w:rPr>
          <w:rFonts w:ascii="Times New Roman" w:hAnsi="Times New Roman" w:cs="Times New Roman"/>
        </w:rPr>
        <w:t>T</w:t>
      </w:r>
      <w:r w:rsidR="00E31C92" w:rsidRPr="00397701">
        <w:rPr>
          <w:rFonts w:ascii="Times New Roman" w:hAnsi="Times New Roman" w:cs="Times New Roman"/>
        </w:rPr>
        <w:t>he obligations in Part 5 reflect both organisational accountability and the importance of safe, trauma-informed engagement with affected persons.</w:t>
      </w:r>
    </w:p>
    <w:p w14:paraId="3364542C" w14:textId="77777777" w:rsidR="006A7BCE" w:rsidRPr="00397701" w:rsidRDefault="006A7BCE" w:rsidP="00AE1DA0">
      <w:pPr>
        <w:rPr>
          <w:rFonts w:ascii="Times New Roman" w:hAnsi="Times New Roman" w:cs="Times New Roman"/>
          <w:b/>
        </w:rPr>
      </w:pPr>
    </w:p>
    <w:p w14:paraId="544C8FAC" w14:textId="5CCCAF0C" w:rsidR="00AE1DA0" w:rsidRPr="00397701" w:rsidRDefault="00AE1DA0" w:rsidP="00427C54">
      <w:pPr>
        <w:keepNext/>
        <w:rPr>
          <w:rFonts w:ascii="Times New Roman" w:hAnsi="Times New Roman" w:cs="Times New Roman"/>
          <w:b/>
        </w:rPr>
      </w:pPr>
      <w:r w:rsidRPr="00397701">
        <w:rPr>
          <w:rFonts w:ascii="Times New Roman" w:hAnsi="Times New Roman" w:cs="Times New Roman"/>
          <w:b/>
        </w:rPr>
        <w:lastRenderedPageBreak/>
        <w:t>Part 6</w:t>
      </w:r>
      <w:r w:rsidRPr="00397701">
        <w:rPr>
          <w:rFonts w:ascii="Times New Roman" w:hAnsi="Times New Roman" w:cs="Times New Roman"/>
          <w:b/>
        </w:rPr>
        <w:tab/>
      </w:r>
      <w:r w:rsidR="008C12CE" w:rsidRPr="00397701">
        <w:rPr>
          <w:rFonts w:ascii="Times New Roman" w:hAnsi="Times New Roman" w:cs="Times New Roman"/>
          <w:b/>
        </w:rPr>
        <w:t>Training</w:t>
      </w:r>
    </w:p>
    <w:p w14:paraId="024E75C9" w14:textId="493F803B" w:rsidR="00AE1DA0" w:rsidRPr="00397701" w:rsidRDefault="00AE1DA0" w:rsidP="00AE1DA0">
      <w:pPr>
        <w:rPr>
          <w:rFonts w:ascii="Times New Roman" w:hAnsi="Times New Roman" w:cs="Times New Roman"/>
          <w:b/>
        </w:rPr>
      </w:pPr>
      <w:r w:rsidRPr="00397701">
        <w:rPr>
          <w:rFonts w:ascii="Times New Roman" w:hAnsi="Times New Roman" w:cs="Times New Roman"/>
          <w:b/>
        </w:rPr>
        <w:t xml:space="preserve">Section </w:t>
      </w:r>
      <w:r w:rsidR="008C12CE" w:rsidRPr="00397701">
        <w:rPr>
          <w:rFonts w:ascii="Times New Roman" w:hAnsi="Times New Roman" w:cs="Times New Roman"/>
          <w:b/>
        </w:rPr>
        <w:t>2</w:t>
      </w:r>
      <w:r w:rsidRPr="00397701">
        <w:rPr>
          <w:rFonts w:ascii="Times New Roman" w:hAnsi="Times New Roman" w:cs="Times New Roman"/>
          <w:b/>
        </w:rPr>
        <w:t>1</w:t>
      </w:r>
      <w:r w:rsidRPr="00397701">
        <w:rPr>
          <w:rFonts w:ascii="Times New Roman" w:hAnsi="Times New Roman" w:cs="Times New Roman"/>
          <w:b/>
        </w:rPr>
        <w:tab/>
        <w:t>Training for all personnel</w:t>
      </w:r>
    </w:p>
    <w:p w14:paraId="4B51DCFE" w14:textId="515855FD" w:rsidR="00E512BD" w:rsidRPr="00397701" w:rsidRDefault="007B589E" w:rsidP="00405FC5">
      <w:pPr>
        <w:rPr>
          <w:rFonts w:ascii="Times New Roman" w:hAnsi="Times New Roman" w:cs="Times New Roman"/>
        </w:rPr>
      </w:pPr>
      <w:r w:rsidRPr="00397701">
        <w:rPr>
          <w:rFonts w:ascii="Times New Roman" w:hAnsi="Times New Roman" w:cs="Times New Roman"/>
        </w:rPr>
        <w:t xml:space="preserve">This section establishes a requirement for telecommunications provider personnel </w:t>
      </w:r>
      <w:r w:rsidR="0039275F" w:rsidRPr="00397701">
        <w:rPr>
          <w:rFonts w:ascii="Times New Roman" w:hAnsi="Times New Roman" w:cs="Times New Roman"/>
        </w:rPr>
        <w:t xml:space="preserve">(defined in section 5 as being those personnel who are </w:t>
      </w:r>
      <w:r w:rsidR="008C12CE" w:rsidRPr="00397701">
        <w:rPr>
          <w:rFonts w:ascii="Times New Roman" w:hAnsi="Times New Roman" w:cs="Times New Roman"/>
        </w:rPr>
        <w:t xml:space="preserve">involved </w:t>
      </w:r>
      <w:r w:rsidR="00664F61" w:rsidRPr="00397701">
        <w:rPr>
          <w:rFonts w:ascii="Times New Roman" w:hAnsi="Times New Roman" w:cs="Times New Roman"/>
        </w:rPr>
        <w:t>(either directly or indirectly)</w:t>
      </w:r>
      <w:r w:rsidR="004E75E3">
        <w:rPr>
          <w:rFonts w:ascii="Times New Roman" w:hAnsi="Times New Roman" w:cs="Times New Roman"/>
        </w:rPr>
        <w:t xml:space="preserve"> </w:t>
      </w:r>
      <w:r w:rsidR="008C12CE" w:rsidRPr="00397701">
        <w:rPr>
          <w:rFonts w:ascii="Times New Roman" w:hAnsi="Times New Roman" w:cs="Times New Roman"/>
        </w:rPr>
        <w:t xml:space="preserve">with consumers </w:t>
      </w:r>
      <w:r w:rsidR="0039275F" w:rsidRPr="00397701">
        <w:rPr>
          <w:rFonts w:ascii="Times New Roman" w:hAnsi="Times New Roman" w:cs="Times New Roman"/>
        </w:rPr>
        <w:t>in Australia)</w:t>
      </w:r>
      <w:r w:rsidR="008C12CE" w:rsidRPr="00397701">
        <w:rPr>
          <w:rFonts w:ascii="Times New Roman" w:hAnsi="Times New Roman" w:cs="Times New Roman"/>
        </w:rPr>
        <w:t xml:space="preserve"> </w:t>
      </w:r>
      <w:r w:rsidRPr="00397701">
        <w:rPr>
          <w:rFonts w:ascii="Times New Roman" w:hAnsi="Times New Roman" w:cs="Times New Roman"/>
        </w:rPr>
        <w:t>to receive training on the provider’s DFV policy. The aim</w:t>
      </w:r>
      <w:r w:rsidR="004207AF" w:rsidRPr="00397701">
        <w:rPr>
          <w:rFonts w:ascii="Times New Roman" w:hAnsi="Times New Roman" w:cs="Times New Roman"/>
        </w:rPr>
        <w:t xml:space="preserve"> of this </w:t>
      </w:r>
      <w:r w:rsidR="001A0489" w:rsidRPr="00397701">
        <w:rPr>
          <w:rFonts w:ascii="Times New Roman" w:hAnsi="Times New Roman" w:cs="Times New Roman"/>
        </w:rPr>
        <w:t>provision</w:t>
      </w:r>
      <w:r w:rsidRPr="00397701">
        <w:rPr>
          <w:rFonts w:ascii="Times New Roman" w:hAnsi="Times New Roman" w:cs="Times New Roman"/>
        </w:rPr>
        <w:t xml:space="preserve"> is to embed a basic level of DFV awareness and alignment across the </w:t>
      </w:r>
      <w:r w:rsidR="00405FC5" w:rsidRPr="00397701">
        <w:rPr>
          <w:rFonts w:ascii="Times New Roman" w:hAnsi="Times New Roman" w:cs="Times New Roman"/>
        </w:rPr>
        <w:t>organisation</w:t>
      </w:r>
      <w:r w:rsidR="00E512BD" w:rsidRPr="00397701">
        <w:rPr>
          <w:rFonts w:ascii="Times New Roman" w:hAnsi="Times New Roman" w:cs="Times New Roman"/>
        </w:rPr>
        <w:t xml:space="preserve">. </w:t>
      </w:r>
      <w:r w:rsidRPr="00397701">
        <w:rPr>
          <w:rFonts w:ascii="Times New Roman" w:hAnsi="Times New Roman" w:cs="Times New Roman"/>
        </w:rPr>
        <w:t xml:space="preserve"> </w:t>
      </w:r>
    </w:p>
    <w:p w14:paraId="0393BE6D" w14:textId="7130C534" w:rsidR="00405FC5" w:rsidRPr="00397701" w:rsidRDefault="00405FC5" w:rsidP="00405FC5">
      <w:pPr>
        <w:rPr>
          <w:rFonts w:ascii="Times New Roman" w:hAnsi="Times New Roman" w:cs="Times New Roman"/>
        </w:rPr>
      </w:pPr>
      <w:r w:rsidRPr="00397701">
        <w:rPr>
          <w:rFonts w:ascii="Times New Roman" w:hAnsi="Times New Roman" w:cs="Times New Roman"/>
        </w:rPr>
        <w:t xml:space="preserve">For clarity, it is not expected that roles with no association or influence over the outcomes for </w:t>
      </w:r>
      <w:r w:rsidR="006A7BCE" w:rsidRPr="00397701">
        <w:rPr>
          <w:rFonts w:ascii="Times New Roman" w:hAnsi="Times New Roman" w:cs="Times New Roman"/>
        </w:rPr>
        <w:t xml:space="preserve">consumers </w:t>
      </w:r>
      <w:r w:rsidRPr="00397701">
        <w:rPr>
          <w:rFonts w:ascii="Times New Roman" w:hAnsi="Times New Roman" w:cs="Times New Roman"/>
        </w:rPr>
        <w:t>in Australia receive training</w:t>
      </w:r>
      <w:r w:rsidR="00806703" w:rsidRPr="00397701">
        <w:rPr>
          <w:rFonts w:ascii="Times New Roman" w:hAnsi="Times New Roman" w:cs="Times New Roman"/>
        </w:rPr>
        <w:t xml:space="preserve"> </w:t>
      </w:r>
      <w:r w:rsidR="00B57002" w:rsidRPr="00397701">
        <w:rPr>
          <w:rFonts w:ascii="Times New Roman" w:hAnsi="Times New Roman" w:cs="Times New Roman"/>
        </w:rPr>
        <w:t>–</w:t>
      </w:r>
      <w:r w:rsidRPr="00397701">
        <w:rPr>
          <w:rFonts w:ascii="Times New Roman" w:hAnsi="Times New Roman" w:cs="Times New Roman"/>
        </w:rPr>
        <w:t xml:space="preserve"> </w:t>
      </w:r>
      <w:r w:rsidR="009010EF" w:rsidRPr="00397701">
        <w:rPr>
          <w:rFonts w:ascii="Times New Roman" w:hAnsi="Times New Roman" w:cs="Times New Roman"/>
        </w:rPr>
        <w:t xml:space="preserve">for example, </w:t>
      </w:r>
      <w:r w:rsidRPr="00397701">
        <w:rPr>
          <w:rFonts w:ascii="Times New Roman" w:hAnsi="Times New Roman" w:cs="Times New Roman"/>
        </w:rPr>
        <w:t xml:space="preserve">office cleaners, building maintenance staff, </w:t>
      </w:r>
      <w:r w:rsidR="009010EF" w:rsidRPr="00397701">
        <w:rPr>
          <w:rFonts w:ascii="Times New Roman" w:hAnsi="Times New Roman" w:cs="Times New Roman"/>
        </w:rPr>
        <w:t xml:space="preserve">or </w:t>
      </w:r>
      <w:r w:rsidRPr="00397701">
        <w:rPr>
          <w:rFonts w:ascii="Times New Roman" w:hAnsi="Times New Roman" w:cs="Times New Roman"/>
        </w:rPr>
        <w:t>other roles with no influence on outcomes</w:t>
      </w:r>
      <w:r w:rsidR="005825D8" w:rsidRPr="00397701">
        <w:rPr>
          <w:rFonts w:ascii="Times New Roman" w:hAnsi="Times New Roman" w:cs="Times New Roman"/>
        </w:rPr>
        <w:t xml:space="preserve"> for Australian consumer</w:t>
      </w:r>
      <w:r w:rsidR="006A7BCE" w:rsidRPr="00397701">
        <w:rPr>
          <w:rFonts w:ascii="Times New Roman" w:hAnsi="Times New Roman" w:cs="Times New Roman"/>
        </w:rPr>
        <w:t>s</w:t>
      </w:r>
      <w:r w:rsidR="005825D8" w:rsidRPr="00397701">
        <w:rPr>
          <w:rFonts w:ascii="Times New Roman" w:hAnsi="Times New Roman" w:cs="Times New Roman"/>
        </w:rPr>
        <w:t xml:space="preserve"> including</w:t>
      </w:r>
      <w:r w:rsidRPr="00397701">
        <w:rPr>
          <w:rFonts w:ascii="Times New Roman" w:hAnsi="Times New Roman" w:cs="Times New Roman"/>
        </w:rPr>
        <w:t xml:space="preserve"> </w:t>
      </w:r>
      <w:r w:rsidR="002067EC" w:rsidRPr="00397701">
        <w:rPr>
          <w:rFonts w:ascii="Times New Roman" w:hAnsi="Times New Roman" w:cs="Times New Roman"/>
        </w:rPr>
        <w:t xml:space="preserve">personnel </w:t>
      </w:r>
      <w:r w:rsidR="005825D8" w:rsidRPr="00397701">
        <w:rPr>
          <w:rFonts w:ascii="Times New Roman" w:hAnsi="Times New Roman" w:cs="Times New Roman"/>
        </w:rPr>
        <w:t>located overseas whose</w:t>
      </w:r>
      <w:r w:rsidR="002067EC" w:rsidRPr="00397701">
        <w:rPr>
          <w:rFonts w:ascii="Times New Roman" w:hAnsi="Times New Roman" w:cs="Times New Roman"/>
        </w:rPr>
        <w:t xml:space="preserve"> role </w:t>
      </w:r>
      <w:r w:rsidR="005825D8" w:rsidRPr="00397701">
        <w:rPr>
          <w:rFonts w:ascii="Times New Roman" w:hAnsi="Times New Roman" w:cs="Times New Roman"/>
        </w:rPr>
        <w:t xml:space="preserve">has no </w:t>
      </w:r>
      <w:r w:rsidR="00B52BBB" w:rsidRPr="00397701">
        <w:rPr>
          <w:rFonts w:ascii="Times New Roman" w:hAnsi="Times New Roman" w:cs="Times New Roman"/>
        </w:rPr>
        <w:t>impact on or association with Australian consumers</w:t>
      </w:r>
      <w:r w:rsidR="003F43E2" w:rsidRPr="00397701">
        <w:rPr>
          <w:rFonts w:ascii="Times New Roman" w:hAnsi="Times New Roman" w:cs="Times New Roman"/>
        </w:rPr>
        <w:t>.</w:t>
      </w:r>
      <w:r w:rsidR="00B52BBB" w:rsidRPr="00397701">
        <w:rPr>
          <w:rFonts w:ascii="Times New Roman" w:hAnsi="Times New Roman" w:cs="Times New Roman"/>
        </w:rPr>
        <w:t xml:space="preserve"> </w:t>
      </w:r>
      <w:r w:rsidR="00664F61">
        <w:rPr>
          <w:rFonts w:ascii="Times New Roman" w:hAnsi="Times New Roman" w:cs="Times New Roman"/>
        </w:rPr>
        <w:t xml:space="preserve"> </w:t>
      </w:r>
    </w:p>
    <w:p w14:paraId="30D97BDD" w14:textId="1D2B33E4" w:rsidR="00E512BD" w:rsidRPr="00397701" w:rsidRDefault="00691729" w:rsidP="007B589E">
      <w:pPr>
        <w:rPr>
          <w:rFonts w:ascii="Times New Roman" w:hAnsi="Times New Roman" w:cs="Times New Roman"/>
        </w:rPr>
      </w:pPr>
      <w:r w:rsidRPr="00397701">
        <w:rPr>
          <w:rFonts w:ascii="Times New Roman" w:hAnsi="Times New Roman" w:cs="Times New Roman"/>
        </w:rPr>
        <w:t xml:space="preserve">The provision does require </w:t>
      </w:r>
      <w:r w:rsidR="00405FC5" w:rsidRPr="00397701">
        <w:rPr>
          <w:rFonts w:ascii="Times New Roman" w:hAnsi="Times New Roman" w:cs="Times New Roman"/>
        </w:rPr>
        <w:t xml:space="preserve">that </w:t>
      </w:r>
      <w:r w:rsidR="00B57002" w:rsidRPr="00397701">
        <w:rPr>
          <w:rFonts w:ascii="Times New Roman" w:hAnsi="Times New Roman" w:cs="Times New Roman"/>
        </w:rPr>
        <w:t xml:space="preserve">DFV policy training is undertaken by </w:t>
      </w:r>
      <w:r w:rsidR="00405FC5" w:rsidRPr="00397701">
        <w:rPr>
          <w:rFonts w:ascii="Times New Roman" w:hAnsi="Times New Roman" w:cs="Times New Roman"/>
        </w:rPr>
        <w:t xml:space="preserve">all </w:t>
      </w:r>
      <w:r w:rsidR="00A469FB">
        <w:rPr>
          <w:rFonts w:ascii="Times New Roman" w:hAnsi="Times New Roman" w:cs="Times New Roman"/>
        </w:rPr>
        <w:t xml:space="preserve">senior and </w:t>
      </w:r>
      <w:r w:rsidR="00405FC5" w:rsidRPr="00397701">
        <w:rPr>
          <w:rFonts w:ascii="Times New Roman" w:hAnsi="Times New Roman" w:cs="Times New Roman"/>
        </w:rPr>
        <w:t>upper management</w:t>
      </w:r>
      <w:r w:rsidR="00806703" w:rsidRPr="00397701">
        <w:rPr>
          <w:rFonts w:ascii="Times New Roman" w:hAnsi="Times New Roman" w:cs="Times New Roman"/>
        </w:rPr>
        <w:t xml:space="preserve"> and</w:t>
      </w:r>
      <w:r w:rsidR="00405FC5" w:rsidRPr="00397701">
        <w:rPr>
          <w:rFonts w:ascii="Times New Roman" w:hAnsi="Times New Roman" w:cs="Times New Roman"/>
        </w:rPr>
        <w:t xml:space="preserve"> </w:t>
      </w:r>
      <w:r w:rsidR="00806703" w:rsidRPr="00397701">
        <w:rPr>
          <w:rFonts w:ascii="Times New Roman" w:hAnsi="Times New Roman" w:cs="Times New Roman"/>
        </w:rPr>
        <w:t xml:space="preserve">staff </w:t>
      </w:r>
      <w:r w:rsidR="00B57002" w:rsidRPr="00397701">
        <w:rPr>
          <w:rFonts w:ascii="Times New Roman" w:hAnsi="Times New Roman" w:cs="Times New Roman"/>
        </w:rPr>
        <w:t>who</w:t>
      </w:r>
      <w:r w:rsidR="00806703" w:rsidRPr="00397701">
        <w:rPr>
          <w:rFonts w:ascii="Times New Roman" w:hAnsi="Times New Roman" w:cs="Times New Roman"/>
        </w:rPr>
        <w:t xml:space="preserve"> may not deal directly with consumers but whose work may play a role in </w:t>
      </w:r>
      <w:r w:rsidR="00B57002" w:rsidRPr="00397701">
        <w:rPr>
          <w:rFonts w:ascii="Times New Roman" w:hAnsi="Times New Roman" w:cs="Times New Roman"/>
        </w:rPr>
        <w:t>services</w:t>
      </w:r>
      <w:r w:rsidR="00806703" w:rsidRPr="00397701">
        <w:rPr>
          <w:rFonts w:ascii="Times New Roman" w:hAnsi="Times New Roman" w:cs="Times New Roman"/>
        </w:rPr>
        <w:t xml:space="preserve"> supporting affected consumers or who may encounter DFV issues indirectly in the course of their duties including</w:t>
      </w:r>
      <w:r w:rsidR="00405FC5" w:rsidRPr="00397701">
        <w:rPr>
          <w:rFonts w:ascii="Times New Roman" w:hAnsi="Times New Roman" w:cs="Times New Roman"/>
        </w:rPr>
        <w:t xml:space="preserve"> areas like </w:t>
      </w:r>
      <w:r w:rsidR="00E512BD" w:rsidRPr="00397701">
        <w:rPr>
          <w:rFonts w:ascii="Times New Roman" w:hAnsi="Times New Roman" w:cs="Times New Roman"/>
        </w:rPr>
        <w:t>I</w:t>
      </w:r>
      <w:r w:rsidR="00405FC5" w:rsidRPr="00397701">
        <w:rPr>
          <w:rFonts w:ascii="Times New Roman" w:hAnsi="Times New Roman" w:cs="Times New Roman"/>
        </w:rPr>
        <w:t>T</w:t>
      </w:r>
      <w:r w:rsidR="00E512BD" w:rsidRPr="00397701">
        <w:rPr>
          <w:rFonts w:ascii="Times New Roman" w:hAnsi="Times New Roman" w:cs="Times New Roman"/>
        </w:rPr>
        <w:t xml:space="preserve"> </w:t>
      </w:r>
      <w:r w:rsidR="00806703" w:rsidRPr="00397701">
        <w:rPr>
          <w:rFonts w:ascii="Times New Roman" w:hAnsi="Times New Roman" w:cs="Times New Roman"/>
        </w:rPr>
        <w:t>and HR</w:t>
      </w:r>
      <w:r w:rsidR="00E512BD" w:rsidRPr="00397701">
        <w:rPr>
          <w:rFonts w:ascii="Times New Roman" w:hAnsi="Times New Roman" w:cs="Times New Roman"/>
        </w:rPr>
        <w:t>.</w:t>
      </w:r>
    </w:p>
    <w:p w14:paraId="320F7716" w14:textId="591C23B6" w:rsidR="00E512BD" w:rsidRPr="00397701" w:rsidRDefault="00806703" w:rsidP="00E512BD">
      <w:pPr>
        <w:rPr>
          <w:rFonts w:ascii="Times New Roman" w:hAnsi="Times New Roman" w:cs="Times New Roman"/>
        </w:rPr>
      </w:pPr>
      <w:r w:rsidRPr="00397701">
        <w:rPr>
          <w:rFonts w:ascii="Times New Roman" w:hAnsi="Times New Roman" w:cs="Times New Roman"/>
        </w:rPr>
        <w:t xml:space="preserve">Regarding the training for personnel located outside Australia, </w:t>
      </w:r>
      <w:r w:rsidR="00E512BD" w:rsidRPr="00397701">
        <w:rPr>
          <w:rFonts w:ascii="Times New Roman" w:hAnsi="Times New Roman" w:cs="Times New Roman"/>
        </w:rPr>
        <w:t xml:space="preserve">if the requirement or action which applies to the </w:t>
      </w:r>
      <w:r w:rsidR="00691729" w:rsidRPr="00397701">
        <w:rPr>
          <w:rFonts w:ascii="Times New Roman" w:hAnsi="Times New Roman" w:cs="Times New Roman"/>
        </w:rPr>
        <w:t xml:space="preserve">provider </w:t>
      </w:r>
      <w:r w:rsidR="00E512BD" w:rsidRPr="00397701">
        <w:rPr>
          <w:rFonts w:ascii="Times New Roman" w:hAnsi="Times New Roman" w:cs="Times New Roman"/>
        </w:rPr>
        <w:t xml:space="preserve">under the Standard is being implemented by </w:t>
      </w:r>
      <w:r w:rsidR="00B159A8" w:rsidRPr="00397701">
        <w:rPr>
          <w:rFonts w:ascii="Times New Roman" w:hAnsi="Times New Roman" w:cs="Times New Roman"/>
        </w:rPr>
        <w:t>those personnel</w:t>
      </w:r>
      <w:r w:rsidR="00E512BD" w:rsidRPr="00397701">
        <w:rPr>
          <w:rFonts w:ascii="Times New Roman" w:hAnsi="Times New Roman" w:cs="Times New Roman"/>
        </w:rPr>
        <w:t>, then th</w:t>
      </w:r>
      <w:r w:rsidR="00B57002" w:rsidRPr="00397701">
        <w:rPr>
          <w:rFonts w:ascii="Times New Roman" w:hAnsi="Times New Roman" w:cs="Times New Roman"/>
        </w:rPr>
        <w:t>ose</w:t>
      </w:r>
      <w:r w:rsidR="00E512BD" w:rsidRPr="00397701">
        <w:rPr>
          <w:rFonts w:ascii="Times New Roman" w:hAnsi="Times New Roman" w:cs="Times New Roman"/>
        </w:rPr>
        <w:t xml:space="preserve"> </w:t>
      </w:r>
      <w:r w:rsidRPr="00397701">
        <w:rPr>
          <w:rFonts w:ascii="Times New Roman" w:hAnsi="Times New Roman" w:cs="Times New Roman"/>
        </w:rPr>
        <w:t>personnel</w:t>
      </w:r>
      <w:r w:rsidR="00E512BD" w:rsidRPr="00397701">
        <w:rPr>
          <w:rFonts w:ascii="Times New Roman" w:hAnsi="Times New Roman" w:cs="Times New Roman"/>
        </w:rPr>
        <w:t xml:space="preserve"> must receive</w:t>
      </w:r>
      <w:r w:rsidRPr="00397701">
        <w:rPr>
          <w:rFonts w:ascii="Times New Roman" w:hAnsi="Times New Roman" w:cs="Times New Roman"/>
        </w:rPr>
        <w:t xml:space="preserve"> </w:t>
      </w:r>
      <w:r w:rsidR="00E512BD" w:rsidRPr="00397701">
        <w:rPr>
          <w:rFonts w:ascii="Times New Roman" w:hAnsi="Times New Roman" w:cs="Times New Roman"/>
        </w:rPr>
        <w:t>the relevant DFV training, irrespective of their location.</w:t>
      </w:r>
    </w:p>
    <w:p w14:paraId="7CC4A821" w14:textId="11E3BE96" w:rsidR="007B589E" w:rsidRPr="00397701" w:rsidRDefault="007B589E" w:rsidP="007B589E">
      <w:pPr>
        <w:rPr>
          <w:rFonts w:ascii="Times New Roman" w:hAnsi="Times New Roman" w:cs="Times New Roman"/>
        </w:rPr>
      </w:pPr>
      <w:r w:rsidRPr="00397701">
        <w:rPr>
          <w:rFonts w:ascii="Times New Roman" w:hAnsi="Times New Roman" w:cs="Times New Roman"/>
        </w:rPr>
        <w:t xml:space="preserve">Subsection (1) requires providers to deliver this training, either directly or through a third-party individual or organisation with DFV expertise. This reflects the principle that training must be appropriately informed by contemporary understanding of DFV and consistent with good practice. Third-party involvement </w:t>
      </w:r>
      <w:r w:rsidR="005518FF" w:rsidRPr="00397701">
        <w:rPr>
          <w:rFonts w:ascii="Times New Roman" w:hAnsi="Times New Roman" w:cs="Times New Roman"/>
        </w:rPr>
        <w:t>provides for</w:t>
      </w:r>
      <w:r w:rsidRPr="00397701">
        <w:rPr>
          <w:rFonts w:ascii="Times New Roman" w:hAnsi="Times New Roman" w:cs="Times New Roman"/>
        </w:rPr>
        <w:t xml:space="preserve"> training content </w:t>
      </w:r>
      <w:r w:rsidR="005518FF" w:rsidRPr="00397701">
        <w:rPr>
          <w:rFonts w:ascii="Times New Roman" w:hAnsi="Times New Roman" w:cs="Times New Roman"/>
        </w:rPr>
        <w:t xml:space="preserve">that </w:t>
      </w:r>
      <w:r w:rsidRPr="00397701">
        <w:rPr>
          <w:rFonts w:ascii="Times New Roman" w:hAnsi="Times New Roman" w:cs="Times New Roman"/>
        </w:rPr>
        <w:t>is expert-led, credible and grounded in lived experience and current research.</w:t>
      </w:r>
    </w:p>
    <w:p w14:paraId="1F72E404" w14:textId="77777777" w:rsidR="007B589E" w:rsidRPr="00397701" w:rsidRDefault="007B589E" w:rsidP="007B589E">
      <w:pPr>
        <w:rPr>
          <w:rFonts w:ascii="Times New Roman" w:hAnsi="Times New Roman" w:cs="Times New Roman"/>
        </w:rPr>
      </w:pPr>
      <w:r w:rsidRPr="00397701">
        <w:rPr>
          <w:rFonts w:ascii="Times New Roman" w:hAnsi="Times New Roman" w:cs="Times New Roman"/>
        </w:rPr>
        <w:t>Subsection (2) sets out the timing for delivery of DFV policy training:</w:t>
      </w:r>
    </w:p>
    <w:p w14:paraId="15A221D5" w14:textId="5BFABEFA" w:rsidR="007B589E" w:rsidRPr="00397701" w:rsidRDefault="007B589E" w:rsidP="001D0578">
      <w:pPr>
        <w:numPr>
          <w:ilvl w:val="0"/>
          <w:numId w:val="22"/>
        </w:numPr>
        <w:tabs>
          <w:tab w:val="num" w:pos="720"/>
        </w:tabs>
        <w:rPr>
          <w:rFonts w:ascii="Times New Roman" w:hAnsi="Times New Roman" w:cs="Times New Roman"/>
        </w:rPr>
      </w:pPr>
      <w:r w:rsidRPr="00397701">
        <w:rPr>
          <w:rFonts w:ascii="Times New Roman" w:hAnsi="Times New Roman" w:cs="Times New Roman"/>
        </w:rPr>
        <w:t xml:space="preserve">Under paragraph (a), all existing personnel must be trained </w:t>
      </w:r>
      <w:r w:rsidR="00503AF1" w:rsidRPr="00397701">
        <w:rPr>
          <w:rFonts w:ascii="Times New Roman" w:hAnsi="Times New Roman" w:cs="Times New Roman"/>
        </w:rPr>
        <w:t xml:space="preserve">within </w:t>
      </w:r>
      <w:r w:rsidR="00DE7A77" w:rsidRPr="00397701">
        <w:rPr>
          <w:rFonts w:ascii="Times New Roman" w:hAnsi="Times New Roman" w:cs="Times New Roman"/>
        </w:rPr>
        <w:t xml:space="preserve">nine </w:t>
      </w:r>
      <w:r w:rsidR="008427E8" w:rsidRPr="00397701">
        <w:rPr>
          <w:rFonts w:ascii="Times New Roman" w:hAnsi="Times New Roman" w:cs="Times New Roman"/>
        </w:rPr>
        <w:t>months</w:t>
      </w:r>
      <w:r w:rsidRPr="00397701">
        <w:rPr>
          <w:rFonts w:ascii="Times New Roman" w:hAnsi="Times New Roman" w:cs="Times New Roman"/>
        </w:rPr>
        <w:t xml:space="preserve"> of the section</w:t>
      </w:r>
      <w:r w:rsidR="00503AF1" w:rsidRPr="00397701">
        <w:rPr>
          <w:rFonts w:ascii="Times New Roman" w:hAnsi="Times New Roman" w:cs="Times New Roman"/>
        </w:rPr>
        <w:t>’s commencement</w:t>
      </w:r>
      <w:r w:rsidR="00BD69F7" w:rsidRPr="00397701">
        <w:rPr>
          <w:rFonts w:ascii="Times New Roman" w:hAnsi="Times New Roman" w:cs="Times New Roman"/>
        </w:rPr>
        <w:t xml:space="preserve"> </w:t>
      </w:r>
      <w:r w:rsidRPr="00397701">
        <w:rPr>
          <w:rFonts w:ascii="Times New Roman" w:hAnsi="Times New Roman" w:cs="Times New Roman"/>
        </w:rPr>
        <w:t xml:space="preserve">for large </w:t>
      </w:r>
      <w:r w:rsidR="00DE7A77" w:rsidRPr="00397701">
        <w:rPr>
          <w:rFonts w:ascii="Times New Roman" w:hAnsi="Times New Roman" w:cs="Times New Roman"/>
        </w:rPr>
        <w:t xml:space="preserve">providers and within 12 months of the section’s commencement for </w:t>
      </w:r>
      <w:r w:rsidRPr="00397701">
        <w:rPr>
          <w:rFonts w:ascii="Times New Roman" w:hAnsi="Times New Roman" w:cs="Times New Roman"/>
        </w:rPr>
        <w:t>small providers.</w:t>
      </w:r>
    </w:p>
    <w:p w14:paraId="07F89A96" w14:textId="28FDC637" w:rsidR="007B589E" w:rsidRPr="00397701" w:rsidRDefault="007B589E" w:rsidP="001D0578">
      <w:pPr>
        <w:numPr>
          <w:ilvl w:val="0"/>
          <w:numId w:val="22"/>
        </w:numPr>
        <w:tabs>
          <w:tab w:val="num" w:pos="720"/>
        </w:tabs>
        <w:rPr>
          <w:rFonts w:ascii="Times New Roman" w:hAnsi="Times New Roman" w:cs="Times New Roman"/>
        </w:rPr>
      </w:pPr>
      <w:r w:rsidRPr="00397701">
        <w:rPr>
          <w:rFonts w:ascii="Times New Roman" w:hAnsi="Times New Roman" w:cs="Times New Roman"/>
        </w:rPr>
        <w:t xml:space="preserve">New personnel must be trained </w:t>
      </w:r>
      <w:r w:rsidR="008C12CE" w:rsidRPr="00397701">
        <w:rPr>
          <w:rFonts w:ascii="Times New Roman" w:hAnsi="Times New Roman" w:cs="Times New Roman"/>
        </w:rPr>
        <w:t>within one month of their engagement</w:t>
      </w:r>
      <w:r w:rsidRPr="00397701">
        <w:rPr>
          <w:rFonts w:ascii="Times New Roman" w:hAnsi="Times New Roman" w:cs="Times New Roman"/>
        </w:rPr>
        <w:t>.</w:t>
      </w:r>
    </w:p>
    <w:p w14:paraId="674F146D" w14:textId="1E55F546" w:rsidR="007B589E" w:rsidRPr="00397701" w:rsidRDefault="007B589E" w:rsidP="001D0578">
      <w:pPr>
        <w:numPr>
          <w:ilvl w:val="0"/>
          <w:numId w:val="22"/>
        </w:numPr>
        <w:tabs>
          <w:tab w:val="num" w:pos="720"/>
        </w:tabs>
        <w:rPr>
          <w:rFonts w:ascii="Times New Roman" w:hAnsi="Times New Roman" w:cs="Times New Roman"/>
        </w:rPr>
      </w:pPr>
      <w:r w:rsidRPr="00397701">
        <w:rPr>
          <w:rFonts w:ascii="Times New Roman" w:hAnsi="Times New Roman" w:cs="Times New Roman"/>
        </w:rPr>
        <w:t xml:space="preserve">Under paragraph (b), personnel must complete refresher training on an annual basis </w:t>
      </w:r>
      <w:r w:rsidR="00FC5D96" w:rsidRPr="00397701">
        <w:rPr>
          <w:rFonts w:ascii="Times New Roman" w:hAnsi="Times New Roman" w:cs="Times New Roman"/>
        </w:rPr>
        <w:t>so that</w:t>
      </w:r>
      <w:r w:rsidRPr="00397701">
        <w:rPr>
          <w:rFonts w:ascii="Times New Roman" w:hAnsi="Times New Roman" w:cs="Times New Roman"/>
        </w:rPr>
        <w:t xml:space="preserve"> awareness and capability </w:t>
      </w:r>
      <w:r w:rsidR="00FC5D96" w:rsidRPr="00397701">
        <w:rPr>
          <w:rFonts w:ascii="Times New Roman" w:hAnsi="Times New Roman" w:cs="Times New Roman"/>
        </w:rPr>
        <w:t>is</w:t>
      </w:r>
      <w:r w:rsidRPr="00397701">
        <w:rPr>
          <w:rFonts w:ascii="Times New Roman" w:hAnsi="Times New Roman" w:cs="Times New Roman"/>
        </w:rPr>
        <w:t xml:space="preserve"> maintained over time.</w:t>
      </w:r>
    </w:p>
    <w:p w14:paraId="45E4810C" w14:textId="65F2E5FE" w:rsidR="00524257" w:rsidRPr="00397701" w:rsidRDefault="00524257" w:rsidP="005E51E7">
      <w:pPr>
        <w:keepNext/>
        <w:rPr>
          <w:rFonts w:ascii="Times New Roman" w:hAnsi="Times New Roman" w:cs="Times New Roman"/>
          <w:b/>
        </w:rPr>
      </w:pPr>
      <w:r w:rsidRPr="00397701">
        <w:rPr>
          <w:rFonts w:ascii="Times New Roman" w:hAnsi="Times New Roman" w:cs="Times New Roman"/>
          <w:b/>
        </w:rPr>
        <w:t xml:space="preserve">Section </w:t>
      </w:r>
      <w:r w:rsidR="008427E8" w:rsidRPr="00397701">
        <w:rPr>
          <w:rFonts w:ascii="Times New Roman" w:hAnsi="Times New Roman" w:cs="Times New Roman"/>
          <w:b/>
        </w:rPr>
        <w:t>22</w:t>
      </w:r>
      <w:r w:rsidRPr="00397701">
        <w:rPr>
          <w:rFonts w:ascii="Times New Roman" w:hAnsi="Times New Roman" w:cs="Times New Roman"/>
          <w:b/>
        </w:rPr>
        <w:tab/>
        <w:t>Training of customer</w:t>
      </w:r>
      <w:r w:rsidR="009F3CCC" w:rsidRPr="00397701">
        <w:rPr>
          <w:rFonts w:ascii="Times New Roman" w:hAnsi="Times New Roman" w:cs="Times New Roman"/>
          <w:b/>
        </w:rPr>
        <w:t xml:space="preserve"> </w:t>
      </w:r>
      <w:r w:rsidRPr="00397701">
        <w:rPr>
          <w:rFonts w:ascii="Times New Roman" w:hAnsi="Times New Roman" w:cs="Times New Roman"/>
          <w:b/>
        </w:rPr>
        <w:t>facing personnel</w:t>
      </w:r>
    </w:p>
    <w:p w14:paraId="597C9FD3" w14:textId="032EC0FE" w:rsidR="00524257" w:rsidRPr="00397701" w:rsidRDefault="00524257" w:rsidP="00524257">
      <w:pPr>
        <w:rPr>
          <w:rFonts w:ascii="Times New Roman" w:hAnsi="Times New Roman" w:cs="Times New Roman"/>
        </w:rPr>
      </w:pPr>
      <w:r w:rsidRPr="00397701">
        <w:rPr>
          <w:rFonts w:ascii="Times New Roman" w:hAnsi="Times New Roman" w:cs="Times New Roman"/>
        </w:rPr>
        <w:t>This section builds on the organisation-wide obligation by setting additional requirements for specialised DFV training for customer-facing and other relevant personnel. The objective is that personnel most likely to interact with affected persons or encounter DFV-related issues are equipped with appropriate knowledge, skills and sensitivity to do so safely and effectively.</w:t>
      </w:r>
    </w:p>
    <w:p w14:paraId="1D0C4AB4" w14:textId="77777777" w:rsidR="00524257" w:rsidRPr="00397701" w:rsidRDefault="00524257" w:rsidP="00524257">
      <w:pPr>
        <w:rPr>
          <w:rFonts w:ascii="Times New Roman" w:hAnsi="Times New Roman" w:cs="Times New Roman"/>
        </w:rPr>
      </w:pPr>
      <w:r w:rsidRPr="00397701">
        <w:rPr>
          <w:rFonts w:ascii="Times New Roman" w:hAnsi="Times New Roman" w:cs="Times New Roman"/>
        </w:rPr>
        <w:t>Subsection (1) identifies three key groups who must receive specialised DFV training:</w:t>
      </w:r>
    </w:p>
    <w:p w14:paraId="7B9AA830" w14:textId="5C895766" w:rsidR="00524257" w:rsidRPr="00397701" w:rsidRDefault="00524257" w:rsidP="001D0578">
      <w:pPr>
        <w:numPr>
          <w:ilvl w:val="0"/>
          <w:numId w:val="23"/>
        </w:numPr>
        <w:tabs>
          <w:tab w:val="num" w:pos="720"/>
        </w:tabs>
        <w:rPr>
          <w:rFonts w:ascii="Times New Roman" w:hAnsi="Times New Roman" w:cs="Times New Roman"/>
        </w:rPr>
      </w:pPr>
      <w:r w:rsidRPr="00397701">
        <w:rPr>
          <w:rFonts w:ascii="Times New Roman" w:hAnsi="Times New Roman" w:cs="Times New Roman"/>
        </w:rPr>
        <w:t>Paragraph (a) covers consumer-facing personnel</w:t>
      </w:r>
      <w:r w:rsidR="00634C01" w:rsidRPr="00397701">
        <w:rPr>
          <w:rFonts w:ascii="Times New Roman" w:hAnsi="Times New Roman" w:cs="Times New Roman"/>
        </w:rPr>
        <w:t xml:space="preserve"> who may be the first point of contact for affected persons</w:t>
      </w:r>
      <w:r w:rsidRPr="00397701">
        <w:rPr>
          <w:rFonts w:ascii="Times New Roman" w:hAnsi="Times New Roman" w:cs="Times New Roman"/>
        </w:rPr>
        <w:t>, such as call centre or retail staff.</w:t>
      </w:r>
    </w:p>
    <w:p w14:paraId="7733409B" w14:textId="2322F229" w:rsidR="00524257" w:rsidRPr="00397701" w:rsidRDefault="00524257" w:rsidP="001D0578">
      <w:pPr>
        <w:numPr>
          <w:ilvl w:val="0"/>
          <w:numId w:val="23"/>
        </w:numPr>
        <w:tabs>
          <w:tab w:val="num" w:pos="720"/>
        </w:tabs>
        <w:rPr>
          <w:rFonts w:ascii="Times New Roman" w:hAnsi="Times New Roman" w:cs="Times New Roman"/>
        </w:rPr>
      </w:pPr>
      <w:r w:rsidRPr="00397701">
        <w:rPr>
          <w:rFonts w:ascii="Times New Roman" w:hAnsi="Times New Roman" w:cs="Times New Roman"/>
        </w:rPr>
        <w:t xml:space="preserve">Paragraph (b) extends coverage to personnel working in functional areas that are more likely to encounter DFV-related issues. These may include sales, financial hardship, credit management, fraud, privacy and complaint handling. </w:t>
      </w:r>
    </w:p>
    <w:p w14:paraId="04426E3A" w14:textId="4F276FF5" w:rsidR="00524257" w:rsidRPr="00397701" w:rsidRDefault="00524257" w:rsidP="001D0578">
      <w:pPr>
        <w:numPr>
          <w:ilvl w:val="0"/>
          <w:numId w:val="23"/>
        </w:numPr>
        <w:tabs>
          <w:tab w:val="num" w:pos="720"/>
        </w:tabs>
        <w:rPr>
          <w:rFonts w:ascii="Times New Roman" w:hAnsi="Times New Roman" w:cs="Times New Roman"/>
        </w:rPr>
      </w:pPr>
      <w:r w:rsidRPr="00397701">
        <w:rPr>
          <w:rFonts w:ascii="Times New Roman" w:hAnsi="Times New Roman" w:cs="Times New Roman"/>
        </w:rPr>
        <w:lastRenderedPageBreak/>
        <w:t xml:space="preserve">Paragraph (c) </w:t>
      </w:r>
      <w:r w:rsidR="00ED565A" w:rsidRPr="00397701">
        <w:rPr>
          <w:rFonts w:ascii="Times New Roman" w:hAnsi="Times New Roman" w:cs="Times New Roman"/>
        </w:rPr>
        <w:t xml:space="preserve">relates to </w:t>
      </w:r>
      <w:r w:rsidRPr="00397701">
        <w:rPr>
          <w:rFonts w:ascii="Times New Roman" w:hAnsi="Times New Roman" w:cs="Times New Roman"/>
        </w:rPr>
        <w:t>specialist DFV support personnel, where such roles exist.</w:t>
      </w:r>
      <w:r w:rsidR="00634C01" w:rsidRPr="00397701">
        <w:rPr>
          <w:rFonts w:ascii="Times New Roman" w:hAnsi="Times New Roman" w:cs="Times New Roman"/>
        </w:rPr>
        <w:t xml:space="preserve"> This may include personnel within teams or areas created to deal specifically </w:t>
      </w:r>
      <w:r w:rsidR="008427E8" w:rsidRPr="00397701">
        <w:rPr>
          <w:rFonts w:ascii="Times New Roman" w:hAnsi="Times New Roman" w:cs="Times New Roman"/>
        </w:rPr>
        <w:t xml:space="preserve">with </w:t>
      </w:r>
      <w:r w:rsidR="00634C01" w:rsidRPr="00397701">
        <w:rPr>
          <w:rFonts w:ascii="Times New Roman" w:hAnsi="Times New Roman" w:cs="Times New Roman"/>
        </w:rPr>
        <w:t xml:space="preserve">vulnerable consumers and/or with those affected by DFV or individual staff with specialist training in supporting individuals affected by DFV.  </w:t>
      </w:r>
    </w:p>
    <w:p w14:paraId="038B5A8D" w14:textId="77777777" w:rsidR="00524257" w:rsidRPr="00397701" w:rsidRDefault="00524257" w:rsidP="00524257">
      <w:pPr>
        <w:rPr>
          <w:rFonts w:ascii="Times New Roman" w:hAnsi="Times New Roman" w:cs="Times New Roman"/>
        </w:rPr>
      </w:pPr>
      <w:r w:rsidRPr="00397701">
        <w:rPr>
          <w:rFonts w:ascii="Times New Roman" w:hAnsi="Times New Roman" w:cs="Times New Roman"/>
        </w:rPr>
        <w:t>Subsection (2) outlines the required content for this training:</w:t>
      </w:r>
    </w:p>
    <w:p w14:paraId="141D7E89" w14:textId="5EAE0F7B" w:rsidR="00524257" w:rsidRPr="00397701" w:rsidRDefault="00524257" w:rsidP="001D0578">
      <w:pPr>
        <w:numPr>
          <w:ilvl w:val="0"/>
          <w:numId w:val="24"/>
        </w:numPr>
        <w:rPr>
          <w:rFonts w:ascii="Times New Roman" w:hAnsi="Times New Roman" w:cs="Times New Roman"/>
        </w:rPr>
      </w:pPr>
      <w:r w:rsidRPr="00397701">
        <w:rPr>
          <w:rFonts w:ascii="Times New Roman" w:hAnsi="Times New Roman" w:cs="Times New Roman"/>
        </w:rPr>
        <w:t xml:space="preserve">Paragraph (a) requires </w:t>
      </w:r>
      <w:r w:rsidR="00750DB6" w:rsidRPr="00397701">
        <w:rPr>
          <w:rFonts w:ascii="Times New Roman" w:hAnsi="Times New Roman" w:cs="Times New Roman"/>
        </w:rPr>
        <w:t xml:space="preserve">that the training must cover </w:t>
      </w:r>
      <w:r w:rsidRPr="00397701">
        <w:rPr>
          <w:rFonts w:ascii="Times New Roman" w:hAnsi="Times New Roman" w:cs="Times New Roman"/>
        </w:rPr>
        <w:t xml:space="preserve">the provider’s DFV policy and </w:t>
      </w:r>
      <w:r w:rsidR="0094788C" w:rsidRPr="00397701">
        <w:rPr>
          <w:rFonts w:ascii="Times New Roman" w:hAnsi="Times New Roman" w:cs="Times New Roman"/>
        </w:rPr>
        <w:t xml:space="preserve">DFV </w:t>
      </w:r>
      <w:r w:rsidRPr="00397701">
        <w:rPr>
          <w:rFonts w:ascii="Times New Roman" w:hAnsi="Times New Roman" w:cs="Times New Roman"/>
        </w:rPr>
        <w:t xml:space="preserve">procedures, </w:t>
      </w:r>
      <w:r w:rsidR="00FC5D96" w:rsidRPr="00397701">
        <w:rPr>
          <w:rFonts w:ascii="Times New Roman" w:hAnsi="Times New Roman" w:cs="Times New Roman"/>
        </w:rPr>
        <w:t>so</w:t>
      </w:r>
      <w:r w:rsidRPr="00397701">
        <w:rPr>
          <w:rFonts w:ascii="Times New Roman" w:hAnsi="Times New Roman" w:cs="Times New Roman"/>
        </w:rPr>
        <w:t xml:space="preserve"> that staff understand and can apply internal processes in practice.</w:t>
      </w:r>
    </w:p>
    <w:p w14:paraId="4A8C00CC" w14:textId="6A16ADAC" w:rsidR="00524257" w:rsidRPr="00397701" w:rsidRDefault="00524257" w:rsidP="001D0578">
      <w:pPr>
        <w:numPr>
          <w:ilvl w:val="0"/>
          <w:numId w:val="24"/>
        </w:numPr>
        <w:rPr>
          <w:rFonts w:ascii="Times New Roman" w:hAnsi="Times New Roman" w:cs="Times New Roman"/>
        </w:rPr>
      </w:pPr>
      <w:r w:rsidRPr="00397701">
        <w:rPr>
          <w:rFonts w:ascii="Times New Roman" w:hAnsi="Times New Roman" w:cs="Times New Roman"/>
        </w:rPr>
        <w:t>Paragraph (b) mandates training on the nature and impacts of DFV, with a specific focus on how DFV interacts with telecommunications services.</w:t>
      </w:r>
      <w:r w:rsidR="00634C01" w:rsidRPr="00397701">
        <w:rPr>
          <w:rFonts w:ascii="Times New Roman" w:hAnsi="Times New Roman" w:cs="Times New Roman"/>
        </w:rPr>
        <w:t xml:space="preserve"> This would include an understanding of the use of telecommunications </w:t>
      </w:r>
      <w:r w:rsidR="00C477DC" w:rsidRPr="00397701">
        <w:rPr>
          <w:rFonts w:ascii="Times New Roman" w:hAnsi="Times New Roman" w:cs="Times New Roman"/>
        </w:rPr>
        <w:t xml:space="preserve">in </w:t>
      </w:r>
      <w:r w:rsidR="005027C0" w:rsidRPr="00397701">
        <w:rPr>
          <w:rFonts w:ascii="Times New Roman" w:hAnsi="Times New Roman" w:cs="Times New Roman"/>
        </w:rPr>
        <w:t>contributing to</w:t>
      </w:r>
      <w:r w:rsidR="00A81F50" w:rsidRPr="00397701">
        <w:rPr>
          <w:rFonts w:ascii="Times New Roman" w:hAnsi="Times New Roman" w:cs="Times New Roman"/>
        </w:rPr>
        <w:t xml:space="preserve"> the safety and security of</w:t>
      </w:r>
      <w:r w:rsidR="00634C01" w:rsidRPr="00397701">
        <w:rPr>
          <w:rFonts w:ascii="Times New Roman" w:hAnsi="Times New Roman" w:cs="Times New Roman"/>
        </w:rPr>
        <w:t xml:space="preserve"> affected persons and as a potential tool for perpetrators in executing DFV.</w:t>
      </w:r>
    </w:p>
    <w:p w14:paraId="78076055" w14:textId="5DB7E766" w:rsidR="00524257" w:rsidRPr="00397701" w:rsidRDefault="00524257" w:rsidP="001D0578">
      <w:pPr>
        <w:numPr>
          <w:ilvl w:val="0"/>
          <w:numId w:val="24"/>
        </w:numPr>
        <w:rPr>
          <w:rFonts w:ascii="Times New Roman" w:hAnsi="Times New Roman" w:cs="Times New Roman"/>
        </w:rPr>
      </w:pPr>
      <w:r w:rsidRPr="00397701">
        <w:rPr>
          <w:rFonts w:ascii="Times New Roman" w:hAnsi="Times New Roman" w:cs="Times New Roman"/>
        </w:rPr>
        <w:t>Paragraph (c) requires training to address how to identify affected persons. Identification may occur through disclosure or through recognition of indicators, consistent with good practice guidance. These may include irregular service patterns, restricted account access, unusual consumer behaviour, or third-party interference.</w:t>
      </w:r>
      <w:r w:rsidR="00634C01" w:rsidRPr="00397701">
        <w:rPr>
          <w:rFonts w:ascii="Times New Roman" w:hAnsi="Times New Roman" w:cs="Times New Roman"/>
        </w:rPr>
        <w:t xml:space="preserve"> </w:t>
      </w:r>
    </w:p>
    <w:p w14:paraId="4E078EFF" w14:textId="0270D9E7" w:rsidR="00524257" w:rsidRPr="00397701" w:rsidRDefault="00524257" w:rsidP="001D0578">
      <w:pPr>
        <w:numPr>
          <w:ilvl w:val="0"/>
          <w:numId w:val="24"/>
        </w:numPr>
        <w:rPr>
          <w:rFonts w:ascii="Times New Roman" w:hAnsi="Times New Roman" w:cs="Times New Roman"/>
        </w:rPr>
      </w:pPr>
      <w:r w:rsidRPr="00397701">
        <w:rPr>
          <w:rFonts w:ascii="Times New Roman" w:hAnsi="Times New Roman" w:cs="Times New Roman"/>
        </w:rPr>
        <w:t xml:space="preserve">Paragraph (d) addresses intersectionality, requiring training to build awareness of how multiple or compounding factors (such as </w:t>
      </w:r>
      <w:r w:rsidR="00EE78C3" w:rsidRPr="00397701">
        <w:rPr>
          <w:rFonts w:ascii="Times New Roman" w:hAnsi="Times New Roman" w:cs="Times New Roman"/>
        </w:rPr>
        <w:t>race, age, geographic location, sexual orientation, ability, class</w:t>
      </w:r>
      <w:r w:rsidRPr="00397701">
        <w:rPr>
          <w:rFonts w:ascii="Times New Roman" w:hAnsi="Times New Roman" w:cs="Times New Roman"/>
        </w:rPr>
        <w:t>, language,</w:t>
      </w:r>
      <w:r w:rsidR="00EE78C3" w:rsidRPr="00397701">
        <w:rPr>
          <w:rFonts w:ascii="Times New Roman" w:hAnsi="Times New Roman" w:cs="Times New Roman"/>
        </w:rPr>
        <w:t xml:space="preserve"> </w:t>
      </w:r>
      <w:r w:rsidRPr="00397701">
        <w:rPr>
          <w:rFonts w:ascii="Times New Roman" w:hAnsi="Times New Roman" w:cs="Times New Roman"/>
        </w:rPr>
        <w:t>or economic dependence) may shape a consumer’s experience of DFV and their support needs.</w:t>
      </w:r>
      <w:r w:rsidR="00EE78C3" w:rsidRPr="00397701">
        <w:rPr>
          <w:rFonts w:ascii="Times New Roman" w:hAnsi="Times New Roman" w:cs="Times New Roman"/>
        </w:rPr>
        <w:t xml:space="preserve"> </w:t>
      </w:r>
    </w:p>
    <w:p w14:paraId="130598B1" w14:textId="36FEE412" w:rsidR="00524257" w:rsidRPr="00397701" w:rsidRDefault="00524257" w:rsidP="001D0578">
      <w:pPr>
        <w:numPr>
          <w:ilvl w:val="0"/>
          <w:numId w:val="24"/>
        </w:numPr>
        <w:rPr>
          <w:rFonts w:ascii="Times New Roman" w:hAnsi="Times New Roman" w:cs="Times New Roman"/>
        </w:rPr>
      </w:pPr>
      <w:r w:rsidRPr="00397701">
        <w:rPr>
          <w:rFonts w:ascii="Times New Roman" w:hAnsi="Times New Roman" w:cs="Times New Roman"/>
        </w:rPr>
        <w:t>Paragraph (e) requires training on how to engage with affected persons</w:t>
      </w:r>
      <w:r w:rsidR="00A30B92" w:rsidRPr="00397701">
        <w:rPr>
          <w:rFonts w:ascii="Times New Roman" w:hAnsi="Times New Roman" w:cs="Times New Roman"/>
        </w:rPr>
        <w:t>, including responding to affected persons where there is a change in their circumstances</w:t>
      </w:r>
      <w:r w:rsidR="00EE78C3" w:rsidRPr="00397701">
        <w:rPr>
          <w:rFonts w:ascii="Times New Roman" w:hAnsi="Times New Roman" w:cs="Times New Roman"/>
        </w:rPr>
        <w:t>. It should focus on how to be</w:t>
      </w:r>
      <w:r w:rsidRPr="00397701">
        <w:rPr>
          <w:rFonts w:ascii="Times New Roman" w:hAnsi="Times New Roman" w:cs="Times New Roman"/>
        </w:rPr>
        <w:t xml:space="preserve"> </w:t>
      </w:r>
      <w:r w:rsidR="00EE78C3" w:rsidRPr="00397701">
        <w:rPr>
          <w:rFonts w:ascii="Times New Roman" w:hAnsi="Times New Roman" w:cs="Times New Roman"/>
        </w:rPr>
        <w:t xml:space="preserve">responsive and </w:t>
      </w:r>
      <w:r w:rsidRPr="00397701">
        <w:rPr>
          <w:rFonts w:ascii="Times New Roman" w:hAnsi="Times New Roman" w:cs="Times New Roman"/>
        </w:rPr>
        <w:t xml:space="preserve">adaptable to the person’s </w:t>
      </w:r>
      <w:r w:rsidR="00EE78C3" w:rsidRPr="00397701">
        <w:rPr>
          <w:rFonts w:ascii="Times New Roman" w:hAnsi="Times New Roman" w:cs="Times New Roman"/>
        </w:rPr>
        <w:t>needs in ways which reduc</w:t>
      </w:r>
      <w:r w:rsidR="00FC5D96" w:rsidRPr="00397701">
        <w:rPr>
          <w:rFonts w:ascii="Times New Roman" w:hAnsi="Times New Roman" w:cs="Times New Roman"/>
        </w:rPr>
        <w:t>e</w:t>
      </w:r>
      <w:r w:rsidR="00EE78C3" w:rsidRPr="00397701">
        <w:rPr>
          <w:rFonts w:ascii="Times New Roman" w:hAnsi="Times New Roman" w:cs="Times New Roman"/>
        </w:rPr>
        <w:t xml:space="preserve"> the risk of re-traumatisation</w:t>
      </w:r>
      <w:r w:rsidRPr="00397701">
        <w:rPr>
          <w:rFonts w:ascii="Times New Roman" w:hAnsi="Times New Roman" w:cs="Times New Roman"/>
        </w:rPr>
        <w:t>.</w:t>
      </w:r>
      <w:r w:rsidR="00EE78C3" w:rsidRPr="00397701">
        <w:rPr>
          <w:rFonts w:ascii="Times New Roman" w:hAnsi="Times New Roman" w:cs="Times New Roman"/>
        </w:rPr>
        <w:t xml:space="preserve"> </w:t>
      </w:r>
    </w:p>
    <w:p w14:paraId="58BF7FC9" w14:textId="03119CFE" w:rsidR="00524257" w:rsidRPr="00397701" w:rsidRDefault="00524257" w:rsidP="001D0578">
      <w:pPr>
        <w:numPr>
          <w:ilvl w:val="0"/>
          <w:numId w:val="24"/>
        </w:numPr>
        <w:rPr>
          <w:rFonts w:ascii="Times New Roman" w:hAnsi="Times New Roman" w:cs="Times New Roman"/>
        </w:rPr>
      </w:pPr>
      <w:r w:rsidRPr="00397701">
        <w:rPr>
          <w:rFonts w:ascii="Times New Roman" w:hAnsi="Times New Roman" w:cs="Times New Roman"/>
        </w:rPr>
        <w:t>Paragraph (f) requires training to include how to recognise and safely engage with perpetrators</w:t>
      </w:r>
      <w:r w:rsidR="006F3F5D" w:rsidRPr="00397701">
        <w:rPr>
          <w:rFonts w:ascii="Times New Roman" w:hAnsi="Times New Roman" w:cs="Times New Roman"/>
        </w:rPr>
        <w:t xml:space="preserve"> </w:t>
      </w:r>
      <w:r w:rsidR="00097137" w:rsidRPr="00397701">
        <w:rPr>
          <w:rFonts w:ascii="Times New Roman" w:hAnsi="Times New Roman" w:cs="Times New Roman"/>
        </w:rPr>
        <w:t>while protecting the safety of affected persons and personnel</w:t>
      </w:r>
      <w:r w:rsidRPr="00397701">
        <w:rPr>
          <w:rFonts w:ascii="Times New Roman" w:hAnsi="Times New Roman" w:cs="Times New Roman"/>
        </w:rPr>
        <w:t>. Th</w:t>
      </w:r>
      <w:r w:rsidR="00FC5D96" w:rsidRPr="00397701">
        <w:rPr>
          <w:rFonts w:ascii="Times New Roman" w:hAnsi="Times New Roman" w:cs="Times New Roman"/>
        </w:rPr>
        <w:t>e</w:t>
      </w:r>
      <w:r w:rsidRPr="00397701">
        <w:rPr>
          <w:rFonts w:ascii="Times New Roman" w:hAnsi="Times New Roman" w:cs="Times New Roman"/>
        </w:rPr>
        <w:t xml:space="preserve"> </w:t>
      </w:r>
      <w:r w:rsidR="00FC5D96" w:rsidRPr="00397701">
        <w:rPr>
          <w:rFonts w:ascii="Times New Roman" w:hAnsi="Times New Roman" w:cs="Times New Roman"/>
        </w:rPr>
        <w:t>intent is</w:t>
      </w:r>
      <w:r w:rsidRPr="00397701">
        <w:rPr>
          <w:rFonts w:ascii="Times New Roman" w:hAnsi="Times New Roman" w:cs="Times New Roman"/>
        </w:rPr>
        <w:t xml:space="preserve"> that staff are prepared</w:t>
      </w:r>
      <w:r w:rsidR="00EE78C3" w:rsidRPr="00397701">
        <w:rPr>
          <w:rFonts w:ascii="Times New Roman" w:hAnsi="Times New Roman" w:cs="Times New Roman"/>
        </w:rPr>
        <w:t xml:space="preserve"> and safe when</w:t>
      </w:r>
      <w:r w:rsidRPr="00397701">
        <w:rPr>
          <w:rFonts w:ascii="Times New Roman" w:hAnsi="Times New Roman" w:cs="Times New Roman"/>
        </w:rPr>
        <w:t xml:space="preserve"> a known or </w:t>
      </w:r>
      <w:r w:rsidR="00EE78C3" w:rsidRPr="00397701">
        <w:rPr>
          <w:rFonts w:ascii="Times New Roman" w:hAnsi="Times New Roman" w:cs="Times New Roman"/>
        </w:rPr>
        <w:t>alleged</w:t>
      </w:r>
      <w:r w:rsidRPr="00397701">
        <w:rPr>
          <w:rFonts w:ascii="Times New Roman" w:hAnsi="Times New Roman" w:cs="Times New Roman"/>
        </w:rPr>
        <w:t xml:space="preserve"> perpetrator attempts </w:t>
      </w:r>
      <w:r w:rsidR="00A84F26" w:rsidRPr="00397701">
        <w:rPr>
          <w:rFonts w:ascii="Times New Roman" w:hAnsi="Times New Roman" w:cs="Times New Roman"/>
        </w:rPr>
        <w:t>to</w:t>
      </w:r>
      <w:r w:rsidRPr="00397701">
        <w:rPr>
          <w:rFonts w:ascii="Times New Roman" w:hAnsi="Times New Roman" w:cs="Times New Roman"/>
        </w:rPr>
        <w:t xml:space="preserve"> engage with the provider, for example by seeking account control or monitoring. The training </w:t>
      </w:r>
      <w:r w:rsidR="00F34642" w:rsidRPr="00397701">
        <w:rPr>
          <w:rFonts w:ascii="Times New Roman" w:hAnsi="Times New Roman" w:cs="Times New Roman"/>
        </w:rPr>
        <w:t xml:space="preserve">should </w:t>
      </w:r>
      <w:r w:rsidRPr="00397701">
        <w:rPr>
          <w:rFonts w:ascii="Times New Roman" w:hAnsi="Times New Roman" w:cs="Times New Roman"/>
        </w:rPr>
        <w:t xml:space="preserve">make clear that providers are not responsible for determining whether a person is a perpetrator. Rather, it </w:t>
      </w:r>
      <w:r w:rsidR="00F34642" w:rsidRPr="00397701">
        <w:rPr>
          <w:rFonts w:ascii="Times New Roman" w:hAnsi="Times New Roman" w:cs="Times New Roman"/>
        </w:rPr>
        <w:t xml:space="preserve">is intended that the training </w:t>
      </w:r>
      <w:r w:rsidRPr="00397701">
        <w:rPr>
          <w:rFonts w:ascii="Times New Roman" w:hAnsi="Times New Roman" w:cs="Times New Roman"/>
        </w:rPr>
        <w:t>must support staff to apply consistent, risk-aware responses</w:t>
      </w:r>
      <w:r w:rsidR="00B57002" w:rsidRPr="00397701">
        <w:rPr>
          <w:rFonts w:ascii="Times New Roman" w:hAnsi="Times New Roman" w:cs="Times New Roman"/>
        </w:rPr>
        <w:t xml:space="preserve"> – </w:t>
      </w:r>
      <w:r w:rsidRPr="00397701">
        <w:rPr>
          <w:rFonts w:ascii="Times New Roman" w:hAnsi="Times New Roman" w:cs="Times New Roman"/>
        </w:rPr>
        <w:t>such as appropriate escalation, minimising risk of harm, and protecting staff safety.</w:t>
      </w:r>
    </w:p>
    <w:p w14:paraId="459638C8" w14:textId="77777777" w:rsidR="00524257" w:rsidRPr="00397701" w:rsidRDefault="00524257" w:rsidP="00524257">
      <w:pPr>
        <w:rPr>
          <w:rFonts w:ascii="Times New Roman" w:hAnsi="Times New Roman" w:cs="Times New Roman"/>
        </w:rPr>
      </w:pPr>
      <w:r w:rsidRPr="00397701">
        <w:rPr>
          <w:rFonts w:ascii="Times New Roman" w:hAnsi="Times New Roman" w:cs="Times New Roman"/>
        </w:rPr>
        <w:t>Subsection (3) allows training to be tailored to suit the specific functions of relevant personnel. For example, a frontline sales agent may need different emphasis than a financial hardship specialist or a complaints manager, though core learning outcomes should be consistent.</w:t>
      </w:r>
    </w:p>
    <w:p w14:paraId="2F0D26AD" w14:textId="77777777" w:rsidR="00524257" w:rsidRPr="00397701" w:rsidRDefault="00524257" w:rsidP="00524257">
      <w:pPr>
        <w:rPr>
          <w:rFonts w:ascii="Times New Roman" w:hAnsi="Times New Roman" w:cs="Times New Roman"/>
        </w:rPr>
      </w:pPr>
      <w:r w:rsidRPr="00397701">
        <w:rPr>
          <w:rFonts w:ascii="Times New Roman" w:hAnsi="Times New Roman" w:cs="Times New Roman"/>
        </w:rPr>
        <w:t>Subsection (4) sets out the timing requirements for delivery of this specialised training:</w:t>
      </w:r>
    </w:p>
    <w:p w14:paraId="26918268" w14:textId="2653C920" w:rsidR="00524257" w:rsidRPr="00397701" w:rsidRDefault="00524257" w:rsidP="001D0578">
      <w:pPr>
        <w:numPr>
          <w:ilvl w:val="0"/>
          <w:numId w:val="22"/>
        </w:numPr>
        <w:tabs>
          <w:tab w:val="num" w:pos="720"/>
        </w:tabs>
        <w:rPr>
          <w:rFonts w:ascii="Times New Roman" w:hAnsi="Times New Roman" w:cs="Times New Roman"/>
        </w:rPr>
      </w:pPr>
      <w:r w:rsidRPr="00397701">
        <w:rPr>
          <w:rFonts w:ascii="Times New Roman" w:hAnsi="Times New Roman" w:cs="Times New Roman"/>
        </w:rPr>
        <w:t xml:space="preserve">Under subparagraph (a)(i), personnel who deal directly with consumers when section </w:t>
      </w:r>
      <w:r w:rsidR="00FC5D96" w:rsidRPr="00397701">
        <w:rPr>
          <w:rFonts w:ascii="Times New Roman" w:hAnsi="Times New Roman" w:cs="Times New Roman"/>
        </w:rPr>
        <w:t>2</w:t>
      </w:r>
      <w:r w:rsidR="00720C54" w:rsidRPr="00397701">
        <w:rPr>
          <w:rFonts w:ascii="Times New Roman" w:hAnsi="Times New Roman" w:cs="Times New Roman"/>
        </w:rPr>
        <w:t>2</w:t>
      </w:r>
      <w:r w:rsidRPr="00397701">
        <w:rPr>
          <w:rFonts w:ascii="Times New Roman" w:hAnsi="Times New Roman" w:cs="Times New Roman"/>
        </w:rPr>
        <w:t xml:space="preserve"> commences must be trained within </w:t>
      </w:r>
      <w:r w:rsidR="005E51E7" w:rsidRPr="00397701">
        <w:rPr>
          <w:rFonts w:ascii="Times New Roman" w:hAnsi="Times New Roman" w:cs="Times New Roman"/>
        </w:rPr>
        <w:t xml:space="preserve">nine </w:t>
      </w:r>
      <w:r w:rsidRPr="00397701">
        <w:rPr>
          <w:rFonts w:ascii="Times New Roman" w:hAnsi="Times New Roman" w:cs="Times New Roman"/>
        </w:rPr>
        <w:t xml:space="preserve">months of </w:t>
      </w:r>
      <w:r w:rsidR="00371BBC" w:rsidRPr="00397701">
        <w:rPr>
          <w:rFonts w:ascii="Times New Roman" w:hAnsi="Times New Roman" w:cs="Times New Roman"/>
        </w:rPr>
        <w:t xml:space="preserve">the section’s </w:t>
      </w:r>
      <w:r w:rsidRPr="00397701">
        <w:rPr>
          <w:rFonts w:ascii="Times New Roman" w:hAnsi="Times New Roman" w:cs="Times New Roman"/>
        </w:rPr>
        <w:t>commencement</w:t>
      </w:r>
      <w:r w:rsidR="005E51E7" w:rsidRPr="00397701">
        <w:rPr>
          <w:rFonts w:ascii="Times New Roman" w:hAnsi="Times New Roman" w:cs="Times New Roman"/>
        </w:rPr>
        <w:t xml:space="preserve"> for a large provider and within 12 months for a small provider</w:t>
      </w:r>
      <w:r w:rsidRPr="00397701">
        <w:rPr>
          <w:rFonts w:ascii="Times New Roman" w:hAnsi="Times New Roman" w:cs="Times New Roman"/>
        </w:rPr>
        <w:t>.</w:t>
      </w:r>
    </w:p>
    <w:p w14:paraId="3744952A" w14:textId="77777777" w:rsidR="00524257" w:rsidRPr="00397701" w:rsidRDefault="00524257" w:rsidP="001D0578">
      <w:pPr>
        <w:numPr>
          <w:ilvl w:val="0"/>
          <w:numId w:val="25"/>
        </w:numPr>
        <w:tabs>
          <w:tab w:val="num" w:pos="720"/>
        </w:tabs>
        <w:rPr>
          <w:rFonts w:ascii="Times New Roman" w:hAnsi="Times New Roman" w:cs="Times New Roman"/>
        </w:rPr>
      </w:pPr>
      <w:r w:rsidRPr="00397701">
        <w:rPr>
          <w:rFonts w:ascii="Times New Roman" w:hAnsi="Times New Roman" w:cs="Times New Roman"/>
        </w:rPr>
        <w:t>Subparagraph (a)(ii) provides that other relevant personnel must receive training before they commence consumer-facing roles.</w:t>
      </w:r>
    </w:p>
    <w:p w14:paraId="5D1B4DBD" w14:textId="5EE454F3" w:rsidR="00524257" w:rsidRPr="00397701" w:rsidRDefault="00524257" w:rsidP="001D0578">
      <w:pPr>
        <w:numPr>
          <w:ilvl w:val="0"/>
          <w:numId w:val="25"/>
        </w:numPr>
        <w:tabs>
          <w:tab w:val="num" w:pos="720"/>
        </w:tabs>
        <w:rPr>
          <w:rFonts w:ascii="Times New Roman" w:hAnsi="Times New Roman" w:cs="Times New Roman"/>
        </w:rPr>
      </w:pPr>
      <w:r w:rsidRPr="00397701">
        <w:rPr>
          <w:rFonts w:ascii="Times New Roman" w:hAnsi="Times New Roman" w:cs="Times New Roman"/>
        </w:rPr>
        <w:t>Paragraph (b) mandates annual refresher training, recognising that DFV risks and best practices evolve, and that ongoing capability development is essential.</w:t>
      </w:r>
    </w:p>
    <w:p w14:paraId="7B82318F" w14:textId="77578BE4" w:rsidR="00524257" w:rsidRPr="00397701" w:rsidRDefault="00524257" w:rsidP="00524257">
      <w:pPr>
        <w:rPr>
          <w:rFonts w:ascii="Times New Roman" w:hAnsi="Times New Roman" w:cs="Times New Roman"/>
        </w:rPr>
      </w:pPr>
      <w:r w:rsidRPr="00397701">
        <w:rPr>
          <w:rFonts w:ascii="Times New Roman" w:hAnsi="Times New Roman" w:cs="Times New Roman"/>
        </w:rPr>
        <w:t>T</w:t>
      </w:r>
      <w:r w:rsidR="00FC5D96" w:rsidRPr="00397701">
        <w:rPr>
          <w:rFonts w:ascii="Times New Roman" w:hAnsi="Times New Roman" w:cs="Times New Roman"/>
        </w:rPr>
        <w:t>he purpose of t</w:t>
      </w:r>
      <w:r w:rsidRPr="00397701">
        <w:rPr>
          <w:rFonts w:ascii="Times New Roman" w:hAnsi="Times New Roman" w:cs="Times New Roman"/>
        </w:rPr>
        <w:t xml:space="preserve">his section </w:t>
      </w:r>
      <w:r w:rsidR="00FC5D96" w:rsidRPr="00397701">
        <w:rPr>
          <w:rFonts w:ascii="Times New Roman" w:hAnsi="Times New Roman" w:cs="Times New Roman"/>
        </w:rPr>
        <w:t>is</w:t>
      </w:r>
      <w:r w:rsidRPr="00397701">
        <w:rPr>
          <w:rFonts w:ascii="Times New Roman" w:hAnsi="Times New Roman" w:cs="Times New Roman"/>
        </w:rPr>
        <w:t xml:space="preserve"> that personnel in critical roles receive appropriate, expert-informed training to enable safe, consistent and supportive engagement with both affected persons and </w:t>
      </w:r>
      <w:r w:rsidRPr="00397701">
        <w:rPr>
          <w:rFonts w:ascii="Times New Roman" w:hAnsi="Times New Roman" w:cs="Times New Roman"/>
        </w:rPr>
        <w:lastRenderedPageBreak/>
        <w:t xml:space="preserve">perpetrators. </w:t>
      </w:r>
      <w:r w:rsidR="00A34C50" w:rsidRPr="00397701">
        <w:rPr>
          <w:rFonts w:ascii="Times New Roman" w:hAnsi="Times New Roman" w:cs="Times New Roman"/>
        </w:rPr>
        <w:t xml:space="preserve">This section </w:t>
      </w:r>
      <w:r w:rsidRPr="00397701">
        <w:rPr>
          <w:rFonts w:ascii="Times New Roman" w:hAnsi="Times New Roman" w:cs="Times New Roman"/>
        </w:rPr>
        <w:t>promotes organisational readiness and consumer safety, consistent with a trauma-informed, person-centred approach.</w:t>
      </w:r>
    </w:p>
    <w:p w14:paraId="75401BC3" w14:textId="7A8B7502" w:rsidR="00216AAD" w:rsidRPr="00397701" w:rsidRDefault="00216AAD" w:rsidP="00216AAD">
      <w:pPr>
        <w:rPr>
          <w:rFonts w:ascii="Times New Roman" w:hAnsi="Times New Roman" w:cs="Times New Roman"/>
          <w:b/>
        </w:rPr>
      </w:pPr>
      <w:r w:rsidRPr="00397701">
        <w:rPr>
          <w:rFonts w:ascii="Times New Roman" w:hAnsi="Times New Roman" w:cs="Times New Roman"/>
          <w:b/>
        </w:rPr>
        <w:t>Part 7</w:t>
      </w:r>
      <w:r w:rsidR="007E7EF1" w:rsidRPr="00397701">
        <w:rPr>
          <w:rFonts w:ascii="Times New Roman" w:hAnsi="Times New Roman" w:cs="Times New Roman"/>
          <w:b/>
        </w:rPr>
        <w:tab/>
        <w:t>Monitoring and review</w:t>
      </w:r>
    </w:p>
    <w:p w14:paraId="201882D7" w14:textId="2A2D947B" w:rsidR="0024172D" w:rsidRPr="00397701" w:rsidRDefault="0024172D" w:rsidP="00216AAD">
      <w:pPr>
        <w:rPr>
          <w:rFonts w:ascii="Times New Roman" w:hAnsi="Times New Roman" w:cs="Times New Roman"/>
          <w:bCs/>
        </w:rPr>
      </w:pPr>
      <w:r w:rsidRPr="00397701">
        <w:rPr>
          <w:rFonts w:ascii="Times New Roman" w:hAnsi="Times New Roman" w:cs="Times New Roman"/>
          <w:bCs/>
        </w:rPr>
        <w:t xml:space="preserve">Part 7 establishes ongoing monitoring and review obligations </w:t>
      </w:r>
      <w:r w:rsidR="00FC5D96" w:rsidRPr="00397701">
        <w:rPr>
          <w:rFonts w:ascii="Times New Roman" w:hAnsi="Times New Roman" w:cs="Times New Roman"/>
          <w:bCs/>
        </w:rPr>
        <w:t>so</w:t>
      </w:r>
      <w:r w:rsidRPr="00397701">
        <w:rPr>
          <w:rFonts w:ascii="Times New Roman" w:hAnsi="Times New Roman" w:cs="Times New Roman"/>
          <w:bCs/>
        </w:rPr>
        <w:t xml:space="preserve"> that providers’ DFV policies and procedures remain effective and are embedded into day-to-day practice. The Part strengthens internal accountability, introduces a structured review cycle, and </w:t>
      </w:r>
      <w:r w:rsidR="00FC5D96" w:rsidRPr="00397701">
        <w:rPr>
          <w:rFonts w:ascii="Times New Roman" w:hAnsi="Times New Roman" w:cs="Times New Roman"/>
          <w:bCs/>
        </w:rPr>
        <w:t>requires</w:t>
      </w:r>
      <w:r w:rsidRPr="00397701">
        <w:rPr>
          <w:rFonts w:ascii="Times New Roman" w:hAnsi="Times New Roman" w:cs="Times New Roman"/>
          <w:bCs/>
        </w:rPr>
        <w:t xml:space="preserve"> executive oversight. The framework is designed to support continuous improvement and timely remediation of compliance issues to safeguard affected persons.</w:t>
      </w:r>
    </w:p>
    <w:p w14:paraId="0E7FE782" w14:textId="5314CFF3" w:rsidR="00216AAD" w:rsidRPr="00397701" w:rsidRDefault="00216AAD" w:rsidP="00216AAD">
      <w:pPr>
        <w:rPr>
          <w:rFonts w:ascii="Times New Roman" w:hAnsi="Times New Roman" w:cs="Times New Roman"/>
          <w:b/>
        </w:rPr>
      </w:pPr>
      <w:r w:rsidRPr="00397701">
        <w:rPr>
          <w:rFonts w:ascii="Times New Roman" w:hAnsi="Times New Roman" w:cs="Times New Roman"/>
          <w:b/>
        </w:rPr>
        <w:t>Section 2</w:t>
      </w:r>
      <w:r w:rsidR="00A858AE" w:rsidRPr="00397701">
        <w:rPr>
          <w:rFonts w:ascii="Times New Roman" w:hAnsi="Times New Roman" w:cs="Times New Roman"/>
          <w:b/>
        </w:rPr>
        <w:t>3</w:t>
      </w:r>
      <w:r w:rsidRPr="00397701">
        <w:rPr>
          <w:rFonts w:ascii="Times New Roman" w:hAnsi="Times New Roman" w:cs="Times New Roman"/>
          <w:b/>
        </w:rPr>
        <w:tab/>
        <w:t>Requirement to review policy and procedures</w:t>
      </w:r>
    </w:p>
    <w:p w14:paraId="08EF1B3E" w14:textId="144D1671" w:rsidR="0024172D" w:rsidRPr="00397701" w:rsidRDefault="00110525" w:rsidP="0024172D">
      <w:pPr>
        <w:rPr>
          <w:rFonts w:ascii="Times New Roman" w:hAnsi="Times New Roman" w:cs="Times New Roman"/>
        </w:rPr>
      </w:pPr>
      <w:r w:rsidRPr="00397701">
        <w:rPr>
          <w:rFonts w:ascii="Times New Roman" w:hAnsi="Times New Roman" w:cs="Times New Roman"/>
        </w:rPr>
        <w:t xml:space="preserve">This section </w:t>
      </w:r>
      <w:r w:rsidR="00B12EB3" w:rsidRPr="00397701">
        <w:rPr>
          <w:rFonts w:ascii="Times New Roman" w:hAnsi="Times New Roman" w:cs="Times New Roman"/>
        </w:rPr>
        <w:t xml:space="preserve">requires that </w:t>
      </w:r>
      <w:r w:rsidR="0024172D" w:rsidRPr="00397701">
        <w:rPr>
          <w:rFonts w:ascii="Times New Roman" w:hAnsi="Times New Roman" w:cs="Times New Roman"/>
        </w:rPr>
        <w:t xml:space="preserve">providers </w:t>
      </w:r>
      <w:r w:rsidR="00B12EB3" w:rsidRPr="00397701">
        <w:rPr>
          <w:rFonts w:ascii="Times New Roman" w:hAnsi="Times New Roman" w:cs="Times New Roman"/>
        </w:rPr>
        <w:t xml:space="preserve">must </w:t>
      </w:r>
      <w:r w:rsidR="008378A1" w:rsidRPr="00397701">
        <w:rPr>
          <w:rFonts w:ascii="Times New Roman" w:hAnsi="Times New Roman" w:cs="Times New Roman"/>
        </w:rPr>
        <w:t xml:space="preserve">monitor and </w:t>
      </w:r>
      <w:r w:rsidR="0024172D" w:rsidRPr="00397701">
        <w:rPr>
          <w:rFonts w:ascii="Times New Roman" w:hAnsi="Times New Roman" w:cs="Times New Roman"/>
        </w:rPr>
        <w:t xml:space="preserve">review their DFV policy and </w:t>
      </w:r>
      <w:r w:rsidR="008378A1" w:rsidRPr="00397701">
        <w:rPr>
          <w:rFonts w:ascii="Times New Roman" w:hAnsi="Times New Roman" w:cs="Times New Roman"/>
        </w:rPr>
        <w:t xml:space="preserve">DFV </w:t>
      </w:r>
      <w:r w:rsidR="0024172D" w:rsidRPr="00397701">
        <w:rPr>
          <w:rFonts w:ascii="Times New Roman" w:hAnsi="Times New Roman" w:cs="Times New Roman"/>
        </w:rPr>
        <w:t xml:space="preserve">procedures at least every 24 months, </w:t>
      </w:r>
      <w:r w:rsidR="0025451F" w:rsidRPr="00397701">
        <w:rPr>
          <w:rFonts w:ascii="Times New Roman" w:hAnsi="Times New Roman" w:cs="Times New Roman"/>
        </w:rPr>
        <w:t>so</w:t>
      </w:r>
      <w:r w:rsidR="0024172D" w:rsidRPr="00397701">
        <w:rPr>
          <w:rFonts w:ascii="Times New Roman" w:hAnsi="Times New Roman" w:cs="Times New Roman"/>
        </w:rPr>
        <w:t xml:space="preserve"> that these documents remain current, operationally relevant, and fit for purpose. This timeframe balances the need for periodic strategic review with the practical resource constraints of providers, particularly small providers.</w:t>
      </w:r>
    </w:p>
    <w:p w14:paraId="57F4D038" w14:textId="221CB812" w:rsidR="0024172D" w:rsidRPr="00397701" w:rsidRDefault="0024172D" w:rsidP="0024172D">
      <w:pPr>
        <w:rPr>
          <w:rFonts w:ascii="Times New Roman" w:hAnsi="Times New Roman" w:cs="Times New Roman"/>
        </w:rPr>
      </w:pPr>
      <w:r w:rsidRPr="00397701">
        <w:rPr>
          <w:rFonts w:ascii="Times New Roman" w:hAnsi="Times New Roman" w:cs="Times New Roman"/>
        </w:rPr>
        <w:t xml:space="preserve">In recognition of the dynamic nature of DFV risks and the importance of safety-centred responses, paragraph (b) requires earlier review if the provider becomes aware that its DFV policy or </w:t>
      </w:r>
      <w:r w:rsidR="008378A1" w:rsidRPr="00397701">
        <w:rPr>
          <w:rFonts w:ascii="Times New Roman" w:hAnsi="Times New Roman" w:cs="Times New Roman"/>
        </w:rPr>
        <w:t xml:space="preserve">DFV </w:t>
      </w:r>
      <w:r w:rsidRPr="00397701">
        <w:rPr>
          <w:rFonts w:ascii="Times New Roman" w:hAnsi="Times New Roman" w:cs="Times New Roman"/>
        </w:rPr>
        <w:t xml:space="preserve">procedures are not operating effectively to protect the safety of affected persons. This </w:t>
      </w:r>
      <w:r w:rsidR="00184DF5" w:rsidRPr="00397701">
        <w:rPr>
          <w:rFonts w:ascii="Times New Roman" w:hAnsi="Times New Roman" w:cs="Times New Roman"/>
        </w:rPr>
        <w:t>is intended to be a</w:t>
      </w:r>
      <w:r w:rsidRPr="00397701">
        <w:rPr>
          <w:rFonts w:ascii="Times New Roman" w:hAnsi="Times New Roman" w:cs="Times New Roman"/>
        </w:rPr>
        <w:t xml:space="preserve"> proactive requirement </w:t>
      </w:r>
      <w:r w:rsidR="00184DF5" w:rsidRPr="00397701">
        <w:rPr>
          <w:rFonts w:ascii="Times New Roman" w:hAnsi="Times New Roman" w:cs="Times New Roman"/>
        </w:rPr>
        <w:t xml:space="preserve">so </w:t>
      </w:r>
      <w:r w:rsidRPr="00397701">
        <w:rPr>
          <w:rFonts w:ascii="Times New Roman" w:hAnsi="Times New Roman" w:cs="Times New Roman"/>
        </w:rPr>
        <w:t>that providers respond promptly to emerging risks or shortcomings, rather than waiting for the next scheduled review cycle.</w:t>
      </w:r>
    </w:p>
    <w:p w14:paraId="0991C020" w14:textId="2128BAB2" w:rsidR="00216AAD" w:rsidRPr="00397701" w:rsidRDefault="0024172D" w:rsidP="005958D6">
      <w:pPr>
        <w:rPr>
          <w:rFonts w:ascii="Times New Roman" w:hAnsi="Times New Roman" w:cs="Times New Roman"/>
        </w:rPr>
      </w:pPr>
      <w:r w:rsidRPr="00397701">
        <w:rPr>
          <w:rFonts w:ascii="Times New Roman" w:hAnsi="Times New Roman" w:cs="Times New Roman"/>
        </w:rPr>
        <w:t xml:space="preserve">This dual approach </w:t>
      </w:r>
      <w:r w:rsidR="0025451F" w:rsidRPr="00397701">
        <w:rPr>
          <w:rFonts w:ascii="Times New Roman" w:hAnsi="Times New Roman" w:cs="Times New Roman"/>
        </w:rPr>
        <w:t xml:space="preserve">is designed to </w:t>
      </w:r>
      <w:r w:rsidRPr="00397701">
        <w:rPr>
          <w:rFonts w:ascii="Times New Roman" w:hAnsi="Times New Roman" w:cs="Times New Roman"/>
        </w:rPr>
        <w:t>embed a continuous improvement mindset into DFV responses, aligning with principles from relevant regulatory and industry guidance, such as the Communications Alliance DFV Guideline</w:t>
      </w:r>
      <w:r w:rsidR="007E7EF1" w:rsidRPr="00397701">
        <w:rPr>
          <w:rFonts w:ascii="Times New Roman" w:hAnsi="Times New Roman" w:cs="Times New Roman"/>
        </w:rPr>
        <w:t>, referred to above</w:t>
      </w:r>
      <w:r w:rsidRPr="00397701">
        <w:rPr>
          <w:rFonts w:ascii="Times New Roman" w:hAnsi="Times New Roman" w:cs="Times New Roman"/>
        </w:rPr>
        <w:t>.</w:t>
      </w:r>
    </w:p>
    <w:p w14:paraId="5C99697B" w14:textId="607A91CA" w:rsidR="00216AAD" w:rsidRPr="00397701" w:rsidRDefault="00216AAD" w:rsidP="00216AAD">
      <w:pPr>
        <w:rPr>
          <w:rFonts w:ascii="Times New Roman" w:hAnsi="Times New Roman" w:cs="Times New Roman"/>
          <w:b/>
        </w:rPr>
      </w:pPr>
      <w:r w:rsidRPr="00397701">
        <w:rPr>
          <w:rFonts w:ascii="Times New Roman" w:hAnsi="Times New Roman" w:cs="Times New Roman"/>
          <w:b/>
        </w:rPr>
        <w:t>Section 2</w:t>
      </w:r>
      <w:r w:rsidR="00A858AE" w:rsidRPr="00397701">
        <w:rPr>
          <w:rFonts w:ascii="Times New Roman" w:hAnsi="Times New Roman" w:cs="Times New Roman"/>
          <w:b/>
        </w:rPr>
        <w:t>4</w:t>
      </w:r>
      <w:r w:rsidRPr="00397701">
        <w:rPr>
          <w:rFonts w:ascii="Times New Roman" w:hAnsi="Times New Roman" w:cs="Times New Roman"/>
          <w:b/>
        </w:rPr>
        <w:tab/>
        <w:t>Requirement to monitor personnel</w:t>
      </w:r>
    </w:p>
    <w:p w14:paraId="4FEDA3F4" w14:textId="14C1CE35" w:rsidR="00110525" w:rsidRPr="00397701" w:rsidRDefault="00110525" w:rsidP="00110525">
      <w:pPr>
        <w:rPr>
          <w:rFonts w:ascii="Times New Roman" w:hAnsi="Times New Roman" w:cs="Times New Roman"/>
        </w:rPr>
      </w:pPr>
      <w:r w:rsidRPr="00397701">
        <w:rPr>
          <w:rFonts w:ascii="Times New Roman" w:hAnsi="Times New Roman" w:cs="Times New Roman"/>
        </w:rPr>
        <w:t xml:space="preserve">Subsection (1) requires providers to develop and implement an internal monitoring program to assess personnel compliance with </w:t>
      </w:r>
      <w:r w:rsidR="00096F06" w:rsidRPr="00397701">
        <w:rPr>
          <w:rFonts w:ascii="Times New Roman" w:hAnsi="Times New Roman" w:cs="Times New Roman"/>
        </w:rPr>
        <w:t>its</w:t>
      </w:r>
      <w:r w:rsidRPr="00397701">
        <w:rPr>
          <w:rFonts w:ascii="Times New Roman" w:hAnsi="Times New Roman" w:cs="Times New Roman"/>
        </w:rPr>
        <w:t xml:space="preserve"> DFV policy and </w:t>
      </w:r>
      <w:r w:rsidR="006F03EE" w:rsidRPr="00397701">
        <w:rPr>
          <w:rFonts w:ascii="Times New Roman" w:hAnsi="Times New Roman" w:cs="Times New Roman"/>
        </w:rPr>
        <w:t xml:space="preserve">DFV </w:t>
      </w:r>
      <w:r w:rsidRPr="00397701">
        <w:rPr>
          <w:rFonts w:ascii="Times New Roman" w:hAnsi="Times New Roman" w:cs="Times New Roman"/>
        </w:rPr>
        <w:t>procedures. Th</w:t>
      </w:r>
      <w:r w:rsidR="00096F06" w:rsidRPr="00397701">
        <w:rPr>
          <w:rFonts w:ascii="Times New Roman" w:hAnsi="Times New Roman" w:cs="Times New Roman"/>
        </w:rPr>
        <w:t>e</w:t>
      </w:r>
      <w:r w:rsidRPr="00397701">
        <w:rPr>
          <w:rFonts w:ascii="Times New Roman" w:hAnsi="Times New Roman" w:cs="Times New Roman"/>
        </w:rPr>
        <w:t xml:space="preserve"> </w:t>
      </w:r>
      <w:r w:rsidR="00096F06" w:rsidRPr="00397701">
        <w:rPr>
          <w:rFonts w:ascii="Times New Roman" w:hAnsi="Times New Roman" w:cs="Times New Roman"/>
        </w:rPr>
        <w:t>intent</w:t>
      </w:r>
      <w:r w:rsidRPr="00397701">
        <w:rPr>
          <w:rFonts w:ascii="Times New Roman" w:hAnsi="Times New Roman" w:cs="Times New Roman"/>
        </w:rPr>
        <w:t xml:space="preserve"> </w:t>
      </w:r>
      <w:r w:rsidR="00096F06" w:rsidRPr="00397701">
        <w:rPr>
          <w:rFonts w:ascii="Times New Roman" w:hAnsi="Times New Roman" w:cs="Times New Roman"/>
        </w:rPr>
        <w:t xml:space="preserve">is </w:t>
      </w:r>
      <w:r w:rsidRPr="00397701">
        <w:rPr>
          <w:rFonts w:ascii="Times New Roman" w:hAnsi="Times New Roman" w:cs="Times New Roman"/>
        </w:rPr>
        <w:t>that the policy is not merely a formal requirement but is actively operationalised in frontline practice.</w:t>
      </w:r>
    </w:p>
    <w:p w14:paraId="6AB79989" w14:textId="59F8323A" w:rsidR="00110525" w:rsidRPr="00397701" w:rsidRDefault="00110525" w:rsidP="00110525">
      <w:pPr>
        <w:rPr>
          <w:rFonts w:ascii="Times New Roman" w:hAnsi="Times New Roman" w:cs="Times New Roman"/>
        </w:rPr>
      </w:pPr>
      <w:r w:rsidRPr="00397701">
        <w:rPr>
          <w:rFonts w:ascii="Times New Roman" w:hAnsi="Times New Roman" w:cs="Times New Roman"/>
        </w:rPr>
        <w:t>Subsection (2) imposes a clear remediation obligation where non-compliance by the provider’s personnel is detected. Providers must act within 10 business days to address identified breaches. This promotes timely intervention while allowing time for investigation, internal decision-making, and corrective action.</w:t>
      </w:r>
    </w:p>
    <w:p w14:paraId="208A0B11" w14:textId="0EB0C5AC" w:rsidR="00110525" w:rsidRPr="00397701" w:rsidRDefault="00110525" w:rsidP="00110525">
      <w:pPr>
        <w:rPr>
          <w:rFonts w:ascii="Times New Roman" w:hAnsi="Times New Roman" w:cs="Times New Roman"/>
        </w:rPr>
      </w:pPr>
      <w:r w:rsidRPr="00397701">
        <w:rPr>
          <w:rFonts w:ascii="Times New Roman" w:hAnsi="Times New Roman" w:cs="Times New Roman"/>
        </w:rPr>
        <w:t xml:space="preserve">Subsection (3) reinforces governance and accountability by requiring that </w:t>
      </w:r>
      <w:r w:rsidR="00861ECA" w:rsidRPr="00397701">
        <w:rPr>
          <w:rFonts w:ascii="Times New Roman" w:hAnsi="Times New Roman" w:cs="Times New Roman"/>
        </w:rPr>
        <w:t>the most</w:t>
      </w:r>
      <w:r w:rsidRPr="00397701">
        <w:rPr>
          <w:rFonts w:ascii="Times New Roman" w:hAnsi="Times New Roman" w:cs="Times New Roman"/>
        </w:rPr>
        <w:t xml:space="preserve"> senior </w:t>
      </w:r>
      <w:r w:rsidR="00E4794A" w:rsidRPr="00397701">
        <w:rPr>
          <w:rFonts w:ascii="Times New Roman" w:hAnsi="Times New Roman" w:cs="Times New Roman"/>
        </w:rPr>
        <w:t xml:space="preserve">responsible </w:t>
      </w:r>
      <w:r w:rsidRPr="00397701">
        <w:rPr>
          <w:rFonts w:ascii="Times New Roman" w:hAnsi="Times New Roman" w:cs="Times New Roman"/>
        </w:rPr>
        <w:t>executive</w:t>
      </w:r>
      <w:r w:rsidR="00782C4C" w:rsidRPr="00397701">
        <w:rPr>
          <w:rFonts w:ascii="Times New Roman" w:hAnsi="Times New Roman" w:cs="Times New Roman"/>
        </w:rPr>
        <w:t>,</w:t>
      </w:r>
      <w:r w:rsidRPr="00397701">
        <w:rPr>
          <w:rFonts w:ascii="Times New Roman" w:hAnsi="Times New Roman" w:cs="Times New Roman"/>
        </w:rPr>
        <w:t xml:space="preserve"> </w:t>
      </w:r>
      <w:r w:rsidR="00861ECA" w:rsidRPr="00397701">
        <w:rPr>
          <w:rFonts w:ascii="Times New Roman" w:hAnsi="Times New Roman" w:cs="Times New Roman"/>
        </w:rPr>
        <w:t>as referenced at subsection 1</w:t>
      </w:r>
      <w:r w:rsidR="00DF008C" w:rsidRPr="00397701">
        <w:rPr>
          <w:rFonts w:ascii="Times New Roman" w:hAnsi="Times New Roman" w:cs="Times New Roman"/>
        </w:rPr>
        <w:t>9</w:t>
      </w:r>
      <w:r w:rsidR="00861ECA" w:rsidRPr="00397701">
        <w:rPr>
          <w:rFonts w:ascii="Times New Roman" w:hAnsi="Times New Roman" w:cs="Times New Roman"/>
        </w:rPr>
        <w:t>(2)</w:t>
      </w:r>
      <w:r w:rsidR="00782C4C" w:rsidRPr="00397701">
        <w:rPr>
          <w:rFonts w:ascii="Times New Roman" w:hAnsi="Times New Roman" w:cs="Times New Roman"/>
        </w:rPr>
        <w:t>,</w:t>
      </w:r>
      <w:r w:rsidR="00861ECA" w:rsidRPr="00397701">
        <w:rPr>
          <w:rFonts w:ascii="Times New Roman" w:hAnsi="Times New Roman" w:cs="Times New Roman"/>
        </w:rPr>
        <w:t xml:space="preserve"> must </w:t>
      </w:r>
      <w:r w:rsidRPr="00397701">
        <w:rPr>
          <w:rFonts w:ascii="Times New Roman" w:hAnsi="Times New Roman" w:cs="Times New Roman"/>
        </w:rPr>
        <w:t xml:space="preserve">approve the monitoring program. This </w:t>
      </w:r>
      <w:r w:rsidR="003100A0" w:rsidRPr="00397701">
        <w:rPr>
          <w:rFonts w:ascii="Times New Roman" w:hAnsi="Times New Roman" w:cs="Times New Roman"/>
        </w:rPr>
        <w:t xml:space="preserve">is intended to ensure </w:t>
      </w:r>
      <w:r w:rsidRPr="00397701">
        <w:rPr>
          <w:rFonts w:ascii="Times New Roman" w:hAnsi="Times New Roman" w:cs="Times New Roman"/>
        </w:rPr>
        <w:t xml:space="preserve">the </w:t>
      </w:r>
      <w:r w:rsidR="00782C4C" w:rsidRPr="00397701">
        <w:rPr>
          <w:rFonts w:ascii="Times New Roman" w:hAnsi="Times New Roman" w:cs="Times New Roman"/>
        </w:rPr>
        <w:t xml:space="preserve">provider’s </w:t>
      </w:r>
      <w:r w:rsidRPr="00397701">
        <w:rPr>
          <w:rFonts w:ascii="Times New Roman" w:hAnsi="Times New Roman" w:cs="Times New Roman"/>
        </w:rPr>
        <w:t xml:space="preserve">program </w:t>
      </w:r>
      <w:r w:rsidR="003100A0" w:rsidRPr="00397701">
        <w:rPr>
          <w:rFonts w:ascii="Times New Roman" w:hAnsi="Times New Roman" w:cs="Times New Roman"/>
        </w:rPr>
        <w:t xml:space="preserve">has </w:t>
      </w:r>
      <w:r w:rsidRPr="00397701">
        <w:rPr>
          <w:rFonts w:ascii="Times New Roman" w:hAnsi="Times New Roman" w:cs="Times New Roman"/>
        </w:rPr>
        <w:t xml:space="preserve">adequate senior-level visibility, resourcing, and </w:t>
      </w:r>
      <w:r w:rsidR="00B3740B" w:rsidRPr="00397701">
        <w:rPr>
          <w:rFonts w:ascii="Times New Roman" w:hAnsi="Times New Roman" w:cs="Times New Roman"/>
        </w:rPr>
        <w:t>accountability</w:t>
      </w:r>
      <w:r w:rsidRPr="00397701">
        <w:rPr>
          <w:rFonts w:ascii="Times New Roman" w:hAnsi="Times New Roman" w:cs="Times New Roman"/>
        </w:rPr>
        <w:t>.</w:t>
      </w:r>
    </w:p>
    <w:p w14:paraId="6AD74D09" w14:textId="13859BBC" w:rsidR="00110525" w:rsidRPr="00397701" w:rsidRDefault="00110525" w:rsidP="00110525">
      <w:pPr>
        <w:rPr>
          <w:rFonts w:ascii="Times New Roman" w:hAnsi="Times New Roman" w:cs="Times New Roman"/>
        </w:rPr>
      </w:pPr>
      <w:r w:rsidRPr="00397701">
        <w:rPr>
          <w:rFonts w:ascii="Times New Roman" w:hAnsi="Times New Roman" w:cs="Times New Roman"/>
        </w:rPr>
        <w:t xml:space="preserve">Subsection (4) mandates that the outcomes of the monitoring program be reviewed by </w:t>
      </w:r>
      <w:r w:rsidR="00861ECA" w:rsidRPr="00397701">
        <w:rPr>
          <w:rFonts w:ascii="Times New Roman" w:hAnsi="Times New Roman" w:cs="Times New Roman"/>
        </w:rPr>
        <w:t xml:space="preserve">the most </w:t>
      </w:r>
      <w:r w:rsidRPr="00397701">
        <w:rPr>
          <w:rFonts w:ascii="Times New Roman" w:hAnsi="Times New Roman" w:cs="Times New Roman"/>
        </w:rPr>
        <w:t>senior</w:t>
      </w:r>
      <w:r w:rsidR="00861ECA" w:rsidRPr="00397701">
        <w:rPr>
          <w:rFonts w:ascii="Times New Roman" w:hAnsi="Times New Roman" w:cs="Times New Roman"/>
        </w:rPr>
        <w:t xml:space="preserve"> responsible</w:t>
      </w:r>
      <w:r w:rsidRPr="00397701">
        <w:rPr>
          <w:rFonts w:ascii="Times New Roman" w:hAnsi="Times New Roman" w:cs="Times New Roman"/>
        </w:rPr>
        <w:t xml:space="preserve"> executive at least every six months, beginning six months after the section commences (for large providers) or applies (for small providers). This regular review cycle facilitates ongoing oversight and strategic responsiveness and encourages providers to take a data-driven approach to DFV compliance.</w:t>
      </w:r>
    </w:p>
    <w:p w14:paraId="3CA10362" w14:textId="0151C78A" w:rsidR="00861ECA" w:rsidRPr="00397701" w:rsidRDefault="00861ECA" w:rsidP="00110525">
      <w:pPr>
        <w:rPr>
          <w:rFonts w:ascii="Times New Roman" w:hAnsi="Times New Roman" w:cs="Times New Roman"/>
        </w:rPr>
      </w:pPr>
      <w:r w:rsidRPr="00397701">
        <w:rPr>
          <w:rFonts w:ascii="Times New Roman" w:hAnsi="Times New Roman" w:cs="Times New Roman"/>
        </w:rPr>
        <w:t xml:space="preserve">Subsection (5) requires a provider to make changes to its DFV policies and </w:t>
      </w:r>
      <w:r w:rsidR="009919FD" w:rsidRPr="00397701">
        <w:rPr>
          <w:rFonts w:ascii="Times New Roman" w:hAnsi="Times New Roman" w:cs="Times New Roman"/>
        </w:rPr>
        <w:t xml:space="preserve">DFV </w:t>
      </w:r>
      <w:r w:rsidRPr="00397701">
        <w:rPr>
          <w:rFonts w:ascii="Times New Roman" w:hAnsi="Times New Roman" w:cs="Times New Roman"/>
        </w:rPr>
        <w:t>procedures where the review of the monitoring program conducted in accordance with s</w:t>
      </w:r>
      <w:r w:rsidR="00782C4C" w:rsidRPr="00397701">
        <w:rPr>
          <w:rFonts w:ascii="Times New Roman" w:hAnsi="Times New Roman" w:cs="Times New Roman"/>
        </w:rPr>
        <w:t>ub</w:t>
      </w:r>
      <w:r w:rsidRPr="00397701">
        <w:rPr>
          <w:rFonts w:ascii="Times New Roman" w:hAnsi="Times New Roman" w:cs="Times New Roman"/>
        </w:rPr>
        <w:t>s</w:t>
      </w:r>
      <w:r w:rsidR="00782C4C" w:rsidRPr="00397701">
        <w:rPr>
          <w:rFonts w:ascii="Times New Roman" w:hAnsi="Times New Roman" w:cs="Times New Roman"/>
        </w:rPr>
        <w:t xml:space="preserve">ection </w:t>
      </w:r>
      <w:r w:rsidRPr="00397701">
        <w:rPr>
          <w:rFonts w:ascii="Times New Roman" w:hAnsi="Times New Roman" w:cs="Times New Roman"/>
        </w:rPr>
        <w:t xml:space="preserve">(4) has identified </w:t>
      </w:r>
      <w:r w:rsidR="00782C4C" w:rsidRPr="00397701">
        <w:rPr>
          <w:rFonts w:ascii="Times New Roman" w:hAnsi="Times New Roman" w:cs="Times New Roman"/>
        </w:rPr>
        <w:t xml:space="preserve">it is </w:t>
      </w:r>
      <w:r w:rsidRPr="00397701">
        <w:rPr>
          <w:rFonts w:ascii="Times New Roman" w:hAnsi="Times New Roman" w:cs="Times New Roman"/>
        </w:rPr>
        <w:t xml:space="preserve">not operating to protect the safety of affected persons. These changes must be made as soon as practicable, meaning that small procedural changes should be </w:t>
      </w:r>
      <w:proofErr w:type="gramStart"/>
      <w:r w:rsidRPr="00397701">
        <w:rPr>
          <w:rFonts w:ascii="Times New Roman" w:hAnsi="Times New Roman" w:cs="Times New Roman"/>
        </w:rPr>
        <w:t>effected</w:t>
      </w:r>
      <w:proofErr w:type="gramEnd"/>
      <w:r w:rsidRPr="00397701">
        <w:rPr>
          <w:rFonts w:ascii="Times New Roman" w:hAnsi="Times New Roman" w:cs="Times New Roman"/>
        </w:rPr>
        <w:t xml:space="preserve"> immediately while </w:t>
      </w:r>
      <w:r w:rsidR="00D327D0" w:rsidRPr="00397701">
        <w:rPr>
          <w:rFonts w:ascii="Times New Roman" w:hAnsi="Times New Roman" w:cs="Times New Roman"/>
        </w:rPr>
        <w:t xml:space="preserve">some </w:t>
      </w:r>
      <w:r w:rsidRPr="00397701">
        <w:rPr>
          <w:rFonts w:ascii="Times New Roman" w:hAnsi="Times New Roman" w:cs="Times New Roman"/>
        </w:rPr>
        <w:t>more significant changes</w:t>
      </w:r>
      <w:r w:rsidR="00782C4C" w:rsidRPr="00397701">
        <w:rPr>
          <w:rFonts w:ascii="Times New Roman" w:hAnsi="Times New Roman" w:cs="Times New Roman"/>
        </w:rPr>
        <w:t>,</w:t>
      </w:r>
      <w:r w:rsidRPr="00397701">
        <w:rPr>
          <w:rFonts w:ascii="Times New Roman" w:hAnsi="Times New Roman" w:cs="Times New Roman"/>
        </w:rPr>
        <w:t xml:space="preserve"> which could require consultation with DFV experts</w:t>
      </w:r>
      <w:r w:rsidR="00782C4C" w:rsidRPr="00397701">
        <w:rPr>
          <w:rFonts w:ascii="Times New Roman" w:hAnsi="Times New Roman" w:cs="Times New Roman"/>
        </w:rPr>
        <w:t>,</w:t>
      </w:r>
      <w:r w:rsidRPr="00397701">
        <w:rPr>
          <w:rFonts w:ascii="Times New Roman" w:hAnsi="Times New Roman" w:cs="Times New Roman"/>
        </w:rPr>
        <w:t xml:space="preserve"> could reasonably be expected to take longer</w:t>
      </w:r>
      <w:r w:rsidR="004A28F4" w:rsidRPr="00397701">
        <w:rPr>
          <w:rFonts w:ascii="Times New Roman" w:hAnsi="Times New Roman" w:cs="Times New Roman"/>
        </w:rPr>
        <w:t>.</w:t>
      </w:r>
    </w:p>
    <w:p w14:paraId="5364DCF1" w14:textId="35784E31" w:rsidR="00E66E77" w:rsidRPr="00397701" w:rsidRDefault="00110525" w:rsidP="005958D6">
      <w:pPr>
        <w:rPr>
          <w:rFonts w:ascii="Times New Roman" w:hAnsi="Times New Roman" w:cs="Times New Roman"/>
        </w:rPr>
      </w:pPr>
      <w:r w:rsidRPr="00397701">
        <w:rPr>
          <w:rFonts w:ascii="Times New Roman" w:hAnsi="Times New Roman" w:cs="Times New Roman"/>
        </w:rPr>
        <w:lastRenderedPageBreak/>
        <w:t>Together, sections 2</w:t>
      </w:r>
      <w:r w:rsidR="00A858AE" w:rsidRPr="00397701">
        <w:rPr>
          <w:rFonts w:ascii="Times New Roman" w:hAnsi="Times New Roman" w:cs="Times New Roman"/>
        </w:rPr>
        <w:t xml:space="preserve">3 </w:t>
      </w:r>
      <w:r w:rsidRPr="00397701">
        <w:rPr>
          <w:rFonts w:ascii="Times New Roman" w:hAnsi="Times New Roman" w:cs="Times New Roman"/>
        </w:rPr>
        <w:t>and 2</w:t>
      </w:r>
      <w:r w:rsidR="00A858AE" w:rsidRPr="00397701">
        <w:rPr>
          <w:rFonts w:ascii="Times New Roman" w:hAnsi="Times New Roman" w:cs="Times New Roman"/>
        </w:rPr>
        <w:t>4</w:t>
      </w:r>
      <w:r w:rsidRPr="00397701">
        <w:rPr>
          <w:rFonts w:ascii="Times New Roman" w:hAnsi="Times New Roman" w:cs="Times New Roman"/>
        </w:rPr>
        <w:t xml:space="preserve"> are designed to promote a robust internal assurance framework. The</w:t>
      </w:r>
      <w:r w:rsidR="00782C4C" w:rsidRPr="00397701">
        <w:rPr>
          <w:rFonts w:ascii="Times New Roman" w:hAnsi="Times New Roman" w:cs="Times New Roman"/>
        </w:rPr>
        <w:t>se sections</w:t>
      </w:r>
      <w:r w:rsidRPr="00397701">
        <w:rPr>
          <w:rFonts w:ascii="Times New Roman" w:hAnsi="Times New Roman" w:cs="Times New Roman"/>
        </w:rPr>
        <w:t xml:space="preserve"> support the Standard’s broader objectives of embedding DFV awareness and safe response capability across the telecommunications sector, </w:t>
      </w:r>
      <w:r w:rsidR="00782C4C" w:rsidRPr="00397701">
        <w:rPr>
          <w:rFonts w:ascii="Times New Roman" w:hAnsi="Times New Roman" w:cs="Times New Roman"/>
        </w:rPr>
        <w:t>with the intention</w:t>
      </w:r>
      <w:r w:rsidRPr="00397701">
        <w:rPr>
          <w:rFonts w:ascii="Times New Roman" w:hAnsi="Times New Roman" w:cs="Times New Roman"/>
        </w:rPr>
        <w:t xml:space="preserve"> that providers are actively maintaining and improving their capacity to support affected persons.</w:t>
      </w:r>
    </w:p>
    <w:p w14:paraId="151C86BA" w14:textId="0F53484E" w:rsidR="00280DD7" w:rsidRPr="00397701" w:rsidRDefault="00280DD7" w:rsidP="00280DD7">
      <w:pPr>
        <w:rPr>
          <w:rFonts w:ascii="Times New Roman" w:hAnsi="Times New Roman" w:cs="Times New Roman"/>
          <w:b/>
        </w:rPr>
      </w:pPr>
      <w:r w:rsidRPr="00397701">
        <w:rPr>
          <w:rFonts w:ascii="Times New Roman" w:hAnsi="Times New Roman" w:cs="Times New Roman"/>
          <w:b/>
        </w:rPr>
        <w:t xml:space="preserve">Part 8–Security and privacy </w:t>
      </w:r>
    </w:p>
    <w:p w14:paraId="5F34D208" w14:textId="32187FA7" w:rsidR="00CD0C75" w:rsidRPr="00397701" w:rsidRDefault="00CD0C75" w:rsidP="00280DD7">
      <w:pPr>
        <w:rPr>
          <w:rFonts w:ascii="Times New Roman" w:hAnsi="Times New Roman" w:cs="Times New Roman"/>
          <w:bCs/>
        </w:rPr>
      </w:pPr>
      <w:r w:rsidRPr="00397701">
        <w:rPr>
          <w:rFonts w:ascii="Times New Roman" w:hAnsi="Times New Roman" w:cs="Times New Roman"/>
          <w:bCs/>
        </w:rPr>
        <w:t xml:space="preserve">Part 8 sets out obligations for providers to safeguard the security and privacy of information relating to affected persons. These protections are critical to reducing the risk that telecommunications services are misused by perpetrators to monitor, control or harm </w:t>
      </w:r>
      <w:r w:rsidR="00B3740B" w:rsidRPr="00397701">
        <w:rPr>
          <w:rFonts w:ascii="Times New Roman" w:hAnsi="Times New Roman" w:cs="Times New Roman"/>
          <w:bCs/>
        </w:rPr>
        <w:t xml:space="preserve">consumers </w:t>
      </w:r>
      <w:r w:rsidRPr="00397701">
        <w:rPr>
          <w:rFonts w:ascii="Times New Roman" w:hAnsi="Times New Roman" w:cs="Times New Roman"/>
          <w:bCs/>
        </w:rPr>
        <w:t>experiencing DFV.</w:t>
      </w:r>
    </w:p>
    <w:p w14:paraId="02694120" w14:textId="6C3A5960" w:rsidR="00280DD7" w:rsidRPr="00397701" w:rsidRDefault="00280DD7" w:rsidP="00280DD7">
      <w:pPr>
        <w:rPr>
          <w:rFonts w:ascii="Times New Roman" w:hAnsi="Times New Roman" w:cs="Times New Roman"/>
          <w:b/>
        </w:rPr>
      </w:pPr>
      <w:r w:rsidRPr="00397701">
        <w:rPr>
          <w:rFonts w:ascii="Times New Roman" w:hAnsi="Times New Roman" w:cs="Times New Roman"/>
          <w:b/>
        </w:rPr>
        <w:t>Section 2</w:t>
      </w:r>
      <w:r w:rsidR="00A858AE" w:rsidRPr="00397701">
        <w:rPr>
          <w:rFonts w:ascii="Times New Roman" w:hAnsi="Times New Roman" w:cs="Times New Roman"/>
          <w:b/>
        </w:rPr>
        <w:t>5</w:t>
      </w:r>
      <w:r w:rsidRPr="00397701">
        <w:rPr>
          <w:rFonts w:ascii="Times New Roman" w:hAnsi="Times New Roman" w:cs="Times New Roman"/>
          <w:b/>
        </w:rPr>
        <w:tab/>
        <w:t xml:space="preserve">Requirements relating to the security and privacy of an affected person </w:t>
      </w:r>
    </w:p>
    <w:p w14:paraId="27D490E3" w14:textId="3D29E686" w:rsidR="00CD0C75" w:rsidRPr="00397701" w:rsidRDefault="00CD0C75" w:rsidP="00CD0C75">
      <w:pPr>
        <w:rPr>
          <w:rFonts w:ascii="Times New Roman" w:hAnsi="Times New Roman" w:cs="Times New Roman"/>
        </w:rPr>
      </w:pPr>
      <w:r w:rsidRPr="00397701">
        <w:rPr>
          <w:rFonts w:ascii="Times New Roman" w:hAnsi="Times New Roman" w:cs="Times New Roman"/>
        </w:rPr>
        <w:t xml:space="preserve">Subsection (1) places clear limits on the disclosure and handling of information about affected persons. A provider must not disclose any information that could identify or locate an affected person, including their contact or financial details, without their consent, unless required by law. </w:t>
      </w:r>
    </w:p>
    <w:p w14:paraId="20C70F96" w14:textId="364632A3" w:rsidR="00CD0C75" w:rsidRPr="00397701" w:rsidRDefault="00CD0C75" w:rsidP="00CD0C75">
      <w:pPr>
        <w:rPr>
          <w:rFonts w:ascii="Times New Roman" w:hAnsi="Times New Roman" w:cs="Times New Roman"/>
        </w:rPr>
      </w:pPr>
      <w:r w:rsidRPr="00397701">
        <w:rPr>
          <w:rFonts w:ascii="Times New Roman" w:hAnsi="Times New Roman" w:cs="Times New Roman"/>
        </w:rPr>
        <w:t xml:space="preserve">Subsection (2) requires providers to provide a quick exit function on </w:t>
      </w:r>
      <w:r w:rsidR="00401C9B" w:rsidRPr="00397701">
        <w:rPr>
          <w:rFonts w:ascii="Times New Roman" w:hAnsi="Times New Roman" w:cs="Times New Roman"/>
        </w:rPr>
        <w:t xml:space="preserve">all </w:t>
      </w:r>
      <w:r w:rsidRPr="00397701">
        <w:rPr>
          <w:rFonts w:ascii="Times New Roman" w:hAnsi="Times New Roman" w:cs="Times New Roman"/>
        </w:rPr>
        <w:t xml:space="preserve">of their webpages that </w:t>
      </w:r>
      <w:r w:rsidR="00401C9B" w:rsidRPr="00397701">
        <w:rPr>
          <w:rFonts w:ascii="Times New Roman" w:hAnsi="Times New Roman" w:cs="Times New Roman"/>
        </w:rPr>
        <w:t xml:space="preserve">relate to </w:t>
      </w:r>
      <w:r w:rsidRPr="00397701">
        <w:rPr>
          <w:rFonts w:ascii="Times New Roman" w:hAnsi="Times New Roman" w:cs="Times New Roman"/>
        </w:rPr>
        <w:t xml:space="preserve">support for consumers experiencing DFV. This feature is intended to help affected persons leave a page </w:t>
      </w:r>
      <w:r w:rsidR="00D83CA3" w:rsidRPr="00397701">
        <w:rPr>
          <w:rFonts w:ascii="Times New Roman" w:hAnsi="Times New Roman" w:cs="Times New Roman"/>
        </w:rPr>
        <w:t xml:space="preserve">(which they may not wish a perpetrator to see them viewing) </w:t>
      </w:r>
      <w:r w:rsidRPr="00397701">
        <w:rPr>
          <w:rFonts w:ascii="Times New Roman" w:hAnsi="Times New Roman" w:cs="Times New Roman"/>
        </w:rPr>
        <w:t>quickly</w:t>
      </w:r>
      <w:r w:rsidR="00FB2FE5" w:rsidRPr="00397701">
        <w:rPr>
          <w:rFonts w:ascii="Times New Roman" w:hAnsi="Times New Roman" w:cs="Times New Roman"/>
        </w:rPr>
        <w:t xml:space="preserve">, and be directed to a safe page (such as the </w:t>
      </w:r>
      <w:r w:rsidR="00FA3824" w:rsidRPr="00397701">
        <w:rPr>
          <w:rFonts w:ascii="Times New Roman" w:hAnsi="Times New Roman" w:cs="Times New Roman"/>
        </w:rPr>
        <w:t>G</w:t>
      </w:r>
      <w:r w:rsidR="00FB2FE5" w:rsidRPr="00397701">
        <w:rPr>
          <w:rFonts w:ascii="Times New Roman" w:hAnsi="Times New Roman" w:cs="Times New Roman"/>
        </w:rPr>
        <w:t xml:space="preserve">oogle </w:t>
      </w:r>
      <w:r w:rsidR="00FA3824" w:rsidRPr="00397701">
        <w:rPr>
          <w:rFonts w:ascii="Times New Roman" w:hAnsi="Times New Roman" w:cs="Times New Roman"/>
        </w:rPr>
        <w:t>home</w:t>
      </w:r>
      <w:r w:rsidR="00FB2FE5" w:rsidRPr="00397701">
        <w:rPr>
          <w:rFonts w:ascii="Times New Roman" w:hAnsi="Times New Roman" w:cs="Times New Roman"/>
        </w:rPr>
        <w:t xml:space="preserve"> page</w:t>
      </w:r>
      <w:r w:rsidR="00DC4B12" w:rsidRPr="00397701">
        <w:rPr>
          <w:rFonts w:ascii="Times New Roman" w:hAnsi="Times New Roman" w:cs="Times New Roman"/>
        </w:rPr>
        <w:t xml:space="preserve">, or a </w:t>
      </w:r>
      <w:r w:rsidR="00220C48" w:rsidRPr="00397701">
        <w:rPr>
          <w:rFonts w:ascii="Times New Roman" w:hAnsi="Times New Roman" w:cs="Times New Roman"/>
        </w:rPr>
        <w:t xml:space="preserve">daily </w:t>
      </w:r>
      <w:r w:rsidR="00DC4B12" w:rsidRPr="00397701">
        <w:rPr>
          <w:rFonts w:ascii="Times New Roman" w:hAnsi="Times New Roman" w:cs="Times New Roman"/>
        </w:rPr>
        <w:t xml:space="preserve">weather </w:t>
      </w:r>
      <w:r w:rsidR="00220C48" w:rsidRPr="00397701">
        <w:rPr>
          <w:rFonts w:ascii="Times New Roman" w:hAnsi="Times New Roman" w:cs="Times New Roman"/>
        </w:rPr>
        <w:t>site</w:t>
      </w:r>
      <w:r w:rsidR="00FB2FE5" w:rsidRPr="00397701">
        <w:rPr>
          <w:rFonts w:ascii="Times New Roman" w:hAnsi="Times New Roman" w:cs="Times New Roman"/>
        </w:rPr>
        <w:t>),</w:t>
      </w:r>
      <w:r w:rsidRPr="00397701">
        <w:rPr>
          <w:rFonts w:ascii="Times New Roman" w:hAnsi="Times New Roman" w:cs="Times New Roman"/>
        </w:rPr>
        <w:t xml:space="preserve"> if they are being monitored or feel unsafe.</w:t>
      </w:r>
    </w:p>
    <w:p w14:paraId="0FADAD09" w14:textId="5618E407" w:rsidR="00CD0C75" w:rsidRPr="00397701" w:rsidRDefault="00CD0C75" w:rsidP="00CD0C75">
      <w:pPr>
        <w:rPr>
          <w:rFonts w:ascii="Times New Roman" w:hAnsi="Times New Roman" w:cs="Times New Roman"/>
        </w:rPr>
      </w:pPr>
      <w:r w:rsidRPr="00397701">
        <w:rPr>
          <w:rFonts w:ascii="Times New Roman" w:hAnsi="Times New Roman" w:cs="Times New Roman"/>
        </w:rPr>
        <w:t xml:space="preserve">To support privacy when accessing DFV services, subsection (3) requires providers to </w:t>
      </w:r>
      <w:r w:rsidR="00FA3824" w:rsidRPr="00397701">
        <w:rPr>
          <w:rFonts w:ascii="Times New Roman" w:hAnsi="Times New Roman" w:cs="Times New Roman"/>
        </w:rPr>
        <w:t xml:space="preserve">not record </w:t>
      </w:r>
      <w:r w:rsidRPr="00397701">
        <w:rPr>
          <w:rFonts w:ascii="Times New Roman" w:hAnsi="Times New Roman" w:cs="Times New Roman"/>
        </w:rPr>
        <w:t>calls to support</w:t>
      </w:r>
      <w:r w:rsidRPr="00397701">
        <w:rPr>
          <w:rFonts w:ascii="Times New Roman" w:hAnsi="Times New Roman" w:cs="Times New Roman"/>
          <w:b/>
          <w:bCs/>
        </w:rPr>
        <w:t xml:space="preserve"> </w:t>
      </w:r>
      <w:r w:rsidRPr="00397701">
        <w:rPr>
          <w:rFonts w:ascii="Times New Roman" w:hAnsi="Times New Roman" w:cs="Times New Roman"/>
        </w:rPr>
        <w:t>numbers</w:t>
      </w:r>
      <w:r w:rsidR="00FA3824" w:rsidRPr="00397701">
        <w:rPr>
          <w:rFonts w:ascii="Times New Roman" w:hAnsi="Times New Roman" w:cs="Times New Roman"/>
        </w:rPr>
        <w:t xml:space="preserve">, as specified in the </w:t>
      </w:r>
      <w:r w:rsidR="00A40CCE" w:rsidRPr="00397701">
        <w:rPr>
          <w:rFonts w:ascii="Times New Roman" w:hAnsi="Times New Roman" w:cs="Times New Roman"/>
        </w:rPr>
        <w:t xml:space="preserve">definition of “support telephone numbers” in section 5 of the </w:t>
      </w:r>
      <w:r w:rsidR="00FA3824" w:rsidRPr="00397701">
        <w:rPr>
          <w:rFonts w:ascii="Times New Roman" w:hAnsi="Times New Roman" w:cs="Times New Roman"/>
        </w:rPr>
        <w:t>Standard,</w:t>
      </w:r>
      <w:r w:rsidRPr="00397701">
        <w:rPr>
          <w:rFonts w:ascii="Times New Roman" w:hAnsi="Times New Roman" w:cs="Times New Roman"/>
        </w:rPr>
        <w:t xml:space="preserve"> on any bills, call logs or other materials issued to a customer in relation to a service. This allows affected persons to seek support discreetly without fear of the interaction being visible to a perpetrator.</w:t>
      </w:r>
      <w:r w:rsidR="00CE425B" w:rsidRPr="00397701">
        <w:rPr>
          <w:rFonts w:ascii="Times New Roman" w:hAnsi="Times New Roman" w:cs="Times New Roman"/>
        </w:rPr>
        <w:t xml:space="preserve"> </w:t>
      </w:r>
    </w:p>
    <w:p w14:paraId="14D3E6F2" w14:textId="38DA23BD" w:rsidR="00CD0C75" w:rsidRPr="00397701" w:rsidRDefault="00947E7C" w:rsidP="00CD0C75">
      <w:pPr>
        <w:rPr>
          <w:rFonts w:ascii="Times New Roman" w:hAnsi="Times New Roman" w:cs="Times New Roman"/>
        </w:rPr>
      </w:pPr>
      <w:r w:rsidRPr="00397701">
        <w:rPr>
          <w:rFonts w:ascii="Times New Roman" w:hAnsi="Times New Roman" w:cs="Times New Roman"/>
        </w:rPr>
        <w:t xml:space="preserve">In addition, under subsection (4), providers may only </w:t>
      </w:r>
      <w:r w:rsidR="00CD0C75" w:rsidRPr="00397701">
        <w:rPr>
          <w:rFonts w:ascii="Times New Roman" w:hAnsi="Times New Roman" w:cs="Times New Roman"/>
        </w:rPr>
        <w:t>access</w:t>
      </w:r>
      <w:r w:rsidRPr="00397701">
        <w:rPr>
          <w:rFonts w:ascii="Times New Roman" w:hAnsi="Times New Roman" w:cs="Times New Roman"/>
        </w:rPr>
        <w:t xml:space="preserve"> </w:t>
      </w:r>
      <w:r w:rsidR="00CD0C75" w:rsidRPr="00397701">
        <w:rPr>
          <w:rFonts w:ascii="Times New Roman" w:hAnsi="Times New Roman" w:cs="Times New Roman"/>
        </w:rPr>
        <w:t xml:space="preserve">an affected person’s </w:t>
      </w:r>
      <w:r w:rsidR="00B13344" w:rsidRPr="00397701">
        <w:rPr>
          <w:rFonts w:ascii="Times New Roman" w:hAnsi="Times New Roman" w:cs="Times New Roman"/>
        </w:rPr>
        <w:t xml:space="preserve">personal </w:t>
      </w:r>
      <w:r w:rsidR="00CD0C75" w:rsidRPr="00397701">
        <w:rPr>
          <w:rFonts w:ascii="Times New Roman" w:hAnsi="Times New Roman" w:cs="Times New Roman"/>
        </w:rPr>
        <w:t>information for a legitimate purpose directly related to management of the account, minimising the risk of inappropriate internal use.</w:t>
      </w:r>
    </w:p>
    <w:p w14:paraId="49E016C5" w14:textId="55251552" w:rsidR="00280DD7" w:rsidRPr="00397701" w:rsidRDefault="00280DD7" w:rsidP="00280DD7">
      <w:pPr>
        <w:rPr>
          <w:rFonts w:ascii="Times New Roman" w:hAnsi="Times New Roman" w:cs="Times New Roman"/>
          <w:b/>
        </w:rPr>
      </w:pPr>
      <w:r w:rsidRPr="00397701">
        <w:rPr>
          <w:rFonts w:ascii="Times New Roman" w:hAnsi="Times New Roman" w:cs="Times New Roman"/>
          <w:b/>
        </w:rPr>
        <w:t>Section 2</w:t>
      </w:r>
      <w:r w:rsidR="00A858AE" w:rsidRPr="00397701">
        <w:rPr>
          <w:rFonts w:ascii="Times New Roman" w:hAnsi="Times New Roman" w:cs="Times New Roman"/>
          <w:b/>
        </w:rPr>
        <w:t>6</w:t>
      </w:r>
      <w:r w:rsidRPr="00397701">
        <w:rPr>
          <w:rFonts w:ascii="Times New Roman" w:hAnsi="Times New Roman" w:cs="Times New Roman"/>
          <w:b/>
        </w:rPr>
        <w:tab/>
        <w:t xml:space="preserve">Requirement on carriers to </w:t>
      </w:r>
      <w:r w:rsidR="00A84F26" w:rsidRPr="00397701">
        <w:rPr>
          <w:rFonts w:ascii="Times New Roman" w:hAnsi="Times New Roman" w:cs="Times New Roman"/>
          <w:b/>
        </w:rPr>
        <w:t xml:space="preserve">provide </w:t>
      </w:r>
      <w:r w:rsidRPr="00397701">
        <w:rPr>
          <w:rFonts w:ascii="Times New Roman" w:hAnsi="Times New Roman" w:cs="Times New Roman"/>
          <w:b/>
        </w:rPr>
        <w:t>assistance</w:t>
      </w:r>
    </w:p>
    <w:p w14:paraId="2C54744B" w14:textId="44E7B35C" w:rsidR="00280DD7" w:rsidRPr="00397701" w:rsidRDefault="00212A49" w:rsidP="005958D6">
      <w:pPr>
        <w:rPr>
          <w:rFonts w:ascii="Times New Roman" w:hAnsi="Times New Roman" w:cs="Times New Roman"/>
        </w:rPr>
      </w:pPr>
      <w:r w:rsidRPr="00397701">
        <w:rPr>
          <w:rFonts w:ascii="Times New Roman" w:hAnsi="Times New Roman" w:cs="Times New Roman"/>
        </w:rPr>
        <w:t>Section 2</w:t>
      </w:r>
      <w:r w:rsidR="00A858AE" w:rsidRPr="00397701">
        <w:rPr>
          <w:rFonts w:ascii="Times New Roman" w:hAnsi="Times New Roman" w:cs="Times New Roman"/>
        </w:rPr>
        <w:t>6</w:t>
      </w:r>
      <w:r w:rsidRPr="00397701">
        <w:rPr>
          <w:rFonts w:ascii="Times New Roman" w:hAnsi="Times New Roman" w:cs="Times New Roman"/>
        </w:rPr>
        <w:t xml:space="preserve"> requires that carriers provide reasonable assistance </w:t>
      </w:r>
      <w:r w:rsidR="009F3CCC" w:rsidRPr="00397701">
        <w:rPr>
          <w:rFonts w:ascii="Times New Roman" w:hAnsi="Times New Roman" w:cs="Times New Roman"/>
        </w:rPr>
        <w:t>so that a provider can</w:t>
      </w:r>
      <w:r w:rsidRPr="00397701">
        <w:rPr>
          <w:rFonts w:ascii="Times New Roman" w:hAnsi="Times New Roman" w:cs="Times New Roman"/>
        </w:rPr>
        <w:t xml:space="preserve"> meet the obligation in subsection 2</w:t>
      </w:r>
      <w:r w:rsidR="00A858AE" w:rsidRPr="00397701">
        <w:rPr>
          <w:rFonts w:ascii="Times New Roman" w:hAnsi="Times New Roman" w:cs="Times New Roman"/>
        </w:rPr>
        <w:t>5</w:t>
      </w:r>
      <w:r w:rsidRPr="00397701">
        <w:rPr>
          <w:rFonts w:ascii="Times New Roman" w:hAnsi="Times New Roman" w:cs="Times New Roman"/>
        </w:rPr>
        <w:t xml:space="preserve">(3), which prohibits recording calls to </w:t>
      </w:r>
      <w:r w:rsidR="00CE053D">
        <w:rPr>
          <w:rFonts w:ascii="Times New Roman" w:hAnsi="Times New Roman" w:cs="Times New Roman"/>
        </w:rPr>
        <w:t>spe</w:t>
      </w:r>
      <w:r w:rsidR="00BC3906">
        <w:rPr>
          <w:rFonts w:ascii="Times New Roman" w:hAnsi="Times New Roman" w:cs="Times New Roman"/>
        </w:rPr>
        <w:t>cified</w:t>
      </w:r>
      <w:r w:rsidR="00CE053D" w:rsidRPr="00397701">
        <w:rPr>
          <w:rFonts w:ascii="Times New Roman" w:hAnsi="Times New Roman" w:cs="Times New Roman"/>
        </w:rPr>
        <w:t xml:space="preserve"> </w:t>
      </w:r>
      <w:r w:rsidRPr="00397701">
        <w:rPr>
          <w:rFonts w:ascii="Times New Roman" w:hAnsi="Times New Roman" w:cs="Times New Roman"/>
        </w:rPr>
        <w:t>support</w:t>
      </w:r>
      <w:r w:rsidR="00BC3906">
        <w:rPr>
          <w:rFonts w:ascii="Times New Roman" w:hAnsi="Times New Roman" w:cs="Times New Roman"/>
        </w:rPr>
        <w:t xml:space="preserve"> telephone</w:t>
      </w:r>
      <w:r w:rsidRPr="00397701">
        <w:rPr>
          <w:rFonts w:ascii="Times New Roman" w:hAnsi="Times New Roman" w:cs="Times New Roman"/>
        </w:rPr>
        <w:t xml:space="preserve"> numbers on bills or other </w:t>
      </w:r>
      <w:r w:rsidR="009F3CCC" w:rsidRPr="00397701">
        <w:rPr>
          <w:rFonts w:ascii="Times New Roman" w:hAnsi="Times New Roman" w:cs="Times New Roman"/>
        </w:rPr>
        <w:t>customer facing</w:t>
      </w:r>
      <w:r w:rsidRPr="00397701">
        <w:rPr>
          <w:rFonts w:ascii="Times New Roman" w:hAnsi="Times New Roman" w:cs="Times New Roman"/>
        </w:rPr>
        <w:t xml:space="preserve"> records. This obligation recognises that cooperation may be needed across wholesale and retail layers of service provision to implement technical solutions.</w:t>
      </w:r>
    </w:p>
    <w:p w14:paraId="6E9960ED" w14:textId="21D594DB" w:rsidR="00280DD7" w:rsidRPr="00397701" w:rsidRDefault="00280DD7" w:rsidP="00280DD7">
      <w:pPr>
        <w:rPr>
          <w:rFonts w:ascii="Times New Roman" w:hAnsi="Times New Roman" w:cs="Times New Roman"/>
          <w:b/>
        </w:rPr>
      </w:pPr>
      <w:r w:rsidRPr="00397701">
        <w:rPr>
          <w:rFonts w:ascii="Times New Roman" w:hAnsi="Times New Roman" w:cs="Times New Roman"/>
          <w:b/>
        </w:rPr>
        <w:t>Section 2</w:t>
      </w:r>
      <w:r w:rsidR="00A858AE" w:rsidRPr="00397701">
        <w:rPr>
          <w:rFonts w:ascii="Times New Roman" w:hAnsi="Times New Roman" w:cs="Times New Roman"/>
          <w:b/>
        </w:rPr>
        <w:t>7</w:t>
      </w:r>
      <w:r w:rsidRPr="00397701">
        <w:rPr>
          <w:rFonts w:ascii="Times New Roman" w:hAnsi="Times New Roman" w:cs="Times New Roman"/>
          <w:b/>
        </w:rPr>
        <w:tab/>
        <w:t xml:space="preserve">Security of personal and sensitive information </w:t>
      </w:r>
    </w:p>
    <w:p w14:paraId="0E548188" w14:textId="3A7BEBBF" w:rsidR="002652A2" w:rsidRPr="00397701" w:rsidRDefault="002E60C3" w:rsidP="002E60C3">
      <w:pPr>
        <w:rPr>
          <w:rFonts w:ascii="Times New Roman" w:hAnsi="Times New Roman" w:cs="Times New Roman"/>
        </w:rPr>
      </w:pPr>
      <w:r w:rsidRPr="00397701">
        <w:rPr>
          <w:rFonts w:ascii="Times New Roman" w:hAnsi="Times New Roman" w:cs="Times New Roman"/>
        </w:rPr>
        <w:t>S</w:t>
      </w:r>
      <w:r w:rsidR="002652A2" w:rsidRPr="00397701">
        <w:rPr>
          <w:rFonts w:ascii="Times New Roman" w:hAnsi="Times New Roman" w:cs="Times New Roman"/>
        </w:rPr>
        <w:t>ubs</w:t>
      </w:r>
      <w:r w:rsidRPr="00397701">
        <w:rPr>
          <w:rFonts w:ascii="Times New Roman" w:hAnsi="Times New Roman" w:cs="Times New Roman"/>
        </w:rPr>
        <w:t xml:space="preserve">ection </w:t>
      </w:r>
      <w:r w:rsidR="002652A2" w:rsidRPr="00397701">
        <w:rPr>
          <w:rFonts w:ascii="Times New Roman" w:hAnsi="Times New Roman" w:cs="Times New Roman"/>
        </w:rPr>
        <w:t>(1)</w:t>
      </w:r>
      <w:r w:rsidRPr="00397701">
        <w:rPr>
          <w:rFonts w:ascii="Times New Roman" w:hAnsi="Times New Roman" w:cs="Times New Roman"/>
        </w:rPr>
        <w:t xml:space="preserve"> requires providers to securely store any information collected under the Standard about affected persons. </w:t>
      </w:r>
    </w:p>
    <w:p w14:paraId="33F8CEE1" w14:textId="0AAFBF76" w:rsidR="002E60C3" w:rsidRPr="00397701" w:rsidRDefault="002652A2" w:rsidP="002E60C3">
      <w:pPr>
        <w:rPr>
          <w:rFonts w:ascii="Times New Roman" w:hAnsi="Times New Roman" w:cs="Times New Roman"/>
        </w:rPr>
      </w:pPr>
      <w:r w:rsidRPr="00397701">
        <w:rPr>
          <w:rFonts w:ascii="Times New Roman" w:hAnsi="Times New Roman" w:cs="Times New Roman"/>
        </w:rPr>
        <w:t xml:space="preserve">Subsection (2) </w:t>
      </w:r>
      <w:r w:rsidR="002E60C3" w:rsidRPr="00397701">
        <w:rPr>
          <w:rFonts w:ascii="Times New Roman" w:hAnsi="Times New Roman" w:cs="Times New Roman"/>
        </w:rPr>
        <w:t xml:space="preserve">requires providers to implement measures to protect that information from misuse, interference, loss, </w:t>
      </w:r>
      <w:r w:rsidR="003D5967" w:rsidRPr="00397701">
        <w:rPr>
          <w:rFonts w:ascii="Times New Roman" w:hAnsi="Times New Roman" w:cs="Times New Roman"/>
        </w:rPr>
        <w:t xml:space="preserve">or </w:t>
      </w:r>
      <w:r w:rsidR="002E60C3" w:rsidRPr="00397701">
        <w:rPr>
          <w:rFonts w:ascii="Times New Roman" w:hAnsi="Times New Roman" w:cs="Times New Roman"/>
        </w:rPr>
        <w:t>unauthorised disclosure, particularly to a perpetrator.</w:t>
      </w:r>
    </w:p>
    <w:p w14:paraId="6B254A6E" w14:textId="77777777" w:rsidR="002E60C3" w:rsidRPr="00397701" w:rsidRDefault="002E60C3" w:rsidP="002E60C3">
      <w:pPr>
        <w:rPr>
          <w:rFonts w:ascii="Times New Roman" w:hAnsi="Times New Roman" w:cs="Times New Roman"/>
        </w:rPr>
      </w:pPr>
      <w:r w:rsidRPr="00397701">
        <w:rPr>
          <w:rFonts w:ascii="Times New Roman" w:hAnsi="Times New Roman" w:cs="Times New Roman"/>
        </w:rPr>
        <w:t>Specific categories of sensitive information that must be protected include:</w:t>
      </w:r>
    </w:p>
    <w:p w14:paraId="10A53CC0" w14:textId="77777777" w:rsidR="002E60C3" w:rsidRPr="00397701" w:rsidRDefault="002E60C3" w:rsidP="001D0578">
      <w:pPr>
        <w:numPr>
          <w:ilvl w:val="0"/>
          <w:numId w:val="26"/>
        </w:numPr>
        <w:rPr>
          <w:rFonts w:ascii="Times New Roman" w:hAnsi="Times New Roman" w:cs="Times New Roman"/>
        </w:rPr>
      </w:pPr>
      <w:r w:rsidRPr="00397701">
        <w:rPr>
          <w:rFonts w:ascii="Times New Roman" w:hAnsi="Times New Roman" w:cs="Times New Roman"/>
        </w:rPr>
        <w:t>details of arrangements made with the provider to support the affected person,</w:t>
      </w:r>
    </w:p>
    <w:p w14:paraId="2E183CAF" w14:textId="77777777" w:rsidR="002E60C3" w:rsidRPr="00397701" w:rsidRDefault="002E60C3" w:rsidP="001D0578">
      <w:pPr>
        <w:numPr>
          <w:ilvl w:val="0"/>
          <w:numId w:val="26"/>
        </w:numPr>
        <w:rPr>
          <w:rFonts w:ascii="Times New Roman" w:hAnsi="Times New Roman" w:cs="Times New Roman"/>
        </w:rPr>
      </w:pPr>
      <w:r w:rsidRPr="00397701">
        <w:rPr>
          <w:rFonts w:ascii="Times New Roman" w:hAnsi="Times New Roman" w:cs="Times New Roman"/>
        </w:rPr>
        <w:t>the affected person’s current address and billing details, and</w:t>
      </w:r>
    </w:p>
    <w:p w14:paraId="72DCE27C" w14:textId="77777777" w:rsidR="002E60C3" w:rsidRPr="00397701" w:rsidRDefault="002E60C3" w:rsidP="001D0578">
      <w:pPr>
        <w:numPr>
          <w:ilvl w:val="0"/>
          <w:numId w:val="26"/>
        </w:numPr>
        <w:rPr>
          <w:rFonts w:ascii="Times New Roman" w:hAnsi="Times New Roman" w:cs="Times New Roman"/>
        </w:rPr>
      </w:pPr>
      <w:r w:rsidRPr="00397701">
        <w:rPr>
          <w:rFonts w:ascii="Times New Roman" w:hAnsi="Times New Roman" w:cs="Times New Roman"/>
        </w:rPr>
        <w:t>the fact that the person has been identified or self-identified as an affected person.</w:t>
      </w:r>
    </w:p>
    <w:p w14:paraId="53D27599" w14:textId="5D7281F2" w:rsidR="00280DD7" w:rsidRPr="00397701" w:rsidRDefault="002E60C3" w:rsidP="00280DD7">
      <w:pPr>
        <w:rPr>
          <w:rFonts w:ascii="Times New Roman" w:hAnsi="Times New Roman" w:cs="Times New Roman"/>
        </w:rPr>
      </w:pPr>
      <w:r w:rsidRPr="00397701">
        <w:rPr>
          <w:rFonts w:ascii="Times New Roman" w:hAnsi="Times New Roman" w:cs="Times New Roman"/>
        </w:rPr>
        <w:t>These requirements support a consistent baseline of information security practices across the sector.</w:t>
      </w:r>
    </w:p>
    <w:p w14:paraId="614F1322" w14:textId="6B837F50" w:rsidR="00280DD7" w:rsidRPr="00397701" w:rsidRDefault="00280DD7" w:rsidP="00280DD7">
      <w:pPr>
        <w:rPr>
          <w:rFonts w:ascii="Times New Roman" w:hAnsi="Times New Roman" w:cs="Times New Roman"/>
          <w:b/>
        </w:rPr>
      </w:pPr>
      <w:r w:rsidRPr="00397701">
        <w:rPr>
          <w:rFonts w:ascii="Times New Roman" w:hAnsi="Times New Roman" w:cs="Times New Roman"/>
          <w:b/>
        </w:rPr>
        <w:lastRenderedPageBreak/>
        <w:t>Section 2</w:t>
      </w:r>
      <w:r w:rsidR="00A858AE" w:rsidRPr="00397701">
        <w:rPr>
          <w:rFonts w:ascii="Times New Roman" w:hAnsi="Times New Roman" w:cs="Times New Roman"/>
          <w:b/>
        </w:rPr>
        <w:t>8</w:t>
      </w:r>
      <w:r w:rsidRPr="00397701">
        <w:rPr>
          <w:rFonts w:ascii="Times New Roman" w:hAnsi="Times New Roman" w:cs="Times New Roman"/>
          <w:b/>
        </w:rPr>
        <w:tab/>
        <w:t xml:space="preserve">Privacy </w:t>
      </w:r>
    </w:p>
    <w:p w14:paraId="5EC41567" w14:textId="4F3A7A81" w:rsidR="00210BCB" w:rsidRPr="00397701" w:rsidRDefault="002652A2" w:rsidP="002652A2">
      <w:pPr>
        <w:rPr>
          <w:rFonts w:ascii="Times New Roman" w:hAnsi="Times New Roman" w:cs="Times New Roman"/>
        </w:rPr>
      </w:pPr>
      <w:r w:rsidRPr="00397701">
        <w:rPr>
          <w:rFonts w:ascii="Times New Roman" w:hAnsi="Times New Roman" w:cs="Times New Roman"/>
        </w:rPr>
        <w:t>Section 2</w:t>
      </w:r>
      <w:r w:rsidR="00A858AE" w:rsidRPr="00397701">
        <w:rPr>
          <w:rFonts w:ascii="Times New Roman" w:hAnsi="Times New Roman" w:cs="Times New Roman"/>
        </w:rPr>
        <w:t>8</w:t>
      </w:r>
      <w:r w:rsidRPr="00397701">
        <w:rPr>
          <w:rFonts w:ascii="Times New Roman" w:hAnsi="Times New Roman" w:cs="Times New Roman"/>
        </w:rPr>
        <w:t xml:space="preserve"> applies to providers </w:t>
      </w:r>
      <w:r w:rsidR="003A6C68" w:rsidRPr="00397701">
        <w:rPr>
          <w:rFonts w:ascii="Times New Roman" w:hAnsi="Times New Roman" w:cs="Times New Roman"/>
        </w:rPr>
        <w:t xml:space="preserve">who are </w:t>
      </w:r>
      <w:r w:rsidRPr="00397701">
        <w:rPr>
          <w:rFonts w:ascii="Times New Roman" w:hAnsi="Times New Roman" w:cs="Times New Roman"/>
        </w:rPr>
        <w:t xml:space="preserve">not subject to the </w:t>
      </w:r>
      <w:r w:rsidRPr="00397701">
        <w:rPr>
          <w:rFonts w:ascii="Times New Roman" w:hAnsi="Times New Roman" w:cs="Times New Roman"/>
          <w:i/>
        </w:rPr>
        <w:t>Privacy Act 1988</w:t>
      </w:r>
      <w:r w:rsidR="00210BCB" w:rsidRPr="00397701">
        <w:rPr>
          <w:rFonts w:ascii="Times New Roman" w:hAnsi="Times New Roman" w:cs="Times New Roman"/>
          <w:i/>
          <w:iCs/>
        </w:rPr>
        <w:t xml:space="preserve"> </w:t>
      </w:r>
      <w:r w:rsidR="00210BCB" w:rsidRPr="00397701">
        <w:rPr>
          <w:rFonts w:ascii="Times New Roman" w:hAnsi="Times New Roman" w:cs="Times New Roman"/>
        </w:rPr>
        <w:t xml:space="preserve">(the </w:t>
      </w:r>
      <w:r w:rsidR="00210BCB" w:rsidRPr="00397701">
        <w:rPr>
          <w:rFonts w:ascii="Times New Roman" w:hAnsi="Times New Roman" w:cs="Times New Roman"/>
          <w:b/>
          <w:bCs/>
        </w:rPr>
        <w:t>Privacy Act</w:t>
      </w:r>
      <w:r w:rsidR="00210BCB" w:rsidRPr="00397701">
        <w:rPr>
          <w:rFonts w:ascii="Times New Roman" w:hAnsi="Times New Roman" w:cs="Times New Roman"/>
        </w:rPr>
        <w:t>)</w:t>
      </w:r>
      <w:r w:rsidRPr="00397701">
        <w:rPr>
          <w:rFonts w:ascii="Times New Roman" w:hAnsi="Times New Roman" w:cs="Times New Roman"/>
        </w:rPr>
        <w:t xml:space="preserve">, </w:t>
      </w:r>
      <w:r w:rsidR="00210BCB" w:rsidRPr="00397701">
        <w:rPr>
          <w:rFonts w:ascii="Times New Roman" w:hAnsi="Times New Roman" w:cs="Times New Roman"/>
        </w:rPr>
        <w:t>so</w:t>
      </w:r>
      <w:r w:rsidRPr="00397701">
        <w:rPr>
          <w:rFonts w:ascii="Times New Roman" w:hAnsi="Times New Roman" w:cs="Times New Roman"/>
        </w:rPr>
        <w:t xml:space="preserve"> that equivalent privacy protections apply when handling personal information </w:t>
      </w:r>
      <w:r w:rsidR="003634F2" w:rsidRPr="00397701">
        <w:rPr>
          <w:rFonts w:ascii="Times New Roman" w:hAnsi="Times New Roman" w:cs="Times New Roman"/>
        </w:rPr>
        <w:t xml:space="preserve">they </w:t>
      </w:r>
      <w:r w:rsidR="00903493" w:rsidRPr="00397701">
        <w:rPr>
          <w:rFonts w:ascii="Times New Roman" w:hAnsi="Times New Roman" w:cs="Times New Roman"/>
        </w:rPr>
        <w:t xml:space="preserve">collect </w:t>
      </w:r>
      <w:r w:rsidRPr="00397701">
        <w:rPr>
          <w:rFonts w:ascii="Times New Roman" w:hAnsi="Times New Roman" w:cs="Times New Roman"/>
        </w:rPr>
        <w:t xml:space="preserve">under the Standard. </w:t>
      </w:r>
    </w:p>
    <w:p w14:paraId="676BA2DD" w14:textId="5608546C" w:rsidR="002652A2" w:rsidRPr="00397701" w:rsidRDefault="004D1343" w:rsidP="002652A2">
      <w:pPr>
        <w:rPr>
          <w:rFonts w:ascii="Times New Roman" w:hAnsi="Times New Roman" w:cs="Times New Roman"/>
        </w:rPr>
      </w:pPr>
      <w:r w:rsidRPr="00397701">
        <w:rPr>
          <w:rFonts w:ascii="Times New Roman" w:hAnsi="Times New Roman" w:cs="Times New Roman"/>
        </w:rPr>
        <w:t xml:space="preserve">Paragraph (a) requires </w:t>
      </w:r>
      <w:r w:rsidR="002652A2" w:rsidRPr="00397701">
        <w:rPr>
          <w:rFonts w:ascii="Times New Roman" w:hAnsi="Times New Roman" w:cs="Times New Roman"/>
        </w:rPr>
        <w:t>that personal information is not used or disclosed except in the following circumstances:</w:t>
      </w:r>
    </w:p>
    <w:p w14:paraId="2753D712" w14:textId="6D629D46" w:rsidR="002652A2" w:rsidRPr="00397701" w:rsidRDefault="0038408B" w:rsidP="001D0578">
      <w:pPr>
        <w:numPr>
          <w:ilvl w:val="0"/>
          <w:numId w:val="27"/>
        </w:numPr>
        <w:tabs>
          <w:tab w:val="num" w:pos="720"/>
        </w:tabs>
        <w:rPr>
          <w:rFonts w:ascii="Times New Roman" w:hAnsi="Times New Roman" w:cs="Times New Roman"/>
        </w:rPr>
      </w:pPr>
      <w:r w:rsidRPr="00397701">
        <w:rPr>
          <w:rFonts w:ascii="Times New Roman" w:hAnsi="Times New Roman" w:cs="Times New Roman"/>
        </w:rPr>
        <w:t>where information is disclosed to</w:t>
      </w:r>
      <w:r w:rsidR="000C2E3F" w:rsidRPr="00397701">
        <w:rPr>
          <w:rFonts w:ascii="Times New Roman" w:hAnsi="Times New Roman" w:cs="Times New Roman"/>
        </w:rPr>
        <w:t xml:space="preserve"> either</w:t>
      </w:r>
      <w:r w:rsidRPr="00397701">
        <w:rPr>
          <w:rFonts w:ascii="Times New Roman" w:hAnsi="Times New Roman" w:cs="Times New Roman"/>
        </w:rPr>
        <w:t xml:space="preserve"> the ACMA o</w:t>
      </w:r>
      <w:r w:rsidR="000C2E3F" w:rsidRPr="00397701">
        <w:rPr>
          <w:rFonts w:ascii="Times New Roman" w:hAnsi="Times New Roman" w:cs="Times New Roman"/>
        </w:rPr>
        <w:t>r</w:t>
      </w:r>
      <w:r w:rsidRPr="00397701">
        <w:rPr>
          <w:rFonts w:ascii="Times New Roman" w:hAnsi="Times New Roman" w:cs="Times New Roman"/>
        </w:rPr>
        <w:t xml:space="preserve"> TIO for the management of a </w:t>
      </w:r>
      <w:r w:rsidR="002652A2" w:rsidRPr="00397701">
        <w:rPr>
          <w:rFonts w:ascii="Times New Roman" w:hAnsi="Times New Roman" w:cs="Times New Roman"/>
        </w:rPr>
        <w:t>complaint or investigations,</w:t>
      </w:r>
    </w:p>
    <w:p w14:paraId="566E9EC3" w14:textId="77777777" w:rsidR="002652A2" w:rsidRPr="00397701" w:rsidRDefault="002652A2" w:rsidP="001D0578">
      <w:pPr>
        <w:numPr>
          <w:ilvl w:val="0"/>
          <w:numId w:val="27"/>
        </w:numPr>
        <w:tabs>
          <w:tab w:val="num" w:pos="720"/>
        </w:tabs>
        <w:rPr>
          <w:rFonts w:ascii="Times New Roman" w:hAnsi="Times New Roman" w:cs="Times New Roman"/>
        </w:rPr>
      </w:pPr>
      <w:r w:rsidRPr="00397701">
        <w:rPr>
          <w:rFonts w:ascii="Times New Roman" w:hAnsi="Times New Roman" w:cs="Times New Roman"/>
        </w:rPr>
        <w:t>with the express consent of the consumer, or</w:t>
      </w:r>
    </w:p>
    <w:p w14:paraId="6CCD74C8" w14:textId="77777777" w:rsidR="002652A2" w:rsidRPr="00397701" w:rsidRDefault="002652A2" w:rsidP="001D0578">
      <w:pPr>
        <w:numPr>
          <w:ilvl w:val="0"/>
          <w:numId w:val="27"/>
        </w:numPr>
        <w:tabs>
          <w:tab w:val="num" w:pos="720"/>
        </w:tabs>
        <w:rPr>
          <w:rFonts w:ascii="Times New Roman" w:hAnsi="Times New Roman" w:cs="Times New Roman"/>
        </w:rPr>
      </w:pPr>
      <w:r w:rsidRPr="00397701">
        <w:rPr>
          <w:rFonts w:ascii="Times New Roman" w:hAnsi="Times New Roman" w:cs="Times New Roman"/>
        </w:rPr>
        <w:t>as otherwise required or authorised under Australian law or a court or tribunal order.</w:t>
      </w:r>
    </w:p>
    <w:p w14:paraId="2106039C" w14:textId="11476B71" w:rsidR="002652A2" w:rsidRPr="00397701" w:rsidRDefault="004D1343" w:rsidP="002652A2">
      <w:pPr>
        <w:rPr>
          <w:rFonts w:ascii="Times New Roman" w:hAnsi="Times New Roman" w:cs="Times New Roman"/>
        </w:rPr>
      </w:pPr>
      <w:r w:rsidRPr="00397701">
        <w:rPr>
          <w:rFonts w:ascii="Times New Roman" w:hAnsi="Times New Roman" w:cs="Times New Roman"/>
        </w:rPr>
        <w:t>Paragraph (b) requires p</w:t>
      </w:r>
      <w:r w:rsidR="002652A2" w:rsidRPr="00397701">
        <w:rPr>
          <w:rFonts w:ascii="Times New Roman" w:hAnsi="Times New Roman" w:cs="Times New Roman"/>
        </w:rPr>
        <w:t xml:space="preserve">roviders </w:t>
      </w:r>
      <w:r w:rsidRPr="00397701">
        <w:rPr>
          <w:rFonts w:ascii="Times New Roman" w:hAnsi="Times New Roman" w:cs="Times New Roman"/>
        </w:rPr>
        <w:t xml:space="preserve">to </w:t>
      </w:r>
      <w:r w:rsidR="002652A2" w:rsidRPr="00397701">
        <w:rPr>
          <w:rFonts w:ascii="Times New Roman" w:hAnsi="Times New Roman" w:cs="Times New Roman"/>
        </w:rPr>
        <w:t>securely dispose of or destroy personal information once it is no longer required under the Standard or other applicable laws.</w:t>
      </w:r>
    </w:p>
    <w:p w14:paraId="1C099018" w14:textId="5A2EDE37" w:rsidR="00903493" w:rsidRPr="00397701" w:rsidRDefault="002652A2" w:rsidP="002652A2">
      <w:pPr>
        <w:rPr>
          <w:rFonts w:ascii="Times New Roman" w:hAnsi="Times New Roman" w:cs="Times New Roman"/>
        </w:rPr>
      </w:pPr>
      <w:r w:rsidRPr="00397701">
        <w:rPr>
          <w:rFonts w:ascii="Times New Roman" w:hAnsi="Times New Roman" w:cs="Times New Roman"/>
        </w:rPr>
        <w:t xml:space="preserve">A note </w:t>
      </w:r>
      <w:r w:rsidR="00210BCB" w:rsidRPr="00397701">
        <w:rPr>
          <w:rFonts w:ascii="Times New Roman" w:hAnsi="Times New Roman" w:cs="Times New Roman"/>
        </w:rPr>
        <w:t>in the Standard</w:t>
      </w:r>
      <w:r w:rsidRPr="00397701">
        <w:rPr>
          <w:rFonts w:ascii="Times New Roman" w:hAnsi="Times New Roman" w:cs="Times New Roman"/>
        </w:rPr>
        <w:t xml:space="preserve"> clarifies that providers regulated under the Privacy Act remain subject to Australian Privacy Principle 6, which governs the use and disclosure of personal information.</w:t>
      </w:r>
    </w:p>
    <w:p w14:paraId="7EC54153" w14:textId="5C3C9AC0" w:rsidR="002652A2" w:rsidRPr="00397701" w:rsidRDefault="002652A2" w:rsidP="002652A2">
      <w:pPr>
        <w:rPr>
          <w:rFonts w:ascii="Times New Roman" w:hAnsi="Times New Roman" w:cs="Times New Roman"/>
        </w:rPr>
      </w:pPr>
      <w:r w:rsidRPr="00397701">
        <w:rPr>
          <w:rFonts w:ascii="Times New Roman" w:hAnsi="Times New Roman" w:cs="Times New Roman"/>
        </w:rPr>
        <w:t xml:space="preserve">This section </w:t>
      </w:r>
      <w:r w:rsidR="00903493" w:rsidRPr="00397701">
        <w:rPr>
          <w:rFonts w:ascii="Times New Roman" w:hAnsi="Times New Roman" w:cs="Times New Roman"/>
        </w:rPr>
        <w:t xml:space="preserve">aims to </w:t>
      </w:r>
      <w:r w:rsidRPr="00397701">
        <w:rPr>
          <w:rFonts w:ascii="Times New Roman" w:hAnsi="Times New Roman" w:cs="Times New Roman"/>
        </w:rPr>
        <w:t>ensure consistency in privacy expectations across the industry.</w:t>
      </w:r>
    </w:p>
    <w:p w14:paraId="2DE714FA" w14:textId="757AE890" w:rsidR="00280DD7" w:rsidRPr="00397701" w:rsidRDefault="00280DD7" w:rsidP="005958D6">
      <w:pPr>
        <w:rPr>
          <w:rFonts w:ascii="Times New Roman" w:hAnsi="Times New Roman" w:cs="Times New Roman"/>
          <w:b/>
          <w:bCs/>
        </w:rPr>
      </w:pPr>
      <w:r w:rsidRPr="00397701">
        <w:rPr>
          <w:rFonts w:ascii="Times New Roman" w:hAnsi="Times New Roman" w:cs="Times New Roman"/>
          <w:b/>
          <w:bCs/>
        </w:rPr>
        <w:t>Section 2</w:t>
      </w:r>
      <w:r w:rsidR="00A858AE" w:rsidRPr="00397701">
        <w:rPr>
          <w:rFonts w:ascii="Times New Roman" w:hAnsi="Times New Roman" w:cs="Times New Roman"/>
          <w:b/>
          <w:bCs/>
        </w:rPr>
        <w:t>9</w:t>
      </w:r>
      <w:r w:rsidRPr="00397701">
        <w:rPr>
          <w:rFonts w:ascii="Times New Roman" w:hAnsi="Times New Roman" w:cs="Times New Roman"/>
          <w:b/>
          <w:bCs/>
        </w:rPr>
        <w:tab/>
        <w:t>Where privacy is breached</w:t>
      </w:r>
    </w:p>
    <w:p w14:paraId="5D4E4535" w14:textId="45AF9274" w:rsidR="00EE246C" w:rsidRPr="00397701" w:rsidRDefault="000C2E3F" w:rsidP="00EE246C">
      <w:pPr>
        <w:rPr>
          <w:rFonts w:ascii="Times New Roman" w:hAnsi="Times New Roman" w:cs="Times New Roman"/>
        </w:rPr>
      </w:pPr>
      <w:r w:rsidRPr="00397701">
        <w:rPr>
          <w:rFonts w:ascii="Times New Roman" w:hAnsi="Times New Roman" w:cs="Times New Roman"/>
        </w:rPr>
        <w:t>Section 2</w:t>
      </w:r>
      <w:r w:rsidR="00EE246C" w:rsidRPr="00397701">
        <w:rPr>
          <w:rFonts w:ascii="Times New Roman" w:hAnsi="Times New Roman" w:cs="Times New Roman"/>
        </w:rPr>
        <w:t>9</w:t>
      </w:r>
      <w:r w:rsidRPr="00397701">
        <w:rPr>
          <w:rFonts w:ascii="Times New Roman" w:hAnsi="Times New Roman" w:cs="Times New Roman"/>
        </w:rPr>
        <w:t xml:space="preserve"> covers instances where there has been unauthorised access to or disclosure of personal information relating to an affected person.</w:t>
      </w:r>
      <w:r w:rsidR="00EE246C" w:rsidRPr="00397701">
        <w:rPr>
          <w:rFonts w:ascii="Times New Roman" w:hAnsi="Times New Roman" w:cs="Times New Roman"/>
        </w:rPr>
        <w:t xml:space="preserve"> There are </w:t>
      </w:r>
      <w:r w:rsidR="00D82DD9" w:rsidRPr="00397701">
        <w:rPr>
          <w:rFonts w:ascii="Times New Roman" w:hAnsi="Times New Roman" w:cs="Times New Roman"/>
        </w:rPr>
        <w:t xml:space="preserve">notification </w:t>
      </w:r>
      <w:r w:rsidR="00EE246C" w:rsidRPr="00397701">
        <w:rPr>
          <w:rFonts w:ascii="Times New Roman" w:hAnsi="Times New Roman" w:cs="Times New Roman"/>
        </w:rPr>
        <w:t xml:space="preserve">obligations under the </w:t>
      </w:r>
      <w:r w:rsidR="00EE246C" w:rsidRPr="00397701">
        <w:rPr>
          <w:rFonts w:ascii="Times New Roman" w:hAnsi="Times New Roman" w:cs="Times New Roman"/>
          <w:i/>
          <w:iCs/>
        </w:rPr>
        <w:t xml:space="preserve">Privacy Act 1988, </w:t>
      </w:r>
      <w:r w:rsidR="00D82DD9" w:rsidRPr="00397701">
        <w:rPr>
          <w:rFonts w:ascii="Times New Roman" w:hAnsi="Times New Roman" w:cs="Times New Roman"/>
        </w:rPr>
        <w:t xml:space="preserve">about eligible data breaches which require providers to prepare a statement about the breach and as soon as practicable give a copy of the statement to the Information </w:t>
      </w:r>
      <w:r w:rsidR="00EE246C" w:rsidRPr="00397701">
        <w:rPr>
          <w:rFonts w:ascii="Times New Roman" w:hAnsi="Times New Roman" w:cs="Times New Roman"/>
        </w:rPr>
        <w:t xml:space="preserve">to the Commissioner </w:t>
      </w:r>
      <w:r w:rsidR="00D82DD9" w:rsidRPr="00397701">
        <w:rPr>
          <w:rFonts w:ascii="Times New Roman" w:hAnsi="Times New Roman" w:cs="Times New Roman"/>
        </w:rPr>
        <w:t>and</w:t>
      </w:r>
      <w:r w:rsidR="00EE246C" w:rsidRPr="00397701">
        <w:rPr>
          <w:rFonts w:ascii="Times New Roman" w:hAnsi="Times New Roman" w:cs="Times New Roman"/>
        </w:rPr>
        <w:t xml:space="preserve"> notify individuals whose personal information was involved in the </w:t>
      </w:r>
      <w:r w:rsidR="00D82DD9" w:rsidRPr="00397701">
        <w:rPr>
          <w:rFonts w:ascii="Times New Roman" w:hAnsi="Times New Roman" w:cs="Times New Roman"/>
        </w:rPr>
        <w:t>breach (or publish the statement).</w:t>
      </w:r>
    </w:p>
    <w:p w14:paraId="7D424EEE" w14:textId="117A8760" w:rsidR="000C2E3F" w:rsidRPr="00397701" w:rsidRDefault="00D82DD9" w:rsidP="00903493">
      <w:pPr>
        <w:rPr>
          <w:rFonts w:ascii="Times New Roman" w:hAnsi="Times New Roman" w:cs="Times New Roman"/>
        </w:rPr>
      </w:pPr>
      <w:r w:rsidRPr="00397701">
        <w:rPr>
          <w:rFonts w:ascii="Times New Roman" w:hAnsi="Times New Roman" w:cs="Times New Roman"/>
        </w:rPr>
        <w:t xml:space="preserve">However, the immediate risk to the safety and security of an affected person </w:t>
      </w:r>
      <w:r w:rsidR="006E0BDC" w:rsidRPr="00397701">
        <w:rPr>
          <w:rFonts w:ascii="Times New Roman" w:hAnsi="Times New Roman" w:cs="Times New Roman"/>
        </w:rPr>
        <w:t>whose</w:t>
      </w:r>
      <w:r w:rsidRPr="00397701">
        <w:rPr>
          <w:rFonts w:ascii="Times New Roman" w:hAnsi="Times New Roman" w:cs="Times New Roman"/>
        </w:rPr>
        <w:t xml:space="preserve"> personal information is </w:t>
      </w:r>
      <w:r w:rsidR="00D45B20" w:rsidRPr="00397701">
        <w:rPr>
          <w:rFonts w:ascii="Times New Roman" w:hAnsi="Times New Roman" w:cs="Times New Roman"/>
        </w:rPr>
        <w:t xml:space="preserve">involved is </w:t>
      </w:r>
      <w:r w:rsidRPr="00397701">
        <w:rPr>
          <w:rFonts w:ascii="Times New Roman" w:hAnsi="Times New Roman" w:cs="Times New Roman"/>
        </w:rPr>
        <w:t xml:space="preserve">potentially higher as this could directly result in a perpetrator gaining access to sensitive information such as their current location. </w:t>
      </w:r>
      <w:r w:rsidR="00EE246C" w:rsidRPr="00397701">
        <w:rPr>
          <w:rFonts w:ascii="Times New Roman" w:hAnsi="Times New Roman" w:cs="Times New Roman"/>
        </w:rPr>
        <w:t xml:space="preserve">It is critical that affected persons </w:t>
      </w:r>
      <w:r w:rsidRPr="00397701">
        <w:rPr>
          <w:rFonts w:ascii="Times New Roman" w:hAnsi="Times New Roman" w:cs="Times New Roman"/>
        </w:rPr>
        <w:t xml:space="preserve">can be assured that they will </w:t>
      </w:r>
      <w:r w:rsidR="00EE246C" w:rsidRPr="00397701">
        <w:rPr>
          <w:rFonts w:ascii="Times New Roman" w:hAnsi="Times New Roman" w:cs="Times New Roman"/>
        </w:rPr>
        <w:t xml:space="preserve">be informed </w:t>
      </w:r>
      <w:r w:rsidRPr="00397701">
        <w:rPr>
          <w:rFonts w:ascii="Times New Roman" w:hAnsi="Times New Roman" w:cs="Times New Roman"/>
        </w:rPr>
        <w:t xml:space="preserve">within a set timeframe </w:t>
      </w:r>
      <w:r w:rsidR="00EE246C" w:rsidRPr="00397701">
        <w:rPr>
          <w:rFonts w:ascii="Times New Roman" w:hAnsi="Times New Roman" w:cs="Times New Roman"/>
        </w:rPr>
        <w:t xml:space="preserve">where </w:t>
      </w:r>
      <w:r w:rsidRPr="00397701">
        <w:rPr>
          <w:rFonts w:ascii="Times New Roman" w:hAnsi="Times New Roman" w:cs="Times New Roman"/>
        </w:rPr>
        <w:t xml:space="preserve">such access or disclosure </w:t>
      </w:r>
      <w:r w:rsidR="00EE246C" w:rsidRPr="00397701">
        <w:rPr>
          <w:rFonts w:ascii="Times New Roman" w:hAnsi="Times New Roman" w:cs="Times New Roman"/>
        </w:rPr>
        <w:t xml:space="preserve">has occurred </w:t>
      </w:r>
      <w:r w:rsidRPr="00397701">
        <w:rPr>
          <w:rFonts w:ascii="Times New Roman" w:hAnsi="Times New Roman" w:cs="Times New Roman"/>
        </w:rPr>
        <w:t>s</w:t>
      </w:r>
      <w:r w:rsidR="00EE246C" w:rsidRPr="00397701">
        <w:rPr>
          <w:rFonts w:ascii="Times New Roman" w:hAnsi="Times New Roman" w:cs="Times New Roman"/>
        </w:rPr>
        <w:t xml:space="preserve">o they can take appropriate </w:t>
      </w:r>
      <w:r w:rsidRPr="00397701">
        <w:rPr>
          <w:rFonts w:ascii="Times New Roman" w:hAnsi="Times New Roman" w:cs="Times New Roman"/>
        </w:rPr>
        <w:t>steps</w:t>
      </w:r>
      <w:r w:rsidR="00EE246C" w:rsidRPr="00397701">
        <w:rPr>
          <w:rFonts w:ascii="Times New Roman" w:hAnsi="Times New Roman" w:cs="Times New Roman"/>
        </w:rPr>
        <w:t xml:space="preserve"> to manage </w:t>
      </w:r>
      <w:r w:rsidR="00D45B20" w:rsidRPr="00397701">
        <w:rPr>
          <w:rFonts w:ascii="Times New Roman" w:hAnsi="Times New Roman" w:cs="Times New Roman"/>
        </w:rPr>
        <w:t xml:space="preserve">any </w:t>
      </w:r>
      <w:r w:rsidR="00EE246C" w:rsidRPr="00397701">
        <w:rPr>
          <w:rFonts w:ascii="Times New Roman" w:hAnsi="Times New Roman" w:cs="Times New Roman"/>
        </w:rPr>
        <w:t>heightened risks to their safety.</w:t>
      </w:r>
    </w:p>
    <w:p w14:paraId="70963E0D" w14:textId="07D8B235" w:rsidR="006E0BDC" w:rsidRPr="00397701" w:rsidRDefault="000C2E3F" w:rsidP="00903493">
      <w:pPr>
        <w:rPr>
          <w:rFonts w:ascii="Times New Roman" w:hAnsi="Times New Roman" w:cs="Times New Roman"/>
        </w:rPr>
      </w:pPr>
      <w:r w:rsidRPr="00397701">
        <w:rPr>
          <w:rFonts w:ascii="Times New Roman" w:hAnsi="Times New Roman" w:cs="Times New Roman"/>
        </w:rPr>
        <w:t xml:space="preserve">Subsection (1) </w:t>
      </w:r>
      <w:r w:rsidR="00D82DD9" w:rsidRPr="00397701">
        <w:rPr>
          <w:rFonts w:ascii="Times New Roman" w:hAnsi="Times New Roman" w:cs="Times New Roman"/>
        </w:rPr>
        <w:t xml:space="preserve">requires that where a provider becomes aware that an affected person’s personal information has been accessed or disclosed without </w:t>
      </w:r>
      <w:proofErr w:type="gramStart"/>
      <w:r w:rsidR="00D82DD9" w:rsidRPr="00397701">
        <w:rPr>
          <w:rFonts w:ascii="Times New Roman" w:hAnsi="Times New Roman" w:cs="Times New Roman"/>
        </w:rPr>
        <w:t>authorisation</w:t>
      </w:r>
      <w:proofErr w:type="gramEnd"/>
      <w:r w:rsidR="00D82DD9" w:rsidRPr="00397701">
        <w:rPr>
          <w:rFonts w:ascii="Times New Roman" w:hAnsi="Times New Roman" w:cs="Times New Roman"/>
        </w:rPr>
        <w:t xml:space="preserve"> they must notify both the ACMA and the affected person </w:t>
      </w:r>
      <w:r w:rsidR="006E0BDC" w:rsidRPr="00397701">
        <w:rPr>
          <w:rFonts w:ascii="Times New Roman" w:hAnsi="Times New Roman" w:cs="Times New Roman"/>
        </w:rPr>
        <w:t>within 2 days. This is separate to any obligations under the Privacy Act to notify the Office of the Australian Information Commissioner.</w:t>
      </w:r>
    </w:p>
    <w:p w14:paraId="6AE8E10C" w14:textId="15DE4AA6" w:rsidR="006E0BDC" w:rsidRPr="00397701" w:rsidRDefault="006E0BDC" w:rsidP="00903493">
      <w:pPr>
        <w:rPr>
          <w:rFonts w:ascii="Times New Roman" w:hAnsi="Times New Roman" w:cs="Times New Roman"/>
        </w:rPr>
      </w:pPr>
      <w:r w:rsidRPr="00397701">
        <w:rPr>
          <w:rFonts w:ascii="Times New Roman" w:hAnsi="Times New Roman" w:cs="Times New Roman"/>
        </w:rPr>
        <w:t>Subsection (2) covers situations where such notifications maybe inconsistent with the agreed communications method and allows for providers to wait until the notification can be made using the agreed communications method. This allows a provider to respect the safe communications method chosen by the affected person without contravening its obligation to notify them of the data breach.</w:t>
      </w:r>
    </w:p>
    <w:p w14:paraId="758A2A3B" w14:textId="3CCEE8E3" w:rsidR="00280DD7" w:rsidRPr="00397701" w:rsidRDefault="000C2E3F" w:rsidP="005958D6">
      <w:pPr>
        <w:rPr>
          <w:rFonts w:ascii="Times New Roman" w:hAnsi="Times New Roman" w:cs="Times New Roman"/>
        </w:rPr>
      </w:pPr>
      <w:r w:rsidRPr="00397701">
        <w:rPr>
          <w:rFonts w:ascii="Times New Roman" w:hAnsi="Times New Roman" w:cs="Times New Roman"/>
        </w:rPr>
        <w:t>Subsection (</w:t>
      </w:r>
      <w:r w:rsidR="006E0BDC" w:rsidRPr="00397701">
        <w:rPr>
          <w:rFonts w:ascii="Times New Roman" w:hAnsi="Times New Roman" w:cs="Times New Roman"/>
        </w:rPr>
        <w:t>3</w:t>
      </w:r>
      <w:r w:rsidRPr="00397701">
        <w:rPr>
          <w:rFonts w:ascii="Times New Roman" w:hAnsi="Times New Roman" w:cs="Times New Roman"/>
        </w:rPr>
        <w:t>) requires providers, w</w:t>
      </w:r>
      <w:r w:rsidR="004D1343" w:rsidRPr="00397701">
        <w:rPr>
          <w:rFonts w:ascii="Times New Roman" w:hAnsi="Times New Roman" w:cs="Times New Roman"/>
        </w:rPr>
        <w:t xml:space="preserve">hen notifying the affected person, </w:t>
      </w:r>
      <w:r w:rsidR="00903493" w:rsidRPr="00397701">
        <w:rPr>
          <w:rFonts w:ascii="Times New Roman" w:hAnsi="Times New Roman" w:cs="Times New Roman"/>
        </w:rPr>
        <w:t>to</w:t>
      </w:r>
      <w:r w:rsidR="004D1343" w:rsidRPr="00397701">
        <w:rPr>
          <w:rFonts w:ascii="Times New Roman" w:hAnsi="Times New Roman" w:cs="Times New Roman"/>
        </w:rPr>
        <w:t xml:space="preserve"> </w:t>
      </w:r>
      <w:r w:rsidR="00210BCB" w:rsidRPr="00397701">
        <w:rPr>
          <w:rFonts w:ascii="Times New Roman" w:hAnsi="Times New Roman" w:cs="Times New Roman"/>
        </w:rPr>
        <w:t>provide</w:t>
      </w:r>
      <w:r w:rsidR="004D1343" w:rsidRPr="00397701">
        <w:rPr>
          <w:rFonts w:ascii="Times New Roman" w:hAnsi="Times New Roman" w:cs="Times New Roman"/>
        </w:rPr>
        <w:t xml:space="preserve"> contact details for a national or state-based DFV support service to assist with safety planning. This </w:t>
      </w:r>
      <w:r w:rsidR="00903493" w:rsidRPr="00397701">
        <w:rPr>
          <w:rFonts w:ascii="Times New Roman" w:hAnsi="Times New Roman" w:cs="Times New Roman"/>
        </w:rPr>
        <w:t xml:space="preserve">is to </w:t>
      </w:r>
      <w:r w:rsidR="00210BCB" w:rsidRPr="00397701">
        <w:rPr>
          <w:rFonts w:ascii="Times New Roman" w:hAnsi="Times New Roman" w:cs="Times New Roman"/>
        </w:rPr>
        <w:t>provide the</w:t>
      </w:r>
      <w:r w:rsidR="004D1343" w:rsidRPr="00397701">
        <w:rPr>
          <w:rFonts w:ascii="Times New Roman" w:hAnsi="Times New Roman" w:cs="Times New Roman"/>
        </w:rPr>
        <w:t xml:space="preserve"> affected persons </w:t>
      </w:r>
      <w:r w:rsidR="00210BCB" w:rsidRPr="00397701">
        <w:rPr>
          <w:rFonts w:ascii="Times New Roman" w:hAnsi="Times New Roman" w:cs="Times New Roman"/>
        </w:rPr>
        <w:t>with</w:t>
      </w:r>
      <w:r w:rsidR="004D1343" w:rsidRPr="00397701">
        <w:rPr>
          <w:rFonts w:ascii="Times New Roman" w:hAnsi="Times New Roman" w:cs="Times New Roman"/>
        </w:rPr>
        <w:t xml:space="preserve"> timely advice and support following a potential compromise of their information.</w:t>
      </w:r>
    </w:p>
    <w:p w14:paraId="0C3FEF23" w14:textId="358C52B5" w:rsidR="006E0BDC" w:rsidRPr="00397701" w:rsidRDefault="006E0BDC" w:rsidP="005958D6">
      <w:pPr>
        <w:rPr>
          <w:rFonts w:ascii="Times New Roman" w:hAnsi="Times New Roman" w:cs="Times New Roman"/>
        </w:rPr>
      </w:pPr>
      <w:r w:rsidRPr="00397701">
        <w:rPr>
          <w:rFonts w:ascii="Times New Roman" w:hAnsi="Times New Roman" w:cs="Times New Roman"/>
        </w:rPr>
        <w:t>Taken together</w:t>
      </w:r>
      <w:r w:rsidR="00D45B20" w:rsidRPr="00397701">
        <w:rPr>
          <w:rFonts w:ascii="Times New Roman" w:hAnsi="Times New Roman" w:cs="Times New Roman"/>
        </w:rPr>
        <w:t>,</w:t>
      </w:r>
      <w:r w:rsidRPr="00397701">
        <w:rPr>
          <w:rFonts w:ascii="Times New Roman" w:hAnsi="Times New Roman" w:cs="Times New Roman"/>
        </w:rPr>
        <w:t xml:space="preserve"> these provisions provide affected persons with the information they need to react swiftly to mitigate potential risks to their safety and security.</w:t>
      </w:r>
    </w:p>
    <w:p w14:paraId="6B561A0D" w14:textId="77777777" w:rsidR="00280DD7" w:rsidRPr="00397701" w:rsidRDefault="00280DD7" w:rsidP="00280DD7">
      <w:pPr>
        <w:spacing w:before="280"/>
        <w:rPr>
          <w:rFonts w:ascii="Times New Roman" w:hAnsi="Times New Roman" w:cs="Times New Roman"/>
          <w:b/>
        </w:rPr>
      </w:pPr>
      <w:r w:rsidRPr="00397701">
        <w:rPr>
          <w:rFonts w:ascii="Times New Roman" w:hAnsi="Times New Roman" w:cs="Times New Roman"/>
          <w:b/>
        </w:rPr>
        <w:lastRenderedPageBreak/>
        <w:t>Part 9—Record keeping</w:t>
      </w:r>
    </w:p>
    <w:p w14:paraId="50085922" w14:textId="67A09927" w:rsidR="00280DD7" w:rsidRPr="00397701" w:rsidRDefault="00D329F3" w:rsidP="005958D6">
      <w:pPr>
        <w:rPr>
          <w:rFonts w:ascii="Times New Roman" w:hAnsi="Times New Roman" w:cs="Times New Roman"/>
        </w:rPr>
      </w:pPr>
      <w:r w:rsidRPr="00397701">
        <w:rPr>
          <w:rFonts w:ascii="Times New Roman" w:hAnsi="Times New Roman" w:cs="Times New Roman"/>
        </w:rPr>
        <w:t>Part 9 sets out obligations for providers to maintain and manage records in a manner that supports compliance with the Standard, facilitates effective regulatory oversight, and upholds the privacy and safety of affected persons.</w:t>
      </w:r>
    </w:p>
    <w:p w14:paraId="4F416798" w14:textId="17F036F2" w:rsidR="00280DD7" w:rsidRPr="00397701" w:rsidRDefault="00280DD7" w:rsidP="00280DD7">
      <w:pPr>
        <w:rPr>
          <w:rFonts w:ascii="Times New Roman" w:hAnsi="Times New Roman" w:cs="Times New Roman"/>
          <w:b/>
          <w:bCs/>
        </w:rPr>
      </w:pPr>
      <w:r w:rsidRPr="00397701">
        <w:rPr>
          <w:rFonts w:ascii="Times New Roman" w:hAnsi="Times New Roman" w:cs="Times New Roman"/>
          <w:b/>
          <w:bCs/>
        </w:rPr>
        <w:t xml:space="preserve">Section </w:t>
      </w:r>
      <w:r w:rsidR="000D1630" w:rsidRPr="00397701">
        <w:rPr>
          <w:rFonts w:ascii="Times New Roman" w:hAnsi="Times New Roman" w:cs="Times New Roman"/>
          <w:b/>
          <w:bCs/>
        </w:rPr>
        <w:t>30</w:t>
      </w:r>
      <w:r w:rsidRPr="00397701">
        <w:rPr>
          <w:rFonts w:ascii="Times New Roman" w:hAnsi="Times New Roman" w:cs="Times New Roman"/>
          <w:b/>
          <w:bCs/>
        </w:rPr>
        <w:tab/>
        <w:t>Requirements to keep records</w:t>
      </w:r>
    </w:p>
    <w:p w14:paraId="0E5C0916" w14:textId="756BE2AE" w:rsidR="00D329F3" w:rsidRPr="00397701" w:rsidRDefault="00D329F3" w:rsidP="00D329F3">
      <w:pPr>
        <w:rPr>
          <w:rFonts w:ascii="Times New Roman" w:hAnsi="Times New Roman" w:cs="Times New Roman"/>
        </w:rPr>
      </w:pPr>
      <w:r w:rsidRPr="00397701">
        <w:rPr>
          <w:rFonts w:ascii="Times New Roman" w:hAnsi="Times New Roman" w:cs="Times New Roman"/>
        </w:rPr>
        <w:t xml:space="preserve">Subsection </w:t>
      </w:r>
      <w:r w:rsidR="000D1630" w:rsidRPr="00397701">
        <w:rPr>
          <w:rFonts w:ascii="Times New Roman" w:hAnsi="Times New Roman" w:cs="Times New Roman"/>
        </w:rPr>
        <w:t>30</w:t>
      </w:r>
      <w:r w:rsidRPr="00397701">
        <w:rPr>
          <w:rFonts w:ascii="Times New Roman" w:hAnsi="Times New Roman" w:cs="Times New Roman"/>
        </w:rPr>
        <w:t xml:space="preserve">(1) requires providers to keep records sufficient to demonstrate compliance with the </w:t>
      </w:r>
      <w:r w:rsidR="00C2774E" w:rsidRPr="00397701">
        <w:rPr>
          <w:rFonts w:ascii="Times New Roman" w:hAnsi="Times New Roman" w:cs="Times New Roman"/>
        </w:rPr>
        <w:t>requirements</w:t>
      </w:r>
      <w:r w:rsidRPr="00397701">
        <w:rPr>
          <w:rFonts w:ascii="Times New Roman" w:hAnsi="Times New Roman" w:cs="Times New Roman"/>
        </w:rPr>
        <w:t xml:space="preserve"> of the Standard</w:t>
      </w:r>
      <w:r w:rsidR="005A5921" w:rsidRPr="00397701">
        <w:rPr>
          <w:rFonts w:ascii="Times New Roman" w:hAnsi="Times New Roman" w:cs="Times New Roman"/>
        </w:rPr>
        <w:t>.</w:t>
      </w:r>
    </w:p>
    <w:p w14:paraId="0F5B5002" w14:textId="7493CB8B" w:rsidR="00D329F3" w:rsidRPr="00397701" w:rsidRDefault="00D329F3" w:rsidP="00D329F3">
      <w:pPr>
        <w:rPr>
          <w:rFonts w:ascii="Times New Roman" w:hAnsi="Times New Roman" w:cs="Times New Roman"/>
        </w:rPr>
      </w:pPr>
      <w:r w:rsidRPr="00397701">
        <w:rPr>
          <w:rFonts w:ascii="Times New Roman" w:hAnsi="Times New Roman" w:cs="Times New Roman"/>
        </w:rPr>
        <w:t xml:space="preserve">Subsection </w:t>
      </w:r>
      <w:r w:rsidR="000D1630" w:rsidRPr="00397701">
        <w:rPr>
          <w:rFonts w:ascii="Times New Roman" w:hAnsi="Times New Roman" w:cs="Times New Roman"/>
        </w:rPr>
        <w:t>30</w:t>
      </w:r>
      <w:r w:rsidRPr="00397701">
        <w:rPr>
          <w:rFonts w:ascii="Times New Roman" w:hAnsi="Times New Roman" w:cs="Times New Roman"/>
        </w:rPr>
        <w:t>(2) places limits on the scope and handling of these records. Providers must:</w:t>
      </w:r>
    </w:p>
    <w:p w14:paraId="3D190B7B" w14:textId="748255D7" w:rsidR="00D329F3" w:rsidRPr="00397701" w:rsidRDefault="00D329F3" w:rsidP="001D0578">
      <w:pPr>
        <w:numPr>
          <w:ilvl w:val="0"/>
          <w:numId w:val="28"/>
        </w:numPr>
        <w:tabs>
          <w:tab w:val="num" w:pos="720"/>
        </w:tabs>
        <w:rPr>
          <w:rFonts w:ascii="Times New Roman" w:hAnsi="Times New Roman" w:cs="Times New Roman"/>
        </w:rPr>
      </w:pPr>
      <w:r w:rsidRPr="00397701">
        <w:rPr>
          <w:rFonts w:ascii="Times New Roman" w:hAnsi="Times New Roman" w:cs="Times New Roman"/>
        </w:rPr>
        <w:t xml:space="preserve">limit collection to information necessary to demonstrate compliance </w:t>
      </w:r>
      <w:r w:rsidR="00DA69B3" w:rsidRPr="00397701">
        <w:rPr>
          <w:rFonts w:ascii="Times New Roman" w:hAnsi="Times New Roman" w:cs="Times New Roman"/>
        </w:rPr>
        <w:t>(</w:t>
      </w:r>
      <w:r w:rsidRPr="00397701">
        <w:rPr>
          <w:rFonts w:ascii="Times New Roman" w:hAnsi="Times New Roman" w:cs="Times New Roman"/>
        </w:rPr>
        <w:t>paragraph (a)</w:t>
      </w:r>
      <w:r w:rsidR="00DA69B3" w:rsidRPr="00397701">
        <w:rPr>
          <w:rFonts w:ascii="Times New Roman" w:hAnsi="Times New Roman" w:cs="Times New Roman"/>
        </w:rPr>
        <w:t>)</w:t>
      </w:r>
      <w:r w:rsidRPr="00397701">
        <w:rPr>
          <w:rFonts w:ascii="Times New Roman" w:hAnsi="Times New Roman" w:cs="Times New Roman"/>
        </w:rPr>
        <w:t>,</w:t>
      </w:r>
    </w:p>
    <w:p w14:paraId="04DA54B7" w14:textId="03B53C1D" w:rsidR="00D329F3" w:rsidRPr="00397701" w:rsidRDefault="00D329F3" w:rsidP="001D0578">
      <w:pPr>
        <w:numPr>
          <w:ilvl w:val="0"/>
          <w:numId w:val="28"/>
        </w:numPr>
        <w:tabs>
          <w:tab w:val="num" w:pos="720"/>
        </w:tabs>
        <w:rPr>
          <w:rFonts w:ascii="Times New Roman" w:hAnsi="Times New Roman" w:cs="Times New Roman"/>
        </w:rPr>
      </w:pPr>
      <w:r w:rsidRPr="00397701">
        <w:rPr>
          <w:rFonts w:ascii="Times New Roman" w:hAnsi="Times New Roman" w:cs="Times New Roman"/>
        </w:rPr>
        <w:t xml:space="preserve">take reasonable steps to protect information from misuse, interference, loss, and unauthorised access, modification or disclosure </w:t>
      </w:r>
      <w:r w:rsidR="00DA69B3" w:rsidRPr="00397701">
        <w:rPr>
          <w:rFonts w:ascii="Times New Roman" w:hAnsi="Times New Roman" w:cs="Times New Roman"/>
        </w:rPr>
        <w:t>(</w:t>
      </w:r>
      <w:r w:rsidRPr="00397701">
        <w:rPr>
          <w:rFonts w:ascii="Times New Roman" w:hAnsi="Times New Roman" w:cs="Times New Roman"/>
        </w:rPr>
        <w:t xml:space="preserve">subparagraph </w:t>
      </w:r>
      <w:r w:rsidR="000D1630" w:rsidRPr="00397701">
        <w:rPr>
          <w:rFonts w:ascii="Times New Roman" w:hAnsi="Times New Roman" w:cs="Times New Roman"/>
        </w:rPr>
        <w:t>30</w:t>
      </w:r>
      <w:r w:rsidRPr="00397701">
        <w:rPr>
          <w:rFonts w:ascii="Times New Roman" w:hAnsi="Times New Roman" w:cs="Times New Roman"/>
        </w:rPr>
        <w:t>(2)(b)(i)</w:t>
      </w:r>
      <w:r w:rsidR="00DA69B3" w:rsidRPr="00397701">
        <w:rPr>
          <w:rFonts w:ascii="Times New Roman" w:hAnsi="Times New Roman" w:cs="Times New Roman"/>
        </w:rPr>
        <w:t>)</w:t>
      </w:r>
      <w:r w:rsidRPr="00397701">
        <w:rPr>
          <w:rFonts w:ascii="Times New Roman" w:hAnsi="Times New Roman" w:cs="Times New Roman"/>
        </w:rPr>
        <w:t>, and</w:t>
      </w:r>
    </w:p>
    <w:p w14:paraId="46F09A97" w14:textId="22B5F9A2" w:rsidR="00D329F3" w:rsidRPr="00397701" w:rsidRDefault="00D329F3" w:rsidP="001D0578">
      <w:pPr>
        <w:numPr>
          <w:ilvl w:val="0"/>
          <w:numId w:val="28"/>
        </w:numPr>
        <w:tabs>
          <w:tab w:val="num" w:pos="720"/>
        </w:tabs>
        <w:rPr>
          <w:rFonts w:ascii="Times New Roman" w:hAnsi="Times New Roman" w:cs="Times New Roman"/>
        </w:rPr>
      </w:pPr>
      <w:r w:rsidRPr="00397701">
        <w:rPr>
          <w:rFonts w:ascii="Times New Roman" w:hAnsi="Times New Roman" w:cs="Times New Roman"/>
        </w:rPr>
        <w:t xml:space="preserve">ensure secure disposal or destruction of </w:t>
      </w:r>
      <w:r w:rsidR="0056409E" w:rsidRPr="00397701">
        <w:rPr>
          <w:rFonts w:ascii="Times New Roman" w:hAnsi="Times New Roman" w:cs="Times New Roman"/>
        </w:rPr>
        <w:t xml:space="preserve">the </w:t>
      </w:r>
      <w:r w:rsidRPr="00397701">
        <w:rPr>
          <w:rFonts w:ascii="Times New Roman" w:hAnsi="Times New Roman" w:cs="Times New Roman"/>
        </w:rPr>
        <w:t xml:space="preserve">information once it is no longer required under the Standard or other applicable laws </w:t>
      </w:r>
      <w:r w:rsidR="00DA69B3" w:rsidRPr="00397701">
        <w:rPr>
          <w:rFonts w:ascii="Times New Roman" w:hAnsi="Times New Roman" w:cs="Times New Roman"/>
        </w:rPr>
        <w:t>(</w:t>
      </w:r>
      <w:r w:rsidRPr="00397701">
        <w:rPr>
          <w:rFonts w:ascii="Times New Roman" w:hAnsi="Times New Roman" w:cs="Times New Roman"/>
        </w:rPr>
        <w:t xml:space="preserve">subparagraph </w:t>
      </w:r>
      <w:r w:rsidR="000D1630" w:rsidRPr="00397701">
        <w:rPr>
          <w:rFonts w:ascii="Times New Roman" w:hAnsi="Times New Roman" w:cs="Times New Roman"/>
        </w:rPr>
        <w:t>30</w:t>
      </w:r>
      <w:r w:rsidRPr="00397701">
        <w:rPr>
          <w:rFonts w:ascii="Times New Roman" w:hAnsi="Times New Roman" w:cs="Times New Roman"/>
        </w:rPr>
        <w:t>(2)(b)(ii)</w:t>
      </w:r>
      <w:r w:rsidR="00DA69B3" w:rsidRPr="00397701">
        <w:rPr>
          <w:rFonts w:ascii="Times New Roman" w:hAnsi="Times New Roman" w:cs="Times New Roman"/>
        </w:rPr>
        <w:t>)</w:t>
      </w:r>
      <w:r w:rsidRPr="00397701">
        <w:rPr>
          <w:rFonts w:ascii="Times New Roman" w:hAnsi="Times New Roman" w:cs="Times New Roman"/>
        </w:rPr>
        <w:t>.</w:t>
      </w:r>
    </w:p>
    <w:p w14:paraId="0DCF9C66" w14:textId="51ADA7D0" w:rsidR="00280DD7" w:rsidRPr="00397701" w:rsidRDefault="00D329F3" w:rsidP="00280DD7">
      <w:pPr>
        <w:rPr>
          <w:rFonts w:ascii="Times New Roman" w:hAnsi="Times New Roman" w:cs="Times New Roman"/>
        </w:rPr>
      </w:pPr>
      <w:r w:rsidRPr="00397701">
        <w:rPr>
          <w:rFonts w:ascii="Times New Roman" w:hAnsi="Times New Roman" w:cs="Times New Roman"/>
        </w:rPr>
        <w:t>These provisions support responsible data handling, consistent with broader privacy and data security principles. They also acknowledge the sensitive nature of information that may be collected in the context of family, domestic and sexual violence.</w:t>
      </w:r>
    </w:p>
    <w:p w14:paraId="66C796A9" w14:textId="5584F468" w:rsidR="00280DD7" w:rsidRPr="00397701" w:rsidRDefault="00280DD7" w:rsidP="00280DD7">
      <w:pPr>
        <w:rPr>
          <w:rFonts w:ascii="Times New Roman" w:hAnsi="Times New Roman" w:cs="Times New Roman"/>
          <w:b/>
          <w:bCs/>
        </w:rPr>
      </w:pPr>
      <w:r w:rsidRPr="00397701">
        <w:rPr>
          <w:rFonts w:ascii="Times New Roman" w:hAnsi="Times New Roman" w:cs="Times New Roman"/>
          <w:b/>
          <w:bCs/>
        </w:rPr>
        <w:t xml:space="preserve">Section </w:t>
      </w:r>
      <w:r w:rsidR="000D1630" w:rsidRPr="00397701">
        <w:rPr>
          <w:rFonts w:ascii="Times New Roman" w:hAnsi="Times New Roman" w:cs="Times New Roman"/>
          <w:b/>
          <w:bCs/>
        </w:rPr>
        <w:t>31</w:t>
      </w:r>
      <w:r w:rsidRPr="00397701">
        <w:rPr>
          <w:rFonts w:ascii="Times New Roman" w:hAnsi="Times New Roman" w:cs="Times New Roman"/>
          <w:b/>
          <w:bCs/>
        </w:rPr>
        <w:tab/>
        <w:t>Re</w:t>
      </w:r>
      <w:r w:rsidR="00DA69B3" w:rsidRPr="00397701">
        <w:rPr>
          <w:rFonts w:ascii="Times New Roman" w:hAnsi="Times New Roman" w:cs="Times New Roman"/>
          <w:b/>
          <w:bCs/>
        </w:rPr>
        <w:t>cord retention</w:t>
      </w:r>
    </w:p>
    <w:p w14:paraId="3D12416D" w14:textId="77EBC715" w:rsidR="00D329F3" w:rsidRPr="00397701" w:rsidRDefault="00D329F3" w:rsidP="00D329F3">
      <w:pPr>
        <w:rPr>
          <w:rFonts w:ascii="Times New Roman" w:hAnsi="Times New Roman" w:cs="Times New Roman"/>
        </w:rPr>
      </w:pPr>
      <w:r w:rsidRPr="00397701">
        <w:rPr>
          <w:rFonts w:ascii="Times New Roman" w:hAnsi="Times New Roman" w:cs="Times New Roman"/>
        </w:rPr>
        <w:t xml:space="preserve">Section </w:t>
      </w:r>
      <w:r w:rsidR="000D1630" w:rsidRPr="00397701">
        <w:rPr>
          <w:rFonts w:ascii="Times New Roman" w:hAnsi="Times New Roman" w:cs="Times New Roman"/>
        </w:rPr>
        <w:t>31</w:t>
      </w:r>
      <w:r w:rsidRPr="00397701">
        <w:rPr>
          <w:rFonts w:ascii="Times New Roman" w:hAnsi="Times New Roman" w:cs="Times New Roman"/>
        </w:rPr>
        <w:t xml:space="preserve"> sets minimum timeframes for retaining records and outlines circumstances where extended retention is required</w:t>
      </w:r>
      <w:r w:rsidR="005A5921" w:rsidRPr="00397701">
        <w:rPr>
          <w:rFonts w:ascii="Times New Roman" w:hAnsi="Times New Roman" w:cs="Times New Roman"/>
        </w:rPr>
        <w:t xml:space="preserve"> so that</w:t>
      </w:r>
      <w:r w:rsidR="0027744E" w:rsidRPr="00397701">
        <w:rPr>
          <w:rFonts w:ascii="Times New Roman" w:hAnsi="Times New Roman" w:cs="Times New Roman"/>
        </w:rPr>
        <w:t xml:space="preserve"> sufficient records are available to support complaint resolution and regulatory investigations.</w:t>
      </w:r>
      <w:r w:rsidR="003E6BE0">
        <w:rPr>
          <w:rFonts w:ascii="Times New Roman" w:hAnsi="Times New Roman" w:cs="Times New Roman"/>
        </w:rPr>
        <w:t xml:space="preserve"> </w:t>
      </w:r>
      <w:r w:rsidR="00A70C3C">
        <w:rPr>
          <w:rFonts w:ascii="Times New Roman" w:hAnsi="Times New Roman" w:cs="Times New Roman"/>
        </w:rPr>
        <w:t xml:space="preserve">There is no expectation for </w:t>
      </w:r>
      <w:r w:rsidR="00AE0C40">
        <w:rPr>
          <w:rFonts w:ascii="Times New Roman" w:hAnsi="Times New Roman" w:cs="Times New Roman"/>
        </w:rPr>
        <w:t xml:space="preserve">the </w:t>
      </w:r>
      <w:r w:rsidR="00A70C3C">
        <w:rPr>
          <w:rFonts w:ascii="Times New Roman" w:hAnsi="Times New Roman" w:cs="Times New Roman"/>
        </w:rPr>
        <w:t>records to be retained beyond the period specified in this section.</w:t>
      </w:r>
    </w:p>
    <w:p w14:paraId="0064CFD0" w14:textId="732ACF7C" w:rsidR="00D329F3" w:rsidRPr="00397701" w:rsidRDefault="00D329F3" w:rsidP="00D329F3">
      <w:pPr>
        <w:rPr>
          <w:rFonts w:ascii="Times New Roman" w:hAnsi="Times New Roman" w:cs="Times New Roman"/>
        </w:rPr>
      </w:pPr>
      <w:r w:rsidRPr="00397701">
        <w:rPr>
          <w:rFonts w:ascii="Times New Roman" w:hAnsi="Times New Roman" w:cs="Times New Roman"/>
        </w:rPr>
        <w:t xml:space="preserve">Subsection </w:t>
      </w:r>
      <w:r w:rsidR="000D1630" w:rsidRPr="00397701">
        <w:rPr>
          <w:rFonts w:ascii="Times New Roman" w:hAnsi="Times New Roman" w:cs="Times New Roman"/>
        </w:rPr>
        <w:t>31</w:t>
      </w:r>
      <w:r w:rsidRPr="00397701">
        <w:rPr>
          <w:rFonts w:ascii="Times New Roman" w:hAnsi="Times New Roman" w:cs="Times New Roman"/>
        </w:rPr>
        <w:t xml:space="preserve">(1) </w:t>
      </w:r>
      <w:r w:rsidR="00DA69B3" w:rsidRPr="00397701">
        <w:rPr>
          <w:rFonts w:ascii="Times New Roman" w:hAnsi="Times New Roman" w:cs="Times New Roman"/>
        </w:rPr>
        <w:t>requires that</w:t>
      </w:r>
      <w:r w:rsidRPr="00397701">
        <w:rPr>
          <w:rFonts w:ascii="Times New Roman" w:hAnsi="Times New Roman" w:cs="Times New Roman"/>
        </w:rPr>
        <w:t xml:space="preserve"> providers:</w:t>
      </w:r>
    </w:p>
    <w:p w14:paraId="3685108A" w14:textId="1E2541D5" w:rsidR="00D329F3" w:rsidRPr="00397701" w:rsidRDefault="00D329F3" w:rsidP="001D0578">
      <w:pPr>
        <w:numPr>
          <w:ilvl w:val="0"/>
          <w:numId w:val="29"/>
        </w:numPr>
        <w:tabs>
          <w:tab w:val="num" w:pos="720"/>
        </w:tabs>
        <w:rPr>
          <w:rFonts w:ascii="Times New Roman" w:hAnsi="Times New Roman" w:cs="Times New Roman"/>
        </w:rPr>
      </w:pPr>
      <w:r w:rsidRPr="00397701">
        <w:rPr>
          <w:rFonts w:ascii="Times New Roman" w:hAnsi="Times New Roman" w:cs="Times New Roman"/>
        </w:rPr>
        <w:t xml:space="preserve">retain the records required under subsection </w:t>
      </w:r>
      <w:r w:rsidR="005A52D7" w:rsidRPr="00397701">
        <w:rPr>
          <w:rFonts w:ascii="Times New Roman" w:hAnsi="Times New Roman" w:cs="Times New Roman"/>
        </w:rPr>
        <w:t>30</w:t>
      </w:r>
      <w:r w:rsidRPr="00397701">
        <w:rPr>
          <w:rFonts w:ascii="Times New Roman" w:hAnsi="Times New Roman" w:cs="Times New Roman"/>
        </w:rPr>
        <w:t>(1) for at least two years, or for as long as the affected person continues to receive assistance under the Standard</w:t>
      </w:r>
      <w:r w:rsidR="00B57002" w:rsidRPr="00397701">
        <w:rPr>
          <w:rFonts w:ascii="Times New Roman" w:hAnsi="Times New Roman" w:cs="Times New Roman"/>
        </w:rPr>
        <w:t xml:space="preserve"> – </w:t>
      </w:r>
      <w:r w:rsidRPr="00397701">
        <w:rPr>
          <w:rFonts w:ascii="Times New Roman" w:hAnsi="Times New Roman" w:cs="Times New Roman"/>
        </w:rPr>
        <w:t xml:space="preserve">whichever is longer </w:t>
      </w:r>
      <w:r w:rsidR="00DA69B3" w:rsidRPr="00397701">
        <w:rPr>
          <w:rFonts w:ascii="Times New Roman" w:hAnsi="Times New Roman" w:cs="Times New Roman"/>
        </w:rPr>
        <w:t>(</w:t>
      </w:r>
      <w:r w:rsidRPr="00397701">
        <w:rPr>
          <w:rFonts w:ascii="Times New Roman" w:hAnsi="Times New Roman" w:cs="Times New Roman"/>
        </w:rPr>
        <w:t xml:space="preserve">paragraph </w:t>
      </w:r>
      <w:r w:rsidR="000D1630" w:rsidRPr="00397701">
        <w:rPr>
          <w:rFonts w:ascii="Times New Roman" w:hAnsi="Times New Roman" w:cs="Times New Roman"/>
        </w:rPr>
        <w:t>31</w:t>
      </w:r>
      <w:r w:rsidRPr="00397701">
        <w:rPr>
          <w:rFonts w:ascii="Times New Roman" w:hAnsi="Times New Roman" w:cs="Times New Roman"/>
        </w:rPr>
        <w:t>(1)(a)</w:t>
      </w:r>
      <w:r w:rsidR="00DA69B3" w:rsidRPr="00397701">
        <w:rPr>
          <w:rFonts w:ascii="Times New Roman" w:hAnsi="Times New Roman" w:cs="Times New Roman"/>
        </w:rPr>
        <w:t>)</w:t>
      </w:r>
      <w:r w:rsidRPr="00397701">
        <w:rPr>
          <w:rFonts w:ascii="Times New Roman" w:hAnsi="Times New Roman" w:cs="Times New Roman"/>
        </w:rPr>
        <w:t>, and</w:t>
      </w:r>
    </w:p>
    <w:p w14:paraId="29D85DE5" w14:textId="6CCC7A61" w:rsidR="00D329F3" w:rsidRPr="00397701" w:rsidRDefault="00D329F3" w:rsidP="001D0578">
      <w:pPr>
        <w:numPr>
          <w:ilvl w:val="0"/>
          <w:numId w:val="29"/>
        </w:numPr>
        <w:tabs>
          <w:tab w:val="num" w:pos="720"/>
        </w:tabs>
        <w:rPr>
          <w:rFonts w:ascii="Times New Roman" w:hAnsi="Times New Roman" w:cs="Times New Roman"/>
        </w:rPr>
      </w:pPr>
      <w:r w:rsidRPr="00397701">
        <w:rPr>
          <w:rFonts w:ascii="Times New Roman" w:hAnsi="Times New Roman" w:cs="Times New Roman"/>
        </w:rPr>
        <w:t>make the records available to the ACMA</w:t>
      </w:r>
      <w:r w:rsidR="0056409E" w:rsidRPr="00397701">
        <w:rPr>
          <w:rFonts w:ascii="Times New Roman" w:hAnsi="Times New Roman" w:cs="Times New Roman"/>
        </w:rPr>
        <w:t xml:space="preserve"> upon </w:t>
      </w:r>
      <w:r w:rsidR="005E51E7" w:rsidRPr="00397701">
        <w:rPr>
          <w:rFonts w:ascii="Times New Roman" w:hAnsi="Times New Roman" w:cs="Times New Roman"/>
        </w:rPr>
        <w:t xml:space="preserve">written </w:t>
      </w:r>
      <w:r w:rsidR="0056409E" w:rsidRPr="00397701">
        <w:rPr>
          <w:rFonts w:ascii="Times New Roman" w:hAnsi="Times New Roman" w:cs="Times New Roman"/>
        </w:rPr>
        <w:t>request</w:t>
      </w:r>
      <w:r w:rsidRPr="00397701">
        <w:rPr>
          <w:rFonts w:ascii="Times New Roman" w:hAnsi="Times New Roman" w:cs="Times New Roman"/>
        </w:rPr>
        <w:t xml:space="preserve"> </w:t>
      </w:r>
      <w:r w:rsidR="004425E4" w:rsidRPr="00397701">
        <w:rPr>
          <w:rFonts w:ascii="Times New Roman" w:hAnsi="Times New Roman" w:cs="Times New Roman"/>
        </w:rPr>
        <w:t>(</w:t>
      </w:r>
      <w:r w:rsidRPr="00397701">
        <w:rPr>
          <w:rFonts w:ascii="Times New Roman" w:hAnsi="Times New Roman" w:cs="Times New Roman"/>
        </w:rPr>
        <w:t xml:space="preserve">paragraph </w:t>
      </w:r>
      <w:r w:rsidR="004425E4" w:rsidRPr="00397701">
        <w:rPr>
          <w:rFonts w:ascii="Times New Roman" w:hAnsi="Times New Roman" w:cs="Times New Roman"/>
        </w:rPr>
        <w:t>31</w:t>
      </w:r>
      <w:r w:rsidRPr="00397701">
        <w:rPr>
          <w:rFonts w:ascii="Times New Roman" w:hAnsi="Times New Roman" w:cs="Times New Roman"/>
        </w:rPr>
        <w:t>(1)(b)</w:t>
      </w:r>
      <w:r w:rsidR="004425E4" w:rsidRPr="00397701">
        <w:rPr>
          <w:rFonts w:ascii="Times New Roman" w:hAnsi="Times New Roman" w:cs="Times New Roman"/>
        </w:rPr>
        <w:t>)</w:t>
      </w:r>
      <w:r w:rsidRPr="00397701">
        <w:rPr>
          <w:rFonts w:ascii="Times New Roman" w:hAnsi="Times New Roman" w:cs="Times New Roman"/>
        </w:rPr>
        <w:t>.</w:t>
      </w:r>
    </w:p>
    <w:p w14:paraId="6C96E14C" w14:textId="06907488" w:rsidR="00D329F3" w:rsidRPr="00397701" w:rsidRDefault="00D329F3" w:rsidP="00D329F3">
      <w:pPr>
        <w:rPr>
          <w:rFonts w:ascii="Times New Roman" w:hAnsi="Times New Roman" w:cs="Times New Roman"/>
        </w:rPr>
      </w:pPr>
      <w:r w:rsidRPr="00397701">
        <w:rPr>
          <w:rFonts w:ascii="Times New Roman" w:hAnsi="Times New Roman" w:cs="Times New Roman"/>
        </w:rPr>
        <w:t xml:space="preserve">Subsection </w:t>
      </w:r>
      <w:r w:rsidR="000D1630" w:rsidRPr="00397701">
        <w:rPr>
          <w:rFonts w:ascii="Times New Roman" w:hAnsi="Times New Roman" w:cs="Times New Roman"/>
        </w:rPr>
        <w:t>31</w:t>
      </w:r>
      <w:r w:rsidRPr="00397701">
        <w:rPr>
          <w:rFonts w:ascii="Times New Roman" w:hAnsi="Times New Roman" w:cs="Times New Roman"/>
        </w:rPr>
        <w:t>(2) sets additional requirements where an affected person has made a complaint to a provider. In such cases, providers must retain relevant records:</w:t>
      </w:r>
    </w:p>
    <w:p w14:paraId="734E08E8" w14:textId="77777777" w:rsidR="00D329F3" w:rsidRPr="00397701" w:rsidRDefault="00D329F3" w:rsidP="001D0578">
      <w:pPr>
        <w:numPr>
          <w:ilvl w:val="0"/>
          <w:numId w:val="30"/>
        </w:numPr>
        <w:tabs>
          <w:tab w:val="num" w:pos="720"/>
        </w:tabs>
        <w:rPr>
          <w:rFonts w:ascii="Times New Roman" w:hAnsi="Times New Roman" w:cs="Times New Roman"/>
        </w:rPr>
      </w:pPr>
      <w:r w:rsidRPr="00397701">
        <w:rPr>
          <w:rFonts w:ascii="Times New Roman" w:hAnsi="Times New Roman" w:cs="Times New Roman"/>
        </w:rPr>
        <w:t>for a minimum of two years, or</w:t>
      </w:r>
    </w:p>
    <w:p w14:paraId="13B8A67E" w14:textId="24A81F8E" w:rsidR="00D329F3" w:rsidRPr="00397701" w:rsidRDefault="00D329F3" w:rsidP="001D0578">
      <w:pPr>
        <w:numPr>
          <w:ilvl w:val="0"/>
          <w:numId w:val="30"/>
        </w:numPr>
        <w:tabs>
          <w:tab w:val="num" w:pos="720"/>
        </w:tabs>
        <w:rPr>
          <w:rFonts w:ascii="Times New Roman" w:hAnsi="Times New Roman" w:cs="Times New Roman"/>
        </w:rPr>
      </w:pPr>
      <w:r w:rsidRPr="00397701">
        <w:rPr>
          <w:rFonts w:ascii="Times New Roman" w:hAnsi="Times New Roman" w:cs="Times New Roman"/>
        </w:rPr>
        <w:t xml:space="preserve">if the complaint is unresolved after two years, for a further 12 months </w:t>
      </w:r>
      <w:r w:rsidR="00AE2CB2" w:rsidRPr="00397701">
        <w:rPr>
          <w:rFonts w:ascii="Times New Roman" w:hAnsi="Times New Roman" w:cs="Times New Roman"/>
        </w:rPr>
        <w:t xml:space="preserve">after </w:t>
      </w:r>
      <w:r w:rsidRPr="00397701">
        <w:rPr>
          <w:rFonts w:ascii="Times New Roman" w:hAnsi="Times New Roman" w:cs="Times New Roman"/>
        </w:rPr>
        <w:t>the date it is resolved.</w:t>
      </w:r>
    </w:p>
    <w:p w14:paraId="4FB14EDA" w14:textId="60CF4E78" w:rsidR="00D329F3" w:rsidRPr="00397701" w:rsidRDefault="00D329F3" w:rsidP="00D329F3">
      <w:pPr>
        <w:rPr>
          <w:rFonts w:ascii="Times New Roman" w:hAnsi="Times New Roman" w:cs="Times New Roman"/>
        </w:rPr>
      </w:pPr>
      <w:r w:rsidRPr="00397701">
        <w:rPr>
          <w:rFonts w:ascii="Times New Roman" w:hAnsi="Times New Roman" w:cs="Times New Roman"/>
        </w:rPr>
        <w:t xml:space="preserve">Subsection </w:t>
      </w:r>
      <w:r w:rsidR="000D1630" w:rsidRPr="00397701">
        <w:rPr>
          <w:rFonts w:ascii="Times New Roman" w:hAnsi="Times New Roman" w:cs="Times New Roman"/>
        </w:rPr>
        <w:t>31</w:t>
      </w:r>
      <w:r w:rsidRPr="00397701">
        <w:rPr>
          <w:rFonts w:ascii="Times New Roman" w:hAnsi="Times New Roman" w:cs="Times New Roman"/>
        </w:rPr>
        <w:t xml:space="preserve">(3) requires that, where practicable, records kept under subsection </w:t>
      </w:r>
      <w:r w:rsidR="005728F7" w:rsidRPr="00397701">
        <w:rPr>
          <w:rFonts w:ascii="Times New Roman" w:hAnsi="Times New Roman" w:cs="Times New Roman"/>
        </w:rPr>
        <w:t>3</w:t>
      </w:r>
      <w:r w:rsidR="00AE2CB2" w:rsidRPr="00397701">
        <w:rPr>
          <w:rFonts w:ascii="Times New Roman" w:hAnsi="Times New Roman" w:cs="Times New Roman"/>
        </w:rPr>
        <w:t>1</w:t>
      </w:r>
      <w:r w:rsidRPr="00397701">
        <w:rPr>
          <w:rFonts w:ascii="Times New Roman" w:hAnsi="Times New Roman" w:cs="Times New Roman"/>
        </w:rPr>
        <w:t xml:space="preserve">(1) </w:t>
      </w:r>
      <w:r w:rsidR="005728F7" w:rsidRPr="00397701">
        <w:rPr>
          <w:rFonts w:ascii="Times New Roman" w:hAnsi="Times New Roman" w:cs="Times New Roman"/>
        </w:rPr>
        <w:t xml:space="preserve">must </w:t>
      </w:r>
      <w:r w:rsidRPr="00397701">
        <w:rPr>
          <w:rFonts w:ascii="Times New Roman" w:hAnsi="Times New Roman" w:cs="Times New Roman"/>
        </w:rPr>
        <w:t>not include the personal information of an affected person. This reflects the importance of minimising risk to individuals who may be subject to serious safety concerns.</w:t>
      </w:r>
      <w:r w:rsidR="00C2774E" w:rsidRPr="00397701">
        <w:rPr>
          <w:rFonts w:ascii="Times New Roman" w:hAnsi="Times New Roman" w:cs="Times New Roman"/>
        </w:rPr>
        <w:t xml:space="preserve"> </w:t>
      </w:r>
      <w:r w:rsidR="00D8276E" w:rsidRPr="00397701">
        <w:rPr>
          <w:rFonts w:ascii="Times New Roman" w:hAnsi="Times New Roman" w:cs="Times New Roman"/>
        </w:rPr>
        <w:t>Providers may</w:t>
      </w:r>
      <w:r w:rsidR="00C2774E" w:rsidRPr="00397701">
        <w:rPr>
          <w:rFonts w:ascii="Times New Roman" w:hAnsi="Times New Roman" w:cs="Times New Roman"/>
        </w:rPr>
        <w:t xml:space="preserve"> balance </w:t>
      </w:r>
      <w:r w:rsidR="00D8276E" w:rsidRPr="00397701">
        <w:rPr>
          <w:rFonts w:ascii="Times New Roman" w:hAnsi="Times New Roman" w:cs="Times New Roman"/>
        </w:rPr>
        <w:t xml:space="preserve">minimising the retention of personal information </w:t>
      </w:r>
      <w:r w:rsidR="00C2774E" w:rsidRPr="00397701">
        <w:rPr>
          <w:rFonts w:ascii="Times New Roman" w:hAnsi="Times New Roman" w:cs="Times New Roman"/>
        </w:rPr>
        <w:t xml:space="preserve">with the obligation to </w:t>
      </w:r>
      <w:r w:rsidR="00D8276E" w:rsidRPr="00397701">
        <w:rPr>
          <w:rFonts w:ascii="Times New Roman" w:hAnsi="Times New Roman" w:cs="Times New Roman"/>
        </w:rPr>
        <w:t xml:space="preserve">have records demonstrating compliance by recording things such as where and what action has been taken, rather than specific personal details. </w:t>
      </w:r>
    </w:p>
    <w:p w14:paraId="5A26515D" w14:textId="0C02412A" w:rsidR="00631663" w:rsidRPr="00397701" w:rsidRDefault="00D329F3" w:rsidP="00D329F3">
      <w:pPr>
        <w:rPr>
          <w:rFonts w:ascii="Times New Roman" w:hAnsi="Times New Roman" w:cs="Times New Roman"/>
        </w:rPr>
      </w:pPr>
      <w:r w:rsidRPr="00397701">
        <w:rPr>
          <w:rFonts w:ascii="Times New Roman" w:hAnsi="Times New Roman" w:cs="Times New Roman"/>
        </w:rPr>
        <w:t>Subsection</w:t>
      </w:r>
      <w:r w:rsidR="00D8276E" w:rsidRPr="00397701">
        <w:rPr>
          <w:rFonts w:ascii="Times New Roman" w:hAnsi="Times New Roman" w:cs="Times New Roman"/>
        </w:rPr>
        <w:t>s</w:t>
      </w:r>
      <w:r w:rsidRPr="00397701">
        <w:rPr>
          <w:rFonts w:ascii="Times New Roman" w:hAnsi="Times New Roman" w:cs="Times New Roman"/>
        </w:rPr>
        <w:t xml:space="preserve"> </w:t>
      </w:r>
      <w:r w:rsidR="000D1630" w:rsidRPr="00397701">
        <w:rPr>
          <w:rFonts w:ascii="Times New Roman" w:hAnsi="Times New Roman" w:cs="Times New Roman"/>
        </w:rPr>
        <w:t>31</w:t>
      </w:r>
      <w:r w:rsidRPr="00397701">
        <w:rPr>
          <w:rFonts w:ascii="Times New Roman" w:hAnsi="Times New Roman" w:cs="Times New Roman"/>
        </w:rPr>
        <w:t>(4)</w:t>
      </w:r>
      <w:r w:rsidR="00D8276E" w:rsidRPr="00397701">
        <w:rPr>
          <w:rFonts w:ascii="Times New Roman" w:hAnsi="Times New Roman" w:cs="Times New Roman"/>
        </w:rPr>
        <w:t xml:space="preserve"> and (5)</w:t>
      </w:r>
      <w:r w:rsidRPr="00397701">
        <w:rPr>
          <w:rFonts w:ascii="Times New Roman" w:hAnsi="Times New Roman" w:cs="Times New Roman"/>
        </w:rPr>
        <w:t xml:space="preserve"> establish specific safeguards for managing sensitive evidence obtained under subsection 1</w:t>
      </w:r>
      <w:r w:rsidR="000D1630" w:rsidRPr="00397701">
        <w:rPr>
          <w:rFonts w:ascii="Times New Roman" w:hAnsi="Times New Roman" w:cs="Times New Roman"/>
        </w:rPr>
        <w:t>4</w:t>
      </w:r>
      <w:r w:rsidRPr="00397701">
        <w:rPr>
          <w:rFonts w:ascii="Times New Roman" w:hAnsi="Times New Roman" w:cs="Times New Roman"/>
        </w:rPr>
        <w:t xml:space="preserve">(2). </w:t>
      </w:r>
    </w:p>
    <w:p w14:paraId="6A0FFCAD" w14:textId="262DE780" w:rsidR="00631663" w:rsidRPr="00397701" w:rsidRDefault="00D329F3" w:rsidP="00631663">
      <w:pPr>
        <w:rPr>
          <w:rFonts w:ascii="Times New Roman" w:hAnsi="Times New Roman" w:cs="Times New Roman"/>
        </w:rPr>
      </w:pPr>
      <w:r w:rsidRPr="00397701">
        <w:rPr>
          <w:rFonts w:ascii="Times New Roman" w:hAnsi="Times New Roman" w:cs="Times New Roman"/>
        </w:rPr>
        <w:lastRenderedPageBreak/>
        <w:t>Where a provider requests and receives evidence</w:t>
      </w:r>
      <w:r w:rsidR="00631663" w:rsidRPr="00397701">
        <w:rPr>
          <w:rFonts w:ascii="Times New Roman" w:hAnsi="Times New Roman" w:cs="Times New Roman"/>
        </w:rPr>
        <w:t xml:space="preserve"> to meet a legal obligation</w:t>
      </w:r>
      <w:r w:rsidR="0027744E" w:rsidRPr="00397701">
        <w:rPr>
          <w:rFonts w:ascii="Times New Roman" w:hAnsi="Times New Roman" w:cs="Times New Roman"/>
        </w:rPr>
        <w:t>, the provider must</w:t>
      </w:r>
      <w:r w:rsidR="00631663" w:rsidRPr="00397701">
        <w:rPr>
          <w:rFonts w:ascii="Times New Roman" w:hAnsi="Times New Roman" w:cs="Times New Roman"/>
        </w:rPr>
        <w:t xml:space="preserve"> </w:t>
      </w:r>
      <w:r w:rsidRPr="00397701">
        <w:rPr>
          <w:rFonts w:ascii="Times New Roman" w:hAnsi="Times New Roman" w:cs="Times New Roman"/>
        </w:rPr>
        <w:t xml:space="preserve">only retain a copy or record for the duration necessary to meet the legal obligation </w:t>
      </w:r>
      <w:r w:rsidR="0027744E" w:rsidRPr="00397701">
        <w:rPr>
          <w:rFonts w:ascii="Times New Roman" w:hAnsi="Times New Roman" w:cs="Times New Roman"/>
        </w:rPr>
        <w:t>(</w:t>
      </w:r>
      <w:r w:rsidRPr="00397701">
        <w:rPr>
          <w:rFonts w:ascii="Times New Roman" w:hAnsi="Times New Roman" w:cs="Times New Roman"/>
        </w:rPr>
        <w:t xml:space="preserve">paragraph </w:t>
      </w:r>
      <w:r w:rsidR="00FD55AF" w:rsidRPr="00397701">
        <w:rPr>
          <w:rFonts w:ascii="Times New Roman" w:hAnsi="Times New Roman" w:cs="Times New Roman"/>
        </w:rPr>
        <w:t>31</w:t>
      </w:r>
      <w:r w:rsidRPr="00397701">
        <w:rPr>
          <w:rFonts w:ascii="Times New Roman" w:hAnsi="Times New Roman" w:cs="Times New Roman"/>
        </w:rPr>
        <w:t>(4)(a)</w:t>
      </w:r>
      <w:r w:rsidR="0027744E" w:rsidRPr="00397701">
        <w:rPr>
          <w:rFonts w:ascii="Times New Roman" w:hAnsi="Times New Roman" w:cs="Times New Roman"/>
        </w:rPr>
        <w:t>)</w:t>
      </w:r>
      <w:r w:rsidRPr="00397701">
        <w:rPr>
          <w:rFonts w:ascii="Times New Roman" w:hAnsi="Times New Roman" w:cs="Times New Roman"/>
        </w:rPr>
        <w:t>,</w:t>
      </w:r>
      <w:r w:rsidR="00631663" w:rsidRPr="00397701">
        <w:rPr>
          <w:rFonts w:ascii="Times New Roman" w:hAnsi="Times New Roman" w:cs="Times New Roman"/>
        </w:rPr>
        <w:t xml:space="preserve"> and </w:t>
      </w:r>
      <w:r w:rsidRPr="00397701">
        <w:rPr>
          <w:rFonts w:ascii="Times New Roman" w:hAnsi="Times New Roman" w:cs="Times New Roman"/>
        </w:rPr>
        <w:t xml:space="preserve">dispose of or destroy the material securely once the obligation has been met </w:t>
      </w:r>
      <w:r w:rsidR="0027744E" w:rsidRPr="00397701">
        <w:rPr>
          <w:rFonts w:ascii="Times New Roman" w:hAnsi="Times New Roman" w:cs="Times New Roman"/>
        </w:rPr>
        <w:t>(</w:t>
      </w:r>
      <w:r w:rsidRPr="00397701">
        <w:rPr>
          <w:rFonts w:ascii="Times New Roman" w:hAnsi="Times New Roman" w:cs="Times New Roman"/>
        </w:rPr>
        <w:t xml:space="preserve">paragraph </w:t>
      </w:r>
      <w:r w:rsidR="00FD55AF" w:rsidRPr="00397701">
        <w:rPr>
          <w:rFonts w:ascii="Times New Roman" w:hAnsi="Times New Roman" w:cs="Times New Roman"/>
        </w:rPr>
        <w:t>31</w:t>
      </w:r>
      <w:r w:rsidRPr="00397701">
        <w:rPr>
          <w:rFonts w:ascii="Times New Roman" w:hAnsi="Times New Roman" w:cs="Times New Roman"/>
        </w:rPr>
        <w:t>(4)(b)</w:t>
      </w:r>
      <w:r w:rsidR="0027744E" w:rsidRPr="00397701">
        <w:rPr>
          <w:rFonts w:ascii="Times New Roman" w:hAnsi="Times New Roman" w:cs="Times New Roman"/>
        </w:rPr>
        <w:t>)</w:t>
      </w:r>
      <w:r w:rsidR="008666E5" w:rsidRPr="00397701">
        <w:rPr>
          <w:rFonts w:ascii="Times New Roman" w:hAnsi="Times New Roman" w:cs="Times New Roman"/>
        </w:rPr>
        <w:t>.</w:t>
      </w:r>
    </w:p>
    <w:p w14:paraId="034D6EEF" w14:textId="35BF4C14" w:rsidR="00631663" w:rsidRPr="00397701" w:rsidRDefault="00631663" w:rsidP="00631663">
      <w:pPr>
        <w:rPr>
          <w:rFonts w:ascii="Times New Roman" w:hAnsi="Times New Roman" w:cs="Times New Roman"/>
        </w:rPr>
      </w:pPr>
      <w:r w:rsidRPr="00397701">
        <w:rPr>
          <w:rFonts w:ascii="Times New Roman" w:hAnsi="Times New Roman" w:cs="Times New Roman"/>
        </w:rPr>
        <w:t xml:space="preserve">Where evidence has been sought to </w:t>
      </w:r>
      <w:r w:rsidR="005A5921" w:rsidRPr="00397701">
        <w:rPr>
          <w:rFonts w:ascii="Times New Roman" w:hAnsi="Times New Roman" w:cs="Times New Roman"/>
        </w:rPr>
        <w:t xml:space="preserve">prevent </w:t>
      </w:r>
      <w:r w:rsidRPr="00397701">
        <w:rPr>
          <w:rFonts w:ascii="Times New Roman" w:hAnsi="Times New Roman" w:cs="Times New Roman"/>
        </w:rPr>
        <w:t>further harm</w:t>
      </w:r>
      <w:r w:rsidR="005A5921" w:rsidRPr="00397701">
        <w:rPr>
          <w:rFonts w:ascii="Times New Roman" w:hAnsi="Times New Roman" w:cs="Times New Roman"/>
        </w:rPr>
        <w:t xml:space="preserve"> to the affected person</w:t>
      </w:r>
      <w:r w:rsidRPr="00397701">
        <w:rPr>
          <w:rFonts w:ascii="Times New Roman" w:hAnsi="Times New Roman" w:cs="Times New Roman"/>
        </w:rPr>
        <w:t xml:space="preserve">, the provider must dispose of or destroy the material securely </w:t>
      </w:r>
      <w:r w:rsidR="005A5921" w:rsidRPr="00397701">
        <w:rPr>
          <w:rFonts w:ascii="Times New Roman" w:hAnsi="Times New Roman" w:cs="Times New Roman"/>
        </w:rPr>
        <w:t>once</w:t>
      </w:r>
      <w:r w:rsidRPr="00397701">
        <w:rPr>
          <w:rFonts w:ascii="Times New Roman" w:hAnsi="Times New Roman" w:cs="Times New Roman"/>
        </w:rPr>
        <w:t xml:space="preserve"> the evidence has been sighted</w:t>
      </w:r>
      <w:r w:rsidR="00FD55AF" w:rsidRPr="00397701">
        <w:rPr>
          <w:rFonts w:ascii="Times New Roman" w:hAnsi="Times New Roman" w:cs="Times New Roman"/>
        </w:rPr>
        <w:t xml:space="preserve"> </w:t>
      </w:r>
      <w:r w:rsidRPr="00397701">
        <w:rPr>
          <w:rFonts w:ascii="Times New Roman" w:hAnsi="Times New Roman" w:cs="Times New Roman"/>
        </w:rPr>
        <w:t>(</w:t>
      </w:r>
      <w:r w:rsidR="00FD55AF" w:rsidRPr="00397701">
        <w:rPr>
          <w:rFonts w:ascii="Times New Roman" w:hAnsi="Times New Roman" w:cs="Times New Roman"/>
        </w:rPr>
        <w:t>31</w:t>
      </w:r>
      <w:r w:rsidRPr="00397701">
        <w:rPr>
          <w:rFonts w:ascii="Times New Roman" w:hAnsi="Times New Roman" w:cs="Times New Roman"/>
        </w:rPr>
        <w:t>(5)(a))</w:t>
      </w:r>
      <w:r w:rsidR="00FD55AF" w:rsidRPr="00397701">
        <w:rPr>
          <w:rFonts w:ascii="Times New Roman" w:hAnsi="Times New Roman" w:cs="Times New Roman"/>
        </w:rPr>
        <w:t>.</w:t>
      </w:r>
    </w:p>
    <w:p w14:paraId="61D3295D" w14:textId="5C2E8E51" w:rsidR="00631663" w:rsidRPr="00397701" w:rsidRDefault="00631663" w:rsidP="00631663">
      <w:pPr>
        <w:tabs>
          <w:tab w:val="num" w:pos="720"/>
        </w:tabs>
        <w:rPr>
          <w:rFonts w:ascii="Times New Roman" w:hAnsi="Times New Roman" w:cs="Times New Roman"/>
        </w:rPr>
      </w:pPr>
      <w:r w:rsidRPr="00397701">
        <w:rPr>
          <w:rFonts w:ascii="Times New Roman" w:hAnsi="Times New Roman" w:cs="Times New Roman"/>
        </w:rPr>
        <w:t xml:space="preserve">In each case, the provider must </w:t>
      </w:r>
      <w:r w:rsidR="00D329F3" w:rsidRPr="00397701">
        <w:rPr>
          <w:rFonts w:ascii="Times New Roman" w:hAnsi="Times New Roman" w:cs="Times New Roman"/>
        </w:rPr>
        <w:t xml:space="preserve">retain a record of the type of evidence that was </w:t>
      </w:r>
      <w:r w:rsidR="00384E51" w:rsidRPr="00397701">
        <w:rPr>
          <w:rFonts w:ascii="Times New Roman" w:hAnsi="Times New Roman" w:cs="Times New Roman"/>
        </w:rPr>
        <w:t>sought</w:t>
      </w:r>
      <w:r w:rsidR="00D329F3" w:rsidRPr="00397701">
        <w:rPr>
          <w:rFonts w:ascii="Times New Roman" w:hAnsi="Times New Roman" w:cs="Times New Roman"/>
        </w:rPr>
        <w:t xml:space="preserve">, provided and sighted </w:t>
      </w:r>
      <w:r w:rsidR="0027744E" w:rsidRPr="00397701">
        <w:rPr>
          <w:rFonts w:ascii="Times New Roman" w:hAnsi="Times New Roman" w:cs="Times New Roman"/>
        </w:rPr>
        <w:t>(</w:t>
      </w:r>
      <w:r w:rsidR="00D329F3" w:rsidRPr="00397701">
        <w:rPr>
          <w:rFonts w:ascii="Times New Roman" w:hAnsi="Times New Roman" w:cs="Times New Roman"/>
        </w:rPr>
        <w:t xml:space="preserve">paragraph </w:t>
      </w:r>
      <w:r w:rsidR="00FD55AF" w:rsidRPr="00397701">
        <w:rPr>
          <w:rFonts w:ascii="Times New Roman" w:hAnsi="Times New Roman" w:cs="Times New Roman"/>
        </w:rPr>
        <w:t>31</w:t>
      </w:r>
      <w:r w:rsidR="00D329F3" w:rsidRPr="00397701">
        <w:rPr>
          <w:rFonts w:ascii="Times New Roman" w:hAnsi="Times New Roman" w:cs="Times New Roman"/>
        </w:rPr>
        <w:t>(4)(c)</w:t>
      </w:r>
      <w:r w:rsidRPr="00397701">
        <w:rPr>
          <w:rFonts w:ascii="Times New Roman" w:hAnsi="Times New Roman" w:cs="Times New Roman"/>
        </w:rPr>
        <w:t xml:space="preserve"> </w:t>
      </w:r>
      <w:r w:rsidR="0011261F" w:rsidRPr="00397701">
        <w:rPr>
          <w:rFonts w:ascii="Times New Roman" w:hAnsi="Times New Roman" w:cs="Times New Roman"/>
        </w:rPr>
        <w:t xml:space="preserve">and </w:t>
      </w:r>
      <w:r w:rsidR="00FD55AF" w:rsidRPr="00397701">
        <w:rPr>
          <w:rFonts w:ascii="Times New Roman" w:hAnsi="Times New Roman" w:cs="Times New Roman"/>
        </w:rPr>
        <w:t>31</w:t>
      </w:r>
      <w:r w:rsidRPr="00397701">
        <w:rPr>
          <w:rFonts w:ascii="Times New Roman" w:hAnsi="Times New Roman" w:cs="Times New Roman"/>
        </w:rPr>
        <w:t>(5)(b)</w:t>
      </w:r>
      <w:r w:rsidR="0027744E" w:rsidRPr="00397701">
        <w:rPr>
          <w:rFonts w:ascii="Times New Roman" w:hAnsi="Times New Roman" w:cs="Times New Roman"/>
        </w:rPr>
        <w:t>)</w:t>
      </w:r>
      <w:r w:rsidR="00D329F3" w:rsidRPr="00397701">
        <w:rPr>
          <w:rFonts w:ascii="Times New Roman" w:hAnsi="Times New Roman" w:cs="Times New Roman"/>
        </w:rPr>
        <w:t>.</w:t>
      </w:r>
    </w:p>
    <w:p w14:paraId="06554483" w14:textId="54BCF8E4" w:rsidR="00280DD7" w:rsidRPr="00397701" w:rsidRDefault="00D329F3" w:rsidP="005958D6">
      <w:pPr>
        <w:rPr>
          <w:rFonts w:ascii="Times New Roman" w:hAnsi="Times New Roman" w:cs="Times New Roman"/>
        </w:rPr>
      </w:pPr>
      <w:r w:rsidRPr="00397701">
        <w:rPr>
          <w:rFonts w:ascii="Times New Roman" w:hAnsi="Times New Roman" w:cs="Times New Roman"/>
        </w:rPr>
        <w:t>This approach seeks to balance the need for providers to demonstrate compliance with protections that reduce the risk of misuse or unauthorised disclosure of sensitive personal information</w:t>
      </w:r>
      <w:r w:rsidR="005A5921" w:rsidRPr="00397701">
        <w:rPr>
          <w:rFonts w:ascii="Times New Roman" w:hAnsi="Times New Roman" w:cs="Times New Roman"/>
        </w:rPr>
        <w:t xml:space="preserve"> of affected persons</w:t>
      </w:r>
      <w:r w:rsidRPr="00397701">
        <w:rPr>
          <w:rFonts w:ascii="Times New Roman" w:hAnsi="Times New Roman" w:cs="Times New Roman"/>
        </w:rPr>
        <w:t>.</w:t>
      </w:r>
    </w:p>
    <w:p w14:paraId="40C668DA" w14:textId="0116A793" w:rsidR="00A80AA7" w:rsidRPr="00397701" w:rsidRDefault="00A80AA7" w:rsidP="00A80AA7">
      <w:pPr>
        <w:spacing w:before="280"/>
        <w:rPr>
          <w:rFonts w:ascii="Times New Roman" w:hAnsi="Times New Roman" w:cs="Times New Roman"/>
          <w:b/>
        </w:rPr>
      </w:pPr>
      <w:r w:rsidRPr="00397701">
        <w:rPr>
          <w:rFonts w:ascii="Times New Roman" w:hAnsi="Times New Roman" w:cs="Times New Roman"/>
          <w:b/>
        </w:rPr>
        <w:t xml:space="preserve">Part </w:t>
      </w:r>
      <w:r w:rsidR="00EE79EE" w:rsidRPr="00397701">
        <w:rPr>
          <w:rFonts w:ascii="Times New Roman" w:hAnsi="Times New Roman" w:cs="Times New Roman"/>
          <w:b/>
        </w:rPr>
        <w:t>10</w:t>
      </w:r>
      <w:r w:rsidRPr="00397701">
        <w:rPr>
          <w:rFonts w:ascii="Times New Roman" w:hAnsi="Times New Roman" w:cs="Times New Roman"/>
          <w:b/>
        </w:rPr>
        <w:t xml:space="preserve">—Consultation </w:t>
      </w:r>
    </w:p>
    <w:p w14:paraId="374D36C6" w14:textId="097EAE6E" w:rsidR="00CD5C9F" w:rsidRPr="00397701" w:rsidRDefault="00CD5C9F" w:rsidP="00A80AA7">
      <w:pPr>
        <w:rPr>
          <w:rFonts w:ascii="Times New Roman" w:hAnsi="Times New Roman" w:cs="Times New Roman"/>
          <w:bCs/>
        </w:rPr>
      </w:pPr>
      <w:r w:rsidRPr="00397701">
        <w:rPr>
          <w:rFonts w:ascii="Times New Roman" w:hAnsi="Times New Roman" w:cs="Times New Roman"/>
          <w:bCs/>
        </w:rPr>
        <w:t xml:space="preserve">This Part promotes the development of </w:t>
      </w:r>
      <w:r w:rsidR="00F72D9D" w:rsidRPr="00397701">
        <w:rPr>
          <w:rFonts w:ascii="Times New Roman" w:hAnsi="Times New Roman" w:cs="Times New Roman"/>
          <w:bCs/>
        </w:rPr>
        <w:t xml:space="preserve">DFV </w:t>
      </w:r>
      <w:r w:rsidRPr="00397701">
        <w:rPr>
          <w:rFonts w:ascii="Times New Roman" w:hAnsi="Times New Roman" w:cs="Times New Roman"/>
          <w:bCs/>
        </w:rPr>
        <w:t>polic</w:t>
      </w:r>
      <w:r w:rsidR="00384E51" w:rsidRPr="00397701">
        <w:rPr>
          <w:rFonts w:ascii="Times New Roman" w:hAnsi="Times New Roman" w:cs="Times New Roman"/>
          <w:bCs/>
        </w:rPr>
        <w:t>ies</w:t>
      </w:r>
      <w:r w:rsidR="00F72D9D" w:rsidRPr="00397701">
        <w:rPr>
          <w:rFonts w:ascii="Times New Roman" w:hAnsi="Times New Roman" w:cs="Times New Roman"/>
          <w:bCs/>
        </w:rPr>
        <w:t>, DFV procedures</w:t>
      </w:r>
      <w:r w:rsidRPr="00397701">
        <w:rPr>
          <w:rFonts w:ascii="Times New Roman" w:hAnsi="Times New Roman" w:cs="Times New Roman"/>
          <w:bCs/>
        </w:rPr>
        <w:t xml:space="preserve">, and </w:t>
      </w:r>
      <w:r w:rsidR="0023605B" w:rsidRPr="00397701">
        <w:rPr>
          <w:rFonts w:ascii="Times New Roman" w:hAnsi="Times New Roman" w:cs="Times New Roman"/>
          <w:bCs/>
        </w:rPr>
        <w:t xml:space="preserve">DFV </w:t>
      </w:r>
      <w:r w:rsidRPr="00397701">
        <w:rPr>
          <w:rFonts w:ascii="Times New Roman" w:hAnsi="Times New Roman" w:cs="Times New Roman"/>
          <w:bCs/>
        </w:rPr>
        <w:t>training that are informed by lived experience, sectoral expertise and best practice.</w:t>
      </w:r>
    </w:p>
    <w:p w14:paraId="486DC75A" w14:textId="2CC04E0C" w:rsidR="0027744E" w:rsidRPr="00397701" w:rsidRDefault="0027744E" w:rsidP="0027744E">
      <w:pPr>
        <w:rPr>
          <w:rFonts w:ascii="Times New Roman" w:hAnsi="Times New Roman" w:cs="Times New Roman"/>
          <w:b/>
        </w:rPr>
      </w:pPr>
      <w:r w:rsidRPr="00397701">
        <w:rPr>
          <w:rFonts w:ascii="Times New Roman" w:hAnsi="Times New Roman" w:cs="Times New Roman"/>
          <w:b/>
        </w:rPr>
        <w:t>Section 3</w:t>
      </w:r>
      <w:r w:rsidR="00FD55AF" w:rsidRPr="00397701">
        <w:rPr>
          <w:rFonts w:ascii="Times New Roman" w:hAnsi="Times New Roman" w:cs="Times New Roman"/>
          <w:b/>
        </w:rPr>
        <w:t>2</w:t>
      </w:r>
      <w:r w:rsidRPr="00397701">
        <w:rPr>
          <w:rFonts w:ascii="Times New Roman" w:hAnsi="Times New Roman" w:cs="Times New Roman"/>
          <w:b/>
        </w:rPr>
        <w:tab/>
        <w:t>Requirement to consult</w:t>
      </w:r>
    </w:p>
    <w:p w14:paraId="10F4E1F9" w14:textId="70E60860" w:rsidR="002F7ABC" w:rsidRPr="00397701" w:rsidRDefault="0027744E" w:rsidP="0027744E">
      <w:pPr>
        <w:rPr>
          <w:rFonts w:ascii="Times New Roman" w:hAnsi="Times New Roman" w:cs="Times New Roman"/>
          <w:bCs/>
        </w:rPr>
      </w:pPr>
      <w:r w:rsidRPr="00397701">
        <w:rPr>
          <w:rFonts w:ascii="Times New Roman" w:hAnsi="Times New Roman" w:cs="Times New Roman"/>
          <w:bCs/>
        </w:rPr>
        <w:t>Section 3</w:t>
      </w:r>
      <w:r w:rsidR="00FD55AF" w:rsidRPr="00397701">
        <w:rPr>
          <w:rFonts w:ascii="Times New Roman" w:hAnsi="Times New Roman" w:cs="Times New Roman"/>
          <w:bCs/>
        </w:rPr>
        <w:t>2</w:t>
      </w:r>
      <w:r w:rsidRPr="00397701">
        <w:rPr>
          <w:rFonts w:ascii="Times New Roman" w:hAnsi="Times New Roman" w:cs="Times New Roman"/>
          <w:bCs/>
        </w:rPr>
        <w:t xml:space="preserve"> requires providers to consult with relevant </w:t>
      </w:r>
      <w:r w:rsidR="00B3740B" w:rsidRPr="00397701">
        <w:rPr>
          <w:rFonts w:ascii="Times New Roman" w:hAnsi="Times New Roman" w:cs="Times New Roman"/>
          <w:bCs/>
        </w:rPr>
        <w:t xml:space="preserve">experts </w:t>
      </w:r>
      <w:r w:rsidRPr="00397701">
        <w:rPr>
          <w:rFonts w:ascii="Times New Roman" w:hAnsi="Times New Roman" w:cs="Times New Roman"/>
          <w:bCs/>
        </w:rPr>
        <w:t>when developing and reviewing their DFV policies, procedures, and training</w:t>
      </w:r>
      <w:r w:rsidR="002F7ABC" w:rsidRPr="00397701">
        <w:rPr>
          <w:rFonts w:ascii="Times New Roman" w:hAnsi="Times New Roman" w:cs="Times New Roman"/>
          <w:bCs/>
        </w:rPr>
        <w:t>, with t</w:t>
      </w:r>
      <w:r w:rsidRPr="00397701">
        <w:rPr>
          <w:rFonts w:ascii="Times New Roman" w:hAnsi="Times New Roman" w:cs="Times New Roman"/>
          <w:bCs/>
        </w:rPr>
        <w:t>he objective that provider responses to DFV are informed by specialist expertise, lived experience, and the needs of disproportionately affected groups.</w:t>
      </w:r>
      <w:r w:rsidR="00226D9F" w:rsidRPr="00397701">
        <w:rPr>
          <w:rFonts w:ascii="Times New Roman" w:hAnsi="Times New Roman" w:cs="Times New Roman"/>
          <w:bCs/>
        </w:rPr>
        <w:t xml:space="preserve"> </w:t>
      </w:r>
    </w:p>
    <w:p w14:paraId="46E3DFBA" w14:textId="463B6666" w:rsidR="0027744E" w:rsidRPr="00397701" w:rsidRDefault="002F7ABC" w:rsidP="0027744E">
      <w:pPr>
        <w:rPr>
          <w:rFonts w:ascii="Times New Roman" w:hAnsi="Times New Roman" w:cs="Times New Roman"/>
          <w:bCs/>
        </w:rPr>
      </w:pPr>
      <w:r w:rsidRPr="00397701">
        <w:rPr>
          <w:rFonts w:ascii="Times New Roman" w:hAnsi="Times New Roman" w:cs="Times New Roman"/>
          <w:bCs/>
        </w:rPr>
        <w:t>Subsection 3</w:t>
      </w:r>
      <w:r w:rsidR="00FD55AF" w:rsidRPr="00397701">
        <w:rPr>
          <w:rFonts w:ascii="Times New Roman" w:hAnsi="Times New Roman" w:cs="Times New Roman"/>
          <w:bCs/>
        </w:rPr>
        <w:t>2</w:t>
      </w:r>
      <w:r w:rsidRPr="00397701">
        <w:rPr>
          <w:rFonts w:ascii="Times New Roman" w:hAnsi="Times New Roman" w:cs="Times New Roman"/>
          <w:bCs/>
        </w:rPr>
        <w:t xml:space="preserve">(1) </w:t>
      </w:r>
      <w:r w:rsidR="00910BFC" w:rsidRPr="00397701">
        <w:rPr>
          <w:rFonts w:ascii="Times New Roman" w:hAnsi="Times New Roman" w:cs="Times New Roman"/>
          <w:bCs/>
        </w:rPr>
        <w:t>deals with</w:t>
      </w:r>
      <w:r w:rsidRPr="00397701">
        <w:rPr>
          <w:rFonts w:ascii="Times New Roman" w:hAnsi="Times New Roman" w:cs="Times New Roman"/>
          <w:bCs/>
        </w:rPr>
        <w:t xml:space="preserve"> to the development of DFV policies, procedures, and training while subsection 3</w:t>
      </w:r>
      <w:r w:rsidR="00FD55AF" w:rsidRPr="00397701">
        <w:rPr>
          <w:rFonts w:ascii="Times New Roman" w:hAnsi="Times New Roman" w:cs="Times New Roman"/>
          <w:bCs/>
        </w:rPr>
        <w:t>2</w:t>
      </w:r>
      <w:r w:rsidRPr="00397701">
        <w:rPr>
          <w:rFonts w:ascii="Times New Roman" w:hAnsi="Times New Roman" w:cs="Times New Roman"/>
          <w:bCs/>
        </w:rPr>
        <w:t xml:space="preserve">(2) </w:t>
      </w:r>
      <w:r w:rsidR="001850A3" w:rsidRPr="00397701">
        <w:rPr>
          <w:rFonts w:ascii="Times New Roman" w:hAnsi="Times New Roman" w:cs="Times New Roman"/>
          <w:bCs/>
        </w:rPr>
        <w:t>relates</w:t>
      </w:r>
      <w:r w:rsidRPr="00397701">
        <w:rPr>
          <w:rFonts w:ascii="Times New Roman" w:hAnsi="Times New Roman" w:cs="Times New Roman"/>
          <w:bCs/>
        </w:rPr>
        <w:t xml:space="preserve"> to when DFV policies</w:t>
      </w:r>
      <w:r w:rsidR="00910BFC" w:rsidRPr="00397701">
        <w:rPr>
          <w:rFonts w:ascii="Times New Roman" w:hAnsi="Times New Roman" w:cs="Times New Roman"/>
          <w:bCs/>
        </w:rPr>
        <w:t xml:space="preserve"> and</w:t>
      </w:r>
      <w:r w:rsidRPr="00397701">
        <w:rPr>
          <w:rFonts w:ascii="Times New Roman" w:hAnsi="Times New Roman" w:cs="Times New Roman"/>
          <w:bCs/>
        </w:rPr>
        <w:t xml:space="preserve"> procedures</w:t>
      </w:r>
      <w:r w:rsidR="00B12499">
        <w:rPr>
          <w:rFonts w:ascii="Times New Roman" w:hAnsi="Times New Roman" w:cs="Times New Roman"/>
          <w:bCs/>
        </w:rPr>
        <w:t xml:space="preserve"> </w:t>
      </w:r>
      <w:r w:rsidRPr="00397701">
        <w:rPr>
          <w:rFonts w:ascii="Times New Roman" w:hAnsi="Times New Roman" w:cs="Times New Roman"/>
          <w:bCs/>
        </w:rPr>
        <w:t>are formally reviewed at least every 24 months.</w:t>
      </w:r>
    </w:p>
    <w:p w14:paraId="2F0AB478" w14:textId="13366103" w:rsidR="0027744E" w:rsidRPr="00397701" w:rsidRDefault="002F7ABC" w:rsidP="0027744E">
      <w:pPr>
        <w:rPr>
          <w:rFonts w:ascii="Times New Roman" w:hAnsi="Times New Roman" w:cs="Times New Roman"/>
          <w:bCs/>
        </w:rPr>
      </w:pPr>
      <w:r w:rsidRPr="00397701">
        <w:rPr>
          <w:rFonts w:ascii="Times New Roman" w:hAnsi="Times New Roman" w:cs="Times New Roman"/>
          <w:bCs/>
        </w:rPr>
        <w:t>Both s</w:t>
      </w:r>
      <w:r w:rsidR="0027744E" w:rsidRPr="00397701">
        <w:rPr>
          <w:rFonts w:ascii="Times New Roman" w:hAnsi="Times New Roman" w:cs="Times New Roman"/>
          <w:bCs/>
        </w:rPr>
        <w:t>ubsection 3</w:t>
      </w:r>
      <w:r w:rsidR="00FD55AF" w:rsidRPr="00397701">
        <w:rPr>
          <w:rFonts w:ascii="Times New Roman" w:hAnsi="Times New Roman" w:cs="Times New Roman"/>
          <w:bCs/>
        </w:rPr>
        <w:t>2</w:t>
      </w:r>
      <w:r w:rsidR="0027744E" w:rsidRPr="00397701">
        <w:rPr>
          <w:rFonts w:ascii="Times New Roman" w:hAnsi="Times New Roman" w:cs="Times New Roman"/>
          <w:bCs/>
        </w:rPr>
        <w:t xml:space="preserve">(1) </w:t>
      </w:r>
      <w:r w:rsidRPr="00397701">
        <w:rPr>
          <w:rFonts w:ascii="Times New Roman" w:hAnsi="Times New Roman" w:cs="Times New Roman"/>
          <w:bCs/>
        </w:rPr>
        <w:t>and subsection</w:t>
      </w:r>
      <w:r w:rsidR="00FD55AF" w:rsidRPr="00397701">
        <w:rPr>
          <w:rFonts w:ascii="Times New Roman" w:hAnsi="Times New Roman" w:cs="Times New Roman"/>
          <w:bCs/>
        </w:rPr>
        <w:t xml:space="preserve"> </w:t>
      </w:r>
      <w:r w:rsidRPr="00397701">
        <w:rPr>
          <w:rFonts w:ascii="Times New Roman" w:hAnsi="Times New Roman" w:cs="Times New Roman"/>
          <w:bCs/>
        </w:rPr>
        <w:t>3</w:t>
      </w:r>
      <w:r w:rsidR="00FD55AF" w:rsidRPr="00397701">
        <w:rPr>
          <w:rFonts w:ascii="Times New Roman" w:hAnsi="Times New Roman" w:cs="Times New Roman"/>
          <w:bCs/>
        </w:rPr>
        <w:t>2</w:t>
      </w:r>
      <w:r w:rsidRPr="00397701">
        <w:rPr>
          <w:rFonts w:ascii="Times New Roman" w:hAnsi="Times New Roman" w:cs="Times New Roman"/>
          <w:bCs/>
        </w:rPr>
        <w:t>(2</w:t>
      </w:r>
      <w:r w:rsidR="0027744E" w:rsidRPr="00397701">
        <w:rPr>
          <w:rFonts w:ascii="Times New Roman" w:hAnsi="Times New Roman" w:cs="Times New Roman"/>
          <w:bCs/>
        </w:rPr>
        <w:t xml:space="preserve">) require providers to consult with at least two categories of stakeholders when developing </w:t>
      </w:r>
      <w:r w:rsidRPr="00397701">
        <w:rPr>
          <w:rFonts w:ascii="Times New Roman" w:hAnsi="Times New Roman" w:cs="Times New Roman"/>
          <w:bCs/>
        </w:rPr>
        <w:t>or formally reviewing</w:t>
      </w:r>
      <w:r w:rsidR="0027744E" w:rsidRPr="00397701">
        <w:rPr>
          <w:rFonts w:ascii="Times New Roman" w:hAnsi="Times New Roman" w:cs="Times New Roman"/>
          <w:bCs/>
        </w:rPr>
        <w:t xml:space="preserve"> their DFV policy, DFV procedures, DFV policy training, and specialised DFV training. Specifically, providers must consult:</w:t>
      </w:r>
    </w:p>
    <w:p w14:paraId="48BA2786" w14:textId="77777777" w:rsidR="0027744E" w:rsidRPr="00397701" w:rsidRDefault="0027744E" w:rsidP="001D0578">
      <w:pPr>
        <w:numPr>
          <w:ilvl w:val="0"/>
          <w:numId w:val="31"/>
        </w:numPr>
        <w:tabs>
          <w:tab w:val="num" w:pos="720"/>
        </w:tabs>
        <w:rPr>
          <w:rFonts w:ascii="Times New Roman" w:hAnsi="Times New Roman" w:cs="Times New Roman"/>
          <w:bCs/>
        </w:rPr>
      </w:pPr>
      <w:r w:rsidRPr="00397701">
        <w:rPr>
          <w:rFonts w:ascii="Times New Roman" w:hAnsi="Times New Roman" w:cs="Times New Roman"/>
          <w:bCs/>
        </w:rPr>
        <w:t>a national or state-based DFV support service or organisation; and</w:t>
      </w:r>
    </w:p>
    <w:p w14:paraId="288B27E8" w14:textId="77777777" w:rsidR="0027744E" w:rsidRPr="00397701" w:rsidRDefault="0027744E" w:rsidP="001D0578">
      <w:pPr>
        <w:numPr>
          <w:ilvl w:val="0"/>
          <w:numId w:val="31"/>
        </w:numPr>
        <w:tabs>
          <w:tab w:val="num" w:pos="720"/>
        </w:tabs>
        <w:rPr>
          <w:rFonts w:ascii="Times New Roman" w:hAnsi="Times New Roman" w:cs="Times New Roman"/>
          <w:bCs/>
        </w:rPr>
      </w:pPr>
      <w:r w:rsidRPr="00397701">
        <w:rPr>
          <w:rFonts w:ascii="Times New Roman" w:hAnsi="Times New Roman" w:cs="Times New Roman"/>
          <w:bCs/>
        </w:rPr>
        <w:t>either:</w:t>
      </w:r>
    </w:p>
    <w:p w14:paraId="7D86BC27" w14:textId="77777777" w:rsidR="0027744E" w:rsidRPr="00397701" w:rsidRDefault="0027744E" w:rsidP="001D0578">
      <w:pPr>
        <w:numPr>
          <w:ilvl w:val="0"/>
          <w:numId w:val="33"/>
        </w:numPr>
        <w:rPr>
          <w:rFonts w:ascii="Times New Roman" w:hAnsi="Times New Roman" w:cs="Times New Roman"/>
          <w:bCs/>
        </w:rPr>
      </w:pPr>
      <w:r w:rsidRPr="00397701">
        <w:rPr>
          <w:rFonts w:ascii="Times New Roman" w:hAnsi="Times New Roman" w:cs="Times New Roman"/>
          <w:bCs/>
        </w:rPr>
        <w:t>a panel of individuals with lived experience of DFV, or their representatives; or</w:t>
      </w:r>
    </w:p>
    <w:p w14:paraId="34ED324F" w14:textId="2F38E944" w:rsidR="0027744E" w:rsidRPr="00397701" w:rsidRDefault="0027744E" w:rsidP="001D0578">
      <w:pPr>
        <w:numPr>
          <w:ilvl w:val="0"/>
          <w:numId w:val="33"/>
        </w:numPr>
        <w:rPr>
          <w:rFonts w:ascii="Times New Roman" w:hAnsi="Times New Roman" w:cs="Times New Roman"/>
          <w:bCs/>
        </w:rPr>
      </w:pPr>
      <w:r w:rsidRPr="00397701">
        <w:rPr>
          <w:rFonts w:ascii="Times New Roman" w:hAnsi="Times New Roman" w:cs="Times New Roman"/>
          <w:bCs/>
        </w:rPr>
        <w:t>a national or state-based organisation representing communities</w:t>
      </w:r>
      <w:r w:rsidR="00AC4D45" w:rsidRPr="00397701">
        <w:rPr>
          <w:rFonts w:ascii="Times New Roman" w:hAnsi="Times New Roman" w:cs="Times New Roman"/>
          <w:bCs/>
        </w:rPr>
        <w:t xml:space="preserve"> who are or may be </w:t>
      </w:r>
      <w:r w:rsidRPr="00397701">
        <w:rPr>
          <w:rFonts w:ascii="Times New Roman" w:hAnsi="Times New Roman" w:cs="Times New Roman"/>
          <w:bCs/>
        </w:rPr>
        <w:t>disproportionately affected by DFV</w:t>
      </w:r>
      <w:r w:rsidR="00B57002" w:rsidRPr="00397701">
        <w:rPr>
          <w:rFonts w:ascii="Times New Roman" w:hAnsi="Times New Roman" w:cs="Times New Roman"/>
          <w:bCs/>
        </w:rPr>
        <w:t xml:space="preserve"> – </w:t>
      </w:r>
      <w:r w:rsidRPr="00397701">
        <w:rPr>
          <w:rFonts w:ascii="Times New Roman" w:hAnsi="Times New Roman" w:cs="Times New Roman"/>
          <w:bCs/>
        </w:rPr>
        <w:t>such as First Nations people, people with disability, culturally and linguistically diverse communities, and LGBTQIA+ individuals.</w:t>
      </w:r>
    </w:p>
    <w:p w14:paraId="0AAFCA35" w14:textId="045ECC84" w:rsidR="0027744E" w:rsidRPr="00397701" w:rsidRDefault="0027744E" w:rsidP="0027744E">
      <w:pPr>
        <w:rPr>
          <w:rFonts w:ascii="Times New Roman" w:hAnsi="Times New Roman" w:cs="Times New Roman"/>
          <w:bCs/>
        </w:rPr>
      </w:pPr>
      <w:r w:rsidRPr="00397701">
        <w:rPr>
          <w:rFonts w:ascii="Times New Roman" w:hAnsi="Times New Roman" w:cs="Times New Roman"/>
          <w:bCs/>
        </w:rPr>
        <w:t>Th</w:t>
      </w:r>
      <w:r w:rsidR="007D5106" w:rsidRPr="00397701">
        <w:rPr>
          <w:rFonts w:ascii="Times New Roman" w:hAnsi="Times New Roman" w:cs="Times New Roman"/>
          <w:bCs/>
        </w:rPr>
        <w:t>ese</w:t>
      </w:r>
      <w:r w:rsidRPr="00397701">
        <w:rPr>
          <w:rFonts w:ascii="Times New Roman" w:hAnsi="Times New Roman" w:cs="Times New Roman"/>
          <w:bCs/>
        </w:rPr>
        <w:t xml:space="preserve"> requirement</w:t>
      </w:r>
      <w:r w:rsidR="007D5106" w:rsidRPr="00397701">
        <w:rPr>
          <w:rFonts w:ascii="Times New Roman" w:hAnsi="Times New Roman" w:cs="Times New Roman"/>
          <w:bCs/>
        </w:rPr>
        <w:t>s</w:t>
      </w:r>
      <w:r w:rsidRPr="00397701">
        <w:rPr>
          <w:rFonts w:ascii="Times New Roman" w:hAnsi="Times New Roman" w:cs="Times New Roman"/>
          <w:bCs/>
        </w:rPr>
        <w:t xml:space="preserve"> embed both sectoral expertise and diverse lived experience into the provider’s DFV framework and reflect an intersectional approach to DFV respons</w:t>
      </w:r>
      <w:r w:rsidR="002A4DDB" w:rsidRPr="00397701">
        <w:rPr>
          <w:rFonts w:ascii="Times New Roman" w:hAnsi="Times New Roman" w:cs="Times New Roman"/>
          <w:bCs/>
        </w:rPr>
        <w:t>ive</w:t>
      </w:r>
      <w:r w:rsidRPr="00397701">
        <w:rPr>
          <w:rFonts w:ascii="Times New Roman" w:hAnsi="Times New Roman" w:cs="Times New Roman"/>
          <w:bCs/>
        </w:rPr>
        <w:t xml:space="preserve"> design.</w:t>
      </w:r>
      <w:r w:rsidR="00FD55AF" w:rsidRPr="00397701">
        <w:rPr>
          <w:rFonts w:ascii="Times New Roman" w:hAnsi="Times New Roman" w:cs="Times New Roman"/>
          <w:bCs/>
        </w:rPr>
        <w:t xml:space="preserve"> In consulting with DFV support service organisations, lived experience panels and those representing communities disproportionately affected by DFV</w:t>
      </w:r>
      <w:r w:rsidR="00093582" w:rsidRPr="00397701">
        <w:rPr>
          <w:rFonts w:ascii="Times New Roman" w:hAnsi="Times New Roman" w:cs="Times New Roman"/>
          <w:bCs/>
        </w:rPr>
        <w:t>,</w:t>
      </w:r>
      <w:r w:rsidR="00FD55AF" w:rsidRPr="00397701">
        <w:rPr>
          <w:rFonts w:ascii="Times New Roman" w:hAnsi="Times New Roman" w:cs="Times New Roman"/>
          <w:bCs/>
        </w:rPr>
        <w:t xml:space="preserve"> consultation may be undertaken through a single ‘gateway’ organisation who offers access to some or all these experts.  </w:t>
      </w:r>
    </w:p>
    <w:p w14:paraId="14ED0E00" w14:textId="6D8456D8" w:rsidR="0027744E" w:rsidRPr="00397701" w:rsidRDefault="002F7ABC" w:rsidP="0027744E">
      <w:pPr>
        <w:rPr>
          <w:rFonts w:ascii="Times New Roman" w:hAnsi="Times New Roman" w:cs="Times New Roman"/>
          <w:bCs/>
        </w:rPr>
      </w:pPr>
      <w:r w:rsidRPr="00397701">
        <w:rPr>
          <w:rFonts w:ascii="Times New Roman" w:hAnsi="Times New Roman" w:cs="Times New Roman"/>
          <w:bCs/>
        </w:rPr>
        <w:t>In respect to subsection 3</w:t>
      </w:r>
      <w:r w:rsidR="00FD55AF" w:rsidRPr="00397701">
        <w:rPr>
          <w:rFonts w:ascii="Times New Roman" w:hAnsi="Times New Roman" w:cs="Times New Roman"/>
          <w:bCs/>
        </w:rPr>
        <w:t>2</w:t>
      </w:r>
      <w:r w:rsidRPr="00397701">
        <w:rPr>
          <w:rFonts w:ascii="Times New Roman" w:hAnsi="Times New Roman" w:cs="Times New Roman"/>
          <w:bCs/>
        </w:rPr>
        <w:t>(1), c</w:t>
      </w:r>
      <w:r w:rsidR="009E5161" w:rsidRPr="00397701">
        <w:rPr>
          <w:rFonts w:ascii="Times New Roman" w:hAnsi="Times New Roman" w:cs="Times New Roman"/>
          <w:bCs/>
        </w:rPr>
        <w:t>onsultation may take place at any point during the development of the DFV polic</w:t>
      </w:r>
      <w:r w:rsidR="005611EB" w:rsidRPr="00397701">
        <w:rPr>
          <w:rFonts w:ascii="Times New Roman" w:hAnsi="Times New Roman" w:cs="Times New Roman"/>
          <w:bCs/>
        </w:rPr>
        <w:t>y</w:t>
      </w:r>
      <w:r w:rsidR="009E5161" w:rsidRPr="00397701">
        <w:rPr>
          <w:rFonts w:ascii="Times New Roman" w:hAnsi="Times New Roman" w:cs="Times New Roman"/>
          <w:bCs/>
        </w:rPr>
        <w:t>, procedures and training. However, p</w:t>
      </w:r>
      <w:r w:rsidR="00631663" w:rsidRPr="00397701">
        <w:rPr>
          <w:rFonts w:ascii="Times New Roman" w:hAnsi="Times New Roman" w:cs="Times New Roman"/>
          <w:bCs/>
        </w:rPr>
        <w:t>rior</w:t>
      </w:r>
      <w:r w:rsidR="0027744E" w:rsidRPr="00397701">
        <w:rPr>
          <w:rFonts w:ascii="Times New Roman" w:hAnsi="Times New Roman" w:cs="Times New Roman"/>
          <w:bCs/>
        </w:rPr>
        <w:t xml:space="preserve"> to conducting formal consultation,</w:t>
      </w:r>
      <w:r w:rsidR="00631663" w:rsidRPr="00397701">
        <w:rPr>
          <w:rFonts w:ascii="Times New Roman" w:hAnsi="Times New Roman" w:cs="Times New Roman"/>
          <w:bCs/>
        </w:rPr>
        <w:t xml:space="preserve"> providers are encouraged</w:t>
      </w:r>
      <w:r w:rsidR="0027744E" w:rsidRPr="00397701">
        <w:rPr>
          <w:rFonts w:ascii="Times New Roman" w:hAnsi="Times New Roman" w:cs="Times New Roman"/>
          <w:bCs/>
        </w:rPr>
        <w:t xml:space="preserve"> to use existing DFV guidance and training materials</w:t>
      </w:r>
      <w:r w:rsidR="00B57002" w:rsidRPr="00397701">
        <w:rPr>
          <w:rFonts w:ascii="Times New Roman" w:hAnsi="Times New Roman" w:cs="Times New Roman"/>
          <w:bCs/>
        </w:rPr>
        <w:t xml:space="preserve"> – </w:t>
      </w:r>
      <w:r w:rsidR="0027744E" w:rsidRPr="00397701">
        <w:rPr>
          <w:rFonts w:ascii="Times New Roman" w:hAnsi="Times New Roman" w:cs="Times New Roman"/>
          <w:bCs/>
        </w:rPr>
        <w:t>such as those developed by the telecommunications, energy, water or banking sectors</w:t>
      </w:r>
      <w:r w:rsidR="00B57002" w:rsidRPr="00397701">
        <w:rPr>
          <w:rFonts w:ascii="Times New Roman" w:hAnsi="Times New Roman" w:cs="Times New Roman"/>
          <w:bCs/>
        </w:rPr>
        <w:t xml:space="preserve"> – </w:t>
      </w:r>
      <w:r w:rsidR="0027744E" w:rsidRPr="00397701">
        <w:rPr>
          <w:rFonts w:ascii="Times New Roman" w:hAnsi="Times New Roman" w:cs="Times New Roman"/>
          <w:bCs/>
        </w:rPr>
        <w:t>if those materials were developed in collaboration with the DFV support sector. This promotes efficient and consistent adoption of best practice resources while maintaining alignment with sector-informed approaches.</w:t>
      </w:r>
      <w:r w:rsidR="002A7CB3" w:rsidRPr="00397701">
        <w:rPr>
          <w:rFonts w:ascii="Times New Roman" w:hAnsi="Times New Roman" w:cs="Times New Roman"/>
          <w:bCs/>
        </w:rPr>
        <w:t xml:space="preserve"> </w:t>
      </w:r>
    </w:p>
    <w:p w14:paraId="653ED90F" w14:textId="2C60BA19" w:rsidR="0027744E" w:rsidRPr="00397701" w:rsidRDefault="0027744E" w:rsidP="0027744E">
      <w:pPr>
        <w:rPr>
          <w:rFonts w:ascii="Times New Roman" w:hAnsi="Times New Roman" w:cs="Times New Roman"/>
          <w:bCs/>
        </w:rPr>
      </w:pPr>
      <w:r w:rsidRPr="00397701">
        <w:rPr>
          <w:rFonts w:ascii="Times New Roman" w:hAnsi="Times New Roman" w:cs="Times New Roman"/>
          <w:bCs/>
        </w:rPr>
        <w:lastRenderedPageBreak/>
        <w:t>Subsections 3</w:t>
      </w:r>
      <w:r w:rsidR="00FD55AF" w:rsidRPr="00397701">
        <w:rPr>
          <w:rFonts w:ascii="Times New Roman" w:hAnsi="Times New Roman" w:cs="Times New Roman"/>
          <w:bCs/>
        </w:rPr>
        <w:t>2</w:t>
      </w:r>
      <w:r w:rsidRPr="00397701">
        <w:rPr>
          <w:rFonts w:ascii="Times New Roman" w:hAnsi="Times New Roman" w:cs="Times New Roman"/>
          <w:bCs/>
        </w:rPr>
        <w:t>(3) and (4) differentiate consultation obligations based on provider size:</w:t>
      </w:r>
    </w:p>
    <w:p w14:paraId="371A0418" w14:textId="09049269" w:rsidR="0027744E" w:rsidRPr="00397701" w:rsidRDefault="0027744E" w:rsidP="001D0578">
      <w:pPr>
        <w:numPr>
          <w:ilvl w:val="0"/>
          <w:numId w:val="32"/>
        </w:numPr>
        <w:tabs>
          <w:tab w:val="num" w:pos="720"/>
        </w:tabs>
        <w:rPr>
          <w:rFonts w:ascii="Times New Roman" w:hAnsi="Times New Roman" w:cs="Times New Roman"/>
          <w:bCs/>
        </w:rPr>
      </w:pPr>
      <w:r w:rsidRPr="00397701">
        <w:rPr>
          <w:rFonts w:ascii="Times New Roman" w:hAnsi="Times New Roman" w:cs="Times New Roman"/>
          <w:bCs/>
        </w:rPr>
        <w:t xml:space="preserve">Large providers </w:t>
      </w:r>
      <w:r w:rsidR="006C3A79" w:rsidRPr="00397701">
        <w:rPr>
          <w:rFonts w:ascii="Times New Roman" w:hAnsi="Times New Roman" w:cs="Times New Roman"/>
          <w:bCs/>
        </w:rPr>
        <w:t xml:space="preserve">(those with </w:t>
      </w:r>
      <w:r w:rsidR="00132EAF" w:rsidRPr="00397701">
        <w:rPr>
          <w:rFonts w:ascii="Times New Roman" w:hAnsi="Times New Roman" w:cs="Times New Roman"/>
          <w:bCs/>
        </w:rPr>
        <w:t xml:space="preserve">at least </w:t>
      </w:r>
      <w:r w:rsidR="006C3A79" w:rsidRPr="00397701">
        <w:rPr>
          <w:rFonts w:ascii="Times New Roman" w:hAnsi="Times New Roman" w:cs="Times New Roman"/>
          <w:bCs/>
        </w:rPr>
        <w:t>30,000 services in operation)</w:t>
      </w:r>
      <w:r w:rsidRPr="00397701">
        <w:rPr>
          <w:rFonts w:ascii="Times New Roman" w:hAnsi="Times New Roman" w:cs="Times New Roman"/>
          <w:bCs/>
        </w:rPr>
        <w:t xml:space="preserve"> must undertake the required consultation directly</w:t>
      </w:r>
      <w:r w:rsidR="002A7CB3" w:rsidRPr="00397701">
        <w:rPr>
          <w:rFonts w:ascii="Times New Roman" w:hAnsi="Times New Roman" w:cs="Times New Roman"/>
          <w:bCs/>
        </w:rPr>
        <w:t>.</w:t>
      </w:r>
    </w:p>
    <w:p w14:paraId="7C1BD8EB" w14:textId="43D89674" w:rsidR="0027744E" w:rsidRPr="00397701" w:rsidRDefault="0027744E" w:rsidP="001D0578">
      <w:pPr>
        <w:numPr>
          <w:ilvl w:val="0"/>
          <w:numId w:val="32"/>
        </w:numPr>
        <w:tabs>
          <w:tab w:val="num" w:pos="720"/>
        </w:tabs>
        <w:rPr>
          <w:rFonts w:ascii="Times New Roman" w:hAnsi="Times New Roman" w:cs="Times New Roman"/>
          <w:bCs/>
        </w:rPr>
      </w:pPr>
      <w:r w:rsidRPr="00397701">
        <w:rPr>
          <w:rFonts w:ascii="Times New Roman" w:hAnsi="Times New Roman" w:cs="Times New Roman"/>
          <w:bCs/>
        </w:rPr>
        <w:t xml:space="preserve">Small providers </w:t>
      </w:r>
      <w:r w:rsidR="006C3A79" w:rsidRPr="00397701">
        <w:rPr>
          <w:rFonts w:ascii="Times New Roman" w:hAnsi="Times New Roman" w:cs="Times New Roman"/>
          <w:bCs/>
        </w:rPr>
        <w:t xml:space="preserve">(those with 30,000 or </w:t>
      </w:r>
      <w:r w:rsidR="00093582" w:rsidRPr="00397701">
        <w:rPr>
          <w:rFonts w:ascii="Times New Roman" w:hAnsi="Times New Roman" w:cs="Times New Roman"/>
          <w:bCs/>
        </w:rPr>
        <w:t xml:space="preserve">fewer </w:t>
      </w:r>
      <w:r w:rsidR="006C3A79" w:rsidRPr="00397701">
        <w:rPr>
          <w:rFonts w:ascii="Times New Roman" w:hAnsi="Times New Roman" w:cs="Times New Roman"/>
          <w:bCs/>
        </w:rPr>
        <w:t>services in operation)</w:t>
      </w:r>
      <w:r w:rsidRPr="00397701">
        <w:rPr>
          <w:rFonts w:ascii="Times New Roman" w:hAnsi="Times New Roman" w:cs="Times New Roman"/>
          <w:bCs/>
        </w:rPr>
        <w:t xml:space="preserve"> may meet the consultation requirement through consultation conducted on their behalf by an industry group or representative body.</w:t>
      </w:r>
    </w:p>
    <w:p w14:paraId="4907FA1A" w14:textId="6710CA50" w:rsidR="009E5161" w:rsidRPr="00397701" w:rsidRDefault="009E5161" w:rsidP="0027744E">
      <w:pPr>
        <w:rPr>
          <w:rFonts w:ascii="Times New Roman" w:hAnsi="Times New Roman" w:cs="Times New Roman"/>
          <w:bCs/>
        </w:rPr>
      </w:pPr>
      <w:r w:rsidRPr="00397701">
        <w:rPr>
          <w:rFonts w:ascii="Times New Roman" w:hAnsi="Times New Roman" w:cs="Times New Roman"/>
          <w:bCs/>
        </w:rPr>
        <w:t xml:space="preserve">For clarity, </w:t>
      </w:r>
      <w:r w:rsidR="00FD55AF" w:rsidRPr="00397701">
        <w:rPr>
          <w:rFonts w:ascii="Times New Roman" w:hAnsi="Times New Roman" w:cs="Times New Roman"/>
          <w:bCs/>
        </w:rPr>
        <w:t xml:space="preserve">under subsection </w:t>
      </w:r>
      <w:r w:rsidR="00132EAF" w:rsidRPr="00397701">
        <w:rPr>
          <w:rFonts w:ascii="Times New Roman" w:hAnsi="Times New Roman" w:cs="Times New Roman"/>
          <w:bCs/>
        </w:rPr>
        <w:t>(</w:t>
      </w:r>
      <w:r w:rsidR="00F018AA" w:rsidRPr="00397701">
        <w:rPr>
          <w:rFonts w:ascii="Times New Roman" w:hAnsi="Times New Roman" w:cs="Times New Roman"/>
          <w:bCs/>
        </w:rPr>
        <w:t>4</w:t>
      </w:r>
      <w:r w:rsidR="00132EAF" w:rsidRPr="00397701">
        <w:rPr>
          <w:rFonts w:ascii="Times New Roman" w:hAnsi="Times New Roman" w:cs="Times New Roman"/>
          <w:bCs/>
        </w:rPr>
        <w:t>)</w:t>
      </w:r>
      <w:r w:rsidR="00FD55AF" w:rsidRPr="00397701">
        <w:rPr>
          <w:rFonts w:ascii="Times New Roman" w:hAnsi="Times New Roman" w:cs="Times New Roman"/>
          <w:bCs/>
        </w:rPr>
        <w:t xml:space="preserve"> an industry group may consult with a DFV group on the development of a set of </w:t>
      </w:r>
      <w:r w:rsidR="00A84F26" w:rsidRPr="00397701">
        <w:rPr>
          <w:rFonts w:ascii="Times New Roman" w:hAnsi="Times New Roman" w:cs="Times New Roman"/>
          <w:bCs/>
        </w:rPr>
        <w:t>DFV</w:t>
      </w:r>
      <w:r w:rsidR="00FD55AF" w:rsidRPr="00397701">
        <w:rPr>
          <w:rFonts w:ascii="Times New Roman" w:hAnsi="Times New Roman" w:cs="Times New Roman"/>
          <w:bCs/>
        </w:rPr>
        <w:t xml:space="preserve"> policies and procedures which could then be customised by individual small providers for their own use.</w:t>
      </w:r>
    </w:p>
    <w:p w14:paraId="535DA528" w14:textId="7C7DFC5E" w:rsidR="0027744E" w:rsidRPr="00397701" w:rsidRDefault="0027744E" w:rsidP="0027744E">
      <w:pPr>
        <w:rPr>
          <w:rFonts w:ascii="Times New Roman" w:hAnsi="Times New Roman" w:cs="Times New Roman"/>
          <w:bCs/>
        </w:rPr>
      </w:pPr>
      <w:r w:rsidRPr="00397701">
        <w:rPr>
          <w:rFonts w:ascii="Times New Roman" w:hAnsi="Times New Roman" w:cs="Times New Roman"/>
          <w:bCs/>
        </w:rPr>
        <w:t xml:space="preserve">This tiered approach recognises that smaller providers may have limited resources to engage stakeholders independently, while still </w:t>
      </w:r>
      <w:r w:rsidR="006C3A79" w:rsidRPr="00397701">
        <w:rPr>
          <w:rFonts w:ascii="Times New Roman" w:hAnsi="Times New Roman" w:cs="Times New Roman"/>
          <w:bCs/>
        </w:rPr>
        <w:t>providing for</w:t>
      </w:r>
      <w:r w:rsidRPr="00397701">
        <w:rPr>
          <w:rFonts w:ascii="Times New Roman" w:hAnsi="Times New Roman" w:cs="Times New Roman"/>
          <w:bCs/>
        </w:rPr>
        <w:t xml:space="preserve"> consultation </w:t>
      </w:r>
      <w:r w:rsidR="006C3A79" w:rsidRPr="00397701">
        <w:rPr>
          <w:rFonts w:ascii="Times New Roman" w:hAnsi="Times New Roman" w:cs="Times New Roman"/>
          <w:bCs/>
        </w:rPr>
        <w:t xml:space="preserve">that </w:t>
      </w:r>
      <w:r w:rsidRPr="00397701">
        <w:rPr>
          <w:rFonts w:ascii="Times New Roman" w:hAnsi="Times New Roman" w:cs="Times New Roman"/>
          <w:bCs/>
        </w:rPr>
        <w:t>is meaningful and appropriately targeted.</w:t>
      </w:r>
    </w:p>
    <w:p w14:paraId="78A54D95" w14:textId="6DF47270" w:rsidR="0027744E" w:rsidRPr="00397701" w:rsidRDefault="0027744E" w:rsidP="00A80AA7">
      <w:pPr>
        <w:rPr>
          <w:rFonts w:ascii="Times New Roman" w:hAnsi="Times New Roman" w:cs="Times New Roman"/>
          <w:bCs/>
        </w:rPr>
      </w:pPr>
      <w:r w:rsidRPr="00397701">
        <w:rPr>
          <w:rFonts w:ascii="Times New Roman" w:hAnsi="Times New Roman" w:cs="Times New Roman"/>
          <w:bCs/>
        </w:rPr>
        <w:t>Subsection 3</w:t>
      </w:r>
      <w:r w:rsidR="00FD55AF" w:rsidRPr="00397701">
        <w:rPr>
          <w:rFonts w:ascii="Times New Roman" w:hAnsi="Times New Roman" w:cs="Times New Roman"/>
          <w:bCs/>
        </w:rPr>
        <w:t>2</w:t>
      </w:r>
      <w:r w:rsidRPr="00397701">
        <w:rPr>
          <w:rFonts w:ascii="Times New Roman" w:hAnsi="Times New Roman" w:cs="Times New Roman"/>
          <w:bCs/>
        </w:rPr>
        <w:t xml:space="preserve">(5) requires providers to </w:t>
      </w:r>
      <w:r w:rsidR="00226D9F" w:rsidRPr="00397701">
        <w:rPr>
          <w:rFonts w:ascii="Times New Roman" w:hAnsi="Times New Roman" w:cs="Times New Roman"/>
          <w:bCs/>
        </w:rPr>
        <w:t>consider the</w:t>
      </w:r>
      <w:r w:rsidRPr="00397701">
        <w:rPr>
          <w:rFonts w:ascii="Times New Roman" w:hAnsi="Times New Roman" w:cs="Times New Roman"/>
          <w:bCs/>
        </w:rPr>
        <w:t xml:space="preserve"> feedback obtained through consultation when developing and reviewing their DFV materials. </w:t>
      </w:r>
      <w:r w:rsidR="009E5161" w:rsidRPr="00397701">
        <w:rPr>
          <w:rFonts w:ascii="Times New Roman" w:hAnsi="Times New Roman" w:cs="Times New Roman"/>
          <w:bCs/>
        </w:rPr>
        <w:t xml:space="preserve">It is expected that this feedback would be incorporated wherever practicable. </w:t>
      </w:r>
      <w:r w:rsidRPr="00397701">
        <w:rPr>
          <w:rFonts w:ascii="Times New Roman" w:hAnsi="Times New Roman" w:cs="Times New Roman"/>
          <w:bCs/>
        </w:rPr>
        <w:t xml:space="preserve">This supports continuous improvement and responsiveness to stakeholder input, </w:t>
      </w:r>
      <w:r w:rsidR="006C3A79" w:rsidRPr="00397701">
        <w:rPr>
          <w:rFonts w:ascii="Times New Roman" w:hAnsi="Times New Roman" w:cs="Times New Roman"/>
          <w:bCs/>
        </w:rPr>
        <w:t>so</w:t>
      </w:r>
      <w:r w:rsidRPr="00397701">
        <w:rPr>
          <w:rFonts w:ascii="Times New Roman" w:hAnsi="Times New Roman" w:cs="Times New Roman"/>
          <w:bCs/>
        </w:rPr>
        <w:t xml:space="preserve"> that provider frameworks remain current, relevant and inclusive.</w:t>
      </w:r>
    </w:p>
    <w:p w14:paraId="5054147F" w14:textId="7E85C54A" w:rsidR="00A80AA7" w:rsidRPr="00397701" w:rsidRDefault="00A80AA7" w:rsidP="00A80AA7">
      <w:pPr>
        <w:spacing w:before="280"/>
        <w:rPr>
          <w:rFonts w:ascii="Times New Roman" w:hAnsi="Times New Roman" w:cs="Times New Roman"/>
          <w:b/>
        </w:rPr>
      </w:pPr>
      <w:r w:rsidRPr="00397701">
        <w:rPr>
          <w:rFonts w:ascii="Times New Roman" w:hAnsi="Times New Roman" w:cs="Times New Roman"/>
          <w:b/>
        </w:rPr>
        <w:t>Part 1</w:t>
      </w:r>
      <w:r w:rsidR="00EE79EE" w:rsidRPr="00397701">
        <w:rPr>
          <w:rFonts w:ascii="Times New Roman" w:hAnsi="Times New Roman" w:cs="Times New Roman"/>
          <w:b/>
        </w:rPr>
        <w:t>1</w:t>
      </w:r>
      <w:r w:rsidRPr="00397701">
        <w:rPr>
          <w:rFonts w:ascii="Times New Roman" w:hAnsi="Times New Roman" w:cs="Times New Roman"/>
          <w:b/>
        </w:rPr>
        <w:t>—Conferral of functions and powers</w:t>
      </w:r>
    </w:p>
    <w:p w14:paraId="0D555A13" w14:textId="74CA8AE3" w:rsidR="003D13E5" w:rsidRPr="00397701" w:rsidRDefault="003D13E5" w:rsidP="00A80AA7">
      <w:pPr>
        <w:spacing w:before="280"/>
        <w:rPr>
          <w:rFonts w:ascii="Times New Roman" w:hAnsi="Times New Roman" w:cs="Times New Roman"/>
          <w:bCs/>
        </w:rPr>
      </w:pPr>
      <w:r w:rsidRPr="00397701">
        <w:rPr>
          <w:rFonts w:ascii="Times New Roman" w:hAnsi="Times New Roman" w:cs="Times New Roman"/>
          <w:bCs/>
        </w:rPr>
        <w:t xml:space="preserve">This Part clarifies the role of the </w:t>
      </w:r>
      <w:r w:rsidRPr="00397701">
        <w:rPr>
          <w:rFonts w:ascii="Times New Roman" w:hAnsi="Times New Roman" w:cs="Times New Roman"/>
          <w:b/>
        </w:rPr>
        <w:t>TIO</w:t>
      </w:r>
      <w:r w:rsidRPr="00397701">
        <w:rPr>
          <w:rFonts w:ascii="Times New Roman" w:hAnsi="Times New Roman" w:cs="Times New Roman"/>
          <w:bCs/>
        </w:rPr>
        <w:t xml:space="preserve"> in relation to consumer complaints about compliance with this Standard.</w:t>
      </w:r>
    </w:p>
    <w:p w14:paraId="44A33EB4" w14:textId="1BBDF4E7" w:rsidR="00A80AA7" w:rsidRPr="00397701" w:rsidRDefault="00A80AA7" w:rsidP="00A80AA7">
      <w:pPr>
        <w:rPr>
          <w:rFonts w:ascii="Times New Roman" w:hAnsi="Times New Roman" w:cs="Times New Roman"/>
          <w:b/>
        </w:rPr>
      </w:pPr>
      <w:r w:rsidRPr="00397701">
        <w:rPr>
          <w:rFonts w:ascii="Times New Roman" w:hAnsi="Times New Roman" w:cs="Times New Roman"/>
          <w:b/>
        </w:rPr>
        <w:t xml:space="preserve">Section </w:t>
      </w:r>
      <w:r w:rsidR="006C3A79" w:rsidRPr="00397701">
        <w:rPr>
          <w:rFonts w:ascii="Times New Roman" w:hAnsi="Times New Roman" w:cs="Times New Roman"/>
          <w:b/>
        </w:rPr>
        <w:t>3</w:t>
      </w:r>
      <w:r w:rsidR="00682BA7" w:rsidRPr="00397701">
        <w:rPr>
          <w:rFonts w:ascii="Times New Roman" w:hAnsi="Times New Roman" w:cs="Times New Roman"/>
          <w:b/>
        </w:rPr>
        <w:t>3</w:t>
      </w:r>
      <w:r w:rsidRPr="00397701">
        <w:rPr>
          <w:rFonts w:ascii="Times New Roman" w:hAnsi="Times New Roman" w:cs="Times New Roman"/>
          <w:b/>
        </w:rPr>
        <w:tab/>
        <w:t>Conferral of functions and powers on the TIO</w:t>
      </w:r>
    </w:p>
    <w:p w14:paraId="3C802D02" w14:textId="5E26C9F9" w:rsidR="003D13E5" w:rsidRPr="00397701" w:rsidRDefault="00682BA7" w:rsidP="003D13E5">
      <w:pPr>
        <w:rPr>
          <w:rFonts w:ascii="Times New Roman" w:hAnsi="Times New Roman" w:cs="Times New Roman"/>
        </w:rPr>
      </w:pPr>
      <w:r w:rsidRPr="00397701">
        <w:rPr>
          <w:rFonts w:ascii="Times New Roman" w:hAnsi="Times New Roman" w:cs="Times New Roman"/>
        </w:rPr>
        <w:t xml:space="preserve">Under this section the </w:t>
      </w:r>
      <w:r w:rsidR="003D13E5" w:rsidRPr="00397701">
        <w:rPr>
          <w:rFonts w:ascii="Times New Roman" w:hAnsi="Times New Roman" w:cs="Times New Roman"/>
        </w:rPr>
        <w:t xml:space="preserve">TIO </w:t>
      </w:r>
      <w:r w:rsidRPr="00397701">
        <w:rPr>
          <w:rFonts w:ascii="Times New Roman" w:hAnsi="Times New Roman" w:cs="Times New Roman"/>
        </w:rPr>
        <w:t xml:space="preserve">is granted specific powers </w:t>
      </w:r>
      <w:r w:rsidR="003D13E5" w:rsidRPr="00397701">
        <w:rPr>
          <w:rFonts w:ascii="Times New Roman" w:hAnsi="Times New Roman" w:cs="Times New Roman"/>
        </w:rPr>
        <w:t>in relation to complaints about matters covered by the Standard</w:t>
      </w:r>
      <w:r w:rsidRPr="00397701">
        <w:rPr>
          <w:rFonts w:ascii="Times New Roman" w:hAnsi="Times New Roman" w:cs="Times New Roman"/>
        </w:rPr>
        <w:t xml:space="preserve"> including:</w:t>
      </w:r>
    </w:p>
    <w:p w14:paraId="14954FF1" w14:textId="1E0FBFEC" w:rsidR="003D13E5" w:rsidRPr="00397701" w:rsidRDefault="002A4DDB" w:rsidP="00DA2DE3">
      <w:pPr>
        <w:numPr>
          <w:ilvl w:val="0"/>
          <w:numId w:val="7"/>
        </w:numPr>
        <w:tabs>
          <w:tab w:val="num" w:pos="720"/>
        </w:tabs>
        <w:rPr>
          <w:rFonts w:ascii="Times New Roman" w:hAnsi="Times New Roman" w:cs="Times New Roman"/>
        </w:rPr>
      </w:pPr>
      <w:r w:rsidRPr="00397701">
        <w:rPr>
          <w:rFonts w:ascii="Times New Roman" w:hAnsi="Times New Roman" w:cs="Times New Roman"/>
        </w:rPr>
        <w:t>r</w:t>
      </w:r>
      <w:r w:rsidR="003D13E5" w:rsidRPr="00397701">
        <w:rPr>
          <w:rFonts w:ascii="Times New Roman" w:hAnsi="Times New Roman" w:cs="Times New Roman"/>
        </w:rPr>
        <w:t>eceiving</w:t>
      </w:r>
      <w:r w:rsidR="00682BA7" w:rsidRPr="00397701">
        <w:rPr>
          <w:rFonts w:ascii="Times New Roman" w:hAnsi="Times New Roman" w:cs="Times New Roman"/>
        </w:rPr>
        <w:t xml:space="preserve">, </w:t>
      </w:r>
      <w:r w:rsidR="003D13E5" w:rsidRPr="00397701">
        <w:rPr>
          <w:rFonts w:ascii="Times New Roman" w:hAnsi="Times New Roman" w:cs="Times New Roman"/>
        </w:rPr>
        <w:t>investigating</w:t>
      </w:r>
      <w:r w:rsidR="00682BA7" w:rsidRPr="00397701">
        <w:rPr>
          <w:rFonts w:ascii="Times New Roman" w:hAnsi="Times New Roman" w:cs="Times New Roman"/>
        </w:rPr>
        <w:t xml:space="preserve"> and resolving</w:t>
      </w:r>
      <w:r w:rsidR="003B102F" w:rsidRPr="00397701">
        <w:rPr>
          <w:rFonts w:ascii="Times New Roman" w:hAnsi="Times New Roman" w:cs="Times New Roman"/>
        </w:rPr>
        <w:t xml:space="preserve"> consumer</w:t>
      </w:r>
      <w:r w:rsidR="00682BA7" w:rsidRPr="00397701">
        <w:rPr>
          <w:rFonts w:ascii="Times New Roman" w:hAnsi="Times New Roman" w:cs="Times New Roman"/>
        </w:rPr>
        <w:t xml:space="preserve"> complaints</w:t>
      </w:r>
      <w:r w:rsidR="003B102F" w:rsidRPr="00397701">
        <w:rPr>
          <w:rFonts w:ascii="Times New Roman" w:hAnsi="Times New Roman" w:cs="Times New Roman"/>
        </w:rPr>
        <w:t>;</w:t>
      </w:r>
    </w:p>
    <w:p w14:paraId="6696CA16" w14:textId="47C25889" w:rsidR="003D13E5" w:rsidRPr="00397701" w:rsidRDefault="003D13E5" w:rsidP="005F2231">
      <w:pPr>
        <w:numPr>
          <w:ilvl w:val="0"/>
          <w:numId w:val="7"/>
        </w:numPr>
        <w:tabs>
          <w:tab w:val="num" w:pos="720"/>
        </w:tabs>
        <w:rPr>
          <w:rFonts w:ascii="Times New Roman" w:hAnsi="Times New Roman" w:cs="Times New Roman"/>
        </w:rPr>
      </w:pPr>
      <w:r w:rsidRPr="00397701">
        <w:rPr>
          <w:rFonts w:ascii="Times New Roman" w:hAnsi="Times New Roman" w:cs="Times New Roman"/>
        </w:rPr>
        <w:t>making determinations</w:t>
      </w:r>
      <w:r w:rsidR="00682BA7" w:rsidRPr="00397701">
        <w:rPr>
          <w:rFonts w:ascii="Times New Roman" w:hAnsi="Times New Roman" w:cs="Times New Roman"/>
        </w:rPr>
        <w:t xml:space="preserve"> and </w:t>
      </w:r>
      <w:r w:rsidRPr="00397701">
        <w:rPr>
          <w:rFonts w:ascii="Times New Roman" w:hAnsi="Times New Roman" w:cs="Times New Roman"/>
        </w:rPr>
        <w:t>issuing directions</w:t>
      </w:r>
      <w:r w:rsidR="003B102F" w:rsidRPr="00397701">
        <w:rPr>
          <w:rFonts w:ascii="Times New Roman" w:hAnsi="Times New Roman" w:cs="Times New Roman"/>
        </w:rPr>
        <w:t xml:space="preserve"> in relation to consumer complaints</w:t>
      </w:r>
      <w:r w:rsidRPr="00397701">
        <w:rPr>
          <w:rFonts w:ascii="Times New Roman" w:hAnsi="Times New Roman" w:cs="Times New Roman"/>
        </w:rPr>
        <w:t>; and</w:t>
      </w:r>
    </w:p>
    <w:p w14:paraId="41D3ADD2" w14:textId="0A2E47AA" w:rsidR="003D13E5" w:rsidRPr="00397701" w:rsidRDefault="003D13E5" w:rsidP="001D0578">
      <w:pPr>
        <w:numPr>
          <w:ilvl w:val="0"/>
          <w:numId w:val="7"/>
        </w:numPr>
        <w:tabs>
          <w:tab w:val="num" w:pos="720"/>
        </w:tabs>
        <w:rPr>
          <w:rFonts w:ascii="Times New Roman" w:hAnsi="Times New Roman" w:cs="Times New Roman"/>
        </w:rPr>
      </w:pPr>
      <w:r w:rsidRPr="00397701">
        <w:rPr>
          <w:rFonts w:ascii="Times New Roman" w:hAnsi="Times New Roman" w:cs="Times New Roman"/>
        </w:rPr>
        <w:t>reporting on complaint trends.</w:t>
      </w:r>
    </w:p>
    <w:p w14:paraId="70C0267B" w14:textId="77777777" w:rsidR="003D13E5" w:rsidRPr="00397701" w:rsidRDefault="003D13E5" w:rsidP="003D13E5">
      <w:pPr>
        <w:rPr>
          <w:rFonts w:ascii="Times New Roman" w:hAnsi="Times New Roman" w:cs="Times New Roman"/>
        </w:rPr>
      </w:pPr>
      <w:r w:rsidRPr="00397701">
        <w:rPr>
          <w:rFonts w:ascii="Times New Roman" w:hAnsi="Times New Roman" w:cs="Times New Roman"/>
        </w:rPr>
        <w:t>This aligns with the TIO’s existing remit to address consumer complaints about telecommunications services and supports accessible redress for affected persons.</w:t>
      </w:r>
    </w:p>
    <w:p w14:paraId="4ADA51F2" w14:textId="77777777" w:rsidR="003D13E5" w:rsidRPr="00397701" w:rsidRDefault="003D13E5" w:rsidP="003D13E5">
      <w:pPr>
        <w:rPr>
          <w:rFonts w:ascii="Times New Roman" w:hAnsi="Times New Roman" w:cs="Times New Roman"/>
        </w:rPr>
      </w:pPr>
    </w:p>
    <w:p w14:paraId="6297CEFA" w14:textId="77777777" w:rsidR="00A80AA7" w:rsidRPr="00397701" w:rsidRDefault="00A80AA7" w:rsidP="00A80AA7">
      <w:pPr>
        <w:spacing w:before="280"/>
        <w:rPr>
          <w:rFonts w:ascii="Times New Roman" w:hAnsi="Times New Roman" w:cs="Times New Roman"/>
          <w:b/>
        </w:rPr>
      </w:pPr>
    </w:p>
    <w:p w14:paraId="7F0FA88B" w14:textId="4C5D362D" w:rsidR="00CB3AD5" w:rsidRPr="00397701" w:rsidRDefault="00641906" w:rsidP="00641906">
      <w:pPr>
        <w:jc w:val="right"/>
        <w:rPr>
          <w:rFonts w:ascii="Times New Roman" w:hAnsi="Times New Roman" w:cs="Times New Roman"/>
          <w:b/>
          <w:sz w:val="28"/>
          <w:szCs w:val="28"/>
        </w:rPr>
      </w:pPr>
      <w:r w:rsidRPr="00397701">
        <w:rPr>
          <w:rFonts w:ascii="Times New Roman" w:hAnsi="Times New Roman" w:cs="Times New Roman"/>
        </w:rPr>
        <w:br w:type="page"/>
      </w:r>
      <w:bookmarkStart w:id="2" w:name="_Hlk199154459"/>
      <w:r w:rsidR="00CB3AD5" w:rsidRPr="00397701">
        <w:rPr>
          <w:rFonts w:ascii="Times New Roman" w:hAnsi="Times New Roman" w:cs="Times New Roman"/>
          <w:b/>
          <w:sz w:val="28"/>
          <w:szCs w:val="28"/>
        </w:rPr>
        <w:lastRenderedPageBreak/>
        <w:t>Attachment B</w:t>
      </w:r>
    </w:p>
    <w:bookmarkEnd w:id="2"/>
    <w:p w14:paraId="7CF0DE27" w14:textId="77777777" w:rsidR="008C05E1" w:rsidRPr="00397701" w:rsidRDefault="008C05E1" w:rsidP="008C05E1">
      <w:pPr>
        <w:jc w:val="center"/>
        <w:rPr>
          <w:rFonts w:ascii="Times New Roman" w:hAnsi="Times New Roman" w:cs="Times New Roman"/>
          <w:b/>
          <w:sz w:val="28"/>
          <w:szCs w:val="28"/>
        </w:rPr>
      </w:pPr>
      <w:r w:rsidRPr="00397701">
        <w:rPr>
          <w:rFonts w:ascii="Times New Roman" w:hAnsi="Times New Roman" w:cs="Times New Roman"/>
          <w:b/>
          <w:sz w:val="28"/>
          <w:szCs w:val="28"/>
        </w:rPr>
        <w:t>Statement of compatibility with human rights</w:t>
      </w:r>
    </w:p>
    <w:p w14:paraId="3F877EF8" w14:textId="77777777" w:rsidR="008C05E1" w:rsidRPr="00397701" w:rsidRDefault="008C05E1" w:rsidP="008C05E1">
      <w:pPr>
        <w:jc w:val="center"/>
        <w:rPr>
          <w:rFonts w:ascii="Times New Roman" w:hAnsi="Times New Roman" w:cs="Times New Roman"/>
          <w:i/>
        </w:rPr>
      </w:pPr>
      <w:r w:rsidRPr="00397701">
        <w:rPr>
          <w:rFonts w:ascii="Times New Roman" w:hAnsi="Times New Roman" w:cs="Times New Roman"/>
        </w:rPr>
        <w:t xml:space="preserve">Prepared by the Australian Communications and Media Authority under subsection 9(1) of the </w:t>
      </w:r>
      <w:r w:rsidRPr="00397701">
        <w:rPr>
          <w:rFonts w:ascii="Times New Roman" w:hAnsi="Times New Roman" w:cs="Times New Roman"/>
          <w:i/>
        </w:rPr>
        <w:t>Human Rights (Parliamentary Scrutiny) Act 2011</w:t>
      </w:r>
    </w:p>
    <w:p w14:paraId="4C1ED339" w14:textId="77777777" w:rsidR="008C05E1" w:rsidRPr="00397701" w:rsidRDefault="008C05E1" w:rsidP="008C05E1">
      <w:pPr>
        <w:jc w:val="center"/>
        <w:rPr>
          <w:rFonts w:ascii="Times New Roman" w:hAnsi="Times New Roman" w:cs="Times New Roman"/>
          <w:bCs/>
          <w:i/>
        </w:rPr>
      </w:pPr>
      <w:r w:rsidRPr="00397701">
        <w:rPr>
          <w:rFonts w:ascii="Times New Roman" w:hAnsi="Times New Roman" w:cs="Times New Roman"/>
          <w:bCs/>
          <w:i/>
        </w:rPr>
        <w:t>Telecommunications (Domestic, Family and Sexual Violence Consumer Protections) Industry Standard 2025</w:t>
      </w:r>
    </w:p>
    <w:p w14:paraId="559A1775" w14:textId="77777777" w:rsidR="008C05E1" w:rsidRPr="00397701" w:rsidRDefault="008C05E1" w:rsidP="008C05E1">
      <w:pPr>
        <w:spacing w:before="160"/>
        <w:rPr>
          <w:rFonts w:ascii="Times New Roman" w:hAnsi="Times New Roman" w:cs="Times New Roman"/>
          <w:bCs/>
          <w:iCs/>
        </w:rPr>
      </w:pPr>
      <w:r w:rsidRPr="00397701">
        <w:rPr>
          <w:rFonts w:ascii="Times New Roman" w:hAnsi="Times New Roman" w:cs="Times New Roman"/>
          <w:bCs/>
          <w:iCs/>
        </w:rPr>
        <w:t xml:space="preserve">Subsection 9(1) of the </w:t>
      </w:r>
      <w:r w:rsidRPr="00397701">
        <w:rPr>
          <w:rFonts w:ascii="Times New Roman" w:hAnsi="Times New Roman" w:cs="Times New Roman"/>
          <w:bCs/>
          <w:i/>
        </w:rPr>
        <w:t>Human Rights (Parliamentary Scrutiny) Act 2011</w:t>
      </w:r>
      <w:r w:rsidRPr="00397701">
        <w:rPr>
          <w:rFonts w:ascii="Times New Roman" w:hAnsi="Times New Roman" w:cs="Times New Roman"/>
          <w:bCs/>
          <w:iCs/>
        </w:rPr>
        <w:t xml:space="preserve"> requires the rule-maker in relation to a legislative instrument to which section 42 (disallowance) of the </w:t>
      </w:r>
      <w:r w:rsidRPr="00397701">
        <w:rPr>
          <w:rFonts w:ascii="Times New Roman" w:hAnsi="Times New Roman" w:cs="Times New Roman"/>
          <w:bCs/>
          <w:i/>
        </w:rPr>
        <w:t>Legislation Act 2003</w:t>
      </w:r>
      <w:r w:rsidRPr="00397701">
        <w:rPr>
          <w:rFonts w:ascii="Times New Roman" w:hAnsi="Times New Roman" w:cs="Times New Roman"/>
          <w:bCs/>
          <w:iCs/>
        </w:rPr>
        <w:t xml:space="preserve"> applies to cause a statement of compatibility with human rights to be prepared in respect of that legislative instrument. </w:t>
      </w:r>
    </w:p>
    <w:p w14:paraId="1382D6F9" w14:textId="77777777" w:rsidR="008C05E1" w:rsidRPr="00397701" w:rsidRDefault="008C05E1" w:rsidP="008C05E1">
      <w:pPr>
        <w:spacing w:before="160"/>
        <w:rPr>
          <w:rFonts w:ascii="Times New Roman" w:hAnsi="Times New Roman" w:cs="Times New Roman"/>
          <w:bCs/>
          <w:iCs/>
        </w:rPr>
      </w:pPr>
      <w:r w:rsidRPr="00397701">
        <w:rPr>
          <w:rFonts w:ascii="Times New Roman" w:hAnsi="Times New Roman" w:cs="Times New Roman"/>
          <w:bCs/>
          <w:iCs/>
        </w:rPr>
        <w:t xml:space="preserve">The statement of compatibility set out below has been prepared to meet that requirement. </w:t>
      </w:r>
    </w:p>
    <w:p w14:paraId="1D7DBE6A" w14:textId="77777777" w:rsidR="008C05E1" w:rsidRPr="00397701" w:rsidRDefault="008C05E1" w:rsidP="008C05E1">
      <w:pPr>
        <w:spacing w:before="160"/>
        <w:rPr>
          <w:rFonts w:ascii="Times New Roman" w:hAnsi="Times New Roman" w:cs="Times New Roman"/>
          <w:b/>
          <w:i/>
        </w:rPr>
      </w:pPr>
      <w:r w:rsidRPr="00397701">
        <w:rPr>
          <w:rFonts w:ascii="Times New Roman" w:hAnsi="Times New Roman" w:cs="Times New Roman"/>
          <w:b/>
          <w:i/>
        </w:rPr>
        <w:t>Overview of the Standard</w:t>
      </w:r>
    </w:p>
    <w:p w14:paraId="7BFEA592" w14:textId="62A8E498" w:rsidR="008C05E1" w:rsidRPr="00397701" w:rsidRDefault="008C05E1" w:rsidP="008C05E1">
      <w:pPr>
        <w:spacing w:before="160"/>
        <w:rPr>
          <w:rFonts w:ascii="Times New Roman" w:hAnsi="Times New Roman" w:cs="Times New Roman"/>
          <w:bCs/>
          <w:iCs/>
        </w:rPr>
      </w:pPr>
      <w:r w:rsidRPr="00397701">
        <w:rPr>
          <w:rFonts w:ascii="Times New Roman" w:hAnsi="Times New Roman" w:cs="Times New Roman"/>
          <w:bCs/>
          <w:iCs/>
        </w:rPr>
        <w:t xml:space="preserve">The </w:t>
      </w:r>
      <w:r w:rsidRPr="00397701">
        <w:rPr>
          <w:rFonts w:ascii="Times New Roman" w:hAnsi="Times New Roman" w:cs="Times New Roman"/>
          <w:bCs/>
          <w:i/>
        </w:rPr>
        <w:t xml:space="preserve">Telecommunications (Domestic, Family and Sexual Violence Consumer Protections) Industry Standard 2025 </w:t>
      </w:r>
      <w:r w:rsidRPr="00397701">
        <w:rPr>
          <w:rFonts w:ascii="Times New Roman" w:hAnsi="Times New Roman" w:cs="Times New Roman"/>
          <w:bCs/>
          <w:iCs/>
        </w:rPr>
        <w:t>(</w:t>
      </w:r>
      <w:r w:rsidRPr="00397701">
        <w:rPr>
          <w:rFonts w:ascii="Times New Roman" w:hAnsi="Times New Roman" w:cs="Times New Roman"/>
          <w:b/>
          <w:iCs/>
        </w:rPr>
        <w:t>the Standard</w:t>
      </w:r>
      <w:r w:rsidRPr="00397701">
        <w:rPr>
          <w:rFonts w:ascii="Times New Roman" w:hAnsi="Times New Roman" w:cs="Times New Roman"/>
          <w:bCs/>
          <w:iCs/>
        </w:rPr>
        <w:t xml:space="preserve">) has been made in accordance with the requirements set out in section 125AA of the </w:t>
      </w:r>
      <w:r w:rsidRPr="00397701">
        <w:rPr>
          <w:rFonts w:ascii="Times New Roman" w:hAnsi="Times New Roman" w:cs="Times New Roman"/>
          <w:bCs/>
          <w:i/>
        </w:rPr>
        <w:t>Telecommunications Act 1997</w:t>
      </w:r>
      <w:r w:rsidR="00173562" w:rsidRPr="00397701">
        <w:rPr>
          <w:rFonts w:ascii="Times New Roman" w:hAnsi="Times New Roman" w:cs="Times New Roman"/>
          <w:bCs/>
          <w:iCs/>
        </w:rPr>
        <w:t xml:space="preserve"> (</w:t>
      </w:r>
      <w:r w:rsidR="00173562" w:rsidRPr="00397701">
        <w:rPr>
          <w:rFonts w:ascii="Times New Roman" w:hAnsi="Times New Roman" w:cs="Times New Roman"/>
          <w:b/>
          <w:iCs/>
        </w:rPr>
        <w:t>the</w:t>
      </w:r>
      <w:r w:rsidR="00173562" w:rsidRPr="00397701">
        <w:rPr>
          <w:rFonts w:ascii="Times New Roman" w:hAnsi="Times New Roman" w:cs="Times New Roman"/>
          <w:bCs/>
          <w:iCs/>
        </w:rPr>
        <w:t xml:space="preserve"> </w:t>
      </w:r>
      <w:r w:rsidR="00173562" w:rsidRPr="00397701">
        <w:rPr>
          <w:rFonts w:ascii="Times New Roman" w:hAnsi="Times New Roman" w:cs="Times New Roman"/>
          <w:b/>
          <w:iCs/>
        </w:rPr>
        <w:t>Act</w:t>
      </w:r>
      <w:r w:rsidR="00173562" w:rsidRPr="00397701">
        <w:rPr>
          <w:rFonts w:ascii="Times New Roman" w:hAnsi="Times New Roman" w:cs="Times New Roman"/>
          <w:bCs/>
          <w:iCs/>
        </w:rPr>
        <w:t>)</w:t>
      </w:r>
      <w:r w:rsidRPr="00397701">
        <w:rPr>
          <w:rFonts w:ascii="Times New Roman" w:hAnsi="Times New Roman" w:cs="Times New Roman"/>
          <w:bCs/>
          <w:iCs/>
        </w:rPr>
        <w:t xml:space="preserve"> and the </w:t>
      </w:r>
      <w:r w:rsidRPr="00397701">
        <w:rPr>
          <w:rFonts w:ascii="Times New Roman" w:hAnsi="Times New Roman" w:cs="Times New Roman"/>
          <w:bCs/>
          <w:i/>
        </w:rPr>
        <w:t xml:space="preserve">Telecommunications (Domestic, Family and Sexual Violence Consumer Protections Industry </w:t>
      </w:r>
      <w:proofErr w:type="gramStart"/>
      <w:r w:rsidRPr="00397701">
        <w:rPr>
          <w:rFonts w:ascii="Times New Roman" w:hAnsi="Times New Roman" w:cs="Times New Roman"/>
          <w:bCs/>
          <w:i/>
        </w:rPr>
        <w:t>Standard )</w:t>
      </w:r>
      <w:proofErr w:type="gramEnd"/>
      <w:r w:rsidRPr="00397701">
        <w:rPr>
          <w:rFonts w:ascii="Times New Roman" w:hAnsi="Times New Roman" w:cs="Times New Roman"/>
          <w:bCs/>
          <w:i/>
        </w:rPr>
        <w:t xml:space="preserve"> Direction 2024</w:t>
      </w:r>
      <w:r w:rsidRPr="00397701">
        <w:rPr>
          <w:rFonts w:ascii="Times New Roman" w:hAnsi="Times New Roman" w:cs="Times New Roman"/>
          <w:bCs/>
          <w:iCs/>
        </w:rPr>
        <w:t xml:space="preserve"> (</w:t>
      </w:r>
      <w:r w:rsidRPr="00397701">
        <w:rPr>
          <w:rFonts w:ascii="Times New Roman" w:hAnsi="Times New Roman" w:cs="Times New Roman"/>
          <w:b/>
          <w:iCs/>
        </w:rPr>
        <w:t>the Direction</w:t>
      </w:r>
      <w:r w:rsidRPr="00397701">
        <w:rPr>
          <w:rFonts w:ascii="Times New Roman" w:hAnsi="Times New Roman" w:cs="Times New Roman"/>
          <w:bCs/>
          <w:iCs/>
        </w:rPr>
        <w:t>). It is drafted to meet the requirements and objectives in the Direction. In broad terms, those requirements and objectives are to ensure that carriers and carriage service providers</w:t>
      </w:r>
      <w:r w:rsidR="00575185">
        <w:rPr>
          <w:rFonts w:ascii="Times New Roman" w:hAnsi="Times New Roman" w:cs="Times New Roman"/>
          <w:bCs/>
          <w:iCs/>
        </w:rPr>
        <w:t xml:space="preserve"> </w:t>
      </w:r>
      <w:r w:rsidR="00D87E84" w:rsidRPr="00397701">
        <w:rPr>
          <w:rFonts w:ascii="Times New Roman" w:hAnsi="Times New Roman" w:cs="Times New Roman"/>
          <w:bCs/>
          <w:iCs/>
        </w:rPr>
        <w:t>(</w:t>
      </w:r>
      <w:r w:rsidR="00D87E84" w:rsidRPr="00397701">
        <w:rPr>
          <w:rFonts w:ascii="Times New Roman" w:hAnsi="Times New Roman" w:cs="Times New Roman"/>
          <w:b/>
          <w:iCs/>
        </w:rPr>
        <w:t>providers</w:t>
      </w:r>
      <w:r w:rsidR="00D87E84" w:rsidRPr="00397701">
        <w:rPr>
          <w:rFonts w:ascii="Times New Roman" w:hAnsi="Times New Roman" w:cs="Times New Roman"/>
          <w:bCs/>
          <w:iCs/>
        </w:rPr>
        <w:t xml:space="preserve">) </w:t>
      </w:r>
      <w:r w:rsidRPr="00397701">
        <w:rPr>
          <w:rFonts w:ascii="Times New Roman" w:hAnsi="Times New Roman" w:cs="Times New Roman"/>
          <w:bCs/>
          <w:iCs/>
        </w:rPr>
        <w:t>in their dealings with telecommunications consumers take effective, timely and trauma-informed action to support those consumers who are, or may be, affected by domestic and family violence (</w:t>
      </w:r>
      <w:r w:rsidRPr="00397701">
        <w:rPr>
          <w:rFonts w:ascii="Times New Roman" w:hAnsi="Times New Roman" w:cs="Times New Roman"/>
          <w:b/>
          <w:iCs/>
        </w:rPr>
        <w:t>DFV</w:t>
      </w:r>
      <w:r w:rsidRPr="00397701">
        <w:rPr>
          <w:rFonts w:ascii="Times New Roman" w:hAnsi="Times New Roman" w:cs="Times New Roman"/>
          <w:bCs/>
          <w:iCs/>
        </w:rPr>
        <w:t xml:space="preserve">), and where relevant, sexual violence.   </w:t>
      </w:r>
    </w:p>
    <w:p w14:paraId="1A1F03E4" w14:textId="77777777" w:rsidR="008C05E1" w:rsidRPr="00397701" w:rsidRDefault="008C05E1" w:rsidP="008C05E1">
      <w:pPr>
        <w:rPr>
          <w:rFonts w:ascii="Times New Roman" w:hAnsi="Times New Roman" w:cs="Times New Roman"/>
          <w:b/>
          <w:i/>
        </w:rPr>
      </w:pPr>
      <w:r w:rsidRPr="00397701">
        <w:rPr>
          <w:rFonts w:ascii="Times New Roman" w:hAnsi="Times New Roman" w:cs="Times New Roman"/>
          <w:b/>
          <w:i/>
        </w:rPr>
        <w:t>Human rights implications</w:t>
      </w:r>
    </w:p>
    <w:p w14:paraId="32E5014B" w14:textId="77777777" w:rsidR="008C05E1" w:rsidRPr="00397701" w:rsidRDefault="008C05E1" w:rsidP="008C05E1">
      <w:pPr>
        <w:rPr>
          <w:rFonts w:ascii="Times New Roman" w:hAnsi="Times New Roman" w:cs="Times New Roman"/>
        </w:rPr>
      </w:pPr>
      <w:r w:rsidRPr="00397701">
        <w:rPr>
          <w:rFonts w:ascii="Times New Roman" w:hAnsi="Times New Roman" w:cs="Times New Roman"/>
        </w:rPr>
        <w:t xml:space="preserve">The ACMA has assessed whether the instrument is compatible with human rights, being the rights and freedoms recognised or declared by the international instruments listed in subsection 3(1) of the </w:t>
      </w:r>
      <w:r w:rsidRPr="00397701">
        <w:rPr>
          <w:rFonts w:ascii="Times New Roman" w:hAnsi="Times New Roman" w:cs="Times New Roman"/>
          <w:i/>
        </w:rPr>
        <w:t>Human Rights (Parliamentary Scrutiny) Act 2011</w:t>
      </w:r>
      <w:r w:rsidRPr="00397701">
        <w:rPr>
          <w:rFonts w:ascii="Times New Roman" w:hAnsi="Times New Roman" w:cs="Times New Roman"/>
        </w:rPr>
        <w:t xml:space="preserve"> as they apply to Australia.</w:t>
      </w:r>
    </w:p>
    <w:p w14:paraId="166F6E52" w14:textId="77777777" w:rsidR="008C05E1" w:rsidRPr="00397701" w:rsidRDefault="008C05E1" w:rsidP="008C05E1">
      <w:pPr>
        <w:spacing w:after="40"/>
        <w:rPr>
          <w:rFonts w:ascii="Times New Roman" w:hAnsi="Times New Roman" w:cs="Times New Roman"/>
        </w:rPr>
      </w:pPr>
      <w:r w:rsidRPr="00397701">
        <w:rPr>
          <w:rFonts w:ascii="Times New Roman" w:hAnsi="Times New Roman" w:cs="Times New Roman"/>
        </w:rPr>
        <w:t>Having considered the likely impact of the Standard and the nature of the applicable rights and freedoms, the ACMA has formed the view that the Standard engages the following rights or freedoms:</w:t>
      </w:r>
    </w:p>
    <w:p w14:paraId="4BE7EB9F" w14:textId="77777777" w:rsidR="008C05E1" w:rsidRPr="00397701" w:rsidRDefault="008C05E1" w:rsidP="008C05E1">
      <w:pPr>
        <w:pStyle w:val="ListParagraph"/>
        <w:numPr>
          <w:ilvl w:val="0"/>
          <w:numId w:val="35"/>
        </w:numPr>
        <w:spacing w:after="40"/>
        <w:rPr>
          <w:rFonts w:ascii="Times New Roman" w:hAnsi="Times New Roman" w:cs="Times New Roman"/>
        </w:rPr>
      </w:pPr>
      <w:r w:rsidRPr="00397701">
        <w:rPr>
          <w:rFonts w:ascii="Times New Roman" w:hAnsi="Times New Roman" w:cs="Times New Roman"/>
        </w:rPr>
        <w:t>The right to privacy in Article 17 of the International Covenant on Civil and Political Rights (</w:t>
      </w:r>
      <w:r w:rsidRPr="00397701">
        <w:rPr>
          <w:rFonts w:ascii="Times New Roman" w:hAnsi="Times New Roman" w:cs="Times New Roman"/>
          <w:b/>
          <w:bCs/>
        </w:rPr>
        <w:t>ICCPR</w:t>
      </w:r>
      <w:r w:rsidRPr="00397701">
        <w:rPr>
          <w:rFonts w:ascii="Times New Roman" w:hAnsi="Times New Roman" w:cs="Times New Roman"/>
        </w:rPr>
        <w:t xml:space="preserve">), which states: </w:t>
      </w:r>
    </w:p>
    <w:p w14:paraId="1B471692" w14:textId="77777777" w:rsidR="008C05E1" w:rsidRPr="00397701" w:rsidRDefault="008C05E1" w:rsidP="008C05E1">
      <w:pPr>
        <w:pStyle w:val="ListParagraph"/>
        <w:spacing w:before="120" w:after="0" w:line="240" w:lineRule="auto"/>
        <w:ind w:left="1134" w:hanging="425"/>
        <w:contextualSpacing w:val="0"/>
        <w:rPr>
          <w:rFonts w:ascii="Times New Roman" w:eastAsia="Times New Roman" w:hAnsi="Times New Roman" w:cs="Times New Roman"/>
          <w:i/>
          <w:iCs/>
          <w:lang w:eastAsia="en-AU"/>
        </w:rPr>
      </w:pPr>
      <w:r w:rsidRPr="00397701">
        <w:rPr>
          <w:rFonts w:ascii="Times New Roman" w:eastAsia="Times New Roman" w:hAnsi="Times New Roman" w:cs="Times New Roman"/>
          <w:i/>
          <w:iCs/>
          <w:lang w:eastAsia="en-AU"/>
        </w:rPr>
        <w:t xml:space="preserve">1. No one shall be subjected to arbitrary or unlawful interference with his privacy, family, home or correspondence, nor to unlawful attacks on his honour and reputation.  </w:t>
      </w:r>
    </w:p>
    <w:p w14:paraId="1139906C" w14:textId="77777777" w:rsidR="008C05E1" w:rsidRPr="00397701" w:rsidRDefault="008C05E1" w:rsidP="008C05E1">
      <w:pPr>
        <w:pStyle w:val="ListParagraph"/>
        <w:spacing w:before="120" w:after="0" w:line="240" w:lineRule="auto"/>
        <w:ind w:left="1134" w:hanging="425"/>
        <w:contextualSpacing w:val="0"/>
        <w:rPr>
          <w:rFonts w:ascii="Times New Roman" w:eastAsia="Times New Roman" w:hAnsi="Times New Roman" w:cs="Times New Roman"/>
          <w:i/>
          <w:iCs/>
          <w:lang w:eastAsia="en-AU"/>
        </w:rPr>
      </w:pPr>
      <w:r w:rsidRPr="00397701">
        <w:rPr>
          <w:rFonts w:ascii="Times New Roman" w:eastAsia="Times New Roman" w:hAnsi="Times New Roman" w:cs="Times New Roman"/>
          <w:i/>
          <w:iCs/>
          <w:lang w:eastAsia="en-AU"/>
        </w:rPr>
        <w:t xml:space="preserve">2. Everyone has the right to the protection of the law against such interference or attacks. </w:t>
      </w:r>
    </w:p>
    <w:p w14:paraId="6866273E" w14:textId="77777777" w:rsidR="008C05E1" w:rsidRPr="00397701" w:rsidRDefault="008C05E1" w:rsidP="008C05E1">
      <w:pPr>
        <w:pStyle w:val="ListParagraph"/>
        <w:spacing w:before="120" w:after="0" w:line="240" w:lineRule="auto"/>
        <w:ind w:left="1134" w:hanging="425"/>
        <w:contextualSpacing w:val="0"/>
        <w:rPr>
          <w:rFonts w:ascii="Times New Roman" w:eastAsia="Times New Roman" w:hAnsi="Times New Roman" w:cs="Times New Roman"/>
          <w:i/>
          <w:iCs/>
          <w:lang w:eastAsia="en-AU"/>
        </w:rPr>
      </w:pPr>
    </w:p>
    <w:p w14:paraId="31FC7594" w14:textId="77777777" w:rsidR="008C05E1" w:rsidRPr="00397701" w:rsidRDefault="008C05E1" w:rsidP="008C05E1">
      <w:pPr>
        <w:pStyle w:val="ListParagraph"/>
        <w:numPr>
          <w:ilvl w:val="0"/>
          <w:numId w:val="35"/>
        </w:numPr>
        <w:spacing w:after="40"/>
        <w:rPr>
          <w:rFonts w:ascii="Times New Roman" w:hAnsi="Times New Roman" w:cs="Times New Roman"/>
        </w:rPr>
      </w:pPr>
      <w:r w:rsidRPr="00397701">
        <w:rPr>
          <w:rFonts w:ascii="Times New Roman" w:hAnsi="Times New Roman" w:cs="Times New Roman"/>
        </w:rPr>
        <w:t xml:space="preserve">The right to freedom of expression in Article 19(2) of the ICCPR, which states: </w:t>
      </w:r>
    </w:p>
    <w:p w14:paraId="3D377280" w14:textId="77777777" w:rsidR="008C05E1" w:rsidRPr="00397701" w:rsidRDefault="008C05E1" w:rsidP="008C05E1">
      <w:pPr>
        <w:pStyle w:val="ListParagraph"/>
        <w:spacing w:before="120" w:after="0" w:line="240" w:lineRule="auto"/>
        <w:ind w:left="1134" w:hanging="425"/>
        <w:contextualSpacing w:val="0"/>
        <w:rPr>
          <w:rFonts w:ascii="Times New Roman" w:eastAsia="Times New Roman" w:hAnsi="Times New Roman" w:cs="Times New Roman"/>
          <w:i/>
          <w:iCs/>
          <w:lang w:eastAsia="en-AU"/>
        </w:rPr>
      </w:pPr>
      <w:r w:rsidRPr="00397701">
        <w:rPr>
          <w:rFonts w:ascii="Times New Roman" w:eastAsia="Times New Roman" w:hAnsi="Times New Roman" w:cs="Times New Roman"/>
          <w:i/>
          <w:iCs/>
          <w:lang w:eastAsia="en-AU"/>
        </w:rPr>
        <w:t xml:space="preserve">2. Everyone shall have the right to freedom of expression; this right shall include freedom to seek, receive and impart information and ideas of all kinds, regardless of frontiers, either orally, in writing or in print, in the form of art, or through any other media of his choice. </w:t>
      </w:r>
    </w:p>
    <w:p w14:paraId="13307A22" w14:textId="77777777" w:rsidR="008C05E1" w:rsidRPr="00397701" w:rsidRDefault="008C05E1" w:rsidP="008C05E1">
      <w:pPr>
        <w:pStyle w:val="ListParagraph"/>
        <w:spacing w:before="120" w:after="0" w:line="240" w:lineRule="auto"/>
        <w:ind w:left="1134" w:hanging="425"/>
        <w:contextualSpacing w:val="0"/>
        <w:rPr>
          <w:rFonts w:ascii="Times New Roman" w:eastAsia="Times New Roman" w:hAnsi="Times New Roman" w:cs="Times New Roman"/>
          <w:i/>
          <w:iCs/>
          <w:lang w:eastAsia="en-AU"/>
        </w:rPr>
      </w:pPr>
    </w:p>
    <w:p w14:paraId="45CA37D4" w14:textId="77777777" w:rsidR="008C05E1" w:rsidRPr="00397701" w:rsidRDefault="008C05E1" w:rsidP="008C05E1">
      <w:pPr>
        <w:pStyle w:val="listparagraph0"/>
        <w:numPr>
          <w:ilvl w:val="0"/>
          <w:numId w:val="35"/>
        </w:numPr>
        <w:spacing w:before="120" w:beforeAutospacing="0" w:after="0" w:afterAutospacing="0" w:line="235" w:lineRule="atLeast"/>
        <w:rPr>
          <w:color w:val="000000" w:themeColor="text1"/>
          <w:sz w:val="22"/>
          <w:szCs w:val="22"/>
        </w:rPr>
      </w:pPr>
      <w:r w:rsidRPr="00397701">
        <w:rPr>
          <w:color w:val="000000" w:themeColor="text1"/>
          <w:sz w:val="22"/>
          <w:szCs w:val="18"/>
        </w:rPr>
        <w:lastRenderedPageBreak/>
        <w:t xml:space="preserve">The right to protection against exploitation, violence and abuse contained in Article 20(2) of the ICCPR, and Article 6 of the </w:t>
      </w:r>
      <w:r w:rsidRPr="00397701">
        <w:rPr>
          <w:color w:val="000000" w:themeColor="text1"/>
          <w:sz w:val="22"/>
          <w:szCs w:val="22"/>
        </w:rPr>
        <w:t>Convention on the Elimination of All Forms of Discrimination against Women (</w:t>
      </w:r>
      <w:r w:rsidRPr="00397701">
        <w:rPr>
          <w:b/>
          <w:bCs/>
          <w:color w:val="000000" w:themeColor="text1"/>
          <w:sz w:val="22"/>
          <w:szCs w:val="22"/>
        </w:rPr>
        <w:t>CEDAW</w:t>
      </w:r>
      <w:r w:rsidRPr="00397701">
        <w:rPr>
          <w:color w:val="000000" w:themeColor="text1"/>
          <w:sz w:val="22"/>
          <w:szCs w:val="22"/>
        </w:rPr>
        <w:t>):</w:t>
      </w:r>
    </w:p>
    <w:p w14:paraId="79CC92CF" w14:textId="77777777" w:rsidR="008C05E1" w:rsidRPr="00397701" w:rsidRDefault="008C05E1" w:rsidP="008C05E1">
      <w:pPr>
        <w:pStyle w:val="listparagraph0"/>
        <w:numPr>
          <w:ilvl w:val="1"/>
          <w:numId w:val="35"/>
        </w:numPr>
        <w:spacing w:before="120" w:beforeAutospacing="0" w:after="0" w:afterAutospacing="0" w:line="235" w:lineRule="atLeast"/>
        <w:rPr>
          <w:i/>
          <w:iCs/>
          <w:color w:val="000000" w:themeColor="text1"/>
          <w:sz w:val="22"/>
          <w:szCs w:val="22"/>
        </w:rPr>
      </w:pPr>
      <w:r w:rsidRPr="00397701">
        <w:rPr>
          <w:i/>
          <w:iCs/>
          <w:color w:val="000000" w:themeColor="text1"/>
          <w:sz w:val="22"/>
          <w:szCs w:val="18"/>
        </w:rPr>
        <w:t xml:space="preserve">Any advocacy of national, racial or religious hatred that constitutes incitement to discrimination, hostility or violence shall be prohibited by law </w:t>
      </w:r>
      <w:r w:rsidRPr="00397701">
        <w:rPr>
          <w:i/>
          <w:iCs/>
          <w:color w:val="000000" w:themeColor="text1"/>
          <w:sz w:val="22"/>
          <w:szCs w:val="22"/>
        </w:rPr>
        <w:t>(Article 20(2) ICCPR)</w:t>
      </w:r>
    </w:p>
    <w:p w14:paraId="38290463" w14:textId="77777777" w:rsidR="008C05E1" w:rsidRPr="00397701" w:rsidRDefault="008C05E1" w:rsidP="008C05E1">
      <w:pPr>
        <w:pStyle w:val="listparagraph0"/>
        <w:numPr>
          <w:ilvl w:val="1"/>
          <w:numId w:val="35"/>
        </w:numPr>
        <w:spacing w:before="120" w:beforeAutospacing="0" w:after="0" w:afterAutospacing="0" w:line="235" w:lineRule="atLeast"/>
        <w:rPr>
          <w:i/>
          <w:iCs/>
          <w:color w:val="000000" w:themeColor="text1"/>
          <w:sz w:val="22"/>
          <w:szCs w:val="22"/>
        </w:rPr>
      </w:pPr>
      <w:r w:rsidRPr="00397701">
        <w:rPr>
          <w:i/>
          <w:iCs/>
          <w:color w:val="000000" w:themeColor="text1"/>
          <w:sz w:val="22"/>
          <w:szCs w:val="22"/>
        </w:rPr>
        <w:t>States Parties shall take all appropriate measures, including legislation, to suppress all forms of traffic in women and exploitation of prostitution of women (Article 6 CEDAW)</w:t>
      </w:r>
    </w:p>
    <w:p w14:paraId="189A271A" w14:textId="77777777" w:rsidR="008C05E1" w:rsidRPr="00397701" w:rsidRDefault="008C05E1" w:rsidP="008C05E1">
      <w:pPr>
        <w:pStyle w:val="listparagraph0"/>
        <w:spacing w:before="120" w:beforeAutospacing="0" w:after="0" w:afterAutospacing="0" w:line="235" w:lineRule="atLeast"/>
        <w:ind w:left="1440"/>
        <w:rPr>
          <w:i/>
          <w:iCs/>
          <w:color w:val="000000" w:themeColor="text1"/>
          <w:sz w:val="22"/>
          <w:szCs w:val="22"/>
        </w:rPr>
      </w:pPr>
    </w:p>
    <w:p w14:paraId="6CDAE1D1" w14:textId="77777777" w:rsidR="008C05E1" w:rsidRPr="00397701" w:rsidRDefault="008C05E1" w:rsidP="008C05E1">
      <w:pPr>
        <w:pStyle w:val="ListParagraph"/>
        <w:numPr>
          <w:ilvl w:val="0"/>
          <w:numId w:val="35"/>
        </w:numPr>
        <w:spacing w:before="120" w:after="40"/>
        <w:rPr>
          <w:rFonts w:ascii="Times New Roman" w:hAnsi="Times New Roman" w:cs="Times New Roman"/>
        </w:rPr>
      </w:pPr>
      <w:r w:rsidRPr="00397701">
        <w:rPr>
          <w:rFonts w:ascii="Times New Roman" w:hAnsi="Times New Roman" w:cs="Times New Roman"/>
        </w:rPr>
        <w:t>The following rights for persons with disabilities under the Convention on the Rights of Persons with Disabilities (</w:t>
      </w:r>
      <w:r w:rsidRPr="00397701">
        <w:rPr>
          <w:rFonts w:ascii="Times New Roman" w:hAnsi="Times New Roman" w:cs="Times New Roman"/>
          <w:b/>
          <w:bCs/>
        </w:rPr>
        <w:t>the CRPD</w:t>
      </w:r>
      <w:r w:rsidRPr="00397701">
        <w:rPr>
          <w:rFonts w:ascii="Times New Roman" w:hAnsi="Times New Roman" w:cs="Times New Roman"/>
        </w:rPr>
        <w:t xml:space="preserve">):  </w:t>
      </w:r>
    </w:p>
    <w:p w14:paraId="2415F2CF" w14:textId="77777777" w:rsidR="008C05E1" w:rsidRPr="00397701" w:rsidRDefault="008C05E1" w:rsidP="008C05E1">
      <w:pPr>
        <w:pStyle w:val="listparagraph0"/>
        <w:numPr>
          <w:ilvl w:val="1"/>
          <w:numId w:val="35"/>
        </w:numPr>
        <w:spacing w:before="120" w:beforeAutospacing="0" w:after="0" w:afterAutospacing="0" w:line="235" w:lineRule="atLeast"/>
        <w:rPr>
          <w:i/>
          <w:iCs/>
          <w:color w:val="000000"/>
          <w:sz w:val="22"/>
          <w:szCs w:val="22"/>
        </w:rPr>
      </w:pPr>
      <w:r w:rsidRPr="00397701">
        <w:rPr>
          <w:i/>
          <w:iCs/>
          <w:color w:val="000000"/>
          <w:sz w:val="22"/>
          <w:szCs w:val="22"/>
        </w:rPr>
        <w:t>to access, on an equal basis with others, information and communications (Article 9); and</w:t>
      </w:r>
    </w:p>
    <w:p w14:paraId="7910A79E" w14:textId="77777777" w:rsidR="008C05E1" w:rsidRPr="00397701" w:rsidRDefault="008C05E1" w:rsidP="008C05E1">
      <w:pPr>
        <w:pStyle w:val="listparagraph0"/>
        <w:numPr>
          <w:ilvl w:val="1"/>
          <w:numId w:val="35"/>
        </w:numPr>
        <w:spacing w:before="120" w:beforeAutospacing="0" w:after="0" w:afterAutospacing="0" w:line="235" w:lineRule="atLeast"/>
        <w:rPr>
          <w:i/>
          <w:iCs/>
          <w:color w:val="000000"/>
          <w:sz w:val="22"/>
          <w:szCs w:val="22"/>
        </w:rPr>
      </w:pPr>
      <w:r w:rsidRPr="00397701">
        <w:rPr>
          <w:i/>
          <w:iCs/>
          <w:color w:val="000000"/>
          <w:spacing w:val="4"/>
          <w:sz w:val="22"/>
          <w:szCs w:val="22"/>
        </w:rPr>
        <w:t>the right to freedom of expression and opinion, including the freedom to seek, receive and impart information and ideas on an equal basis with others</w:t>
      </w:r>
      <w:r w:rsidRPr="00397701">
        <w:rPr>
          <w:i/>
          <w:iCs/>
          <w:color w:val="000000"/>
          <w:sz w:val="22"/>
          <w:szCs w:val="22"/>
        </w:rPr>
        <w:t> and through all forms of communication of their choice (Article 21).</w:t>
      </w:r>
    </w:p>
    <w:p w14:paraId="0EFB4FFD" w14:textId="77777777" w:rsidR="008C05E1" w:rsidRPr="00397701" w:rsidRDefault="008C05E1" w:rsidP="008C05E1">
      <w:pPr>
        <w:pStyle w:val="listparagraph0"/>
        <w:numPr>
          <w:ilvl w:val="0"/>
          <w:numId w:val="35"/>
        </w:numPr>
        <w:spacing w:before="120" w:beforeAutospacing="0" w:after="0" w:afterAutospacing="0" w:line="235" w:lineRule="atLeast"/>
        <w:rPr>
          <w:i/>
          <w:iCs/>
          <w:color w:val="000000"/>
          <w:sz w:val="22"/>
          <w:szCs w:val="22"/>
        </w:rPr>
      </w:pPr>
      <w:r w:rsidRPr="00397701">
        <w:rPr>
          <w:color w:val="000000"/>
          <w:sz w:val="22"/>
          <w:szCs w:val="22"/>
        </w:rPr>
        <w:t>The right to equality and non-discrimination contained in article 20 of the ICCPR and article 3 of the CEDAW:</w:t>
      </w:r>
    </w:p>
    <w:p w14:paraId="5A384C7D" w14:textId="77777777" w:rsidR="008C05E1" w:rsidRPr="00397701" w:rsidRDefault="008C05E1" w:rsidP="008C05E1">
      <w:pPr>
        <w:pStyle w:val="listparagraph0"/>
        <w:numPr>
          <w:ilvl w:val="1"/>
          <w:numId w:val="35"/>
        </w:numPr>
        <w:spacing w:before="120" w:beforeAutospacing="0" w:after="0" w:afterAutospacing="0" w:line="235" w:lineRule="atLeast"/>
        <w:rPr>
          <w:i/>
          <w:iCs/>
          <w:color w:val="000000"/>
          <w:sz w:val="22"/>
          <w:szCs w:val="22"/>
        </w:rPr>
      </w:pPr>
      <w:r w:rsidRPr="00397701">
        <w:rPr>
          <w:i/>
          <w:iCs/>
          <w:color w:val="000000"/>
          <w:sz w:val="22"/>
          <w:szCs w:val="22"/>
        </w:rPr>
        <w:t>1. Each State Party to the present Covenant undertakes to respect and to ensure to all individuals within its territory and subject to its jurisdiction the rights recognized in the present Covenant, without distinction of any kind, such as race, colour, sex, language, religion, political or other opinion, national or social origin, property, birth or other status. (Article 20 ICCPR)</w:t>
      </w:r>
    </w:p>
    <w:p w14:paraId="3CDB3E5D" w14:textId="77777777" w:rsidR="008C05E1" w:rsidRPr="00397701" w:rsidRDefault="008C05E1" w:rsidP="008C05E1">
      <w:pPr>
        <w:pStyle w:val="listparagraph0"/>
        <w:numPr>
          <w:ilvl w:val="1"/>
          <w:numId w:val="35"/>
        </w:numPr>
        <w:spacing w:before="120" w:beforeAutospacing="0" w:after="0" w:afterAutospacing="0" w:line="235" w:lineRule="atLeast"/>
        <w:rPr>
          <w:i/>
          <w:iCs/>
          <w:color w:val="000000"/>
          <w:sz w:val="22"/>
          <w:szCs w:val="22"/>
        </w:rPr>
      </w:pPr>
      <w:r w:rsidRPr="00397701">
        <w:rPr>
          <w:i/>
          <w:iCs/>
          <w:color w:val="000000"/>
          <w:sz w:val="22"/>
          <w:szCs w:val="22"/>
        </w:rPr>
        <w:t>States Parties shall take in all fields, in particular in the political, social, economic and cultural fields, all appropriate measures, including legislation, to ensure the full development and advancement of women, for the purpose of guaranteeing them the exercise and enjoyment of human rights and fundamental freedoms on a basis of equality with men (Article 3 CEDAW)</w:t>
      </w:r>
    </w:p>
    <w:p w14:paraId="41F43F4A" w14:textId="77777777" w:rsidR="008C05E1" w:rsidRPr="00397701" w:rsidRDefault="008C05E1" w:rsidP="008C05E1">
      <w:pPr>
        <w:spacing w:after="40"/>
        <w:rPr>
          <w:rFonts w:ascii="Times New Roman" w:hAnsi="Times New Roman" w:cs="Times New Roman"/>
          <w:b/>
          <w:bCs/>
          <w:i/>
          <w:iCs/>
        </w:rPr>
      </w:pPr>
    </w:p>
    <w:p w14:paraId="522CDAFD" w14:textId="77777777" w:rsidR="008C05E1" w:rsidRPr="00397701" w:rsidRDefault="008C05E1" w:rsidP="008C05E1">
      <w:pPr>
        <w:spacing w:after="40"/>
        <w:rPr>
          <w:rFonts w:ascii="Times New Roman" w:hAnsi="Times New Roman" w:cs="Times New Roman"/>
          <w:b/>
          <w:bCs/>
          <w:i/>
          <w:iCs/>
        </w:rPr>
      </w:pPr>
      <w:r w:rsidRPr="00397701">
        <w:rPr>
          <w:rFonts w:ascii="Times New Roman" w:hAnsi="Times New Roman" w:cs="Times New Roman"/>
          <w:b/>
          <w:bCs/>
          <w:i/>
          <w:iCs/>
        </w:rPr>
        <w:t xml:space="preserve">Right to privacy </w:t>
      </w:r>
    </w:p>
    <w:p w14:paraId="1DDA0556" w14:textId="0F85A9AA" w:rsidR="008C05E1" w:rsidRPr="00397701" w:rsidRDefault="008C05E1" w:rsidP="008C05E1">
      <w:pPr>
        <w:spacing w:before="120" w:after="0" w:line="240" w:lineRule="auto"/>
        <w:rPr>
          <w:rFonts w:ascii="Times New Roman" w:eastAsia="Times New Roman" w:hAnsi="Times New Roman" w:cs="Times New Roman"/>
          <w:lang w:eastAsia="en-AU"/>
        </w:rPr>
      </w:pPr>
      <w:r w:rsidRPr="00397701">
        <w:rPr>
          <w:rFonts w:ascii="Times New Roman" w:eastAsia="Times New Roman" w:hAnsi="Times New Roman" w:cs="Times New Roman"/>
          <w:lang w:eastAsia="en-AU"/>
        </w:rPr>
        <w:t xml:space="preserve">Article 17 of the ICCPR (like Article 16 of the Convention on the Rights of the Child and Article 22 </w:t>
      </w:r>
      <w:r w:rsidR="000C2051" w:rsidRPr="00397701">
        <w:rPr>
          <w:rFonts w:ascii="Times New Roman" w:eastAsia="Times New Roman" w:hAnsi="Times New Roman" w:cs="Times New Roman"/>
          <w:lang w:eastAsia="en-AU"/>
        </w:rPr>
        <w:t xml:space="preserve">of the </w:t>
      </w:r>
      <w:r w:rsidRPr="00397701">
        <w:rPr>
          <w:rFonts w:ascii="Times New Roman" w:eastAsia="Times New Roman" w:hAnsi="Times New Roman" w:cs="Times New Roman"/>
          <w:lang w:eastAsia="en-AU"/>
        </w:rPr>
        <w:t xml:space="preserve">CRPD) protects the right to freedom from unlawful or arbitrary interference with privacy. Certain provisions in the Standard could be considered to limit the right to privacy. However, the right to privacy is not an absolute right and a limitation </w:t>
      </w:r>
      <w:r w:rsidR="00EA27E9" w:rsidRPr="00397701">
        <w:rPr>
          <w:rFonts w:ascii="Times New Roman" w:eastAsia="Times New Roman" w:hAnsi="Times New Roman" w:cs="Times New Roman"/>
          <w:lang w:eastAsia="en-AU"/>
        </w:rPr>
        <w:t xml:space="preserve">may </w:t>
      </w:r>
      <w:r w:rsidRPr="00397701">
        <w:rPr>
          <w:rFonts w:ascii="Times New Roman" w:eastAsia="Times New Roman" w:hAnsi="Times New Roman" w:cs="Times New Roman"/>
          <w:lang w:eastAsia="en-AU"/>
        </w:rPr>
        <w:t xml:space="preserve">not </w:t>
      </w:r>
      <w:r w:rsidR="00EA27E9" w:rsidRPr="00397701">
        <w:rPr>
          <w:rFonts w:ascii="Times New Roman" w:eastAsia="Times New Roman" w:hAnsi="Times New Roman" w:cs="Times New Roman"/>
          <w:lang w:eastAsia="en-AU"/>
        </w:rPr>
        <w:t xml:space="preserve">be </w:t>
      </w:r>
      <w:r w:rsidRPr="00397701">
        <w:rPr>
          <w:rFonts w:ascii="Times New Roman" w:eastAsia="Times New Roman" w:hAnsi="Times New Roman" w:cs="Times New Roman"/>
          <w:lang w:eastAsia="en-AU"/>
        </w:rPr>
        <w:t xml:space="preserve">incompatible with the right itself. </w:t>
      </w:r>
    </w:p>
    <w:p w14:paraId="500B7D85" w14:textId="77777777" w:rsidR="008C05E1" w:rsidRPr="00397701" w:rsidRDefault="008C05E1" w:rsidP="008C05E1">
      <w:pPr>
        <w:spacing w:before="120" w:after="0" w:line="240" w:lineRule="auto"/>
        <w:rPr>
          <w:rFonts w:ascii="Times New Roman" w:eastAsia="Times New Roman" w:hAnsi="Times New Roman" w:cs="Times New Roman"/>
          <w:lang w:eastAsia="en-AU"/>
        </w:rPr>
      </w:pPr>
      <w:r w:rsidRPr="00397701">
        <w:rPr>
          <w:rFonts w:ascii="Times New Roman" w:eastAsia="Times New Roman" w:hAnsi="Times New Roman" w:cs="Times New Roman"/>
          <w:lang w:eastAsia="en-AU"/>
        </w:rPr>
        <w:t xml:space="preserve">Part 9 of the Standard imposes certain record keeping requirements on providers relating to their compliance with the requirements of the Standard. These records may include the personal information of consumers, and are required to be kept for at least 2 years, and be made available to the ACMA upon request.  </w:t>
      </w:r>
    </w:p>
    <w:p w14:paraId="63DB49E1" w14:textId="77777777" w:rsidR="008C05E1" w:rsidRPr="00397701" w:rsidRDefault="008C05E1" w:rsidP="008C05E1">
      <w:pPr>
        <w:spacing w:before="120" w:after="0" w:line="240" w:lineRule="auto"/>
        <w:rPr>
          <w:rFonts w:ascii="Times New Roman" w:eastAsia="Times New Roman" w:hAnsi="Times New Roman" w:cs="Times New Roman"/>
          <w:lang w:eastAsia="en-AU"/>
        </w:rPr>
      </w:pPr>
      <w:r w:rsidRPr="00397701">
        <w:rPr>
          <w:rFonts w:ascii="Times New Roman" w:eastAsia="Times New Roman" w:hAnsi="Times New Roman" w:cs="Times New Roman"/>
          <w:lang w:eastAsia="en-AU"/>
        </w:rPr>
        <w:t xml:space="preserve">The requirement for retention for at least 2 years is consistent with the requirement for retention of records applied in other record-keeping rules made by the ACMA under subsection 529(1) of the Act and reflects the reasonable and practical needs of the ACMA in performing its functions of monitoring and assessing compliance of providers with their obligations under the Standard. The ACMA’s compliance and enforcement functions in relation to the Standard are integral to ensuring that providers are compliant with their obligations and that the objectives of the Standard and the Direction are met. </w:t>
      </w:r>
    </w:p>
    <w:p w14:paraId="6EAE3286" w14:textId="77777777" w:rsidR="008C05E1" w:rsidRPr="00397701" w:rsidRDefault="008C05E1" w:rsidP="008C05E1">
      <w:pPr>
        <w:spacing w:before="120" w:after="0" w:line="240" w:lineRule="auto"/>
        <w:rPr>
          <w:rFonts w:ascii="Times New Roman" w:eastAsia="Times New Roman" w:hAnsi="Times New Roman" w:cs="Times New Roman"/>
          <w:lang w:eastAsia="en-AU"/>
        </w:rPr>
      </w:pPr>
      <w:r w:rsidRPr="00397701">
        <w:rPr>
          <w:rFonts w:ascii="Times New Roman" w:eastAsia="Times New Roman" w:hAnsi="Times New Roman" w:cs="Times New Roman"/>
          <w:lang w:eastAsia="en-AU"/>
        </w:rPr>
        <w:lastRenderedPageBreak/>
        <w:t xml:space="preserve">In the ACMA’s view, the personal information required to be collected and kept by providers under the Standard is limited to that information which is necessary to enable the ACMA to investigate a complaint that a provider has breached the Standard.  </w:t>
      </w:r>
    </w:p>
    <w:p w14:paraId="2BD52D33" w14:textId="77777777" w:rsidR="008C05E1" w:rsidRPr="00397701" w:rsidRDefault="008C05E1" w:rsidP="008C05E1">
      <w:pPr>
        <w:spacing w:before="120" w:after="0" w:line="240" w:lineRule="auto"/>
        <w:rPr>
          <w:rFonts w:ascii="Times New Roman" w:eastAsia="Times New Roman" w:hAnsi="Times New Roman" w:cs="Times New Roman"/>
          <w:lang w:eastAsia="en-AU"/>
        </w:rPr>
      </w:pPr>
      <w:r w:rsidRPr="00397701">
        <w:rPr>
          <w:rFonts w:ascii="Times New Roman" w:eastAsia="Times New Roman" w:hAnsi="Times New Roman" w:cs="Times New Roman"/>
          <w:lang w:eastAsia="en-AU"/>
        </w:rPr>
        <w:t xml:space="preserve">Subsection 31(3) of the Standard provides that, where practicable, records kept under the Standard must not contain the personal information of an affected person.  </w:t>
      </w:r>
    </w:p>
    <w:p w14:paraId="2C33D45F" w14:textId="1727FBAC" w:rsidR="008C05E1" w:rsidRPr="00397701" w:rsidRDefault="008C05E1" w:rsidP="008C05E1">
      <w:pPr>
        <w:spacing w:before="120" w:after="0" w:line="240" w:lineRule="auto"/>
        <w:rPr>
          <w:rFonts w:ascii="Times New Roman" w:hAnsi="Times New Roman" w:cs="Times New Roman"/>
        </w:rPr>
      </w:pPr>
      <w:r w:rsidRPr="00397701">
        <w:rPr>
          <w:rFonts w:ascii="Times New Roman" w:eastAsia="Times New Roman" w:hAnsi="Times New Roman" w:cs="Times New Roman"/>
          <w:lang w:eastAsia="en-AU"/>
        </w:rPr>
        <w:t>Subsection 14(1) of the Standard requires that a provider must not require evidence or supporting material which demonstrates that a consumer is an affected person.  The exceptions to subsection 14(1) are in subsection 14(2) which permit the collection of evidence that a consumer is an affected person (which may include personal information)</w:t>
      </w:r>
      <w:r w:rsidRPr="00397701">
        <w:rPr>
          <w:rFonts w:ascii="Times New Roman" w:hAnsi="Times New Roman" w:cs="Times New Roman"/>
        </w:rPr>
        <w:t xml:space="preserve"> in limited circumstances and if it is strictly necessary to comply with a legal obligation or it is necessary to protect the interests of a</w:t>
      </w:r>
      <w:r w:rsidR="00E875F0" w:rsidRPr="00397701">
        <w:rPr>
          <w:rFonts w:ascii="Times New Roman" w:hAnsi="Times New Roman" w:cs="Times New Roman"/>
        </w:rPr>
        <w:t xml:space="preserve"> person</w:t>
      </w:r>
      <w:r w:rsidRPr="00397701">
        <w:rPr>
          <w:rFonts w:ascii="Times New Roman" w:hAnsi="Times New Roman" w:cs="Times New Roman"/>
        </w:rPr>
        <w:t xml:space="preserve"> affected </w:t>
      </w:r>
      <w:r w:rsidR="00E875F0" w:rsidRPr="00397701">
        <w:rPr>
          <w:rFonts w:ascii="Times New Roman" w:hAnsi="Times New Roman" w:cs="Times New Roman"/>
        </w:rPr>
        <w:t>by DFV</w:t>
      </w:r>
      <w:r w:rsidRPr="00397701">
        <w:rPr>
          <w:rFonts w:ascii="Times New Roman" w:hAnsi="Times New Roman" w:cs="Times New Roman"/>
        </w:rPr>
        <w:t xml:space="preserve">. </w:t>
      </w:r>
    </w:p>
    <w:p w14:paraId="5B6707FE" w14:textId="73EEA1D7" w:rsidR="008C05E1" w:rsidRPr="00397701" w:rsidRDefault="008C05E1" w:rsidP="008C05E1">
      <w:pPr>
        <w:spacing w:before="120" w:after="0" w:line="240" w:lineRule="auto"/>
        <w:rPr>
          <w:rFonts w:ascii="Times New Roman" w:hAnsi="Times New Roman" w:cs="Times New Roman"/>
        </w:rPr>
      </w:pPr>
      <w:r w:rsidRPr="00397701">
        <w:rPr>
          <w:rFonts w:ascii="Times New Roman" w:hAnsi="Times New Roman" w:cs="Times New Roman"/>
        </w:rPr>
        <w:t xml:space="preserve">Under subsections 31(4) and 31(5), records of information collected under subsection 14(2) must be destroyed or disposed of in a secure manner after those records have been sighted or are no longer needed to </w:t>
      </w:r>
      <w:r w:rsidR="00404A31" w:rsidRPr="00397701">
        <w:rPr>
          <w:rFonts w:ascii="Times New Roman" w:hAnsi="Times New Roman" w:cs="Times New Roman"/>
        </w:rPr>
        <w:t>ful</w:t>
      </w:r>
      <w:r w:rsidRPr="00397701">
        <w:rPr>
          <w:rFonts w:ascii="Times New Roman" w:hAnsi="Times New Roman" w:cs="Times New Roman"/>
        </w:rPr>
        <w:t xml:space="preserve">fil the legal obligation. </w:t>
      </w:r>
    </w:p>
    <w:p w14:paraId="1AAA800E" w14:textId="77777777" w:rsidR="008C05E1" w:rsidRPr="00397701" w:rsidRDefault="008C05E1" w:rsidP="008C05E1">
      <w:pPr>
        <w:spacing w:before="120" w:after="0" w:line="240" w:lineRule="auto"/>
        <w:rPr>
          <w:rFonts w:ascii="Times New Roman" w:hAnsi="Times New Roman" w:cs="Times New Roman"/>
        </w:rPr>
      </w:pPr>
      <w:r w:rsidRPr="00397701">
        <w:rPr>
          <w:rFonts w:ascii="Times New Roman" w:hAnsi="Times New Roman" w:cs="Times New Roman"/>
          <w:i/>
          <w:iCs/>
        </w:rPr>
        <w:t>The Privacy Act 1988</w:t>
      </w:r>
      <w:r w:rsidRPr="00397701">
        <w:rPr>
          <w:rFonts w:ascii="Times New Roman" w:hAnsi="Times New Roman" w:cs="Times New Roman"/>
        </w:rPr>
        <w:t xml:space="preserve"> (</w:t>
      </w:r>
      <w:r w:rsidRPr="00397701">
        <w:rPr>
          <w:rFonts w:ascii="Times New Roman" w:hAnsi="Times New Roman" w:cs="Times New Roman"/>
          <w:b/>
          <w:bCs/>
        </w:rPr>
        <w:t xml:space="preserve">the </w:t>
      </w:r>
      <w:r w:rsidRPr="00397701">
        <w:rPr>
          <w:rFonts w:ascii="Times New Roman" w:hAnsi="Times New Roman" w:cs="Times New Roman"/>
          <w:b/>
        </w:rPr>
        <w:t>Privacy Act</w:t>
      </w:r>
      <w:r w:rsidRPr="00397701">
        <w:rPr>
          <w:rFonts w:ascii="Times New Roman" w:hAnsi="Times New Roman" w:cs="Times New Roman"/>
        </w:rPr>
        <w:t xml:space="preserve">) applies to the ACMA and the ACMA’s administration of the Standard. As noted above, customer records may need to be accessed for monitoring and enforcement activities. The ACMA is subject in all relevant respects to the Privacy Act and the Australian Privacy Principles, and has a formal Privacy Management Plan, and takes all the usual precautions and other measures which a Commonwealth Government agency is required to take in order to safeguard personal information that comes into its custody and care. </w:t>
      </w:r>
    </w:p>
    <w:p w14:paraId="19FF5854" w14:textId="77777777" w:rsidR="008C05E1" w:rsidRPr="00397701" w:rsidRDefault="008C05E1" w:rsidP="008C05E1">
      <w:pPr>
        <w:spacing w:after="40"/>
        <w:rPr>
          <w:rFonts w:ascii="Times New Roman" w:hAnsi="Times New Roman" w:cs="Times New Roman"/>
        </w:rPr>
      </w:pPr>
    </w:p>
    <w:p w14:paraId="73EC4DAD" w14:textId="77777777" w:rsidR="008C05E1" w:rsidRPr="00397701" w:rsidRDefault="008C05E1" w:rsidP="008C05E1">
      <w:pPr>
        <w:spacing w:after="40"/>
        <w:rPr>
          <w:rFonts w:ascii="Times New Roman" w:hAnsi="Times New Roman" w:cs="Times New Roman"/>
        </w:rPr>
      </w:pPr>
      <w:r w:rsidRPr="00397701">
        <w:rPr>
          <w:rFonts w:ascii="Times New Roman" w:hAnsi="Times New Roman" w:cs="Times New Roman"/>
        </w:rPr>
        <w:t xml:space="preserve">Most providers are also subject to the Privacy Act regarding the personal information they handle in accordance with the Standard. In any event, it is expected that any personal information collected under the Standard would usually be provided with the consent of the consumer.  </w:t>
      </w:r>
    </w:p>
    <w:p w14:paraId="4B6CEAC5" w14:textId="1B527B04" w:rsidR="008C05E1" w:rsidRPr="00397701" w:rsidRDefault="008C05E1" w:rsidP="008C05E1">
      <w:pPr>
        <w:spacing w:before="120" w:after="40"/>
        <w:rPr>
          <w:rFonts w:ascii="Times New Roman" w:hAnsi="Times New Roman" w:cs="Times New Roman"/>
        </w:rPr>
      </w:pPr>
      <w:r w:rsidRPr="00397701">
        <w:rPr>
          <w:rFonts w:ascii="Times New Roman" w:hAnsi="Times New Roman" w:cs="Times New Roman"/>
        </w:rPr>
        <w:t xml:space="preserve">The Standard includes provisions in Part 8 which require providers to ensure that the information kept under that Part is only disclosed in specified circumstances, protected, stored securely and disposed of when no longer needed under the Standard or any other applicable laws. Further, section 28 of the Standard imposes requirements on providers that are not covered by the Privacy Act, to ensure that relevant personal information is kept confidential and not disclosed to third parties except: as required to manage a complaint </w:t>
      </w:r>
      <w:r w:rsidR="00981ECA" w:rsidRPr="00397701">
        <w:rPr>
          <w:rFonts w:ascii="Times New Roman" w:hAnsi="Times New Roman" w:cs="Times New Roman"/>
        </w:rPr>
        <w:t>made to</w:t>
      </w:r>
      <w:r w:rsidR="00D2258F">
        <w:rPr>
          <w:rFonts w:ascii="Times New Roman" w:hAnsi="Times New Roman" w:cs="Times New Roman"/>
        </w:rPr>
        <w:t xml:space="preserve"> </w:t>
      </w:r>
      <w:r w:rsidRPr="00397701">
        <w:rPr>
          <w:rFonts w:ascii="Times New Roman" w:hAnsi="Times New Roman" w:cs="Times New Roman"/>
        </w:rPr>
        <w:t xml:space="preserve">the TIO or the ACMA; with the express consent of the consumer; or where disclosure is otherwise required or authorised by law. </w:t>
      </w:r>
    </w:p>
    <w:p w14:paraId="2C776A66" w14:textId="77777777" w:rsidR="008C05E1" w:rsidRPr="00397701" w:rsidRDefault="008C05E1" w:rsidP="008C05E1">
      <w:pPr>
        <w:spacing w:before="120" w:after="40"/>
        <w:rPr>
          <w:rFonts w:ascii="Times New Roman" w:hAnsi="Times New Roman" w:cs="Times New Roman"/>
        </w:rPr>
      </w:pPr>
      <w:r w:rsidRPr="00397701">
        <w:rPr>
          <w:rFonts w:ascii="Times New Roman" w:hAnsi="Times New Roman" w:cs="Times New Roman"/>
        </w:rPr>
        <w:t>Additionally, there is an obligation in section 29 for providers to inform the ACMA and the affected person of unauthorised disclosure.</w:t>
      </w:r>
    </w:p>
    <w:p w14:paraId="7C3994EE" w14:textId="77777777" w:rsidR="008C05E1" w:rsidRPr="00397701" w:rsidRDefault="008C05E1" w:rsidP="008C05E1">
      <w:pPr>
        <w:spacing w:before="120" w:after="40"/>
        <w:rPr>
          <w:rFonts w:ascii="Times New Roman" w:hAnsi="Times New Roman" w:cs="Times New Roman"/>
        </w:rPr>
      </w:pPr>
      <w:r w:rsidRPr="00397701">
        <w:rPr>
          <w:rFonts w:ascii="Times New Roman" w:hAnsi="Times New Roman" w:cs="Times New Roman"/>
        </w:rPr>
        <w:t xml:space="preserve">These safeguards, together with the other restrictions on the handling of personal information mentioned above, indicate that the Standard is reasonable, necessary and proportionate.  </w:t>
      </w:r>
    </w:p>
    <w:p w14:paraId="48137269" w14:textId="77777777" w:rsidR="008C05E1" w:rsidRPr="00397701" w:rsidRDefault="008C05E1" w:rsidP="008C05E1">
      <w:pPr>
        <w:spacing w:after="40"/>
        <w:rPr>
          <w:rFonts w:ascii="Times New Roman" w:hAnsi="Times New Roman" w:cs="Times New Roman"/>
        </w:rPr>
      </w:pPr>
    </w:p>
    <w:p w14:paraId="2D18FB0A" w14:textId="77777777" w:rsidR="008C05E1" w:rsidRPr="00397701" w:rsidRDefault="008C05E1" w:rsidP="008C05E1">
      <w:pPr>
        <w:spacing w:after="40"/>
        <w:rPr>
          <w:rFonts w:ascii="Times New Roman" w:hAnsi="Times New Roman" w:cs="Times New Roman"/>
          <w:b/>
          <w:bCs/>
          <w:i/>
          <w:iCs/>
        </w:rPr>
      </w:pPr>
      <w:r w:rsidRPr="00397701">
        <w:rPr>
          <w:rFonts w:ascii="Times New Roman" w:hAnsi="Times New Roman" w:cs="Times New Roman"/>
          <w:b/>
          <w:bCs/>
          <w:i/>
          <w:iCs/>
        </w:rPr>
        <w:t xml:space="preserve">Right to freedom of expression  </w:t>
      </w:r>
    </w:p>
    <w:p w14:paraId="326380C1" w14:textId="77777777" w:rsidR="008C05E1" w:rsidRPr="00397701" w:rsidRDefault="008C05E1" w:rsidP="008C05E1">
      <w:pPr>
        <w:spacing w:after="40"/>
        <w:rPr>
          <w:rFonts w:ascii="Times New Roman" w:hAnsi="Times New Roman" w:cs="Times New Roman"/>
        </w:rPr>
      </w:pPr>
      <w:r w:rsidRPr="00397701">
        <w:rPr>
          <w:rFonts w:ascii="Times New Roman" w:hAnsi="Times New Roman" w:cs="Times New Roman"/>
        </w:rPr>
        <w:t xml:space="preserve">The ACMA considers that the Standard engages the right to freedom of expression, in so far as that right includes the right of customers to receive information relating to domestic and family violence assistance in relation to their telecommunications products, as well as information about third party DFV support organisations. </w:t>
      </w:r>
    </w:p>
    <w:p w14:paraId="2E4F48F3" w14:textId="77777777" w:rsidR="008C05E1" w:rsidRPr="00397701" w:rsidRDefault="008C05E1" w:rsidP="008C05E1">
      <w:pPr>
        <w:spacing w:after="40"/>
        <w:rPr>
          <w:rFonts w:ascii="Times New Roman" w:hAnsi="Times New Roman" w:cs="Times New Roman"/>
        </w:rPr>
      </w:pPr>
    </w:p>
    <w:p w14:paraId="32AE6E24" w14:textId="005D887D" w:rsidR="008C05E1" w:rsidRPr="00397701" w:rsidRDefault="008C05E1" w:rsidP="008C05E1">
      <w:pPr>
        <w:spacing w:after="40"/>
        <w:rPr>
          <w:rFonts w:ascii="Times New Roman" w:hAnsi="Times New Roman" w:cs="Times New Roman"/>
        </w:rPr>
      </w:pPr>
      <w:r w:rsidRPr="00397701">
        <w:rPr>
          <w:rFonts w:ascii="Times New Roman" w:hAnsi="Times New Roman" w:cs="Times New Roman"/>
        </w:rPr>
        <w:t xml:space="preserve">Parts 3 to 5 of the Standard impose requirements on providers to provide information and advice to affected persons. For example: Part 3 requires providers to advise affected persons about available support and how the provider can assist them and communicate with them. Part 4 requires providers to publish information about how affected persons can access specific DFV support from the provider and other DFV support services, and to provide several communication methods for affected persons </w:t>
      </w:r>
      <w:r w:rsidRPr="00397701">
        <w:rPr>
          <w:rFonts w:ascii="Times New Roman" w:hAnsi="Times New Roman" w:cs="Times New Roman"/>
        </w:rPr>
        <w:lastRenderedPageBreak/>
        <w:t xml:space="preserve">to directly access DFV support services. Part 5 requires providers to establish a domestic and family violence policy and procedures with a number of minimum content requirements. </w:t>
      </w:r>
    </w:p>
    <w:p w14:paraId="68C42914" w14:textId="77777777" w:rsidR="008C05E1" w:rsidRPr="00397701" w:rsidRDefault="008C05E1" w:rsidP="008C05E1">
      <w:pPr>
        <w:spacing w:after="40"/>
        <w:rPr>
          <w:rFonts w:ascii="Times New Roman" w:hAnsi="Times New Roman" w:cs="Times New Roman"/>
        </w:rPr>
      </w:pPr>
    </w:p>
    <w:p w14:paraId="4868C17A" w14:textId="77777777" w:rsidR="008C05E1" w:rsidRPr="00397701" w:rsidRDefault="008C05E1" w:rsidP="008C05E1">
      <w:pPr>
        <w:spacing w:after="40"/>
        <w:rPr>
          <w:rFonts w:ascii="Times New Roman" w:hAnsi="Times New Roman" w:cs="Times New Roman"/>
        </w:rPr>
      </w:pPr>
      <w:r w:rsidRPr="00397701">
        <w:rPr>
          <w:rFonts w:ascii="Times New Roman" w:hAnsi="Times New Roman" w:cs="Times New Roman"/>
        </w:rPr>
        <w:t xml:space="preserve">The obligations in Parts 3 to 5 of the Standard are designed to ensure providers have policies and procedures to assist customers affected by domestic and family violence, and to assist them to make informed decisions about how they can contact their provider for assistance and the options for assistance that a provider offers.  As such, the standard affords protections to affected persons and is directed at promoting the rights of consumers to receive information about and options for DFV assistance. Accordingly, the ACMA considers that the Standard does not cause any limitation or interference with the right to freedom of expression.  </w:t>
      </w:r>
    </w:p>
    <w:p w14:paraId="75D33DA8" w14:textId="77777777" w:rsidR="008C05E1" w:rsidRPr="00397701" w:rsidRDefault="008C05E1" w:rsidP="008C05E1">
      <w:pPr>
        <w:spacing w:before="120" w:after="120"/>
        <w:rPr>
          <w:rFonts w:ascii="Times New Roman" w:hAnsi="Times New Roman" w:cs="Times New Roman"/>
          <w:b/>
          <w:bCs/>
          <w:i/>
          <w:iCs/>
        </w:rPr>
      </w:pPr>
      <w:r w:rsidRPr="00397701">
        <w:rPr>
          <w:rFonts w:ascii="Times New Roman" w:hAnsi="Times New Roman" w:cs="Times New Roman"/>
          <w:b/>
          <w:bCs/>
          <w:i/>
          <w:iCs/>
        </w:rPr>
        <w:t>Right to protection against exploitation, abuse and violence</w:t>
      </w:r>
    </w:p>
    <w:p w14:paraId="43F15C27" w14:textId="1F49D504" w:rsidR="008C05E1" w:rsidRPr="00397701" w:rsidRDefault="008C05E1" w:rsidP="008C05E1">
      <w:pPr>
        <w:spacing w:before="40"/>
        <w:rPr>
          <w:rFonts w:ascii="Times New Roman" w:hAnsi="Times New Roman" w:cs="Times New Roman"/>
        </w:rPr>
      </w:pPr>
      <w:r w:rsidRPr="00397701">
        <w:rPr>
          <w:rFonts w:ascii="Times New Roman" w:hAnsi="Times New Roman" w:cs="Times New Roman"/>
        </w:rPr>
        <w:t xml:space="preserve">The Standard promotes this right as it imposes obligations on providers to develop and implement policies and procedures to safely assist individuals who are victims of domestic or sexual violence to stay connected to their telecommunications service. The </w:t>
      </w:r>
      <w:r w:rsidR="00934B64" w:rsidRPr="00397701">
        <w:rPr>
          <w:rFonts w:ascii="Times New Roman" w:hAnsi="Times New Roman" w:cs="Times New Roman"/>
        </w:rPr>
        <w:t>S</w:t>
      </w:r>
      <w:r w:rsidRPr="00397701">
        <w:rPr>
          <w:rFonts w:ascii="Times New Roman" w:hAnsi="Times New Roman" w:cs="Times New Roman"/>
        </w:rPr>
        <w:t>tandard imposes requirements on providers to prioritise affected persons’ safety. Part 3 imposes obligations on providers to not require evidence that an individual is an affected person, and to identify and respond to affected persons’ safety concerns in relation to their telecommunications products and accounts, such as by setting up new accounts not linked to a perpetrator and to discuss communication methods with affected persons. Part 5 includes obligations on how a provider’s personnel can record information in a way that prevents disclosure to perpetrators of DFV.  Part 6 also imposes obligations on providers to train personnel to be able to identify affected persons and to support affected persons effectively.  Part 8 imposes obligations on providers to store information about affected persons in a way that prevents disclosure to perpetrators.</w:t>
      </w:r>
    </w:p>
    <w:p w14:paraId="1D692367" w14:textId="77777777" w:rsidR="008C05E1" w:rsidRPr="00397701" w:rsidRDefault="008C05E1" w:rsidP="008C05E1">
      <w:pPr>
        <w:spacing w:after="40"/>
        <w:rPr>
          <w:rFonts w:ascii="Times New Roman" w:hAnsi="Times New Roman" w:cs="Times New Roman"/>
          <w:b/>
          <w:bCs/>
          <w:i/>
          <w:iCs/>
        </w:rPr>
      </w:pPr>
      <w:r w:rsidRPr="00397701">
        <w:rPr>
          <w:rFonts w:ascii="Times New Roman" w:hAnsi="Times New Roman" w:cs="Times New Roman"/>
          <w:b/>
          <w:bCs/>
          <w:i/>
          <w:iCs/>
        </w:rPr>
        <w:t xml:space="preserve">Rights for persons with disabilities </w:t>
      </w:r>
    </w:p>
    <w:p w14:paraId="657FFB16" w14:textId="77777777" w:rsidR="008C05E1" w:rsidRPr="00397701" w:rsidRDefault="008C05E1" w:rsidP="008C05E1">
      <w:pPr>
        <w:spacing w:after="40"/>
        <w:rPr>
          <w:rFonts w:ascii="Times New Roman" w:hAnsi="Times New Roman" w:cs="Times New Roman"/>
        </w:rPr>
      </w:pPr>
      <w:r w:rsidRPr="00397701">
        <w:rPr>
          <w:rFonts w:ascii="Times New Roman" w:hAnsi="Times New Roman" w:cs="Times New Roman"/>
        </w:rPr>
        <w:t xml:space="preserve">A number of provisions in the Standard positively engage and support the rights of people with disabilities (among others) to receive information on an equal basis, to choose a preferred form of communication about telecommunication products and to access DFV support consistent with Articles 9 and 21 of the CRPD.  </w:t>
      </w:r>
    </w:p>
    <w:p w14:paraId="79D05E92" w14:textId="67F09339" w:rsidR="008C05E1" w:rsidRPr="00397701" w:rsidRDefault="008C05E1" w:rsidP="008C05E1">
      <w:pPr>
        <w:spacing w:before="120" w:after="120"/>
        <w:rPr>
          <w:rFonts w:ascii="Times New Roman" w:hAnsi="Times New Roman" w:cs="Times New Roman"/>
        </w:rPr>
      </w:pPr>
      <w:r w:rsidRPr="00397701">
        <w:rPr>
          <w:rFonts w:ascii="Times New Roman" w:hAnsi="Times New Roman" w:cs="Times New Roman"/>
        </w:rPr>
        <w:t xml:space="preserve">For example, section 18 imposes obligations on providers to make </w:t>
      </w:r>
      <w:r w:rsidR="00934B64" w:rsidRPr="00397701">
        <w:rPr>
          <w:rFonts w:ascii="Times New Roman" w:hAnsi="Times New Roman" w:cs="Times New Roman"/>
        </w:rPr>
        <w:t xml:space="preserve">a </w:t>
      </w:r>
      <w:r w:rsidRPr="00397701">
        <w:rPr>
          <w:rFonts w:ascii="Times New Roman" w:hAnsi="Times New Roman" w:cs="Times New Roman"/>
        </w:rPr>
        <w:t xml:space="preserve">DFV statement which outlines </w:t>
      </w:r>
      <w:r w:rsidR="00934B64" w:rsidRPr="00397701">
        <w:rPr>
          <w:rFonts w:ascii="Times New Roman" w:hAnsi="Times New Roman" w:cs="Times New Roman"/>
        </w:rPr>
        <w:t xml:space="preserve">their </w:t>
      </w:r>
      <w:r w:rsidRPr="00397701">
        <w:rPr>
          <w:rFonts w:ascii="Times New Roman" w:hAnsi="Times New Roman" w:cs="Times New Roman"/>
        </w:rPr>
        <w:t>DFV policies and procedures, available in a format that is accessible to consumers with disabilities (among others).  Further, section 32 requires providers to consult with national or state-based organisations that represent (among others) individuals with disabilities.</w:t>
      </w:r>
    </w:p>
    <w:p w14:paraId="49C8F03D" w14:textId="77777777" w:rsidR="008C05E1" w:rsidRPr="00397701" w:rsidRDefault="008C05E1" w:rsidP="008C05E1">
      <w:pPr>
        <w:spacing w:before="40" w:after="120"/>
        <w:rPr>
          <w:rFonts w:ascii="Times New Roman" w:hAnsi="Times New Roman" w:cs="Times New Roman"/>
          <w:b/>
          <w:bCs/>
          <w:i/>
          <w:iCs/>
        </w:rPr>
      </w:pPr>
      <w:r w:rsidRPr="00397701">
        <w:rPr>
          <w:rFonts w:ascii="Times New Roman" w:hAnsi="Times New Roman" w:cs="Times New Roman"/>
          <w:b/>
          <w:bCs/>
          <w:i/>
          <w:iCs/>
        </w:rPr>
        <w:t xml:space="preserve">Right to equality and non-discrimination </w:t>
      </w:r>
    </w:p>
    <w:p w14:paraId="3CB52EE6" w14:textId="77777777" w:rsidR="008C05E1" w:rsidRPr="00397701" w:rsidRDefault="008C05E1" w:rsidP="008C05E1">
      <w:pPr>
        <w:spacing w:before="40"/>
        <w:rPr>
          <w:rFonts w:ascii="Times New Roman" w:hAnsi="Times New Roman" w:cs="Times New Roman"/>
        </w:rPr>
      </w:pPr>
      <w:r w:rsidRPr="00397701">
        <w:rPr>
          <w:rFonts w:ascii="Times New Roman" w:hAnsi="Times New Roman" w:cs="Times New Roman"/>
        </w:rPr>
        <w:t>The standard promotes this right by imposing obligations on providers to develop and review their DFV policies, procedures and training in consultation with various groups who may be disproportionately affected by DFV in different ways. Part 10 imposes obligations to consult with individuals with disabilities, First Nations peoples, individuals from culturally and linguistically diverse backgrounds and members of the LGBTQIA+ community.</w:t>
      </w:r>
    </w:p>
    <w:p w14:paraId="0DD50620" w14:textId="77777777" w:rsidR="008C05E1" w:rsidRPr="00397701" w:rsidRDefault="008C05E1" w:rsidP="008C05E1">
      <w:pPr>
        <w:rPr>
          <w:rFonts w:ascii="Times New Roman" w:hAnsi="Times New Roman" w:cs="Times New Roman"/>
          <w:b/>
          <w:i/>
        </w:rPr>
      </w:pPr>
      <w:r w:rsidRPr="00397701">
        <w:rPr>
          <w:rFonts w:ascii="Times New Roman" w:hAnsi="Times New Roman" w:cs="Times New Roman"/>
          <w:b/>
          <w:i/>
        </w:rPr>
        <w:t>Conclusion</w:t>
      </w:r>
    </w:p>
    <w:p w14:paraId="4058A190" w14:textId="77777777" w:rsidR="008C05E1" w:rsidRPr="00397701" w:rsidRDefault="008C05E1" w:rsidP="008C05E1">
      <w:pPr>
        <w:rPr>
          <w:rFonts w:ascii="Times New Roman" w:hAnsi="Times New Roman" w:cs="Times New Roman"/>
        </w:rPr>
      </w:pPr>
      <w:r w:rsidRPr="00397701">
        <w:rPr>
          <w:rFonts w:ascii="Times New Roman" w:hAnsi="Times New Roman" w:cs="Times New Roman"/>
        </w:rPr>
        <w:t>The Standard is compatible with human rights because, to the extent that the right to privacy is limited by the Standard, in light of the clear protections and safeguards set out in the Standard, the limitation is reasonable, necessary and proportionate to meet the objectives of the Standard, and is no more restrictive than is required to achieve those objectives.</w:t>
      </w:r>
    </w:p>
    <w:p w14:paraId="233AE409" w14:textId="060C75CF" w:rsidR="008C05E1" w:rsidRDefault="008C05E1" w:rsidP="008C05E1">
      <w:r w:rsidRPr="00397701">
        <w:rPr>
          <w:rFonts w:ascii="Times New Roman" w:hAnsi="Times New Roman" w:cs="Times New Roman"/>
        </w:rPr>
        <w:t>Further, the Standard is compatible with the right to freedom of expression, the right to protection against exploitation, abuse and violence</w:t>
      </w:r>
      <w:r w:rsidR="000E495F" w:rsidRPr="00397701">
        <w:rPr>
          <w:rFonts w:ascii="Times New Roman" w:hAnsi="Times New Roman" w:cs="Times New Roman"/>
        </w:rPr>
        <w:t>,</w:t>
      </w:r>
      <w:r w:rsidRPr="00397701">
        <w:rPr>
          <w:rFonts w:ascii="Times New Roman" w:hAnsi="Times New Roman" w:cs="Times New Roman"/>
        </w:rPr>
        <w:t xml:space="preserve"> rights for persons with disabilities</w:t>
      </w:r>
      <w:r w:rsidR="0018506D" w:rsidRPr="00397701">
        <w:rPr>
          <w:rFonts w:ascii="Times New Roman" w:hAnsi="Times New Roman" w:cs="Times New Roman"/>
        </w:rPr>
        <w:t xml:space="preserve"> and rights to equality and </w:t>
      </w:r>
      <w:r w:rsidR="0018506D" w:rsidRPr="00397701">
        <w:rPr>
          <w:rFonts w:ascii="Times New Roman" w:hAnsi="Times New Roman" w:cs="Times New Roman"/>
        </w:rPr>
        <w:lastRenderedPageBreak/>
        <w:t>non-discrimination</w:t>
      </w:r>
      <w:r w:rsidRPr="00397701">
        <w:rPr>
          <w:rFonts w:ascii="Times New Roman" w:hAnsi="Times New Roman" w:cs="Times New Roman"/>
        </w:rPr>
        <w:t xml:space="preserve">. These rights are positively engaged by providing consumer protections and safeguards by requiring providers to make information available about their DFV policies and procedures to all consumers on an equal basis, and </w:t>
      </w:r>
      <w:r w:rsidR="00413EEF" w:rsidRPr="00397701">
        <w:rPr>
          <w:rFonts w:ascii="Times New Roman" w:hAnsi="Times New Roman" w:cs="Times New Roman"/>
        </w:rPr>
        <w:t xml:space="preserve">by requiring them </w:t>
      </w:r>
      <w:r w:rsidRPr="00397701">
        <w:rPr>
          <w:rFonts w:ascii="Times New Roman" w:hAnsi="Times New Roman" w:cs="Times New Roman"/>
        </w:rPr>
        <w:t>to prioritise the safety of consumers who have indicated that they are affected by DFV when supporting and communicating with such consumers.</w:t>
      </w:r>
      <w:r w:rsidR="00EF0B6F" w:rsidRPr="00397701">
        <w:rPr>
          <w:rFonts w:ascii="Times New Roman" w:hAnsi="Times New Roman" w:cs="Times New Roman"/>
        </w:rPr>
        <w:t xml:space="preserve"> A range of safeguards set out in the Standard</w:t>
      </w:r>
      <w:r w:rsidR="006062D4" w:rsidRPr="00397701">
        <w:rPr>
          <w:rFonts w:ascii="Times New Roman" w:hAnsi="Times New Roman" w:cs="Times New Roman"/>
        </w:rPr>
        <w:t xml:space="preserve"> (as described above) bolster the Standard’s compatibility with the </w:t>
      </w:r>
      <w:r w:rsidR="00413EEF" w:rsidRPr="00397701">
        <w:rPr>
          <w:rFonts w:ascii="Times New Roman" w:hAnsi="Times New Roman" w:cs="Times New Roman"/>
        </w:rPr>
        <w:t>various human rights is engages.</w:t>
      </w:r>
    </w:p>
    <w:p w14:paraId="2270BCFE" w14:textId="77777777" w:rsidR="00CB3AD5" w:rsidRDefault="00CB3AD5" w:rsidP="00CB3AD5">
      <w:pPr>
        <w:jc w:val="center"/>
        <w:rPr>
          <w:rFonts w:ascii="Times New Roman" w:hAnsi="Times New Roman" w:cs="Times New Roman"/>
          <w:b/>
        </w:rPr>
      </w:pPr>
    </w:p>
    <w:p w14:paraId="458AF617" w14:textId="77777777" w:rsidR="00025ACE" w:rsidRPr="00BB076E" w:rsidRDefault="00025ACE" w:rsidP="004D2843">
      <w:pPr>
        <w:rPr>
          <w:rFonts w:ascii="Times New Roman" w:hAnsi="Times New Roman" w:cs="Times New Roman"/>
          <w:b/>
        </w:rPr>
      </w:pPr>
    </w:p>
    <w:sectPr w:rsidR="00025ACE" w:rsidRPr="00BB076E" w:rsidSect="00082354">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07675" w14:textId="77777777" w:rsidR="0058357A" w:rsidRDefault="0058357A" w:rsidP="00025ACE">
      <w:pPr>
        <w:spacing w:after="0" w:line="240" w:lineRule="auto"/>
      </w:pPr>
      <w:r>
        <w:separator/>
      </w:r>
    </w:p>
  </w:endnote>
  <w:endnote w:type="continuationSeparator" w:id="0">
    <w:p w14:paraId="2CDADF21" w14:textId="77777777" w:rsidR="0058357A" w:rsidRDefault="0058357A" w:rsidP="00025ACE">
      <w:pPr>
        <w:spacing w:after="0" w:line="240" w:lineRule="auto"/>
      </w:pPr>
      <w:r>
        <w:continuationSeparator/>
      </w:r>
    </w:p>
  </w:endnote>
  <w:endnote w:type="continuationNotice" w:id="1">
    <w:p w14:paraId="414A8ED4" w14:textId="77777777" w:rsidR="0058357A" w:rsidRDefault="005835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710804"/>
      <w:docPartObj>
        <w:docPartGallery w:val="Page Numbers (Bottom of Page)"/>
        <w:docPartUnique/>
      </w:docPartObj>
    </w:sdtPr>
    <w:sdtEndPr>
      <w:rPr>
        <w:iCs/>
        <w:noProof/>
        <w:sz w:val="20"/>
        <w:szCs w:val="20"/>
      </w:rPr>
    </w:sdtEndPr>
    <w:sdtContent>
      <w:p w14:paraId="1E27C0A2" w14:textId="77777777" w:rsidR="00AD3414" w:rsidRDefault="00AD3414" w:rsidP="00EA567C">
        <w:pPr>
          <w:pStyle w:val="Footer"/>
          <w:pBdr>
            <w:top w:val="single" w:sz="4" w:space="1" w:color="auto"/>
          </w:pBdr>
        </w:pPr>
      </w:p>
      <w:p w14:paraId="556B0C98" w14:textId="259FCF28" w:rsidR="00AD3414" w:rsidRPr="00EA567C" w:rsidRDefault="00AD3414" w:rsidP="00EA567C">
        <w:pPr>
          <w:pStyle w:val="Footer"/>
          <w:jc w:val="center"/>
          <w:rPr>
            <w:rFonts w:ascii="Times New Roman" w:hAnsi="Times New Roman" w:cs="Times New Roman"/>
            <w:sz w:val="20"/>
            <w:szCs w:val="20"/>
          </w:rPr>
        </w:pPr>
        <w:r w:rsidRPr="00EA567C">
          <w:rPr>
            <w:rFonts w:ascii="Times New Roman" w:hAnsi="Times New Roman" w:cs="Times New Roman"/>
            <w:i/>
            <w:sz w:val="20"/>
            <w:szCs w:val="20"/>
          </w:rPr>
          <w:t>Explanatory Statement to the</w:t>
        </w:r>
        <w:r w:rsidRPr="00EA567C">
          <w:rPr>
            <w:rFonts w:ascii="Times New Roman" w:hAnsi="Times New Roman" w:cs="Times New Roman"/>
            <w:sz w:val="20"/>
            <w:szCs w:val="20"/>
          </w:rPr>
          <w:t xml:space="preserve"> </w:t>
        </w:r>
        <w:r w:rsidR="004D2632">
          <w:rPr>
            <w:rFonts w:ascii="Times New Roman" w:hAnsi="Times New Roman" w:cs="Times New Roman"/>
            <w:i/>
            <w:sz w:val="20"/>
            <w:szCs w:val="20"/>
          </w:rPr>
          <w:t>Telecommunications (Domestic</w:t>
        </w:r>
        <w:r w:rsidR="00142AA9">
          <w:rPr>
            <w:rFonts w:ascii="Times New Roman" w:hAnsi="Times New Roman" w:cs="Times New Roman"/>
            <w:i/>
            <w:sz w:val="20"/>
            <w:szCs w:val="20"/>
          </w:rPr>
          <w:t>,</w:t>
        </w:r>
        <w:r w:rsidR="004D2632">
          <w:rPr>
            <w:rFonts w:ascii="Times New Roman" w:hAnsi="Times New Roman" w:cs="Times New Roman"/>
            <w:i/>
            <w:sz w:val="20"/>
            <w:szCs w:val="20"/>
          </w:rPr>
          <w:t xml:space="preserve"> Family and Sexual Violence Consumer Protections) Industry Standard 2025</w:t>
        </w:r>
      </w:p>
      <w:p w14:paraId="180626A1" w14:textId="18A57F99" w:rsidR="00025ACE" w:rsidRPr="00EA567C" w:rsidRDefault="00025ACE" w:rsidP="00EA567C">
        <w:pPr>
          <w:pStyle w:val="Footer"/>
          <w:jc w:val="right"/>
          <w:rPr>
            <w:iCs/>
            <w:sz w:val="20"/>
            <w:szCs w:val="20"/>
          </w:rPr>
        </w:pPr>
        <w:r w:rsidRPr="00EA567C">
          <w:rPr>
            <w:rFonts w:ascii="Times New Roman" w:hAnsi="Times New Roman" w:cs="Times New Roman"/>
            <w:iCs/>
            <w:sz w:val="20"/>
            <w:szCs w:val="20"/>
          </w:rPr>
          <w:fldChar w:fldCharType="begin"/>
        </w:r>
        <w:r w:rsidRPr="00EA567C">
          <w:rPr>
            <w:rFonts w:ascii="Times New Roman" w:hAnsi="Times New Roman" w:cs="Times New Roman"/>
            <w:iCs/>
            <w:sz w:val="20"/>
            <w:szCs w:val="20"/>
          </w:rPr>
          <w:instrText xml:space="preserve"> PAGE   \* MERGEFORMAT </w:instrText>
        </w:r>
        <w:r w:rsidRPr="00EA567C">
          <w:rPr>
            <w:rFonts w:ascii="Times New Roman" w:hAnsi="Times New Roman" w:cs="Times New Roman"/>
            <w:iCs/>
            <w:sz w:val="20"/>
            <w:szCs w:val="20"/>
          </w:rPr>
          <w:fldChar w:fldCharType="separate"/>
        </w:r>
        <w:r w:rsidR="00D23BD5" w:rsidRPr="00EA567C">
          <w:rPr>
            <w:rFonts w:ascii="Times New Roman" w:hAnsi="Times New Roman" w:cs="Times New Roman"/>
            <w:iCs/>
            <w:noProof/>
            <w:sz w:val="20"/>
            <w:szCs w:val="20"/>
          </w:rPr>
          <w:t>6</w:t>
        </w:r>
        <w:r w:rsidRPr="00EA567C">
          <w:rPr>
            <w:rFonts w:ascii="Times New Roman" w:hAnsi="Times New Roman" w:cs="Times New Roman"/>
            <w:i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614E3" w14:textId="77777777" w:rsidR="0058357A" w:rsidRDefault="0058357A" w:rsidP="00025ACE">
      <w:pPr>
        <w:spacing w:after="0" w:line="240" w:lineRule="auto"/>
      </w:pPr>
      <w:r>
        <w:separator/>
      </w:r>
    </w:p>
  </w:footnote>
  <w:footnote w:type="continuationSeparator" w:id="0">
    <w:p w14:paraId="112CD5DC" w14:textId="77777777" w:rsidR="0058357A" w:rsidRDefault="0058357A" w:rsidP="00025ACE">
      <w:pPr>
        <w:spacing w:after="0" w:line="240" w:lineRule="auto"/>
      </w:pPr>
      <w:r>
        <w:continuationSeparator/>
      </w:r>
    </w:p>
  </w:footnote>
  <w:footnote w:type="continuationNotice" w:id="1">
    <w:p w14:paraId="444422CF" w14:textId="77777777" w:rsidR="0058357A" w:rsidRDefault="005835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B445B"/>
    <w:multiLevelType w:val="multilevel"/>
    <w:tmpl w:val="2ED296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3CF19F2"/>
    <w:multiLevelType w:val="hybridMultilevel"/>
    <w:tmpl w:val="1D06C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0139E0"/>
    <w:multiLevelType w:val="hybridMultilevel"/>
    <w:tmpl w:val="0D281BA4"/>
    <w:lvl w:ilvl="0" w:tplc="0C090001">
      <w:start w:val="1"/>
      <w:numFmt w:val="bullet"/>
      <w:lvlText w:val=""/>
      <w:lvlJc w:val="left"/>
      <w:pPr>
        <w:ind w:left="375" w:hanging="375"/>
      </w:pPr>
      <w:rPr>
        <w:rFonts w:ascii="Symbol" w:hAnsi="Symbol" w:hint="default"/>
        <w:color w:val="000000"/>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C2A3F65"/>
    <w:multiLevelType w:val="multilevel"/>
    <w:tmpl w:val="721045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43F46B9"/>
    <w:multiLevelType w:val="hybridMultilevel"/>
    <w:tmpl w:val="97AE93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6BD57E8"/>
    <w:multiLevelType w:val="multilevel"/>
    <w:tmpl w:val="80722FC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A3B2C"/>
    <w:multiLevelType w:val="hybridMultilevel"/>
    <w:tmpl w:val="69F08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945035"/>
    <w:multiLevelType w:val="hybridMultilevel"/>
    <w:tmpl w:val="A7A8572A"/>
    <w:lvl w:ilvl="0" w:tplc="49B8AE96">
      <w:start w:val="1"/>
      <w:numFmt w:val="decimal"/>
      <w:lvlText w:val="%1."/>
      <w:lvlJc w:val="left"/>
      <w:pPr>
        <w:ind w:left="375" w:hanging="375"/>
      </w:pPr>
      <w:rPr>
        <w:rFonts w:hint="default"/>
        <w:color w:val="000000"/>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B8B3C06"/>
    <w:multiLevelType w:val="multilevel"/>
    <w:tmpl w:val="D04A45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E7F6879"/>
    <w:multiLevelType w:val="multilevel"/>
    <w:tmpl w:val="7DE654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0E90822"/>
    <w:multiLevelType w:val="multilevel"/>
    <w:tmpl w:val="7D442C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1967A05"/>
    <w:multiLevelType w:val="hybridMultilevel"/>
    <w:tmpl w:val="DF9AD164"/>
    <w:lvl w:ilvl="0" w:tplc="7250E21A">
      <w:start w:val="1"/>
      <w:numFmt w:val="lowerLetter"/>
      <w:lvlText w:val="(%1)"/>
      <w:lvlJc w:val="left"/>
      <w:pPr>
        <w:ind w:left="1211" w:hanging="360"/>
      </w:pPr>
      <w:rPr>
        <w:rFonts w:hint="default"/>
      </w:rPr>
    </w:lvl>
    <w:lvl w:ilvl="1" w:tplc="0C090003">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2" w15:restartNumberingAfterBreak="0">
    <w:nsid w:val="34EF70EA"/>
    <w:multiLevelType w:val="hybridMultilevel"/>
    <w:tmpl w:val="895C2B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B8822E1"/>
    <w:multiLevelType w:val="multilevel"/>
    <w:tmpl w:val="B2C4A3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B974CF4"/>
    <w:multiLevelType w:val="multilevel"/>
    <w:tmpl w:val="E7680BD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E870797"/>
    <w:multiLevelType w:val="multilevel"/>
    <w:tmpl w:val="AAECD2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29047CD"/>
    <w:multiLevelType w:val="multilevel"/>
    <w:tmpl w:val="88D49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E6CA9"/>
    <w:multiLevelType w:val="multilevel"/>
    <w:tmpl w:val="DCD6A6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7927DF5"/>
    <w:multiLevelType w:val="multilevel"/>
    <w:tmpl w:val="F66066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8B63C62"/>
    <w:multiLevelType w:val="multilevel"/>
    <w:tmpl w:val="BA5CCBE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A0324AC"/>
    <w:multiLevelType w:val="multilevel"/>
    <w:tmpl w:val="18804E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B291FD5"/>
    <w:multiLevelType w:val="multilevel"/>
    <w:tmpl w:val="D89C662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DD45F60"/>
    <w:multiLevelType w:val="multilevel"/>
    <w:tmpl w:val="476669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EB05117"/>
    <w:multiLevelType w:val="multilevel"/>
    <w:tmpl w:val="2E2A57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0211A95"/>
    <w:multiLevelType w:val="multilevel"/>
    <w:tmpl w:val="FDAAF1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19D0598"/>
    <w:multiLevelType w:val="hybridMultilevel"/>
    <w:tmpl w:val="AB4E4E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DC67E8"/>
    <w:multiLevelType w:val="multilevel"/>
    <w:tmpl w:val="DDE8CC4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8AA0134"/>
    <w:multiLevelType w:val="multilevel"/>
    <w:tmpl w:val="99AA96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9926277"/>
    <w:multiLevelType w:val="multilevel"/>
    <w:tmpl w:val="65F270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A644E1A"/>
    <w:multiLevelType w:val="multilevel"/>
    <w:tmpl w:val="18AA92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B043AB5"/>
    <w:multiLevelType w:val="multilevel"/>
    <w:tmpl w:val="D7DCCF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B4B6EBE"/>
    <w:multiLevelType w:val="multilevel"/>
    <w:tmpl w:val="8B6A03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E6319DF"/>
    <w:multiLevelType w:val="multilevel"/>
    <w:tmpl w:val="717868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0937873"/>
    <w:multiLevelType w:val="multilevel"/>
    <w:tmpl w:val="2AB4A1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207584D"/>
    <w:multiLevelType w:val="hybridMultilevel"/>
    <w:tmpl w:val="6F1A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A60629"/>
    <w:multiLevelType w:val="multilevel"/>
    <w:tmpl w:val="E1C026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B263BA5"/>
    <w:multiLevelType w:val="hybridMultilevel"/>
    <w:tmpl w:val="CDA85272"/>
    <w:lvl w:ilvl="0" w:tplc="0C090003">
      <w:start w:val="1"/>
      <w:numFmt w:val="bullet"/>
      <w:lvlText w:val="o"/>
      <w:lvlJc w:val="left"/>
      <w:pPr>
        <w:ind w:left="1140" w:hanging="360"/>
      </w:pPr>
      <w:rPr>
        <w:rFonts w:ascii="Courier New" w:hAnsi="Courier New" w:cs="Courier New"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37" w15:restartNumberingAfterBreak="0">
    <w:nsid w:val="7DA920DC"/>
    <w:multiLevelType w:val="hybridMultilevel"/>
    <w:tmpl w:val="720CD114"/>
    <w:lvl w:ilvl="0" w:tplc="7250E21A">
      <w:start w:val="1"/>
      <w:numFmt w:val="lowerLetter"/>
      <w:lvlText w:val="(%1)"/>
      <w:lvlJc w:val="left"/>
      <w:pPr>
        <w:ind w:left="778" w:hanging="360"/>
      </w:pPr>
      <w:rPr>
        <w:rFonts w:hint="default"/>
      </w:rPr>
    </w:lvl>
    <w:lvl w:ilvl="1" w:tplc="292020DE">
      <w:start w:val="1"/>
      <w:numFmt w:val="lowerRoman"/>
      <w:lvlText w:val="(%2)"/>
      <w:lvlJc w:val="right"/>
      <w:pPr>
        <w:ind w:left="1498" w:hanging="360"/>
      </w:pPr>
      <w:rPr>
        <w:rFonts w:hint="default"/>
      </w:rPr>
    </w:lvl>
    <w:lvl w:ilvl="2" w:tplc="A1D856BA">
      <w:numFmt w:val="bullet"/>
      <w:lvlText w:val="•"/>
      <w:lvlJc w:val="left"/>
      <w:pPr>
        <w:ind w:left="2218" w:hanging="360"/>
      </w:pPr>
      <w:rPr>
        <w:rFonts w:ascii="Times New Roman" w:eastAsiaTheme="minorHAnsi" w:hAnsi="Times New Roman" w:cs="Times New Roman"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38" w15:restartNumberingAfterBreak="0">
    <w:nsid w:val="7F855683"/>
    <w:multiLevelType w:val="multilevel"/>
    <w:tmpl w:val="39B0A5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969847570">
    <w:abstractNumId w:val="4"/>
  </w:num>
  <w:num w:numId="2" w16cid:durableId="459610183">
    <w:abstractNumId w:val="11"/>
  </w:num>
  <w:num w:numId="3" w16cid:durableId="600574362">
    <w:abstractNumId w:val="37"/>
  </w:num>
  <w:num w:numId="4" w16cid:durableId="2041129142">
    <w:abstractNumId w:val="18"/>
  </w:num>
  <w:num w:numId="5" w16cid:durableId="1168443002">
    <w:abstractNumId w:val="7"/>
  </w:num>
  <w:num w:numId="6" w16cid:durableId="1947804339">
    <w:abstractNumId w:val="12"/>
  </w:num>
  <w:num w:numId="7" w16cid:durableId="788816865">
    <w:abstractNumId w:val="20"/>
  </w:num>
  <w:num w:numId="8" w16cid:durableId="1023745908">
    <w:abstractNumId w:val="15"/>
  </w:num>
  <w:num w:numId="9" w16cid:durableId="814301143">
    <w:abstractNumId w:val="19"/>
  </w:num>
  <w:num w:numId="10" w16cid:durableId="608464316">
    <w:abstractNumId w:val="14"/>
  </w:num>
  <w:num w:numId="11" w16cid:durableId="307708592">
    <w:abstractNumId w:val="3"/>
  </w:num>
  <w:num w:numId="12" w16cid:durableId="267393242">
    <w:abstractNumId w:val="32"/>
  </w:num>
  <w:num w:numId="13" w16cid:durableId="1665161209">
    <w:abstractNumId w:val="9"/>
  </w:num>
  <w:num w:numId="14" w16cid:durableId="632519106">
    <w:abstractNumId w:val="10"/>
  </w:num>
  <w:num w:numId="15" w16cid:durableId="823666022">
    <w:abstractNumId w:val="23"/>
  </w:num>
  <w:num w:numId="16" w16cid:durableId="1917546950">
    <w:abstractNumId w:val="21"/>
  </w:num>
  <w:num w:numId="17" w16cid:durableId="1024861367">
    <w:abstractNumId w:val="22"/>
  </w:num>
  <w:num w:numId="18" w16cid:durableId="1307126921">
    <w:abstractNumId w:val="13"/>
  </w:num>
  <w:num w:numId="19" w16cid:durableId="342243551">
    <w:abstractNumId w:val="35"/>
  </w:num>
  <w:num w:numId="20" w16cid:durableId="1235165922">
    <w:abstractNumId w:val="24"/>
  </w:num>
  <w:num w:numId="21" w16cid:durableId="132253887">
    <w:abstractNumId w:val="0"/>
  </w:num>
  <w:num w:numId="22" w16cid:durableId="1236932835">
    <w:abstractNumId w:val="33"/>
  </w:num>
  <w:num w:numId="23" w16cid:durableId="1145077676">
    <w:abstractNumId w:val="8"/>
  </w:num>
  <w:num w:numId="24" w16cid:durableId="389159841">
    <w:abstractNumId w:val="31"/>
  </w:num>
  <w:num w:numId="25" w16cid:durableId="351510">
    <w:abstractNumId w:val="29"/>
  </w:num>
  <w:num w:numId="26" w16cid:durableId="2081321998">
    <w:abstractNumId w:val="16"/>
  </w:num>
  <w:num w:numId="27" w16cid:durableId="1640572223">
    <w:abstractNumId w:val="27"/>
  </w:num>
  <w:num w:numId="28" w16cid:durableId="648753801">
    <w:abstractNumId w:val="17"/>
  </w:num>
  <w:num w:numId="29" w16cid:durableId="371461502">
    <w:abstractNumId w:val="28"/>
  </w:num>
  <w:num w:numId="30" w16cid:durableId="2031562776">
    <w:abstractNumId w:val="30"/>
  </w:num>
  <w:num w:numId="31" w16cid:durableId="1831210628">
    <w:abstractNumId w:val="26"/>
  </w:num>
  <w:num w:numId="32" w16cid:durableId="1713845898">
    <w:abstractNumId w:val="38"/>
  </w:num>
  <w:num w:numId="33" w16cid:durableId="521356390">
    <w:abstractNumId w:val="5"/>
  </w:num>
  <w:num w:numId="34" w16cid:durableId="2002079869">
    <w:abstractNumId w:val="1"/>
  </w:num>
  <w:num w:numId="35" w16cid:durableId="1115249328">
    <w:abstractNumId w:val="25"/>
  </w:num>
  <w:num w:numId="36" w16cid:durableId="1659193825">
    <w:abstractNumId w:val="36"/>
  </w:num>
  <w:num w:numId="37" w16cid:durableId="1640376865">
    <w:abstractNumId w:val="34"/>
  </w:num>
  <w:num w:numId="38" w16cid:durableId="80027146">
    <w:abstractNumId w:val="6"/>
  </w:num>
  <w:num w:numId="39" w16cid:durableId="398945586">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1FA8"/>
    <w:rsid w:val="00002640"/>
    <w:rsid w:val="00003720"/>
    <w:rsid w:val="0000531A"/>
    <w:rsid w:val="00005535"/>
    <w:rsid w:val="00006D41"/>
    <w:rsid w:val="000124F9"/>
    <w:rsid w:val="00012820"/>
    <w:rsid w:val="00013079"/>
    <w:rsid w:val="000144AE"/>
    <w:rsid w:val="0001487D"/>
    <w:rsid w:val="00017FC2"/>
    <w:rsid w:val="00021B9B"/>
    <w:rsid w:val="0002471E"/>
    <w:rsid w:val="00025ACE"/>
    <w:rsid w:val="00034036"/>
    <w:rsid w:val="000349A7"/>
    <w:rsid w:val="0003630F"/>
    <w:rsid w:val="00037F0E"/>
    <w:rsid w:val="00043D8B"/>
    <w:rsid w:val="00044D93"/>
    <w:rsid w:val="00047CD8"/>
    <w:rsid w:val="00051D06"/>
    <w:rsid w:val="000544EC"/>
    <w:rsid w:val="00054C23"/>
    <w:rsid w:val="00056281"/>
    <w:rsid w:val="0006038D"/>
    <w:rsid w:val="00060CDA"/>
    <w:rsid w:val="00061D45"/>
    <w:rsid w:val="0006427E"/>
    <w:rsid w:val="00065037"/>
    <w:rsid w:val="00065B29"/>
    <w:rsid w:val="00070D91"/>
    <w:rsid w:val="000726C7"/>
    <w:rsid w:val="00074A8D"/>
    <w:rsid w:val="00077DDD"/>
    <w:rsid w:val="0008036F"/>
    <w:rsid w:val="00081478"/>
    <w:rsid w:val="00082354"/>
    <w:rsid w:val="00083BC3"/>
    <w:rsid w:val="00085060"/>
    <w:rsid w:val="000861F1"/>
    <w:rsid w:val="000873B4"/>
    <w:rsid w:val="00087F3D"/>
    <w:rsid w:val="00090CB7"/>
    <w:rsid w:val="00093582"/>
    <w:rsid w:val="00095005"/>
    <w:rsid w:val="00095AB3"/>
    <w:rsid w:val="00096EA2"/>
    <w:rsid w:val="00096F06"/>
    <w:rsid w:val="00097137"/>
    <w:rsid w:val="00097DD1"/>
    <w:rsid w:val="000A34DA"/>
    <w:rsid w:val="000A3A94"/>
    <w:rsid w:val="000A491C"/>
    <w:rsid w:val="000A5F8E"/>
    <w:rsid w:val="000A7958"/>
    <w:rsid w:val="000B0BA7"/>
    <w:rsid w:val="000B0FA8"/>
    <w:rsid w:val="000B2B2E"/>
    <w:rsid w:val="000B3209"/>
    <w:rsid w:val="000B33B6"/>
    <w:rsid w:val="000B4B6C"/>
    <w:rsid w:val="000B7876"/>
    <w:rsid w:val="000B7A2A"/>
    <w:rsid w:val="000C1D17"/>
    <w:rsid w:val="000C2051"/>
    <w:rsid w:val="000C2E3F"/>
    <w:rsid w:val="000C6385"/>
    <w:rsid w:val="000C6436"/>
    <w:rsid w:val="000C6CBB"/>
    <w:rsid w:val="000C6E80"/>
    <w:rsid w:val="000C7377"/>
    <w:rsid w:val="000C7491"/>
    <w:rsid w:val="000D0F52"/>
    <w:rsid w:val="000D1630"/>
    <w:rsid w:val="000D28A5"/>
    <w:rsid w:val="000D4531"/>
    <w:rsid w:val="000D483F"/>
    <w:rsid w:val="000D4ECE"/>
    <w:rsid w:val="000D680F"/>
    <w:rsid w:val="000E047D"/>
    <w:rsid w:val="000E20FF"/>
    <w:rsid w:val="000E2A3E"/>
    <w:rsid w:val="000E2C66"/>
    <w:rsid w:val="000E317C"/>
    <w:rsid w:val="000E36A7"/>
    <w:rsid w:val="000E38C9"/>
    <w:rsid w:val="000E4923"/>
    <w:rsid w:val="000E495F"/>
    <w:rsid w:val="000E6F58"/>
    <w:rsid w:val="000F1C01"/>
    <w:rsid w:val="000F2590"/>
    <w:rsid w:val="000F2A56"/>
    <w:rsid w:val="000F4D05"/>
    <w:rsid w:val="000F6255"/>
    <w:rsid w:val="000F6D00"/>
    <w:rsid w:val="000F72F9"/>
    <w:rsid w:val="00100715"/>
    <w:rsid w:val="0010174C"/>
    <w:rsid w:val="0010188F"/>
    <w:rsid w:val="001026A8"/>
    <w:rsid w:val="00104130"/>
    <w:rsid w:val="00104ABA"/>
    <w:rsid w:val="0010665F"/>
    <w:rsid w:val="00107813"/>
    <w:rsid w:val="00110525"/>
    <w:rsid w:val="001106FC"/>
    <w:rsid w:val="0011261F"/>
    <w:rsid w:val="00112987"/>
    <w:rsid w:val="00117351"/>
    <w:rsid w:val="00117595"/>
    <w:rsid w:val="00121B9E"/>
    <w:rsid w:val="00121FF9"/>
    <w:rsid w:val="00122072"/>
    <w:rsid w:val="00124487"/>
    <w:rsid w:val="0012569C"/>
    <w:rsid w:val="0012797C"/>
    <w:rsid w:val="001279B9"/>
    <w:rsid w:val="00131318"/>
    <w:rsid w:val="00131375"/>
    <w:rsid w:val="0013145C"/>
    <w:rsid w:val="00131E46"/>
    <w:rsid w:val="00132BBF"/>
    <w:rsid w:val="00132EAF"/>
    <w:rsid w:val="0013336B"/>
    <w:rsid w:val="001334F0"/>
    <w:rsid w:val="00133A13"/>
    <w:rsid w:val="00134705"/>
    <w:rsid w:val="001358E1"/>
    <w:rsid w:val="001362E6"/>
    <w:rsid w:val="001405E6"/>
    <w:rsid w:val="00141843"/>
    <w:rsid w:val="00142232"/>
    <w:rsid w:val="00142AA9"/>
    <w:rsid w:val="00144C2E"/>
    <w:rsid w:val="00146A0C"/>
    <w:rsid w:val="00147909"/>
    <w:rsid w:val="00150CE9"/>
    <w:rsid w:val="00157D54"/>
    <w:rsid w:val="00161C1F"/>
    <w:rsid w:val="00161C73"/>
    <w:rsid w:val="00162E27"/>
    <w:rsid w:val="001704EA"/>
    <w:rsid w:val="001715B0"/>
    <w:rsid w:val="001715DD"/>
    <w:rsid w:val="00173562"/>
    <w:rsid w:val="00173CB0"/>
    <w:rsid w:val="001761AF"/>
    <w:rsid w:val="001761B6"/>
    <w:rsid w:val="00180BB7"/>
    <w:rsid w:val="001815B5"/>
    <w:rsid w:val="00182134"/>
    <w:rsid w:val="00184DF5"/>
    <w:rsid w:val="0018506D"/>
    <w:rsid w:val="001850A3"/>
    <w:rsid w:val="0018562C"/>
    <w:rsid w:val="00185BDC"/>
    <w:rsid w:val="0019099F"/>
    <w:rsid w:val="00190EDD"/>
    <w:rsid w:val="001952EC"/>
    <w:rsid w:val="00196F3D"/>
    <w:rsid w:val="00197E49"/>
    <w:rsid w:val="001A0489"/>
    <w:rsid w:val="001A145E"/>
    <w:rsid w:val="001A2124"/>
    <w:rsid w:val="001A471C"/>
    <w:rsid w:val="001A55E7"/>
    <w:rsid w:val="001A6564"/>
    <w:rsid w:val="001B1A6C"/>
    <w:rsid w:val="001B309C"/>
    <w:rsid w:val="001B3E84"/>
    <w:rsid w:val="001B5196"/>
    <w:rsid w:val="001B5706"/>
    <w:rsid w:val="001B5DD3"/>
    <w:rsid w:val="001B6AEC"/>
    <w:rsid w:val="001B73CB"/>
    <w:rsid w:val="001C0959"/>
    <w:rsid w:val="001C3140"/>
    <w:rsid w:val="001C3727"/>
    <w:rsid w:val="001C4539"/>
    <w:rsid w:val="001C46B2"/>
    <w:rsid w:val="001C4BF8"/>
    <w:rsid w:val="001C5421"/>
    <w:rsid w:val="001C5DC1"/>
    <w:rsid w:val="001C653E"/>
    <w:rsid w:val="001C74E0"/>
    <w:rsid w:val="001C7681"/>
    <w:rsid w:val="001D0578"/>
    <w:rsid w:val="001D0AE2"/>
    <w:rsid w:val="001D13CE"/>
    <w:rsid w:val="001D1D5A"/>
    <w:rsid w:val="001D3751"/>
    <w:rsid w:val="001D3B23"/>
    <w:rsid w:val="001D3CAF"/>
    <w:rsid w:val="001D5C13"/>
    <w:rsid w:val="001D5C25"/>
    <w:rsid w:val="001D6AD9"/>
    <w:rsid w:val="001E020C"/>
    <w:rsid w:val="001E0AFF"/>
    <w:rsid w:val="001E1490"/>
    <w:rsid w:val="001E343E"/>
    <w:rsid w:val="001E4201"/>
    <w:rsid w:val="001E54CE"/>
    <w:rsid w:val="001E64FF"/>
    <w:rsid w:val="001E66C0"/>
    <w:rsid w:val="001E6C34"/>
    <w:rsid w:val="001E72ED"/>
    <w:rsid w:val="001F4ABF"/>
    <w:rsid w:val="00205348"/>
    <w:rsid w:val="002067EC"/>
    <w:rsid w:val="00210BCB"/>
    <w:rsid w:val="0021176B"/>
    <w:rsid w:val="00212847"/>
    <w:rsid w:val="00212A49"/>
    <w:rsid w:val="00213389"/>
    <w:rsid w:val="00213FC2"/>
    <w:rsid w:val="00215093"/>
    <w:rsid w:val="002153A2"/>
    <w:rsid w:val="00215DAB"/>
    <w:rsid w:val="00216AAD"/>
    <w:rsid w:val="00220C48"/>
    <w:rsid w:val="00222868"/>
    <w:rsid w:val="00222B92"/>
    <w:rsid w:val="00222C17"/>
    <w:rsid w:val="00226D9F"/>
    <w:rsid w:val="00233475"/>
    <w:rsid w:val="00235735"/>
    <w:rsid w:val="0023605B"/>
    <w:rsid w:val="00236D53"/>
    <w:rsid w:val="00237657"/>
    <w:rsid w:val="0024079B"/>
    <w:rsid w:val="0024172D"/>
    <w:rsid w:val="00242C97"/>
    <w:rsid w:val="002458EC"/>
    <w:rsid w:val="00245D52"/>
    <w:rsid w:val="00250295"/>
    <w:rsid w:val="002508F7"/>
    <w:rsid w:val="002522B8"/>
    <w:rsid w:val="00253153"/>
    <w:rsid w:val="00253FF3"/>
    <w:rsid w:val="0025451F"/>
    <w:rsid w:val="002549FE"/>
    <w:rsid w:val="0025698B"/>
    <w:rsid w:val="00256D0A"/>
    <w:rsid w:val="00261925"/>
    <w:rsid w:val="00264DEE"/>
    <w:rsid w:val="002652A2"/>
    <w:rsid w:val="00266576"/>
    <w:rsid w:val="002674E7"/>
    <w:rsid w:val="002678FB"/>
    <w:rsid w:val="0027088D"/>
    <w:rsid w:val="00273167"/>
    <w:rsid w:val="00274252"/>
    <w:rsid w:val="00275F2C"/>
    <w:rsid w:val="0027744E"/>
    <w:rsid w:val="00280DD7"/>
    <w:rsid w:val="0028287A"/>
    <w:rsid w:val="0028558A"/>
    <w:rsid w:val="0028705A"/>
    <w:rsid w:val="00287416"/>
    <w:rsid w:val="002879A4"/>
    <w:rsid w:val="002909B6"/>
    <w:rsid w:val="00291B2A"/>
    <w:rsid w:val="00293B06"/>
    <w:rsid w:val="00293E4F"/>
    <w:rsid w:val="0029415B"/>
    <w:rsid w:val="00294E33"/>
    <w:rsid w:val="0029574B"/>
    <w:rsid w:val="00297F1E"/>
    <w:rsid w:val="002A05E5"/>
    <w:rsid w:val="002A117E"/>
    <w:rsid w:val="002A27C7"/>
    <w:rsid w:val="002A34C4"/>
    <w:rsid w:val="002A3AC0"/>
    <w:rsid w:val="002A451D"/>
    <w:rsid w:val="002A4DDB"/>
    <w:rsid w:val="002A7CB3"/>
    <w:rsid w:val="002B0C3D"/>
    <w:rsid w:val="002B34E0"/>
    <w:rsid w:val="002B3DE5"/>
    <w:rsid w:val="002B4660"/>
    <w:rsid w:val="002B6699"/>
    <w:rsid w:val="002B7EEA"/>
    <w:rsid w:val="002C0DF7"/>
    <w:rsid w:val="002C1052"/>
    <w:rsid w:val="002C2256"/>
    <w:rsid w:val="002C24FF"/>
    <w:rsid w:val="002C3A08"/>
    <w:rsid w:val="002C3B49"/>
    <w:rsid w:val="002C43B0"/>
    <w:rsid w:val="002C48E5"/>
    <w:rsid w:val="002C48F5"/>
    <w:rsid w:val="002C6631"/>
    <w:rsid w:val="002C76E7"/>
    <w:rsid w:val="002D0405"/>
    <w:rsid w:val="002D2D02"/>
    <w:rsid w:val="002D3913"/>
    <w:rsid w:val="002D3E72"/>
    <w:rsid w:val="002E2563"/>
    <w:rsid w:val="002E2B16"/>
    <w:rsid w:val="002E3B2A"/>
    <w:rsid w:val="002E3F80"/>
    <w:rsid w:val="002E57CC"/>
    <w:rsid w:val="002E60C3"/>
    <w:rsid w:val="002F03AC"/>
    <w:rsid w:val="002F1644"/>
    <w:rsid w:val="002F2036"/>
    <w:rsid w:val="002F2655"/>
    <w:rsid w:val="002F2998"/>
    <w:rsid w:val="002F2FAF"/>
    <w:rsid w:val="002F36E0"/>
    <w:rsid w:val="002F7005"/>
    <w:rsid w:val="002F7ABC"/>
    <w:rsid w:val="003004B0"/>
    <w:rsid w:val="00300A78"/>
    <w:rsid w:val="003021EF"/>
    <w:rsid w:val="00303A0F"/>
    <w:rsid w:val="003045F9"/>
    <w:rsid w:val="003053B3"/>
    <w:rsid w:val="003053FB"/>
    <w:rsid w:val="00306175"/>
    <w:rsid w:val="00307C39"/>
    <w:rsid w:val="003100A0"/>
    <w:rsid w:val="00312891"/>
    <w:rsid w:val="00312B36"/>
    <w:rsid w:val="00313FD0"/>
    <w:rsid w:val="00314F9C"/>
    <w:rsid w:val="0031674F"/>
    <w:rsid w:val="0031706D"/>
    <w:rsid w:val="00321B71"/>
    <w:rsid w:val="00323362"/>
    <w:rsid w:val="00325011"/>
    <w:rsid w:val="00330729"/>
    <w:rsid w:val="00333308"/>
    <w:rsid w:val="00336E3C"/>
    <w:rsid w:val="00342063"/>
    <w:rsid w:val="00342EF5"/>
    <w:rsid w:val="003434D4"/>
    <w:rsid w:val="003479AB"/>
    <w:rsid w:val="003577F6"/>
    <w:rsid w:val="00357C90"/>
    <w:rsid w:val="00361E3F"/>
    <w:rsid w:val="00362745"/>
    <w:rsid w:val="003634F2"/>
    <w:rsid w:val="00364E46"/>
    <w:rsid w:val="0036752E"/>
    <w:rsid w:val="00370620"/>
    <w:rsid w:val="00370ED7"/>
    <w:rsid w:val="00371BBC"/>
    <w:rsid w:val="00371CC0"/>
    <w:rsid w:val="003758F4"/>
    <w:rsid w:val="00375FA7"/>
    <w:rsid w:val="00380311"/>
    <w:rsid w:val="00382D7B"/>
    <w:rsid w:val="00383221"/>
    <w:rsid w:val="0038408B"/>
    <w:rsid w:val="00384E51"/>
    <w:rsid w:val="00385EF1"/>
    <w:rsid w:val="00391575"/>
    <w:rsid w:val="0039275F"/>
    <w:rsid w:val="00394B9B"/>
    <w:rsid w:val="00394F22"/>
    <w:rsid w:val="00395B13"/>
    <w:rsid w:val="00396A1A"/>
    <w:rsid w:val="00397701"/>
    <w:rsid w:val="003A3635"/>
    <w:rsid w:val="003A59D7"/>
    <w:rsid w:val="003A6C68"/>
    <w:rsid w:val="003A7407"/>
    <w:rsid w:val="003B102F"/>
    <w:rsid w:val="003B1557"/>
    <w:rsid w:val="003B1D11"/>
    <w:rsid w:val="003B3D92"/>
    <w:rsid w:val="003B65DC"/>
    <w:rsid w:val="003B75C8"/>
    <w:rsid w:val="003C1A36"/>
    <w:rsid w:val="003C2F82"/>
    <w:rsid w:val="003C36DE"/>
    <w:rsid w:val="003C44B4"/>
    <w:rsid w:val="003C4957"/>
    <w:rsid w:val="003D114A"/>
    <w:rsid w:val="003D13E5"/>
    <w:rsid w:val="003D210B"/>
    <w:rsid w:val="003D38F0"/>
    <w:rsid w:val="003D499E"/>
    <w:rsid w:val="003D4D95"/>
    <w:rsid w:val="003D5967"/>
    <w:rsid w:val="003D74BE"/>
    <w:rsid w:val="003D76FA"/>
    <w:rsid w:val="003E06BA"/>
    <w:rsid w:val="003E2E24"/>
    <w:rsid w:val="003E3E9B"/>
    <w:rsid w:val="003E4EA4"/>
    <w:rsid w:val="003E6BE0"/>
    <w:rsid w:val="003E7113"/>
    <w:rsid w:val="003F165F"/>
    <w:rsid w:val="003F19BB"/>
    <w:rsid w:val="003F1BBE"/>
    <w:rsid w:val="003F1CD5"/>
    <w:rsid w:val="003F3E37"/>
    <w:rsid w:val="003F43E2"/>
    <w:rsid w:val="003F47C2"/>
    <w:rsid w:val="003F5C58"/>
    <w:rsid w:val="003F67D8"/>
    <w:rsid w:val="003F766E"/>
    <w:rsid w:val="0040139E"/>
    <w:rsid w:val="00401C9B"/>
    <w:rsid w:val="00402859"/>
    <w:rsid w:val="00402C5D"/>
    <w:rsid w:val="00404A31"/>
    <w:rsid w:val="00404C67"/>
    <w:rsid w:val="00405FC5"/>
    <w:rsid w:val="00406A9B"/>
    <w:rsid w:val="0041003E"/>
    <w:rsid w:val="00412D4C"/>
    <w:rsid w:val="00413EEF"/>
    <w:rsid w:val="00414445"/>
    <w:rsid w:val="00414B00"/>
    <w:rsid w:val="004160E1"/>
    <w:rsid w:val="00416E2E"/>
    <w:rsid w:val="004201ED"/>
    <w:rsid w:val="004204A4"/>
    <w:rsid w:val="004207AF"/>
    <w:rsid w:val="00424024"/>
    <w:rsid w:val="00424CEF"/>
    <w:rsid w:val="00426EFC"/>
    <w:rsid w:val="004276DC"/>
    <w:rsid w:val="00427C54"/>
    <w:rsid w:val="00430C29"/>
    <w:rsid w:val="00430E3C"/>
    <w:rsid w:val="004314C3"/>
    <w:rsid w:val="004362E3"/>
    <w:rsid w:val="00436B0E"/>
    <w:rsid w:val="0044060F"/>
    <w:rsid w:val="004409AF"/>
    <w:rsid w:val="004425E4"/>
    <w:rsid w:val="004432A1"/>
    <w:rsid w:val="004442D9"/>
    <w:rsid w:val="0044733C"/>
    <w:rsid w:val="00450F48"/>
    <w:rsid w:val="0045220D"/>
    <w:rsid w:val="00452FB5"/>
    <w:rsid w:val="00453A8F"/>
    <w:rsid w:val="0045489F"/>
    <w:rsid w:val="0045671C"/>
    <w:rsid w:val="00457D21"/>
    <w:rsid w:val="00457E57"/>
    <w:rsid w:val="00460C6C"/>
    <w:rsid w:val="0046203F"/>
    <w:rsid w:val="00464CCF"/>
    <w:rsid w:val="0046648A"/>
    <w:rsid w:val="0047140A"/>
    <w:rsid w:val="0047188E"/>
    <w:rsid w:val="00472BC5"/>
    <w:rsid w:val="00473EF0"/>
    <w:rsid w:val="0047413C"/>
    <w:rsid w:val="004742BA"/>
    <w:rsid w:val="00474673"/>
    <w:rsid w:val="00474889"/>
    <w:rsid w:val="00474B62"/>
    <w:rsid w:val="004758C2"/>
    <w:rsid w:val="00476859"/>
    <w:rsid w:val="004826DD"/>
    <w:rsid w:val="004857B0"/>
    <w:rsid w:val="00486246"/>
    <w:rsid w:val="00486E7C"/>
    <w:rsid w:val="00490B57"/>
    <w:rsid w:val="00494615"/>
    <w:rsid w:val="004963FD"/>
    <w:rsid w:val="0049684F"/>
    <w:rsid w:val="0049716E"/>
    <w:rsid w:val="004971D6"/>
    <w:rsid w:val="00497D9C"/>
    <w:rsid w:val="004A1064"/>
    <w:rsid w:val="004A28F4"/>
    <w:rsid w:val="004A2F8B"/>
    <w:rsid w:val="004A4BA5"/>
    <w:rsid w:val="004B0616"/>
    <w:rsid w:val="004B2981"/>
    <w:rsid w:val="004B388A"/>
    <w:rsid w:val="004B579A"/>
    <w:rsid w:val="004B62D7"/>
    <w:rsid w:val="004B6CB5"/>
    <w:rsid w:val="004C2412"/>
    <w:rsid w:val="004C6171"/>
    <w:rsid w:val="004D0567"/>
    <w:rsid w:val="004D0AAA"/>
    <w:rsid w:val="004D0EF6"/>
    <w:rsid w:val="004D11FF"/>
    <w:rsid w:val="004D124F"/>
    <w:rsid w:val="004D1343"/>
    <w:rsid w:val="004D17AD"/>
    <w:rsid w:val="004D1AE0"/>
    <w:rsid w:val="004D1D73"/>
    <w:rsid w:val="004D2632"/>
    <w:rsid w:val="004D2843"/>
    <w:rsid w:val="004D2C14"/>
    <w:rsid w:val="004D3713"/>
    <w:rsid w:val="004D3782"/>
    <w:rsid w:val="004D7DBE"/>
    <w:rsid w:val="004E0871"/>
    <w:rsid w:val="004E33EC"/>
    <w:rsid w:val="004E39BD"/>
    <w:rsid w:val="004E4EE5"/>
    <w:rsid w:val="004E5891"/>
    <w:rsid w:val="004E6BDC"/>
    <w:rsid w:val="004E75E3"/>
    <w:rsid w:val="004E790E"/>
    <w:rsid w:val="004F05D8"/>
    <w:rsid w:val="004F22C7"/>
    <w:rsid w:val="004F2D79"/>
    <w:rsid w:val="004F3C37"/>
    <w:rsid w:val="004F7CD3"/>
    <w:rsid w:val="00500735"/>
    <w:rsid w:val="00501E31"/>
    <w:rsid w:val="005027C0"/>
    <w:rsid w:val="0050389F"/>
    <w:rsid w:val="00503AF1"/>
    <w:rsid w:val="0050539A"/>
    <w:rsid w:val="0050556C"/>
    <w:rsid w:val="0050558B"/>
    <w:rsid w:val="0050587D"/>
    <w:rsid w:val="00505A30"/>
    <w:rsid w:val="00506BAF"/>
    <w:rsid w:val="0051163B"/>
    <w:rsid w:val="00512112"/>
    <w:rsid w:val="005122FD"/>
    <w:rsid w:val="0051377E"/>
    <w:rsid w:val="005142D4"/>
    <w:rsid w:val="00514416"/>
    <w:rsid w:val="00514564"/>
    <w:rsid w:val="00515B85"/>
    <w:rsid w:val="0051666C"/>
    <w:rsid w:val="00521BA5"/>
    <w:rsid w:val="00521BEC"/>
    <w:rsid w:val="00524257"/>
    <w:rsid w:val="005244CB"/>
    <w:rsid w:val="00524FD1"/>
    <w:rsid w:val="00525ECB"/>
    <w:rsid w:val="0052687A"/>
    <w:rsid w:val="0053636A"/>
    <w:rsid w:val="005407DA"/>
    <w:rsid w:val="00540AA5"/>
    <w:rsid w:val="005450AE"/>
    <w:rsid w:val="005471E5"/>
    <w:rsid w:val="0054759B"/>
    <w:rsid w:val="005479AD"/>
    <w:rsid w:val="005518FF"/>
    <w:rsid w:val="00551A3A"/>
    <w:rsid w:val="005532A9"/>
    <w:rsid w:val="005538A6"/>
    <w:rsid w:val="00557B18"/>
    <w:rsid w:val="005611EB"/>
    <w:rsid w:val="00561405"/>
    <w:rsid w:val="00561969"/>
    <w:rsid w:val="00561A0F"/>
    <w:rsid w:val="00562AC6"/>
    <w:rsid w:val="0056409E"/>
    <w:rsid w:val="00564790"/>
    <w:rsid w:val="005654F8"/>
    <w:rsid w:val="00570974"/>
    <w:rsid w:val="00570990"/>
    <w:rsid w:val="00570F54"/>
    <w:rsid w:val="00571444"/>
    <w:rsid w:val="00572308"/>
    <w:rsid w:val="00572456"/>
    <w:rsid w:val="005728F7"/>
    <w:rsid w:val="00572A92"/>
    <w:rsid w:val="00572F58"/>
    <w:rsid w:val="005731BE"/>
    <w:rsid w:val="005732B5"/>
    <w:rsid w:val="00575185"/>
    <w:rsid w:val="00576AD1"/>
    <w:rsid w:val="00581C31"/>
    <w:rsid w:val="005825D8"/>
    <w:rsid w:val="0058357A"/>
    <w:rsid w:val="00584269"/>
    <w:rsid w:val="005849A1"/>
    <w:rsid w:val="00587D18"/>
    <w:rsid w:val="00590CF4"/>
    <w:rsid w:val="0059149C"/>
    <w:rsid w:val="005919F1"/>
    <w:rsid w:val="00592642"/>
    <w:rsid w:val="005958D6"/>
    <w:rsid w:val="005964CF"/>
    <w:rsid w:val="005A2F77"/>
    <w:rsid w:val="005A332C"/>
    <w:rsid w:val="005A52D7"/>
    <w:rsid w:val="005A5921"/>
    <w:rsid w:val="005A6852"/>
    <w:rsid w:val="005A7734"/>
    <w:rsid w:val="005B298F"/>
    <w:rsid w:val="005B2F71"/>
    <w:rsid w:val="005B5359"/>
    <w:rsid w:val="005B59CD"/>
    <w:rsid w:val="005B6A1E"/>
    <w:rsid w:val="005B7188"/>
    <w:rsid w:val="005C0058"/>
    <w:rsid w:val="005C1761"/>
    <w:rsid w:val="005C1968"/>
    <w:rsid w:val="005C2619"/>
    <w:rsid w:val="005C3C5E"/>
    <w:rsid w:val="005C61D6"/>
    <w:rsid w:val="005C65EB"/>
    <w:rsid w:val="005D323C"/>
    <w:rsid w:val="005D7008"/>
    <w:rsid w:val="005D79BC"/>
    <w:rsid w:val="005E0B39"/>
    <w:rsid w:val="005E2F84"/>
    <w:rsid w:val="005E2FDB"/>
    <w:rsid w:val="005E3A19"/>
    <w:rsid w:val="005E3FCD"/>
    <w:rsid w:val="005E51E7"/>
    <w:rsid w:val="005E5BEB"/>
    <w:rsid w:val="005E6F31"/>
    <w:rsid w:val="005E7FB7"/>
    <w:rsid w:val="005F0329"/>
    <w:rsid w:val="005F0FAE"/>
    <w:rsid w:val="005F2D19"/>
    <w:rsid w:val="005F3697"/>
    <w:rsid w:val="005F48FB"/>
    <w:rsid w:val="005F5BE6"/>
    <w:rsid w:val="005F5C33"/>
    <w:rsid w:val="005F694C"/>
    <w:rsid w:val="005F7A64"/>
    <w:rsid w:val="00603B3F"/>
    <w:rsid w:val="00603B54"/>
    <w:rsid w:val="00605541"/>
    <w:rsid w:val="00605DD7"/>
    <w:rsid w:val="006062D4"/>
    <w:rsid w:val="00606EDE"/>
    <w:rsid w:val="0060711D"/>
    <w:rsid w:val="00607C9C"/>
    <w:rsid w:val="00612387"/>
    <w:rsid w:val="00613394"/>
    <w:rsid w:val="00614AC6"/>
    <w:rsid w:val="00617AEE"/>
    <w:rsid w:val="00620701"/>
    <w:rsid w:val="006214FB"/>
    <w:rsid w:val="006256FD"/>
    <w:rsid w:val="006269B3"/>
    <w:rsid w:val="0062723D"/>
    <w:rsid w:val="00627D43"/>
    <w:rsid w:val="006304DD"/>
    <w:rsid w:val="00631663"/>
    <w:rsid w:val="00631A66"/>
    <w:rsid w:val="006337F7"/>
    <w:rsid w:val="00634C01"/>
    <w:rsid w:val="00641906"/>
    <w:rsid w:val="006419AD"/>
    <w:rsid w:val="00641CC4"/>
    <w:rsid w:val="00642A99"/>
    <w:rsid w:val="00644B96"/>
    <w:rsid w:val="00644BDA"/>
    <w:rsid w:val="006508E1"/>
    <w:rsid w:val="00650E9F"/>
    <w:rsid w:val="006523D5"/>
    <w:rsid w:val="00653A26"/>
    <w:rsid w:val="00654083"/>
    <w:rsid w:val="00654F15"/>
    <w:rsid w:val="00656878"/>
    <w:rsid w:val="00657B5E"/>
    <w:rsid w:val="0066025E"/>
    <w:rsid w:val="00660615"/>
    <w:rsid w:val="00660B16"/>
    <w:rsid w:val="00661842"/>
    <w:rsid w:val="00661982"/>
    <w:rsid w:val="00662D2B"/>
    <w:rsid w:val="00663AF2"/>
    <w:rsid w:val="00664F61"/>
    <w:rsid w:val="006670BC"/>
    <w:rsid w:val="00670716"/>
    <w:rsid w:val="00671216"/>
    <w:rsid w:val="00674849"/>
    <w:rsid w:val="006761A9"/>
    <w:rsid w:val="0067677D"/>
    <w:rsid w:val="006770CD"/>
    <w:rsid w:val="0068007E"/>
    <w:rsid w:val="006813C6"/>
    <w:rsid w:val="00681986"/>
    <w:rsid w:val="00682811"/>
    <w:rsid w:val="00682BA7"/>
    <w:rsid w:val="00682D8B"/>
    <w:rsid w:val="0068489C"/>
    <w:rsid w:val="00684F4C"/>
    <w:rsid w:val="00685FDF"/>
    <w:rsid w:val="00686F06"/>
    <w:rsid w:val="00687290"/>
    <w:rsid w:val="006905FF"/>
    <w:rsid w:val="00691729"/>
    <w:rsid w:val="006921FA"/>
    <w:rsid w:val="00692E7D"/>
    <w:rsid w:val="006940DB"/>
    <w:rsid w:val="006947BE"/>
    <w:rsid w:val="00696105"/>
    <w:rsid w:val="00696555"/>
    <w:rsid w:val="00696659"/>
    <w:rsid w:val="00696814"/>
    <w:rsid w:val="00696F62"/>
    <w:rsid w:val="0069794E"/>
    <w:rsid w:val="006A05BE"/>
    <w:rsid w:val="006A07E1"/>
    <w:rsid w:val="006A0BDF"/>
    <w:rsid w:val="006A0C18"/>
    <w:rsid w:val="006A1D4E"/>
    <w:rsid w:val="006A38AB"/>
    <w:rsid w:val="006A3DC6"/>
    <w:rsid w:val="006A53BB"/>
    <w:rsid w:val="006A7BCE"/>
    <w:rsid w:val="006B082A"/>
    <w:rsid w:val="006B18E1"/>
    <w:rsid w:val="006B1C6A"/>
    <w:rsid w:val="006B23D4"/>
    <w:rsid w:val="006B5F82"/>
    <w:rsid w:val="006B698E"/>
    <w:rsid w:val="006B7334"/>
    <w:rsid w:val="006C03B3"/>
    <w:rsid w:val="006C184F"/>
    <w:rsid w:val="006C18C5"/>
    <w:rsid w:val="006C20BC"/>
    <w:rsid w:val="006C3A79"/>
    <w:rsid w:val="006C3FD6"/>
    <w:rsid w:val="006C4AA6"/>
    <w:rsid w:val="006C59D5"/>
    <w:rsid w:val="006C632A"/>
    <w:rsid w:val="006C71BA"/>
    <w:rsid w:val="006C7C1A"/>
    <w:rsid w:val="006D640D"/>
    <w:rsid w:val="006E05B4"/>
    <w:rsid w:val="006E0BDC"/>
    <w:rsid w:val="006E476E"/>
    <w:rsid w:val="006E5FB5"/>
    <w:rsid w:val="006F03EE"/>
    <w:rsid w:val="006F05A1"/>
    <w:rsid w:val="006F0DA0"/>
    <w:rsid w:val="006F0FF3"/>
    <w:rsid w:val="006F1651"/>
    <w:rsid w:val="006F23F6"/>
    <w:rsid w:val="006F2E70"/>
    <w:rsid w:val="006F32BF"/>
    <w:rsid w:val="006F3478"/>
    <w:rsid w:val="006F3F5D"/>
    <w:rsid w:val="006F525B"/>
    <w:rsid w:val="006F7852"/>
    <w:rsid w:val="007003DE"/>
    <w:rsid w:val="007008B1"/>
    <w:rsid w:val="00703347"/>
    <w:rsid w:val="00703C9F"/>
    <w:rsid w:val="00705673"/>
    <w:rsid w:val="00705921"/>
    <w:rsid w:val="00706F43"/>
    <w:rsid w:val="007132B7"/>
    <w:rsid w:val="00714D79"/>
    <w:rsid w:val="007173EF"/>
    <w:rsid w:val="00720C54"/>
    <w:rsid w:val="00721DDC"/>
    <w:rsid w:val="007223CE"/>
    <w:rsid w:val="00723ACB"/>
    <w:rsid w:val="00726C40"/>
    <w:rsid w:val="00731945"/>
    <w:rsid w:val="007354EE"/>
    <w:rsid w:val="00735661"/>
    <w:rsid w:val="007358A3"/>
    <w:rsid w:val="007367A5"/>
    <w:rsid w:val="00737F53"/>
    <w:rsid w:val="00740331"/>
    <w:rsid w:val="00740608"/>
    <w:rsid w:val="00740791"/>
    <w:rsid w:val="00742084"/>
    <w:rsid w:val="0074219B"/>
    <w:rsid w:val="00743B83"/>
    <w:rsid w:val="00744F23"/>
    <w:rsid w:val="0074635B"/>
    <w:rsid w:val="0074661C"/>
    <w:rsid w:val="00746C41"/>
    <w:rsid w:val="00750397"/>
    <w:rsid w:val="00750DB6"/>
    <w:rsid w:val="00752E74"/>
    <w:rsid w:val="00754279"/>
    <w:rsid w:val="007564A7"/>
    <w:rsid w:val="00757CD2"/>
    <w:rsid w:val="00763438"/>
    <w:rsid w:val="00764FEC"/>
    <w:rsid w:val="00766475"/>
    <w:rsid w:val="007718B6"/>
    <w:rsid w:val="0077287D"/>
    <w:rsid w:val="00773419"/>
    <w:rsid w:val="0077364D"/>
    <w:rsid w:val="00774A51"/>
    <w:rsid w:val="00782C4C"/>
    <w:rsid w:val="00783829"/>
    <w:rsid w:val="007841A8"/>
    <w:rsid w:val="007925F7"/>
    <w:rsid w:val="00793DEE"/>
    <w:rsid w:val="00794100"/>
    <w:rsid w:val="007943A4"/>
    <w:rsid w:val="00794533"/>
    <w:rsid w:val="00794C5F"/>
    <w:rsid w:val="00794F8E"/>
    <w:rsid w:val="007A0103"/>
    <w:rsid w:val="007A09AE"/>
    <w:rsid w:val="007A2277"/>
    <w:rsid w:val="007A29F5"/>
    <w:rsid w:val="007A3D1B"/>
    <w:rsid w:val="007A6346"/>
    <w:rsid w:val="007A7AB2"/>
    <w:rsid w:val="007B03A1"/>
    <w:rsid w:val="007B1F97"/>
    <w:rsid w:val="007B389C"/>
    <w:rsid w:val="007B589E"/>
    <w:rsid w:val="007B596F"/>
    <w:rsid w:val="007C20DE"/>
    <w:rsid w:val="007C3382"/>
    <w:rsid w:val="007C3410"/>
    <w:rsid w:val="007C54B2"/>
    <w:rsid w:val="007D0226"/>
    <w:rsid w:val="007D0605"/>
    <w:rsid w:val="007D1538"/>
    <w:rsid w:val="007D5106"/>
    <w:rsid w:val="007D787B"/>
    <w:rsid w:val="007E0075"/>
    <w:rsid w:val="007E08F6"/>
    <w:rsid w:val="007E11B7"/>
    <w:rsid w:val="007E317F"/>
    <w:rsid w:val="007E438A"/>
    <w:rsid w:val="007E48BD"/>
    <w:rsid w:val="007E55EE"/>
    <w:rsid w:val="007E6154"/>
    <w:rsid w:val="007E7EF1"/>
    <w:rsid w:val="007F066A"/>
    <w:rsid w:val="007F16F8"/>
    <w:rsid w:val="007F3330"/>
    <w:rsid w:val="007F33AE"/>
    <w:rsid w:val="007F6805"/>
    <w:rsid w:val="007F7FB2"/>
    <w:rsid w:val="00801A6C"/>
    <w:rsid w:val="00801C2B"/>
    <w:rsid w:val="0080349F"/>
    <w:rsid w:val="00804EEC"/>
    <w:rsid w:val="00805358"/>
    <w:rsid w:val="00806703"/>
    <w:rsid w:val="00807078"/>
    <w:rsid w:val="008070A8"/>
    <w:rsid w:val="00810499"/>
    <w:rsid w:val="0081166D"/>
    <w:rsid w:val="0081203C"/>
    <w:rsid w:val="00812E01"/>
    <w:rsid w:val="00816D7C"/>
    <w:rsid w:val="00817E7F"/>
    <w:rsid w:val="00820FB0"/>
    <w:rsid w:val="00821C60"/>
    <w:rsid w:val="00821F3F"/>
    <w:rsid w:val="00823896"/>
    <w:rsid w:val="008247E7"/>
    <w:rsid w:val="00826915"/>
    <w:rsid w:val="00827A9E"/>
    <w:rsid w:val="00830BDE"/>
    <w:rsid w:val="008330D5"/>
    <w:rsid w:val="00833215"/>
    <w:rsid w:val="00835253"/>
    <w:rsid w:val="00836BC7"/>
    <w:rsid w:val="00836CAC"/>
    <w:rsid w:val="008378A1"/>
    <w:rsid w:val="0084068A"/>
    <w:rsid w:val="0084169E"/>
    <w:rsid w:val="00842465"/>
    <w:rsid w:val="008427E8"/>
    <w:rsid w:val="0084299E"/>
    <w:rsid w:val="008441CF"/>
    <w:rsid w:val="0084470A"/>
    <w:rsid w:val="0084677E"/>
    <w:rsid w:val="00850568"/>
    <w:rsid w:val="00850635"/>
    <w:rsid w:val="00850D7B"/>
    <w:rsid w:val="00850DAA"/>
    <w:rsid w:val="00851EEA"/>
    <w:rsid w:val="0085475E"/>
    <w:rsid w:val="00854BF8"/>
    <w:rsid w:val="00855448"/>
    <w:rsid w:val="008556E8"/>
    <w:rsid w:val="00855F0D"/>
    <w:rsid w:val="00857EB7"/>
    <w:rsid w:val="0086050C"/>
    <w:rsid w:val="00861ECA"/>
    <w:rsid w:val="008621E7"/>
    <w:rsid w:val="00863656"/>
    <w:rsid w:val="00863DD4"/>
    <w:rsid w:val="00864B7E"/>
    <w:rsid w:val="008666E5"/>
    <w:rsid w:val="008703B6"/>
    <w:rsid w:val="00875713"/>
    <w:rsid w:val="008757CC"/>
    <w:rsid w:val="00876865"/>
    <w:rsid w:val="0087707C"/>
    <w:rsid w:val="00880602"/>
    <w:rsid w:val="00880C57"/>
    <w:rsid w:val="00882F85"/>
    <w:rsid w:val="00884225"/>
    <w:rsid w:val="0088423B"/>
    <w:rsid w:val="00886CCD"/>
    <w:rsid w:val="00890C2D"/>
    <w:rsid w:val="00892360"/>
    <w:rsid w:val="0089612F"/>
    <w:rsid w:val="00897B6F"/>
    <w:rsid w:val="008A094D"/>
    <w:rsid w:val="008A1D5A"/>
    <w:rsid w:val="008A1FDF"/>
    <w:rsid w:val="008A2340"/>
    <w:rsid w:val="008A39EF"/>
    <w:rsid w:val="008A3FF2"/>
    <w:rsid w:val="008A5470"/>
    <w:rsid w:val="008A648D"/>
    <w:rsid w:val="008B0CCB"/>
    <w:rsid w:val="008B1A18"/>
    <w:rsid w:val="008B5BCE"/>
    <w:rsid w:val="008C05E1"/>
    <w:rsid w:val="008C0863"/>
    <w:rsid w:val="008C12CE"/>
    <w:rsid w:val="008C44A0"/>
    <w:rsid w:val="008C584E"/>
    <w:rsid w:val="008C77C6"/>
    <w:rsid w:val="008C7981"/>
    <w:rsid w:val="008D0C50"/>
    <w:rsid w:val="008D3880"/>
    <w:rsid w:val="008D5894"/>
    <w:rsid w:val="008D77F8"/>
    <w:rsid w:val="008E0D98"/>
    <w:rsid w:val="008E0E18"/>
    <w:rsid w:val="008E26B7"/>
    <w:rsid w:val="008E344D"/>
    <w:rsid w:val="008E3483"/>
    <w:rsid w:val="008E48E6"/>
    <w:rsid w:val="008E70A2"/>
    <w:rsid w:val="008E7BF0"/>
    <w:rsid w:val="008F0544"/>
    <w:rsid w:val="008F2212"/>
    <w:rsid w:val="008F3FDE"/>
    <w:rsid w:val="008F4C58"/>
    <w:rsid w:val="009010EF"/>
    <w:rsid w:val="009025AE"/>
    <w:rsid w:val="00903493"/>
    <w:rsid w:val="00904C35"/>
    <w:rsid w:val="0090572C"/>
    <w:rsid w:val="0091080B"/>
    <w:rsid w:val="00910BFC"/>
    <w:rsid w:val="00912C82"/>
    <w:rsid w:val="00912E6E"/>
    <w:rsid w:val="00915001"/>
    <w:rsid w:val="00916F17"/>
    <w:rsid w:val="0092038A"/>
    <w:rsid w:val="00920C8F"/>
    <w:rsid w:val="00920D08"/>
    <w:rsid w:val="00926833"/>
    <w:rsid w:val="00926AED"/>
    <w:rsid w:val="009277E2"/>
    <w:rsid w:val="00932D8F"/>
    <w:rsid w:val="00933D46"/>
    <w:rsid w:val="00934B64"/>
    <w:rsid w:val="009364BF"/>
    <w:rsid w:val="00942177"/>
    <w:rsid w:val="00944141"/>
    <w:rsid w:val="00946F82"/>
    <w:rsid w:val="0094788C"/>
    <w:rsid w:val="00947E7C"/>
    <w:rsid w:val="0095655F"/>
    <w:rsid w:val="00957AA9"/>
    <w:rsid w:val="00960CAE"/>
    <w:rsid w:val="00962E47"/>
    <w:rsid w:val="00964E35"/>
    <w:rsid w:val="00965612"/>
    <w:rsid w:val="009670B7"/>
    <w:rsid w:val="00971F1E"/>
    <w:rsid w:val="009723D1"/>
    <w:rsid w:val="009731A9"/>
    <w:rsid w:val="009732C1"/>
    <w:rsid w:val="00974BEA"/>
    <w:rsid w:val="00977705"/>
    <w:rsid w:val="00981ECA"/>
    <w:rsid w:val="00984171"/>
    <w:rsid w:val="009847F4"/>
    <w:rsid w:val="009919FD"/>
    <w:rsid w:val="0099282E"/>
    <w:rsid w:val="00994448"/>
    <w:rsid w:val="009A2D28"/>
    <w:rsid w:val="009A311B"/>
    <w:rsid w:val="009A4DD0"/>
    <w:rsid w:val="009B01B5"/>
    <w:rsid w:val="009B12B5"/>
    <w:rsid w:val="009B1832"/>
    <w:rsid w:val="009B39ED"/>
    <w:rsid w:val="009B3A9E"/>
    <w:rsid w:val="009B40D2"/>
    <w:rsid w:val="009B54E8"/>
    <w:rsid w:val="009B7227"/>
    <w:rsid w:val="009B7FAF"/>
    <w:rsid w:val="009C0852"/>
    <w:rsid w:val="009C0C2B"/>
    <w:rsid w:val="009C19D9"/>
    <w:rsid w:val="009C51EC"/>
    <w:rsid w:val="009D028D"/>
    <w:rsid w:val="009D2C70"/>
    <w:rsid w:val="009D5062"/>
    <w:rsid w:val="009D5783"/>
    <w:rsid w:val="009D67A8"/>
    <w:rsid w:val="009D7890"/>
    <w:rsid w:val="009E1246"/>
    <w:rsid w:val="009E12C6"/>
    <w:rsid w:val="009E4AFE"/>
    <w:rsid w:val="009E4EA2"/>
    <w:rsid w:val="009E5161"/>
    <w:rsid w:val="009E6561"/>
    <w:rsid w:val="009F275A"/>
    <w:rsid w:val="009F3270"/>
    <w:rsid w:val="009F3CCC"/>
    <w:rsid w:val="009F457A"/>
    <w:rsid w:val="009F5E1F"/>
    <w:rsid w:val="009F7219"/>
    <w:rsid w:val="009F728D"/>
    <w:rsid w:val="00A0138A"/>
    <w:rsid w:val="00A01CD2"/>
    <w:rsid w:val="00A03F82"/>
    <w:rsid w:val="00A04536"/>
    <w:rsid w:val="00A05112"/>
    <w:rsid w:val="00A07103"/>
    <w:rsid w:val="00A078E1"/>
    <w:rsid w:val="00A07A2F"/>
    <w:rsid w:val="00A11286"/>
    <w:rsid w:val="00A11538"/>
    <w:rsid w:val="00A121B9"/>
    <w:rsid w:val="00A13C48"/>
    <w:rsid w:val="00A17394"/>
    <w:rsid w:val="00A17DDD"/>
    <w:rsid w:val="00A20716"/>
    <w:rsid w:val="00A20A0C"/>
    <w:rsid w:val="00A213A8"/>
    <w:rsid w:val="00A21F3E"/>
    <w:rsid w:val="00A23605"/>
    <w:rsid w:val="00A25461"/>
    <w:rsid w:val="00A25DE6"/>
    <w:rsid w:val="00A30B92"/>
    <w:rsid w:val="00A31ED3"/>
    <w:rsid w:val="00A34949"/>
    <w:rsid w:val="00A34A59"/>
    <w:rsid w:val="00A34C50"/>
    <w:rsid w:val="00A35BE2"/>
    <w:rsid w:val="00A360F9"/>
    <w:rsid w:val="00A36D64"/>
    <w:rsid w:val="00A36D94"/>
    <w:rsid w:val="00A40615"/>
    <w:rsid w:val="00A40CCE"/>
    <w:rsid w:val="00A412A4"/>
    <w:rsid w:val="00A420B2"/>
    <w:rsid w:val="00A445A7"/>
    <w:rsid w:val="00A462F0"/>
    <w:rsid w:val="00A469FB"/>
    <w:rsid w:val="00A46BE4"/>
    <w:rsid w:val="00A50499"/>
    <w:rsid w:val="00A504F0"/>
    <w:rsid w:val="00A50E5F"/>
    <w:rsid w:val="00A55E01"/>
    <w:rsid w:val="00A613A3"/>
    <w:rsid w:val="00A6228E"/>
    <w:rsid w:val="00A6280D"/>
    <w:rsid w:val="00A64EC4"/>
    <w:rsid w:val="00A65C2C"/>
    <w:rsid w:val="00A6690B"/>
    <w:rsid w:val="00A67430"/>
    <w:rsid w:val="00A7023B"/>
    <w:rsid w:val="00A70947"/>
    <w:rsid w:val="00A70C3C"/>
    <w:rsid w:val="00A70C9F"/>
    <w:rsid w:val="00A7143B"/>
    <w:rsid w:val="00A71FCF"/>
    <w:rsid w:val="00A74AC4"/>
    <w:rsid w:val="00A74EDE"/>
    <w:rsid w:val="00A75F13"/>
    <w:rsid w:val="00A769FB"/>
    <w:rsid w:val="00A80AA7"/>
    <w:rsid w:val="00A81D45"/>
    <w:rsid w:val="00A81F50"/>
    <w:rsid w:val="00A82AF9"/>
    <w:rsid w:val="00A83E79"/>
    <w:rsid w:val="00A84CE9"/>
    <w:rsid w:val="00A84F26"/>
    <w:rsid w:val="00A8503D"/>
    <w:rsid w:val="00A858AE"/>
    <w:rsid w:val="00A9053D"/>
    <w:rsid w:val="00A9171A"/>
    <w:rsid w:val="00A92EBB"/>
    <w:rsid w:val="00A938F3"/>
    <w:rsid w:val="00A9757B"/>
    <w:rsid w:val="00AA105C"/>
    <w:rsid w:val="00AA16B7"/>
    <w:rsid w:val="00AA4AC8"/>
    <w:rsid w:val="00AA6088"/>
    <w:rsid w:val="00AB245C"/>
    <w:rsid w:val="00AB34CE"/>
    <w:rsid w:val="00AB57A3"/>
    <w:rsid w:val="00AB65E7"/>
    <w:rsid w:val="00AB7716"/>
    <w:rsid w:val="00AB778B"/>
    <w:rsid w:val="00AB7DA4"/>
    <w:rsid w:val="00AB7E25"/>
    <w:rsid w:val="00AC2010"/>
    <w:rsid w:val="00AC25AA"/>
    <w:rsid w:val="00AC322B"/>
    <w:rsid w:val="00AC4D45"/>
    <w:rsid w:val="00AC532C"/>
    <w:rsid w:val="00AC6C76"/>
    <w:rsid w:val="00AD1DA5"/>
    <w:rsid w:val="00AD330C"/>
    <w:rsid w:val="00AD3414"/>
    <w:rsid w:val="00AD34DA"/>
    <w:rsid w:val="00AD500F"/>
    <w:rsid w:val="00AD50B8"/>
    <w:rsid w:val="00AD601A"/>
    <w:rsid w:val="00AD681C"/>
    <w:rsid w:val="00AE0946"/>
    <w:rsid w:val="00AE0BD3"/>
    <w:rsid w:val="00AE0C40"/>
    <w:rsid w:val="00AE1DA0"/>
    <w:rsid w:val="00AE2148"/>
    <w:rsid w:val="00AE2CB2"/>
    <w:rsid w:val="00AE2CB4"/>
    <w:rsid w:val="00AE3769"/>
    <w:rsid w:val="00AE630C"/>
    <w:rsid w:val="00AE6898"/>
    <w:rsid w:val="00AF080D"/>
    <w:rsid w:val="00AF0878"/>
    <w:rsid w:val="00AF09E1"/>
    <w:rsid w:val="00AF1E40"/>
    <w:rsid w:val="00AF3F1C"/>
    <w:rsid w:val="00AF52ED"/>
    <w:rsid w:val="00AF5CE8"/>
    <w:rsid w:val="00AF6545"/>
    <w:rsid w:val="00AF7C84"/>
    <w:rsid w:val="00B00FC3"/>
    <w:rsid w:val="00B02D00"/>
    <w:rsid w:val="00B108FB"/>
    <w:rsid w:val="00B12499"/>
    <w:rsid w:val="00B12EB3"/>
    <w:rsid w:val="00B13344"/>
    <w:rsid w:val="00B1568A"/>
    <w:rsid w:val="00B159A8"/>
    <w:rsid w:val="00B200AA"/>
    <w:rsid w:val="00B22737"/>
    <w:rsid w:val="00B30AD7"/>
    <w:rsid w:val="00B3209A"/>
    <w:rsid w:val="00B334BD"/>
    <w:rsid w:val="00B33603"/>
    <w:rsid w:val="00B33BED"/>
    <w:rsid w:val="00B34E1D"/>
    <w:rsid w:val="00B3740B"/>
    <w:rsid w:val="00B401FB"/>
    <w:rsid w:val="00B4218F"/>
    <w:rsid w:val="00B433E1"/>
    <w:rsid w:val="00B4460D"/>
    <w:rsid w:val="00B4580A"/>
    <w:rsid w:val="00B458F5"/>
    <w:rsid w:val="00B46D56"/>
    <w:rsid w:val="00B46D8C"/>
    <w:rsid w:val="00B477F4"/>
    <w:rsid w:val="00B52584"/>
    <w:rsid w:val="00B52BBB"/>
    <w:rsid w:val="00B52C9E"/>
    <w:rsid w:val="00B52F5E"/>
    <w:rsid w:val="00B5321B"/>
    <w:rsid w:val="00B5343A"/>
    <w:rsid w:val="00B54C45"/>
    <w:rsid w:val="00B54C8B"/>
    <w:rsid w:val="00B57002"/>
    <w:rsid w:val="00B6013B"/>
    <w:rsid w:val="00B61936"/>
    <w:rsid w:val="00B62A9F"/>
    <w:rsid w:val="00B648B4"/>
    <w:rsid w:val="00B65847"/>
    <w:rsid w:val="00B665E6"/>
    <w:rsid w:val="00B66C95"/>
    <w:rsid w:val="00B727F3"/>
    <w:rsid w:val="00B73690"/>
    <w:rsid w:val="00B73A97"/>
    <w:rsid w:val="00B74250"/>
    <w:rsid w:val="00B81339"/>
    <w:rsid w:val="00B81371"/>
    <w:rsid w:val="00B82C8F"/>
    <w:rsid w:val="00B82EEE"/>
    <w:rsid w:val="00B83377"/>
    <w:rsid w:val="00B834AE"/>
    <w:rsid w:val="00B83C51"/>
    <w:rsid w:val="00B867EF"/>
    <w:rsid w:val="00B90F17"/>
    <w:rsid w:val="00B93D86"/>
    <w:rsid w:val="00B94A4C"/>
    <w:rsid w:val="00B94B30"/>
    <w:rsid w:val="00B97E29"/>
    <w:rsid w:val="00BA2965"/>
    <w:rsid w:val="00BA2B06"/>
    <w:rsid w:val="00BA2DF5"/>
    <w:rsid w:val="00BA6F26"/>
    <w:rsid w:val="00BA7D17"/>
    <w:rsid w:val="00BA7D5E"/>
    <w:rsid w:val="00BB076E"/>
    <w:rsid w:val="00BB1CF2"/>
    <w:rsid w:val="00BB2946"/>
    <w:rsid w:val="00BB656B"/>
    <w:rsid w:val="00BB7A25"/>
    <w:rsid w:val="00BC0A3C"/>
    <w:rsid w:val="00BC32E9"/>
    <w:rsid w:val="00BC3906"/>
    <w:rsid w:val="00BC3B10"/>
    <w:rsid w:val="00BC5916"/>
    <w:rsid w:val="00BC621F"/>
    <w:rsid w:val="00BC7E74"/>
    <w:rsid w:val="00BD1055"/>
    <w:rsid w:val="00BD61D3"/>
    <w:rsid w:val="00BD67F9"/>
    <w:rsid w:val="00BD69F7"/>
    <w:rsid w:val="00BD6E96"/>
    <w:rsid w:val="00BD7C91"/>
    <w:rsid w:val="00BE1B67"/>
    <w:rsid w:val="00BE248C"/>
    <w:rsid w:val="00BE2F9B"/>
    <w:rsid w:val="00BE5212"/>
    <w:rsid w:val="00BE6AD9"/>
    <w:rsid w:val="00BF1B66"/>
    <w:rsid w:val="00BF4B0E"/>
    <w:rsid w:val="00BF6900"/>
    <w:rsid w:val="00BF7F90"/>
    <w:rsid w:val="00C00B6B"/>
    <w:rsid w:val="00C032F0"/>
    <w:rsid w:val="00C03503"/>
    <w:rsid w:val="00C049ED"/>
    <w:rsid w:val="00C05C4B"/>
    <w:rsid w:val="00C07DAC"/>
    <w:rsid w:val="00C07F44"/>
    <w:rsid w:val="00C10E3A"/>
    <w:rsid w:val="00C132B7"/>
    <w:rsid w:val="00C14388"/>
    <w:rsid w:val="00C145E5"/>
    <w:rsid w:val="00C16334"/>
    <w:rsid w:val="00C17430"/>
    <w:rsid w:val="00C17975"/>
    <w:rsid w:val="00C20621"/>
    <w:rsid w:val="00C20A8E"/>
    <w:rsid w:val="00C20DEB"/>
    <w:rsid w:val="00C21933"/>
    <w:rsid w:val="00C22EB2"/>
    <w:rsid w:val="00C2774E"/>
    <w:rsid w:val="00C32E88"/>
    <w:rsid w:val="00C368F8"/>
    <w:rsid w:val="00C36C09"/>
    <w:rsid w:val="00C3743B"/>
    <w:rsid w:val="00C37C85"/>
    <w:rsid w:val="00C40439"/>
    <w:rsid w:val="00C42BCE"/>
    <w:rsid w:val="00C43D4C"/>
    <w:rsid w:val="00C44694"/>
    <w:rsid w:val="00C4580E"/>
    <w:rsid w:val="00C45AAF"/>
    <w:rsid w:val="00C468CA"/>
    <w:rsid w:val="00C477DC"/>
    <w:rsid w:val="00C52681"/>
    <w:rsid w:val="00C5312F"/>
    <w:rsid w:val="00C53BE4"/>
    <w:rsid w:val="00C56BA4"/>
    <w:rsid w:val="00C57E29"/>
    <w:rsid w:val="00C57E72"/>
    <w:rsid w:val="00C60499"/>
    <w:rsid w:val="00C610D4"/>
    <w:rsid w:val="00C61616"/>
    <w:rsid w:val="00C61909"/>
    <w:rsid w:val="00C635EE"/>
    <w:rsid w:val="00C63E8C"/>
    <w:rsid w:val="00C63F2A"/>
    <w:rsid w:val="00C6506A"/>
    <w:rsid w:val="00C658F0"/>
    <w:rsid w:val="00C659A7"/>
    <w:rsid w:val="00C66BD3"/>
    <w:rsid w:val="00C67113"/>
    <w:rsid w:val="00C67DF1"/>
    <w:rsid w:val="00C70918"/>
    <w:rsid w:val="00C71A39"/>
    <w:rsid w:val="00C72F45"/>
    <w:rsid w:val="00C73DA7"/>
    <w:rsid w:val="00C763FB"/>
    <w:rsid w:val="00C76FFC"/>
    <w:rsid w:val="00C81254"/>
    <w:rsid w:val="00C81930"/>
    <w:rsid w:val="00C828BD"/>
    <w:rsid w:val="00C8447F"/>
    <w:rsid w:val="00C84D76"/>
    <w:rsid w:val="00C84F4D"/>
    <w:rsid w:val="00C91A27"/>
    <w:rsid w:val="00C9259F"/>
    <w:rsid w:val="00C92778"/>
    <w:rsid w:val="00C92EB1"/>
    <w:rsid w:val="00C9427F"/>
    <w:rsid w:val="00C961CD"/>
    <w:rsid w:val="00C96ABF"/>
    <w:rsid w:val="00C96CB1"/>
    <w:rsid w:val="00C97C21"/>
    <w:rsid w:val="00CA00D7"/>
    <w:rsid w:val="00CA3398"/>
    <w:rsid w:val="00CA3D9F"/>
    <w:rsid w:val="00CA40FA"/>
    <w:rsid w:val="00CA4FB6"/>
    <w:rsid w:val="00CA56BE"/>
    <w:rsid w:val="00CA5960"/>
    <w:rsid w:val="00CA6926"/>
    <w:rsid w:val="00CA6F89"/>
    <w:rsid w:val="00CA735C"/>
    <w:rsid w:val="00CB0ED8"/>
    <w:rsid w:val="00CB1FBC"/>
    <w:rsid w:val="00CB3147"/>
    <w:rsid w:val="00CB3AD5"/>
    <w:rsid w:val="00CB65FF"/>
    <w:rsid w:val="00CC5CF3"/>
    <w:rsid w:val="00CC62E1"/>
    <w:rsid w:val="00CC7A9F"/>
    <w:rsid w:val="00CD0C75"/>
    <w:rsid w:val="00CD0D86"/>
    <w:rsid w:val="00CD285A"/>
    <w:rsid w:val="00CD2A73"/>
    <w:rsid w:val="00CD32C6"/>
    <w:rsid w:val="00CD5C9F"/>
    <w:rsid w:val="00CD6E97"/>
    <w:rsid w:val="00CD71EB"/>
    <w:rsid w:val="00CD7831"/>
    <w:rsid w:val="00CE053D"/>
    <w:rsid w:val="00CE12DD"/>
    <w:rsid w:val="00CE1996"/>
    <w:rsid w:val="00CE3CC8"/>
    <w:rsid w:val="00CE425B"/>
    <w:rsid w:val="00CE5002"/>
    <w:rsid w:val="00CE5861"/>
    <w:rsid w:val="00CE590D"/>
    <w:rsid w:val="00CE701D"/>
    <w:rsid w:val="00CF02FC"/>
    <w:rsid w:val="00CF2B60"/>
    <w:rsid w:val="00CF3EA7"/>
    <w:rsid w:val="00CF71BF"/>
    <w:rsid w:val="00D00F41"/>
    <w:rsid w:val="00D01E1C"/>
    <w:rsid w:val="00D030F6"/>
    <w:rsid w:val="00D03107"/>
    <w:rsid w:val="00D104C1"/>
    <w:rsid w:val="00D13B52"/>
    <w:rsid w:val="00D13D39"/>
    <w:rsid w:val="00D13EC1"/>
    <w:rsid w:val="00D14F41"/>
    <w:rsid w:val="00D15FC4"/>
    <w:rsid w:val="00D20491"/>
    <w:rsid w:val="00D208B9"/>
    <w:rsid w:val="00D20E6B"/>
    <w:rsid w:val="00D2258F"/>
    <w:rsid w:val="00D22EA2"/>
    <w:rsid w:val="00D23BD5"/>
    <w:rsid w:val="00D250A7"/>
    <w:rsid w:val="00D2518B"/>
    <w:rsid w:val="00D307CC"/>
    <w:rsid w:val="00D31857"/>
    <w:rsid w:val="00D327D0"/>
    <w:rsid w:val="00D329F3"/>
    <w:rsid w:val="00D32B87"/>
    <w:rsid w:val="00D32C2B"/>
    <w:rsid w:val="00D32E4E"/>
    <w:rsid w:val="00D35790"/>
    <w:rsid w:val="00D40225"/>
    <w:rsid w:val="00D45B20"/>
    <w:rsid w:val="00D4610F"/>
    <w:rsid w:val="00D46191"/>
    <w:rsid w:val="00D47EA4"/>
    <w:rsid w:val="00D50BFD"/>
    <w:rsid w:val="00D51CB9"/>
    <w:rsid w:val="00D52058"/>
    <w:rsid w:val="00D5385A"/>
    <w:rsid w:val="00D53CA4"/>
    <w:rsid w:val="00D568A6"/>
    <w:rsid w:val="00D56FAA"/>
    <w:rsid w:val="00D57387"/>
    <w:rsid w:val="00D57C57"/>
    <w:rsid w:val="00D57D65"/>
    <w:rsid w:val="00D60C5E"/>
    <w:rsid w:val="00D64CBB"/>
    <w:rsid w:val="00D66915"/>
    <w:rsid w:val="00D67A0F"/>
    <w:rsid w:val="00D701AA"/>
    <w:rsid w:val="00D702C9"/>
    <w:rsid w:val="00D7447E"/>
    <w:rsid w:val="00D75313"/>
    <w:rsid w:val="00D75E64"/>
    <w:rsid w:val="00D769FD"/>
    <w:rsid w:val="00D822FE"/>
    <w:rsid w:val="00D8276E"/>
    <w:rsid w:val="00D82DD9"/>
    <w:rsid w:val="00D83CA3"/>
    <w:rsid w:val="00D83D7A"/>
    <w:rsid w:val="00D84FAB"/>
    <w:rsid w:val="00D854B8"/>
    <w:rsid w:val="00D85D54"/>
    <w:rsid w:val="00D87E84"/>
    <w:rsid w:val="00D90DCA"/>
    <w:rsid w:val="00D91313"/>
    <w:rsid w:val="00D92F36"/>
    <w:rsid w:val="00D951D6"/>
    <w:rsid w:val="00D95A99"/>
    <w:rsid w:val="00D95F8A"/>
    <w:rsid w:val="00DA0D39"/>
    <w:rsid w:val="00DA1559"/>
    <w:rsid w:val="00DA1C53"/>
    <w:rsid w:val="00DA1DFA"/>
    <w:rsid w:val="00DA2C4C"/>
    <w:rsid w:val="00DA4663"/>
    <w:rsid w:val="00DA69B3"/>
    <w:rsid w:val="00DA6C21"/>
    <w:rsid w:val="00DB3414"/>
    <w:rsid w:val="00DB41A7"/>
    <w:rsid w:val="00DB4A50"/>
    <w:rsid w:val="00DC4B12"/>
    <w:rsid w:val="00DC4EBE"/>
    <w:rsid w:val="00DD13F8"/>
    <w:rsid w:val="00DD2127"/>
    <w:rsid w:val="00DD31BC"/>
    <w:rsid w:val="00DD3803"/>
    <w:rsid w:val="00DD44EF"/>
    <w:rsid w:val="00DD693C"/>
    <w:rsid w:val="00DD6E5C"/>
    <w:rsid w:val="00DD74A0"/>
    <w:rsid w:val="00DD7F10"/>
    <w:rsid w:val="00DE1E5F"/>
    <w:rsid w:val="00DE644E"/>
    <w:rsid w:val="00DE727C"/>
    <w:rsid w:val="00DE7A77"/>
    <w:rsid w:val="00DF008C"/>
    <w:rsid w:val="00DF0698"/>
    <w:rsid w:val="00DF2758"/>
    <w:rsid w:val="00DF422B"/>
    <w:rsid w:val="00DF7827"/>
    <w:rsid w:val="00E0032E"/>
    <w:rsid w:val="00E009A0"/>
    <w:rsid w:val="00E05F1F"/>
    <w:rsid w:val="00E106C6"/>
    <w:rsid w:val="00E112BA"/>
    <w:rsid w:val="00E116E9"/>
    <w:rsid w:val="00E1557E"/>
    <w:rsid w:val="00E1671A"/>
    <w:rsid w:val="00E17661"/>
    <w:rsid w:val="00E22CAB"/>
    <w:rsid w:val="00E23818"/>
    <w:rsid w:val="00E25096"/>
    <w:rsid w:val="00E31B68"/>
    <w:rsid w:val="00E31C92"/>
    <w:rsid w:val="00E332A9"/>
    <w:rsid w:val="00E33F40"/>
    <w:rsid w:val="00E3556B"/>
    <w:rsid w:val="00E35A4D"/>
    <w:rsid w:val="00E373DA"/>
    <w:rsid w:val="00E37DD8"/>
    <w:rsid w:val="00E40637"/>
    <w:rsid w:val="00E42C75"/>
    <w:rsid w:val="00E42C77"/>
    <w:rsid w:val="00E42EBC"/>
    <w:rsid w:val="00E47472"/>
    <w:rsid w:val="00E4794A"/>
    <w:rsid w:val="00E47A40"/>
    <w:rsid w:val="00E5021A"/>
    <w:rsid w:val="00E50EA5"/>
    <w:rsid w:val="00E512BD"/>
    <w:rsid w:val="00E51923"/>
    <w:rsid w:val="00E51F60"/>
    <w:rsid w:val="00E534A9"/>
    <w:rsid w:val="00E553C0"/>
    <w:rsid w:val="00E565DC"/>
    <w:rsid w:val="00E575E1"/>
    <w:rsid w:val="00E5783E"/>
    <w:rsid w:val="00E61C34"/>
    <w:rsid w:val="00E66E77"/>
    <w:rsid w:val="00E67298"/>
    <w:rsid w:val="00E700B3"/>
    <w:rsid w:val="00E70B69"/>
    <w:rsid w:val="00E7104E"/>
    <w:rsid w:val="00E74417"/>
    <w:rsid w:val="00E746AA"/>
    <w:rsid w:val="00E7625E"/>
    <w:rsid w:val="00E76FE3"/>
    <w:rsid w:val="00E77355"/>
    <w:rsid w:val="00E81D90"/>
    <w:rsid w:val="00E82FC7"/>
    <w:rsid w:val="00E833DA"/>
    <w:rsid w:val="00E84277"/>
    <w:rsid w:val="00E86EC9"/>
    <w:rsid w:val="00E875F0"/>
    <w:rsid w:val="00E938C1"/>
    <w:rsid w:val="00E979BE"/>
    <w:rsid w:val="00EA142C"/>
    <w:rsid w:val="00EA257B"/>
    <w:rsid w:val="00EA27E9"/>
    <w:rsid w:val="00EA2AB8"/>
    <w:rsid w:val="00EA356A"/>
    <w:rsid w:val="00EA567C"/>
    <w:rsid w:val="00EA5DC9"/>
    <w:rsid w:val="00EB0C79"/>
    <w:rsid w:val="00EB1BC9"/>
    <w:rsid w:val="00EB36F5"/>
    <w:rsid w:val="00EB4644"/>
    <w:rsid w:val="00EB7470"/>
    <w:rsid w:val="00EB78E2"/>
    <w:rsid w:val="00EC14E7"/>
    <w:rsid w:val="00EC159E"/>
    <w:rsid w:val="00EC3098"/>
    <w:rsid w:val="00EC54C3"/>
    <w:rsid w:val="00EC5E9E"/>
    <w:rsid w:val="00EC6D86"/>
    <w:rsid w:val="00EC7456"/>
    <w:rsid w:val="00EC76A0"/>
    <w:rsid w:val="00EC7F5A"/>
    <w:rsid w:val="00ED1437"/>
    <w:rsid w:val="00ED565A"/>
    <w:rsid w:val="00ED7184"/>
    <w:rsid w:val="00ED7FFB"/>
    <w:rsid w:val="00EE246C"/>
    <w:rsid w:val="00EE5017"/>
    <w:rsid w:val="00EE5E7F"/>
    <w:rsid w:val="00EE6AA6"/>
    <w:rsid w:val="00EE6DDD"/>
    <w:rsid w:val="00EE78C3"/>
    <w:rsid w:val="00EE79EE"/>
    <w:rsid w:val="00EF0B6F"/>
    <w:rsid w:val="00EF0CEF"/>
    <w:rsid w:val="00EF2488"/>
    <w:rsid w:val="00EF417E"/>
    <w:rsid w:val="00EF785F"/>
    <w:rsid w:val="00F007D9"/>
    <w:rsid w:val="00F00DA1"/>
    <w:rsid w:val="00F018AA"/>
    <w:rsid w:val="00F01A8D"/>
    <w:rsid w:val="00F01FE0"/>
    <w:rsid w:val="00F02A17"/>
    <w:rsid w:val="00F030D8"/>
    <w:rsid w:val="00F0437A"/>
    <w:rsid w:val="00F04B83"/>
    <w:rsid w:val="00F063E3"/>
    <w:rsid w:val="00F06E43"/>
    <w:rsid w:val="00F07CB0"/>
    <w:rsid w:val="00F101C1"/>
    <w:rsid w:val="00F10C41"/>
    <w:rsid w:val="00F10D99"/>
    <w:rsid w:val="00F1208D"/>
    <w:rsid w:val="00F125EE"/>
    <w:rsid w:val="00F12A44"/>
    <w:rsid w:val="00F15B78"/>
    <w:rsid w:val="00F17A9A"/>
    <w:rsid w:val="00F200DE"/>
    <w:rsid w:val="00F2024F"/>
    <w:rsid w:val="00F20F54"/>
    <w:rsid w:val="00F244C0"/>
    <w:rsid w:val="00F24EA2"/>
    <w:rsid w:val="00F251E3"/>
    <w:rsid w:val="00F255ED"/>
    <w:rsid w:val="00F26E7F"/>
    <w:rsid w:val="00F2700E"/>
    <w:rsid w:val="00F30011"/>
    <w:rsid w:val="00F30289"/>
    <w:rsid w:val="00F30DBA"/>
    <w:rsid w:val="00F32AC2"/>
    <w:rsid w:val="00F33BD8"/>
    <w:rsid w:val="00F34642"/>
    <w:rsid w:val="00F34D94"/>
    <w:rsid w:val="00F359E1"/>
    <w:rsid w:val="00F3667B"/>
    <w:rsid w:val="00F4037B"/>
    <w:rsid w:val="00F406BB"/>
    <w:rsid w:val="00F40D1C"/>
    <w:rsid w:val="00F41286"/>
    <w:rsid w:val="00F41C50"/>
    <w:rsid w:val="00F4241B"/>
    <w:rsid w:val="00F4414D"/>
    <w:rsid w:val="00F4687E"/>
    <w:rsid w:val="00F5127F"/>
    <w:rsid w:val="00F53C48"/>
    <w:rsid w:val="00F551AF"/>
    <w:rsid w:val="00F558D1"/>
    <w:rsid w:val="00F62BF8"/>
    <w:rsid w:val="00F63374"/>
    <w:rsid w:val="00F63611"/>
    <w:rsid w:val="00F64AB9"/>
    <w:rsid w:val="00F675AA"/>
    <w:rsid w:val="00F72D9D"/>
    <w:rsid w:val="00F74F7C"/>
    <w:rsid w:val="00F76815"/>
    <w:rsid w:val="00F76CBA"/>
    <w:rsid w:val="00F81C76"/>
    <w:rsid w:val="00F820B2"/>
    <w:rsid w:val="00F8272A"/>
    <w:rsid w:val="00F83BB0"/>
    <w:rsid w:val="00F855DA"/>
    <w:rsid w:val="00F86082"/>
    <w:rsid w:val="00F86163"/>
    <w:rsid w:val="00F866E4"/>
    <w:rsid w:val="00F910AF"/>
    <w:rsid w:val="00F92A2D"/>
    <w:rsid w:val="00F938FD"/>
    <w:rsid w:val="00F950B8"/>
    <w:rsid w:val="00F9533D"/>
    <w:rsid w:val="00F959BC"/>
    <w:rsid w:val="00F96617"/>
    <w:rsid w:val="00F96FA7"/>
    <w:rsid w:val="00F97459"/>
    <w:rsid w:val="00FA0CA5"/>
    <w:rsid w:val="00FA1C2D"/>
    <w:rsid w:val="00FA1F40"/>
    <w:rsid w:val="00FA2325"/>
    <w:rsid w:val="00FA3824"/>
    <w:rsid w:val="00FA43B1"/>
    <w:rsid w:val="00FA5AAE"/>
    <w:rsid w:val="00FA6087"/>
    <w:rsid w:val="00FA70C2"/>
    <w:rsid w:val="00FA75D9"/>
    <w:rsid w:val="00FB2C00"/>
    <w:rsid w:val="00FB2E2C"/>
    <w:rsid w:val="00FB2FE5"/>
    <w:rsid w:val="00FB4437"/>
    <w:rsid w:val="00FB62F5"/>
    <w:rsid w:val="00FC0BF3"/>
    <w:rsid w:val="00FC0EBD"/>
    <w:rsid w:val="00FC2CEF"/>
    <w:rsid w:val="00FC46B9"/>
    <w:rsid w:val="00FC4906"/>
    <w:rsid w:val="00FC5226"/>
    <w:rsid w:val="00FC5A23"/>
    <w:rsid w:val="00FC5AE9"/>
    <w:rsid w:val="00FC5D96"/>
    <w:rsid w:val="00FC5F05"/>
    <w:rsid w:val="00FC67DA"/>
    <w:rsid w:val="00FC68EA"/>
    <w:rsid w:val="00FC735B"/>
    <w:rsid w:val="00FD0A62"/>
    <w:rsid w:val="00FD29A1"/>
    <w:rsid w:val="00FD4207"/>
    <w:rsid w:val="00FD55AF"/>
    <w:rsid w:val="00FD58A3"/>
    <w:rsid w:val="00FD5F22"/>
    <w:rsid w:val="00FD61A6"/>
    <w:rsid w:val="00FD6A58"/>
    <w:rsid w:val="00FD724A"/>
    <w:rsid w:val="00FE0C65"/>
    <w:rsid w:val="00FF0372"/>
    <w:rsid w:val="00FF10C3"/>
    <w:rsid w:val="00FF33A3"/>
    <w:rsid w:val="392F2FAD"/>
    <w:rsid w:val="49971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aliases w:val="List Paragraph1,Recommendation,bullet point list,FooterText,Bullet List,numbered,Paragraphe de liste1,Bulletr List Paragraph,列出段落,列出段落1,List Paragraph2,List Paragraph21,Listeafsnit1,Parágrafo da Lista1,Párrafo de lista1,リスト段落1,L,Bullet li"/>
    <w:basedOn w:val="Normal"/>
    <w:link w:val="ListParagraphChar"/>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84169E"/>
    <w:rPr>
      <w:color w:val="605E5C"/>
      <w:shd w:val="clear" w:color="auto" w:fill="E1DFDD"/>
    </w:rPr>
  </w:style>
  <w:style w:type="character" w:customStyle="1" w:styleId="cf01">
    <w:name w:val="cf01"/>
    <w:basedOn w:val="DefaultParagraphFont"/>
    <w:rsid w:val="00FA6087"/>
    <w:rPr>
      <w:rFonts w:ascii="Segoe UI" w:hAnsi="Segoe UI" w:cs="Segoe UI" w:hint="default"/>
      <w:i/>
      <w:iCs/>
      <w:sz w:val="18"/>
      <w:szCs w:val="18"/>
    </w:rPr>
  </w:style>
  <w:style w:type="character" w:customStyle="1" w:styleId="cf11">
    <w:name w:val="cf11"/>
    <w:basedOn w:val="DefaultParagraphFont"/>
    <w:rsid w:val="00FA6087"/>
    <w:rPr>
      <w:rFonts w:ascii="Segoe UI" w:hAnsi="Segoe UI" w:cs="Segoe UI" w:hint="default"/>
      <w:sz w:val="18"/>
      <w:szCs w:val="18"/>
    </w:rPr>
  </w:style>
  <w:style w:type="paragraph" w:customStyle="1" w:styleId="pf0">
    <w:name w:val="pf0"/>
    <w:basedOn w:val="Normal"/>
    <w:rsid w:val="007003D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1B5706"/>
    <w:rPr>
      <w:color w:val="954F72" w:themeColor="followedHyperlink"/>
      <w:u w:val="single"/>
    </w:rPr>
  </w:style>
  <w:style w:type="paragraph" w:customStyle="1" w:styleId="pf1">
    <w:name w:val="pf1"/>
    <w:basedOn w:val="Normal"/>
    <w:rsid w:val="00EE5017"/>
    <w:pPr>
      <w:spacing w:before="100" w:beforeAutospacing="1" w:after="100" w:afterAutospacing="1" w:line="240" w:lineRule="auto"/>
      <w:ind w:left="720"/>
    </w:pPr>
    <w:rPr>
      <w:rFonts w:ascii="Times New Roman" w:eastAsia="Times New Roman" w:hAnsi="Times New Roman" w:cs="Times New Roman"/>
      <w:sz w:val="24"/>
      <w:szCs w:val="24"/>
      <w:lang w:eastAsia="en-AU"/>
    </w:rPr>
  </w:style>
  <w:style w:type="character" w:customStyle="1" w:styleId="ListParagraphChar">
    <w:name w:val="List Paragraph Char"/>
    <w:aliases w:val="List Paragraph1 Char,Recommendation Char,bullet point list Char,FooterText Char,Bullet List Char,numbered Char,Paragraphe de liste1 Char,Bulletr List Paragraph Char,列出段落 Char,列出段落1 Char,List Paragraph2 Char,List Paragraph21 Char"/>
    <w:basedOn w:val="DefaultParagraphFont"/>
    <w:link w:val="ListParagraph"/>
    <w:uiPriority w:val="34"/>
    <w:qFormat/>
    <w:rsid w:val="00307C39"/>
  </w:style>
  <w:style w:type="paragraph" w:styleId="Revision">
    <w:name w:val="Revision"/>
    <w:hidden/>
    <w:uiPriority w:val="99"/>
    <w:semiHidden/>
    <w:rsid w:val="00661982"/>
    <w:pPr>
      <w:spacing w:after="0" w:line="240" w:lineRule="auto"/>
    </w:pPr>
  </w:style>
  <w:style w:type="paragraph" w:styleId="NoSpacing">
    <w:name w:val="No Spacing"/>
    <w:uiPriority w:val="1"/>
    <w:qFormat/>
    <w:rsid w:val="00C9427F"/>
    <w:pPr>
      <w:spacing w:after="0" w:line="240" w:lineRule="auto"/>
    </w:pPr>
  </w:style>
  <w:style w:type="paragraph" w:customStyle="1" w:styleId="gmail-">
    <w:name w:val="gmail-"/>
    <w:basedOn w:val="Normal"/>
    <w:rsid w:val="001D6AD9"/>
    <w:pPr>
      <w:spacing w:before="100" w:beforeAutospacing="1" w:after="100" w:afterAutospacing="1" w:line="240" w:lineRule="auto"/>
    </w:pPr>
    <w:rPr>
      <w:rFonts w:ascii="Aptos" w:hAnsi="Aptos" w:cs="Aptos"/>
      <w:sz w:val="24"/>
      <w:szCs w:val="24"/>
      <w:lang w:eastAsia="en-AU"/>
    </w:rPr>
  </w:style>
  <w:style w:type="character" w:styleId="Emphasis">
    <w:name w:val="Emphasis"/>
    <w:basedOn w:val="DefaultParagraphFont"/>
    <w:uiPriority w:val="20"/>
    <w:qFormat/>
    <w:rsid w:val="001D6AD9"/>
    <w:rPr>
      <w:i/>
      <w:iCs/>
    </w:rPr>
  </w:style>
  <w:style w:type="character" w:styleId="Strong">
    <w:name w:val="Strong"/>
    <w:basedOn w:val="DefaultParagraphFont"/>
    <w:uiPriority w:val="22"/>
    <w:qFormat/>
    <w:rsid w:val="002C3A08"/>
    <w:rPr>
      <w:b/>
      <w:bCs/>
    </w:rPr>
  </w:style>
  <w:style w:type="character" w:customStyle="1" w:styleId="CharPartNo">
    <w:name w:val="CharPartNo"/>
    <w:basedOn w:val="DefaultParagraphFont"/>
    <w:qFormat/>
    <w:rsid w:val="004E5891"/>
    <w:rPr>
      <w:rFonts w:ascii="Times New Roman" w:hAnsi="Times New Roman" w:cs="Times New Roman"/>
      <w:b/>
      <w:bCs/>
      <w:sz w:val="32"/>
      <w:szCs w:val="32"/>
    </w:rPr>
  </w:style>
  <w:style w:type="paragraph" w:styleId="NormalWeb">
    <w:name w:val="Normal (Web)"/>
    <w:basedOn w:val="Normal"/>
    <w:uiPriority w:val="99"/>
    <w:semiHidden/>
    <w:unhideWhenUsed/>
    <w:rsid w:val="00557B18"/>
    <w:rPr>
      <w:rFonts w:ascii="Times New Roman" w:hAnsi="Times New Roman" w:cs="Times New Roman"/>
      <w:sz w:val="24"/>
      <w:szCs w:val="24"/>
    </w:rPr>
  </w:style>
  <w:style w:type="paragraph" w:customStyle="1" w:styleId="listparagraph0">
    <w:name w:val="listparagraph"/>
    <w:basedOn w:val="Normal"/>
    <w:rsid w:val="0088060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5952">
      <w:bodyDiv w:val="1"/>
      <w:marLeft w:val="0"/>
      <w:marRight w:val="0"/>
      <w:marTop w:val="0"/>
      <w:marBottom w:val="0"/>
      <w:divBdr>
        <w:top w:val="none" w:sz="0" w:space="0" w:color="auto"/>
        <w:left w:val="none" w:sz="0" w:space="0" w:color="auto"/>
        <w:bottom w:val="none" w:sz="0" w:space="0" w:color="auto"/>
        <w:right w:val="none" w:sz="0" w:space="0" w:color="auto"/>
      </w:divBdr>
    </w:div>
    <w:div w:id="44455181">
      <w:bodyDiv w:val="1"/>
      <w:marLeft w:val="0"/>
      <w:marRight w:val="0"/>
      <w:marTop w:val="0"/>
      <w:marBottom w:val="0"/>
      <w:divBdr>
        <w:top w:val="none" w:sz="0" w:space="0" w:color="auto"/>
        <w:left w:val="none" w:sz="0" w:space="0" w:color="auto"/>
        <w:bottom w:val="none" w:sz="0" w:space="0" w:color="auto"/>
        <w:right w:val="none" w:sz="0" w:space="0" w:color="auto"/>
      </w:divBdr>
    </w:div>
    <w:div w:id="53431535">
      <w:bodyDiv w:val="1"/>
      <w:marLeft w:val="0"/>
      <w:marRight w:val="0"/>
      <w:marTop w:val="0"/>
      <w:marBottom w:val="0"/>
      <w:divBdr>
        <w:top w:val="none" w:sz="0" w:space="0" w:color="auto"/>
        <w:left w:val="none" w:sz="0" w:space="0" w:color="auto"/>
        <w:bottom w:val="none" w:sz="0" w:space="0" w:color="auto"/>
        <w:right w:val="none" w:sz="0" w:space="0" w:color="auto"/>
      </w:divBdr>
    </w:div>
    <w:div w:id="54664120">
      <w:bodyDiv w:val="1"/>
      <w:marLeft w:val="0"/>
      <w:marRight w:val="0"/>
      <w:marTop w:val="0"/>
      <w:marBottom w:val="0"/>
      <w:divBdr>
        <w:top w:val="none" w:sz="0" w:space="0" w:color="auto"/>
        <w:left w:val="none" w:sz="0" w:space="0" w:color="auto"/>
        <w:bottom w:val="none" w:sz="0" w:space="0" w:color="auto"/>
        <w:right w:val="none" w:sz="0" w:space="0" w:color="auto"/>
      </w:divBdr>
    </w:div>
    <w:div w:id="66000410">
      <w:bodyDiv w:val="1"/>
      <w:marLeft w:val="0"/>
      <w:marRight w:val="0"/>
      <w:marTop w:val="0"/>
      <w:marBottom w:val="0"/>
      <w:divBdr>
        <w:top w:val="none" w:sz="0" w:space="0" w:color="auto"/>
        <w:left w:val="none" w:sz="0" w:space="0" w:color="auto"/>
        <w:bottom w:val="none" w:sz="0" w:space="0" w:color="auto"/>
        <w:right w:val="none" w:sz="0" w:space="0" w:color="auto"/>
      </w:divBdr>
    </w:div>
    <w:div w:id="67772522">
      <w:bodyDiv w:val="1"/>
      <w:marLeft w:val="0"/>
      <w:marRight w:val="0"/>
      <w:marTop w:val="0"/>
      <w:marBottom w:val="0"/>
      <w:divBdr>
        <w:top w:val="none" w:sz="0" w:space="0" w:color="auto"/>
        <w:left w:val="none" w:sz="0" w:space="0" w:color="auto"/>
        <w:bottom w:val="none" w:sz="0" w:space="0" w:color="auto"/>
        <w:right w:val="none" w:sz="0" w:space="0" w:color="auto"/>
      </w:divBdr>
    </w:div>
    <w:div w:id="70781330">
      <w:bodyDiv w:val="1"/>
      <w:marLeft w:val="0"/>
      <w:marRight w:val="0"/>
      <w:marTop w:val="0"/>
      <w:marBottom w:val="0"/>
      <w:divBdr>
        <w:top w:val="none" w:sz="0" w:space="0" w:color="auto"/>
        <w:left w:val="none" w:sz="0" w:space="0" w:color="auto"/>
        <w:bottom w:val="none" w:sz="0" w:space="0" w:color="auto"/>
        <w:right w:val="none" w:sz="0" w:space="0" w:color="auto"/>
      </w:divBdr>
    </w:div>
    <w:div w:id="78449533">
      <w:bodyDiv w:val="1"/>
      <w:marLeft w:val="0"/>
      <w:marRight w:val="0"/>
      <w:marTop w:val="0"/>
      <w:marBottom w:val="0"/>
      <w:divBdr>
        <w:top w:val="none" w:sz="0" w:space="0" w:color="auto"/>
        <w:left w:val="none" w:sz="0" w:space="0" w:color="auto"/>
        <w:bottom w:val="none" w:sz="0" w:space="0" w:color="auto"/>
        <w:right w:val="none" w:sz="0" w:space="0" w:color="auto"/>
      </w:divBdr>
    </w:div>
    <w:div w:id="83459604">
      <w:bodyDiv w:val="1"/>
      <w:marLeft w:val="0"/>
      <w:marRight w:val="0"/>
      <w:marTop w:val="0"/>
      <w:marBottom w:val="0"/>
      <w:divBdr>
        <w:top w:val="none" w:sz="0" w:space="0" w:color="auto"/>
        <w:left w:val="none" w:sz="0" w:space="0" w:color="auto"/>
        <w:bottom w:val="none" w:sz="0" w:space="0" w:color="auto"/>
        <w:right w:val="none" w:sz="0" w:space="0" w:color="auto"/>
      </w:divBdr>
    </w:div>
    <w:div w:id="86199054">
      <w:bodyDiv w:val="1"/>
      <w:marLeft w:val="0"/>
      <w:marRight w:val="0"/>
      <w:marTop w:val="0"/>
      <w:marBottom w:val="0"/>
      <w:divBdr>
        <w:top w:val="none" w:sz="0" w:space="0" w:color="auto"/>
        <w:left w:val="none" w:sz="0" w:space="0" w:color="auto"/>
        <w:bottom w:val="none" w:sz="0" w:space="0" w:color="auto"/>
        <w:right w:val="none" w:sz="0" w:space="0" w:color="auto"/>
      </w:divBdr>
    </w:div>
    <w:div w:id="87193113">
      <w:bodyDiv w:val="1"/>
      <w:marLeft w:val="0"/>
      <w:marRight w:val="0"/>
      <w:marTop w:val="0"/>
      <w:marBottom w:val="0"/>
      <w:divBdr>
        <w:top w:val="none" w:sz="0" w:space="0" w:color="auto"/>
        <w:left w:val="none" w:sz="0" w:space="0" w:color="auto"/>
        <w:bottom w:val="none" w:sz="0" w:space="0" w:color="auto"/>
        <w:right w:val="none" w:sz="0" w:space="0" w:color="auto"/>
      </w:divBdr>
    </w:div>
    <w:div w:id="96022591">
      <w:bodyDiv w:val="1"/>
      <w:marLeft w:val="0"/>
      <w:marRight w:val="0"/>
      <w:marTop w:val="0"/>
      <w:marBottom w:val="0"/>
      <w:divBdr>
        <w:top w:val="none" w:sz="0" w:space="0" w:color="auto"/>
        <w:left w:val="none" w:sz="0" w:space="0" w:color="auto"/>
        <w:bottom w:val="none" w:sz="0" w:space="0" w:color="auto"/>
        <w:right w:val="none" w:sz="0" w:space="0" w:color="auto"/>
      </w:divBdr>
    </w:div>
    <w:div w:id="108282675">
      <w:bodyDiv w:val="1"/>
      <w:marLeft w:val="0"/>
      <w:marRight w:val="0"/>
      <w:marTop w:val="0"/>
      <w:marBottom w:val="0"/>
      <w:divBdr>
        <w:top w:val="none" w:sz="0" w:space="0" w:color="auto"/>
        <w:left w:val="none" w:sz="0" w:space="0" w:color="auto"/>
        <w:bottom w:val="none" w:sz="0" w:space="0" w:color="auto"/>
        <w:right w:val="none" w:sz="0" w:space="0" w:color="auto"/>
      </w:divBdr>
    </w:div>
    <w:div w:id="118620302">
      <w:bodyDiv w:val="1"/>
      <w:marLeft w:val="0"/>
      <w:marRight w:val="0"/>
      <w:marTop w:val="0"/>
      <w:marBottom w:val="0"/>
      <w:divBdr>
        <w:top w:val="none" w:sz="0" w:space="0" w:color="auto"/>
        <w:left w:val="none" w:sz="0" w:space="0" w:color="auto"/>
        <w:bottom w:val="none" w:sz="0" w:space="0" w:color="auto"/>
        <w:right w:val="none" w:sz="0" w:space="0" w:color="auto"/>
      </w:divBdr>
    </w:div>
    <w:div w:id="133107050">
      <w:bodyDiv w:val="1"/>
      <w:marLeft w:val="0"/>
      <w:marRight w:val="0"/>
      <w:marTop w:val="0"/>
      <w:marBottom w:val="0"/>
      <w:divBdr>
        <w:top w:val="none" w:sz="0" w:space="0" w:color="auto"/>
        <w:left w:val="none" w:sz="0" w:space="0" w:color="auto"/>
        <w:bottom w:val="none" w:sz="0" w:space="0" w:color="auto"/>
        <w:right w:val="none" w:sz="0" w:space="0" w:color="auto"/>
      </w:divBdr>
    </w:div>
    <w:div w:id="137038625">
      <w:bodyDiv w:val="1"/>
      <w:marLeft w:val="0"/>
      <w:marRight w:val="0"/>
      <w:marTop w:val="0"/>
      <w:marBottom w:val="0"/>
      <w:divBdr>
        <w:top w:val="none" w:sz="0" w:space="0" w:color="auto"/>
        <w:left w:val="none" w:sz="0" w:space="0" w:color="auto"/>
        <w:bottom w:val="none" w:sz="0" w:space="0" w:color="auto"/>
        <w:right w:val="none" w:sz="0" w:space="0" w:color="auto"/>
      </w:divBdr>
    </w:div>
    <w:div w:id="137236036">
      <w:bodyDiv w:val="1"/>
      <w:marLeft w:val="0"/>
      <w:marRight w:val="0"/>
      <w:marTop w:val="0"/>
      <w:marBottom w:val="0"/>
      <w:divBdr>
        <w:top w:val="none" w:sz="0" w:space="0" w:color="auto"/>
        <w:left w:val="none" w:sz="0" w:space="0" w:color="auto"/>
        <w:bottom w:val="none" w:sz="0" w:space="0" w:color="auto"/>
        <w:right w:val="none" w:sz="0" w:space="0" w:color="auto"/>
      </w:divBdr>
    </w:div>
    <w:div w:id="137384944">
      <w:bodyDiv w:val="1"/>
      <w:marLeft w:val="0"/>
      <w:marRight w:val="0"/>
      <w:marTop w:val="0"/>
      <w:marBottom w:val="0"/>
      <w:divBdr>
        <w:top w:val="none" w:sz="0" w:space="0" w:color="auto"/>
        <w:left w:val="none" w:sz="0" w:space="0" w:color="auto"/>
        <w:bottom w:val="none" w:sz="0" w:space="0" w:color="auto"/>
        <w:right w:val="none" w:sz="0" w:space="0" w:color="auto"/>
      </w:divBdr>
    </w:div>
    <w:div w:id="143280441">
      <w:bodyDiv w:val="1"/>
      <w:marLeft w:val="0"/>
      <w:marRight w:val="0"/>
      <w:marTop w:val="0"/>
      <w:marBottom w:val="0"/>
      <w:divBdr>
        <w:top w:val="none" w:sz="0" w:space="0" w:color="auto"/>
        <w:left w:val="none" w:sz="0" w:space="0" w:color="auto"/>
        <w:bottom w:val="none" w:sz="0" w:space="0" w:color="auto"/>
        <w:right w:val="none" w:sz="0" w:space="0" w:color="auto"/>
      </w:divBdr>
    </w:div>
    <w:div w:id="150945905">
      <w:bodyDiv w:val="1"/>
      <w:marLeft w:val="0"/>
      <w:marRight w:val="0"/>
      <w:marTop w:val="0"/>
      <w:marBottom w:val="0"/>
      <w:divBdr>
        <w:top w:val="none" w:sz="0" w:space="0" w:color="auto"/>
        <w:left w:val="none" w:sz="0" w:space="0" w:color="auto"/>
        <w:bottom w:val="none" w:sz="0" w:space="0" w:color="auto"/>
        <w:right w:val="none" w:sz="0" w:space="0" w:color="auto"/>
      </w:divBdr>
    </w:div>
    <w:div w:id="160849752">
      <w:bodyDiv w:val="1"/>
      <w:marLeft w:val="0"/>
      <w:marRight w:val="0"/>
      <w:marTop w:val="0"/>
      <w:marBottom w:val="0"/>
      <w:divBdr>
        <w:top w:val="none" w:sz="0" w:space="0" w:color="auto"/>
        <w:left w:val="none" w:sz="0" w:space="0" w:color="auto"/>
        <w:bottom w:val="none" w:sz="0" w:space="0" w:color="auto"/>
        <w:right w:val="none" w:sz="0" w:space="0" w:color="auto"/>
      </w:divBdr>
    </w:div>
    <w:div w:id="162934972">
      <w:bodyDiv w:val="1"/>
      <w:marLeft w:val="0"/>
      <w:marRight w:val="0"/>
      <w:marTop w:val="0"/>
      <w:marBottom w:val="0"/>
      <w:divBdr>
        <w:top w:val="none" w:sz="0" w:space="0" w:color="auto"/>
        <w:left w:val="none" w:sz="0" w:space="0" w:color="auto"/>
        <w:bottom w:val="none" w:sz="0" w:space="0" w:color="auto"/>
        <w:right w:val="none" w:sz="0" w:space="0" w:color="auto"/>
      </w:divBdr>
    </w:div>
    <w:div w:id="165559811">
      <w:bodyDiv w:val="1"/>
      <w:marLeft w:val="0"/>
      <w:marRight w:val="0"/>
      <w:marTop w:val="0"/>
      <w:marBottom w:val="0"/>
      <w:divBdr>
        <w:top w:val="none" w:sz="0" w:space="0" w:color="auto"/>
        <w:left w:val="none" w:sz="0" w:space="0" w:color="auto"/>
        <w:bottom w:val="none" w:sz="0" w:space="0" w:color="auto"/>
        <w:right w:val="none" w:sz="0" w:space="0" w:color="auto"/>
      </w:divBdr>
    </w:div>
    <w:div w:id="167134026">
      <w:bodyDiv w:val="1"/>
      <w:marLeft w:val="0"/>
      <w:marRight w:val="0"/>
      <w:marTop w:val="0"/>
      <w:marBottom w:val="0"/>
      <w:divBdr>
        <w:top w:val="none" w:sz="0" w:space="0" w:color="auto"/>
        <w:left w:val="none" w:sz="0" w:space="0" w:color="auto"/>
        <w:bottom w:val="none" w:sz="0" w:space="0" w:color="auto"/>
        <w:right w:val="none" w:sz="0" w:space="0" w:color="auto"/>
      </w:divBdr>
    </w:div>
    <w:div w:id="167601903">
      <w:bodyDiv w:val="1"/>
      <w:marLeft w:val="0"/>
      <w:marRight w:val="0"/>
      <w:marTop w:val="0"/>
      <w:marBottom w:val="0"/>
      <w:divBdr>
        <w:top w:val="none" w:sz="0" w:space="0" w:color="auto"/>
        <w:left w:val="none" w:sz="0" w:space="0" w:color="auto"/>
        <w:bottom w:val="none" w:sz="0" w:space="0" w:color="auto"/>
        <w:right w:val="none" w:sz="0" w:space="0" w:color="auto"/>
      </w:divBdr>
    </w:div>
    <w:div w:id="178197738">
      <w:bodyDiv w:val="1"/>
      <w:marLeft w:val="0"/>
      <w:marRight w:val="0"/>
      <w:marTop w:val="0"/>
      <w:marBottom w:val="0"/>
      <w:divBdr>
        <w:top w:val="none" w:sz="0" w:space="0" w:color="auto"/>
        <w:left w:val="none" w:sz="0" w:space="0" w:color="auto"/>
        <w:bottom w:val="none" w:sz="0" w:space="0" w:color="auto"/>
        <w:right w:val="none" w:sz="0" w:space="0" w:color="auto"/>
      </w:divBdr>
    </w:div>
    <w:div w:id="191310883">
      <w:bodyDiv w:val="1"/>
      <w:marLeft w:val="0"/>
      <w:marRight w:val="0"/>
      <w:marTop w:val="0"/>
      <w:marBottom w:val="0"/>
      <w:divBdr>
        <w:top w:val="none" w:sz="0" w:space="0" w:color="auto"/>
        <w:left w:val="none" w:sz="0" w:space="0" w:color="auto"/>
        <w:bottom w:val="none" w:sz="0" w:space="0" w:color="auto"/>
        <w:right w:val="none" w:sz="0" w:space="0" w:color="auto"/>
      </w:divBdr>
    </w:div>
    <w:div w:id="192500005">
      <w:bodyDiv w:val="1"/>
      <w:marLeft w:val="0"/>
      <w:marRight w:val="0"/>
      <w:marTop w:val="0"/>
      <w:marBottom w:val="0"/>
      <w:divBdr>
        <w:top w:val="none" w:sz="0" w:space="0" w:color="auto"/>
        <w:left w:val="none" w:sz="0" w:space="0" w:color="auto"/>
        <w:bottom w:val="none" w:sz="0" w:space="0" w:color="auto"/>
        <w:right w:val="none" w:sz="0" w:space="0" w:color="auto"/>
      </w:divBdr>
    </w:div>
    <w:div w:id="198015155">
      <w:bodyDiv w:val="1"/>
      <w:marLeft w:val="0"/>
      <w:marRight w:val="0"/>
      <w:marTop w:val="0"/>
      <w:marBottom w:val="0"/>
      <w:divBdr>
        <w:top w:val="none" w:sz="0" w:space="0" w:color="auto"/>
        <w:left w:val="none" w:sz="0" w:space="0" w:color="auto"/>
        <w:bottom w:val="none" w:sz="0" w:space="0" w:color="auto"/>
        <w:right w:val="none" w:sz="0" w:space="0" w:color="auto"/>
      </w:divBdr>
    </w:div>
    <w:div w:id="203061591">
      <w:bodyDiv w:val="1"/>
      <w:marLeft w:val="0"/>
      <w:marRight w:val="0"/>
      <w:marTop w:val="0"/>
      <w:marBottom w:val="0"/>
      <w:divBdr>
        <w:top w:val="none" w:sz="0" w:space="0" w:color="auto"/>
        <w:left w:val="none" w:sz="0" w:space="0" w:color="auto"/>
        <w:bottom w:val="none" w:sz="0" w:space="0" w:color="auto"/>
        <w:right w:val="none" w:sz="0" w:space="0" w:color="auto"/>
      </w:divBdr>
    </w:div>
    <w:div w:id="222838014">
      <w:bodyDiv w:val="1"/>
      <w:marLeft w:val="0"/>
      <w:marRight w:val="0"/>
      <w:marTop w:val="0"/>
      <w:marBottom w:val="0"/>
      <w:divBdr>
        <w:top w:val="none" w:sz="0" w:space="0" w:color="auto"/>
        <w:left w:val="none" w:sz="0" w:space="0" w:color="auto"/>
        <w:bottom w:val="none" w:sz="0" w:space="0" w:color="auto"/>
        <w:right w:val="none" w:sz="0" w:space="0" w:color="auto"/>
      </w:divBdr>
    </w:div>
    <w:div w:id="245313259">
      <w:bodyDiv w:val="1"/>
      <w:marLeft w:val="0"/>
      <w:marRight w:val="0"/>
      <w:marTop w:val="0"/>
      <w:marBottom w:val="0"/>
      <w:divBdr>
        <w:top w:val="none" w:sz="0" w:space="0" w:color="auto"/>
        <w:left w:val="none" w:sz="0" w:space="0" w:color="auto"/>
        <w:bottom w:val="none" w:sz="0" w:space="0" w:color="auto"/>
        <w:right w:val="none" w:sz="0" w:space="0" w:color="auto"/>
      </w:divBdr>
    </w:div>
    <w:div w:id="255867367">
      <w:bodyDiv w:val="1"/>
      <w:marLeft w:val="0"/>
      <w:marRight w:val="0"/>
      <w:marTop w:val="0"/>
      <w:marBottom w:val="0"/>
      <w:divBdr>
        <w:top w:val="none" w:sz="0" w:space="0" w:color="auto"/>
        <w:left w:val="none" w:sz="0" w:space="0" w:color="auto"/>
        <w:bottom w:val="none" w:sz="0" w:space="0" w:color="auto"/>
        <w:right w:val="none" w:sz="0" w:space="0" w:color="auto"/>
      </w:divBdr>
    </w:div>
    <w:div w:id="269163862">
      <w:bodyDiv w:val="1"/>
      <w:marLeft w:val="0"/>
      <w:marRight w:val="0"/>
      <w:marTop w:val="0"/>
      <w:marBottom w:val="0"/>
      <w:divBdr>
        <w:top w:val="none" w:sz="0" w:space="0" w:color="auto"/>
        <w:left w:val="none" w:sz="0" w:space="0" w:color="auto"/>
        <w:bottom w:val="none" w:sz="0" w:space="0" w:color="auto"/>
        <w:right w:val="none" w:sz="0" w:space="0" w:color="auto"/>
      </w:divBdr>
    </w:div>
    <w:div w:id="272172415">
      <w:bodyDiv w:val="1"/>
      <w:marLeft w:val="0"/>
      <w:marRight w:val="0"/>
      <w:marTop w:val="0"/>
      <w:marBottom w:val="0"/>
      <w:divBdr>
        <w:top w:val="none" w:sz="0" w:space="0" w:color="auto"/>
        <w:left w:val="none" w:sz="0" w:space="0" w:color="auto"/>
        <w:bottom w:val="none" w:sz="0" w:space="0" w:color="auto"/>
        <w:right w:val="none" w:sz="0" w:space="0" w:color="auto"/>
      </w:divBdr>
    </w:div>
    <w:div w:id="284511242">
      <w:bodyDiv w:val="1"/>
      <w:marLeft w:val="0"/>
      <w:marRight w:val="0"/>
      <w:marTop w:val="0"/>
      <w:marBottom w:val="0"/>
      <w:divBdr>
        <w:top w:val="none" w:sz="0" w:space="0" w:color="auto"/>
        <w:left w:val="none" w:sz="0" w:space="0" w:color="auto"/>
        <w:bottom w:val="none" w:sz="0" w:space="0" w:color="auto"/>
        <w:right w:val="none" w:sz="0" w:space="0" w:color="auto"/>
      </w:divBdr>
    </w:div>
    <w:div w:id="296029248">
      <w:bodyDiv w:val="1"/>
      <w:marLeft w:val="0"/>
      <w:marRight w:val="0"/>
      <w:marTop w:val="0"/>
      <w:marBottom w:val="0"/>
      <w:divBdr>
        <w:top w:val="none" w:sz="0" w:space="0" w:color="auto"/>
        <w:left w:val="none" w:sz="0" w:space="0" w:color="auto"/>
        <w:bottom w:val="none" w:sz="0" w:space="0" w:color="auto"/>
        <w:right w:val="none" w:sz="0" w:space="0" w:color="auto"/>
      </w:divBdr>
    </w:div>
    <w:div w:id="299650786">
      <w:bodyDiv w:val="1"/>
      <w:marLeft w:val="0"/>
      <w:marRight w:val="0"/>
      <w:marTop w:val="0"/>
      <w:marBottom w:val="0"/>
      <w:divBdr>
        <w:top w:val="none" w:sz="0" w:space="0" w:color="auto"/>
        <w:left w:val="none" w:sz="0" w:space="0" w:color="auto"/>
        <w:bottom w:val="none" w:sz="0" w:space="0" w:color="auto"/>
        <w:right w:val="none" w:sz="0" w:space="0" w:color="auto"/>
      </w:divBdr>
    </w:div>
    <w:div w:id="301615483">
      <w:bodyDiv w:val="1"/>
      <w:marLeft w:val="0"/>
      <w:marRight w:val="0"/>
      <w:marTop w:val="0"/>
      <w:marBottom w:val="0"/>
      <w:divBdr>
        <w:top w:val="none" w:sz="0" w:space="0" w:color="auto"/>
        <w:left w:val="none" w:sz="0" w:space="0" w:color="auto"/>
        <w:bottom w:val="none" w:sz="0" w:space="0" w:color="auto"/>
        <w:right w:val="none" w:sz="0" w:space="0" w:color="auto"/>
      </w:divBdr>
    </w:div>
    <w:div w:id="302085146">
      <w:bodyDiv w:val="1"/>
      <w:marLeft w:val="0"/>
      <w:marRight w:val="0"/>
      <w:marTop w:val="0"/>
      <w:marBottom w:val="0"/>
      <w:divBdr>
        <w:top w:val="none" w:sz="0" w:space="0" w:color="auto"/>
        <w:left w:val="none" w:sz="0" w:space="0" w:color="auto"/>
        <w:bottom w:val="none" w:sz="0" w:space="0" w:color="auto"/>
        <w:right w:val="none" w:sz="0" w:space="0" w:color="auto"/>
      </w:divBdr>
    </w:div>
    <w:div w:id="303852937">
      <w:bodyDiv w:val="1"/>
      <w:marLeft w:val="0"/>
      <w:marRight w:val="0"/>
      <w:marTop w:val="0"/>
      <w:marBottom w:val="0"/>
      <w:divBdr>
        <w:top w:val="none" w:sz="0" w:space="0" w:color="auto"/>
        <w:left w:val="none" w:sz="0" w:space="0" w:color="auto"/>
        <w:bottom w:val="none" w:sz="0" w:space="0" w:color="auto"/>
        <w:right w:val="none" w:sz="0" w:space="0" w:color="auto"/>
      </w:divBdr>
    </w:div>
    <w:div w:id="316569911">
      <w:bodyDiv w:val="1"/>
      <w:marLeft w:val="0"/>
      <w:marRight w:val="0"/>
      <w:marTop w:val="0"/>
      <w:marBottom w:val="0"/>
      <w:divBdr>
        <w:top w:val="none" w:sz="0" w:space="0" w:color="auto"/>
        <w:left w:val="none" w:sz="0" w:space="0" w:color="auto"/>
        <w:bottom w:val="none" w:sz="0" w:space="0" w:color="auto"/>
        <w:right w:val="none" w:sz="0" w:space="0" w:color="auto"/>
      </w:divBdr>
    </w:div>
    <w:div w:id="321811171">
      <w:bodyDiv w:val="1"/>
      <w:marLeft w:val="0"/>
      <w:marRight w:val="0"/>
      <w:marTop w:val="0"/>
      <w:marBottom w:val="0"/>
      <w:divBdr>
        <w:top w:val="none" w:sz="0" w:space="0" w:color="auto"/>
        <w:left w:val="none" w:sz="0" w:space="0" w:color="auto"/>
        <w:bottom w:val="none" w:sz="0" w:space="0" w:color="auto"/>
        <w:right w:val="none" w:sz="0" w:space="0" w:color="auto"/>
      </w:divBdr>
    </w:div>
    <w:div w:id="332873937">
      <w:bodyDiv w:val="1"/>
      <w:marLeft w:val="0"/>
      <w:marRight w:val="0"/>
      <w:marTop w:val="0"/>
      <w:marBottom w:val="0"/>
      <w:divBdr>
        <w:top w:val="none" w:sz="0" w:space="0" w:color="auto"/>
        <w:left w:val="none" w:sz="0" w:space="0" w:color="auto"/>
        <w:bottom w:val="none" w:sz="0" w:space="0" w:color="auto"/>
        <w:right w:val="none" w:sz="0" w:space="0" w:color="auto"/>
      </w:divBdr>
    </w:div>
    <w:div w:id="333730772">
      <w:bodyDiv w:val="1"/>
      <w:marLeft w:val="0"/>
      <w:marRight w:val="0"/>
      <w:marTop w:val="0"/>
      <w:marBottom w:val="0"/>
      <w:divBdr>
        <w:top w:val="none" w:sz="0" w:space="0" w:color="auto"/>
        <w:left w:val="none" w:sz="0" w:space="0" w:color="auto"/>
        <w:bottom w:val="none" w:sz="0" w:space="0" w:color="auto"/>
        <w:right w:val="none" w:sz="0" w:space="0" w:color="auto"/>
      </w:divBdr>
    </w:div>
    <w:div w:id="334767082">
      <w:bodyDiv w:val="1"/>
      <w:marLeft w:val="0"/>
      <w:marRight w:val="0"/>
      <w:marTop w:val="0"/>
      <w:marBottom w:val="0"/>
      <w:divBdr>
        <w:top w:val="none" w:sz="0" w:space="0" w:color="auto"/>
        <w:left w:val="none" w:sz="0" w:space="0" w:color="auto"/>
        <w:bottom w:val="none" w:sz="0" w:space="0" w:color="auto"/>
        <w:right w:val="none" w:sz="0" w:space="0" w:color="auto"/>
      </w:divBdr>
    </w:div>
    <w:div w:id="335421602">
      <w:bodyDiv w:val="1"/>
      <w:marLeft w:val="0"/>
      <w:marRight w:val="0"/>
      <w:marTop w:val="0"/>
      <w:marBottom w:val="0"/>
      <w:divBdr>
        <w:top w:val="none" w:sz="0" w:space="0" w:color="auto"/>
        <w:left w:val="none" w:sz="0" w:space="0" w:color="auto"/>
        <w:bottom w:val="none" w:sz="0" w:space="0" w:color="auto"/>
        <w:right w:val="none" w:sz="0" w:space="0" w:color="auto"/>
      </w:divBdr>
    </w:div>
    <w:div w:id="341274698">
      <w:bodyDiv w:val="1"/>
      <w:marLeft w:val="0"/>
      <w:marRight w:val="0"/>
      <w:marTop w:val="0"/>
      <w:marBottom w:val="0"/>
      <w:divBdr>
        <w:top w:val="none" w:sz="0" w:space="0" w:color="auto"/>
        <w:left w:val="none" w:sz="0" w:space="0" w:color="auto"/>
        <w:bottom w:val="none" w:sz="0" w:space="0" w:color="auto"/>
        <w:right w:val="none" w:sz="0" w:space="0" w:color="auto"/>
      </w:divBdr>
    </w:div>
    <w:div w:id="342249528">
      <w:bodyDiv w:val="1"/>
      <w:marLeft w:val="0"/>
      <w:marRight w:val="0"/>
      <w:marTop w:val="0"/>
      <w:marBottom w:val="0"/>
      <w:divBdr>
        <w:top w:val="none" w:sz="0" w:space="0" w:color="auto"/>
        <w:left w:val="none" w:sz="0" w:space="0" w:color="auto"/>
        <w:bottom w:val="none" w:sz="0" w:space="0" w:color="auto"/>
        <w:right w:val="none" w:sz="0" w:space="0" w:color="auto"/>
      </w:divBdr>
    </w:div>
    <w:div w:id="342363873">
      <w:bodyDiv w:val="1"/>
      <w:marLeft w:val="0"/>
      <w:marRight w:val="0"/>
      <w:marTop w:val="0"/>
      <w:marBottom w:val="0"/>
      <w:divBdr>
        <w:top w:val="none" w:sz="0" w:space="0" w:color="auto"/>
        <w:left w:val="none" w:sz="0" w:space="0" w:color="auto"/>
        <w:bottom w:val="none" w:sz="0" w:space="0" w:color="auto"/>
        <w:right w:val="none" w:sz="0" w:space="0" w:color="auto"/>
      </w:divBdr>
    </w:div>
    <w:div w:id="348530569">
      <w:bodyDiv w:val="1"/>
      <w:marLeft w:val="0"/>
      <w:marRight w:val="0"/>
      <w:marTop w:val="0"/>
      <w:marBottom w:val="0"/>
      <w:divBdr>
        <w:top w:val="none" w:sz="0" w:space="0" w:color="auto"/>
        <w:left w:val="none" w:sz="0" w:space="0" w:color="auto"/>
        <w:bottom w:val="none" w:sz="0" w:space="0" w:color="auto"/>
        <w:right w:val="none" w:sz="0" w:space="0" w:color="auto"/>
      </w:divBdr>
    </w:div>
    <w:div w:id="352802846">
      <w:bodyDiv w:val="1"/>
      <w:marLeft w:val="0"/>
      <w:marRight w:val="0"/>
      <w:marTop w:val="0"/>
      <w:marBottom w:val="0"/>
      <w:divBdr>
        <w:top w:val="none" w:sz="0" w:space="0" w:color="auto"/>
        <w:left w:val="none" w:sz="0" w:space="0" w:color="auto"/>
        <w:bottom w:val="none" w:sz="0" w:space="0" w:color="auto"/>
        <w:right w:val="none" w:sz="0" w:space="0" w:color="auto"/>
      </w:divBdr>
    </w:div>
    <w:div w:id="363674972">
      <w:bodyDiv w:val="1"/>
      <w:marLeft w:val="0"/>
      <w:marRight w:val="0"/>
      <w:marTop w:val="0"/>
      <w:marBottom w:val="0"/>
      <w:divBdr>
        <w:top w:val="none" w:sz="0" w:space="0" w:color="auto"/>
        <w:left w:val="none" w:sz="0" w:space="0" w:color="auto"/>
        <w:bottom w:val="none" w:sz="0" w:space="0" w:color="auto"/>
        <w:right w:val="none" w:sz="0" w:space="0" w:color="auto"/>
      </w:divBdr>
    </w:div>
    <w:div w:id="370813113">
      <w:bodyDiv w:val="1"/>
      <w:marLeft w:val="0"/>
      <w:marRight w:val="0"/>
      <w:marTop w:val="0"/>
      <w:marBottom w:val="0"/>
      <w:divBdr>
        <w:top w:val="none" w:sz="0" w:space="0" w:color="auto"/>
        <w:left w:val="none" w:sz="0" w:space="0" w:color="auto"/>
        <w:bottom w:val="none" w:sz="0" w:space="0" w:color="auto"/>
        <w:right w:val="none" w:sz="0" w:space="0" w:color="auto"/>
      </w:divBdr>
    </w:div>
    <w:div w:id="393282527">
      <w:bodyDiv w:val="1"/>
      <w:marLeft w:val="0"/>
      <w:marRight w:val="0"/>
      <w:marTop w:val="0"/>
      <w:marBottom w:val="0"/>
      <w:divBdr>
        <w:top w:val="none" w:sz="0" w:space="0" w:color="auto"/>
        <w:left w:val="none" w:sz="0" w:space="0" w:color="auto"/>
        <w:bottom w:val="none" w:sz="0" w:space="0" w:color="auto"/>
        <w:right w:val="none" w:sz="0" w:space="0" w:color="auto"/>
      </w:divBdr>
    </w:div>
    <w:div w:id="396561995">
      <w:bodyDiv w:val="1"/>
      <w:marLeft w:val="0"/>
      <w:marRight w:val="0"/>
      <w:marTop w:val="0"/>
      <w:marBottom w:val="0"/>
      <w:divBdr>
        <w:top w:val="none" w:sz="0" w:space="0" w:color="auto"/>
        <w:left w:val="none" w:sz="0" w:space="0" w:color="auto"/>
        <w:bottom w:val="none" w:sz="0" w:space="0" w:color="auto"/>
        <w:right w:val="none" w:sz="0" w:space="0" w:color="auto"/>
      </w:divBdr>
    </w:div>
    <w:div w:id="398794424">
      <w:bodyDiv w:val="1"/>
      <w:marLeft w:val="0"/>
      <w:marRight w:val="0"/>
      <w:marTop w:val="0"/>
      <w:marBottom w:val="0"/>
      <w:divBdr>
        <w:top w:val="none" w:sz="0" w:space="0" w:color="auto"/>
        <w:left w:val="none" w:sz="0" w:space="0" w:color="auto"/>
        <w:bottom w:val="none" w:sz="0" w:space="0" w:color="auto"/>
        <w:right w:val="none" w:sz="0" w:space="0" w:color="auto"/>
      </w:divBdr>
    </w:div>
    <w:div w:id="418138628">
      <w:bodyDiv w:val="1"/>
      <w:marLeft w:val="0"/>
      <w:marRight w:val="0"/>
      <w:marTop w:val="0"/>
      <w:marBottom w:val="0"/>
      <w:divBdr>
        <w:top w:val="none" w:sz="0" w:space="0" w:color="auto"/>
        <w:left w:val="none" w:sz="0" w:space="0" w:color="auto"/>
        <w:bottom w:val="none" w:sz="0" w:space="0" w:color="auto"/>
        <w:right w:val="none" w:sz="0" w:space="0" w:color="auto"/>
      </w:divBdr>
    </w:div>
    <w:div w:id="419835095">
      <w:bodyDiv w:val="1"/>
      <w:marLeft w:val="0"/>
      <w:marRight w:val="0"/>
      <w:marTop w:val="0"/>
      <w:marBottom w:val="0"/>
      <w:divBdr>
        <w:top w:val="none" w:sz="0" w:space="0" w:color="auto"/>
        <w:left w:val="none" w:sz="0" w:space="0" w:color="auto"/>
        <w:bottom w:val="none" w:sz="0" w:space="0" w:color="auto"/>
        <w:right w:val="none" w:sz="0" w:space="0" w:color="auto"/>
      </w:divBdr>
    </w:div>
    <w:div w:id="449202099">
      <w:bodyDiv w:val="1"/>
      <w:marLeft w:val="0"/>
      <w:marRight w:val="0"/>
      <w:marTop w:val="0"/>
      <w:marBottom w:val="0"/>
      <w:divBdr>
        <w:top w:val="none" w:sz="0" w:space="0" w:color="auto"/>
        <w:left w:val="none" w:sz="0" w:space="0" w:color="auto"/>
        <w:bottom w:val="none" w:sz="0" w:space="0" w:color="auto"/>
        <w:right w:val="none" w:sz="0" w:space="0" w:color="auto"/>
      </w:divBdr>
    </w:div>
    <w:div w:id="464934852">
      <w:bodyDiv w:val="1"/>
      <w:marLeft w:val="0"/>
      <w:marRight w:val="0"/>
      <w:marTop w:val="0"/>
      <w:marBottom w:val="0"/>
      <w:divBdr>
        <w:top w:val="none" w:sz="0" w:space="0" w:color="auto"/>
        <w:left w:val="none" w:sz="0" w:space="0" w:color="auto"/>
        <w:bottom w:val="none" w:sz="0" w:space="0" w:color="auto"/>
        <w:right w:val="none" w:sz="0" w:space="0" w:color="auto"/>
      </w:divBdr>
    </w:div>
    <w:div w:id="469980761">
      <w:bodyDiv w:val="1"/>
      <w:marLeft w:val="0"/>
      <w:marRight w:val="0"/>
      <w:marTop w:val="0"/>
      <w:marBottom w:val="0"/>
      <w:divBdr>
        <w:top w:val="none" w:sz="0" w:space="0" w:color="auto"/>
        <w:left w:val="none" w:sz="0" w:space="0" w:color="auto"/>
        <w:bottom w:val="none" w:sz="0" w:space="0" w:color="auto"/>
        <w:right w:val="none" w:sz="0" w:space="0" w:color="auto"/>
      </w:divBdr>
    </w:div>
    <w:div w:id="479469154">
      <w:bodyDiv w:val="1"/>
      <w:marLeft w:val="0"/>
      <w:marRight w:val="0"/>
      <w:marTop w:val="0"/>
      <w:marBottom w:val="0"/>
      <w:divBdr>
        <w:top w:val="none" w:sz="0" w:space="0" w:color="auto"/>
        <w:left w:val="none" w:sz="0" w:space="0" w:color="auto"/>
        <w:bottom w:val="none" w:sz="0" w:space="0" w:color="auto"/>
        <w:right w:val="none" w:sz="0" w:space="0" w:color="auto"/>
      </w:divBdr>
    </w:div>
    <w:div w:id="498695423">
      <w:bodyDiv w:val="1"/>
      <w:marLeft w:val="0"/>
      <w:marRight w:val="0"/>
      <w:marTop w:val="0"/>
      <w:marBottom w:val="0"/>
      <w:divBdr>
        <w:top w:val="none" w:sz="0" w:space="0" w:color="auto"/>
        <w:left w:val="none" w:sz="0" w:space="0" w:color="auto"/>
        <w:bottom w:val="none" w:sz="0" w:space="0" w:color="auto"/>
        <w:right w:val="none" w:sz="0" w:space="0" w:color="auto"/>
      </w:divBdr>
    </w:div>
    <w:div w:id="502933402">
      <w:bodyDiv w:val="1"/>
      <w:marLeft w:val="0"/>
      <w:marRight w:val="0"/>
      <w:marTop w:val="0"/>
      <w:marBottom w:val="0"/>
      <w:divBdr>
        <w:top w:val="none" w:sz="0" w:space="0" w:color="auto"/>
        <w:left w:val="none" w:sz="0" w:space="0" w:color="auto"/>
        <w:bottom w:val="none" w:sz="0" w:space="0" w:color="auto"/>
        <w:right w:val="none" w:sz="0" w:space="0" w:color="auto"/>
      </w:divBdr>
    </w:div>
    <w:div w:id="506747956">
      <w:bodyDiv w:val="1"/>
      <w:marLeft w:val="0"/>
      <w:marRight w:val="0"/>
      <w:marTop w:val="0"/>
      <w:marBottom w:val="0"/>
      <w:divBdr>
        <w:top w:val="none" w:sz="0" w:space="0" w:color="auto"/>
        <w:left w:val="none" w:sz="0" w:space="0" w:color="auto"/>
        <w:bottom w:val="none" w:sz="0" w:space="0" w:color="auto"/>
        <w:right w:val="none" w:sz="0" w:space="0" w:color="auto"/>
      </w:divBdr>
    </w:div>
    <w:div w:id="508256868">
      <w:bodyDiv w:val="1"/>
      <w:marLeft w:val="0"/>
      <w:marRight w:val="0"/>
      <w:marTop w:val="0"/>
      <w:marBottom w:val="0"/>
      <w:divBdr>
        <w:top w:val="none" w:sz="0" w:space="0" w:color="auto"/>
        <w:left w:val="none" w:sz="0" w:space="0" w:color="auto"/>
        <w:bottom w:val="none" w:sz="0" w:space="0" w:color="auto"/>
        <w:right w:val="none" w:sz="0" w:space="0" w:color="auto"/>
      </w:divBdr>
    </w:div>
    <w:div w:id="514151120">
      <w:bodyDiv w:val="1"/>
      <w:marLeft w:val="0"/>
      <w:marRight w:val="0"/>
      <w:marTop w:val="0"/>
      <w:marBottom w:val="0"/>
      <w:divBdr>
        <w:top w:val="none" w:sz="0" w:space="0" w:color="auto"/>
        <w:left w:val="none" w:sz="0" w:space="0" w:color="auto"/>
        <w:bottom w:val="none" w:sz="0" w:space="0" w:color="auto"/>
        <w:right w:val="none" w:sz="0" w:space="0" w:color="auto"/>
      </w:divBdr>
    </w:div>
    <w:div w:id="516306697">
      <w:bodyDiv w:val="1"/>
      <w:marLeft w:val="0"/>
      <w:marRight w:val="0"/>
      <w:marTop w:val="0"/>
      <w:marBottom w:val="0"/>
      <w:divBdr>
        <w:top w:val="none" w:sz="0" w:space="0" w:color="auto"/>
        <w:left w:val="none" w:sz="0" w:space="0" w:color="auto"/>
        <w:bottom w:val="none" w:sz="0" w:space="0" w:color="auto"/>
        <w:right w:val="none" w:sz="0" w:space="0" w:color="auto"/>
      </w:divBdr>
    </w:div>
    <w:div w:id="521674027">
      <w:bodyDiv w:val="1"/>
      <w:marLeft w:val="0"/>
      <w:marRight w:val="0"/>
      <w:marTop w:val="0"/>
      <w:marBottom w:val="0"/>
      <w:divBdr>
        <w:top w:val="none" w:sz="0" w:space="0" w:color="auto"/>
        <w:left w:val="none" w:sz="0" w:space="0" w:color="auto"/>
        <w:bottom w:val="none" w:sz="0" w:space="0" w:color="auto"/>
        <w:right w:val="none" w:sz="0" w:space="0" w:color="auto"/>
      </w:divBdr>
    </w:div>
    <w:div w:id="527183861">
      <w:bodyDiv w:val="1"/>
      <w:marLeft w:val="0"/>
      <w:marRight w:val="0"/>
      <w:marTop w:val="0"/>
      <w:marBottom w:val="0"/>
      <w:divBdr>
        <w:top w:val="none" w:sz="0" w:space="0" w:color="auto"/>
        <w:left w:val="none" w:sz="0" w:space="0" w:color="auto"/>
        <w:bottom w:val="none" w:sz="0" w:space="0" w:color="auto"/>
        <w:right w:val="none" w:sz="0" w:space="0" w:color="auto"/>
      </w:divBdr>
    </w:div>
    <w:div w:id="535586474">
      <w:bodyDiv w:val="1"/>
      <w:marLeft w:val="0"/>
      <w:marRight w:val="0"/>
      <w:marTop w:val="0"/>
      <w:marBottom w:val="0"/>
      <w:divBdr>
        <w:top w:val="none" w:sz="0" w:space="0" w:color="auto"/>
        <w:left w:val="none" w:sz="0" w:space="0" w:color="auto"/>
        <w:bottom w:val="none" w:sz="0" w:space="0" w:color="auto"/>
        <w:right w:val="none" w:sz="0" w:space="0" w:color="auto"/>
      </w:divBdr>
    </w:div>
    <w:div w:id="537165520">
      <w:bodyDiv w:val="1"/>
      <w:marLeft w:val="0"/>
      <w:marRight w:val="0"/>
      <w:marTop w:val="0"/>
      <w:marBottom w:val="0"/>
      <w:divBdr>
        <w:top w:val="none" w:sz="0" w:space="0" w:color="auto"/>
        <w:left w:val="none" w:sz="0" w:space="0" w:color="auto"/>
        <w:bottom w:val="none" w:sz="0" w:space="0" w:color="auto"/>
        <w:right w:val="none" w:sz="0" w:space="0" w:color="auto"/>
      </w:divBdr>
    </w:div>
    <w:div w:id="537204366">
      <w:bodyDiv w:val="1"/>
      <w:marLeft w:val="0"/>
      <w:marRight w:val="0"/>
      <w:marTop w:val="0"/>
      <w:marBottom w:val="0"/>
      <w:divBdr>
        <w:top w:val="none" w:sz="0" w:space="0" w:color="auto"/>
        <w:left w:val="none" w:sz="0" w:space="0" w:color="auto"/>
        <w:bottom w:val="none" w:sz="0" w:space="0" w:color="auto"/>
        <w:right w:val="none" w:sz="0" w:space="0" w:color="auto"/>
      </w:divBdr>
    </w:div>
    <w:div w:id="555093519">
      <w:bodyDiv w:val="1"/>
      <w:marLeft w:val="0"/>
      <w:marRight w:val="0"/>
      <w:marTop w:val="0"/>
      <w:marBottom w:val="0"/>
      <w:divBdr>
        <w:top w:val="none" w:sz="0" w:space="0" w:color="auto"/>
        <w:left w:val="none" w:sz="0" w:space="0" w:color="auto"/>
        <w:bottom w:val="none" w:sz="0" w:space="0" w:color="auto"/>
        <w:right w:val="none" w:sz="0" w:space="0" w:color="auto"/>
      </w:divBdr>
    </w:div>
    <w:div w:id="567807035">
      <w:bodyDiv w:val="1"/>
      <w:marLeft w:val="0"/>
      <w:marRight w:val="0"/>
      <w:marTop w:val="0"/>
      <w:marBottom w:val="0"/>
      <w:divBdr>
        <w:top w:val="none" w:sz="0" w:space="0" w:color="auto"/>
        <w:left w:val="none" w:sz="0" w:space="0" w:color="auto"/>
        <w:bottom w:val="none" w:sz="0" w:space="0" w:color="auto"/>
        <w:right w:val="none" w:sz="0" w:space="0" w:color="auto"/>
      </w:divBdr>
    </w:div>
    <w:div w:id="582842379">
      <w:bodyDiv w:val="1"/>
      <w:marLeft w:val="0"/>
      <w:marRight w:val="0"/>
      <w:marTop w:val="0"/>
      <w:marBottom w:val="0"/>
      <w:divBdr>
        <w:top w:val="none" w:sz="0" w:space="0" w:color="auto"/>
        <w:left w:val="none" w:sz="0" w:space="0" w:color="auto"/>
        <w:bottom w:val="none" w:sz="0" w:space="0" w:color="auto"/>
        <w:right w:val="none" w:sz="0" w:space="0" w:color="auto"/>
      </w:divBdr>
    </w:div>
    <w:div w:id="590354233">
      <w:bodyDiv w:val="1"/>
      <w:marLeft w:val="0"/>
      <w:marRight w:val="0"/>
      <w:marTop w:val="0"/>
      <w:marBottom w:val="0"/>
      <w:divBdr>
        <w:top w:val="none" w:sz="0" w:space="0" w:color="auto"/>
        <w:left w:val="none" w:sz="0" w:space="0" w:color="auto"/>
        <w:bottom w:val="none" w:sz="0" w:space="0" w:color="auto"/>
        <w:right w:val="none" w:sz="0" w:space="0" w:color="auto"/>
      </w:divBdr>
    </w:div>
    <w:div w:id="596131965">
      <w:bodyDiv w:val="1"/>
      <w:marLeft w:val="0"/>
      <w:marRight w:val="0"/>
      <w:marTop w:val="0"/>
      <w:marBottom w:val="0"/>
      <w:divBdr>
        <w:top w:val="none" w:sz="0" w:space="0" w:color="auto"/>
        <w:left w:val="none" w:sz="0" w:space="0" w:color="auto"/>
        <w:bottom w:val="none" w:sz="0" w:space="0" w:color="auto"/>
        <w:right w:val="none" w:sz="0" w:space="0" w:color="auto"/>
      </w:divBdr>
    </w:div>
    <w:div w:id="610015372">
      <w:bodyDiv w:val="1"/>
      <w:marLeft w:val="0"/>
      <w:marRight w:val="0"/>
      <w:marTop w:val="0"/>
      <w:marBottom w:val="0"/>
      <w:divBdr>
        <w:top w:val="none" w:sz="0" w:space="0" w:color="auto"/>
        <w:left w:val="none" w:sz="0" w:space="0" w:color="auto"/>
        <w:bottom w:val="none" w:sz="0" w:space="0" w:color="auto"/>
        <w:right w:val="none" w:sz="0" w:space="0" w:color="auto"/>
      </w:divBdr>
    </w:div>
    <w:div w:id="624115966">
      <w:bodyDiv w:val="1"/>
      <w:marLeft w:val="0"/>
      <w:marRight w:val="0"/>
      <w:marTop w:val="0"/>
      <w:marBottom w:val="0"/>
      <w:divBdr>
        <w:top w:val="none" w:sz="0" w:space="0" w:color="auto"/>
        <w:left w:val="none" w:sz="0" w:space="0" w:color="auto"/>
        <w:bottom w:val="none" w:sz="0" w:space="0" w:color="auto"/>
        <w:right w:val="none" w:sz="0" w:space="0" w:color="auto"/>
      </w:divBdr>
    </w:div>
    <w:div w:id="626082476">
      <w:bodyDiv w:val="1"/>
      <w:marLeft w:val="0"/>
      <w:marRight w:val="0"/>
      <w:marTop w:val="0"/>
      <w:marBottom w:val="0"/>
      <w:divBdr>
        <w:top w:val="none" w:sz="0" w:space="0" w:color="auto"/>
        <w:left w:val="none" w:sz="0" w:space="0" w:color="auto"/>
        <w:bottom w:val="none" w:sz="0" w:space="0" w:color="auto"/>
        <w:right w:val="none" w:sz="0" w:space="0" w:color="auto"/>
      </w:divBdr>
    </w:div>
    <w:div w:id="627442265">
      <w:bodyDiv w:val="1"/>
      <w:marLeft w:val="0"/>
      <w:marRight w:val="0"/>
      <w:marTop w:val="0"/>
      <w:marBottom w:val="0"/>
      <w:divBdr>
        <w:top w:val="none" w:sz="0" w:space="0" w:color="auto"/>
        <w:left w:val="none" w:sz="0" w:space="0" w:color="auto"/>
        <w:bottom w:val="none" w:sz="0" w:space="0" w:color="auto"/>
        <w:right w:val="none" w:sz="0" w:space="0" w:color="auto"/>
      </w:divBdr>
    </w:div>
    <w:div w:id="632249368">
      <w:bodyDiv w:val="1"/>
      <w:marLeft w:val="0"/>
      <w:marRight w:val="0"/>
      <w:marTop w:val="0"/>
      <w:marBottom w:val="0"/>
      <w:divBdr>
        <w:top w:val="none" w:sz="0" w:space="0" w:color="auto"/>
        <w:left w:val="none" w:sz="0" w:space="0" w:color="auto"/>
        <w:bottom w:val="none" w:sz="0" w:space="0" w:color="auto"/>
        <w:right w:val="none" w:sz="0" w:space="0" w:color="auto"/>
      </w:divBdr>
    </w:div>
    <w:div w:id="640424041">
      <w:bodyDiv w:val="1"/>
      <w:marLeft w:val="0"/>
      <w:marRight w:val="0"/>
      <w:marTop w:val="0"/>
      <w:marBottom w:val="0"/>
      <w:divBdr>
        <w:top w:val="none" w:sz="0" w:space="0" w:color="auto"/>
        <w:left w:val="none" w:sz="0" w:space="0" w:color="auto"/>
        <w:bottom w:val="none" w:sz="0" w:space="0" w:color="auto"/>
        <w:right w:val="none" w:sz="0" w:space="0" w:color="auto"/>
      </w:divBdr>
    </w:div>
    <w:div w:id="641892021">
      <w:bodyDiv w:val="1"/>
      <w:marLeft w:val="0"/>
      <w:marRight w:val="0"/>
      <w:marTop w:val="0"/>
      <w:marBottom w:val="0"/>
      <w:divBdr>
        <w:top w:val="none" w:sz="0" w:space="0" w:color="auto"/>
        <w:left w:val="none" w:sz="0" w:space="0" w:color="auto"/>
        <w:bottom w:val="none" w:sz="0" w:space="0" w:color="auto"/>
        <w:right w:val="none" w:sz="0" w:space="0" w:color="auto"/>
      </w:divBdr>
    </w:div>
    <w:div w:id="643775961">
      <w:bodyDiv w:val="1"/>
      <w:marLeft w:val="0"/>
      <w:marRight w:val="0"/>
      <w:marTop w:val="0"/>
      <w:marBottom w:val="0"/>
      <w:divBdr>
        <w:top w:val="none" w:sz="0" w:space="0" w:color="auto"/>
        <w:left w:val="none" w:sz="0" w:space="0" w:color="auto"/>
        <w:bottom w:val="none" w:sz="0" w:space="0" w:color="auto"/>
        <w:right w:val="none" w:sz="0" w:space="0" w:color="auto"/>
      </w:divBdr>
    </w:div>
    <w:div w:id="648023984">
      <w:bodyDiv w:val="1"/>
      <w:marLeft w:val="0"/>
      <w:marRight w:val="0"/>
      <w:marTop w:val="0"/>
      <w:marBottom w:val="0"/>
      <w:divBdr>
        <w:top w:val="none" w:sz="0" w:space="0" w:color="auto"/>
        <w:left w:val="none" w:sz="0" w:space="0" w:color="auto"/>
        <w:bottom w:val="none" w:sz="0" w:space="0" w:color="auto"/>
        <w:right w:val="none" w:sz="0" w:space="0" w:color="auto"/>
      </w:divBdr>
    </w:div>
    <w:div w:id="649018972">
      <w:bodyDiv w:val="1"/>
      <w:marLeft w:val="0"/>
      <w:marRight w:val="0"/>
      <w:marTop w:val="0"/>
      <w:marBottom w:val="0"/>
      <w:divBdr>
        <w:top w:val="none" w:sz="0" w:space="0" w:color="auto"/>
        <w:left w:val="none" w:sz="0" w:space="0" w:color="auto"/>
        <w:bottom w:val="none" w:sz="0" w:space="0" w:color="auto"/>
        <w:right w:val="none" w:sz="0" w:space="0" w:color="auto"/>
      </w:divBdr>
    </w:div>
    <w:div w:id="657881963">
      <w:bodyDiv w:val="1"/>
      <w:marLeft w:val="0"/>
      <w:marRight w:val="0"/>
      <w:marTop w:val="0"/>
      <w:marBottom w:val="0"/>
      <w:divBdr>
        <w:top w:val="none" w:sz="0" w:space="0" w:color="auto"/>
        <w:left w:val="none" w:sz="0" w:space="0" w:color="auto"/>
        <w:bottom w:val="none" w:sz="0" w:space="0" w:color="auto"/>
        <w:right w:val="none" w:sz="0" w:space="0" w:color="auto"/>
      </w:divBdr>
    </w:div>
    <w:div w:id="659961926">
      <w:bodyDiv w:val="1"/>
      <w:marLeft w:val="0"/>
      <w:marRight w:val="0"/>
      <w:marTop w:val="0"/>
      <w:marBottom w:val="0"/>
      <w:divBdr>
        <w:top w:val="none" w:sz="0" w:space="0" w:color="auto"/>
        <w:left w:val="none" w:sz="0" w:space="0" w:color="auto"/>
        <w:bottom w:val="none" w:sz="0" w:space="0" w:color="auto"/>
        <w:right w:val="none" w:sz="0" w:space="0" w:color="auto"/>
      </w:divBdr>
    </w:div>
    <w:div w:id="662128691">
      <w:bodyDiv w:val="1"/>
      <w:marLeft w:val="0"/>
      <w:marRight w:val="0"/>
      <w:marTop w:val="0"/>
      <w:marBottom w:val="0"/>
      <w:divBdr>
        <w:top w:val="none" w:sz="0" w:space="0" w:color="auto"/>
        <w:left w:val="none" w:sz="0" w:space="0" w:color="auto"/>
        <w:bottom w:val="none" w:sz="0" w:space="0" w:color="auto"/>
        <w:right w:val="none" w:sz="0" w:space="0" w:color="auto"/>
      </w:divBdr>
    </w:div>
    <w:div w:id="668676508">
      <w:bodyDiv w:val="1"/>
      <w:marLeft w:val="0"/>
      <w:marRight w:val="0"/>
      <w:marTop w:val="0"/>
      <w:marBottom w:val="0"/>
      <w:divBdr>
        <w:top w:val="none" w:sz="0" w:space="0" w:color="auto"/>
        <w:left w:val="none" w:sz="0" w:space="0" w:color="auto"/>
        <w:bottom w:val="none" w:sz="0" w:space="0" w:color="auto"/>
        <w:right w:val="none" w:sz="0" w:space="0" w:color="auto"/>
      </w:divBdr>
    </w:div>
    <w:div w:id="671839588">
      <w:bodyDiv w:val="1"/>
      <w:marLeft w:val="0"/>
      <w:marRight w:val="0"/>
      <w:marTop w:val="0"/>
      <w:marBottom w:val="0"/>
      <w:divBdr>
        <w:top w:val="none" w:sz="0" w:space="0" w:color="auto"/>
        <w:left w:val="none" w:sz="0" w:space="0" w:color="auto"/>
        <w:bottom w:val="none" w:sz="0" w:space="0" w:color="auto"/>
        <w:right w:val="none" w:sz="0" w:space="0" w:color="auto"/>
      </w:divBdr>
    </w:div>
    <w:div w:id="673649248">
      <w:bodyDiv w:val="1"/>
      <w:marLeft w:val="0"/>
      <w:marRight w:val="0"/>
      <w:marTop w:val="0"/>
      <w:marBottom w:val="0"/>
      <w:divBdr>
        <w:top w:val="none" w:sz="0" w:space="0" w:color="auto"/>
        <w:left w:val="none" w:sz="0" w:space="0" w:color="auto"/>
        <w:bottom w:val="none" w:sz="0" w:space="0" w:color="auto"/>
        <w:right w:val="none" w:sz="0" w:space="0" w:color="auto"/>
      </w:divBdr>
    </w:div>
    <w:div w:id="692270034">
      <w:bodyDiv w:val="1"/>
      <w:marLeft w:val="0"/>
      <w:marRight w:val="0"/>
      <w:marTop w:val="0"/>
      <w:marBottom w:val="0"/>
      <w:divBdr>
        <w:top w:val="none" w:sz="0" w:space="0" w:color="auto"/>
        <w:left w:val="none" w:sz="0" w:space="0" w:color="auto"/>
        <w:bottom w:val="none" w:sz="0" w:space="0" w:color="auto"/>
        <w:right w:val="none" w:sz="0" w:space="0" w:color="auto"/>
      </w:divBdr>
    </w:div>
    <w:div w:id="700742270">
      <w:bodyDiv w:val="1"/>
      <w:marLeft w:val="0"/>
      <w:marRight w:val="0"/>
      <w:marTop w:val="0"/>
      <w:marBottom w:val="0"/>
      <w:divBdr>
        <w:top w:val="none" w:sz="0" w:space="0" w:color="auto"/>
        <w:left w:val="none" w:sz="0" w:space="0" w:color="auto"/>
        <w:bottom w:val="none" w:sz="0" w:space="0" w:color="auto"/>
        <w:right w:val="none" w:sz="0" w:space="0" w:color="auto"/>
      </w:divBdr>
    </w:div>
    <w:div w:id="705641610">
      <w:bodyDiv w:val="1"/>
      <w:marLeft w:val="0"/>
      <w:marRight w:val="0"/>
      <w:marTop w:val="0"/>
      <w:marBottom w:val="0"/>
      <w:divBdr>
        <w:top w:val="none" w:sz="0" w:space="0" w:color="auto"/>
        <w:left w:val="none" w:sz="0" w:space="0" w:color="auto"/>
        <w:bottom w:val="none" w:sz="0" w:space="0" w:color="auto"/>
        <w:right w:val="none" w:sz="0" w:space="0" w:color="auto"/>
      </w:divBdr>
    </w:div>
    <w:div w:id="730687709">
      <w:bodyDiv w:val="1"/>
      <w:marLeft w:val="0"/>
      <w:marRight w:val="0"/>
      <w:marTop w:val="0"/>
      <w:marBottom w:val="0"/>
      <w:divBdr>
        <w:top w:val="none" w:sz="0" w:space="0" w:color="auto"/>
        <w:left w:val="none" w:sz="0" w:space="0" w:color="auto"/>
        <w:bottom w:val="none" w:sz="0" w:space="0" w:color="auto"/>
        <w:right w:val="none" w:sz="0" w:space="0" w:color="auto"/>
      </w:divBdr>
    </w:div>
    <w:div w:id="736166346">
      <w:bodyDiv w:val="1"/>
      <w:marLeft w:val="0"/>
      <w:marRight w:val="0"/>
      <w:marTop w:val="0"/>
      <w:marBottom w:val="0"/>
      <w:divBdr>
        <w:top w:val="none" w:sz="0" w:space="0" w:color="auto"/>
        <w:left w:val="none" w:sz="0" w:space="0" w:color="auto"/>
        <w:bottom w:val="none" w:sz="0" w:space="0" w:color="auto"/>
        <w:right w:val="none" w:sz="0" w:space="0" w:color="auto"/>
      </w:divBdr>
    </w:div>
    <w:div w:id="763262285">
      <w:bodyDiv w:val="1"/>
      <w:marLeft w:val="0"/>
      <w:marRight w:val="0"/>
      <w:marTop w:val="0"/>
      <w:marBottom w:val="0"/>
      <w:divBdr>
        <w:top w:val="none" w:sz="0" w:space="0" w:color="auto"/>
        <w:left w:val="none" w:sz="0" w:space="0" w:color="auto"/>
        <w:bottom w:val="none" w:sz="0" w:space="0" w:color="auto"/>
        <w:right w:val="none" w:sz="0" w:space="0" w:color="auto"/>
      </w:divBdr>
    </w:div>
    <w:div w:id="764572039">
      <w:bodyDiv w:val="1"/>
      <w:marLeft w:val="0"/>
      <w:marRight w:val="0"/>
      <w:marTop w:val="0"/>
      <w:marBottom w:val="0"/>
      <w:divBdr>
        <w:top w:val="none" w:sz="0" w:space="0" w:color="auto"/>
        <w:left w:val="none" w:sz="0" w:space="0" w:color="auto"/>
        <w:bottom w:val="none" w:sz="0" w:space="0" w:color="auto"/>
        <w:right w:val="none" w:sz="0" w:space="0" w:color="auto"/>
      </w:divBdr>
    </w:div>
    <w:div w:id="767308822">
      <w:bodyDiv w:val="1"/>
      <w:marLeft w:val="0"/>
      <w:marRight w:val="0"/>
      <w:marTop w:val="0"/>
      <w:marBottom w:val="0"/>
      <w:divBdr>
        <w:top w:val="none" w:sz="0" w:space="0" w:color="auto"/>
        <w:left w:val="none" w:sz="0" w:space="0" w:color="auto"/>
        <w:bottom w:val="none" w:sz="0" w:space="0" w:color="auto"/>
        <w:right w:val="none" w:sz="0" w:space="0" w:color="auto"/>
      </w:divBdr>
    </w:div>
    <w:div w:id="770393047">
      <w:bodyDiv w:val="1"/>
      <w:marLeft w:val="0"/>
      <w:marRight w:val="0"/>
      <w:marTop w:val="0"/>
      <w:marBottom w:val="0"/>
      <w:divBdr>
        <w:top w:val="none" w:sz="0" w:space="0" w:color="auto"/>
        <w:left w:val="none" w:sz="0" w:space="0" w:color="auto"/>
        <w:bottom w:val="none" w:sz="0" w:space="0" w:color="auto"/>
        <w:right w:val="none" w:sz="0" w:space="0" w:color="auto"/>
      </w:divBdr>
    </w:div>
    <w:div w:id="784731638">
      <w:bodyDiv w:val="1"/>
      <w:marLeft w:val="0"/>
      <w:marRight w:val="0"/>
      <w:marTop w:val="0"/>
      <w:marBottom w:val="0"/>
      <w:divBdr>
        <w:top w:val="none" w:sz="0" w:space="0" w:color="auto"/>
        <w:left w:val="none" w:sz="0" w:space="0" w:color="auto"/>
        <w:bottom w:val="none" w:sz="0" w:space="0" w:color="auto"/>
        <w:right w:val="none" w:sz="0" w:space="0" w:color="auto"/>
      </w:divBdr>
    </w:div>
    <w:div w:id="785463826">
      <w:bodyDiv w:val="1"/>
      <w:marLeft w:val="0"/>
      <w:marRight w:val="0"/>
      <w:marTop w:val="0"/>
      <w:marBottom w:val="0"/>
      <w:divBdr>
        <w:top w:val="none" w:sz="0" w:space="0" w:color="auto"/>
        <w:left w:val="none" w:sz="0" w:space="0" w:color="auto"/>
        <w:bottom w:val="none" w:sz="0" w:space="0" w:color="auto"/>
        <w:right w:val="none" w:sz="0" w:space="0" w:color="auto"/>
      </w:divBdr>
    </w:div>
    <w:div w:id="798572136">
      <w:bodyDiv w:val="1"/>
      <w:marLeft w:val="0"/>
      <w:marRight w:val="0"/>
      <w:marTop w:val="0"/>
      <w:marBottom w:val="0"/>
      <w:divBdr>
        <w:top w:val="none" w:sz="0" w:space="0" w:color="auto"/>
        <w:left w:val="none" w:sz="0" w:space="0" w:color="auto"/>
        <w:bottom w:val="none" w:sz="0" w:space="0" w:color="auto"/>
        <w:right w:val="none" w:sz="0" w:space="0" w:color="auto"/>
      </w:divBdr>
    </w:div>
    <w:div w:id="813376838">
      <w:bodyDiv w:val="1"/>
      <w:marLeft w:val="0"/>
      <w:marRight w:val="0"/>
      <w:marTop w:val="0"/>
      <w:marBottom w:val="0"/>
      <w:divBdr>
        <w:top w:val="none" w:sz="0" w:space="0" w:color="auto"/>
        <w:left w:val="none" w:sz="0" w:space="0" w:color="auto"/>
        <w:bottom w:val="none" w:sz="0" w:space="0" w:color="auto"/>
        <w:right w:val="none" w:sz="0" w:space="0" w:color="auto"/>
      </w:divBdr>
    </w:div>
    <w:div w:id="831873368">
      <w:bodyDiv w:val="1"/>
      <w:marLeft w:val="0"/>
      <w:marRight w:val="0"/>
      <w:marTop w:val="0"/>
      <w:marBottom w:val="0"/>
      <w:divBdr>
        <w:top w:val="none" w:sz="0" w:space="0" w:color="auto"/>
        <w:left w:val="none" w:sz="0" w:space="0" w:color="auto"/>
        <w:bottom w:val="none" w:sz="0" w:space="0" w:color="auto"/>
        <w:right w:val="none" w:sz="0" w:space="0" w:color="auto"/>
      </w:divBdr>
    </w:div>
    <w:div w:id="836384723">
      <w:bodyDiv w:val="1"/>
      <w:marLeft w:val="0"/>
      <w:marRight w:val="0"/>
      <w:marTop w:val="0"/>
      <w:marBottom w:val="0"/>
      <w:divBdr>
        <w:top w:val="none" w:sz="0" w:space="0" w:color="auto"/>
        <w:left w:val="none" w:sz="0" w:space="0" w:color="auto"/>
        <w:bottom w:val="none" w:sz="0" w:space="0" w:color="auto"/>
        <w:right w:val="none" w:sz="0" w:space="0" w:color="auto"/>
      </w:divBdr>
    </w:div>
    <w:div w:id="838352217">
      <w:bodyDiv w:val="1"/>
      <w:marLeft w:val="0"/>
      <w:marRight w:val="0"/>
      <w:marTop w:val="0"/>
      <w:marBottom w:val="0"/>
      <w:divBdr>
        <w:top w:val="none" w:sz="0" w:space="0" w:color="auto"/>
        <w:left w:val="none" w:sz="0" w:space="0" w:color="auto"/>
        <w:bottom w:val="none" w:sz="0" w:space="0" w:color="auto"/>
        <w:right w:val="none" w:sz="0" w:space="0" w:color="auto"/>
      </w:divBdr>
    </w:div>
    <w:div w:id="841624454">
      <w:bodyDiv w:val="1"/>
      <w:marLeft w:val="0"/>
      <w:marRight w:val="0"/>
      <w:marTop w:val="0"/>
      <w:marBottom w:val="0"/>
      <w:divBdr>
        <w:top w:val="none" w:sz="0" w:space="0" w:color="auto"/>
        <w:left w:val="none" w:sz="0" w:space="0" w:color="auto"/>
        <w:bottom w:val="none" w:sz="0" w:space="0" w:color="auto"/>
        <w:right w:val="none" w:sz="0" w:space="0" w:color="auto"/>
      </w:divBdr>
    </w:div>
    <w:div w:id="841696870">
      <w:bodyDiv w:val="1"/>
      <w:marLeft w:val="0"/>
      <w:marRight w:val="0"/>
      <w:marTop w:val="0"/>
      <w:marBottom w:val="0"/>
      <w:divBdr>
        <w:top w:val="none" w:sz="0" w:space="0" w:color="auto"/>
        <w:left w:val="none" w:sz="0" w:space="0" w:color="auto"/>
        <w:bottom w:val="none" w:sz="0" w:space="0" w:color="auto"/>
        <w:right w:val="none" w:sz="0" w:space="0" w:color="auto"/>
      </w:divBdr>
    </w:div>
    <w:div w:id="847330438">
      <w:bodyDiv w:val="1"/>
      <w:marLeft w:val="0"/>
      <w:marRight w:val="0"/>
      <w:marTop w:val="0"/>
      <w:marBottom w:val="0"/>
      <w:divBdr>
        <w:top w:val="none" w:sz="0" w:space="0" w:color="auto"/>
        <w:left w:val="none" w:sz="0" w:space="0" w:color="auto"/>
        <w:bottom w:val="none" w:sz="0" w:space="0" w:color="auto"/>
        <w:right w:val="none" w:sz="0" w:space="0" w:color="auto"/>
      </w:divBdr>
    </w:div>
    <w:div w:id="847791640">
      <w:bodyDiv w:val="1"/>
      <w:marLeft w:val="0"/>
      <w:marRight w:val="0"/>
      <w:marTop w:val="0"/>
      <w:marBottom w:val="0"/>
      <w:divBdr>
        <w:top w:val="none" w:sz="0" w:space="0" w:color="auto"/>
        <w:left w:val="none" w:sz="0" w:space="0" w:color="auto"/>
        <w:bottom w:val="none" w:sz="0" w:space="0" w:color="auto"/>
        <w:right w:val="none" w:sz="0" w:space="0" w:color="auto"/>
      </w:divBdr>
    </w:div>
    <w:div w:id="854615913">
      <w:bodyDiv w:val="1"/>
      <w:marLeft w:val="0"/>
      <w:marRight w:val="0"/>
      <w:marTop w:val="0"/>
      <w:marBottom w:val="0"/>
      <w:divBdr>
        <w:top w:val="none" w:sz="0" w:space="0" w:color="auto"/>
        <w:left w:val="none" w:sz="0" w:space="0" w:color="auto"/>
        <w:bottom w:val="none" w:sz="0" w:space="0" w:color="auto"/>
        <w:right w:val="none" w:sz="0" w:space="0" w:color="auto"/>
      </w:divBdr>
    </w:div>
    <w:div w:id="876237611">
      <w:bodyDiv w:val="1"/>
      <w:marLeft w:val="0"/>
      <w:marRight w:val="0"/>
      <w:marTop w:val="0"/>
      <w:marBottom w:val="0"/>
      <w:divBdr>
        <w:top w:val="none" w:sz="0" w:space="0" w:color="auto"/>
        <w:left w:val="none" w:sz="0" w:space="0" w:color="auto"/>
        <w:bottom w:val="none" w:sz="0" w:space="0" w:color="auto"/>
        <w:right w:val="none" w:sz="0" w:space="0" w:color="auto"/>
      </w:divBdr>
    </w:div>
    <w:div w:id="879974218">
      <w:bodyDiv w:val="1"/>
      <w:marLeft w:val="0"/>
      <w:marRight w:val="0"/>
      <w:marTop w:val="0"/>
      <w:marBottom w:val="0"/>
      <w:divBdr>
        <w:top w:val="none" w:sz="0" w:space="0" w:color="auto"/>
        <w:left w:val="none" w:sz="0" w:space="0" w:color="auto"/>
        <w:bottom w:val="none" w:sz="0" w:space="0" w:color="auto"/>
        <w:right w:val="none" w:sz="0" w:space="0" w:color="auto"/>
      </w:divBdr>
    </w:div>
    <w:div w:id="881359376">
      <w:bodyDiv w:val="1"/>
      <w:marLeft w:val="0"/>
      <w:marRight w:val="0"/>
      <w:marTop w:val="0"/>
      <w:marBottom w:val="0"/>
      <w:divBdr>
        <w:top w:val="none" w:sz="0" w:space="0" w:color="auto"/>
        <w:left w:val="none" w:sz="0" w:space="0" w:color="auto"/>
        <w:bottom w:val="none" w:sz="0" w:space="0" w:color="auto"/>
        <w:right w:val="none" w:sz="0" w:space="0" w:color="auto"/>
      </w:divBdr>
    </w:div>
    <w:div w:id="881747258">
      <w:bodyDiv w:val="1"/>
      <w:marLeft w:val="0"/>
      <w:marRight w:val="0"/>
      <w:marTop w:val="0"/>
      <w:marBottom w:val="0"/>
      <w:divBdr>
        <w:top w:val="none" w:sz="0" w:space="0" w:color="auto"/>
        <w:left w:val="none" w:sz="0" w:space="0" w:color="auto"/>
        <w:bottom w:val="none" w:sz="0" w:space="0" w:color="auto"/>
        <w:right w:val="none" w:sz="0" w:space="0" w:color="auto"/>
      </w:divBdr>
    </w:div>
    <w:div w:id="884680233">
      <w:bodyDiv w:val="1"/>
      <w:marLeft w:val="0"/>
      <w:marRight w:val="0"/>
      <w:marTop w:val="0"/>
      <w:marBottom w:val="0"/>
      <w:divBdr>
        <w:top w:val="none" w:sz="0" w:space="0" w:color="auto"/>
        <w:left w:val="none" w:sz="0" w:space="0" w:color="auto"/>
        <w:bottom w:val="none" w:sz="0" w:space="0" w:color="auto"/>
        <w:right w:val="none" w:sz="0" w:space="0" w:color="auto"/>
      </w:divBdr>
    </w:div>
    <w:div w:id="910043336">
      <w:bodyDiv w:val="1"/>
      <w:marLeft w:val="0"/>
      <w:marRight w:val="0"/>
      <w:marTop w:val="0"/>
      <w:marBottom w:val="0"/>
      <w:divBdr>
        <w:top w:val="none" w:sz="0" w:space="0" w:color="auto"/>
        <w:left w:val="none" w:sz="0" w:space="0" w:color="auto"/>
        <w:bottom w:val="none" w:sz="0" w:space="0" w:color="auto"/>
        <w:right w:val="none" w:sz="0" w:space="0" w:color="auto"/>
      </w:divBdr>
    </w:div>
    <w:div w:id="915482446">
      <w:bodyDiv w:val="1"/>
      <w:marLeft w:val="0"/>
      <w:marRight w:val="0"/>
      <w:marTop w:val="0"/>
      <w:marBottom w:val="0"/>
      <w:divBdr>
        <w:top w:val="none" w:sz="0" w:space="0" w:color="auto"/>
        <w:left w:val="none" w:sz="0" w:space="0" w:color="auto"/>
        <w:bottom w:val="none" w:sz="0" w:space="0" w:color="auto"/>
        <w:right w:val="none" w:sz="0" w:space="0" w:color="auto"/>
      </w:divBdr>
    </w:div>
    <w:div w:id="916793014">
      <w:bodyDiv w:val="1"/>
      <w:marLeft w:val="0"/>
      <w:marRight w:val="0"/>
      <w:marTop w:val="0"/>
      <w:marBottom w:val="0"/>
      <w:divBdr>
        <w:top w:val="none" w:sz="0" w:space="0" w:color="auto"/>
        <w:left w:val="none" w:sz="0" w:space="0" w:color="auto"/>
        <w:bottom w:val="none" w:sz="0" w:space="0" w:color="auto"/>
        <w:right w:val="none" w:sz="0" w:space="0" w:color="auto"/>
      </w:divBdr>
    </w:div>
    <w:div w:id="923994916">
      <w:bodyDiv w:val="1"/>
      <w:marLeft w:val="0"/>
      <w:marRight w:val="0"/>
      <w:marTop w:val="0"/>
      <w:marBottom w:val="0"/>
      <w:divBdr>
        <w:top w:val="none" w:sz="0" w:space="0" w:color="auto"/>
        <w:left w:val="none" w:sz="0" w:space="0" w:color="auto"/>
        <w:bottom w:val="none" w:sz="0" w:space="0" w:color="auto"/>
        <w:right w:val="none" w:sz="0" w:space="0" w:color="auto"/>
      </w:divBdr>
    </w:div>
    <w:div w:id="926379378">
      <w:bodyDiv w:val="1"/>
      <w:marLeft w:val="0"/>
      <w:marRight w:val="0"/>
      <w:marTop w:val="0"/>
      <w:marBottom w:val="0"/>
      <w:divBdr>
        <w:top w:val="none" w:sz="0" w:space="0" w:color="auto"/>
        <w:left w:val="none" w:sz="0" w:space="0" w:color="auto"/>
        <w:bottom w:val="none" w:sz="0" w:space="0" w:color="auto"/>
        <w:right w:val="none" w:sz="0" w:space="0" w:color="auto"/>
      </w:divBdr>
    </w:div>
    <w:div w:id="931666244">
      <w:bodyDiv w:val="1"/>
      <w:marLeft w:val="0"/>
      <w:marRight w:val="0"/>
      <w:marTop w:val="0"/>
      <w:marBottom w:val="0"/>
      <w:divBdr>
        <w:top w:val="none" w:sz="0" w:space="0" w:color="auto"/>
        <w:left w:val="none" w:sz="0" w:space="0" w:color="auto"/>
        <w:bottom w:val="none" w:sz="0" w:space="0" w:color="auto"/>
        <w:right w:val="none" w:sz="0" w:space="0" w:color="auto"/>
      </w:divBdr>
    </w:div>
    <w:div w:id="942152372">
      <w:bodyDiv w:val="1"/>
      <w:marLeft w:val="0"/>
      <w:marRight w:val="0"/>
      <w:marTop w:val="0"/>
      <w:marBottom w:val="0"/>
      <w:divBdr>
        <w:top w:val="none" w:sz="0" w:space="0" w:color="auto"/>
        <w:left w:val="none" w:sz="0" w:space="0" w:color="auto"/>
        <w:bottom w:val="none" w:sz="0" w:space="0" w:color="auto"/>
        <w:right w:val="none" w:sz="0" w:space="0" w:color="auto"/>
      </w:divBdr>
    </w:div>
    <w:div w:id="942343433">
      <w:bodyDiv w:val="1"/>
      <w:marLeft w:val="0"/>
      <w:marRight w:val="0"/>
      <w:marTop w:val="0"/>
      <w:marBottom w:val="0"/>
      <w:divBdr>
        <w:top w:val="none" w:sz="0" w:space="0" w:color="auto"/>
        <w:left w:val="none" w:sz="0" w:space="0" w:color="auto"/>
        <w:bottom w:val="none" w:sz="0" w:space="0" w:color="auto"/>
        <w:right w:val="none" w:sz="0" w:space="0" w:color="auto"/>
      </w:divBdr>
    </w:div>
    <w:div w:id="946354106">
      <w:bodyDiv w:val="1"/>
      <w:marLeft w:val="0"/>
      <w:marRight w:val="0"/>
      <w:marTop w:val="0"/>
      <w:marBottom w:val="0"/>
      <w:divBdr>
        <w:top w:val="none" w:sz="0" w:space="0" w:color="auto"/>
        <w:left w:val="none" w:sz="0" w:space="0" w:color="auto"/>
        <w:bottom w:val="none" w:sz="0" w:space="0" w:color="auto"/>
        <w:right w:val="none" w:sz="0" w:space="0" w:color="auto"/>
      </w:divBdr>
    </w:div>
    <w:div w:id="965310443">
      <w:bodyDiv w:val="1"/>
      <w:marLeft w:val="0"/>
      <w:marRight w:val="0"/>
      <w:marTop w:val="0"/>
      <w:marBottom w:val="0"/>
      <w:divBdr>
        <w:top w:val="none" w:sz="0" w:space="0" w:color="auto"/>
        <w:left w:val="none" w:sz="0" w:space="0" w:color="auto"/>
        <w:bottom w:val="none" w:sz="0" w:space="0" w:color="auto"/>
        <w:right w:val="none" w:sz="0" w:space="0" w:color="auto"/>
      </w:divBdr>
    </w:div>
    <w:div w:id="975528699">
      <w:bodyDiv w:val="1"/>
      <w:marLeft w:val="0"/>
      <w:marRight w:val="0"/>
      <w:marTop w:val="0"/>
      <w:marBottom w:val="0"/>
      <w:divBdr>
        <w:top w:val="none" w:sz="0" w:space="0" w:color="auto"/>
        <w:left w:val="none" w:sz="0" w:space="0" w:color="auto"/>
        <w:bottom w:val="none" w:sz="0" w:space="0" w:color="auto"/>
        <w:right w:val="none" w:sz="0" w:space="0" w:color="auto"/>
      </w:divBdr>
    </w:div>
    <w:div w:id="975794763">
      <w:bodyDiv w:val="1"/>
      <w:marLeft w:val="0"/>
      <w:marRight w:val="0"/>
      <w:marTop w:val="0"/>
      <w:marBottom w:val="0"/>
      <w:divBdr>
        <w:top w:val="none" w:sz="0" w:space="0" w:color="auto"/>
        <w:left w:val="none" w:sz="0" w:space="0" w:color="auto"/>
        <w:bottom w:val="none" w:sz="0" w:space="0" w:color="auto"/>
        <w:right w:val="none" w:sz="0" w:space="0" w:color="auto"/>
      </w:divBdr>
    </w:div>
    <w:div w:id="984285721">
      <w:bodyDiv w:val="1"/>
      <w:marLeft w:val="0"/>
      <w:marRight w:val="0"/>
      <w:marTop w:val="0"/>
      <w:marBottom w:val="0"/>
      <w:divBdr>
        <w:top w:val="none" w:sz="0" w:space="0" w:color="auto"/>
        <w:left w:val="none" w:sz="0" w:space="0" w:color="auto"/>
        <w:bottom w:val="none" w:sz="0" w:space="0" w:color="auto"/>
        <w:right w:val="none" w:sz="0" w:space="0" w:color="auto"/>
      </w:divBdr>
    </w:div>
    <w:div w:id="1000350804">
      <w:bodyDiv w:val="1"/>
      <w:marLeft w:val="0"/>
      <w:marRight w:val="0"/>
      <w:marTop w:val="0"/>
      <w:marBottom w:val="0"/>
      <w:divBdr>
        <w:top w:val="none" w:sz="0" w:space="0" w:color="auto"/>
        <w:left w:val="none" w:sz="0" w:space="0" w:color="auto"/>
        <w:bottom w:val="none" w:sz="0" w:space="0" w:color="auto"/>
        <w:right w:val="none" w:sz="0" w:space="0" w:color="auto"/>
      </w:divBdr>
    </w:div>
    <w:div w:id="1002662789">
      <w:bodyDiv w:val="1"/>
      <w:marLeft w:val="0"/>
      <w:marRight w:val="0"/>
      <w:marTop w:val="0"/>
      <w:marBottom w:val="0"/>
      <w:divBdr>
        <w:top w:val="none" w:sz="0" w:space="0" w:color="auto"/>
        <w:left w:val="none" w:sz="0" w:space="0" w:color="auto"/>
        <w:bottom w:val="none" w:sz="0" w:space="0" w:color="auto"/>
        <w:right w:val="none" w:sz="0" w:space="0" w:color="auto"/>
      </w:divBdr>
    </w:div>
    <w:div w:id="1008216109">
      <w:bodyDiv w:val="1"/>
      <w:marLeft w:val="0"/>
      <w:marRight w:val="0"/>
      <w:marTop w:val="0"/>
      <w:marBottom w:val="0"/>
      <w:divBdr>
        <w:top w:val="none" w:sz="0" w:space="0" w:color="auto"/>
        <w:left w:val="none" w:sz="0" w:space="0" w:color="auto"/>
        <w:bottom w:val="none" w:sz="0" w:space="0" w:color="auto"/>
        <w:right w:val="none" w:sz="0" w:space="0" w:color="auto"/>
      </w:divBdr>
    </w:div>
    <w:div w:id="1010374910">
      <w:bodyDiv w:val="1"/>
      <w:marLeft w:val="0"/>
      <w:marRight w:val="0"/>
      <w:marTop w:val="0"/>
      <w:marBottom w:val="0"/>
      <w:divBdr>
        <w:top w:val="none" w:sz="0" w:space="0" w:color="auto"/>
        <w:left w:val="none" w:sz="0" w:space="0" w:color="auto"/>
        <w:bottom w:val="none" w:sz="0" w:space="0" w:color="auto"/>
        <w:right w:val="none" w:sz="0" w:space="0" w:color="auto"/>
      </w:divBdr>
    </w:div>
    <w:div w:id="1016154342">
      <w:bodyDiv w:val="1"/>
      <w:marLeft w:val="0"/>
      <w:marRight w:val="0"/>
      <w:marTop w:val="0"/>
      <w:marBottom w:val="0"/>
      <w:divBdr>
        <w:top w:val="none" w:sz="0" w:space="0" w:color="auto"/>
        <w:left w:val="none" w:sz="0" w:space="0" w:color="auto"/>
        <w:bottom w:val="none" w:sz="0" w:space="0" w:color="auto"/>
        <w:right w:val="none" w:sz="0" w:space="0" w:color="auto"/>
      </w:divBdr>
    </w:div>
    <w:div w:id="1016419657">
      <w:bodyDiv w:val="1"/>
      <w:marLeft w:val="0"/>
      <w:marRight w:val="0"/>
      <w:marTop w:val="0"/>
      <w:marBottom w:val="0"/>
      <w:divBdr>
        <w:top w:val="none" w:sz="0" w:space="0" w:color="auto"/>
        <w:left w:val="none" w:sz="0" w:space="0" w:color="auto"/>
        <w:bottom w:val="none" w:sz="0" w:space="0" w:color="auto"/>
        <w:right w:val="none" w:sz="0" w:space="0" w:color="auto"/>
      </w:divBdr>
    </w:div>
    <w:div w:id="1021511463">
      <w:bodyDiv w:val="1"/>
      <w:marLeft w:val="0"/>
      <w:marRight w:val="0"/>
      <w:marTop w:val="0"/>
      <w:marBottom w:val="0"/>
      <w:divBdr>
        <w:top w:val="none" w:sz="0" w:space="0" w:color="auto"/>
        <w:left w:val="none" w:sz="0" w:space="0" w:color="auto"/>
        <w:bottom w:val="none" w:sz="0" w:space="0" w:color="auto"/>
        <w:right w:val="none" w:sz="0" w:space="0" w:color="auto"/>
      </w:divBdr>
    </w:div>
    <w:div w:id="1026102492">
      <w:bodyDiv w:val="1"/>
      <w:marLeft w:val="0"/>
      <w:marRight w:val="0"/>
      <w:marTop w:val="0"/>
      <w:marBottom w:val="0"/>
      <w:divBdr>
        <w:top w:val="none" w:sz="0" w:space="0" w:color="auto"/>
        <w:left w:val="none" w:sz="0" w:space="0" w:color="auto"/>
        <w:bottom w:val="none" w:sz="0" w:space="0" w:color="auto"/>
        <w:right w:val="none" w:sz="0" w:space="0" w:color="auto"/>
      </w:divBdr>
    </w:div>
    <w:div w:id="1027830156">
      <w:bodyDiv w:val="1"/>
      <w:marLeft w:val="0"/>
      <w:marRight w:val="0"/>
      <w:marTop w:val="0"/>
      <w:marBottom w:val="0"/>
      <w:divBdr>
        <w:top w:val="none" w:sz="0" w:space="0" w:color="auto"/>
        <w:left w:val="none" w:sz="0" w:space="0" w:color="auto"/>
        <w:bottom w:val="none" w:sz="0" w:space="0" w:color="auto"/>
        <w:right w:val="none" w:sz="0" w:space="0" w:color="auto"/>
      </w:divBdr>
    </w:div>
    <w:div w:id="1042705738">
      <w:bodyDiv w:val="1"/>
      <w:marLeft w:val="0"/>
      <w:marRight w:val="0"/>
      <w:marTop w:val="0"/>
      <w:marBottom w:val="0"/>
      <w:divBdr>
        <w:top w:val="none" w:sz="0" w:space="0" w:color="auto"/>
        <w:left w:val="none" w:sz="0" w:space="0" w:color="auto"/>
        <w:bottom w:val="none" w:sz="0" w:space="0" w:color="auto"/>
        <w:right w:val="none" w:sz="0" w:space="0" w:color="auto"/>
      </w:divBdr>
    </w:div>
    <w:div w:id="1043676664">
      <w:bodyDiv w:val="1"/>
      <w:marLeft w:val="0"/>
      <w:marRight w:val="0"/>
      <w:marTop w:val="0"/>
      <w:marBottom w:val="0"/>
      <w:divBdr>
        <w:top w:val="none" w:sz="0" w:space="0" w:color="auto"/>
        <w:left w:val="none" w:sz="0" w:space="0" w:color="auto"/>
        <w:bottom w:val="none" w:sz="0" w:space="0" w:color="auto"/>
        <w:right w:val="none" w:sz="0" w:space="0" w:color="auto"/>
      </w:divBdr>
    </w:div>
    <w:div w:id="1052189470">
      <w:bodyDiv w:val="1"/>
      <w:marLeft w:val="0"/>
      <w:marRight w:val="0"/>
      <w:marTop w:val="0"/>
      <w:marBottom w:val="0"/>
      <w:divBdr>
        <w:top w:val="none" w:sz="0" w:space="0" w:color="auto"/>
        <w:left w:val="none" w:sz="0" w:space="0" w:color="auto"/>
        <w:bottom w:val="none" w:sz="0" w:space="0" w:color="auto"/>
        <w:right w:val="none" w:sz="0" w:space="0" w:color="auto"/>
      </w:divBdr>
    </w:div>
    <w:div w:id="1053850035">
      <w:bodyDiv w:val="1"/>
      <w:marLeft w:val="0"/>
      <w:marRight w:val="0"/>
      <w:marTop w:val="0"/>
      <w:marBottom w:val="0"/>
      <w:divBdr>
        <w:top w:val="none" w:sz="0" w:space="0" w:color="auto"/>
        <w:left w:val="none" w:sz="0" w:space="0" w:color="auto"/>
        <w:bottom w:val="none" w:sz="0" w:space="0" w:color="auto"/>
        <w:right w:val="none" w:sz="0" w:space="0" w:color="auto"/>
      </w:divBdr>
    </w:div>
    <w:div w:id="1063875218">
      <w:bodyDiv w:val="1"/>
      <w:marLeft w:val="0"/>
      <w:marRight w:val="0"/>
      <w:marTop w:val="0"/>
      <w:marBottom w:val="0"/>
      <w:divBdr>
        <w:top w:val="none" w:sz="0" w:space="0" w:color="auto"/>
        <w:left w:val="none" w:sz="0" w:space="0" w:color="auto"/>
        <w:bottom w:val="none" w:sz="0" w:space="0" w:color="auto"/>
        <w:right w:val="none" w:sz="0" w:space="0" w:color="auto"/>
      </w:divBdr>
    </w:div>
    <w:div w:id="1071080599">
      <w:bodyDiv w:val="1"/>
      <w:marLeft w:val="0"/>
      <w:marRight w:val="0"/>
      <w:marTop w:val="0"/>
      <w:marBottom w:val="0"/>
      <w:divBdr>
        <w:top w:val="none" w:sz="0" w:space="0" w:color="auto"/>
        <w:left w:val="none" w:sz="0" w:space="0" w:color="auto"/>
        <w:bottom w:val="none" w:sz="0" w:space="0" w:color="auto"/>
        <w:right w:val="none" w:sz="0" w:space="0" w:color="auto"/>
      </w:divBdr>
    </w:div>
    <w:div w:id="1077360209">
      <w:bodyDiv w:val="1"/>
      <w:marLeft w:val="0"/>
      <w:marRight w:val="0"/>
      <w:marTop w:val="0"/>
      <w:marBottom w:val="0"/>
      <w:divBdr>
        <w:top w:val="none" w:sz="0" w:space="0" w:color="auto"/>
        <w:left w:val="none" w:sz="0" w:space="0" w:color="auto"/>
        <w:bottom w:val="none" w:sz="0" w:space="0" w:color="auto"/>
        <w:right w:val="none" w:sz="0" w:space="0" w:color="auto"/>
      </w:divBdr>
    </w:div>
    <w:div w:id="1080640386">
      <w:bodyDiv w:val="1"/>
      <w:marLeft w:val="0"/>
      <w:marRight w:val="0"/>
      <w:marTop w:val="0"/>
      <w:marBottom w:val="0"/>
      <w:divBdr>
        <w:top w:val="none" w:sz="0" w:space="0" w:color="auto"/>
        <w:left w:val="none" w:sz="0" w:space="0" w:color="auto"/>
        <w:bottom w:val="none" w:sz="0" w:space="0" w:color="auto"/>
        <w:right w:val="none" w:sz="0" w:space="0" w:color="auto"/>
      </w:divBdr>
    </w:div>
    <w:div w:id="1081173588">
      <w:bodyDiv w:val="1"/>
      <w:marLeft w:val="0"/>
      <w:marRight w:val="0"/>
      <w:marTop w:val="0"/>
      <w:marBottom w:val="0"/>
      <w:divBdr>
        <w:top w:val="none" w:sz="0" w:space="0" w:color="auto"/>
        <w:left w:val="none" w:sz="0" w:space="0" w:color="auto"/>
        <w:bottom w:val="none" w:sz="0" w:space="0" w:color="auto"/>
        <w:right w:val="none" w:sz="0" w:space="0" w:color="auto"/>
      </w:divBdr>
    </w:div>
    <w:div w:id="1085298157">
      <w:bodyDiv w:val="1"/>
      <w:marLeft w:val="0"/>
      <w:marRight w:val="0"/>
      <w:marTop w:val="0"/>
      <w:marBottom w:val="0"/>
      <w:divBdr>
        <w:top w:val="none" w:sz="0" w:space="0" w:color="auto"/>
        <w:left w:val="none" w:sz="0" w:space="0" w:color="auto"/>
        <w:bottom w:val="none" w:sz="0" w:space="0" w:color="auto"/>
        <w:right w:val="none" w:sz="0" w:space="0" w:color="auto"/>
      </w:divBdr>
    </w:div>
    <w:div w:id="1088431462">
      <w:bodyDiv w:val="1"/>
      <w:marLeft w:val="0"/>
      <w:marRight w:val="0"/>
      <w:marTop w:val="0"/>
      <w:marBottom w:val="0"/>
      <w:divBdr>
        <w:top w:val="none" w:sz="0" w:space="0" w:color="auto"/>
        <w:left w:val="none" w:sz="0" w:space="0" w:color="auto"/>
        <w:bottom w:val="none" w:sz="0" w:space="0" w:color="auto"/>
        <w:right w:val="none" w:sz="0" w:space="0" w:color="auto"/>
      </w:divBdr>
    </w:div>
    <w:div w:id="1088618668">
      <w:bodyDiv w:val="1"/>
      <w:marLeft w:val="0"/>
      <w:marRight w:val="0"/>
      <w:marTop w:val="0"/>
      <w:marBottom w:val="0"/>
      <w:divBdr>
        <w:top w:val="none" w:sz="0" w:space="0" w:color="auto"/>
        <w:left w:val="none" w:sz="0" w:space="0" w:color="auto"/>
        <w:bottom w:val="none" w:sz="0" w:space="0" w:color="auto"/>
        <w:right w:val="none" w:sz="0" w:space="0" w:color="auto"/>
      </w:divBdr>
    </w:div>
    <w:div w:id="1090395860">
      <w:bodyDiv w:val="1"/>
      <w:marLeft w:val="0"/>
      <w:marRight w:val="0"/>
      <w:marTop w:val="0"/>
      <w:marBottom w:val="0"/>
      <w:divBdr>
        <w:top w:val="none" w:sz="0" w:space="0" w:color="auto"/>
        <w:left w:val="none" w:sz="0" w:space="0" w:color="auto"/>
        <w:bottom w:val="none" w:sz="0" w:space="0" w:color="auto"/>
        <w:right w:val="none" w:sz="0" w:space="0" w:color="auto"/>
      </w:divBdr>
    </w:div>
    <w:div w:id="1093815752">
      <w:bodyDiv w:val="1"/>
      <w:marLeft w:val="0"/>
      <w:marRight w:val="0"/>
      <w:marTop w:val="0"/>
      <w:marBottom w:val="0"/>
      <w:divBdr>
        <w:top w:val="none" w:sz="0" w:space="0" w:color="auto"/>
        <w:left w:val="none" w:sz="0" w:space="0" w:color="auto"/>
        <w:bottom w:val="none" w:sz="0" w:space="0" w:color="auto"/>
        <w:right w:val="none" w:sz="0" w:space="0" w:color="auto"/>
      </w:divBdr>
    </w:div>
    <w:div w:id="1094547022">
      <w:bodyDiv w:val="1"/>
      <w:marLeft w:val="0"/>
      <w:marRight w:val="0"/>
      <w:marTop w:val="0"/>
      <w:marBottom w:val="0"/>
      <w:divBdr>
        <w:top w:val="none" w:sz="0" w:space="0" w:color="auto"/>
        <w:left w:val="none" w:sz="0" w:space="0" w:color="auto"/>
        <w:bottom w:val="none" w:sz="0" w:space="0" w:color="auto"/>
        <w:right w:val="none" w:sz="0" w:space="0" w:color="auto"/>
      </w:divBdr>
    </w:div>
    <w:div w:id="1111783339">
      <w:bodyDiv w:val="1"/>
      <w:marLeft w:val="0"/>
      <w:marRight w:val="0"/>
      <w:marTop w:val="0"/>
      <w:marBottom w:val="0"/>
      <w:divBdr>
        <w:top w:val="none" w:sz="0" w:space="0" w:color="auto"/>
        <w:left w:val="none" w:sz="0" w:space="0" w:color="auto"/>
        <w:bottom w:val="none" w:sz="0" w:space="0" w:color="auto"/>
        <w:right w:val="none" w:sz="0" w:space="0" w:color="auto"/>
      </w:divBdr>
    </w:div>
    <w:div w:id="1145515199">
      <w:bodyDiv w:val="1"/>
      <w:marLeft w:val="0"/>
      <w:marRight w:val="0"/>
      <w:marTop w:val="0"/>
      <w:marBottom w:val="0"/>
      <w:divBdr>
        <w:top w:val="none" w:sz="0" w:space="0" w:color="auto"/>
        <w:left w:val="none" w:sz="0" w:space="0" w:color="auto"/>
        <w:bottom w:val="none" w:sz="0" w:space="0" w:color="auto"/>
        <w:right w:val="none" w:sz="0" w:space="0" w:color="auto"/>
      </w:divBdr>
    </w:div>
    <w:div w:id="1148011546">
      <w:bodyDiv w:val="1"/>
      <w:marLeft w:val="0"/>
      <w:marRight w:val="0"/>
      <w:marTop w:val="0"/>
      <w:marBottom w:val="0"/>
      <w:divBdr>
        <w:top w:val="none" w:sz="0" w:space="0" w:color="auto"/>
        <w:left w:val="none" w:sz="0" w:space="0" w:color="auto"/>
        <w:bottom w:val="none" w:sz="0" w:space="0" w:color="auto"/>
        <w:right w:val="none" w:sz="0" w:space="0" w:color="auto"/>
      </w:divBdr>
    </w:div>
    <w:div w:id="1174875955">
      <w:bodyDiv w:val="1"/>
      <w:marLeft w:val="0"/>
      <w:marRight w:val="0"/>
      <w:marTop w:val="0"/>
      <w:marBottom w:val="0"/>
      <w:divBdr>
        <w:top w:val="none" w:sz="0" w:space="0" w:color="auto"/>
        <w:left w:val="none" w:sz="0" w:space="0" w:color="auto"/>
        <w:bottom w:val="none" w:sz="0" w:space="0" w:color="auto"/>
        <w:right w:val="none" w:sz="0" w:space="0" w:color="auto"/>
      </w:divBdr>
    </w:div>
    <w:div w:id="1188250510">
      <w:bodyDiv w:val="1"/>
      <w:marLeft w:val="0"/>
      <w:marRight w:val="0"/>
      <w:marTop w:val="0"/>
      <w:marBottom w:val="0"/>
      <w:divBdr>
        <w:top w:val="none" w:sz="0" w:space="0" w:color="auto"/>
        <w:left w:val="none" w:sz="0" w:space="0" w:color="auto"/>
        <w:bottom w:val="none" w:sz="0" w:space="0" w:color="auto"/>
        <w:right w:val="none" w:sz="0" w:space="0" w:color="auto"/>
      </w:divBdr>
    </w:div>
    <w:div w:id="1190528278">
      <w:bodyDiv w:val="1"/>
      <w:marLeft w:val="0"/>
      <w:marRight w:val="0"/>
      <w:marTop w:val="0"/>
      <w:marBottom w:val="0"/>
      <w:divBdr>
        <w:top w:val="none" w:sz="0" w:space="0" w:color="auto"/>
        <w:left w:val="none" w:sz="0" w:space="0" w:color="auto"/>
        <w:bottom w:val="none" w:sz="0" w:space="0" w:color="auto"/>
        <w:right w:val="none" w:sz="0" w:space="0" w:color="auto"/>
      </w:divBdr>
    </w:div>
    <w:div w:id="1190752302">
      <w:bodyDiv w:val="1"/>
      <w:marLeft w:val="0"/>
      <w:marRight w:val="0"/>
      <w:marTop w:val="0"/>
      <w:marBottom w:val="0"/>
      <w:divBdr>
        <w:top w:val="none" w:sz="0" w:space="0" w:color="auto"/>
        <w:left w:val="none" w:sz="0" w:space="0" w:color="auto"/>
        <w:bottom w:val="none" w:sz="0" w:space="0" w:color="auto"/>
        <w:right w:val="none" w:sz="0" w:space="0" w:color="auto"/>
      </w:divBdr>
    </w:div>
    <w:div w:id="1201361614">
      <w:bodyDiv w:val="1"/>
      <w:marLeft w:val="0"/>
      <w:marRight w:val="0"/>
      <w:marTop w:val="0"/>
      <w:marBottom w:val="0"/>
      <w:divBdr>
        <w:top w:val="none" w:sz="0" w:space="0" w:color="auto"/>
        <w:left w:val="none" w:sz="0" w:space="0" w:color="auto"/>
        <w:bottom w:val="none" w:sz="0" w:space="0" w:color="auto"/>
        <w:right w:val="none" w:sz="0" w:space="0" w:color="auto"/>
      </w:divBdr>
    </w:div>
    <w:div w:id="1232959925">
      <w:bodyDiv w:val="1"/>
      <w:marLeft w:val="0"/>
      <w:marRight w:val="0"/>
      <w:marTop w:val="0"/>
      <w:marBottom w:val="0"/>
      <w:divBdr>
        <w:top w:val="none" w:sz="0" w:space="0" w:color="auto"/>
        <w:left w:val="none" w:sz="0" w:space="0" w:color="auto"/>
        <w:bottom w:val="none" w:sz="0" w:space="0" w:color="auto"/>
        <w:right w:val="none" w:sz="0" w:space="0" w:color="auto"/>
      </w:divBdr>
    </w:div>
    <w:div w:id="1235775128">
      <w:bodyDiv w:val="1"/>
      <w:marLeft w:val="0"/>
      <w:marRight w:val="0"/>
      <w:marTop w:val="0"/>
      <w:marBottom w:val="0"/>
      <w:divBdr>
        <w:top w:val="none" w:sz="0" w:space="0" w:color="auto"/>
        <w:left w:val="none" w:sz="0" w:space="0" w:color="auto"/>
        <w:bottom w:val="none" w:sz="0" w:space="0" w:color="auto"/>
        <w:right w:val="none" w:sz="0" w:space="0" w:color="auto"/>
      </w:divBdr>
    </w:div>
    <w:div w:id="1240215950">
      <w:bodyDiv w:val="1"/>
      <w:marLeft w:val="0"/>
      <w:marRight w:val="0"/>
      <w:marTop w:val="0"/>
      <w:marBottom w:val="0"/>
      <w:divBdr>
        <w:top w:val="none" w:sz="0" w:space="0" w:color="auto"/>
        <w:left w:val="none" w:sz="0" w:space="0" w:color="auto"/>
        <w:bottom w:val="none" w:sz="0" w:space="0" w:color="auto"/>
        <w:right w:val="none" w:sz="0" w:space="0" w:color="auto"/>
      </w:divBdr>
    </w:div>
    <w:div w:id="1242788271">
      <w:bodyDiv w:val="1"/>
      <w:marLeft w:val="0"/>
      <w:marRight w:val="0"/>
      <w:marTop w:val="0"/>
      <w:marBottom w:val="0"/>
      <w:divBdr>
        <w:top w:val="none" w:sz="0" w:space="0" w:color="auto"/>
        <w:left w:val="none" w:sz="0" w:space="0" w:color="auto"/>
        <w:bottom w:val="none" w:sz="0" w:space="0" w:color="auto"/>
        <w:right w:val="none" w:sz="0" w:space="0" w:color="auto"/>
      </w:divBdr>
    </w:div>
    <w:div w:id="1253969722">
      <w:bodyDiv w:val="1"/>
      <w:marLeft w:val="0"/>
      <w:marRight w:val="0"/>
      <w:marTop w:val="0"/>
      <w:marBottom w:val="0"/>
      <w:divBdr>
        <w:top w:val="none" w:sz="0" w:space="0" w:color="auto"/>
        <w:left w:val="none" w:sz="0" w:space="0" w:color="auto"/>
        <w:bottom w:val="none" w:sz="0" w:space="0" w:color="auto"/>
        <w:right w:val="none" w:sz="0" w:space="0" w:color="auto"/>
      </w:divBdr>
    </w:div>
    <w:div w:id="1258901080">
      <w:bodyDiv w:val="1"/>
      <w:marLeft w:val="0"/>
      <w:marRight w:val="0"/>
      <w:marTop w:val="0"/>
      <w:marBottom w:val="0"/>
      <w:divBdr>
        <w:top w:val="none" w:sz="0" w:space="0" w:color="auto"/>
        <w:left w:val="none" w:sz="0" w:space="0" w:color="auto"/>
        <w:bottom w:val="none" w:sz="0" w:space="0" w:color="auto"/>
        <w:right w:val="none" w:sz="0" w:space="0" w:color="auto"/>
      </w:divBdr>
    </w:div>
    <w:div w:id="1259680175">
      <w:bodyDiv w:val="1"/>
      <w:marLeft w:val="0"/>
      <w:marRight w:val="0"/>
      <w:marTop w:val="0"/>
      <w:marBottom w:val="0"/>
      <w:divBdr>
        <w:top w:val="none" w:sz="0" w:space="0" w:color="auto"/>
        <w:left w:val="none" w:sz="0" w:space="0" w:color="auto"/>
        <w:bottom w:val="none" w:sz="0" w:space="0" w:color="auto"/>
        <w:right w:val="none" w:sz="0" w:space="0" w:color="auto"/>
      </w:divBdr>
    </w:div>
    <w:div w:id="1267813484">
      <w:bodyDiv w:val="1"/>
      <w:marLeft w:val="0"/>
      <w:marRight w:val="0"/>
      <w:marTop w:val="0"/>
      <w:marBottom w:val="0"/>
      <w:divBdr>
        <w:top w:val="none" w:sz="0" w:space="0" w:color="auto"/>
        <w:left w:val="none" w:sz="0" w:space="0" w:color="auto"/>
        <w:bottom w:val="none" w:sz="0" w:space="0" w:color="auto"/>
        <w:right w:val="none" w:sz="0" w:space="0" w:color="auto"/>
      </w:divBdr>
    </w:div>
    <w:div w:id="1284658324">
      <w:bodyDiv w:val="1"/>
      <w:marLeft w:val="0"/>
      <w:marRight w:val="0"/>
      <w:marTop w:val="0"/>
      <w:marBottom w:val="0"/>
      <w:divBdr>
        <w:top w:val="none" w:sz="0" w:space="0" w:color="auto"/>
        <w:left w:val="none" w:sz="0" w:space="0" w:color="auto"/>
        <w:bottom w:val="none" w:sz="0" w:space="0" w:color="auto"/>
        <w:right w:val="none" w:sz="0" w:space="0" w:color="auto"/>
      </w:divBdr>
    </w:div>
    <w:div w:id="1285382013">
      <w:bodyDiv w:val="1"/>
      <w:marLeft w:val="0"/>
      <w:marRight w:val="0"/>
      <w:marTop w:val="0"/>
      <w:marBottom w:val="0"/>
      <w:divBdr>
        <w:top w:val="none" w:sz="0" w:space="0" w:color="auto"/>
        <w:left w:val="none" w:sz="0" w:space="0" w:color="auto"/>
        <w:bottom w:val="none" w:sz="0" w:space="0" w:color="auto"/>
        <w:right w:val="none" w:sz="0" w:space="0" w:color="auto"/>
      </w:divBdr>
    </w:div>
    <w:div w:id="1297417230">
      <w:bodyDiv w:val="1"/>
      <w:marLeft w:val="0"/>
      <w:marRight w:val="0"/>
      <w:marTop w:val="0"/>
      <w:marBottom w:val="0"/>
      <w:divBdr>
        <w:top w:val="none" w:sz="0" w:space="0" w:color="auto"/>
        <w:left w:val="none" w:sz="0" w:space="0" w:color="auto"/>
        <w:bottom w:val="none" w:sz="0" w:space="0" w:color="auto"/>
        <w:right w:val="none" w:sz="0" w:space="0" w:color="auto"/>
      </w:divBdr>
    </w:div>
    <w:div w:id="1308393295">
      <w:bodyDiv w:val="1"/>
      <w:marLeft w:val="0"/>
      <w:marRight w:val="0"/>
      <w:marTop w:val="0"/>
      <w:marBottom w:val="0"/>
      <w:divBdr>
        <w:top w:val="none" w:sz="0" w:space="0" w:color="auto"/>
        <w:left w:val="none" w:sz="0" w:space="0" w:color="auto"/>
        <w:bottom w:val="none" w:sz="0" w:space="0" w:color="auto"/>
        <w:right w:val="none" w:sz="0" w:space="0" w:color="auto"/>
      </w:divBdr>
    </w:div>
    <w:div w:id="1340890824">
      <w:bodyDiv w:val="1"/>
      <w:marLeft w:val="0"/>
      <w:marRight w:val="0"/>
      <w:marTop w:val="0"/>
      <w:marBottom w:val="0"/>
      <w:divBdr>
        <w:top w:val="none" w:sz="0" w:space="0" w:color="auto"/>
        <w:left w:val="none" w:sz="0" w:space="0" w:color="auto"/>
        <w:bottom w:val="none" w:sz="0" w:space="0" w:color="auto"/>
        <w:right w:val="none" w:sz="0" w:space="0" w:color="auto"/>
      </w:divBdr>
    </w:div>
    <w:div w:id="1350570854">
      <w:bodyDiv w:val="1"/>
      <w:marLeft w:val="0"/>
      <w:marRight w:val="0"/>
      <w:marTop w:val="0"/>
      <w:marBottom w:val="0"/>
      <w:divBdr>
        <w:top w:val="none" w:sz="0" w:space="0" w:color="auto"/>
        <w:left w:val="none" w:sz="0" w:space="0" w:color="auto"/>
        <w:bottom w:val="none" w:sz="0" w:space="0" w:color="auto"/>
        <w:right w:val="none" w:sz="0" w:space="0" w:color="auto"/>
      </w:divBdr>
    </w:div>
    <w:div w:id="1422489804">
      <w:bodyDiv w:val="1"/>
      <w:marLeft w:val="0"/>
      <w:marRight w:val="0"/>
      <w:marTop w:val="0"/>
      <w:marBottom w:val="0"/>
      <w:divBdr>
        <w:top w:val="none" w:sz="0" w:space="0" w:color="auto"/>
        <w:left w:val="none" w:sz="0" w:space="0" w:color="auto"/>
        <w:bottom w:val="none" w:sz="0" w:space="0" w:color="auto"/>
        <w:right w:val="none" w:sz="0" w:space="0" w:color="auto"/>
      </w:divBdr>
    </w:div>
    <w:div w:id="1427845075">
      <w:bodyDiv w:val="1"/>
      <w:marLeft w:val="0"/>
      <w:marRight w:val="0"/>
      <w:marTop w:val="0"/>
      <w:marBottom w:val="0"/>
      <w:divBdr>
        <w:top w:val="none" w:sz="0" w:space="0" w:color="auto"/>
        <w:left w:val="none" w:sz="0" w:space="0" w:color="auto"/>
        <w:bottom w:val="none" w:sz="0" w:space="0" w:color="auto"/>
        <w:right w:val="none" w:sz="0" w:space="0" w:color="auto"/>
      </w:divBdr>
    </w:div>
    <w:div w:id="1446731765">
      <w:bodyDiv w:val="1"/>
      <w:marLeft w:val="0"/>
      <w:marRight w:val="0"/>
      <w:marTop w:val="0"/>
      <w:marBottom w:val="0"/>
      <w:divBdr>
        <w:top w:val="none" w:sz="0" w:space="0" w:color="auto"/>
        <w:left w:val="none" w:sz="0" w:space="0" w:color="auto"/>
        <w:bottom w:val="none" w:sz="0" w:space="0" w:color="auto"/>
        <w:right w:val="none" w:sz="0" w:space="0" w:color="auto"/>
      </w:divBdr>
    </w:div>
    <w:div w:id="1454907018">
      <w:bodyDiv w:val="1"/>
      <w:marLeft w:val="0"/>
      <w:marRight w:val="0"/>
      <w:marTop w:val="0"/>
      <w:marBottom w:val="0"/>
      <w:divBdr>
        <w:top w:val="none" w:sz="0" w:space="0" w:color="auto"/>
        <w:left w:val="none" w:sz="0" w:space="0" w:color="auto"/>
        <w:bottom w:val="none" w:sz="0" w:space="0" w:color="auto"/>
        <w:right w:val="none" w:sz="0" w:space="0" w:color="auto"/>
      </w:divBdr>
    </w:div>
    <w:div w:id="1457330016">
      <w:bodyDiv w:val="1"/>
      <w:marLeft w:val="0"/>
      <w:marRight w:val="0"/>
      <w:marTop w:val="0"/>
      <w:marBottom w:val="0"/>
      <w:divBdr>
        <w:top w:val="none" w:sz="0" w:space="0" w:color="auto"/>
        <w:left w:val="none" w:sz="0" w:space="0" w:color="auto"/>
        <w:bottom w:val="none" w:sz="0" w:space="0" w:color="auto"/>
        <w:right w:val="none" w:sz="0" w:space="0" w:color="auto"/>
      </w:divBdr>
    </w:div>
    <w:div w:id="1464696459">
      <w:bodyDiv w:val="1"/>
      <w:marLeft w:val="0"/>
      <w:marRight w:val="0"/>
      <w:marTop w:val="0"/>
      <w:marBottom w:val="0"/>
      <w:divBdr>
        <w:top w:val="none" w:sz="0" w:space="0" w:color="auto"/>
        <w:left w:val="none" w:sz="0" w:space="0" w:color="auto"/>
        <w:bottom w:val="none" w:sz="0" w:space="0" w:color="auto"/>
        <w:right w:val="none" w:sz="0" w:space="0" w:color="auto"/>
      </w:divBdr>
    </w:div>
    <w:div w:id="1483153763">
      <w:bodyDiv w:val="1"/>
      <w:marLeft w:val="0"/>
      <w:marRight w:val="0"/>
      <w:marTop w:val="0"/>
      <w:marBottom w:val="0"/>
      <w:divBdr>
        <w:top w:val="none" w:sz="0" w:space="0" w:color="auto"/>
        <w:left w:val="none" w:sz="0" w:space="0" w:color="auto"/>
        <w:bottom w:val="none" w:sz="0" w:space="0" w:color="auto"/>
        <w:right w:val="none" w:sz="0" w:space="0" w:color="auto"/>
      </w:divBdr>
    </w:div>
    <w:div w:id="1489712939">
      <w:bodyDiv w:val="1"/>
      <w:marLeft w:val="0"/>
      <w:marRight w:val="0"/>
      <w:marTop w:val="0"/>
      <w:marBottom w:val="0"/>
      <w:divBdr>
        <w:top w:val="none" w:sz="0" w:space="0" w:color="auto"/>
        <w:left w:val="none" w:sz="0" w:space="0" w:color="auto"/>
        <w:bottom w:val="none" w:sz="0" w:space="0" w:color="auto"/>
        <w:right w:val="none" w:sz="0" w:space="0" w:color="auto"/>
      </w:divBdr>
    </w:div>
    <w:div w:id="1492015352">
      <w:bodyDiv w:val="1"/>
      <w:marLeft w:val="0"/>
      <w:marRight w:val="0"/>
      <w:marTop w:val="0"/>
      <w:marBottom w:val="0"/>
      <w:divBdr>
        <w:top w:val="none" w:sz="0" w:space="0" w:color="auto"/>
        <w:left w:val="none" w:sz="0" w:space="0" w:color="auto"/>
        <w:bottom w:val="none" w:sz="0" w:space="0" w:color="auto"/>
        <w:right w:val="none" w:sz="0" w:space="0" w:color="auto"/>
      </w:divBdr>
    </w:div>
    <w:div w:id="1492483582">
      <w:bodyDiv w:val="1"/>
      <w:marLeft w:val="0"/>
      <w:marRight w:val="0"/>
      <w:marTop w:val="0"/>
      <w:marBottom w:val="0"/>
      <w:divBdr>
        <w:top w:val="none" w:sz="0" w:space="0" w:color="auto"/>
        <w:left w:val="none" w:sz="0" w:space="0" w:color="auto"/>
        <w:bottom w:val="none" w:sz="0" w:space="0" w:color="auto"/>
        <w:right w:val="none" w:sz="0" w:space="0" w:color="auto"/>
      </w:divBdr>
    </w:div>
    <w:div w:id="1502234913">
      <w:bodyDiv w:val="1"/>
      <w:marLeft w:val="0"/>
      <w:marRight w:val="0"/>
      <w:marTop w:val="0"/>
      <w:marBottom w:val="0"/>
      <w:divBdr>
        <w:top w:val="none" w:sz="0" w:space="0" w:color="auto"/>
        <w:left w:val="none" w:sz="0" w:space="0" w:color="auto"/>
        <w:bottom w:val="none" w:sz="0" w:space="0" w:color="auto"/>
        <w:right w:val="none" w:sz="0" w:space="0" w:color="auto"/>
      </w:divBdr>
    </w:div>
    <w:div w:id="1505128653">
      <w:bodyDiv w:val="1"/>
      <w:marLeft w:val="0"/>
      <w:marRight w:val="0"/>
      <w:marTop w:val="0"/>
      <w:marBottom w:val="0"/>
      <w:divBdr>
        <w:top w:val="none" w:sz="0" w:space="0" w:color="auto"/>
        <w:left w:val="none" w:sz="0" w:space="0" w:color="auto"/>
        <w:bottom w:val="none" w:sz="0" w:space="0" w:color="auto"/>
        <w:right w:val="none" w:sz="0" w:space="0" w:color="auto"/>
      </w:divBdr>
    </w:div>
    <w:div w:id="1515529848">
      <w:bodyDiv w:val="1"/>
      <w:marLeft w:val="0"/>
      <w:marRight w:val="0"/>
      <w:marTop w:val="0"/>
      <w:marBottom w:val="0"/>
      <w:divBdr>
        <w:top w:val="none" w:sz="0" w:space="0" w:color="auto"/>
        <w:left w:val="none" w:sz="0" w:space="0" w:color="auto"/>
        <w:bottom w:val="none" w:sz="0" w:space="0" w:color="auto"/>
        <w:right w:val="none" w:sz="0" w:space="0" w:color="auto"/>
      </w:divBdr>
    </w:div>
    <w:div w:id="1525486274">
      <w:bodyDiv w:val="1"/>
      <w:marLeft w:val="0"/>
      <w:marRight w:val="0"/>
      <w:marTop w:val="0"/>
      <w:marBottom w:val="0"/>
      <w:divBdr>
        <w:top w:val="none" w:sz="0" w:space="0" w:color="auto"/>
        <w:left w:val="none" w:sz="0" w:space="0" w:color="auto"/>
        <w:bottom w:val="none" w:sz="0" w:space="0" w:color="auto"/>
        <w:right w:val="none" w:sz="0" w:space="0" w:color="auto"/>
      </w:divBdr>
    </w:div>
    <w:div w:id="1528566859">
      <w:bodyDiv w:val="1"/>
      <w:marLeft w:val="0"/>
      <w:marRight w:val="0"/>
      <w:marTop w:val="0"/>
      <w:marBottom w:val="0"/>
      <w:divBdr>
        <w:top w:val="none" w:sz="0" w:space="0" w:color="auto"/>
        <w:left w:val="none" w:sz="0" w:space="0" w:color="auto"/>
        <w:bottom w:val="none" w:sz="0" w:space="0" w:color="auto"/>
        <w:right w:val="none" w:sz="0" w:space="0" w:color="auto"/>
      </w:divBdr>
    </w:div>
    <w:div w:id="1536767024">
      <w:bodyDiv w:val="1"/>
      <w:marLeft w:val="0"/>
      <w:marRight w:val="0"/>
      <w:marTop w:val="0"/>
      <w:marBottom w:val="0"/>
      <w:divBdr>
        <w:top w:val="none" w:sz="0" w:space="0" w:color="auto"/>
        <w:left w:val="none" w:sz="0" w:space="0" w:color="auto"/>
        <w:bottom w:val="none" w:sz="0" w:space="0" w:color="auto"/>
        <w:right w:val="none" w:sz="0" w:space="0" w:color="auto"/>
      </w:divBdr>
    </w:div>
    <w:div w:id="1544904344">
      <w:bodyDiv w:val="1"/>
      <w:marLeft w:val="0"/>
      <w:marRight w:val="0"/>
      <w:marTop w:val="0"/>
      <w:marBottom w:val="0"/>
      <w:divBdr>
        <w:top w:val="none" w:sz="0" w:space="0" w:color="auto"/>
        <w:left w:val="none" w:sz="0" w:space="0" w:color="auto"/>
        <w:bottom w:val="none" w:sz="0" w:space="0" w:color="auto"/>
        <w:right w:val="none" w:sz="0" w:space="0" w:color="auto"/>
      </w:divBdr>
    </w:div>
    <w:div w:id="1556359106">
      <w:bodyDiv w:val="1"/>
      <w:marLeft w:val="0"/>
      <w:marRight w:val="0"/>
      <w:marTop w:val="0"/>
      <w:marBottom w:val="0"/>
      <w:divBdr>
        <w:top w:val="none" w:sz="0" w:space="0" w:color="auto"/>
        <w:left w:val="none" w:sz="0" w:space="0" w:color="auto"/>
        <w:bottom w:val="none" w:sz="0" w:space="0" w:color="auto"/>
        <w:right w:val="none" w:sz="0" w:space="0" w:color="auto"/>
      </w:divBdr>
    </w:div>
    <w:div w:id="1559709031">
      <w:bodyDiv w:val="1"/>
      <w:marLeft w:val="0"/>
      <w:marRight w:val="0"/>
      <w:marTop w:val="0"/>
      <w:marBottom w:val="0"/>
      <w:divBdr>
        <w:top w:val="none" w:sz="0" w:space="0" w:color="auto"/>
        <w:left w:val="none" w:sz="0" w:space="0" w:color="auto"/>
        <w:bottom w:val="none" w:sz="0" w:space="0" w:color="auto"/>
        <w:right w:val="none" w:sz="0" w:space="0" w:color="auto"/>
      </w:divBdr>
    </w:div>
    <w:div w:id="1570767981">
      <w:bodyDiv w:val="1"/>
      <w:marLeft w:val="0"/>
      <w:marRight w:val="0"/>
      <w:marTop w:val="0"/>
      <w:marBottom w:val="0"/>
      <w:divBdr>
        <w:top w:val="none" w:sz="0" w:space="0" w:color="auto"/>
        <w:left w:val="none" w:sz="0" w:space="0" w:color="auto"/>
        <w:bottom w:val="none" w:sz="0" w:space="0" w:color="auto"/>
        <w:right w:val="none" w:sz="0" w:space="0" w:color="auto"/>
      </w:divBdr>
    </w:div>
    <w:div w:id="1573466953">
      <w:bodyDiv w:val="1"/>
      <w:marLeft w:val="0"/>
      <w:marRight w:val="0"/>
      <w:marTop w:val="0"/>
      <w:marBottom w:val="0"/>
      <w:divBdr>
        <w:top w:val="none" w:sz="0" w:space="0" w:color="auto"/>
        <w:left w:val="none" w:sz="0" w:space="0" w:color="auto"/>
        <w:bottom w:val="none" w:sz="0" w:space="0" w:color="auto"/>
        <w:right w:val="none" w:sz="0" w:space="0" w:color="auto"/>
      </w:divBdr>
    </w:div>
    <w:div w:id="1577476749">
      <w:bodyDiv w:val="1"/>
      <w:marLeft w:val="0"/>
      <w:marRight w:val="0"/>
      <w:marTop w:val="0"/>
      <w:marBottom w:val="0"/>
      <w:divBdr>
        <w:top w:val="none" w:sz="0" w:space="0" w:color="auto"/>
        <w:left w:val="none" w:sz="0" w:space="0" w:color="auto"/>
        <w:bottom w:val="none" w:sz="0" w:space="0" w:color="auto"/>
        <w:right w:val="none" w:sz="0" w:space="0" w:color="auto"/>
      </w:divBdr>
    </w:div>
    <w:div w:id="1600331978">
      <w:bodyDiv w:val="1"/>
      <w:marLeft w:val="0"/>
      <w:marRight w:val="0"/>
      <w:marTop w:val="0"/>
      <w:marBottom w:val="0"/>
      <w:divBdr>
        <w:top w:val="none" w:sz="0" w:space="0" w:color="auto"/>
        <w:left w:val="none" w:sz="0" w:space="0" w:color="auto"/>
        <w:bottom w:val="none" w:sz="0" w:space="0" w:color="auto"/>
        <w:right w:val="none" w:sz="0" w:space="0" w:color="auto"/>
      </w:divBdr>
    </w:div>
    <w:div w:id="1607156970">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609120360">
      <w:bodyDiv w:val="1"/>
      <w:marLeft w:val="0"/>
      <w:marRight w:val="0"/>
      <w:marTop w:val="0"/>
      <w:marBottom w:val="0"/>
      <w:divBdr>
        <w:top w:val="none" w:sz="0" w:space="0" w:color="auto"/>
        <w:left w:val="none" w:sz="0" w:space="0" w:color="auto"/>
        <w:bottom w:val="none" w:sz="0" w:space="0" w:color="auto"/>
        <w:right w:val="none" w:sz="0" w:space="0" w:color="auto"/>
      </w:divBdr>
    </w:div>
    <w:div w:id="1619558325">
      <w:bodyDiv w:val="1"/>
      <w:marLeft w:val="0"/>
      <w:marRight w:val="0"/>
      <w:marTop w:val="0"/>
      <w:marBottom w:val="0"/>
      <w:divBdr>
        <w:top w:val="none" w:sz="0" w:space="0" w:color="auto"/>
        <w:left w:val="none" w:sz="0" w:space="0" w:color="auto"/>
        <w:bottom w:val="none" w:sz="0" w:space="0" w:color="auto"/>
        <w:right w:val="none" w:sz="0" w:space="0" w:color="auto"/>
      </w:divBdr>
    </w:div>
    <w:div w:id="1629627288">
      <w:bodyDiv w:val="1"/>
      <w:marLeft w:val="0"/>
      <w:marRight w:val="0"/>
      <w:marTop w:val="0"/>
      <w:marBottom w:val="0"/>
      <w:divBdr>
        <w:top w:val="none" w:sz="0" w:space="0" w:color="auto"/>
        <w:left w:val="none" w:sz="0" w:space="0" w:color="auto"/>
        <w:bottom w:val="none" w:sz="0" w:space="0" w:color="auto"/>
        <w:right w:val="none" w:sz="0" w:space="0" w:color="auto"/>
      </w:divBdr>
    </w:div>
    <w:div w:id="1672372240">
      <w:bodyDiv w:val="1"/>
      <w:marLeft w:val="0"/>
      <w:marRight w:val="0"/>
      <w:marTop w:val="0"/>
      <w:marBottom w:val="0"/>
      <w:divBdr>
        <w:top w:val="none" w:sz="0" w:space="0" w:color="auto"/>
        <w:left w:val="none" w:sz="0" w:space="0" w:color="auto"/>
        <w:bottom w:val="none" w:sz="0" w:space="0" w:color="auto"/>
        <w:right w:val="none" w:sz="0" w:space="0" w:color="auto"/>
      </w:divBdr>
    </w:div>
    <w:div w:id="1672559287">
      <w:bodyDiv w:val="1"/>
      <w:marLeft w:val="0"/>
      <w:marRight w:val="0"/>
      <w:marTop w:val="0"/>
      <w:marBottom w:val="0"/>
      <w:divBdr>
        <w:top w:val="none" w:sz="0" w:space="0" w:color="auto"/>
        <w:left w:val="none" w:sz="0" w:space="0" w:color="auto"/>
        <w:bottom w:val="none" w:sz="0" w:space="0" w:color="auto"/>
        <w:right w:val="none" w:sz="0" w:space="0" w:color="auto"/>
      </w:divBdr>
    </w:div>
    <w:div w:id="1678771456">
      <w:bodyDiv w:val="1"/>
      <w:marLeft w:val="0"/>
      <w:marRight w:val="0"/>
      <w:marTop w:val="0"/>
      <w:marBottom w:val="0"/>
      <w:divBdr>
        <w:top w:val="none" w:sz="0" w:space="0" w:color="auto"/>
        <w:left w:val="none" w:sz="0" w:space="0" w:color="auto"/>
        <w:bottom w:val="none" w:sz="0" w:space="0" w:color="auto"/>
        <w:right w:val="none" w:sz="0" w:space="0" w:color="auto"/>
      </w:divBdr>
    </w:div>
    <w:div w:id="1693606248">
      <w:bodyDiv w:val="1"/>
      <w:marLeft w:val="0"/>
      <w:marRight w:val="0"/>
      <w:marTop w:val="0"/>
      <w:marBottom w:val="0"/>
      <w:divBdr>
        <w:top w:val="none" w:sz="0" w:space="0" w:color="auto"/>
        <w:left w:val="none" w:sz="0" w:space="0" w:color="auto"/>
        <w:bottom w:val="none" w:sz="0" w:space="0" w:color="auto"/>
        <w:right w:val="none" w:sz="0" w:space="0" w:color="auto"/>
      </w:divBdr>
    </w:div>
    <w:div w:id="1714377819">
      <w:bodyDiv w:val="1"/>
      <w:marLeft w:val="0"/>
      <w:marRight w:val="0"/>
      <w:marTop w:val="0"/>
      <w:marBottom w:val="0"/>
      <w:divBdr>
        <w:top w:val="none" w:sz="0" w:space="0" w:color="auto"/>
        <w:left w:val="none" w:sz="0" w:space="0" w:color="auto"/>
        <w:bottom w:val="none" w:sz="0" w:space="0" w:color="auto"/>
        <w:right w:val="none" w:sz="0" w:space="0" w:color="auto"/>
      </w:divBdr>
    </w:div>
    <w:div w:id="1749226290">
      <w:bodyDiv w:val="1"/>
      <w:marLeft w:val="0"/>
      <w:marRight w:val="0"/>
      <w:marTop w:val="0"/>
      <w:marBottom w:val="0"/>
      <w:divBdr>
        <w:top w:val="none" w:sz="0" w:space="0" w:color="auto"/>
        <w:left w:val="none" w:sz="0" w:space="0" w:color="auto"/>
        <w:bottom w:val="none" w:sz="0" w:space="0" w:color="auto"/>
        <w:right w:val="none" w:sz="0" w:space="0" w:color="auto"/>
      </w:divBdr>
    </w:div>
    <w:div w:id="1774865027">
      <w:bodyDiv w:val="1"/>
      <w:marLeft w:val="0"/>
      <w:marRight w:val="0"/>
      <w:marTop w:val="0"/>
      <w:marBottom w:val="0"/>
      <w:divBdr>
        <w:top w:val="none" w:sz="0" w:space="0" w:color="auto"/>
        <w:left w:val="none" w:sz="0" w:space="0" w:color="auto"/>
        <w:bottom w:val="none" w:sz="0" w:space="0" w:color="auto"/>
        <w:right w:val="none" w:sz="0" w:space="0" w:color="auto"/>
      </w:divBdr>
    </w:div>
    <w:div w:id="1775829693">
      <w:bodyDiv w:val="1"/>
      <w:marLeft w:val="0"/>
      <w:marRight w:val="0"/>
      <w:marTop w:val="0"/>
      <w:marBottom w:val="0"/>
      <w:divBdr>
        <w:top w:val="none" w:sz="0" w:space="0" w:color="auto"/>
        <w:left w:val="none" w:sz="0" w:space="0" w:color="auto"/>
        <w:bottom w:val="none" w:sz="0" w:space="0" w:color="auto"/>
        <w:right w:val="none" w:sz="0" w:space="0" w:color="auto"/>
      </w:divBdr>
    </w:div>
    <w:div w:id="1780680943">
      <w:bodyDiv w:val="1"/>
      <w:marLeft w:val="0"/>
      <w:marRight w:val="0"/>
      <w:marTop w:val="0"/>
      <w:marBottom w:val="0"/>
      <w:divBdr>
        <w:top w:val="none" w:sz="0" w:space="0" w:color="auto"/>
        <w:left w:val="none" w:sz="0" w:space="0" w:color="auto"/>
        <w:bottom w:val="none" w:sz="0" w:space="0" w:color="auto"/>
        <w:right w:val="none" w:sz="0" w:space="0" w:color="auto"/>
      </w:divBdr>
    </w:div>
    <w:div w:id="1792899719">
      <w:bodyDiv w:val="1"/>
      <w:marLeft w:val="0"/>
      <w:marRight w:val="0"/>
      <w:marTop w:val="0"/>
      <w:marBottom w:val="0"/>
      <w:divBdr>
        <w:top w:val="none" w:sz="0" w:space="0" w:color="auto"/>
        <w:left w:val="none" w:sz="0" w:space="0" w:color="auto"/>
        <w:bottom w:val="none" w:sz="0" w:space="0" w:color="auto"/>
        <w:right w:val="none" w:sz="0" w:space="0" w:color="auto"/>
      </w:divBdr>
    </w:div>
    <w:div w:id="1806314015">
      <w:bodyDiv w:val="1"/>
      <w:marLeft w:val="0"/>
      <w:marRight w:val="0"/>
      <w:marTop w:val="0"/>
      <w:marBottom w:val="0"/>
      <w:divBdr>
        <w:top w:val="none" w:sz="0" w:space="0" w:color="auto"/>
        <w:left w:val="none" w:sz="0" w:space="0" w:color="auto"/>
        <w:bottom w:val="none" w:sz="0" w:space="0" w:color="auto"/>
        <w:right w:val="none" w:sz="0" w:space="0" w:color="auto"/>
      </w:divBdr>
    </w:div>
    <w:div w:id="1807311330">
      <w:bodyDiv w:val="1"/>
      <w:marLeft w:val="0"/>
      <w:marRight w:val="0"/>
      <w:marTop w:val="0"/>
      <w:marBottom w:val="0"/>
      <w:divBdr>
        <w:top w:val="none" w:sz="0" w:space="0" w:color="auto"/>
        <w:left w:val="none" w:sz="0" w:space="0" w:color="auto"/>
        <w:bottom w:val="none" w:sz="0" w:space="0" w:color="auto"/>
        <w:right w:val="none" w:sz="0" w:space="0" w:color="auto"/>
      </w:divBdr>
    </w:div>
    <w:div w:id="1813980748">
      <w:bodyDiv w:val="1"/>
      <w:marLeft w:val="0"/>
      <w:marRight w:val="0"/>
      <w:marTop w:val="0"/>
      <w:marBottom w:val="0"/>
      <w:divBdr>
        <w:top w:val="none" w:sz="0" w:space="0" w:color="auto"/>
        <w:left w:val="none" w:sz="0" w:space="0" w:color="auto"/>
        <w:bottom w:val="none" w:sz="0" w:space="0" w:color="auto"/>
        <w:right w:val="none" w:sz="0" w:space="0" w:color="auto"/>
      </w:divBdr>
    </w:div>
    <w:div w:id="1823309756">
      <w:bodyDiv w:val="1"/>
      <w:marLeft w:val="0"/>
      <w:marRight w:val="0"/>
      <w:marTop w:val="0"/>
      <w:marBottom w:val="0"/>
      <w:divBdr>
        <w:top w:val="none" w:sz="0" w:space="0" w:color="auto"/>
        <w:left w:val="none" w:sz="0" w:space="0" w:color="auto"/>
        <w:bottom w:val="none" w:sz="0" w:space="0" w:color="auto"/>
        <w:right w:val="none" w:sz="0" w:space="0" w:color="auto"/>
      </w:divBdr>
    </w:div>
    <w:div w:id="1835222362">
      <w:bodyDiv w:val="1"/>
      <w:marLeft w:val="0"/>
      <w:marRight w:val="0"/>
      <w:marTop w:val="0"/>
      <w:marBottom w:val="0"/>
      <w:divBdr>
        <w:top w:val="none" w:sz="0" w:space="0" w:color="auto"/>
        <w:left w:val="none" w:sz="0" w:space="0" w:color="auto"/>
        <w:bottom w:val="none" w:sz="0" w:space="0" w:color="auto"/>
        <w:right w:val="none" w:sz="0" w:space="0" w:color="auto"/>
      </w:divBdr>
    </w:div>
    <w:div w:id="1836141711">
      <w:bodyDiv w:val="1"/>
      <w:marLeft w:val="0"/>
      <w:marRight w:val="0"/>
      <w:marTop w:val="0"/>
      <w:marBottom w:val="0"/>
      <w:divBdr>
        <w:top w:val="none" w:sz="0" w:space="0" w:color="auto"/>
        <w:left w:val="none" w:sz="0" w:space="0" w:color="auto"/>
        <w:bottom w:val="none" w:sz="0" w:space="0" w:color="auto"/>
        <w:right w:val="none" w:sz="0" w:space="0" w:color="auto"/>
      </w:divBdr>
    </w:div>
    <w:div w:id="1841462375">
      <w:bodyDiv w:val="1"/>
      <w:marLeft w:val="0"/>
      <w:marRight w:val="0"/>
      <w:marTop w:val="0"/>
      <w:marBottom w:val="0"/>
      <w:divBdr>
        <w:top w:val="none" w:sz="0" w:space="0" w:color="auto"/>
        <w:left w:val="none" w:sz="0" w:space="0" w:color="auto"/>
        <w:bottom w:val="none" w:sz="0" w:space="0" w:color="auto"/>
        <w:right w:val="none" w:sz="0" w:space="0" w:color="auto"/>
      </w:divBdr>
    </w:div>
    <w:div w:id="1842424279">
      <w:bodyDiv w:val="1"/>
      <w:marLeft w:val="0"/>
      <w:marRight w:val="0"/>
      <w:marTop w:val="0"/>
      <w:marBottom w:val="0"/>
      <w:divBdr>
        <w:top w:val="none" w:sz="0" w:space="0" w:color="auto"/>
        <w:left w:val="none" w:sz="0" w:space="0" w:color="auto"/>
        <w:bottom w:val="none" w:sz="0" w:space="0" w:color="auto"/>
        <w:right w:val="none" w:sz="0" w:space="0" w:color="auto"/>
      </w:divBdr>
    </w:div>
    <w:div w:id="1846750519">
      <w:bodyDiv w:val="1"/>
      <w:marLeft w:val="0"/>
      <w:marRight w:val="0"/>
      <w:marTop w:val="0"/>
      <w:marBottom w:val="0"/>
      <w:divBdr>
        <w:top w:val="none" w:sz="0" w:space="0" w:color="auto"/>
        <w:left w:val="none" w:sz="0" w:space="0" w:color="auto"/>
        <w:bottom w:val="none" w:sz="0" w:space="0" w:color="auto"/>
        <w:right w:val="none" w:sz="0" w:space="0" w:color="auto"/>
      </w:divBdr>
    </w:div>
    <w:div w:id="1863589948">
      <w:bodyDiv w:val="1"/>
      <w:marLeft w:val="0"/>
      <w:marRight w:val="0"/>
      <w:marTop w:val="0"/>
      <w:marBottom w:val="0"/>
      <w:divBdr>
        <w:top w:val="none" w:sz="0" w:space="0" w:color="auto"/>
        <w:left w:val="none" w:sz="0" w:space="0" w:color="auto"/>
        <w:bottom w:val="none" w:sz="0" w:space="0" w:color="auto"/>
        <w:right w:val="none" w:sz="0" w:space="0" w:color="auto"/>
      </w:divBdr>
    </w:div>
    <w:div w:id="1885870458">
      <w:bodyDiv w:val="1"/>
      <w:marLeft w:val="0"/>
      <w:marRight w:val="0"/>
      <w:marTop w:val="0"/>
      <w:marBottom w:val="0"/>
      <w:divBdr>
        <w:top w:val="none" w:sz="0" w:space="0" w:color="auto"/>
        <w:left w:val="none" w:sz="0" w:space="0" w:color="auto"/>
        <w:bottom w:val="none" w:sz="0" w:space="0" w:color="auto"/>
        <w:right w:val="none" w:sz="0" w:space="0" w:color="auto"/>
      </w:divBdr>
    </w:div>
    <w:div w:id="1909804967">
      <w:bodyDiv w:val="1"/>
      <w:marLeft w:val="0"/>
      <w:marRight w:val="0"/>
      <w:marTop w:val="0"/>
      <w:marBottom w:val="0"/>
      <w:divBdr>
        <w:top w:val="none" w:sz="0" w:space="0" w:color="auto"/>
        <w:left w:val="none" w:sz="0" w:space="0" w:color="auto"/>
        <w:bottom w:val="none" w:sz="0" w:space="0" w:color="auto"/>
        <w:right w:val="none" w:sz="0" w:space="0" w:color="auto"/>
      </w:divBdr>
    </w:div>
    <w:div w:id="1915234510">
      <w:bodyDiv w:val="1"/>
      <w:marLeft w:val="0"/>
      <w:marRight w:val="0"/>
      <w:marTop w:val="0"/>
      <w:marBottom w:val="0"/>
      <w:divBdr>
        <w:top w:val="none" w:sz="0" w:space="0" w:color="auto"/>
        <w:left w:val="none" w:sz="0" w:space="0" w:color="auto"/>
        <w:bottom w:val="none" w:sz="0" w:space="0" w:color="auto"/>
        <w:right w:val="none" w:sz="0" w:space="0" w:color="auto"/>
      </w:divBdr>
    </w:div>
    <w:div w:id="1917587565">
      <w:bodyDiv w:val="1"/>
      <w:marLeft w:val="0"/>
      <w:marRight w:val="0"/>
      <w:marTop w:val="0"/>
      <w:marBottom w:val="0"/>
      <w:divBdr>
        <w:top w:val="none" w:sz="0" w:space="0" w:color="auto"/>
        <w:left w:val="none" w:sz="0" w:space="0" w:color="auto"/>
        <w:bottom w:val="none" w:sz="0" w:space="0" w:color="auto"/>
        <w:right w:val="none" w:sz="0" w:space="0" w:color="auto"/>
      </w:divBdr>
    </w:div>
    <w:div w:id="1924871807">
      <w:bodyDiv w:val="1"/>
      <w:marLeft w:val="0"/>
      <w:marRight w:val="0"/>
      <w:marTop w:val="0"/>
      <w:marBottom w:val="0"/>
      <w:divBdr>
        <w:top w:val="none" w:sz="0" w:space="0" w:color="auto"/>
        <w:left w:val="none" w:sz="0" w:space="0" w:color="auto"/>
        <w:bottom w:val="none" w:sz="0" w:space="0" w:color="auto"/>
        <w:right w:val="none" w:sz="0" w:space="0" w:color="auto"/>
      </w:divBdr>
    </w:div>
    <w:div w:id="1930843748">
      <w:bodyDiv w:val="1"/>
      <w:marLeft w:val="0"/>
      <w:marRight w:val="0"/>
      <w:marTop w:val="0"/>
      <w:marBottom w:val="0"/>
      <w:divBdr>
        <w:top w:val="none" w:sz="0" w:space="0" w:color="auto"/>
        <w:left w:val="none" w:sz="0" w:space="0" w:color="auto"/>
        <w:bottom w:val="none" w:sz="0" w:space="0" w:color="auto"/>
        <w:right w:val="none" w:sz="0" w:space="0" w:color="auto"/>
      </w:divBdr>
    </w:div>
    <w:div w:id="1943805123">
      <w:bodyDiv w:val="1"/>
      <w:marLeft w:val="0"/>
      <w:marRight w:val="0"/>
      <w:marTop w:val="0"/>
      <w:marBottom w:val="0"/>
      <w:divBdr>
        <w:top w:val="none" w:sz="0" w:space="0" w:color="auto"/>
        <w:left w:val="none" w:sz="0" w:space="0" w:color="auto"/>
        <w:bottom w:val="none" w:sz="0" w:space="0" w:color="auto"/>
        <w:right w:val="none" w:sz="0" w:space="0" w:color="auto"/>
      </w:divBdr>
    </w:div>
    <w:div w:id="1947536822">
      <w:bodyDiv w:val="1"/>
      <w:marLeft w:val="0"/>
      <w:marRight w:val="0"/>
      <w:marTop w:val="0"/>
      <w:marBottom w:val="0"/>
      <w:divBdr>
        <w:top w:val="none" w:sz="0" w:space="0" w:color="auto"/>
        <w:left w:val="none" w:sz="0" w:space="0" w:color="auto"/>
        <w:bottom w:val="none" w:sz="0" w:space="0" w:color="auto"/>
        <w:right w:val="none" w:sz="0" w:space="0" w:color="auto"/>
      </w:divBdr>
    </w:div>
    <w:div w:id="1949044011">
      <w:bodyDiv w:val="1"/>
      <w:marLeft w:val="0"/>
      <w:marRight w:val="0"/>
      <w:marTop w:val="0"/>
      <w:marBottom w:val="0"/>
      <w:divBdr>
        <w:top w:val="none" w:sz="0" w:space="0" w:color="auto"/>
        <w:left w:val="none" w:sz="0" w:space="0" w:color="auto"/>
        <w:bottom w:val="none" w:sz="0" w:space="0" w:color="auto"/>
        <w:right w:val="none" w:sz="0" w:space="0" w:color="auto"/>
      </w:divBdr>
    </w:div>
    <w:div w:id="1970236479">
      <w:bodyDiv w:val="1"/>
      <w:marLeft w:val="0"/>
      <w:marRight w:val="0"/>
      <w:marTop w:val="0"/>
      <w:marBottom w:val="0"/>
      <w:divBdr>
        <w:top w:val="none" w:sz="0" w:space="0" w:color="auto"/>
        <w:left w:val="none" w:sz="0" w:space="0" w:color="auto"/>
        <w:bottom w:val="none" w:sz="0" w:space="0" w:color="auto"/>
        <w:right w:val="none" w:sz="0" w:space="0" w:color="auto"/>
      </w:divBdr>
    </w:div>
    <w:div w:id="1974287047">
      <w:bodyDiv w:val="1"/>
      <w:marLeft w:val="0"/>
      <w:marRight w:val="0"/>
      <w:marTop w:val="0"/>
      <w:marBottom w:val="0"/>
      <w:divBdr>
        <w:top w:val="none" w:sz="0" w:space="0" w:color="auto"/>
        <w:left w:val="none" w:sz="0" w:space="0" w:color="auto"/>
        <w:bottom w:val="none" w:sz="0" w:space="0" w:color="auto"/>
        <w:right w:val="none" w:sz="0" w:space="0" w:color="auto"/>
      </w:divBdr>
    </w:div>
    <w:div w:id="1981034295">
      <w:bodyDiv w:val="1"/>
      <w:marLeft w:val="0"/>
      <w:marRight w:val="0"/>
      <w:marTop w:val="0"/>
      <w:marBottom w:val="0"/>
      <w:divBdr>
        <w:top w:val="none" w:sz="0" w:space="0" w:color="auto"/>
        <w:left w:val="none" w:sz="0" w:space="0" w:color="auto"/>
        <w:bottom w:val="none" w:sz="0" w:space="0" w:color="auto"/>
        <w:right w:val="none" w:sz="0" w:space="0" w:color="auto"/>
      </w:divBdr>
    </w:div>
    <w:div w:id="1991129548">
      <w:bodyDiv w:val="1"/>
      <w:marLeft w:val="0"/>
      <w:marRight w:val="0"/>
      <w:marTop w:val="0"/>
      <w:marBottom w:val="0"/>
      <w:divBdr>
        <w:top w:val="none" w:sz="0" w:space="0" w:color="auto"/>
        <w:left w:val="none" w:sz="0" w:space="0" w:color="auto"/>
        <w:bottom w:val="none" w:sz="0" w:space="0" w:color="auto"/>
        <w:right w:val="none" w:sz="0" w:space="0" w:color="auto"/>
      </w:divBdr>
    </w:div>
    <w:div w:id="1994019345">
      <w:bodyDiv w:val="1"/>
      <w:marLeft w:val="0"/>
      <w:marRight w:val="0"/>
      <w:marTop w:val="0"/>
      <w:marBottom w:val="0"/>
      <w:divBdr>
        <w:top w:val="none" w:sz="0" w:space="0" w:color="auto"/>
        <w:left w:val="none" w:sz="0" w:space="0" w:color="auto"/>
        <w:bottom w:val="none" w:sz="0" w:space="0" w:color="auto"/>
        <w:right w:val="none" w:sz="0" w:space="0" w:color="auto"/>
      </w:divBdr>
    </w:div>
    <w:div w:id="1999067806">
      <w:bodyDiv w:val="1"/>
      <w:marLeft w:val="0"/>
      <w:marRight w:val="0"/>
      <w:marTop w:val="0"/>
      <w:marBottom w:val="0"/>
      <w:divBdr>
        <w:top w:val="none" w:sz="0" w:space="0" w:color="auto"/>
        <w:left w:val="none" w:sz="0" w:space="0" w:color="auto"/>
        <w:bottom w:val="none" w:sz="0" w:space="0" w:color="auto"/>
        <w:right w:val="none" w:sz="0" w:space="0" w:color="auto"/>
      </w:divBdr>
    </w:div>
    <w:div w:id="2012756592">
      <w:bodyDiv w:val="1"/>
      <w:marLeft w:val="0"/>
      <w:marRight w:val="0"/>
      <w:marTop w:val="0"/>
      <w:marBottom w:val="0"/>
      <w:divBdr>
        <w:top w:val="none" w:sz="0" w:space="0" w:color="auto"/>
        <w:left w:val="none" w:sz="0" w:space="0" w:color="auto"/>
        <w:bottom w:val="none" w:sz="0" w:space="0" w:color="auto"/>
        <w:right w:val="none" w:sz="0" w:space="0" w:color="auto"/>
      </w:divBdr>
    </w:div>
    <w:div w:id="2029140823">
      <w:bodyDiv w:val="1"/>
      <w:marLeft w:val="0"/>
      <w:marRight w:val="0"/>
      <w:marTop w:val="0"/>
      <w:marBottom w:val="0"/>
      <w:divBdr>
        <w:top w:val="none" w:sz="0" w:space="0" w:color="auto"/>
        <w:left w:val="none" w:sz="0" w:space="0" w:color="auto"/>
        <w:bottom w:val="none" w:sz="0" w:space="0" w:color="auto"/>
        <w:right w:val="none" w:sz="0" w:space="0" w:color="auto"/>
      </w:divBdr>
    </w:div>
    <w:div w:id="2034500358">
      <w:bodyDiv w:val="1"/>
      <w:marLeft w:val="0"/>
      <w:marRight w:val="0"/>
      <w:marTop w:val="0"/>
      <w:marBottom w:val="0"/>
      <w:divBdr>
        <w:top w:val="none" w:sz="0" w:space="0" w:color="auto"/>
        <w:left w:val="none" w:sz="0" w:space="0" w:color="auto"/>
        <w:bottom w:val="none" w:sz="0" w:space="0" w:color="auto"/>
        <w:right w:val="none" w:sz="0" w:space="0" w:color="auto"/>
      </w:divBdr>
    </w:div>
    <w:div w:id="2040816173">
      <w:bodyDiv w:val="1"/>
      <w:marLeft w:val="0"/>
      <w:marRight w:val="0"/>
      <w:marTop w:val="0"/>
      <w:marBottom w:val="0"/>
      <w:divBdr>
        <w:top w:val="none" w:sz="0" w:space="0" w:color="auto"/>
        <w:left w:val="none" w:sz="0" w:space="0" w:color="auto"/>
        <w:bottom w:val="none" w:sz="0" w:space="0" w:color="auto"/>
        <w:right w:val="none" w:sz="0" w:space="0" w:color="auto"/>
      </w:divBdr>
    </w:div>
    <w:div w:id="2047831097">
      <w:bodyDiv w:val="1"/>
      <w:marLeft w:val="0"/>
      <w:marRight w:val="0"/>
      <w:marTop w:val="0"/>
      <w:marBottom w:val="0"/>
      <w:divBdr>
        <w:top w:val="none" w:sz="0" w:space="0" w:color="auto"/>
        <w:left w:val="none" w:sz="0" w:space="0" w:color="auto"/>
        <w:bottom w:val="none" w:sz="0" w:space="0" w:color="auto"/>
        <w:right w:val="none" w:sz="0" w:space="0" w:color="auto"/>
      </w:divBdr>
    </w:div>
    <w:div w:id="2057194797">
      <w:bodyDiv w:val="1"/>
      <w:marLeft w:val="0"/>
      <w:marRight w:val="0"/>
      <w:marTop w:val="0"/>
      <w:marBottom w:val="0"/>
      <w:divBdr>
        <w:top w:val="none" w:sz="0" w:space="0" w:color="auto"/>
        <w:left w:val="none" w:sz="0" w:space="0" w:color="auto"/>
        <w:bottom w:val="none" w:sz="0" w:space="0" w:color="auto"/>
        <w:right w:val="none" w:sz="0" w:space="0" w:color="auto"/>
      </w:divBdr>
    </w:div>
    <w:div w:id="2076539033">
      <w:bodyDiv w:val="1"/>
      <w:marLeft w:val="0"/>
      <w:marRight w:val="0"/>
      <w:marTop w:val="0"/>
      <w:marBottom w:val="0"/>
      <w:divBdr>
        <w:top w:val="none" w:sz="0" w:space="0" w:color="auto"/>
        <w:left w:val="none" w:sz="0" w:space="0" w:color="auto"/>
        <w:bottom w:val="none" w:sz="0" w:space="0" w:color="auto"/>
        <w:right w:val="none" w:sz="0" w:space="0" w:color="auto"/>
      </w:divBdr>
    </w:div>
    <w:div w:id="2082631122">
      <w:bodyDiv w:val="1"/>
      <w:marLeft w:val="0"/>
      <w:marRight w:val="0"/>
      <w:marTop w:val="0"/>
      <w:marBottom w:val="0"/>
      <w:divBdr>
        <w:top w:val="none" w:sz="0" w:space="0" w:color="auto"/>
        <w:left w:val="none" w:sz="0" w:space="0" w:color="auto"/>
        <w:bottom w:val="none" w:sz="0" w:space="0" w:color="auto"/>
        <w:right w:val="none" w:sz="0" w:space="0" w:color="auto"/>
      </w:divBdr>
    </w:div>
    <w:div w:id="2085684025">
      <w:bodyDiv w:val="1"/>
      <w:marLeft w:val="0"/>
      <w:marRight w:val="0"/>
      <w:marTop w:val="0"/>
      <w:marBottom w:val="0"/>
      <w:divBdr>
        <w:top w:val="none" w:sz="0" w:space="0" w:color="auto"/>
        <w:left w:val="none" w:sz="0" w:space="0" w:color="auto"/>
        <w:bottom w:val="none" w:sz="0" w:space="0" w:color="auto"/>
        <w:right w:val="none" w:sz="0" w:space="0" w:color="auto"/>
      </w:divBdr>
    </w:div>
    <w:div w:id="2096316120">
      <w:bodyDiv w:val="1"/>
      <w:marLeft w:val="0"/>
      <w:marRight w:val="0"/>
      <w:marTop w:val="0"/>
      <w:marBottom w:val="0"/>
      <w:divBdr>
        <w:top w:val="none" w:sz="0" w:space="0" w:color="auto"/>
        <w:left w:val="none" w:sz="0" w:space="0" w:color="auto"/>
        <w:bottom w:val="none" w:sz="0" w:space="0" w:color="auto"/>
        <w:right w:val="none" w:sz="0" w:space="0" w:color="auto"/>
      </w:divBdr>
    </w:div>
    <w:div w:id="2106610416">
      <w:bodyDiv w:val="1"/>
      <w:marLeft w:val="0"/>
      <w:marRight w:val="0"/>
      <w:marTop w:val="0"/>
      <w:marBottom w:val="0"/>
      <w:divBdr>
        <w:top w:val="none" w:sz="0" w:space="0" w:color="auto"/>
        <w:left w:val="none" w:sz="0" w:space="0" w:color="auto"/>
        <w:bottom w:val="none" w:sz="0" w:space="0" w:color="auto"/>
        <w:right w:val="none" w:sz="0" w:space="0" w:color="auto"/>
      </w:divBdr>
    </w:div>
    <w:div w:id="2107967737">
      <w:bodyDiv w:val="1"/>
      <w:marLeft w:val="0"/>
      <w:marRight w:val="0"/>
      <w:marTop w:val="0"/>
      <w:marBottom w:val="0"/>
      <w:divBdr>
        <w:top w:val="none" w:sz="0" w:space="0" w:color="auto"/>
        <w:left w:val="none" w:sz="0" w:space="0" w:color="auto"/>
        <w:bottom w:val="none" w:sz="0" w:space="0" w:color="auto"/>
        <w:right w:val="none" w:sz="0" w:space="0" w:color="auto"/>
      </w:divBdr>
    </w:div>
    <w:div w:id="2110082536">
      <w:bodyDiv w:val="1"/>
      <w:marLeft w:val="0"/>
      <w:marRight w:val="0"/>
      <w:marTop w:val="0"/>
      <w:marBottom w:val="0"/>
      <w:divBdr>
        <w:top w:val="none" w:sz="0" w:space="0" w:color="auto"/>
        <w:left w:val="none" w:sz="0" w:space="0" w:color="auto"/>
        <w:bottom w:val="none" w:sz="0" w:space="0" w:color="auto"/>
        <w:right w:val="none" w:sz="0" w:space="0" w:color="auto"/>
      </w:divBdr>
    </w:div>
    <w:div w:id="2113356353">
      <w:bodyDiv w:val="1"/>
      <w:marLeft w:val="0"/>
      <w:marRight w:val="0"/>
      <w:marTop w:val="0"/>
      <w:marBottom w:val="0"/>
      <w:divBdr>
        <w:top w:val="none" w:sz="0" w:space="0" w:color="auto"/>
        <w:left w:val="none" w:sz="0" w:space="0" w:color="auto"/>
        <w:bottom w:val="none" w:sz="0" w:space="0" w:color="auto"/>
        <w:right w:val="none" w:sz="0" w:space="0" w:color="auto"/>
      </w:divBdr>
    </w:div>
    <w:div w:id="2125416647">
      <w:bodyDiv w:val="1"/>
      <w:marLeft w:val="0"/>
      <w:marRight w:val="0"/>
      <w:marTop w:val="0"/>
      <w:marBottom w:val="0"/>
      <w:divBdr>
        <w:top w:val="none" w:sz="0" w:space="0" w:color="auto"/>
        <w:left w:val="none" w:sz="0" w:space="0" w:color="auto"/>
        <w:bottom w:val="none" w:sz="0" w:space="0" w:color="auto"/>
        <w:right w:val="none" w:sz="0" w:space="0" w:color="auto"/>
      </w:divBdr>
    </w:div>
    <w:div w:id="2131511658">
      <w:bodyDiv w:val="1"/>
      <w:marLeft w:val="0"/>
      <w:marRight w:val="0"/>
      <w:marTop w:val="0"/>
      <w:marBottom w:val="0"/>
      <w:divBdr>
        <w:top w:val="none" w:sz="0" w:space="0" w:color="auto"/>
        <w:left w:val="none" w:sz="0" w:space="0" w:color="auto"/>
        <w:bottom w:val="none" w:sz="0" w:space="0" w:color="auto"/>
        <w:right w:val="none" w:sz="0" w:space="0" w:color="auto"/>
      </w:divBdr>
    </w:div>
    <w:div w:id="2141417134">
      <w:bodyDiv w:val="1"/>
      <w:marLeft w:val="0"/>
      <w:marRight w:val="0"/>
      <w:marTop w:val="0"/>
      <w:marBottom w:val="0"/>
      <w:divBdr>
        <w:top w:val="none" w:sz="0" w:space="0" w:color="auto"/>
        <w:left w:val="none" w:sz="0" w:space="0" w:color="auto"/>
        <w:bottom w:val="none" w:sz="0" w:space="0" w:color="auto"/>
        <w:right w:val="none" w:sz="0" w:space="0" w:color="auto"/>
      </w:divBdr>
    </w:div>
    <w:div w:id="2141916257">
      <w:bodyDiv w:val="1"/>
      <w:marLeft w:val="0"/>
      <w:marRight w:val="0"/>
      <w:marTop w:val="0"/>
      <w:marBottom w:val="0"/>
      <w:divBdr>
        <w:top w:val="none" w:sz="0" w:space="0" w:color="auto"/>
        <w:left w:val="none" w:sz="0" w:space="0" w:color="auto"/>
        <w:bottom w:val="none" w:sz="0" w:space="0" w:color="auto"/>
        <w:right w:val="none" w:sz="0" w:space="0" w:color="auto"/>
      </w:divBdr>
    </w:div>
    <w:div w:id="214539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A4A4EA83753C4DA753A68C776C88F8" ma:contentTypeVersion="6" ma:contentTypeDescription="Create a new document." ma:contentTypeScope="" ma:versionID="3e044c9c34d521552866d61da704d037">
  <xsd:schema xmlns:xsd="http://www.w3.org/2001/XMLSchema" xmlns:xs="http://www.w3.org/2001/XMLSchema" xmlns:p="http://schemas.microsoft.com/office/2006/metadata/properties" xmlns:ns1="http://schemas.microsoft.com/sharepoint/v3" xmlns:ns2="d71819ef-55b9-420a-86a4-d36bc037540e" targetNamespace="http://schemas.microsoft.com/office/2006/metadata/properties" ma:root="true" ma:fieldsID="eef0ccd713fc39dbd38b824df033b892" ns1:_="" ns2:_="">
    <xsd:import namespace="http://schemas.microsoft.com/sharepoint/v3"/>
    <xsd:import namespace="d71819ef-55b9-420a-86a4-d36bc037540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819ef-55b9-420a-86a4-d36bc037540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71819ef-55b9-420a-86a4-d36bc037540e">AM7W7QW6R7VW-380673718-15018</_dlc_DocId>
    <_dlc_DocIdUrl xmlns="d71819ef-55b9-420a-86a4-d36bc037540e">
      <Url>http://collaboration/organisation/cccd/CoCB/TPRS/_layouts/15/DocIdRedir.aspx?ID=AM7W7QW6R7VW-380673718-15018</Url>
      <Description>AM7W7QW6R7VW-380673718-15018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85027-0276-4590-B1E4-E61D92D71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1819ef-55b9-420a-86a4-d36bc0375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78DBB0-3C70-4FF2-B584-51EBF0163EF8}">
  <ds:schemaRefs>
    <ds:schemaRef ds:uri="http://schemas.microsoft.com/sharepoint/v3/contenttype/forms"/>
  </ds:schemaRefs>
</ds:datastoreItem>
</file>

<file path=customXml/itemProps3.xml><?xml version="1.0" encoding="utf-8"?>
<ds:datastoreItem xmlns:ds="http://schemas.openxmlformats.org/officeDocument/2006/customXml" ds:itemID="{CF50F2E2-4CD0-4ACB-8E3B-54E80A46BB02}">
  <ds:schemaRefs>
    <ds:schemaRef ds:uri="http://schemas.microsoft.com/sharepoint/events"/>
  </ds:schemaRefs>
</ds:datastoreItem>
</file>

<file path=customXml/itemProps4.xml><?xml version="1.0" encoding="utf-8"?>
<ds:datastoreItem xmlns:ds="http://schemas.openxmlformats.org/officeDocument/2006/customXml" ds:itemID="{299B420C-CA3A-48E2-9E6D-1885215ADF14}">
  <ds:schemaRefs>
    <ds:schemaRef ds:uri="http://schemas.microsoft.com/office/2006/metadata/properties"/>
    <ds:schemaRef ds:uri="http://schemas.microsoft.com/office/infopath/2007/PartnerControls"/>
    <ds:schemaRef ds:uri="http://schemas.microsoft.com/sharepoint/v3"/>
    <ds:schemaRef ds:uri="d71819ef-55b9-420a-86a4-d36bc037540e"/>
  </ds:schemaRefs>
</ds:datastoreItem>
</file>

<file path=customXml/itemProps5.xml><?xml version="1.0" encoding="utf-8"?>
<ds:datastoreItem xmlns:ds="http://schemas.openxmlformats.org/officeDocument/2006/customXml" ds:itemID="{41B25082-4953-4FDD-8BBA-05304BD60381}">
  <ds:schemaRefs>
    <ds:schemaRef ds:uri="http://schemas.openxmlformats.org/officeDocument/2006/bibliography"/>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31</Pages>
  <Words>14699</Words>
  <Characters>83790</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98293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Vella</dc:creator>
  <cp:keywords/>
  <dc:description/>
  <cp:lastModifiedBy>Sandra Campbell</cp:lastModifiedBy>
  <cp:revision>3</cp:revision>
  <cp:lastPrinted>2016-07-25T00:08:00Z</cp:lastPrinted>
  <dcterms:created xsi:type="dcterms:W3CDTF">2025-06-06T01:37:00Z</dcterms:created>
  <dcterms:modified xsi:type="dcterms:W3CDTF">2025-06-06T01:38:00Z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0x010100FEA4A4EA83753C4DA753A68C776C88F8</vt:lpwstr>
  </property>
  <property fmtid="{D5CDD505-2E9C-101B-9397-08002B2CF9AE}" pid="3" name="_dlc_DocIdItemGuid">
    <vt:lpwstr>bd30ac0f-858e-456e-8cce-fbe34d60efb8</vt:lpwstr>
  </property>
</Properties>
</file>