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2C137" w14:textId="77777777" w:rsidR="003C4BBC" w:rsidRPr="0052253B" w:rsidRDefault="003C4BBC" w:rsidP="003C4BBC">
      <w:pPr>
        <w:keepNext/>
        <w:spacing w:before="240" w:after="360" w:line="240" w:lineRule="auto"/>
        <w:jc w:val="center"/>
        <w:outlineLvl w:val="0"/>
        <w:rPr>
          <w:rFonts w:ascii="Times New Roman" w:eastAsia="Times New Roman" w:hAnsi="Times New Roman" w:cs="Times New Roman"/>
          <w:b/>
          <w:kern w:val="28"/>
          <w:sz w:val="24"/>
          <w:szCs w:val="24"/>
          <w:u w:val="single"/>
          <w:lang w:eastAsia="en-AU"/>
          <w14:ligatures w14:val="none"/>
        </w:rPr>
      </w:pPr>
      <w:r w:rsidRPr="0052253B">
        <w:rPr>
          <w:rFonts w:ascii="Times New Roman" w:eastAsia="Times New Roman" w:hAnsi="Times New Roman" w:cs="Times New Roman"/>
          <w:b/>
          <w:kern w:val="28"/>
          <w:sz w:val="24"/>
          <w:szCs w:val="24"/>
          <w:u w:val="single"/>
          <w:lang w:eastAsia="en-AU"/>
          <w14:ligatures w14:val="none"/>
        </w:rPr>
        <w:t>EXPLANATORY STATEMENT</w:t>
      </w:r>
    </w:p>
    <w:p w14:paraId="2F3B3412" w14:textId="27E5BE45" w:rsidR="003C4BBC" w:rsidRPr="0052253B" w:rsidRDefault="003C4BBC" w:rsidP="003C4BBC">
      <w:pPr>
        <w:keepNext/>
        <w:spacing w:before="240" w:after="60" w:line="240" w:lineRule="auto"/>
        <w:jc w:val="center"/>
        <w:outlineLvl w:val="1"/>
        <w:rPr>
          <w:rFonts w:ascii="Times New Roman" w:eastAsia="Times New Roman" w:hAnsi="Times New Roman" w:cs="Times New Roman"/>
          <w:b/>
          <w:kern w:val="0"/>
          <w:sz w:val="24"/>
          <w:szCs w:val="24"/>
          <w:u w:val="single"/>
          <w:lang w:eastAsia="en-AU"/>
          <w14:ligatures w14:val="none"/>
        </w:rPr>
      </w:pPr>
      <w:r w:rsidRPr="0052253B">
        <w:rPr>
          <w:rFonts w:ascii="Times New Roman" w:eastAsia="Times New Roman" w:hAnsi="Times New Roman" w:cs="Times New Roman"/>
          <w:b/>
          <w:kern w:val="0"/>
          <w:sz w:val="24"/>
          <w:szCs w:val="24"/>
          <w:u w:val="single"/>
          <w:lang w:eastAsia="en-AU"/>
          <w14:ligatures w14:val="none"/>
        </w:rPr>
        <w:t xml:space="preserve">Issued by authority of the Assistant Minister for </w:t>
      </w:r>
      <w:r w:rsidR="002F58A6">
        <w:rPr>
          <w:rFonts w:ascii="Times New Roman" w:eastAsia="Times New Roman" w:hAnsi="Times New Roman" w:cs="Times New Roman"/>
          <w:b/>
          <w:kern w:val="0"/>
          <w:sz w:val="24"/>
          <w:szCs w:val="24"/>
          <w:u w:val="single"/>
          <w:lang w:eastAsia="en-AU"/>
          <w14:ligatures w14:val="none"/>
        </w:rPr>
        <w:t xml:space="preserve">Productivity, </w:t>
      </w:r>
      <w:r w:rsidRPr="0052253B">
        <w:rPr>
          <w:rFonts w:ascii="Times New Roman" w:eastAsia="Times New Roman" w:hAnsi="Times New Roman" w:cs="Times New Roman"/>
          <w:b/>
          <w:kern w:val="0"/>
          <w:sz w:val="24"/>
          <w:szCs w:val="24"/>
          <w:u w:val="single"/>
          <w:lang w:eastAsia="en-AU"/>
          <w14:ligatures w14:val="none"/>
        </w:rPr>
        <w:t>Competition, Charities and Treasury</w:t>
      </w:r>
    </w:p>
    <w:p w14:paraId="0D496F42" w14:textId="77777777" w:rsidR="003C4BBC" w:rsidRPr="0052253B" w:rsidRDefault="003C4BBC" w:rsidP="003C4BBC">
      <w:pPr>
        <w:spacing w:before="240"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Currency Act 1965</w:t>
      </w:r>
    </w:p>
    <w:p w14:paraId="553DECD9" w14:textId="136FD274" w:rsidR="003C4BBC" w:rsidRPr="0052253B" w:rsidRDefault="003C4BBC" w:rsidP="003C4BBC">
      <w:pPr>
        <w:tabs>
          <w:tab w:val="left" w:pos="1418"/>
        </w:tabs>
        <w:spacing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8B4C10">
        <w:rPr>
          <w:rFonts w:ascii="Times New Roman" w:eastAsia="Calibri" w:hAnsi="Times New Roman" w:cs="Times New Roman"/>
          <w:i/>
          <w:kern w:val="0"/>
          <w:sz w:val="24"/>
          <w:szCs w:val="24"/>
          <w14:ligatures w14:val="none"/>
        </w:rPr>
        <w:t>5</w:t>
      </w:r>
      <w:r w:rsidRPr="0052253B">
        <w:rPr>
          <w:rFonts w:ascii="Times New Roman" w:eastAsia="Calibri" w:hAnsi="Times New Roman" w:cs="Times New Roman"/>
          <w:i/>
          <w:kern w:val="0"/>
          <w:sz w:val="24"/>
          <w:szCs w:val="24"/>
          <w14:ligatures w14:val="none"/>
        </w:rPr>
        <w:t>) Determination 2025</w:t>
      </w:r>
    </w:p>
    <w:p w14:paraId="43B431AD" w14:textId="77777777" w:rsidR="003C4BBC" w:rsidRPr="00AE66C6" w:rsidRDefault="003C4BBC" w:rsidP="003C4BBC">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Subsection 13(2) and section 13A of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(the Act) provide that the Treasurer may, by legislative instrument, determine details of Australian coin characteristics including denomination, standard composition, standard weight, allowable variation from standard weight, design and </w:t>
      </w:r>
      <w:r w:rsidRPr="00AE66C6">
        <w:rPr>
          <w:rFonts w:ascii="Times New Roman" w:eastAsia="Calibri" w:hAnsi="Times New Roman" w:cs="Times New Roman"/>
          <w:kern w:val="0"/>
          <w:sz w:val="24"/>
          <w:szCs w:val="24"/>
          <w14:ligatures w14:val="none"/>
        </w:rPr>
        <w:t>dimensions.</w:t>
      </w:r>
    </w:p>
    <w:p w14:paraId="72E28273" w14:textId="6CBAE702" w:rsidR="003C4BBC" w:rsidRPr="0052253B" w:rsidRDefault="003C4BBC" w:rsidP="003C4BBC">
      <w:pPr>
        <w:spacing w:before="240"/>
        <w:rPr>
          <w:rFonts w:ascii="Times New Roman" w:eastAsia="Calibri" w:hAnsi="Times New Roman" w:cs="Times New Roman"/>
          <w:kern w:val="0"/>
          <w:sz w:val="24"/>
          <w:szCs w:val="24"/>
          <w14:ligatures w14:val="none"/>
        </w:rPr>
      </w:pPr>
      <w:r w:rsidRPr="00AE66C6">
        <w:rPr>
          <w:rFonts w:ascii="Times New Roman" w:eastAsia="Calibri" w:hAnsi="Times New Roman" w:cs="Times New Roman"/>
          <w:kern w:val="0"/>
          <w:sz w:val="24"/>
          <w:szCs w:val="24"/>
          <w14:ligatures w14:val="none"/>
        </w:rPr>
        <w:t xml:space="preserve">The purpose of this legislative instrument is to determine the characteristics of </w:t>
      </w:r>
      <w:r w:rsidR="004E28F2">
        <w:rPr>
          <w:rFonts w:ascii="Times New Roman" w:eastAsia="Calibri" w:hAnsi="Times New Roman" w:cs="Times New Roman"/>
          <w:kern w:val="0"/>
          <w:sz w:val="24"/>
          <w:szCs w:val="24"/>
          <w14:ligatures w14:val="none"/>
        </w:rPr>
        <w:t>18</w:t>
      </w:r>
      <w:r w:rsidRPr="00AE66C6">
        <w:rPr>
          <w:rFonts w:ascii="Times New Roman" w:eastAsia="Calibri" w:hAnsi="Times New Roman" w:cs="Times New Roman"/>
          <w:kern w:val="0"/>
          <w:sz w:val="24"/>
          <w:szCs w:val="24"/>
          <w14:ligatures w14:val="none"/>
        </w:rPr>
        <w:t xml:space="preserve"> new non-circulating coins proposed to be issued by the Royal Australian Mint.</w:t>
      </w:r>
    </w:p>
    <w:p w14:paraId="76B3765A" w14:textId="77777777" w:rsidR="003C4BBC" w:rsidRPr="0052253B" w:rsidRDefault="003C4BBC" w:rsidP="003C4BBC">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Treasurer may authorise the making and issuing of coins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A payment of money is a legal tender if it is made in coins that are made and issued under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Through the issue of a currency determination, the Treasurer can add, remove and alter the coin characteristics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5DD04F35"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In accordance with section 19 of the </w:t>
      </w:r>
      <w:r w:rsidRPr="0052253B">
        <w:rPr>
          <w:rFonts w:ascii="Times New Roman" w:eastAsia="Calibri" w:hAnsi="Times New Roman" w:cs="Times New Roman"/>
          <w:i/>
          <w:kern w:val="0"/>
          <w:sz w:val="24"/>
          <w:szCs w:val="24"/>
          <w14:ligatures w14:val="none"/>
        </w:rPr>
        <w:t>Acts Interpretation Act 1901</w:t>
      </w:r>
      <w:r w:rsidRPr="0052253B">
        <w:rPr>
          <w:rFonts w:ascii="Times New Roman" w:eastAsia="Calibri" w:hAnsi="Times New Roman" w:cs="Times New Roman"/>
          <w:kern w:val="0"/>
          <w:sz w:val="24"/>
          <w:szCs w:val="24"/>
          <w14:ligatures w14:val="none"/>
        </w:rPr>
        <w:t>, any Minister in the Treasury portfolio may, by legislative instrument, determine details of Australian coin characteristics.</w:t>
      </w:r>
    </w:p>
    <w:p w14:paraId="1B7B8F7B" w14:textId="77777777" w:rsidR="003C4BBC" w:rsidRPr="0052253B" w:rsidRDefault="003C4BBC" w:rsidP="003C4BBC">
      <w:pPr>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14:ligatures w14:val="none"/>
        </w:rPr>
        <w:t xml:space="preserve">Details of the legislative instrument are set out in the </w:t>
      </w:r>
      <w:r w:rsidRPr="0052253B">
        <w:rPr>
          <w:rFonts w:ascii="Times New Roman" w:eastAsia="Calibri" w:hAnsi="Times New Roman" w:cs="Times New Roman"/>
          <w:kern w:val="0"/>
          <w:sz w:val="24"/>
          <w:szCs w:val="24"/>
          <w:u w:val="single"/>
          <w14:ligatures w14:val="none"/>
        </w:rPr>
        <w:t>Attachment.</w:t>
      </w:r>
    </w:p>
    <w:p w14:paraId="6E3C1262"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The legislative instrument commenced on the day after it was registered on the Federal Register of Legislation.</w:t>
      </w:r>
    </w:p>
    <w:p w14:paraId="119A3C5B"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legislative instrument is subject to disallowance under section 42 of the </w:t>
      </w:r>
      <w:bookmarkStart w:id="0" w:name="OLE_LINK8"/>
      <w:r w:rsidRPr="0052253B">
        <w:rPr>
          <w:rFonts w:ascii="Times New Roman" w:eastAsia="Calibri" w:hAnsi="Times New Roman" w:cs="Times New Roman"/>
          <w:i/>
          <w:kern w:val="0"/>
          <w:sz w:val="24"/>
          <w:szCs w:val="24"/>
          <w14:ligatures w14:val="none"/>
        </w:rPr>
        <w:t>Legislation Act 2003</w:t>
      </w:r>
      <w:bookmarkEnd w:id="0"/>
      <w:r w:rsidRPr="0052253B">
        <w:rPr>
          <w:rFonts w:ascii="Times New Roman" w:eastAsia="Calibri" w:hAnsi="Times New Roman" w:cs="Times New Roman"/>
          <w:kern w:val="0"/>
          <w:sz w:val="24"/>
          <w:szCs w:val="24"/>
          <w14:ligatures w14:val="none"/>
        </w:rPr>
        <w:t>.</w:t>
      </w:r>
    </w:p>
    <w:p w14:paraId="650A212F"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Determination is a legislative instrument for the purposes of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The Determination is not subject to sunsetting under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on the grounds that the instrument ensures economic certainty (see item 20 of the table in section 12 of the </w:t>
      </w:r>
      <w:r w:rsidRPr="0052253B">
        <w:rPr>
          <w:rFonts w:ascii="Times New Roman" w:eastAsia="Calibri" w:hAnsi="Times New Roman" w:cs="Times New Roman"/>
          <w:i/>
          <w:iCs/>
          <w:kern w:val="0"/>
          <w:sz w:val="24"/>
          <w:szCs w:val="24"/>
          <w14:ligatures w14:val="none"/>
        </w:rPr>
        <w:t>Legislation (Exemptions and Other Matters) Regulation 2015</w:t>
      </w:r>
      <w:r w:rsidRPr="0052253B">
        <w:rPr>
          <w:rFonts w:ascii="Times New Roman" w:eastAsia="Calibri" w:hAnsi="Times New Roman" w:cs="Times New Roman"/>
          <w:kern w:val="0"/>
          <w:sz w:val="24"/>
          <w:szCs w:val="24"/>
          <w14:ligatures w14:val="none"/>
        </w:rPr>
        <w:t xml:space="preserve">). The instrument’s operation is integral in ensuring that the currency produced by the Mints becomes, and remains, legal tender unless or until returned to a mint to be taken out of circulation in accordance with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50A7F5C5" w14:textId="77777777" w:rsidR="003C4BBC" w:rsidRPr="0052253B" w:rsidRDefault="003C4BBC" w:rsidP="003C4BBC">
      <w:pPr>
        <w:rPr>
          <w:rFonts w:ascii="Times New Roman" w:eastAsia="Calibri" w:hAnsi="Times New Roman" w:cs="Times New Roman"/>
          <w:b/>
          <w:i/>
          <w:kern w:val="0"/>
          <w:sz w:val="24"/>
          <w:szCs w:val="24"/>
          <w14:ligatures w14:val="none"/>
        </w:rPr>
      </w:pPr>
      <w:r w:rsidRPr="0052253B">
        <w:rPr>
          <w:rFonts w:ascii="Times New Roman" w:eastAsia="Calibri" w:hAnsi="Times New Roman" w:cs="Times New Roman"/>
          <w:b/>
          <w:kern w:val="0"/>
          <w:sz w:val="24"/>
          <w:szCs w:val="24"/>
          <w14:ligatures w14:val="none"/>
        </w:rPr>
        <w:t>Consultation</w:t>
      </w:r>
    </w:p>
    <w:p w14:paraId="568C5D68"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61E84CA0"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lastRenderedPageBreak/>
        <w:t xml:space="preserve">Members of the public </w:t>
      </w:r>
      <w:proofErr w:type="gramStart"/>
      <w:r w:rsidRPr="0052253B">
        <w:rPr>
          <w:rFonts w:ascii="Times New Roman" w:eastAsia="Calibri" w:hAnsi="Times New Roman" w:cs="Times New Roman"/>
          <w:kern w:val="0"/>
          <w:sz w:val="24"/>
          <w:szCs w:val="24"/>
          <w14:ligatures w14:val="none"/>
        </w:rPr>
        <w:t>have the opportunity to</w:t>
      </w:r>
      <w:proofErr w:type="gramEnd"/>
      <w:r w:rsidRPr="0052253B">
        <w:rPr>
          <w:rFonts w:ascii="Times New Roman" w:eastAsia="Calibri" w:hAnsi="Times New Roman" w:cs="Times New Roman"/>
          <w:kern w:val="0"/>
          <w:sz w:val="24"/>
          <w:szCs w:val="24"/>
          <w14:ligatures w14:val="none"/>
        </w:rPr>
        <w:t xml:space="preserve"> contact the Royal Australian Mint to present any themes they would like to see commemorated on Australian legal tender. These concepts are then researched and assessed in accordance with the Royal Australian Mint’s </w:t>
      </w:r>
      <w:r w:rsidRPr="0052253B">
        <w:rPr>
          <w:rFonts w:ascii="Times New Roman" w:eastAsia="Calibri" w:hAnsi="Times New Roman" w:cs="Times New Roman"/>
          <w:iCs/>
          <w:kern w:val="0"/>
          <w:sz w:val="24"/>
          <w:szCs w:val="24"/>
          <w14:ligatures w14:val="none"/>
        </w:rPr>
        <w:t>coin design policies.</w:t>
      </w:r>
      <w:r w:rsidRPr="0052253B">
        <w:rPr>
          <w:rFonts w:ascii="Times New Roman" w:eastAsia="Calibri" w:hAnsi="Times New Roman" w:cs="Times New Roman"/>
          <w:kern w:val="0"/>
          <w:sz w:val="24"/>
          <w:szCs w:val="24"/>
          <w14:ligatures w14:val="none"/>
        </w:rPr>
        <w:t xml:space="preserve"> The Royal Australian Mint also uses market-based tools to identify interested parties and gauge interest in coin themes.</w:t>
      </w:r>
    </w:p>
    <w:p w14:paraId="27D07AE8" w14:textId="77777777" w:rsidR="003C4BBC" w:rsidRPr="0052253B" w:rsidRDefault="003C4BBC" w:rsidP="003C4BBC">
      <w:pPr>
        <w:rPr>
          <w:rFonts w:ascii="Times New Roman" w:eastAsia="Calibri" w:hAnsi="Times New Roman" w:cs="Times New Roman"/>
          <w:kern w:val="0"/>
          <w:sz w:val="24"/>
          <w:szCs w:val="24"/>
          <w14:ligatures w14:val="none"/>
        </w:rPr>
      </w:pPr>
    </w:p>
    <w:p w14:paraId="0407D586" w14:textId="77777777" w:rsidR="003C4BBC" w:rsidRPr="0052253B" w:rsidRDefault="003C4BBC" w:rsidP="003C4BBC">
      <w:pPr>
        <w:keepNext/>
        <w:keepLines/>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Statement of Compatibility with Human Rights</w:t>
      </w:r>
    </w:p>
    <w:p w14:paraId="3B9734D8" w14:textId="77777777" w:rsidR="003C4BBC" w:rsidRPr="0052253B" w:rsidRDefault="003C4BBC" w:rsidP="003C4BBC">
      <w:pPr>
        <w:keepNext/>
        <w:keepLines/>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Prepared in accordance with Part 3 of the Human Rights (Parliamentary Scrutiny) Act 2011</w:t>
      </w:r>
    </w:p>
    <w:p w14:paraId="32D32108" w14:textId="6D5067AF" w:rsidR="003C4BBC" w:rsidRPr="0052253B" w:rsidRDefault="003C4BBC" w:rsidP="003C4BBC">
      <w:pPr>
        <w:keepNext/>
        <w:keepLines/>
        <w:jc w:val="cente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i/>
          <w:kern w:val="0"/>
          <w:sz w:val="24"/>
          <w:szCs w:val="24"/>
          <w14:ligatures w14:val="none"/>
        </w:rPr>
        <w:t xml:space="preserve">Currency (Australian Coins) Amendment (2025 Royal Australian Mint No. </w:t>
      </w:r>
      <w:r w:rsidR="008B4C10">
        <w:rPr>
          <w:rFonts w:ascii="Times New Roman" w:eastAsia="Calibri" w:hAnsi="Times New Roman" w:cs="Times New Roman"/>
          <w:b/>
          <w:i/>
          <w:kern w:val="0"/>
          <w:sz w:val="24"/>
          <w:szCs w:val="24"/>
          <w14:ligatures w14:val="none"/>
        </w:rPr>
        <w:t>5</w:t>
      </w:r>
      <w:r w:rsidRPr="0052253B">
        <w:rPr>
          <w:rFonts w:ascii="Times New Roman" w:eastAsia="Calibri" w:hAnsi="Times New Roman" w:cs="Times New Roman"/>
          <w:b/>
          <w:i/>
          <w:kern w:val="0"/>
          <w:sz w:val="24"/>
          <w:szCs w:val="24"/>
          <w14:ligatures w14:val="none"/>
        </w:rPr>
        <w:t>) Determination 2025</w:t>
      </w:r>
    </w:p>
    <w:p w14:paraId="68A6EC39"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Legislative Instrument is compatible with the human rights and freedoms recognised or declared in the international instruments listed in section 3 of the </w:t>
      </w:r>
      <w:r w:rsidRPr="0052253B">
        <w:rPr>
          <w:rFonts w:ascii="Times New Roman" w:eastAsia="Calibri" w:hAnsi="Times New Roman" w:cs="Times New Roman"/>
          <w:i/>
          <w:kern w:val="0"/>
          <w:sz w:val="24"/>
          <w:szCs w:val="24"/>
          <w14:ligatures w14:val="none"/>
        </w:rPr>
        <w:t>Human Rights (Parliamentary Scrutiny) Act 2011</w:t>
      </w:r>
      <w:r w:rsidRPr="0052253B">
        <w:rPr>
          <w:rFonts w:ascii="Times New Roman" w:eastAsia="Calibri" w:hAnsi="Times New Roman" w:cs="Times New Roman"/>
          <w:kern w:val="0"/>
          <w:sz w:val="24"/>
          <w:szCs w:val="24"/>
          <w14:ligatures w14:val="none"/>
        </w:rPr>
        <w:t>.</w:t>
      </w:r>
    </w:p>
    <w:p w14:paraId="66C12903" w14:textId="77777777" w:rsidR="003C4BBC" w:rsidRPr="0052253B" w:rsidRDefault="003C4BBC" w:rsidP="003C4BBC">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Overview of the Legislative Instrument</w:t>
      </w:r>
    </w:p>
    <w:p w14:paraId="1B4F3DEC" w14:textId="52B65163" w:rsidR="003C4BBC" w:rsidRPr="0052253B" w:rsidRDefault="003C4BBC" w:rsidP="003C4BBC">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purpose of this legislative instrument is to determine the characteristics </w:t>
      </w:r>
      <w:r w:rsidRPr="00C01FD4">
        <w:rPr>
          <w:rFonts w:ascii="Times New Roman" w:eastAsia="Calibri" w:hAnsi="Times New Roman" w:cs="Times New Roman"/>
          <w:kern w:val="0"/>
          <w:sz w:val="24"/>
          <w:szCs w:val="24"/>
          <w14:ligatures w14:val="none"/>
        </w:rPr>
        <w:t xml:space="preserve">of </w:t>
      </w:r>
      <w:r w:rsidR="00F018B5">
        <w:rPr>
          <w:rFonts w:ascii="Times New Roman" w:eastAsia="Calibri" w:hAnsi="Times New Roman" w:cs="Times New Roman"/>
          <w:kern w:val="0"/>
          <w:sz w:val="24"/>
          <w:szCs w:val="24"/>
          <w14:ligatures w14:val="none"/>
        </w:rPr>
        <w:t>18</w:t>
      </w:r>
      <w:r w:rsidRPr="00C01FD4">
        <w:rPr>
          <w:rFonts w:ascii="Times New Roman" w:eastAsia="Calibri" w:hAnsi="Times New Roman" w:cs="Times New Roman"/>
          <w:kern w:val="0"/>
          <w:sz w:val="24"/>
          <w:szCs w:val="24"/>
          <w14:ligatures w14:val="none"/>
        </w:rPr>
        <w:t xml:space="preserve"> new non-circulating coins proposed</w:t>
      </w:r>
      <w:r w:rsidRPr="0052253B">
        <w:rPr>
          <w:rFonts w:ascii="Times New Roman" w:eastAsia="Calibri" w:hAnsi="Times New Roman" w:cs="Times New Roman"/>
          <w:kern w:val="0"/>
          <w:sz w:val="24"/>
          <w:szCs w:val="24"/>
          <w14:ligatures w14:val="none"/>
        </w:rPr>
        <w:t xml:space="preserve"> to be issued by the </w:t>
      </w:r>
      <w:r>
        <w:rPr>
          <w:rFonts w:ascii="Times New Roman" w:eastAsia="Calibri" w:hAnsi="Times New Roman" w:cs="Times New Roman"/>
          <w:kern w:val="0"/>
          <w:sz w:val="24"/>
          <w:szCs w:val="24"/>
          <w14:ligatures w14:val="none"/>
        </w:rPr>
        <w:t>Royal Australian Mint.</w:t>
      </w:r>
    </w:p>
    <w:p w14:paraId="4A073471"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b/>
          <w:kern w:val="0"/>
          <w:sz w:val="24"/>
          <w:szCs w:val="24"/>
          <w14:ligatures w14:val="none"/>
        </w:rPr>
        <w:t>Human rights implications</w:t>
      </w:r>
    </w:p>
    <w:p w14:paraId="1173A540"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does not engage any of the applicable rights or freedoms.</w:t>
      </w:r>
    </w:p>
    <w:p w14:paraId="1C9745B2" w14:textId="77777777" w:rsidR="003C4BBC" w:rsidRPr="0052253B" w:rsidRDefault="003C4BBC" w:rsidP="003C4BBC">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Conclusion</w:t>
      </w:r>
    </w:p>
    <w:p w14:paraId="72596F0A"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is compatible with human rights as it does not raise any human rights issues.</w:t>
      </w:r>
    </w:p>
    <w:p w14:paraId="6C05C75E" w14:textId="77777777" w:rsidR="003C4BBC" w:rsidRPr="0052253B" w:rsidRDefault="003C4BBC" w:rsidP="003C4BBC">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br w:type="page"/>
      </w:r>
    </w:p>
    <w:p w14:paraId="34BE615A" w14:textId="77777777" w:rsidR="003C4BBC" w:rsidRPr="0052253B" w:rsidRDefault="003C4BBC" w:rsidP="003C4BBC">
      <w:pPr>
        <w:pageBreakBefore/>
        <w:spacing w:before="240"/>
        <w:jc w:val="right"/>
        <w:rPr>
          <w:rFonts w:ascii="Times New Roman" w:eastAsia="Calibri" w:hAnsi="Times New Roman" w:cs="Times New Roman"/>
          <w:b/>
          <w:kern w:val="0"/>
          <w:sz w:val="24"/>
          <w:szCs w:val="24"/>
          <w:u w:val="single"/>
          <w14:ligatures w14:val="none"/>
        </w:rPr>
      </w:pPr>
      <w:r w:rsidRPr="0052253B">
        <w:rPr>
          <w:rFonts w:ascii="Times New Roman" w:eastAsia="Calibri" w:hAnsi="Times New Roman" w:cs="Times New Roman"/>
          <w:b/>
          <w:kern w:val="0"/>
          <w:sz w:val="24"/>
          <w:szCs w:val="24"/>
          <w:u w:val="single"/>
          <w14:ligatures w14:val="none"/>
        </w:rPr>
        <w:lastRenderedPageBreak/>
        <w:t>ATTACHMENT</w:t>
      </w:r>
    </w:p>
    <w:p w14:paraId="06A98B72" w14:textId="09EA7F3A" w:rsidR="003C4BBC" w:rsidRPr="0052253B" w:rsidRDefault="003C4BBC" w:rsidP="003C4BBC">
      <w:pPr>
        <w:spacing w:before="240"/>
        <w:ind w:right="91"/>
        <w:rPr>
          <w:rFonts w:ascii="Times New Roman" w:eastAsia="Calibri" w:hAnsi="Times New Roman" w:cs="Times New Roman"/>
          <w:b/>
          <w:bCs/>
          <w:kern w:val="0"/>
          <w:sz w:val="24"/>
          <w:szCs w:val="24"/>
          <w:u w:val="single"/>
          <w14:ligatures w14:val="none"/>
        </w:rPr>
      </w:pPr>
      <w:r w:rsidRPr="0052253B">
        <w:rPr>
          <w:rFonts w:ascii="Times New Roman" w:eastAsia="Calibri" w:hAnsi="Times New Roman" w:cs="Times New Roman"/>
          <w:b/>
          <w:bCs/>
          <w:kern w:val="0"/>
          <w:sz w:val="24"/>
          <w:szCs w:val="24"/>
          <w:u w:val="single"/>
          <w14:ligatures w14:val="none"/>
        </w:rPr>
        <w:t xml:space="preserve">Details of the </w:t>
      </w:r>
      <w:r w:rsidRPr="0052253B">
        <w:rPr>
          <w:rFonts w:ascii="Times New Roman" w:eastAsia="Calibri" w:hAnsi="Times New Roman" w:cs="Times New Roman"/>
          <w:b/>
          <w:i/>
          <w:kern w:val="0"/>
          <w:sz w:val="24"/>
          <w:szCs w:val="24"/>
          <w:u w:val="single"/>
          <w14:ligatures w14:val="none"/>
        </w:rPr>
        <w:t xml:space="preserve">Currency (Australian Coins) Amendment (2025 Royal Australian Mint No. </w:t>
      </w:r>
      <w:r w:rsidR="00F018B5">
        <w:rPr>
          <w:rFonts w:ascii="Times New Roman" w:eastAsia="Calibri" w:hAnsi="Times New Roman" w:cs="Times New Roman"/>
          <w:b/>
          <w:i/>
          <w:kern w:val="0"/>
          <w:sz w:val="24"/>
          <w:szCs w:val="24"/>
          <w:u w:val="single"/>
          <w14:ligatures w14:val="none"/>
        </w:rPr>
        <w:t>5</w:t>
      </w:r>
      <w:r w:rsidRPr="0052253B">
        <w:rPr>
          <w:rFonts w:ascii="Times New Roman" w:eastAsia="Calibri" w:hAnsi="Times New Roman" w:cs="Times New Roman"/>
          <w:b/>
          <w:i/>
          <w:kern w:val="0"/>
          <w:sz w:val="24"/>
          <w:szCs w:val="24"/>
          <w:u w:val="single"/>
          <w14:ligatures w14:val="none"/>
        </w:rPr>
        <w:t>) Determination 2025</w:t>
      </w:r>
    </w:p>
    <w:p w14:paraId="31574E69" w14:textId="4A07275D" w:rsidR="003C4BBC" w:rsidRPr="0052253B" w:rsidRDefault="003C4BBC" w:rsidP="003C4BBC">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Attachment sets out further details of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F018B5">
        <w:rPr>
          <w:rFonts w:ascii="Times New Roman" w:eastAsia="Calibri" w:hAnsi="Times New Roman" w:cs="Times New Roman"/>
          <w:i/>
          <w:kern w:val="0"/>
          <w:sz w:val="24"/>
          <w:szCs w:val="24"/>
          <w14:ligatures w14:val="none"/>
        </w:rPr>
        <w:t>5</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 xml:space="preserve"> (the Determination).</w:t>
      </w:r>
    </w:p>
    <w:p w14:paraId="7D67DC3F" w14:textId="77777777" w:rsidR="003C4BBC" w:rsidRPr="0052253B" w:rsidRDefault="003C4BBC" w:rsidP="003C4BBC">
      <w:pPr>
        <w:spacing w:before="240"/>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 xml:space="preserve">Section 1 – Name </w:t>
      </w:r>
    </w:p>
    <w:p w14:paraId="14794F61" w14:textId="71576AAD" w:rsidR="003C4BBC" w:rsidRPr="0052253B" w:rsidRDefault="003C4BBC" w:rsidP="003C4BBC">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name of the Determination is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F018B5">
        <w:rPr>
          <w:rFonts w:ascii="Times New Roman" w:eastAsia="Calibri" w:hAnsi="Times New Roman" w:cs="Times New Roman"/>
          <w:i/>
          <w:kern w:val="0"/>
          <w:sz w:val="24"/>
          <w:szCs w:val="24"/>
          <w14:ligatures w14:val="none"/>
        </w:rPr>
        <w:t>5</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w:t>
      </w:r>
    </w:p>
    <w:p w14:paraId="0CE704B3" w14:textId="77777777" w:rsidR="003C4BBC" w:rsidRPr="0052253B" w:rsidRDefault="003C4BBC" w:rsidP="003C4BBC">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2 – Commencement</w:t>
      </w:r>
    </w:p>
    <w:p w14:paraId="15ABECF2" w14:textId="77777777" w:rsidR="003C4BBC" w:rsidRPr="0052253B" w:rsidRDefault="003C4BBC" w:rsidP="003C4BBC">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section prescribes that the Determination commences the day after the Determination is registered.</w:t>
      </w:r>
    </w:p>
    <w:p w14:paraId="7FADAFF1" w14:textId="77777777" w:rsidR="003C4BBC" w:rsidRPr="0052253B" w:rsidRDefault="003C4BBC" w:rsidP="003C4BBC">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3 – Authority</w:t>
      </w:r>
    </w:p>
    <w:p w14:paraId="45439AF3" w14:textId="77777777" w:rsidR="003C4BBC" w:rsidRPr="0052253B" w:rsidRDefault="003C4BBC" w:rsidP="003C4BBC">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Determination is made under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4D9C336B" w14:textId="77777777" w:rsidR="003C4BBC" w:rsidRPr="0052253B" w:rsidRDefault="003C4BBC" w:rsidP="003C4BBC">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4 – Schedule</w:t>
      </w:r>
    </w:p>
    <w:p w14:paraId="7C6D7339" w14:textId="77777777" w:rsidR="003C4BBC" w:rsidRPr="0052253B" w:rsidRDefault="003C4BBC" w:rsidP="003C4BBC">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each instrument specified in a Schedule to the Determination is amended or repealed as set out in the Schedule. </w:t>
      </w:r>
    </w:p>
    <w:p w14:paraId="0DEA4C5E" w14:textId="77777777" w:rsidR="003C4BBC" w:rsidRPr="0052253B" w:rsidRDefault="003C4BBC" w:rsidP="003C4BBC">
      <w:pPr>
        <w:spacing w:after="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Schedule 1 – Amendments</w:t>
      </w:r>
    </w:p>
    <w:p w14:paraId="708072F5" w14:textId="77777777" w:rsidR="003C4BBC" w:rsidRPr="0052253B" w:rsidRDefault="003C4BBC" w:rsidP="003C4BBC">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Schedule 1 amends the </w:t>
      </w:r>
      <w:r w:rsidRPr="0052253B">
        <w:rPr>
          <w:rFonts w:ascii="Times New Roman" w:eastAsia="Calibri" w:hAnsi="Times New Roman" w:cs="Times New Roman"/>
          <w:i/>
          <w:kern w:val="0"/>
          <w:sz w:val="24"/>
          <w:szCs w:val="24"/>
          <w14:ligatures w14:val="none"/>
        </w:rPr>
        <w:t>Currency (Australian Coins) Determination 2019</w:t>
      </w:r>
      <w:r w:rsidRPr="0052253B">
        <w:rPr>
          <w:rFonts w:ascii="Times New Roman" w:eastAsia="Calibri" w:hAnsi="Times New Roman" w:cs="Times New Roman"/>
          <w:kern w:val="0"/>
          <w:sz w:val="24"/>
          <w:szCs w:val="24"/>
          <w14:ligatures w14:val="none"/>
        </w:rPr>
        <w:t xml:space="preserve"> by adding the details of new coin characteristics. The newly determined coin characteristics are set out below.</w:t>
      </w:r>
    </w:p>
    <w:p w14:paraId="0AC725C8" w14:textId="77777777" w:rsidR="003C4BBC" w:rsidRDefault="003C4BBC" w:rsidP="003C4BBC"/>
    <w:p w14:paraId="1501180A" w14:textId="77777777" w:rsidR="003C4BBC" w:rsidRDefault="003C4BBC" w:rsidP="003C4BBC">
      <w:r>
        <w:br w:type="page"/>
      </w:r>
    </w:p>
    <w:p w14:paraId="6603FBD1" w14:textId="77777777" w:rsidR="003C4BBC" w:rsidRDefault="003C4BBC" w:rsidP="003C4BBC">
      <w:pPr>
        <w:keepNext/>
        <w:keepLines/>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lastRenderedPageBreak/>
        <w:t xml:space="preserve">New non-circulating coins </w:t>
      </w:r>
    </w:p>
    <w:p w14:paraId="41E06601" w14:textId="77777777" w:rsidR="003C4BBC" w:rsidRDefault="003C4BBC" w:rsidP="003C4BBC">
      <w:pPr>
        <w:keepNext/>
        <w:keepLines/>
        <w:spacing w:after="0" w:line="240" w:lineRule="auto"/>
        <w:rPr>
          <w:i/>
          <w:iCs/>
        </w:rPr>
      </w:pPr>
    </w:p>
    <w:p w14:paraId="58B60F7A" w14:textId="3921F9D0" w:rsidR="003C4BBC" w:rsidRPr="002F5C32" w:rsidRDefault="003C4BBC" w:rsidP="003C4BBC">
      <w:pPr>
        <w:pStyle w:val="paragraph"/>
        <w:spacing w:before="0" w:beforeAutospacing="0" w:after="0" w:afterAutospacing="0"/>
        <w:textAlignment w:val="baseline"/>
        <w:rPr>
          <w:b/>
          <w:i/>
        </w:rPr>
      </w:pPr>
      <w:bookmarkStart w:id="1" w:name="bkSelection"/>
      <w:bookmarkEnd w:id="1"/>
      <w:r w:rsidRPr="002F5C32">
        <w:rPr>
          <w:b/>
          <w:i/>
        </w:rPr>
        <w:t xml:space="preserve">2025 </w:t>
      </w:r>
      <w:r w:rsidR="003F6085" w:rsidRPr="002F5C32">
        <w:rPr>
          <w:b/>
          <w:i/>
        </w:rPr>
        <w:t>20</w:t>
      </w:r>
      <w:r w:rsidR="00D83DA2" w:rsidRPr="002F5C32">
        <w:rPr>
          <w:b/>
          <w:i/>
        </w:rPr>
        <w:t>c</w:t>
      </w:r>
      <w:r w:rsidR="003F6085" w:rsidRPr="002F5C32">
        <w:rPr>
          <w:b/>
          <w:i/>
        </w:rPr>
        <w:t xml:space="preserve"> </w:t>
      </w:r>
      <w:r w:rsidR="00D83DA2" w:rsidRPr="002F5C32">
        <w:rPr>
          <w:b/>
          <w:i/>
        </w:rPr>
        <w:t xml:space="preserve">Coloured Uncirculated Coin – </w:t>
      </w:r>
      <w:r w:rsidR="00D83DA2" w:rsidRPr="00E50693">
        <w:rPr>
          <w:b/>
          <w:i/>
        </w:rPr>
        <w:t xml:space="preserve">The Rainbow Serpent </w:t>
      </w:r>
      <w:r w:rsidR="00D83DA2" w:rsidRPr="002F5C32">
        <w:rPr>
          <w:b/>
          <w:i/>
        </w:rPr>
        <w:t>50</w:t>
      </w:r>
      <w:r w:rsidR="00D83DA2" w:rsidRPr="002F5C32">
        <w:rPr>
          <w:b/>
          <w:i/>
          <w:vertAlign w:val="superscript"/>
        </w:rPr>
        <w:t>th</w:t>
      </w:r>
      <w:r w:rsidR="00D83DA2" w:rsidRPr="002F5C32">
        <w:rPr>
          <w:b/>
          <w:i/>
        </w:rPr>
        <w:t xml:space="preserve"> Anniversary</w:t>
      </w:r>
    </w:p>
    <w:p w14:paraId="5B7C905D" w14:textId="33CA5C01" w:rsidR="003C4BBC" w:rsidRPr="002F5C32" w:rsidRDefault="003C4BBC" w:rsidP="003C4BBC">
      <w:pPr>
        <w:pStyle w:val="paragraph"/>
        <w:spacing w:before="0" w:beforeAutospacing="0" w:after="0" w:afterAutospacing="0"/>
        <w:textAlignment w:val="baseline"/>
        <w:rPr>
          <w:b/>
          <w:i/>
        </w:rPr>
      </w:pPr>
      <w:r w:rsidRPr="002F5C32">
        <w:rPr>
          <w:b/>
          <w:i/>
        </w:rPr>
        <w:t xml:space="preserve">2025 </w:t>
      </w:r>
      <w:r w:rsidR="00D83DA2" w:rsidRPr="002F5C32">
        <w:rPr>
          <w:b/>
          <w:i/>
        </w:rPr>
        <w:t>20c</w:t>
      </w:r>
      <w:r w:rsidRPr="002F5C32">
        <w:rPr>
          <w:b/>
          <w:i/>
        </w:rPr>
        <w:t xml:space="preserve"> </w:t>
      </w:r>
      <w:r w:rsidR="00D83DA2" w:rsidRPr="002F5C32">
        <w:rPr>
          <w:b/>
          <w:i/>
        </w:rPr>
        <w:t>Gold-Plated Coloured Uncirculated Coin – The Rainbow Serpent 50</w:t>
      </w:r>
      <w:r w:rsidR="00D83DA2" w:rsidRPr="002F5C32">
        <w:rPr>
          <w:b/>
          <w:i/>
          <w:vertAlign w:val="superscript"/>
        </w:rPr>
        <w:t>th</w:t>
      </w:r>
      <w:r w:rsidR="00D83DA2" w:rsidRPr="002F5C32">
        <w:rPr>
          <w:b/>
          <w:i/>
        </w:rPr>
        <w:t xml:space="preserve"> Anniversary</w:t>
      </w:r>
    </w:p>
    <w:p w14:paraId="0C3B9893" w14:textId="63A7E497" w:rsidR="000E44AD" w:rsidRDefault="003C4BBC" w:rsidP="003C4BBC">
      <w:pPr>
        <w:pStyle w:val="paragraph"/>
        <w:spacing w:after="0" w:afterAutospacing="0"/>
        <w:textAlignment w:val="baseline"/>
        <w:rPr>
          <w:bCs/>
          <w:iCs/>
        </w:rPr>
      </w:pPr>
      <w:r w:rsidRPr="006C6054">
        <w:rPr>
          <w:bCs/>
          <w:iCs/>
        </w:rPr>
        <w:t xml:space="preserve">The design on the 2025 </w:t>
      </w:r>
      <w:r w:rsidR="009D73BB">
        <w:rPr>
          <w:bCs/>
          <w:iCs/>
        </w:rPr>
        <w:t>20c</w:t>
      </w:r>
      <w:r w:rsidRPr="006C6054">
        <w:rPr>
          <w:bCs/>
          <w:iCs/>
        </w:rPr>
        <w:t xml:space="preserve"> </w:t>
      </w:r>
      <w:r w:rsidR="00EE7CA5">
        <w:rPr>
          <w:bCs/>
          <w:iCs/>
        </w:rPr>
        <w:t>C</w:t>
      </w:r>
      <w:r w:rsidR="00380374">
        <w:rPr>
          <w:bCs/>
          <w:iCs/>
        </w:rPr>
        <w:t xml:space="preserve">oloured </w:t>
      </w:r>
      <w:r w:rsidR="00EE7CA5">
        <w:rPr>
          <w:bCs/>
          <w:iCs/>
        </w:rPr>
        <w:t>U</w:t>
      </w:r>
      <w:r w:rsidR="00380374">
        <w:rPr>
          <w:bCs/>
          <w:iCs/>
        </w:rPr>
        <w:t xml:space="preserve">ncirculated coins </w:t>
      </w:r>
      <w:r w:rsidRPr="006C6054">
        <w:rPr>
          <w:bCs/>
          <w:iCs/>
        </w:rPr>
        <w:t>–</w:t>
      </w:r>
      <w:r w:rsidR="00380374">
        <w:rPr>
          <w:bCs/>
          <w:iCs/>
        </w:rPr>
        <w:t xml:space="preserve"> </w:t>
      </w:r>
      <w:r w:rsidR="00380374" w:rsidRPr="00E50693">
        <w:rPr>
          <w:bCs/>
          <w:iCs/>
        </w:rPr>
        <w:t>The Rainbow Serpent</w:t>
      </w:r>
      <w:r w:rsidR="00380374">
        <w:rPr>
          <w:bCs/>
          <w:iCs/>
        </w:rPr>
        <w:t xml:space="preserve"> 50</w:t>
      </w:r>
      <w:r w:rsidR="00380374" w:rsidRPr="00380374">
        <w:rPr>
          <w:bCs/>
          <w:iCs/>
          <w:vertAlign w:val="superscript"/>
        </w:rPr>
        <w:t>th</w:t>
      </w:r>
      <w:r w:rsidR="00380374">
        <w:rPr>
          <w:bCs/>
          <w:iCs/>
        </w:rPr>
        <w:t xml:space="preserve"> Anniversary</w:t>
      </w:r>
      <w:r w:rsidR="00166D23">
        <w:rPr>
          <w:bCs/>
          <w:iCs/>
        </w:rPr>
        <w:t xml:space="preserve">, inspired by the Australian children’s book </w:t>
      </w:r>
      <w:r w:rsidR="00166D23" w:rsidRPr="00C302EF">
        <w:rPr>
          <w:bCs/>
          <w:i/>
        </w:rPr>
        <w:t xml:space="preserve">The Rainbow </w:t>
      </w:r>
      <w:r w:rsidR="00721A43" w:rsidRPr="00C302EF">
        <w:rPr>
          <w:bCs/>
          <w:i/>
        </w:rPr>
        <w:t>Serpent</w:t>
      </w:r>
      <w:r w:rsidR="00721A43">
        <w:rPr>
          <w:bCs/>
          <w:iCs/>
        </w:rPr>
        <w:t xml:space="preserve"> (1975) by Indigenous author and artist Dick </w:t>
      </w:r>
      <w:proofErr w:type="spellStart"/>
      <w:r w:rsidR="00721A43">
        <w:rPr>
          <w:bCs/>
          <w:iCs/>
        </w:rPr>
        <w:t>Roughsey</w:t>
      </w:r>
      <w:proofErr w:type="spellEnd"/>
      <w:r w:rsidR="007A1B0D">
        <w:rPr>
          <w:bCs/>
          <w:iCs/>
        </w:rPr>
        <w:t xml:space="preserve"> </w:t>
      </w:r>
      <w:r w:rsidR="007A1B0D" w:rsidRPr="007A1B0D">
        <w:rPr>
          <w:bCs/>
          <w:iCs/>
        </w:rPr>
        <w:t xml:space="preserve">(an adaptation of the Indigenous Australian mythological deity known as </w:t>
      </w:r>
      <w:proofErr w:type="spellStart"/>
      <w:r w:rsidR="007A1B0D" w:rsidRPr="007A1B0D">
        <w:rPr>
          <w:bCs/>
          <w:iCs/>
        </w:rPr>
        <w:t>Goorialla</w:t>
      </w:r>
      <w:proofErr w:type="spellEnd"/>
      <w:r w:rsidR="007A1B0D" w:rsidRPr="007A1B0D">
        <w:rPr>
          <w:bCs/>
          <w:iCs/>
        </w:rPr>
        <w:t>, the great Rainbow Serpent),</w:t>
      </w:r>
      <w:r w:rsidR="00380374">
        <w:rPr>
          <w:bCs/>
          <w:iCs/>
        </w:rPr>
        <w:t xml:space="preserve"> </w:t>
      </w:r>
      <w:r w:rsidRPr="006C6054">
        <w:rPr>
          <w:bCs/>
          <w:iCs/>
        </w:rPr>
        <w:t>consists of</w:t>
      </w:r>
      <w:r w:rsidR="00272F08">
        <w:rPr>
          <w:bCs/>
          <w:iCs/>
        </w:rPr>
        <w:t xml:space="preserve"> </w:t>
      </w:r>
      <w:r w:rsidR="000E44AD">
        <w:rPr>
          <w:bCs/>
          <w:iCs/>
        </w:rPr>
        <w:t>a circular border immediately inside the rim</w:t>
      </w:r>
      <w:r w:rsidR="00412954">
        <w:rPr>
          <w:bCs/>
          <w:iCs/>
        </w:rPr>
        <w:t>. Partially obscuring the border</w:t>
      </w:r>
      <w:r w:rsidR="004A1337">
        <w:rPr>
          <w:bCs/>
          <w:iCs/>
        </w:rPr>
        <w:t xml:space="preserve">, there is a stylised representation of </w:t>
      </w:r>
      <w:r w:rsidR="00FF70D1">
        <w:rPr>
          <w:bCs/>
          <w:iCs/>
        </w:rPr>
        <w:t xml:space="preserve">two </w:t>
      </w:r>
      <w:r w:rsidR="004A1337">
        <w:rPr>
          <w:bCs/>
          <w:iCs/>
        </w:rPr>
        <w:t>converging spears</w:t>
      </w:r>
      <w:r w:rsidR="009B5711">
        <w:rPr>
          <w:bCs/>
          <w:iCs/>
        </w:rPr>
        <w:t xml:space="preserve"> </w:t>
      </w:r>
      <w:r w:rsidR="004565DA">
        <w:rPr>
          <w:bCs/>
          <w:iCs/>
        </w:rPr>
        <w:t>dividing the coin into three unevenly divided sections, each enclosing a coloured</w:t>
      </w:r>
      <w:r w:rsidR="00FF70D1">
        <w:rPr>
          <w:bCs/>
          <w:iCs/>
        </w:rPr>
        <w:t xml:space="preserve"> stylised</w:t>
      </w:r>
      <w:r w:rsidR="004565DA">
        <w:rPr>
          <w:bCs/>
          <w:iCs/>
        </w:rPr>
        <w:t xml:space="preserve"> representation of</w:t>
      </w:r>
      <w:r w:rsidR="00FF70D1">
        <w:rPr>
          <w:bCs/>
          <w:iCs/>
        </w:rPr>
        <w:t>:</w:t>
      </w:r>
    </w:p>
    <w:p w14:paraId="5CB6F86F" w14:textId="07A7E1A4" w:rsidR="00067D56" w:rsidRDefault="00C94F2F" w:rsidP="00067D56">
      <w:pPr>
        <w:pStyle w:val="paragraph"/>
        <w:numPr>
          <w:ilvl w:val="0"/>
          <w:numId w:val="1"/>
        </w:numPr>
        <w:spacing w:before="0" w:beforeAutospacing="0" w:after="0" w:afterAutospacing="0"/>
        <w:textAlignment w:val="baseline"/>
        <w:rPr>
          <w:bCs/>
          <w:iCs/>
        </w:rPr>
      </w:pPr>
      <w:proofErr w:type="spellStart"/>
      <w:r>
        <w:rPr>
          <w:bCs/>
          <w:iCs/>
        </w:rPr>
        <w:t>Goorialla</w:t>
      </w:r>
      <w:proofErr w:type="spellEnd"/>
      <w:r>
        <w:rPr>
          <w:bCs/>
          <w:iCs/>
        </w:rPr>
        <w:t xml:space="preserve"> </w:t>
      </w:r>
      <w:proofErr w:type="gramStart"/>
      <w:r>
        <w:rPr>
          <w:bCs/>
          <w:iCs/>
        </w:rPr>
        <w:t>rising up</w:t>
      </w:r>
      <w:proofErr w:type="gramEnd"/>
      <w:r>
        <w:rPr>
          <w:bCs/>
          <w:iCs/>
        </w:rPr>
        <w:t xml:space="preserve"> on the horizon of a desert landscape; and</w:t>
      </w:r>
    </w:p>
    <w:p w14:paraId="73AEFE3F" w14:textId="3D4B3CAD" w:rsidR="00C94F2F" w:rsidRDefault="00C94F2F" w:rsidP="00067D56">
      <w:pPr>
        <w:pStyle w:val="paragraph"/>
        <w:numPr>
          <w:ilvl w:val="0"/>
          <w:numId w:val="1"/>
        </w:numPr>
        <w:spacing w:before="0" w:beforeAutospacing="0" w:after="0" w:afterAutospacing="0"/>
        <w:textAlignment w:val="baseline"/>
        <w:rPr>
          <w:bCs/>
          <w:iCs/>
        </w:rPr>
      </w:pPr>
      <w:proofErr w:type="spellStart"/>
      <w:r>
        <w:rPr>
          <w:bCs/>
          <w:iCs/>
        </w:rPr>
        <w:t>Goorialla</w:t>
      </w:r>
      <w:proofErr w:type="spellEnd"/>
      <w:r w:rsidR="00C7069A">
        <w:rPr>
          <w:bCs/>
          <w:iCs/>
        </w:rPr>
        <w:t xml:space="preserve">, </w:t>
      </w:r>
      <w:r>
        <w:rPr>
          <w:bCs/>
          <w:iCs/>
        </w:rPr>
        <w:t>with its body partially coiled and tongue sticking out from its mo</w:t>
      </w:r>
      <w:r w:rsidR="00DC7B6F">
        <w:rPr>
          <w:bCs/>
          <w:iCs/>
        </w:rPr>
        <w:t>u</w:t>
      </w:r>
      <w:r>
        <w:rPr>
          <w:bCs/>
          <w:iCs/>
        </w:rPr>
        <w:t xml:space="preserve">th, with trees, partially obscured by </w:t>
      </w:r>
      <w:proofErr w:type="spellStart"/>
      <w:r>
        <w:rPr>
          <w:bCs/>
          <w:iCs/>
        </w:rPr>
        <w:t>Goorialla</w:t>
      </w:r>
      <w:proofErr w:type="spellEnd"/>
      <w:r w:rsidR="006260D4">
        <w:rPr>
          <w:bCs/>
          <w:iCs/>
        </w:rPr>
        <w:t>, in the background; and</w:t>
      </w:r>
    </w:p>
    <w:p w14:paraId="369EE2D1" w14:textId="51613228" w:rsidR="006260D4" w:rsidRDefault="006260D4" w:rsidP="00067D56">
      <w:pPr>
        <w:pStyle w:val="paragraph"/>
        <w:numPr>
          <w:ilvl w:val="0"/>
          <w:numId w:val="1"/>
        </w:numPr>
        <w:spacing w:before="0" w:beforeAutospacing="0" w:after="0" w:afterAutospacing="0"/>
        <w:textAlignment w:val="baseline"/>
        <w:rPr>
          <w:bCs/>
          <w:iCs/>
        </w:rPr>
      </w:pPr>
      <w:r>
        <w:rPr>
          <w:bCs/>
          <w:iCs/>
        </w:rPr>
        <w:t>four Indigenous people standing together on grass, three of them each holding a spear</w:t>
      </w:r>
      <w:r w:rsidR="00D53416">
        <w:rPr>
          <w:bCs/>
          <w:iCs/>
        </w:rPr>
        <w:t>, with a tree, the beach, the ocean and the sky in the background</w:t>
      </w:r>
      <w:r w:rsidR="00103F73">
        <w:rPr>
          <w:bCs/>
          <w:iCs/>
        </w:rPr>
        <w:t>.</w:t>
      </w:r>
    </w:p>
    <w:p w14:paraId="66C54199" w14:textId="5B0036CE" w:rsidR="001F73BC" w:rsidRPr="00067D56" w:rsidRDefault="000E6D63" w:rsidP="001F73BC">
      <w:pPr>
        <w:pStyle w:val="paragraph"/>
        <w:spacing w:before="0" w:beforeAutospacing="0" w:after="0" w:afterAutospacing="0"/>
        <w:textAlignment w:val="baseline"/>
        <w:rPr>
          <w:bCs/>
          <w:iCs/>
        </w:rPr>
      </w:pPr>
      <w:r>
        <w:rPr>
          <w:bCs/>
          <w:iCs/>
        </w:rPr>
        <w:t xml:space="preserve">Partially </w:t>
      </w:r>
      <w:r w:rsidR="00C302EF">
        <w:rPr>
          <w:bCs/>
          <w:iCs/>
        </w:rPr>
        <w:t xml:space="preserve">obscuring the border, </w:t>
      </w:r>
      <w:r w:rsidR="006B16A7">
        <w:rPr>
          <w:bCs/>
          <w:iCs/>
        </w:rPr>
        <w:t xml:space="preserve">the converging </w:t>
      </w:r>
      <w:r w:rsidR="00C302EF">
        <w:rPr>
          <w:bCs/>
          <w:iCs/>
        </w:rPr>
        <w:t xml:space="preserve">spears and each </w:t>
      </w:r>
      <w:r w:rsidR="00C46E29">
        <w:rPr>
          <w:bCs/>
          <w:iCs/>
        </w:rPr>
        <w:t>unevenly divided section</w:t>
      </w:r>
      <w:r w:rsidR="00C302EF">
        <w:rPr>
          <w:bCs/>
          <w:iCs/>
        </w:rPr>
        <w:t xml:space="preserve">, there is a stylised representation of </w:t>
      </w:r>
      <w:proofErr w:type="spellStart"/>
      <w:r w:rsidR="00C302EF">
        <w:rPr>
          <w:bCs/>
          <w:iCs/>
        </w:rPr>
        <w:t>Goorialla</w:t>
      </w:r>
      <w:proofErr w:type="spellEnd"/>
      <w:r w:rsidR="00C302EF">
        <w:rPr>
          <w:bCs/>
          <w:iCs/>
        </w:rPr>
        <w:t xml:space="preserve">, as depicted in </w:t>
      </w:r>
      <w:r w:rsidR="00C302EF" w:rsidRPr="00C302EF">
        <w:rPr>
          <w:bCs/>
          <w:i/>
        </w:rPr>
        <w:t>The Rainbow Serpent</w:t>
      </w:r>
      <w:r w:rsidR="004F4A36">
        <w:rPr>
          <w:bCs/>
          <w:iCs/>
        </w:rPr>
        <w:t>, slithering around a rocky mountain with its mouth open, with rocks falling from each side of the mountain. The design includes the following inscriptions</w:t>
      </w:r>
      <w:r w:rsidR="005E0B20">
        <w:rPr>
          <w:bCs/>
          <w:iCs/>
        </w:rPr>
        <w:t>: “50</w:t>
      </w:r>
      <w:r w:rsidR="00DC7B6F" w:rsidRPr="008439F8">
        <w:rPr>
          <w:bCs/>
          <w:iCs/>
          <w:vertAlign w:val="superscript"/>
        </w:rPr>
        <w:t>TH</w:t>
      </w:r>
      <w:r w:rsidR="00035F8C">
        <w:rPr>
          <w:bCs/>
          <w:iCs/>
        </w:rPr>
        <w:t xml:space="preserve"> </w:t>
      </w:r>
      <w:r w:rsidR="005E0B20">
        <w:rPr>
          <w:bCs/>
          <w:iCs/>
        </w:rPr>
        <w:t>ANNIVERSARY OF THE RAINBOW SERPENT”</w:t>
      </w:r>
      <w:r w:rsidR="00B24B06">
        <w:rPr>
          <w:bCs/>
          <w:iCs/>
        </w:rPr>
        <w:t>;</w:t>
      </w:r>
      <w:r w:rsidR="003B4EEE">
        <w:rPr>
          <w:bCs/>
          <w:iCs/>
        </w:rPr>
        <w:t xml:space="preserve"> and</w:t>
      </w:r>
      <w:r w:rsidR="00B24B06">
        <w:rPr>
          <w:bCs/>
          <w:iCs/>
        </w:rPr>
        <w:t xml:space="preserve"> </w:t>
      </w:r>
      <w:r w:rsidR="005B14D1" w:rsidRPr="005B14D1">
        <w:rPr>
          <w:bCs/>
          <w:iCs/>
        </w:rPr>
        <w:t>Arabic numerals for the amount, in dollars or cents, of the denomination of the coin, followed by “DOLLAR”, “DOLLARS” or “CENTS” as the case requires</w:t>
      </w:r>
      <w:r w:rsidR="003B4EEE">
        <w:rPr>
          <w:bCs/>
          <w:iCs/>
        </w:rPr>
        <w:t>.</w:t>
      </w:r>
    </w:p>
    <w:p w14:paraId="6770E3B8" w14:textId="1D7A4ECC" w:rsidR="006244DF" w:rsidRDefault="003C4BBC" w:rsidP="002C09D0">
      <w:pPr>
        <w:pStyle w:val="paragraph"/>
        <w:textAlignment w:val="baseline"/>
      </w:pPr>
      <w:r w:rsidRPr="006C6054">
        <w:t>Consistent with the tradition of an effigy of the reigning monarch appearing on the obverse side of all Australian legal tender coinage, an effigy of His Majesty King Charles III will appear on the obverse side of the coin</w:t>
      </w:r>
      <w:r>
        <w:t>s</w:t>
      </w:r>
      <w:r w:rsidRPr="006C6054">
        <w:t xml:space="preserve"> together with the inscriptions “CHARLES III”, “AUSTRALIA”,</w:t>
      </w:r>
      <w:r>
        <w:t xml:space="preserve"> and</w:t>
      </w:r>
      <w:r w:rsidRPr="006C6054">
        <w:t xml:space="preserve"> the inscription, in numerals, of a year</w:t>
      </w:r>
      <w:r>
        <w:t>.</w:t>
      </w:r>
      <w:r w:rsidRPr="006C6054">
        <w:t xml:space="preserve"> The obverse design includes the initials of the designer Dan Thorne “DT”.</w:t>
      </w:r>
    </w:p>
    <w:p w14:paraId="1B20B0B2" w14:textId="390AF4DD" w:rsidR="00583CFC" w:rsidRDefault="00583CFC" w:rsidP="002C09D0">
      <w:pPr>
        <w:pStyle w:val="paragraph"/>
        <w:spacing w:after="0" w:afterAutospacing="0"/>
        <w:rPr>
          <w:b/>
          <w:bCs/>
          <w:i/>
          <w:iCs/>
        </w:rPr>
      </w:pPr>
      <w:r>
        <w:rPr>
          <w:b/>
          <w:bCs/>
          <w:i/>
          <w:iCs/>
        </w:rPr>
        <w:t>2026 $</w:t>
      </w:r>
      <w:r w:rsidRPr="008E5616">
        <w:rPr>
          <w:b/>
          <w:bCs/>
          <w:i/>
          <w:iCs/>
        </w:rPr>
        <w:t xml:space="preserve">10 </w:t>
      </w:r>
      <w:r w:rsidRPr="00E50693">
        <w:rPr>
          <w:b/>
          <w:bCs/>
          <w:i/>
          <w:iCs/>
        </w:rPr>
        <w:t>‘C’</w:t>
      </w:r>
      <w:r w:rsidRPr="008E5616">
        <w:rPr>
          <w:b/>
          <w:bCs/>
          <w:i/>
          <w:iCs/>
        </w:rPr>
        <w:t xml:space="preserve"> Mintmark Gold Proof Coin – Australian Decimal Currency 60</w:t>
      </w:r>
      <w:r w:rsidRPr="008E5616">
        <w:rPr>
          <w:b/>
          <w:bCs/>
          <w:i/>
          <w:iCs/>
          <w:vertAlign w:val="superscript"/>
        </w:rPr>
        <w:t>th</w:t>
      </w:r>
      <w:r w:rsidRPr="008E5616">
        <w:rPr>
          <w:b/>
          <w:bCs/>
          <w:i/>
          <w:iCs/>
        </w:rPr>
        <w:t xml:space="preserve"> Anniversary</w:t>
      </w:r>
    </w:p>
    <w:p w14:paraId="646AD31C" w14:textId="1C203868" w:rsidR="006244DF" w:rsidRPr="003C7CA8" w:rsidRDefault="006244DF" w:rsidP="003C7CA8">
      <w:pPr>
        <w:pStyle w:val="paragraph"/>
        <w:spacing w:before="0" w:beforeAutospacing="0" w:after="0" w:afterAutospacing="0"/>
        <w:textAlignment w:val="baseline"/>
        <w:rPr>
          <w:b/>
          <w:bCs/>
          <w:i/>
          <w:iCs/>
        </w:rPr>
      </w:pPr>
      <w:r w:rsidRPr="003C7CA8">
        <w:rPr>
          <w:b/>
          <w:bCs/>
          <w:i/>
          <w:iCs/>
        </w:rPr>
        <w:t>2026 $1 ‘C’ Mintmark Silver Proof Coin – Australian Decimal Currency 60</w:t>
      </w:r>
      <w:r w:rsidRPr="003C7CA8">
        <w:rPr>
          <w:b/>
          <w:bCs/>
          <w:i/>
          <w:iCs/>
          <w:vertAlign w:val="superscript"/>
        </w:rPr>
        <w:t>th</w:t>
      </w:r>
      <w:r w:rsidRPr="003C7CA8">
        <w:rPr>
          <w:b/>
          <w:bCs/>
          <w:i/>
          <w:iCs/>
        </w:rPr>
        <w:t xml:space="preserve"> Anniversary</w:t>
      </w:r>
    </w:p>
    <w:p w14:paraId="7131C91D" w14:textId="77777777" w:rsidR="006244DF" w:rsidRPr="003C7CA8" w:rsidRDefault="006244DF" w:rsidP="00E50693">
      <w:pPr>
        <w:pStyle w:val="paragraph"/>
        <w:spacing w:before="0" w:beforeAutospacing="0" w:after="0" w:afterAutospacing="0"/>
        <w:rPr>
          <w:b/>
          <w:bCs/>
          <w:i/>
          <w:iCs/>
        </w:rPr>
      </w:pPr>
      <w:r w:rsidRPr="003C7CA8">
        <w:rPr>
          <w:b/>
          <w:bCs/>
          <w:i/>
          <w:iCs/>
        </w:rPr>
        <w:t>2026 $1 ‘C’ Mintmark Uncirculated Coin – Australian Decimal Currency 60</w:t>
      </w:r>
      <w:r w:rsidRPr="003C7CA8">
        <w:rPr>
          <w:b/>
          <w:bCs/>
          <w:i/>
          <w:iCs/>
          <w:vertAlign w:val="superscript"/>
        </w:rPr>
        <w:t>th</w:t>
      </w:r>
      <w:r w:rsidRPr="003C7CA8">
        <w:rPr>
          <w:b/>
          <w:bCs/>
          <w:i/>
          <w:iCs/>
        </w:rPr>
        <w:t xml:space="preserve"> Anniversary</w:t>
      </w:r>
    </w:p>
    <w:p w14:paraId="277CDBF7" w14:textId="77777777" w:rsidR="006244DF" w:rsidRPr="003C7CA8" w:rsidRDefault="006244DF" w:rsidP="00E50693">
      <w:pPr>
        <w:pStyle w:val="paragraph"/>
        <w:spacing w:before="0" w:beforeAutospacing="0" w:after="0" w:afterAutospacing="0"/>
        <w:rPr>
          <w:b/>
          <w:bCs/>
          <w:i/>
          <w:iCs/>
        </w:rPr>
      </w:pPr>
      <w:r w:rsidRPr="003C7CA8">
        <w:rPr>
          <w:b/>
          <w:bCs/>
          <w:i/>
          <w:iCs/>
        </w:rPr>
        <w:t>2026 $1 ‘S’ Privy Mark Uncirculated Coin – Australian Decimal Currency 60</w:t>
      </w:r>
      <w:r w:rsidRPr="003C7CA8">
        <w:rPr>
          <w:b/>
          <w:bCs/>
          <w:i/>
          <w:iCs/>
          <w:vertAlign w:val="superscript"/>
        </w:rPr>
        <w:t>th</w:t>
      </w:r>
      <w:r w:rsidRPr="003C7CA8">
        <w:rPr>
          <w:b/>
          <w:bCs/>
          <w:i/>
          <w:iCs/>
        </w:rPr>
        <w:t xml:space="preserve"> Anniversary</w:t>
      </w:r>
    </w:p>
    <w:p w14:paraId="3344374F" w14:textId="20A78EFE" w:rsidR="006244DF" w:rsidRPr="00E50693" w:rsidRDefault="009C014A" w:rsidP="00E50693">
      <w:pPr>
        <w:pStyle w:val="paragraph"/>
        <w:spacing w:before="0" w:beforeAutospacing="0" w:after="0" w:afterAutospacing="0"/>
        <w:textAlignment w:val="baseline"/>
        <w:rPr>
          <w:b/>
          <w:bCs/>
          <w:i/>
          <w:iCs/>
        </w:rPr>
      </w:pPr>
      <w:r w:rsidRPr="00E50693">
        <w:rPr>
          <w:b/>
          <w:bCs/>
          <w:i/>
          <w:iCs/>
        </w:rPr>
        <w:t>2026 $1 ‘M’ Privy Mark Uncirculated Coin – Australian Decimal Currency 60th Anniversary</w:t>
      </w:r>
    </w:p>
    <w:p w14:paraId="4D63714F" w14:textId="3E971B5C" w:rsidR="009C014A" w:rsidRPr="00E50693" w:rsidRDefault="009C014A" w:rsidP="00E50693">
      <w:pPr>
        <w:pStyle w:val="paragraph"/>
        <w:spacing w:before="0" w:beforeAutospacing="0" w:after="0" w:afterAutospacing="0"/>
        <w:textAlignment w:val="baseline"/>
        <w:rPr>
          <w:b/>
          <w:bCs/>
          <w:i/>
          <w:iCs/>
        </w:rPr>
      </w:pPr>
      <w:r w:rsidRPr="00E50693">
        <w:rPr>
          <w:b/>
          <w:bCs/>
          <w:i/>
          <w:iCs/>
        </w:rPr>
        <w:t>2026 $1 ‘B’ Privy Mark Uncirculated Coin – Australian Decimal Currency 60th Anniversary</w:t>
      </w:r>
    </w:p>
    <w:p w14:paraId="5EC93EBA" w14:textId="6C856C09" w:rsidR="00C93295" w:rsidRPr="00E50693" w:rsidRDefault="00C93295" w:rsidP="00E50693">
      <w:pPr>
        <w:pStyle w:val="paragraph"/>
        <w:spacing w:before="0" w:beforeAutospacing="0" w:after="0" w:afterAutospacing="0"/>
        <w:textAlignment w:val="baseline"/>
        <w:rPr>
          <w:b/>
          <w:bCs/>
          <w:i/>
          <w:iCs/>
        </w:rPr>
      </w:pPr>
      <w:r w:rsidRPr="00E50693">
        <w:rPr>
          <w:b/>
          <w:bCs/>
          <w:i/>
          <w:iCs/>
        </w:rPr>
        <w:t>2026 $1 ‘Flower’ Privy Mark Uncirculated Coin – Australian Decimal Currency 60th Anniversary</w:t>
      </w:r>
    </w:p>
    <w:p w14:paraId="7D159DD0" w14:textId="6D47AED9" w:rsidR="00C93295" w:rsidRPr="00E50693" w:rsidRDefault="00C93295" w:rsidP="00E50693">
      <w:pPr>
        <w:pStyle w:val="paragraph"/>
        <w:spacing w:before="0" w:beforeAutospacing="0" w:after="0" w:afterAutospacing="0"/>
        <w:textAlignment w:val="baseline"/>
        <w:rPr>
          <w:b/>
          <w:bCs/>
          <w:i/>
          <w:iCs/>
        </w:rPr>
      </w:pPr>
      <w:r w:rsidRPr="00E50693">
        <w:rPr>
          <w:b/>
          <w:bCs/>
          <w:i/>
          <w:iCs/>
        </w:rPr>
        <w:t>2026 $1 ‘Envelope’ Privy Mark Uncirculated Coin – Australian Decimal Currency 60th Anniversary</w:t>
      </w:r>
    </w:p>
    <w:p w14:paraId="46300A0C" w14:textId="6AF5A106" w:rsidR="00C93295" w:rsidRPr="00E50693" w:rsidRDefault="00C93295" w:rsidP="00E50693">
      <w:pPr>
        <w:pStyle w:val="paragraph"/>
        <w:spacing w:before="0" w:beforeAutospacing="0" w:after="0" w:afterAutospacing="0"/>
        <w:textAlignment w:val="baseline"/>
        <w:rPr>
          <w:b/>
          <w:bCs/>
          <w:i/>
          <w:iCs/>
        </w:rPr>
      </w:pPr>
      <w:r w:rsidRPr="00E50693">
        <w:rPr>
          <w:b/>
          <w:bCs/>
          <w:i/>
          <w:iCs/>
        </w:rPr>
        <w:t>2026 $1 Uncirculated Coin – Australian Decimal Currency 60th Anniversary</w:t>
      </w:r>
    </w:p>
    <w:p w14:paraId="261B9067" w14:textId="5902F4FE" w:rsidR="00C93295" w:rsidRPr="00E50693" w:rsidRDefault="00C93295" w:rsidP="00E50693">
      <w:pPr>
        <w:pStyle w:val="paragraph"/>
        <w:spacing w:before="0" w:beforeAutospacing="0" w:after="0" w:afterAutospacing="0"/>
        <w:textAlignment w:val="baseline"/>
        <w:rPr>
          <w:b/>
          <w:bCs/>
          <w:i/>
          <w:iCs/>
        </w:rPr>
      </w:pPr>
      <w:r w:rsidRPr="00E50693">
        <w:rPr>
          <w:b/>
          <w:bCs/>
          <w:i/>
          <w:iCs/>
        </w:rPr>
        <w:t>2026 $1 ‘S’ Counterstamp Uncirculated Coin – Australian Decimal Currency 60th Anniversary</w:t>
      </w:r>
    </w:p>
    <w:p w14:paraId="480127BC" w14:textId="3BB5CF16" w:rsidR="002F79D9" w:rsidRPr="00E50693" w:rsidRDefault="002F79D9" w:rsidP="00E50693">
      <w:pPr>
        <w:pStyle w:val="paragraph"/>
        <w:spacing w:before="0" w:beforeAutospacing="0" w:after="0" w:afterAutospacing="0"/>
        <w:textAlignment w:val="baseline"/>
        <w:rPr>
          <w:b/>
          <w:bCs/>
          <w:i/>
          <w:iCs/>
        </w:rPr>
      </w:pPr>
      <w:r w:rsidRPr="00E50693">
        <w:rPr>
          <w:b/>
          <w:bCs/>
          <w:i/>
          <w:iCs/>
        </w:rPr>
        <w:t>2026 $1 ‘B’ Counterstamp Uncirculated Coin – Australian Decimal Currency 60th Anniversary</w:t>
      </w:r>
    </w:p>
    <w:p w14:paraId="0DDD5C3F" w14:textId="325A3836" w:rsidR="002F79D9" w:rsidRPr="00E50693" w:rsidRDefault="002F79D9" w:rsidP="00E50693">
      <w:pPr>
        <w:pStyle w:val="paragraph"/>
        <w:spacing w:before="0" w:beforeAutospacing="0" w:after="0" w:afterAutospacing="0"/>
        <w:textAlignment w:val="baseline"/>
        <w:rPr>
          <w:b/>
          <w:bCs/>
          <w:i/>
          <w:iCs/>
        </w:rPr>
      </w:pPr>
      <w:r w:rsidRPr="00E50693">
        <w:rPr>
          <w:b/>
          <w:bCs/>
          <w:i/>
          <w:iCs/>
        </w:rPr>
        <w:lastRenderedPageBreak/>
        <w:t>2026 $1 ‘M’ Counterstamp Uncirculated Coin – Australian Decimal Currency 60th Anniversary</w:t>
      </w:r>
    </w:p>
    <w:p w14:paraId="5C3EF404" w14:textId="6958D987" w:rsidR="002F79D9" w:rsidRPr="00E50693" w:rsidRDefault="002F79D9" w:rsidP="00E50693">
      <w:pPr>
        <w:pStyle w:val="paragraph"/>
        <w:spacing w:before="0" w:beforeAutospacing="0" w:after="0" w:afterAutospacing="0"/>
        <w:textAlignment w:val="baseline"/>
        <w:rPr>
          <w:b/>
          <w:bCs/>
          <w:i/>
          <w:iCs/>
        </w:rPr>
      </w:pPr>
      <w:r w:rsidRPr="00E50693">
        <w:rPr>
          <w:b/>
          <w:bCs/>
          <w:i/>
          <w:iCs/>
        </w:rPr>
        <w:t>2026 $1 ‘A’ Counterstamp Uncirculated Coin – Australian Decimal Currency 60th Anniversary</w:t>
      </w:r>
    </w:p>
    <w:p w14:paraId="2EB59FC6" w14:textId="77777777" w:rsidR="003C7CA8" w:rsidRDefault="002F79D9" w:rsidP="00E50693">
      <w:pPr>
        <w:pStyle w:val="paragraph"/>
        <w:spacing w:before="0" w:beforeAutospacing="0" w:after="0" w:afterAutospacing="0"/>
        <w:rPr>
          <w:b/>
          <w:bCs/>
          <w:i/>
          <w:iCs/>
        </w:rPr>
      </w:pPr>
      <w:r w:rsidRPr="00E50693">
        <w:rPr>
          <w:b/>
          <w:bCs/>
          <w:i/>
          <w:iCs/>
        </w:rPr>
        <w:t>2026 $1 ‘P’ Counterstamp Uncirculated Coin – Australian Decimal Currency 60th Anniversary</w:t>
      </w:r>
    </w:p>
    <w:p w14:paraId="10E62905" w14:textId="7F33BAF3" w:rsidR="002F4C04" w:rsidRDefault="002F4C04" w:rsidP="00E50693">
      <w:pPr>
        <w:pStyle w:val="paragraph"/>
        <w:spacing w:before="0" w:beforeAutospacing="0" w:after="0" w:afterAutospacing="0"/>
        <w:rPr>
          <w:b/>
          <w:bCs/>
          <w:i/>
          <w:iCs/>
        </w:rPr>
      </w:pPr>
      <w:r w:rsidRPr="002F4C04">
        <w:rPr>
          <w:b/>
          <w:bCs/>
          <w:i/>
          <w:iCs/>
        </w:rPr>
        <w:t>2026 $1 ‘Australia Map’ Counterstamp Uncirculated Coin – Australian Decimal Currency 60th Anniversary</w:t>
      </w:r>
    </w:p>
    <w:p w14:paraId="3F14E593" w14:textId="55B16D2C" w:rsidR="00EC0F93" w:rsidRPr="008E5616" w:rsidRDefault="00E50693" w:rsidP="002C09D0">
      <w:pPr>
        <w:pStyle w:val="paragraph"/>
        <w:spacing w:before="0" w:beforeAutospacing="0"/>
        <w:rPr>
          <w:b/>
          <w:bCs/>
          <w:i/>
          <w:iCs/>
        </w:rPr>
      </w:pPr>
      <w:r w:rsidRPr="00E50693">
        <w:rPr>
          <w:b/>
          <w:bCs/>
          <w:i/>
          <w:iCs/>
        </w:rPr>
        <w:t>2026 $1 ‘60’ Counterstamp Uncirculated Coin – Australian Decimal Currency 60th Anniversary</w:t>
      </w:r>
    </w:p>
    <w:p w14:paraId="2EFD6252" w14:textId="42F944F8" w:rsidR="006E4647" w:rsidRPr="006E4647" w:rsidRDefault="00EC0F93" w:rsidP="002C09D0">
      <w:pPr>
        <w:pStyle w:val="paragraph"/>
        <w:spacing w:before="0" w:beforeAutospacing="0" w:after="0" w:afterAutospacing="0"/>
        <w:textAlignment w:val="baseline"/>
      </w:pPr>
      <w:r w:rsidRPr="00E50693">
        <w:t>The design</w:t>
      </w:r>
      <w:r w:rsidRPr="008E5616">
        <w:t xml:space="preserve"> on the 2026 Australian Decimal Currency 60</w:t>
      </w:r>
      <w:r w:rsidRPr="008E5616">
        <w:rPr>
          <w:vertAlign w:val="superscript"/>
        </w:rPr>
        <w:t>th</w:t>
      </w:r>
      <w:r w:rsidRPr="008E5616">
        <w:t xml:space="preserve"> Anniversary </w:t>
      </w:r>
      <w:r w:rsidR="00BF3654">
        <w:t>coins</w:t>
      </w:r>
      <w:r w:rsidR="00583CFC">
        <w:t xml:space="preserve"> </w:t>
      </w:r>
      <w:proofErr w:type="gramStart"/>
      <w:r w:rsidRPr="008E5616">
        <w:t>consists</w:t>
      </w:r>
      <w:proofErr w:type="gramEnd"/>
      <w:r w:rsidRPr="008E5616">
        <w:t xml:space="preserve"> of a central circle enclosing “60”</w:t>
      </w:r>
      <w:r>
        <w:t xml:space="preserve"> and “YEARS”</w:t>
      </w:r>
      <w:r w:rsidRPr="008E5616">
        <w:t xml:space="preserve">. Surrounding and partially obscured by the central circle, there is a stylised representation of the following: a lyrebird; a kangaroo; an echidna; a platypus; a feathertail glider; a frilled-neck lizard; an emu; and five stars. Partially obscured by the animals, </w:t>
      </w:r>
      <w:r>
        <w:t xml:space="preserve">the </w:t>
      </w:r>
      <w:r w:rsidRPr="008E5616">
        <w:t>five stars and</w:t>
      </w:r>
      <w:r>
        <w:t xml:space="preserve"> the</w:t>
      </w:r>
      <w:r w:rsidRPr="008E5616">
        <w:t xml:space="preserve"> central circle, there is a stylised representation of</w:t>
      </w:r>
      <w:r w:rsidR="005329EF">
        <w:t xml:space="preserve"> a</w:t>
      </w:r>
      <w:r w:rsidRPr="008E5616">
        <w:t xml:space="preserve"> ribbon </w:t>
      </w:r>
      <w:r>
        <w:t xml:space="preserve">weaving between </w:t>
      </w:r>
      <w:r w:rsidRPr="008E5616">
        <w:t>the animals. The</w:t>
      </w:r>
      <w:r>
        <w:t xml:space="preserve"> design includes the following inscriptions: “AUSTRALIAN DECIMAL CURRENCY”; </w:t>
      </w:r>
      <w:r w:rsidR="0092403D">
        <w:t xml:space="preserve">and </w:t>
      </w:r>
      <w:r w:rsidRPr="00AC0466">
        <w:t>the denomination of the coin</w:t>
      </w:r>
      <w:r w:rsidR="00546B70">
        <w:t xml:space="preserve"> in words</w:t>
      </w:r>
      <w:r w:rsidRPr="00AC0466">
        <w:t>, followed by “DOLLAR”, “DOLLARS” or “CENTS” as the case requires</w:t>
      </w:r>
      <w:r w:rsidR="00651E4F">
        <w:t>.</w:t>
      </w:r>
      <w:r w:rsidR="000D5644">
        <w:t xml:space="preserve"> On</w:t>
      </w:r>
      <w:r w:rsidR="006E4647" w:rsidRPr="006E4647">
        <w:t xml:space="preserve"> the mintmark, privy mark and counterstamp coins is either a mintmark, privy mark or counterstamp of the following nature:</w:t>
      </w:r>
    </w:p>
    <w:p w14:paraId="49B1BF93" w14:textId="77777777" w:rsidR="006E4647" w:rsidRPr="00317CF9" w:rsidRDefault="006E4647"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the letter “C”, denoting Canberra; or</w:t>
      </w:r>
    </w:p>
    <w:p w14:paraId="430F57CC" w14:textId="77777777" w:rsidR="006E4647" w:rsidRPr="00317CF9" w:rsidRDefault="006E4647"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the letter “S”, denoting Sydney, enclosed in a square; or</w:t>
      </w:r>
    </w:p>
    <w:p w14:paraId="3EA80E71" w14:textId="77777777" w:rsidR="006E4647" w:rsidRPr="00317CF9" w:rsidRDefault="006E4647"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the letter “M” denoting Melbourne, enclosed in a square; or</w:t>
      </w:r>
    </w:p>
    <w:p w14:paraId="503EDD04" w14:textId="77777777" w:rsidR="006E4647" w:rsidRPr="00AB69AB" w:rsidRDefault="006E4647" w:rsidP="00E50693">
      <w:pPr>
        <w:pStyle w:val="ListParagraph"/>
        <w:numPr>
          <w:ilvl w:val="0"/>
          <w:numId w:val="7"/>
        </w:numPr>
        <w:spacing w:before="120" w:after="120" w:line="240" w:lineRule="auto"/>
        <w:ind w:left="714" w:hanging="357"/>
        <w:contextualSpacing w:val="0"/>
        <w:rPr>
          <w:rFonts w:ascii="Times New Roman" w:hAnsi="Times New Roman" w:cs="Times New Roman"/>
          <w:sz w:val="24"/>
          <w:szCs w:val="24"/>
        </w:rPr>
      </w:pPr>
      <w:r w:rsidRPr="00E50693">
        <w:rPr>
          <w:rFonts w:ascii="Times New Roman" w:hAnsi="Times New Roman" w:cs="Times New Roman"/>
          <w:sz w:val="24"/>
          <w:szCs w:val="24"/>
        </w:rPr>
        <w:t>the letter “B”, denoting Brisbane, enclosed in a square; or</w:t>
      </w:r>
    </w:p>
    <w:p w14:paraId="0A56A7EC" w14:textId="6FD7C80A" w:rsidR="00F873B8" w:rsidRPr="00317CF9" w:rsidRDefault="00F873B8"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 xml:space="preserve">a stylised representation of </w:t>
      </w:r>
      <w:proofErr w:type="spellStart"/>
      <w:r w:rsidR="00C7069A">
        <w:rPr>
          <w:rFonts w:ascii="Times New Roman" w:hAnsi="Times New Roman" w:cs="Times New Roman"/>
          <w:i/>
          <w:iCs/>
          <w:sz w:val="24"/>
          <w:szCs w:val="24"/>
        </w:rPr>
        <w:t>W</w:t>
      </w:r>
      <w:r w:rsidRPr="00E50693">
        <w:rPr>
          <w:rFonts w:ascii="Times New Roman" w:hAnsi="Times New Roman" w:cs="Times New Roman"/>
          <w:i/>
          <w:iCs/>
          <w:sz w:val="24"/>
          <w:szCs w:val="24"/>
        </w:rPr>
        <w:t>ahlenbergia</w:t>
      </w:r>
      <w:proofErr w:type="spellEnd"/>
      <w:r w:rsidRPr="00E50693">
        <w:rPr>
          <w:rFonts w:ascii="Times New Roman" w:hAnsi="Times New Roman" w:cs="Times New Roman"/>
          <w:i/>
          <w:iCs/>
          <w:sz w:val="24"/>
          <w:szCs w:val="24"/>
        </w:rPr>
        <w:t xml:space="preserve"> gloriosa</w:t>
      </w:r>
      <w:r w:rsidRPr="00E50693">
        <w:rPr>
          <w:rFonts w:ascii="Times New Roman" w:hAnsi="Times New Roman" w:cs="Times New Roman"/>
          <w:sz w:val="24"/>
          <w:szCs w:val="24"/>
        </w:rPr>
        <w:t xml:space="preserve"> (also known as the royal bluebell) enclosed in a square</w:t>
      </w:r>
      <w:r w:rsidR="00521075">
        <w:rPr>
          <w:rFonts w:ascii="Times New Roman" w:hAnsi="Times New Roman" w:cs="Times New Roman"/>
          <w:sz w:val="24"/>
          <w:szCs w:val="24"/>
        </w:rPr>
        <w:t>; or</w:t>
      </w:r>
    </w:p>
    <w:p w14:paraId="16B1C5BC" w14:textId="77777777" w:rsidR="006E4647" w:rsidRPr="00317CF9" w:rsidRDefault="006E4647"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a stylised representation of an envelope; or</w:t>
      </w:r>
    </w:p>
    <w:p w14:paraId="3CFB8AA0" w14:textId="77777777" w:rsidR="006E4647" w:rsidRPr="00317CF9" w:rsidRDefault="006E4647"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the letter “S”, denoting Sydney, enclosed in a circle; or</w:t>
      </w:r>
    </w:p>
    <w:p w14:paraId="1901E0FD" w14:textId="77777777" w:rsidR="006E4647" w:rsidRPr="00317CF9" w:rsidRDefault="006E4647"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the letter “B”, denoting Brisbane, enclosed in a circle; or</w:t>
      </w:r>
    </w:p>
    <w:p w14:paraId="7820FA9C" w14:textId="77777777" w:rsidR="006E4647" w:rsidRPr="00317CF9" w:rsidRDefault="006E4647"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the letter “M” denoting Melbourne, enclosed in a circle; or</w:t>
      </w:r>
    </w:p>
    <w:p w14:paraId="243B356C" w14:textId="77777777" w:rsidR="006E4647" w:rsidRPr="00317CF9" w:rsidRDefault="006E4647"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the letter “A” denoting Adelaide, enclosed in a circle; or</w:t>
      </w:r>
    </w:p>
    <w:p w14:paraId="0E7D48BA" w14:textId="77777777" w:rsidR="006E4647" w:rsidRPr="00317CF9" w:rsidRDefault="006E4647"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the letter “P” denoting Perth, enclosed in a circle; or</w:t>
      </w:r>
    </w:p>
    <w:p w14:paraId="63D0F791" w14:textId="77777777" w:rsidR="002B3FBD" w:rsidRPr="00AB69AB" w:rsidRDefault="006E4647" w:rsidP="00E50693">
      <w:pPr>
        <w:pStyle w:val="ListParagraph"/>
        <w:numPr>
          <w:ilvl w:val="0"/>
          <w:numId w:val="7"/>
        </w:numPr>
        <w:spacing w:before="120" w:after="120" w:line="240" w:lineRule="auto"/>
        <w:ind w:left="714" w:hanging="357"/>
        <w:contextualSpacing w:val="0"/>
        <w:rPr>
          <w:rFonts w:ascii="Times New Roman" w:hAnsi="Times New Roman" w:cs="Times New Roman"/>
          <w:sz w:val="24"/>
          <w:szCs w:val="24"/>
        </w:rPr>
      </w:pPr>
      <w:r w:rsidRPr="00E50693">
        <w:rPr>
          <w:rFonts w:ascii="Times New Roman" w:hAnsi="Times New Roman" w:cs="Times New Roman"/>
          <w:sz w:val="24"/>
          <w:szCs w:val="24"/>
        </w:rPr>
        <w:t>a stylised representation of a map of Australia enclosed in a circle; o</w:t>
      </w:r>
      <w:r w:rsidR="002B3FBD" w:rsidRPr="00AB69AB">
        <w:rPr>
          <w:rFonts w:ascii="Times New Roman" w:hAnsi="Times New Roman" w:cs="Times New Roman"/>
          <w:sz w:val="24"/>
          <w:szCs w:val="24"/>
        </w:rPr>
        <w:t>r</w:t>
      </w:r>
    </w:p>
    <w:p w14:paraId="36C9E266" w14:textId="04419A81" w:rsidR="006E4647" w:rsidRPr="00317CF9" w:rsidRDefault="002B3FBD" w:rsidP="00E50693">
      <w:pPr>
        <w:pStyle w:val="ListParagraph"/>
        <w:numPr>
          <w:ilvl w:val="0"/>
          <w:numId w:val="7"/>
        </w:numPr>
        <w:spacing w:before="120" w:after="120" w:line="240" w:lineRule="auto"/>
        <w:ind w:left="714" w:hanging="357"/>
        <w:contextualSpacing w:val="0"/>
      </w:pPr>
      <w:r w:rsidRPr="00E50693">
        <w:rPr>
          <w:rFonts w:ascii="Times New Roman" w:hAnsi="Times New Roman" w:cs="Times New Roman"/>
          <w:sz w:val="24"/>
          <w:szCs w:val="24"/>
        </w:rPr>
        <w:t>the number “60” enclosed in a circle.</w:t>
      </w:r>
      <w:r w:rsidR="006E4647" w:rsidRPr="00AB69AB">
        <w:rPr>
          <w:rFonts w:ascii="Times New Roman" w:eastAsia="Times New Roman" w:hAnsi="Times New Roman" w:cs="Times New Roman"/>
          <w:kern w:val="0"/>
          <w:sz w:val="24"/>
          <w:szCs w:val="24"/>
          <w:lang w:eastAsia="en-AU"/>
          <w14:ligatures w14:val="none"/>
        </w:rPr>
        <w:t> </w:t>
      </w:r>
    </w:p>
    <w:p w14:paraId="109C84B7" w14:textId="77777777" w:rsidR="008E5616" w:rsidRPr="00A47B78" w:rsidRDefault="008E5616" w:rsidP="008E5616">
      <w:pPr>
        <w:pStyle w:val="paragraph"/>
        <w:spacing w:before="0" w:beforeAutospacing="0" w:after="0" w:afterAutospacing="0"/>
        <w:textAlignment w:val="baseline"/>
      </w:pPr>
    </w:p>
    <w:p w14:paraId="2E02894D" w14:textId="36E7BAB5" w:rsidR="00BC1D88" w:rsidRDefault="008E5616" w:rsidP="00E50693">
      <w:pPr>
        <w:pStyle w:val="paragraph"/>
        <w:spacing w:before="0" w:beforeAutospacing="0" w:after="0" w:afterAutospacing="0"/>
        <w:textAlignment w:val="baseline"/>
      </w:pPr>
      <w:r w:rsidRPr="006C6054">
        <w:t>Consistent with the tradition of an effigy of the reigning monarch appearing on the obverse side of all Australian legal tender coinage, an effigy of His Majesty King Charles III will appear on the obverse side of the coin</w:t>
      </w:r>
      <w:r>
        <w:t>s</w:t>
      </w:r>
      <w:r w:rsidRPr="006C6054">
        <w:t xml:space="preserve"> together with the inscriptions “CHARLES III”, “AUSTRALIA”,</w:t>
      </w:r>
      <w:r>
        <w:t xml:space="preserve"> and</w:t>
      </w:r>
      <w:r w:rsidRPr="006C6054">
        <w:t xml:space="preserve"> the inscription, in numerals, of a year</w:t>
      </w:r>
      <w:r>
        <w:t>.</w:t>
      </w:r>
      <w:r w:rsidRPr="006C6054">
        <w:t xml:space="preserve"> The obverse design includes the initials of the designer Dan Thorne “DT”.</w:t>
      </w:r>
    </w:p>
    <w:sectPr w:rsidR="00BC1D8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DD57" w14:textId="77777777" w:rsidR="00790CF2" w:rsidRDefault="00790CF2" w:rsidP="003C4BBC">
      <w:pPr>
        <w:spacing w:after="0" w:line="240" w:lineRule="auto"/>
      </w:pPr>
      <w:r>
        <w:separator/>
      </w:r>
    </w:p>
  </w:endnote>
  <w:endnote w:type="continuationSeparator" w:id="0">
    <w:p w14:paraId="6D486D1A" w14:textId="77777777" w:rsidR="00790CF2" w:rsidRDefault="00790CF2" w:rsidP="003C4BBC">
      <w:pPr>
        <w:spacing w:after="0" w:line="240" w:lineRule="auto"/>
      </w:pPr>
      <w:r>
        <w:continuationSeparator/>
      </w:r>
    </w:p>
  </w:endnote>
  <w:endnote w:type="continuationNotice" w:id="1">
    <w:p w14:paraId="0767887A" w14:textId="77777777" w:rsidR="00790CF2" w:rsidRDefault="00790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0E47" w14:textId="298A549B" w:rsidR="003C4BBC" w:rsidRDefault="003C4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224B" w14:textId="19592C0F" w:rsidR="003C4BBC" w:rsidRDefault="003C4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A6A7" w14:textId="38413FB0" w:rsidR="003C4BBC" w:rsidRDefault="003C4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3B3F" w14:textId="77777777" w:rsidR="00790CF2" w:rsidRDefault="00790CF2" w:rsidP="003C4BBC">
      <w:pPr>
        <w:spacing w:after="0" w:line="240" w:lineRule="auto"/>
      </w:pPr>
      <w:r>
        <w:separator/>
      </w:r>
    </w:p>
  </w:footnote>
  <w:footnote w:type="continuationSeparator" w:id="0">
    <w:p w14:paraId="53B79983" w14:textId="77777777" w:rsidR="00790CF2" w:rsidRDefault="00790CF2" w:rsidP="003C4BBC">
      <w:pPr>
        <w:spacing w:after="0" w:line="240" w:lineRule="auto"/>
      </w:pPr>
      <w:r>
        <w:continuationSeparator/>
      </w:r>
    </w:p>
  </w:footnote>
  <w:footnote w:type="continuationNotice" w:id="1">
    <w:p w14:paraId="36425DE4" w14:textId="77777777" w:rsidR="00790CF2" w:rsidRDefault="00790C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1398" w14:textId="16338329" w:rsidR="003C4BBC" w:rsidRDefault="003C4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4893" w14:textId="3CF25A68" w:rsidR="003C4BBC" w:rsidRDefault="003C4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2BC1" w14:textId="14234B3F" w:rsidR="003C4BBC" w:rsidRDefault="003C4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D1EA1"/>
    <w:multiLevelType w:val="hybridMultilevel"/>
    <w:tmpl w:val="8948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777203"/>
    <w:multiLevelType w:val="hybridMultilevel"/>
    <w:tmpl w:val="B842636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1E107B0"/>
    <w:multiLevelType w:val="multilevel"/>
    <w:tmpl w:val="BA7A7EF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480" w:hanging="360"/>
      </w:pPr>
    </w:lvl>
    <w:lvl w:ilvl="4">
      <w:start w:val="1"/>
      <w:numFmt w:val="lowerLetter"/>
      <w:lvlText w:val="(%5)"/>
      <w:lvlJc w:val="left"/>
      <w:pPr>
        <w:ind w:left="2840" w:hanging="360"/>
      </w:pPr>
    </w:lvl>
    <w:lvl w:ilvl="5">
      <w:start w:val="1"/>
      <w:numFmt w:val="lowerRoman"/>
      <w:lvlText w:val="(%6)"/>
      <w:lvlJc w:val="left"/>
      <w:pPr>
        <w:ind w:left="3200" w:hanging="360"/>
      </w:pPr>
    </w:lvl>
    <w:lvl w:ilvl="6">
      <w:start w:val="1"/>
      <w:numFmt w:val="decimal"/>
      <w:lvlText w:val="%7."/>
      <w:lvlJc w:val="left"/>
      <w:pPr>
        <w:ind w:left="3560" w:hanging="360"/>
      </w:pPr>
    </w:lvl>
    <w:lvl w:ilvl="7">
      <w:start w:val="1"/>
      <w:numFmt w:val="lowerLetter"/>
      <w:lvlText w:val="%8."/>
      <w:lvlJc w:val="left"/>
      <w:pPr>
        <w:ind w:left="3920" w:hanging="360"/>
      </w:pPr>
    </w:lvl>
    <w:lvl w:ilvl="8">
      <w:start w:val="1"/>
      <w:numFmt w:val="lowerRoman"/>
      <w:lvlText w:val="%9."/>
      <w:lvlJc w:val="left"/>
      <w:pPr>
        <w:ind w:left="4280" w:hanging="360"/>
      </w:pPr>
    </w:lvl>
  </w:abstractNum>
  <w:abstractNum w:abstractNumId="3" w15:restartNumberingAfterBreak="0">
    <w:nsid w:val="473A33F2"/>
    <w:multiLevelType w:val="hybridMultilevel"/>
    <w:tmpl w:val="2E70DD3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6C2D4BA0"/>
    <w:multiLevelType w:val="hybridMultilevel"/>
    <w:tmpl w:val="D7ACA376"/>
    <w:lvl w:ilvl="0" w:tplc="7556C0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5D35E75"/>
    <w:multiLevelType w:val="hybridMultilevel"/>
    <w:tmpl w:val="EA4AD4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200807"/>
    <w:multiLevelType w:val="multilevel"/>
    <w:tmpl w:val="2A1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89238">
    <w:abstractNumId w:val="3"/>
  </w:num>
  <w:num w:numId="2" w16cid:durableId="1099524791">
    <w:abstractNumId w:val="4"/>
  </w:num>
  <w:num w:numId="3" w16cid:durableId="1560090017">
    <w:abstractNumId w:val="5"/>
  </w:num>
  <w:num w:numId="4" w16cid:durableId="511914697">
    <w:abstractNumId w:val="6"/>
  </w:num>
  <w:num w:numId="5" w16cid:durableId="248394917">
    <w:abstractNumId w:val="2"/>
  </w:num>
  <w:num w:numId="6" w16cid:durableId="1245337549">
    <w:abstractNumId w:val="0"/>
  </w:num>
  <w:num w:numId="7" w16cid:durableId="818963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BC"/>
    <w:rsid w:val="00015467"/>
    <w:rsid w:val="00021AED"/>
    <w:rsid w:val="00024A5C"/>
    <w:rsid w:val="000257F6"/>
    <w:rsid w:val="00035F8C"/>
    <w:rsid w:val="00043B3B"/>
    <w:rsid w:val="0004515D"/>
    <w:rsid w:val="00063B45"/>
    <w:rsid w:val="00067D56"/>
    <w:rsid w:val="00070685"/>
    <w:rsid w:val="0007623B"/>
    <w:rsid w:val="000A1D0C"/>
    <w:rsid w:val="000A2B4B"/>
    <w:rsid w:val="000D5644"/>
    <w:rsid w:val="000D5D3E"/>
    <w:rsid w:val="000D6E88"/>
    <w:rsid w:val="000E44AD"/>
    <w:rsid w:val="000E6D63"/>
    <w:rsid w:val="000E79FD"/>
    <w:rsid w:val="00103F73"/>
    <w:rsid w:val="00104918"/>
    <w:rsid w:val="001052C0"/>
    <w:rsid w:val="00142280"/>
    <w:rsid w:val="00143DD8"/>
    <w:rsid w:val="00166D23"/>
    <w:rsid w:val="00181F65"/>
    <w:rsid w:val="00184449"/>
    <w:rsid w:val="00185B1C"/>
    <w:rsid w:val="00195ED3"/>
    <w:rsid w:val="001A6023"/>
    <w:rsid w:val="001A6DB0"/>
    <w:rsid w:val="001B2479"/>
    <w:rsid w:val="001B4F51"/>
    <w:rsid w:val="001C0C30"/>
    <w:rsid w:val="001C62A8"/>
    <w:rsid w:val="001D0C99"/>
    <w:rsid w:val="001D17C3"/>
    <w:rsid w:val="001D7EBF"/>
    <w:rsid w:val="001E1AEC"/>
    <w:rsid w:val="001E590A"/>
    <w:rsid w:val="001F0E2D"/>
    <w:rsid w:val="001F73BC"/>
    <w:rsid w:val="00216C72"/>
    <w:rsid w:val="0022719D"/>
    <w:rsid w:val="002323F5"/>
    <w:rsid w:val="00261C27"/>
    <w:rsid w:val="002645BD"/>
    <w:rsid w:val="00265116"/>
    <w:rsid w:val="00272F08"/>
    <w:rsid w:val="00282AC0"/>
    <w:rsid w:val="002871F6"/>
    <w:rsid w:val="00293A2E"/>
    <w:rsid w:val="002A2011"/>
    <w:rsid w:val="002A2158"/>
    <w:rsid w:val="002B3FBD"/>
    <w:rsid w:val="002C09D0"/>
    <w:rsid w:val="002C5A7C"/>
    <w:rsid w:val="002C6F6B"/>
    <w:rsid w:val="002E5808"/>
    <w:rsid w:val="002F4C04"/>
    <w:rsid w:val="002F58A6"/>
    <w:rsid w:val="002F5C32"/>
    <w:rsid w:val="002F5D0B"/>
    <w:rsid w:val="002F79D9"/>
    <w:rsid w:val="00317307"/>
    <w:rsid w:val="00317CF9"/>
    <w:rsid w:val="00327921"/>
    <w:rsid w:val="00332ECF"/>
    <w:rsid w:val="003357E3"/>
    <w:rsid w:val="0033665D"/>
    <w:rsid w:val="003458D0"/>
    <w:rsid w:val="00350EA6"/>
    <w:rsid w:val="00366E37"/>
    <w:rsid w:val="00380374"/>
    <w:rsid w:val="003810BD"/>
    <w:rsid w:val="003B4EEE"/>
    <w:rsid w:val="003B6690"/>
    <w:rsid w:val="003C4BBC"/>
    <w:rsid w:val="003C7CA8"/>
    <w:rsid w:val="003D197B"/>
    <w:rsid w:val="003D7DBA"/>
    <w:rsid w:val="003E074E"/>
    <w:rsid w:val="003E53C7"/>
    <w:rsid w:val="003F370D"/>
    <w:rsid w:val="003F6085"/>
    <w:rsid w:val="00404A45"/>
    <w:rsid w:val="00405A7C"/>
    <w:rsid w:val="00412954"/>
    <w:rsid w:val="004211DC"/>
    <w:rsid w:val="00421658"/>
    <w:rsid w:val="004305CB"/>
    <w:rsid w:val="00432369"/>
    <w:rsid w:val="00437FB0"/>
    <w:rsid w:val="004565DA"/>
    <w:rsid w:val="00460B83"/>
    <w:rsid w:val="0046401D"/>
    <w:rsid w:val="00470D55"/>
    <w:rsid w:val="0047467C"/>
    <w:rsid w:val="004918EE"/>
    <w:rsid w:val="00495E2A"/>
    <w:rsid w:val="004A1337"/>
    <w:rsid w:val="004C747C"/>
    <w:rsid w:val="004C7646"/>
    <w:rsid w:val="004E0335"/>
    <w:rsid w:val="004E28F2"/>
    <w:rsid w:val="004E4CF8"/>
    <w:rsid w:val="004F018D"/>
    <w:rsid w:val="004F19BB"/>
    <w:rsid w:val="004F4A36"/>
    <w:rsid w:val="00513A67"/>
    <w:rsid w:val="00521075"/>
    <w:rsid w:val="00526D35"/>
    <w:rsid w:val="00527804"/>
    <w:rsid w:val="005329EF"/>
    <w:rsid w:val="00546B70"/>
    <w:rsid w:val="00546E93"/>
    <w:rsid w:val="00562DB8"/>
    <w:rsid w:val="00570830"/>
    <w:rsid w:val="00583CFC"/>
    <w:rsid w:val="00586747"/>
    <w:rsid w:val="005B14D1"/>
    <w:rsid w:val="005B1C2E"/>
    <w:rsid w:val="005B2ADC"/>
    <w:rsid w:val="005C3310"/>
    <w:rsid w:val="005C3A28"/>
    <w:rsid w:val="005C3D57"/>
    <w:rsid w:val="005C56BB"/>
    <w:rsid w:val="005E0B20"/>
    <w:rsid w:val="005E3149"/>
    <w:rsid w:val="005E3FB8"/>
    <w:rsid w:val="005F2CE4"/>
    <w:rsid w:val="005F6C7E"/>
    <w:rsid w:val="006244DF"/>
    <w:rsid w:val="006260D4"/>
    <w:rsid w:val="00647CCC"/>
    <w:rsid w:val="00651E4F"/>
    <w:rsid w:val="00665213"/>
    <w:rsid w:val="00671588"/>
    <w:rsid w:val="00672B79"/>
    <w:rsid w:val="00692922"/>
    <w:rsid w:val="006953C8"/>
    <w:rsid w:val="006A308F"/>
    <w:rsid w:val="006B16A7"/>
    <w:rsid w:val="006B6948"/>
    <w:rsid w:val="006D049B"/>
    <w:rsid w:val="006D0635"/>
    <w:rsid w:val="006E4647"/>
    <w:rsid w:val="006F20FE"/>
    <w:rsid w:val="0070678B"/>
    <w:rsid w:val="00720AE8"/>
    <w:rsid w:val="00721A43"/>
    <w:rsid w:val="00730165"/>
    <w:rsid w:val="007307C0"/>
    <w:rsid w:val="00753C69"/>
    <w:rsid w:val="00760B9D"/>
    <w:rsid w:val="00771DAD"/>
    <w:rsid w:val="007732DF"/>
    <w:rsid w:val="00782510"/>
    <w:rsid w:val="00790CF2"/>
    <w:rsid w:val="00797AE9"/>
    <w:rsid w:val="00797F30"/>
    <w:rsid w:val="007A1776"/>
    <w:rsid w:val="007A1B0D"/>
    <w:rsid w:val="007A3891"/>
    <w:rsid w:val="007A766C"/>
    <w:rsid w:val="00812018"/>
    <w:rsid w:val="008121B9"/>
    <w:rsid w:val="00817CE4"/>
    <w:rsid w:val="008223C6"/>
    <w:rsid w:val="00827850"/>
    <w:rsid w:val="008279C9"/>
    <w:rsid w:val="008439F8"/>
    <w:rsid w:val="00851419"/>
    <w:rsid w:val="008528D9"/>
    <w:rsid w:val="00862021"/>
    <w:rsid w:val="008643FE"/>
    <w:rsid w:val="00865871"/>
    <w:rsid w:val="00870B09"/>
    <w:rsid w:val="00871D42"/>
    <w:rsid w:val="00875E5B"/>
    <w:rsid w:val="0087790D"/>
    <w:rsid w:val="0088161E"/>
    <w:rsid w:val="00891EFE"/>
    <w:rsid w:val="008B4C10"/>
    <w:rsid w:val="008B5E71"/>
    <w:rsid w:val="008C1D80"/>
    <w:rsid w:val="008C2E4F"/>
    <w:rsid w:val="008D2C8D"/>
    <w:rsid w:val="008E1F24"/>
    <w:rsid w:val="008E5616"/>
    <w:rsid w:val="008F3307"/>
    <w:rsid w:val="008F54DC"/>
    <w:rsid w:val="00901359"/>
    <w:rsid w:val="00922466"/>
    <w:rsid w:val="0092319C"/>
    <w:rsid w:val="0092403D"/>
    <w:rsid w:val="00932AEF"/>
    <w:rsid w:val="009379C0"/>
    <w:rsid w:val="00941FFE"/>
    <w:rsid w:val="00943C53"/>
    <w:rsid w:val="00944D53"/>
    <w:rsid w:val="009472D0"/>
    <w:rsid w:val="00967473"/>
    <w:rsid w:val="00992DBC"/>
    <w:rsid w:val="009A065A"/>
    <w:rsid w:val="009A2AC4"/>
    <w:rsid w:val="009A4B25"/>
    <w:rsid w:val="009B0708"/>
    <w:rsid w:val="009B39EA"/>
    <w:rsid w:val="009B5711"/>
    <w:rsid w:val="009C014A"/>
    <w:rsid w:val="009D466B"/>
    <w:rsid w:val="009D73BB"/>
    <w:rsid w:val="009E0DFD"/>
    <w:rsid w:val="009F4D45"/>
    <w:rsid w:val="00A06183"/>
    <w:rsid w:val="00A07474"/>
    <w:rsid w:val="00A11C0B"/>
    <w:rsid w:val="00A32EA9"/>
    <w:rsid w:val="00A354EC"/>
    <w:rsid w:val="00A379CA"/>
    <w:rsid w:val="00A457AF"/>
    <w:rsid w:val="00A47B78"/>
    <w:rsid w:val="00A50391"/>
    <w:rsid w:val="00A50BE6"/>
    <w:rsid w:val="00A60E40"/>
    <w:rsid w:val="00A64321"/>
    <w:rsid w:val="00A64675"/>
    <w:rsid w:val="00A71542"/>
    <w:rsid w:val="00A72F96"/>
    <w:rsid w:val="00A81DA4"/>
    <w:rsid w:val="00A82980"/>
    <w:rsid w:val="00AA4C67"/>
    <w:rsid w:val="00AB69AB"/>
    <w:rsid w:val="00AC0342"/>
    <w:rsid w:val="00AC0466"/>
    <w:rsid w:val="00AC4397"/>
    <w:rsid w:val="00AE3C8F"/>
    <w:rsid w:val="00B009CC"/>
    <w:rsid w:val="00B00B78"/>
    <w:rsid w:val="00B02692"/>
    <w:rsid w:val="00B046ED"/>
    <w:rsid w:val="00B078D6"/>
    <w:rsid w:val="00B20708"/>
    <w:rsid w:val="00B2347E"/>
    <w:rsid w:val="00B24B06"/>
    <w:rsid w:val="00B32999"/>
    <w:rsid w:val="00B3313F"/>
    <w:rsid w:val="00B359ED"/>
    <w:rsid w:val="00B35B58"/>
    <w:rsid w:val="00B51915"/>
    <w:rsid w:val="00B64EE2"/>
    <w:rsid w:val="00B74BC4"/>
    <w:rsid w:val="00B75BC6"/>
    <w:rsid w:val="00B81C25"/>
    <w:rsid w:val="00B868F4"/>
    <w:rsid w:val="00BA2127"/>
    <w:rsid w:val="00BA3EFF"/>
    <w:rsid w:val="00BC1D88"/>
    <w:rsid w:val="00BD5272"/>
    <w:rsid w:val="00BD7213"/>
    <w:rsid w:val="00BE365A"/>
    <w:rsid w:val="00BF3654"/>
    <w:rsid w:val="00BF5C77"/>
    <w:rsid w:val="00C059F7"/>
    <w:rsid w:val="00C10387"/>
    <w:rsid w:val="00C220A7"/>
    <w:rsid w:val="00C302EF"/>
    <w:rsid w:val="00C30BDE"/>
    <w:rsid w:val="00C35C10"/>
    <w:rsid w:val="00C43604"/>
    <w:rsid w:val="00C46E29"/>
    <w:rsid w:val="00C62CC8"/>
    <w:rsid w:val="00C7065D"/>
    <w:rsid w:val="00C7069A"/>
    <w:rsid w:val="00C77877"/>
    <w:rsid w:val="00C80A84"/>
    <w:rsid w:val="00C93295"/>
    <w:rsid w:val="00C94F2F"/>
    <w:rsid w:val="00CA3BA1"/>
    <w:rsid w:val="00CB0800"/>
    <w:rsid w:val="00CB3ED3"/>
    <w:rsid w:val="00CB5CAA"/>
    <w:rsid w:val="00CD55E6"/>
    <w:rsid w:val="00CE0C56"/>
    <w:rsid w:val="00CE589D"/>
    <w:rsid w:val="00D12842"/>
    <w:rsid w:val="00D22D0B"/>
    <w:rsid w:val="00D314FD"/>
    <w:rsid w:val="00D461BC"/>
    <w:rsid w:val="00D53416"/>
    <w:rsid w:val="00D55A74"/>
    <w:rsid w:val="00D650F1"/>
    <w:rsid w:val="00D72899"/>
    <w:rsid w:val="00D80D37"/>
    <w:rsid w:val="00D83DA2"/>
    <w:rsid w:val="00D946CA"/>
    <w:rsid w:val="00D952AF"/>
    <w:rsid w:val="00D97726"/>
    <w:rsid w:val="00DA191F"/>
    <w:rsid w:val="00DA2ED5"/>
    <w:rsid w:val="00DA6115"/>
    <w:rsid w:val="00DB49CE"/>
    <w:rsid w:val="00DB5BA6"/>
    <w:rsid w:val="00DC3878"/>
    <w:rsid w:val="00DC7B6F"/>
    <w:rsid w:val="00DF6E0D"/>
    <w:rsid w:val="00E046EC"/>
    <w:rsid w:val="00E20E54"/>
    <w:rsid w:val="00E50693"/>
    <w:rsid w:val="00E54B05"/>
    <w:rsid w:val="00E63262"/>
    <w:rsid w:val="00E6731C"/>
    <w:rsid w:val="00E75822"/>
    <w:rsid w:val="00E9474E"/>
    <w:rsid w:val="00EB2384"/>
    <w:rsid w:val="00EB287D"/>
    <w:rsid w:val="00EC0F93"/>
    <w:rsid w:val="00ED7338"/>
    <w:rsid w:val="00EE7CA5"/>
    <w:rsid w:val="00F018B5"/>
    <w:rsid w:val="00F0727D"/>
    <w:rsid w:val="00F2058A"/>
    <w:rsid w:val="00F2402F"/>
    <w:rsid w:val="00F41CF8"/>
    <w:rsid w:val="00F46966"/>
    <w:rsid w:val="00F76D62"/>
    <w:rsid w:val="00F80A9F"/>
    <w:rsid w:val="00F812E3"/>
    <w:rsid w:val="00F8347C"/>
    <w:rsid w:val="00F873B8"/>
    <w:rsid w:val="00F95C76"/>
    <w:rsid w:val="00F967E0"/>
    <w:rsid w:val="00FA01B1"/>
    <w:rsid w:val="00FA01BA"/>
    <w:rsid w:val="00FA028B"/>
    <w:rsid w:val="00FA651B"/>
    <w:rsid w:val="00FC6DB2"/>
    <w:rsid w:val="00FD0D10"/>
    <w:rsid w:val="00FD65C2"/>
    <w:rsid w:val="00FD660F"/>
    <w:rsid w:val="00FF70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CFDC"/>
  <w15:chartTrackingRefBased/>
  <w15:docId w15:val="{36E406B3-330C-407A-A7AA-887278DB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BBC"/>
    <w:pPr>
      <w:spacing w:line="259" w:lineRule="auto"/>
    </w:pPr>
    <w:rPr>
      <w:sz w:val="22"/>
      <w:szCs w:val="22"/>
    </w:rPr>
  </w:style>
  <w:style w:type="paragraph" w:styleId="Heading1">
    <w:name w:val="heading 1"/>
    <w:basedOn w:val="Normal"/>
    <w:next w:val="Normal"/>
    <w:link w:val="Heading1Char"/>
    <w:uiPriority w:val="9"/>
    <w:qFormat/>
    <w:rsid w:val="003C4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BBC"/>
    <w:rPr>
      <w:rFonts w:eastAsiaTheme="majorEastAsia" w:cstheme="majorBidi"/>
      <w:color w:val="272727" w:themeColor="text1" w:themeTint="D8"/>
    </w:rPr>
  </w:style>
  <w:style w:type="paragraph" w:styleId="Title">
    <w:name w:val="Title"/>
    <w:basedOn w:val="Normal"/>
    <w:next w:val="Normal"/>
    <w:link w:val="TitleChar"/>
    <w:uiPriority w:val="10"/>
    <w:qFormat/>
    <w:rsid w:val="003C4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BBC"/>
    <w:pPr>
      <w:spacing w:before="160"/>
      <w:jc w:val="center"/>
    </w:pPr>
    <w:rPr>
      <w:i/>
      <w:iCs/>
      <w:color w:val="404040" w:themeColor="text1" w:themeTint="BF"/>
    </w:rPr>
  </w:style>
  <w:style w:type="character" w:customStyle="1" w:styleId="QuoteChar">
    <w:name w:val="Quote Char"/>
    <w:basedOn w:val="DefaultParagraphFont"/>
    <w:link w:val="Quote"/>
    <w:uiPriority w:val="29"/>
    <w:rsid w:val="003C4BBC"/>
    <w:rPr>
      <w:i/>
      <w:iCs/>
      <w:color w:val="404040" w:themeColor="text1" w:themeTint="BF"/>
    </w:rPr>
  </w:style>
  <w:style w:type="paragraph" w:styleId="ListParagraph">
    <w:name w:val="List Paragraph"/>
    <w:basedOn w:val="Normal"/>
    <w:uiPriority w:val="34"/>
    <w:qFormat/>
    <w:rsid w:val="003C4BBC"/>
    <w:pPr>
      <w:ind w:left="720"/>
      <w:contextualSpacing/>
    </w:pPr>
  </w:style>
  <w:style w:type="character" w:styleId="IntenseEmphasis">
    <w:name w:val="Intense Emphasis"/>
    <w:basedOn w:val="DefaultParagraphFont"/>
    <w:uiPriority w:val="21"/>
    <w:qFormat/>
    <w:rsid w:val="003C4BBC"/>
    <w:rPr>
      <w:i/>
      <w:iCs/>
      <w:color w:val="0F4761" w:themeColor="accent1" w:themeShade="BF"/>
    </w:rPr>
  </w:style>
  <w:style w:type="paragraph" w:styleId="IntenseQuote">
    <w:name w:val="Intense Quote"/>
    <w:basedOn w:val="Normal"/>
    <w:next w:val="Normal"/>
    <w:link w:val="IntenseQuoteChar"/>
    <w:uiPriority w:val="30"/>
    <w:qFormat/>
    <w:rsid w:val="003C4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BBC"/>
    <w:rPr>
      <w:i/>
      <w:iCs/>
      <w:color w:val="0F4761" w:themeColor="accent1" w:themeShade="BF"/>
    </w:rPr>
  </w:style>
  <w:style w:type="character" w:styleId="IntenseReference">
    <w:name w:val="Intense Reference"/>
    <w:basedOn w:val="DefaultParagraphFont"/>
    <w:uiPriority w:val="32"/>
    <w:qFormat/>
    <w:rsid w:val="003C4BBC"/>
    <w:rPr>
      <w:b/>
      <w:bCs/>
      <w:smallCaps/>
      <w:color w:val="0F4761" w:themeColor="accent1" w:themeShade="BF"/>
      <w:spacing w:val="5"/>
    </w:rPr>
  </w:style>
  <w:style w:type="paragraph" w:customStyle="1" w:styleId="paragraph">
    <w:name w:val="paragraph"/>
    <w:basedOn w:val="Normal"/>
    <w:link w:val="paragraphChar"/>
    <w:rsid w:val="003C4BB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paragraphChar">
    <w:name w:val="paragraph Char"/>
    <w:basedOn w:val="DefaultParagraphFont"/>
    <w:link w:val="paragraph"/>
    <w:rsid w:val="003C4BBC"/>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3C4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BC"/>
    <w:rPr>
      <w:sz w:val="22"/>
      <w:szCs w:val="22"/>
    </w:rPr>
  </w:style>
  <w:style w:type="paragraph" w:styleId="Footer">
    <w:name w:val="footer"/>
    <w:basedOn w:val="Normal"/>
    <w:link w:val="FooterChar"/>
    <w:uiPriority w:val="99"/>
    <w:unhideWhenUsed/>
    <w:rsid w:val="003C4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BC"/>
    <w:rPr>
      <w:sz w:val="22"/>
      <w:szCs w:val="22"/>
    </w:rPr>
  </w:style>
  <w:style w:type="character" w:styleId="CommentReference">
    <w:name w:val="annotation reference"/>
    <w:basedOn w:val="DefaultParagraphFont"/>
    <w:uiPriority w:val="99"/>
    <w:semiHidden/>
    <w:unhideWhenUsed/>
    <w:rsid w:val="00FA651B"/>
    <w:rPr>
      <w:sz w:val="16"/>
      <w:szCs w:val="16"/>
    </w:rPr>
  </w:style>
  <w:style w:type="paragraph" w:styleId="CommentText">
    <w:name w:val="annotation text"/>
    <w:basedOn w:val="Normal"/>
    <w:link w:val="CommentTextChar"/>
    <w:uiPriority w:val="99"/>
    <w:unhideWhenUsed/>
    <w:rsid w:val="00FA651B"/>
    <w:pPr>
      <w:spacing w:line="240" w:lineRule="auto"/>
    </w:pPr>
    <w:rPr>
      <w:sz w:val="20"/>
      <w:szCs w:val="20"/>
    </w:rPr>
  </w:style>
  <w:style w:type="character" w:customStyle="1" w:styleId="CommentTextChar">
    <w:name w:val="Comment Text Char"/>
    <w:basedOn w:val="DefaultParagraphFont"/>
    <w:link w:val="CommentText"/>
    <w:uiPriority w:val="99"/>
    <w:rsid w:val="00FA651B"/>
    <w:rPr>
      <w:sz w:val="20"/>
      <w:szCs w:val="20"/>
    </w:rPr>
  </w:style>
  <w:style w:type="paragraph" w:styleId="CommentSubject">
    <w:name w:val="annotation subject"/>
    <w:basedOn w:val="CommentText"/>
    <w:next w:val="CommentText"/>
    <w:link w:val="CommentSubjectChar"/>
    <w:uiPriority w:val="99"/>
    <w:semiHidden/>
    <w:unhideWhenUsed/>
    <w:rsid w:val="00FA651B"/>
    <w:rPr>
      <w:b/>
      <w:bCs/>
    </w:rPr>
  </w:style>
  <w:style w:type="character" w:customStyle="1" w:styleId="CommentSubjectChar">
    <w:name w:val="Comment Subject Char"/>
    <w:basedOn w:val="CommentTextChar"/>
    <w:link w:val="CommentSubject"/>
    <w:uiPriority w:val="99"/>
    <w:semiHidden/>
    <w:rsid w:val="00FA651B"/>
    <w:rPr>
      <w:b/>
      <w:bCs/>
      <w:sz w:val="20"/>
      <w:szCs w:val="20"/>
    </w:rPr>
  </w:style>
  <w:style w:type="character" w:styleId="Hyperlink">
    <w:name w:val="Hyperlink"/>
    <w:basedOn w:val="DefaultParagraphFont"/>
    <w:uiPriority w:val="99"/>
    <w:unhideWhenUsed/>
    <w:rsid w:val="00FA651B"/>
    <w:rPr>
      <w:color w:val="467886" w:themeColor="hyperlink"/>
      <w:u w:val="single"/>
    </w:rPr>
  </w:style>
  <w:style w:type="character" w:styleId="UnresolvedMention">
    <w:name w:val="Unresolved Mention"/>
    <w:basedOn w:val="DefaultParagraphFont"/>
    <w:uiPriority w:val="99"/>
    <w:semiHidden/>
    <w:unhideWhenUsed/>
    <w:rsid w:val="00FA651B"/>
    <w:rPr>
      <w:color w:val="605E5C"/>
      <w:shd w:val="clear" w:color="auto" w:fill="E1DFDD"/>
    </w:rPr>
  </w:style>
  <w:style w:type="paragraph" w:styleId="Revision">
    <w:name w:val="Revision"/>
    <w:hidden/>
    <w:uiPriority w:val="99"/>
    <w:semiHidden/>
    <w:rsid w:val="00C35C10"/>
    <w:pPr>
      <w:spacing w:after="0" w:line="240" w:lineRule="auto"/>
    </w:pPr>
    <w:rPr>
      <w:sz w:val="22"/>
      <w:szCs w:val="22"/>
    </w:rPr>
  </w:style>
  <w:style w:type="paragraph" w:customStyle="1" w:styleId="Bullet">
    <w:name w:val="Bullet"/>
    <w:basedOn w:val="Normal"/>
    <w:link w:val="BulletChar"/>
    <w:rsid w:val="006E4647"/>
    <w:pPr>
      <w:numPr>
        <w:numId w:val="5"/>
      </w:numPr>
    </w:pPr>
  </w:style>
  <w:style w:type="character" w:customStyle="1" w:styleId="BulletChar">
    <w:name w:val="Bullet Char"/>
    <w:basedOn w:val="DefaultParagraphFont"/>
    <w:link w:val="Bullet"/>
    <w:rsid w:val="006E4647"/>
    <w:rPr>
      <w:sz w:val="22"/>
      <w:szCs w:val="22"/>
    </w:rPr>
  </w:style>
  <w:style w:type="paragraph" w:customStyle="1" w:styleId="Dash">
    <w:name w:val="Dash"/>
    <w:basedOn w:val="Normal"/>
    <w:link w:val="DashChar"/>
    <w:rsid w:val="006E4647"/>
    <w:pPr>
      <w:numPr>
        <w:ilvl w:val="1"/>
        <w:numId w:val="5"/>
      </w:numPr>
    </w:pPr>
  </w:style>
  <w:style w:type="character" w:customStyle="1" w:styleId="DashChar">
    <w:name w:val="Dash Char"/>
    <w:basedOn w:val="DefaultParagraphFont"/>
    <w:link w:val="Dash"/>
    <w:rsid w:val="006E4647"/>
    <w:rPr>
      <w:sz w:val="22"/>
      <w:szCs w:val="22"/>
    </w:rPr>
  </w:style>
  <w:style w:type="paragraph" w:customStyle="1" w:styleId="DoubleDot">
    <w:name w:val="Double Dot"/>
    <w:basedOn w:val="Normal"/>
    <w:link w:val="DoubleDotChar"/>
    <w:rsid w:val="006E4647"/>
    <w:pPr>
      <w:numPr>
        <w:ilvl w:val="2"/>
        <w:numId w:val="5"/>
      </w:numPr>
    </w:pPr>
  </w:style>
  <w:style w:type="character" w:customStyle="1" w:styleId="DoubleDotChar">
    <w:name w:val="Double Dot Char"/>
    <w:basedOn w:val="DefaultParagraphFont"/>
    <w:link w:val="DoubleDot"/>
    <w:rsid w:val="006E46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9368">
      <w:bodyDiv w:val="1"/>
      <w:marLeft w:val="0"/>
      <w:marRight w:val="0"/>
      <w:marTop w:val="0"/>
      <w:marBottom w:val="0"/>
      <w:divBdr>
        <w:top w:val="none" w:sz="0" w:space="0" w:color="auto"/>
        <w:left w:val="none" w:sz="0" w:space="0" w:color="auto"/>
        <w:bottom w:val="none" w:sz="0" w:space="0" w:color="auto"/>
        <w:right w:val="none" w:sz="0" w:space="0" w:color="auto"/>
      </w:divBdr>
    </w:div>
    <w:div w:id="379525601">
      <w:bodyDiv w:val="1"/>
      <w:marLeft w:val="0"/>
      <w:marRight w:val="0"/>
      <w:marTop w:val="0"/>
      <w:marBottom w:val="0"/>
      <w:divBdr>
        <w:top w:val="none" w:sz="0" w:space="0" w:color="auto"/>
        <w:left w:val="none" w:sz="0" w:space="0" w:color="auto"/>
        <w:bottom w:val="none" w:sz="0" w:space="0" w:color="auto"/>
        <w:right w:val="none" w:sz="0" w:space="0" w:color="auto"/>
      </w:divBdr>
    </w:div>
    <w:div w:id="894849724">
      <w:bodyDiv w:val="1"/>
      <w:marLeft w:val="0"/>
      <w:marRight w:val="0"/>
      <w:marTop w:val="0"/>
      <w:marBottom w:val="0"/>
      <w:divBdr>
        <w:top w:val="none" w:sz="0" w:space="0" w:color="auto"/>
        <w:left w:val="none" w:sz="0" w:space="0" w:color="auto"/>
        <w:bottom w:val="none" w:sz="0" w:space="0" w:color="auto"/>
        <w:right w:val="none" w:sz="0" w:space="0" w:color="auto"/>
      </w:divBdr>
    </w:div>
    <w:div w:id="186898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S574FYTY5PW6-969949929-2639</_dlc_DocId>
    <_dlc_DocIdUrl xmlns="fe39d773-a83d-4623-ae74-f25711a76616">
      <Url>https://austreasury.sharepoint.com/sites/leg-cord-function/_layouts/15/DocIdRedir.aspx?ID=S574FYTY5PW6-969949929-2639</Url>
      <Description>S574FYTY5PW6-969949929-2639</Description>
    </_dlc_DocIdUrl>
    <TSY_ModifiedByDivision xmlns="ff38c824-6e29-4496-8487-69f397e7ed29">Small Business Corporate and Law Group - Law Division</TSY_ModifiedByDivision>
    <TSY_CreatedByDivision xmlns="ff38c824-6e29-4496-8487-69f397e7ed29">Small Business Housing Corporate and Law Group - Law Division</TSY_CreatedByDivision>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6f9e2fc4d2e5e1cb5a544ba2c73ab0be">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be94d11d7200f96beeae7f72bee96d19"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7A83B-1962-4E74-8D35-C4B56963CCB6}">
  <ds:schemaRefs>
    <ds:schemaRef ds:uri="http://schemas.microsoft.com/sharepoint/v3/contenttype/forms"/>
  </ds:schemaRefs>
</ds:datastoreItem>
</file>

<file path=customXml/itemProps2.xml><?xml version="1.0" encoding="utf-8"?>
<ds:datastoreItem xmlns:ds="http://schemas.openxmlformats.org/officeDocument/2006/customXml" ds:itemID="{B1A27725-4083-41A4-A154-5DB01AAD0D3D}">
  <ds:schemaRefs>
    <ds:schemaRef ds:uri="http://schemas.microsoft.com/office/infopath/2007/PartnerControls"/>
    <ds:schemaRef ds:uri="http://www.w3.org/XML/1998/namespace"/>
    <ds:schemaRef ds:uri="http://purl.org/dc/dcmitype/"/>
    <ds:schemaRef ds:uri="fe39d773-a83d-4623-ae74-f25711a76616"/>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42f4cb5a-261c-4c59-b165-7132460581a3"/>
    <ds:schemaRef ds:uri="30b813c2-29e2-43aa-bac2-1ed67b791ce7"/>
    <ds:schemaRef ds:uri="ff38c824-6e29-4496-8487-69f397e7ed29"/>
  </ds:schemaRefs>
</ds:datastoreItem>
</file>

<file path=customXml/itemProps3.xml><?xml version="1.0" encoding="utf-8"?>
<ds:datastoreItem xmlns:ds="http://schemas.openxmlformats.org/officeDocument/2006/customXml" ds:itemID="{D4D36674-EDBB-44FF-9A75-9BA1B214F8D4}">
  <ds:schemaRefs>
    <ds:schemaRef ds:uri="http://schemas.openxmlformats.org/officeDocument/2006/bibliography"/>
  </ds:schemaRefs>
</ds:datastoreItem>
</file>

<file path=customXml/itemProps4.xml><?xml version="1.0" encoding="utf-8"?>
<ds:datastoreItem xmlns:ds="http://schemas.openxmlformats.org/officeDocument/2006/customXml" ds:itemID="{2259BBFC-6245-4EED-A731-01A0F031F9C4}">
  <ds:schemaRefs>
    <ds:schemaRef ds:uri="http://schemas.microsoft.com/sharepoint/events"/>
  </ds:schemaRefs>
</ds:datastoreItem>
</file>

<file path=customXml/itemProps5.xml><?xml version="1.0" encoding="utf-8"?>
<ds:datastoreItem xmlns:ds="http://schemas.openxmlformats.org/officeDocument/2006/customXml" ds:itemID="{13D1A742-8B64-416A-9AD3-DC1E150C4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5</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Goswell, Eva</dc:creator>
  <cp:keywords/>
  <dc:description/>
  <cp:lastModifiedBy>Cuming, Anita</cp:lastModifiedBy>
  <cp:revision>134</cp:revision>
  <cp:lastPrinted>2025-05-19T06:49:00Z</cp:lastPrinted>
  <dcterms:created xsi:type="dcterms:W3CDTF">2025-04-25T15:57:00Z</dcterms:created>
  <dcterms:modified xsi:type="dcterms:W3CDTF">2025-06-05T07:28:00Z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0x010100B569D256E75E71428C72445DFBB99E7A</vt:lpwstr>
  </property>
  <property fmtid="{D5CDD505-2E9C-101B-9397-08002B2CF9AE}" pid="3" name="TSYStatus">
    <vt:lpwstr/>
  </property>
  <property fmtid="{D5CDD505-2E9C-101B-9397-08002B2CF9AE}" pid="4" name="MediaServiceImageTags">
    <vt:lpwstr/>
  </property>
  <property fmtid="{D5CDD505-2E9C-101B-9397-08002B2CF9AE}" pid="5" name="eDocumentType">
    <vt:lpwstr>153;#Explanatory Materials|ac61e78e-992e-40fd-ae93-2c9522960b05</vt:lpwstr>
  </property>
  <property fmtid="{D5CDD505-2E9C-101B-9397-08002B2CF9AE}" pid="6" name="eTopic">
    <vt:lpwstr>36;#Legislation Coordination|58c6712e-e847-48f4-81ab-b25e2bbd3986</vt:lpwstr>
  </property>
  <property fmtid="{D5CDD505-2E9C-101B-9397-08002B2CF9AE}" pid="7" name="LMDivision">
    <vt:lpwstr/>
  </property>
  <property fmtid="{D5CDD505-2E9C-101B-9397-08002B2CF9AE}" pid="8" name="k8424359e03846678cc4a99dd97e9705">
    <vt:lpwstr/>
  </property>
  <property fmtid="{D5CDD505-2E9C-101B-9397-08002B2CF9AE}" pid="9" name="_dlc_DocIdItemGuid">
    <vt:lpwstr>dac6044c-6049-4b61-8bf8-cb8d6a65729f</vt:lpwstr>
  </property>
  <property fmtid="{D5CDD505-2E9C-101B-9397-08002B2CF9AE}" pid="10" name="eTheme">
    <vt:lpwstr>1</vt:lpwstr>
  </property>
  <property fmtid="{D5CDD505-2E9C-101B-9397-08002B2CF9AE}" pid="11" name="eActivity">
    <vt:lpwstr>35</vt:lpwstr>
  </property>
  <property fmtid="{D5CDD505-2E9C-101B-9397-08002B2CF9AE}" pid="12" name="Topic">
    <vt:lpwstr>36;#Legislation Coordination|58c6712e-e847-48f4-81ab-b25e2bbd3986</vt:lpwstr>
  </property>
  <property fmtid="{D5CDD505-2E9C-101B-9397-08002B2CF9AE}" pid="13" name="Activity">
    <vt:lpwstr>35;#Legislation management|cb630f2f-9155-496b-ad0f-d960eb1bf90c</vt:lpwstr>
  </property>
  <property fmtid="{D5CDD505-2E9C-101B-9397-08002B2CF9AE}" pid="14" name="Document_x0020_Type">
    <vt:lpwstr>42;#Legislation|25c35cca-98fe-4d3e-a63c-3dda1c39f3ec</vt:lpwstr>
  </property>
  <property fmtid="{D5CDD505-2E9C-101B-9397-08002B2CF9AE}" pid="15" name="Document Type">
    <vt:lpwstr>42;#Legislation|25c35cca-98fe-4d3e-a63c-3dda1c39f3ec</vt:lpwstr>
  </property>
  <property fmtid="{D5CDD505-2E9C-101B-9397-08002B2CF9AE}" pid="16" name="MSIP_Label_4f932d64-9ab1-4d9b-81d2-a3a8b82dd47d_Enabled">
    <vt:lpwstr>true</vt:lpwstr>
  </property>
  <property fmtid="{D5CDD505-2E9C-101B-9397-08002B2CF9AE}" pid="17" name="MSIP_Label_4f932d64-9ab1-4d9b-81d2-a3a8b82dd47d_SetDate">
    <vt:lpwstr>2025-06-05T07:28:46Z</vt:lpwstr>
  </property>
  <property fmtid="{D5CDD505-2E9C-101B-9397-08002B2CF9AE}" pid="18" name="MSIP_Label_4f932d64-9ab1-4d9b-81d2-a3a8b82dd47d_Method">
    <vt:lpwstr>Privileged</vt:lpwstr>
  </property>
  <property fmtid="{D5CDD505-2E9C-101B-9397-08002B2CF9AE}" pid="19" name="MSIP_Label_4f932d64-9ab1-4d9b-81d2-a3a8b82dd47d_Name">
    <vt:lpwstr>OFFICIAL No Visual Marking</vt:lpwstr>
  </property>
  <property fmtid="{D5CDD505-2E9C-101B-9397-08002B2CF9AE}" pid="20" name="MSIP_Label_4f932d64-9ab1-4d9b-81d2-a3a8b82dd47d_SiteId">
    <vt:lpwstr>214f1646-2021-47cc-8397-e3d3a7ba7d9d</vt:lpwstr>
  </property>
  <property fmtid="{D5CDD505-2E9C-101B-9397-08002B2CF9AE}" pid="21" name="MSIP_Label_4f932d64-9ab1-4d9b-81d2-a3a8b82dd47d_ActionId">
    <vt:lpwstr>11d07557-5387-491a-a2fb-885fb4c1fb02</vt:lpwstr>
  </property>
  <property fmtid="{D5CDD505-2E9C-101B-9397-08002B2CF9AE}" pid="22" name="MSIP_Label_4f932d64-9ab1-4d9b-81d2-a3a8b82dd47d_ContentBits">
    <vt:lpwstr>0</vt:lpwstr>
  </property>
</Properties>
</file>