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A558" w14:textId="2DFD6245"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C312D1">
        <w:rPr>
          <w:sz w:val="24"/>
          <w:szCs w:val="24"/>
        </w:rPr>
        <w:t xml:space="preserve">determination No. </w:t>
      </w:r>
      <w:r w:rsidR="00D67D1B" w:rsidRPr="00C312D1">
        <w:rPr>
          <w:sz w:val="24"/>
          <w:szCs w:val="24"/>
        </w:rPr>
        <w:t>15</w:t>
      </w:r>
      <w:r w:rsidRPr="00C312D1">
        <w:rPr>
          <w:sz w:val="24"/>
          <w:szCs w:val="24"/>
        </w:rPr>
        <w:t xml:space="preserve"> of 202</w:t>
      </w:r>
      <w:r w:rsidR="000E0365" w:rsidRPr="00C312D1">
        <w:rPr>
          <w:sz w:val="24"/>
          <w:szCs w:val="24"/>
        </w:rPr>
        <w:t>5</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2D7953" w:rsidRDefault="00854C33" w:rsidP="00854C33">
      <w:pPr>
        <w:widowControl w:val="0"/>
        <w:rPr>
          <w:rFonts w:ascii="Times New Roman" w:hAnsi="Times New Roman"/>
          <w:sz w:val="24"/>
          <w:szCs w:val="24"/>
        </w:rPr>
      </w:pPr>
      <w:bookmarkStart w:id="3" w:name="_Hlk67156972"/>
      <w:r w:rsidRPr="002D7953">
        <w:rPr>
          <w:rFonts w:ascii="Times New Roman" w:hAnsi="Times New Roman"/>
          <w:sz w:val="24"/>
          <w:szCs w:val="24"/>
        </w:rPr>
        <w:t xml:space="preserve">Subsection 15(1) of the Act provides that APRA may declare a day on and after which the reporting standards are to apply. </w:t>
      </w:r>
    </w:p>
    <w:bookmarkEnd w:id="3"/>
    <w:p w14:paraId="3C5D9939" w14:textId="680070DB" w:rsidR="00211AFD" w:rsidRDefault="00211AFD" w:rsidP="00211AFD">
      <w:pPr>
        <w:numPr>
          <w:ilvl w:val="0"/>
          <w:numId w:val="0"/>
        </w:numPr>
        <w:rPr>
          <w:rFonts w:ascii="Times New Roman" w:hAnsi="Times New Roman" w:cs="Times New Roman"/>
          <w:sz w:val="24"/>
          <w:szCs w:val="24"/>
        </w:rPr>
      </w:pPr>
      <w:r w:rsidRPr="002D7953">
        <w:rPr>
          <w:rFonts w:ascii="Times New Roman" w:hAnsi="Times New Roman" w:cs="Times New Roman"/>
          <w:sz w:val="24"/>
          <w:szCs w:val="24"/>
        </w:rPr>
        <w:t>On</w:t>
      </w:r>
      <w:r w:rsidR="00F41BD7" w:rsidRPr="002D7953">
        <w:rPr>
          <w:rFonts w:ascii="Times New Roman" w:hAnsi="Times New Roman" w:cs="Times New Roman"/>
          <w:sz w:val="24"/>
          <w:szCs w:val="24"/>
        </w:rPr>
        <w:t xml:space="preserve"> </w:t>
      </w:r>
      <w:r w:rsidR="00355DD7" w:rsidRPr="00355DD7">
        <w:rPr>
          <w:rFonts w:ascii="Times New Roman" w:hAnsi="Times New Roman" w:cs="Times New Roman"/>
          <w:sz w:val="24"/>
          <w:szCs w:val="24"/>
        </w:rPr>
        <w:t xml:space="preserve">3 </w:t>
      </w:r>
      <w:r w:rsidR="00D67D1B" w:rsidRPr="00355DD7">
        <w:rPr>
          <w:rFonts w:ascii="Times New Roman" w:hAnsi="Times New Roman" w:cs="Times New Roman"/>
          <w:sz w:val="24"/>
          <w:szCs w:val="24"/>
        </w:rPr>
        <w:t>June</w:t>
      </w:r>
      <w:r w:rsidR="009D4F63" w:rsidRPr="00355DD7">
        <w:rPr>
          <w:rFonts w:ascii="Times New Roman" w:hAnsi="Times New Roman" w:cs="Times New Roman"/>
          <w:sz w:val="24"/>
          <w:szCs w:val="24"/>
        </w:rPr>
        <w:t xml:space="preserve"> 202</w:t>
      </w:r>
      <w:r w:rsidR="000E0365" w:rsidRPr="00355DD7">
        <w:rPr>
          <w:rFonts w:ascii="Times New Roman" w:hAnsi="Times New Roman" w:cs="Times New Roman"/>
          <w:sz w:val="24"/>
          <w:szCs w:val="24"/>
        </w:rPr>
        <w:t>5</w:t>
      </w:r>
      <w:r w:rsidRPr="00355DD7">
        <w:rPr>
          <w:rFonts w:ascii="Times New Roman" w:hAnsi="Times New Roman" w:cs="Times New Roman"/>
          <w:sz w:val="24"/>
          <w:szCs w:val="24"/>
        </w:rPr>
        <w:t>, APRA</w:t>
      </w:r>
      <w:r w:rsidRPr="00B33A8A">
        <w:rPr>
          <w:rFonts w:ascii="Times New Roman" w:hAnsi="Times New Roman" w:cs="Times New Roman"/>
          <w:sz w:val="24"/>
          <w:szCs w:val="24"/>
        </w:rPr>
        <w:t xml:space="preserve"> made</w:t>
      </w:r>
      <w:r w:rsidR="00321646">
        <w:rPr>
          <w:rFonts w:ascii="Times New Roman" w:hAnsi="Times New Roman" w:cs="Times New Roman"/>
          <w:sz w:val="24"/>
          <w:szCs w:val="24"/>
        </w:rPr>
        <w:t>:</w:t>
      </w:r>
    </w:p>
    <w:p w14:paraId="3513AEB5" w14:textId="4EAF2AD5" w:rsidR="008C7FD5" w:rsidRPr="00DF2C01"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w:t>
      </w:r>
      <w:r w:rsidRPr="00D67D1B">
        <w:rPr>
          <w:rFonts w:ascii="Times New Roman" w:hAnsi="Times New Roman"/>
          <w:sz w:val="24"/>
          <w:szCs w:val="24"/>
        </w:rPr>
        <w:t xml:space="preserve">standard) determination No. </w:t>
      </w:r>
      <w:r w:rsidR="00D67D1B" w:rsidRPr="00D67D1B">
        <w:rPr>
          <w:rFonts w:ascii="Times New Roman" w:hAnsi="Times New Roman"/>
          <w:sz w:val="24"/>
          <w:szCs w:val="24"/>
        </w:rPr>
        <w:t>15</w:t>
      </w:r>
      <w:r w:rsidR="009D4F63" w:rsidRPr="00D67D1B">
        <w:rPr>
          <w:rFonts w:ascii="Times New Roman" w:hAnsi="Times New Roman"/>
          <w:sz w:val="24"/>
          <w:szCs w:val="24"/>
        </w:rPr>
        <w:t xml:space="preserve"> </w:t>
      </w:r>
      <w:r w:rsidRPr="00D67D1B">
        <w:rPr>
          <w:rFonts w:ascii="Times New Roman" w:hAnsi="Times New Roman"/>
          <w:sz w:val="24"/>
          <w:szCs w:val="24"/>
        </w:rPr>
        <w:t>of 202</w:t>
      </w:r>
      <w:r w:rsidR="000E0365" w:rsidRPr="00D67D1B">
        <w:rPr>
          <w:rFonts w:ascii="Times New Roman" w:hAnsi="Times New Roman"/>
          <w:sz w:val="24"/>
          <w:szCs w:val="24"/>
        </w:rPr>
        <w:t>5</w:t>
      </w:r>
      <w:r w:rsidRPr="00DF2C01">
        <w:rPr>
          <w:rFonts w:ascii="Times New Roman" w:hAnsi="Times New Roman"/>
          <w:sz w:val="24"/>
          <w:szCs w:val="24"/>
        </w:rPr>
        <w:t xml:space="preserve"> which:</w:t>
      </w:r>
    </w:p>
    <w:p w14:paraId="4F222840" w14:textId="7881A54C" w:rsidR="008C7FD5" w:rsidRPr="00D32051"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00120FDB">
        <w:rPr>
          <w:rFonts w:ascii="Times New Roman" w:hAnsi="Times New Roman"/>
          <w:i/>
          <w:sz w:val="24"/>
          <w:szCs w:val="24"/>
        </w:rPr>
        <w:t>Reporting Standard ARS 11</w:t>
      </w:r>
      <w:r w:rsidR="004E5D1C">
        <w:rPr>
          <w:rFonts w:ascii="Times New Roman" w:hAnsi="Times New Roman"/>
          <w:i/>
          <w:sz w:val="24"/>
          <w:szCs w:val="24"/>
        </w:rPr>
        <w:t>7</w:t>
      </w:r>
      <w:r w:rsidR="00120FDB">
        <w:rPr>
          <w:rFonts w:ascii="Times New Roman" w:hAnsi="Times New Roman"/>
          <w:i/>
          <w:sz w:val="24"/>
          <w:szCs w:val="24"/>
        </w:rPr>
        <w:t xml:space="preserve">.0 </w:t>
      </w:r>
      <w:r w:rsidR="004E5D1C" w:rsidRPr="004E5D1C">
        <w:rPr>
          <w:rFonts w:ascii="Times New Roman" w:hAnsi="Times New Roman"/>
          <w:i/>
          <w:sz w:val="24"/>
          <w:szCs w:val="24"/>
        </w:rPr>
        <w:t>Repricing Analysis</w:t>
      </w:r>
      <w:r w:rsidRPr="00DF2C01">
        <w:rPr>
          <w:rFonts w:ascii="Times New Roman" w:hAnsi="Times New Roman"/>
          <w:sz w:val="24"/>
          <w:szCs w:val="24"/>
        </w:rPr>
        <w:t xml:space="preserve"> </w:t>
      </w:r>
      <w:r w:rsidR="00A541FE">
        <w:rPr>
          <w:rFonts w:ascii="Times New Roman" w:hAnsi="Times New Roman"/>
          <w:sz w:val="24"/>
          <w:szCs w:val="24"/>
        </w:rPr>
        <w:t>(ARS 11</w:t>
      </w:r>
      <w:r w:rsidR="004E5D1C">
        <w:rPr>
          <w:rFonts w:ascii="Times New Roman" w:hAnsi="Times New Roman"/>
          <w:sz w:val="24"/>
          <w:szCs w:val="24"/>
        </w:rPr>
        <w:t>7</w:t>
      </w:r>
      <w:r w:rsidR="00A541FE">
        <w:rPr>
          <w:rFonts w:ascii="Times New Roman" w:hAnsi="Times New Roman"/>
          <w:sz w:val="24"/>
          <w:szCs w:val="24"/>
        </w:rPr>
        <w:t xml:space="preserve">.0) </w:t>
      </w:r>
      <w:r w:rsidRPr="00DF2C01">
        <w:rPr>
          <w:rFonts w:ascii="Times New Roman" w:hAnsi="Times New Roman"/>
          <w:sz w:val="24"/>
          <w:szCs w:val="24"/>
        </w:rPr>
        <w:t xml:space="preserve">made under Financial Sector (Collection of Data) (reporting standard) determination </w:t>
      </w:r>
      <w:r w:rsidR="00120FDB">
        <w:rPr>
          <w:rFonts w:ascii="Times New Roman" w:hAnsi="Times New Roman"/>
          <w:sz w:val="24"/>
          <w:szCs w:val="24"/>
        </w:rPr>
        <w:t xml:space="preserve">No. </w:t>
      </w:r>
      <w:r w:rsidR="004E5D1C">
        <w:rPr>
          <w:rFonts w:ascii="Times New Roman" w:hAnsi="Times New Roman"/>
          <w:sz w:val="24"/>
          <w:szCs w:val="24"/>
        </w:rPr>
        <w:t>3</w:t>
      </w:r>
      <w:r w:rsidR="00120FDB">
        <w:rPr>
          <w:rFonts w:ascii="Times New Roman" w:hAnsi="Times New Roman"/>
          <w:sz w:val="24"/>
          <w:szCs w:val="24"/>
        </w:rPr>
        <w:t xml:space="preserve"> of 2023</w:t>
      </w:r>
      <w:r>
        <w:rPr>
          <w:rFonts w:ascii="Times New Roman" w:hAnsi="Times New Roman"/>
          <w:sz w:val="24"/>
          <w:szCs w:val="24"/>
        </w:rPr>
        <w:t xml:space="preserve">; </w:t>
      </w:r>
      <w:r w:rsidRPr="00D32051">
        <w:rPr>
          <w:rFonts w:ascii="Times New Roman" w:hAnsi="Times New Roman"/>
          <w:sz w:val="24"/>
          <w:szCs w:val="24"/>
        </w:rPr>
        <w:t>and</w:t>
      </w:r>
    </w:p>
    <w:p w14:paraId="6C6EF890" w14:textId="5FFFDF65" w:rsidR="008C7FD5"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sidR="00A541FE">
        <w:rPr>
          <w:rFonts w:ascii="Times New Roman" w:hAnsi="Times New Roman"/>
          <w:sz w:val="24"/>
          <w:szCs w:val="24"/>
        </w:rPr>
        <w:t>version of ARS 11</w:t>
      </w:r>
      <w:r w:rsidR="004E5D1C">
        <w:rPr>
          <w:rFonts w:ascii="Times New Roman" w:hAnsi="Times New Roman"/>
          <w:sz w:val="24"/>
          <w:szCs w:val="24"/>
        </w:rPr>
        <w:t>7</w:t>
      </w:r>
      <w:r w:rsidR="00A541FE">
        <w:rPr>
          <w:rFonts w:ascii="Times New Roman" w:hAnsi="Times New Roman"/>
          <w:sz w:val="24"/>
          <w:szCs w:val="24"/>
        </w:rPr>
        <w:t>.0</w:t>
      </w:r>
      <w:r w:rsidR="00120FDB">
        <w:rPr>
          <w:rFonts w:ascii="Times New Roman" w:hAnsi="Times New Roman"/>
          <w:sz w:val="24"/>
          <w:szCs w:val="24"/>
        </w:rPr>
        <w:t>.</w:t>
      </w:r>
    </w:p>
    <w:p w14:paraId="20C71CDB" w14:textId="087CD856" w:rsidR="00023CE3" w:rsidRPr="00CF46D3" w:rsidRDefault="00023CE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instrument commence</w:t>
      </w:r>
      <w:r w:rsidR="00244B0A" w:rsidRPr="00CF46D3">
        <w:rPr>
          <w:rFonts w:ascii="Times New Roman" w:hAnsi="Times New Roman"/>
          <w:sz w:val="24"/>
          <w:szCs w:val="24"/>
        </w:rPr>
        <w:t>s</w:t>
      </w:r>
      <w:r w:rsidRPr="00CF46D3">
        <w:rPr>
          <w:rFonts w:ascii="Times New Roman" w:hAnsi="Times New Roman"/>
          <w:sz w:val="24"/>
          <w:szCs w:val="24"/>
        </w:rPr>
        <w:t xml:space="preserve"> </w:t>
      </w:r>
      <w:r w:rsidR="00AE1E45">
        <w:rPr>
          <w:rFonts w:ascii="Times New Roman" w:hAnsi="Times New Roman"/>
          <w:sz w:val="24"/>
          <w:szCs w:val="24"/>
        </w:rPr>
        <w:t>at the start of</w:t>
      </w:r>
      <w:r w:rsidR="009A325F">
        <w:rPr>
          <w:rFonts w:ascii="Times New Roman" w:hAnsi="Times New Roman"/>
          <w:sz w:val="24"/>
          <w:szCs w:val="24"/>
        </w:rPr>
        <w:t xml:space="preserve"> </w:t>
      </w:r>
      <w:r w:rsidR="00E3416E">
        <w:rPr>
          <w:rFonts w:ascii="Times New Roman" w:hAnsi="Times New Roman"/>
          <w:sz w:val="24"/>
          <w:szCs w:val="24"/>
        </w:rPr>
        <w:t xml:space="preserve">the day after it is registered </w:t>
      </w:r>
      <w:r w:rsidR="00E3416E" w:rsidRPr="00CF46D3">
        <w:rPr>
          <w:rFonts w:ascii="Times New Roman" w:hAnsi="Times New Roman"/>
          <w:sz w:val="24"/>
          <w:szCs w:val="24"/>
        </w:rPr>
        <w:t>on the Federal Register of Legislation</w:t>
      </w:r>
      <w:r w:rsidRPr="00CF46D3">
        <w:rPr>
          <w:rFonts w:ascii="Times New Roman" w:hAnsi="Times New Roman"/>
          <w:sz w:val="24"/>
          <w:szCs w:val="24"/>
        </w:rPr>
        <w:t xml:space="preserve">.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445B1D0F" w14:textId="1C7E4976" w:rsidR="005856F8" w:rsidRDefault="005856F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is the prudential regulator for banking, insurance and superannuation entities, and collects financial sector data for its own uses and on behalf of the Reserve Bank of Australia and the Australian Bureau of Statistics. </w:t>
      </w:r>
    </w:p>
    <w:p w14:paraId="3B8B87DB" w14:textId="5F987B22" w:rsidR="00DD7B07" w:rsidRDefault="00DD7B07" w:rsidP="00BF1A95">
      <w:pPr>
        <w:numPr>
          <w:ilvl w:val="0"/>
          <w:numId w:val="0"/>
        </w:numPr>
        <w:rPr>
          <w:rFonts w:ascii="Times New Roman" w:hAnsi="Times New Roman" w:cs="Times New Roman"/>
          <w:sz w:val="24"/>
          <w:szCs w:val="24"/>
        </w:rPr>
      </w:pPr>
      <w:r>
        <w:rPr>
          <w:rFonts w:ascii="Times New Roman" w:hAnsi="Times New Roman" w:cs="Times New Roman"/>
          <w:sz w:val="24"/>
          <w:szCs w:val="24"/>
        </w:rPr>
        <w:t>ARS 11</w:t>
      </w:r>
      <w:r w:rsidR="00257E16">
        <w:rPr>
          <w:rFonts w:ascii="Times New Roman" w:hAnsi="Times New Roman" w:cs="Times New Roman"/>
          <w:sz w:val="24"/>
          <w:szCs w:val="24"/>
        </w:rPr>
        <w:t>7</w:t>
      </w:r>
      <w:r>
        <w:rPr>
          <w:rFonts w:ascii="Times New Roman" w:hAnsi="Times New Roman" w:cs="Times New Roman"/>
          <w:sz w:val="24"/>
          <w:szCs w:val="24"/>
        </w:rPr>
        <w:t xml:space="preserve">.0 </w:t>
      </w:r>
      <w:r w:rsidRPr="00120FDB">
        <w:rPr>
          <w:rFonts w:ascii="Times New Roman" w:hAnsi="Times New Roman" w:cs="Times New Roman"/>
          <w:sz w:val="24"/>
          <w:szCs w:val="24"/>
        </w:rPr>
        <w:t xml:space="preserve">sets out the requirements for </w:t>
      </w:r>
      <w:r w:rsidR="000C6B35">
        <w:rPr>
          <w:rFonts w:ascii="Times New Roman" w:hAnsi="Times New Roman" w:cs="Times New Roman"/>
          <w:sz w:val="24"/>
          <w:szCs w:val="24"/>
        </w:rPr>
        <w:t>authorised deposit-taking institutions (ADIs)</w:t>
      </w:r>
      <w:r w:rsidR="00C41834">
        <w:rPr>
          <w:rFonts w:ascii="Times New Roman" w:hAnsi="Times New Roman" w:cs="Times New Roman"/>
          <w:sz w:val="24"/>
          <w:szCs w:val="24"/>
        </w:rPr>
        <w:t xml:space="preserve"> and immediate parent non-operating holding companies (NOHCs) of ADIs</w:t>
      </w:r>
      <w:r w:rsidR="000C6B35">
        <w:rPr>
          <w:rFonts w:ascii="Times New Roman" w:hAnsi="Times New Roman" w:cs="Times New Roman"/>
          <w:sz w:val="24"/>
          <w:szCs w:val="24"/>
        </w:rPr>
        <w:t xml:space="preserve"> to report </w:t>
      </w:r>
      <w:r w:rsidRPr="00120FDB">
        <w:rPr>
          <w:rFonts w:ascii="Times New Roman" w:hAnsi="Times New Roman" w:cs="Times New Roman"/>
          <w:sz w:val="24"/>
          <w:szCs w:val="24"/>
        </w:rPr>
        <w:t xml:space="preserve">information to APRA relating to </w:t>
      </w:r>
      <w:r>
        <w:rPr>
          <w:rFonts w:ascii="Times New Roman" w:hAnsi="Times New Roman" w:cs="Times New Roman"/>
          <w:sz w:val="24"/>
          <w:szCs w:val="24"/>
        </w:rPr>
        <w:t>the</w:t>
      </w:r>
      <w:r w:rsidR="000C6B35">
        <w:rPr>
          <w:rFonts w:ascii="Times New Roman" w:hAnsi="Times New Roman" w:cs="Times New Roman"/>
          <w:sz w:val="24"/>
          <w:szCs w:val="24"/>
        </w:rPr>
        <w:t>ir</w:t>
      </w:r>
      <w:r>
        <w:rPr>
          <w:rFonts w:ascii="Times New Roman" w:hAnsi="Times New Roman" w:cs="Times New Roman"/>
          <w:sz w:val="24"/>
          <w:szCs w:val="24"/>
        </w:rPr>
        <w:t xml:space="preserve"> </w:t>
      </w:r>
      <w:r w:rsidR="00257E16">
        <w:rPr>
          <w:rFonts w:ascii="Times New Roman" w:hAnsi="Times New Roman" w:cs="Times New Roman"/>
          <w:sz w:val="24"/>
          <w:szCs w:val="24"/>
        </w:rPr>
        <w:t>repricing profile</w:t>
      </w:r>
      <w:r w:rsidRPr="00120FDB">
        <w:rPr>
          <w:rFonts w:ascii="Times New Roman" w:hAnsi="Times New Roman" w:cs="Times New Roman"/>
          <w:sz w:val="24"/>
          <w:szCs w:val="24"/>
        </w:rPr>
        <w:t>.</w:t>
      </w:r>
      <w:r w:rsidR="00752E20">
        <w:rPr>
          <w:rFonts w:ascii="Times New Roman" w:hAnsi="Times New Roman" w:cs="Times New Roman"/>
          <w:sz w:val="24"/>
          <w:szCs w:val="24"/>
        </w:rPr>
        <w:t xml:space="preserve"> It states the specific data items ADIs </w:t>
      </w:r>
      <w:r w:rsidR="009829CE">
        <w:rPr>
          <w:rFonts w:ascii="Times New Roman" w:hAnsi="Times New Roman" w:cs="Times New Roman"/>
          <w:sz w:val="24"/>
          <w:szCs w:val="24"/>
        </w:rPr>
        <w:t xml:space="preserve">and </w:t>
      </w:r>
      <w:r w:rsidR="00C41834">
        <w:rPr>
          <w:rFonts w:ascii="Times New Roman" w:hAnsi="Times New Roman" w:cs="Times New Roman"/>
          <w:sz w:val="24"/>
          <w:szCs w:val="24"/>
        </w:rPr>
        <w:t>NOHCs</w:t>
      </w:r>
      <w:r w:rsidR="00D96552">
        <w:rPr>
          <w:rFonts w:ascii="Times New Roman" w:hAnsi="Times New Roman" w:cs="Times New Roman"/>
          <w:sz w:val="24"/>
          <w:szCs w:val="24"/>
        </w:rPr>
        <w:t xml:space="preserve"> </w:t>
      </w:r>
      <w:r w:rsidR="00752E20">
        <w:rPr>
          <w:rFonts w:ascii="Times New Roman" w:hAnsi="Times New Roman" w:cs="Times New Roman"/>
          <w:sz w:val="24"/>
          <w:szCs w:val="24"/>
        </w:rPr>
        <w:t xml:space="preserve">need to submit, </w:t>
      </w:r>
      <w:r w:rsidR="00E15A57">
        <w:rPr>
          <w:rFonts w:ascii="Times New Roman" w:hAnsi="Times New Roman" w:cs="Times New Roman"/>
          <w:sz w:val="24"/>
          <w:szCs w:val="24"/>
        </w:rPr>
        <w:t xml:space="preserve">provides </w:t>
      </w:r>
      <w:r w:rsidR="00752E20">
        <w:rPr>
          <w:rFonts w:ascii="Times New Roman" w:hAnsi="Times New Roman" w:cs="Times New Roman"/>
          <w:sz w:val="24"/>
          <w:szCs w:val="24"/>
        </w:rPr>
        <w:t xml:space="preserve">definitions and instructions on how to measure and </w:t>
      </w:r>
      <w:r w:rsidR="00153F9B">
        <w:rPr>
          <w:rFonts w:ascii="Times New Roman" w:hAnsi="Times New Roman" w:cs="Times New Roman"/>
          <w:sz w:val="24"/>
          <w:szCs w:val="24"/>
        </w:rPr>
        <w:t xml:space="preserve">report these items, and </w:t>
      </w:r>
      <w:r w:rsidR="00E15A57">
        <w:rPr>
          <w:rFonts w:ascii="Times New Roman" w:hAnsi="Times New Roman" w:cs="Times New Roman"/>
          <w:sz w:val="24"/>
          <w:szCs w:val="24"/>
        </w:rPr>
        <w:t>states timeline</w:t>
      </w:r>
      <w:r w:rsidR="008E4253">
        <w:rPr>
          <w:rFonts w:ascii="Times New Roman" w:hAnsi="Times New Roman" w:cs="Times New Roman"/>
          <w:sz w:val="24"/>
          <w:szCs w:val="24"/>
        </w:rPr>
        <w:t>s</w:t>
      </w:r>
      <w:r w:rsidR="00E15A57">
        <w:rPr>
          <w:rFonts w:ascii="Times New Roman" w:hAnsi="Times New Roman" w:cs="Times New Roman"/>
          <w:sz w:val="24"/>
          <w:szCs w:val="24"/>
        </w:rPr>
        <w:t xml:space="preserve"> and quality </w:t>
      </w:r>
      <w:r w:rsidR="00153F9B">
        <w:rPr>
          <w:rFonts w:ascii="Times New Roman" w:hAnsi="Times New Roman" w:cs="Times New Roman"/>
          <w:sz w:val="24"/>
          <w:szCs w:val="24"/>
        </w:rPr>
        <w:t>requirements for providing the data to APRA.</w:t>
      </w:r>
    </w:p>
    <w:p w14:paraId="0F75A941" w14:textId="74AFEE07" w:rsidR="00114B50" w:rsidRDefault="005C110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w:t>
      </w:r>
      <w:r w:rsidR="007155CF">
        <w:rPr>
          <w:rFonts w:ascii="Times New Roman" w:hAnsi="Times New Roman" w:cs="Times New Roman"/>
          <w:sz w:val="24"/>
          <w:szCs w:val="24"/>
        </w:rPr>
        <w:t xml:space="preserve">consulted on updates to the ADI interest rate risk in the banking book (IRRBB) capital </w:t>
      </w:r>
      <w:r w:rsidR="007402A3">
        <w:rPr>
          <w:rFonts w:ascii="Times New Roman" w:hAnsi="Times New Roman" w:cs="Times New Roman"/>
          <w:sz w:val="24"/>
          <w:szCs w:val="24"/>
        </w:rPr>
        <w:t xml:space="preserve">and reporting </w:t>
      </w:r>
      <w:r w:rsidR="007155CF">
        <w:rPr>
          <w:rFonts w:ascii="Times New Roman" w:hAnsi="Times New Roman" w:cs="Times New Roman"/>
          <w:sz w:val="24"/>
          <w:szCs w:val="24"/>
        </w:rPr>
        <w:t>framework</w:t>
      </w:r>
      <w:r w:rsidR="007402A3">
        <w:rPr>
          <w:rFonts w:ascii="Times New Roman" w:hAnsi="Times New Roman" w:cs="Times New Roman"/>
          <w:sz w:val="24"/>
          <w:szCs w:val="24"/>
        </w:rPr>
        <w:t>s</w:t>
      </w:r>
      <w:r w:rsidR="007155CF">
        <w:rPr>
          <w:rFonts w:ascii="Times New Roman" w:hAnsi="Times New Roman" w:cs="Times New Roman"/>
          <w:sz w:val="24"/>
          <w:szCs w:val="24"/>
        </w:rPr>
        <w:t xml:space="preserve"> from September 2019 to July 2024</w:t>
      </w:r>
      <w:r>
        <w:rPr>
          <w:rFonts w:ascii="Times New Roman" w:hAnsi="Times New Roman" w:cs="Times New Roman"/>
          <w:sz w:val="24"/>
          <w:szCs w:val="24"/>
        </w:rPr>
        <w:t xml:space="preserve">. In December 2023, APRA released </w:t>
      </w:r>
      <w:r w:rsidR="007155CF">
        <w:rPr>
          <w:rFonts w:ascii="Times New Roman" w:hAnsi="Times New Roman" w:cs="Times New Roman"/>
          <w:sz w:val="24"/>
          <w:szCs w:val="24"/>
        </w:rPr>
        <w:t xml:space="preserve">a response to submissions on proposed changes to the ADI IRRBB capital framework. At the same time, APRA released a </w:t>
      </w:r>
      <w:r w:rsidRPr="005C1108">
        <w:rPr>
          <w:rFonts w:ascii="Times New Roman" w:hAnsi="Times New Roman" w:cs="Times New Roman"/>
          <w:sz w:val="24"/>
          <w:szCs w:val="24"/>
        </w:rPr>
        <w:t>consultation</w:t>
      </w:r>
      <w:r w:rsidR="00F516EA">
        <w:rPr>
          <w:rFonts w:ascii="Times New Roman" w:hAnsi="Times New Roman" w:cs="Times New Roman"/>
          <w:sz w:val="24"/>
          <w:szCs w:val="24"/>
        </w:rPr>
        <w:t xml:space="preserve"> on</w:t>
      </w:r>
      <w:r w:rsidRPr="005C1108">
        <w:rPr>
          <w:rFonts w:ascii="Times New Roman" w:hAnsi="Times New Roman" w:cs="Times New Roman"/>
          <w:sz w:val="24"/>
          <w:szCs w:val="24"/>
        </w:rPr>
        <w:t xml:space="preserve"> proposed updates to the</w:t>
      </w:r>
      <w:r>
        <w:rPr>
          <w:rFonts w:ascii="Times New Roman" w:hAnsi="Times New Roman" w:cs="Times New Roman"/>
          <w:sz w:val="24"/>
          <w:szCs w:val="24"/>
        </w:rPr>
        <w:t xml:space="preserve"> </w:t>
      </w:r>
      <w:r w:rsidR="007155CF">
        <w:rPr>
          <w:rFonts w:ascii="Times New Roman" w:hAnsi="Times New Roman" w:cs="Times New Roman"/>
          <w:sz w:val="24"/>
          <w:szCs w:val="24"/>
        </w:rPr>
        <w:t>corresponding reporting</w:t>
      </w:r>
      <w:r w:rsidRPr="005C1108">
        <w:rPr>
          <w:rFonts w:ascii="Times New Roman" w:hAnsi="Times New Roman" w:cs="Times New Roman"/>
          <w:sz w:val="24"/>
          <w:szCs w:val="24"/>
        </w:rPr>
        <w:t xml:space="preserve"> framework</w:t>
      </w:r>
      <w:r w:rsidR="007155CF">
        <w:rPr>
          <w:rFonts w:ascii="Times New Roman" w:hAnsi="Times New Roman" w:cs="Times New Roman"/>
          <w:sz w:val="24"/>
          <w:szCs w:val="24"/>
        </w:rPr>
        <w:t xml:space="preserve">, including </w:t>
      </w:r>
      <w:r w:rsidR="00F516EA">
        <w:rPr>
          <w:rFonts w:ascii="Times New Roman" w:hAnsi="Times New Roman" w:cs="Times New Roman"/>
          <w:sz w:val="24"/>
          <w:szCs w:val="24"/>
        </w:rPr>
        <w:t>creating a new version of</w:t>
      </w:r>
      <w:r w:rsidR="007155CF">
        <w:rPr>
          <w:rFonts w:ascii="Times New Roman" w:hAnsi="Times New Roman" w:cs="Times New Roman"/>
          <w:sz w:val="24"/>
          <w:szCs w:val="24"/>
        </w:rPr>
        <w:t xml:space="preserve"> ARS 117.0</w:t>
      </w:r>
      <w:r>
        <w:rPr>
          <w:rFonts w:ascii="Times New Roman" w:hAnsi="Times New Roman" w:cs="Times New Roman"/>
          <w:sz w:val="24"/>
          <w:szCs w:val="24"/>
        </w:rPr>
        <w:t>.</w:t>
      </w:r>
      <w:r w:rsidRPr="005C1108">
        <w:rPr>
          <w:rFonts w:ascii="Times New Roman" w:hAnsi="Times New Roman" w:cs="Times New Roman"/>
          <w:sz w:val="24"/>
          <w:szCs w:val="24"/>
        </w:rPr>
        <w:t xml:space="preserve"> The</w:t>
      </w:r>
      <w:r w:rsidR="00D5230B">
        <w:rPr>
          <w:rFonts w:ascii="Times New Roman" w:hAnsi="Times New Roman" w:cs="Times New Roman"/>
          <w:sz w:val="24"/>
          <w:szCs w:val="24"/>
        </w:rPr>
        <w:t>se</w:t>
      </w:r>
      <w:r w:rsidRPr="005C1108">
        <w:rPr>
          <w:rFonts w:ascii="Times New Roman" w:hAnsi="Times New Roman" w:cs="Times New Roman"/>
          <w:sz w:val="24"/>
          <w:szCs w:val="24"/>
        </w:rPr>
        <w:t xml:space="preserve"> updates </w:t>
      </w:r>
      <w:r>
        <w:rPr>
          <w:rFonts w:ascii="Times New Roman" w:hAnsi="Times New Roman" w:cs="Times New Roman"/>
          <w:sz w:val="24"/>
          <w:szCs w:val="24"/>
        </w:rPr>
        <w:t>w</w:t>
      </w:r>
      <w:r w:rsidR="00D5230B">
        <w:rPr>
          <w:rFonts w:ascii="Times New Roman" w:hAnsi="Times New Roman" w:cs="Times New Roman"/>
          <w:sz w:val="24"/>
          <w:szCs w:val="24"/>
        </w:rPr>
        <w:t xml:space="preserve">ere made </w:t>
      </w:r>
      <w:r w:rsidRPr="005C1108">
        <w:rPr>
          <w:rFonts w:ascii="Times New Roman" w:hAnsi="Times New Roman" w:cs="Times New Roman"/>
          <w:sz w:val="24"/>
          <w:szCs w:val="24"/>
        </w:rPr>
        <w:t xml:space="preserve">to </w:t>
      </w:r>
      <w:r w:rsidR="007155CF">
        <w:rPr>
          <w:rFonts w:ascii="Times New Roman" w:hAnsi="Times New Roman" w:cs="Times New Roman"/>
          <w:sz w:val="24"/>
          <w:szCs w:val="24"/>
        </w:rPr>
        <w:t>align the reporting standards with proposed changes to prudential standards</w:t>
      </w:r>
      <w:r w:rsidRPr="005C1108">
        <w:rPr>
          <w:rFonts w:ascii="Times New Roman" w:hAnsi="Times New Roman" w:cs="Times New Roman"/>
          <w:sz w:val="24"/>
          <w:szCs w:val="24"/>
        </w:rPr>
        <w:t>.</w:t>
      </w:r>
      <w:r>
        <w:rPr>
          <w:rFonts w:ascii="Times New Roman" w:hAnsi="Times New Roman" w:cs="Times New Roman"/>
          <w:sz w:val="24"/>
          <w:szCs w:val="24"/>
        </w:rPr>
        <w:t xml:space="preserve"> Following </w:t>
      </w:r>
      <w:r w:rsidR="00204F39">
        <w:rPr>
          <w:rFonts w:ascii="Times New Roman" w:hAnsi="Times New Roman" w:cs="Times New Roman"/>
          <w:sz w:val="24"/>
          <w:szCs w:val="24"/>
        </w:rPr>
        <w:lastRenderedPageBreak/>
        <w:t xml:space="preserve">a </w:t>
      </w:r>
      <w:r w:rsidR="00204F39" w:rsidRPr="0098603F">
        <w:rPr>
          <w:rFonts w:ascii="Times New Roman" w:hAnsi="Times New Roman" w:cs="Times New Roman"/>
          <w:sz w:val="24"/>
          <w:szCs w:val="24"/>
        </w:rPr>
        <w:t xml:space="preserve">three-month consultation period, </w:t>
      </w:r>
      <w:r w:rsidRPr="0098603F">
        <w:rPr>
          <w:rFonts w:ascii="Times New Roman" w:hAnsi="Times New Roman" w:cs="Times New Roman"/>
          <w:sz w:val="24"/>
          <w:szCs w:val="24"/>
        </w:rPr>
        <w:t>APRA released a response to submissions</w:t>
      </w:r>
      <w:r w:rsidR="007402A3">
        <w:rPr>
          <w:rFonts w:ascii="Times New Roman" w:hAnsi="Times New Roman" w:cs="Times New Roman"/>
          <w:sz w:val="24"/>
          <w:szCs w:val="24"/>
        </w:rPr>
        <w:t xml:space="preserve"> on the reporting standards</w:t>
      </w:r>
      <w:r w:rsidRPr="0098603F">
        <w:rPr>
          <w:rFonts w:ascii="Times New Roman" w:hAnsi="Times New Roman" w:cs="Times New Roman"/>
          <w:sz w:val="24"/>
          <w:szCs w:val="24"/>
        </w:rPr>
        <w:t xml:space="preserve"> on </w:t>
      </w:r>
      <w:r w:rsidR="00F516EA">
        <w:rPr>
          <w:rFonts w:ascii="Times New Roman" w:hAnsi="Times New Roman" w:cs="Times New Roman"/>
          <w:sz w:val="24"/>
          <w:szCs w:val="24"/>
        </w:rPr>
        <w:t>8 July</w:t>
      </w:r>
      <w:r w:rsidR="0098603F" w:rsidRPr="0098603F">
        <w:rPr>
          <w:rFonts w:ascii="Times New Roman" w:hAnsi="Times New Roman" w:cs="Times New Roman"/>
          <w:sz w:val="24"/>
          <w:szCs w:val="24"/>
        </w:rPr>
        <w:t xml:space="preserve"> </w:t>
      </w:r>
      <w:r w:rsidRPr="0098603F">
        <w:rPr>
          <w:rFonts w:ascii="Times New Roman" w:hAnsi="Times New Roman" w:cs="Times New Roman"/>
          <w:sz w:val="24"/>
          <w:szCs w:val="24"/>
        </w:rPr>
        <w:t>2024</w:t>
      </w:r>
      <w:r w:rsidR="00AE12C8">
        <w:rPr>
          <w:rStyle w:val="FootnoteReference"/>
          <w:rFonts w:ascii="Times New Roman" w:hAnsi="Times New Roman" w:cs="Times New Roman"/>
          <w:szCs w:val="24"/>
        </w:rPr>
        <w:footnoteReference w:id="2"/>
      </w:r>
      <w:r w:rsidRPr="0098603F">
        <w:rPr>
          <w:rFonts w:ascii="Times New Roman" w:hAnsi="Times New Roman" w:cs="Times New Roman"/>
          <w:sz w:val="24"/>
          <w:szCs w:val="24"/>
        </w:rPr>
        <w:t>.</w:t>
      </w:r>
    </w:p>
    <w:p w14:paraId="349A167C" w14:textId="3E0087E3"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73A25979"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62090B">
        <w:rPr>
          <w:rFonts w:ascii="Times New Roman" w:hAnsi="Times New Roman" w:cs="Times New Roman"/>
          <w:sz w:val="24"/>
          <w:szCs w:val="24"/>
        </w:rPr>
        <w:t xml:space="preserve">revoke </w:t>
      </w:r>
      <w:r w:rsidR="00A67AF3">
        <w:rPr>
          <w:rFonts w:ascii="Times New Roman" w:hAnsi="Times New Roman" w:cs="Times New Roman"/>
          <w:sz w:val="24"/>
          <w:szCs w:val="24"/>
        </w:rPr>
        <w:t>ARS 11</w:t>
      </w:r>
      <w:r w:rsidR="00257E16">
        <w:rPr>
          <w:rFonts w:ascii="Times New Roman" w:hAnsi="Times New Roman" w:cs="Times New Roman"/>
          <w:sz w:val="24"/>
          <w:szCs w:val="24"/>
        </w:rPr>
        <w:t>7</w:t>
      </w:r>
      <w:r w:rsidR="00A67AF3">
        <w:rPr>
          <w:rFonts w:ascii="Times New Roman" w:hAnsi="Times New Roman" w:cs="Times New Roman"/>
          <w:sz w:val="24"/>
          <w:szCs w:val="24"/>
        </w:rPr>
        <w:t>.0 and replace it with a new version</w:t>
      </w:r>
      <w:r w:rsidRPr="00BC1E70">
        <w:rPr>
          <w:rFonts w:ascii="Times New Roman" w:hAnsi="Times New Roman" w:cs="Times New Roman"/>
          <w:sz w:val="24"/>
          <w:szCs w:val="24"/>
        </w:rPr>
        <w:t>.</w:t>
      </w:r>
      <w:r w:rsidR="00452279">
        <w:rPr>
          <w:rFonts w:ascii="Times New Roman" w:hAnsi="Times New Roman" w:cs="Times New Roman"/>
          <w:sz w:val="24"/>
          <w:szCs w:val="24"/>
        </w:rPr>
        <w:t xml:space="preserve"> </w:t>
      </w:r>
      <w:r w:rsidR="004539A8" w:rsidRPr="00120FDB">
        <w:rPr>
          <w:rFonts w:ascii="Times New Roman" w:hAnsi="Times New Roman" w:cs="Times New Roman"/>
          <w:sz w:val="24"/>
          <w:szCs w:val="24"/>
        </w:rPr>
        <w:t xml:space="preserve">This </w:t>
      </w:r>
      <w:r w:rsidR="004539A8">
        <w:rPr>
          <w:rFonts w:ascii="Times New Roman" w:hAnsi="Times New Roman" w:cs="Times New Roman"/>
          <w:sz w:val="24"/>
          <w:szCs w:val="24"/>
        </w:rPr>
        <w:t>r</w:t>
      </w:r>
      <w:r w:rsidR="004539A8" w:rsidRPr="00120FDB">
        <w:rPr>
          <w:rFonts w:ascii="Times New Roman" w:hAnsi="Times New Roman" w:cs="Times New Roman"/>
          <w:sz w:val="24"/>
          <w:szCs w:val="24"/>
        </w:rPr>
        <w:t xml:space="preserve">eporting </w:t>
      </w:r>
      <w:r w:rsidR="004539A8">
        <w:rPr>
          <w:rFonts w:ascii="Times New Roman" w:hAnsi="Times New Roman" w:cs="Times New Roman"/>
          <w:sz w:val="24"/>
          <w:szCs w:val="24"/>
        </w:rPr>
        <w:t>s</w:t>
      </w:r>
      <w:r w:rsidR="004539A8" w:rsidRPr="00120FDB">
        <w:rPr>
          <w:rFonts w:ascii="Times New Roman" w:hAnsi="Times New Roman" w:cs="Times New Roman"/>
          <w:sz w:val="24"/>
          <w:szCs w:val="24"/>
        </w:rPr>
        <w:t xml:space="preserve">tandard sets out the requirements for the provision of information to APRA relating to an </w:t>
      </w:r>
      <w:r w:rsidR="004539A8">
        <w:rPr>
          <w:rFonts w:ascii="Times New Roman" w:hAnsi="Times New Roman" w:cs="Times New Roman"/>
          <w:sz w:val="24"/>
          <w:szCs w:val="24"/>
        </w:rPr>
        <w:t>ADI</w:t>
      </w:r>
      <w:r w:rsidR="004539A8" w:rsidRPr="00120FDB">
        <w:rPr>
          <w:rFonts w:ascii="Times New Roman" w:hAnsi="Times New Roman" w:cs="Times New Roman"/>
          <w:sz w:val="24"/>
          <w:szCs w:val="24"/>
        </w:rPr>
        <w:t xml:space="preserve">’s </w:t>
      </w:r>
      <w:r w:rsidR="00257E16">
        <w:rPr>
          <w:rFonts w:ascii="Times New Roman" w:hAnsi="Times New Roman" w:cs="Times New Roman"/>
          <w:sz w:val="24"/>
          <w:szCs w:val="24"/>
        </w:rPr>
        <w:t>repricing profile</w:t>
      </w:r>
      <w:r w:rsidR="004539A8" w:rsidRPr="00120FDB">
        <w:rPr>
          <w:rFonts w:ascii="Times New Roman" w:hAnsi="Times New Roman" w:cs="Times New Roman"/>
          <w:sz w:val="24"/>
          <w:szCs w:val="24"/>
        </w:rPr>
        <w:t>.</w:t>
      </w:r>
    </w:p>
    <w:p w14:paraId="7661522C" w14:textId="0C6CBE5B" w:rsidR="00EA1FBD" w:rsidRDefault="00EA1FBD" w:rsidP="0020674F">
      <w:pPr>
        <w:numPr>
          <w:ilvl w:val="0"/>
          <w:numId w:val="0"/>
        </w:numPr>
        <w:rPr>
          <w:rFonts w:ascii="Times New Roman" w:hAnsi="Times New Roman" w:cs="Times New Roman"/>
          <w:sz w:val="24"/>
          <w:szCs w:val="24"/>
        </w:rPr>
      </w:pPr>
      <w:r w:rsidRPr="0020674F">
        <w:rPr>
          <w:rFonts w:ascii="Times New Roman" w:hAnsi="Times New Roman" w:cs="Times New Roman"/>
          <w:sz w:val="24"/>
          <w:szCs w:val="24"/>
        </w:rPr>
        <w:t xml:space="preserve">The new </w:t>
      </w:r>
      <w:r w:rsidR="00A67AF3">
        <w:rPr>
          <w:rFonts w:ascii="Times New Roman" w:hAnsi="Times New Roman" w:cs="Times New Roman"/>
          <w:sz w:val="24"/>
          <w:szCs w:val="24"/>
        </w:rPr>
        <w:t>version of ARS 11</w:t>
      </w:r>
      <w:r w:rsidR="00257E16">
        <w:rPr>
          <w:rFonts w:ascii="Times New Roman" w:hAnsi="Times New Roman" w:cs="Times New Roman"/>
          <w:sz w:val="24"/>
          <w:szCs w:val="24"/>
        </w:rPr>
        <w:t>7</w:t>
      </w:r>
      <w:r w:rsidR="00A67AF3">
        <w:rPr>
          <w:rFonts w:ascii="Times New Roman" w:hAnsi="Times New Roman" w:cs="Times New Roman"/>
          <w:sz w:val="24"/>
          <w:szCs w:val="24"/>
        </w:rPr>
        <w:t xml:space="preserve">.0 </w:t>
      </w:r>
      <w:r w:rsidRPr="0020674F">
        <w:rPr>
          <w:rFonts w:ascii="Times New Roman" w:hAnsi="Times New Roman" w:cs="Times New Roman"/>
          <w:sz w:val="24"/>
          <w:szCs w:val="24"/>
        </w:rPr>
        <w:t xml:space="preserve">will ensure that APRA’s reporting framework aligns with its </w:t>
      </w:r>
      <w:r w:rsidR="0020674F" w:rsidRPr="0020674F">
        <w:rPr>
          <w:rFonts w:ascii="Times New Roman" w:hAnsi="Times New Roman" w:cs="Times New Roman"/>
          <w:sz w:val="24"/>
          <w:szCs w:val="24"/>
        </w:rPr>
        <w:t xml:space="preserve">updated </w:t>
      </w:r>
      <w:r w:rsidRPr="0020674F">
        <w:rPr>
          <w:rFonts w:ascii="Times New Roman" w:hAnsi="Times New Roman" w:cs="Times New Roman"/>
          <w:sz w:val="24"/>
          <w:szCs w:val="24"/>
        </w:rPr>
        <w:t xml:space="preserve">prudential framework </w:t>
      </w:r>
      <w:r w:rsidR="00114F2A">
        <w:rPr>
          <w:rFonts w:ascii="Times New Roman" w:hAnsi="Times New Roman" w:cs="Times New Roman"/>
          <w:sz w:val="24"/>
          <w:szCs w:val="24"/>
        </w:rPr>
        <w:t>following the updates to the ADI capital framework</w:t>
      </w:r>
      <w:r w:rsidR="005F0E28">
        <w:rPr>
          <w:rFonts w:ascii="Times New Roman" w:hAnsi="Times New Roman" w:cs="Times New Roman"/>
          <w:sz w:val="24"/>
          <w:szCs w:val="24"/>
        </w:rPr>
        <w:t>. This will</w:t>
      </w:r>
      <w:r w:rsidR="0020674F" w:rsidRPr="0020674F">
        <w:rPr>
          <w:rFonts w:ascii="Times New Roman" w:hAnsi="Times New Roman" w:cs="Times New Roman"/>
          <w:sz w:val="24"/>
          <w:szCs w:val="24"/>
        </w:rPr>
        <w:t xml:space="preserve"> </w:t>
      </w:r>
      <w:r w:rsidRPr="0020674F">
        <w:rPr>
          <w:rFonts w:ascii="Times New Roman" w:hAnsi="Times New Roman" w:cs="Times New Roman"/>
          <w:sz w:val="24"/>
          <w:szCs w:val="24"/>
        </w:rPr>
        <w:t xml:space="preserve">allow APRA to supervise </w:t>
      </w:r>
      <w:r w:rsidR="005F0E28">
        <w:rPr>
          <w:rFonts w:ascii="Times New Roman" w:hAnsi="Times New Roman" w:cs="Times New Roman"/>
          <w:sz w:val="24"/>
          <w:szCs w:val="24"/>
        </w:rPr>
        <w:t>ADIs’</w:t>
      </w:r>
      <w:r w:rsidRPr="0020674F">
        <w:rPr>
          <w:rFonts w:ascii="Times New Roman" w:hAnsi="Times New Roman" w:cs="Times New Roman"/>
          <w:sz w:val="24"/>
          <w:szCs w:val="24"/>
        </w:rPr>
        <w:t xml:space="preserve"> compliance against the </w:t>
      </w:r>
      <w:r w:rsidR="00E9368C">
        <w:rPr>
          <w:rFonts w:ascii="Times New Roman" w:hAnsi="Times New Roman" w:cs="Times New Roman"/>
          <w:sz w:val="24"/>
          <w:szCs w:val="24"/>
        </w:rPr>
        <w:t>updated</w:t>
      </w:r>
      <w:r w:rsidRPr="0020674F">
        <w:rPr>
          <w:rFonts w:ascii="Times New Roman" w:hAnsi="Times New Roman" w:cs="Times New Roman"/>
          <w:sz w:val="24"/>
          <w:szCs w:val="24"/>
        </w:rPr>
        <w:t xml:space="preserve"> capital requirements.</w:t>
      </w:r>
    </w:p>
    <w:p w14:paraId="671285EA" w14:textId="637996A2" w:rsidR="00BF1A95" w:rsidRDefault="00BF1A95" w:rsidP="0020674F">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 appl</w:t>
      </w:r>
      <w:r w:rsidR="001E6377">
        <w:rPr>
          <w:rFonts w:ascii="Times New Roman" w:hAnsi="Times New Roman" w:cs="Times New Roman"/>
          <w:sz w:val="24"/>
          <w:szCs w:val="24"/>
        </w:rPr>
        <w:t>ies</w:t>
      </w:r>
      <w:r>
        <w:rPr>
          <w:rFonts w:ascii="Times New Roman" w:hAnsi="Times New Roman" w:cs="Times New Roman"/>
          <w:sz w:val="24"/>
          <w:szCs w:val="24"/>
        </w:rPr>
        <w:t xml:space="preserve"> to reporting periods ending on or after</w:t>
      </w:r>
      <w:r w:rsidR="00A26DCA">
        <w:rPr>
          <w:rFonts w:ascii="Times New Roman" w:hAnsi="Times New Roman" w:cs="Times New Roman"/>
          <w:sz w:val="24"/>
          <w:szCs w:val="24"/>
        </w:rPr>
        <w:t xml:space="preserve"> 1 October 2025</w:t>
      </w:r>
      <w:r>
        <w:rPr>
          <w:rFonts w:ascii="Times New Roman" w:hAnsi="Times New Roman" w:cs="Times New Roman"/>
          <w:sz w:val="24"/>
          <w:szCs w:val="24"/>
        </w:rPr>
        <w:t>.</w:t>
      </w:r>
      <w:r w:rsidR="003547F7">
        <w:rPr>
          <w:rFonts w:ascii="Times New Roman" w:hAnsi="Times New Roman" w:cs="Times New Roman"/>
          <w:sz w:val="24"/>
          <w:szCs w:val="24"/>
        </w:rPr>
        <w:t xml:space="preserve"> </w:t>
      </w:r>
      <w:r w:rsidR="003547F7" w:rsidRPr="003547F7">
        <w:rPr>
          <w:rFonts w:ascii="Times New Roman" w:hAnsi="Times New Roman" w:cs="Times New Roman"/>
          <w:sz w:val="24"/>
          <w:szCs w:val="24"/>
        </w:rPr>
        <w:t>While the new version of ARS 11</w:t>
      </w:r>
      <w:r w:rsidR="003547F7">
        <w:rPr>
          <w:rFonts w:ascii="Times New Roman" w:hAnsi="Times New Roman" w:cs="Times New Roman"/>
          <w:sz w:val="24"/>
          <w:szCs w:val="24"/>
        </w:rPr>
        <w:t>7</w:t>
      </w:r>
      <w:r w:rsidR="003547F7" w:rsidRPr="003547F7">
        <w:rPr>
          <w:rFonts w:ascii="Times New Roman" w:hAnsi="Times New Roman" w:cs="Times New Roman"/>
          <w:sz w:val="24"/>
          <w:szCs w:val="24"/>
        </w:rPr>
        <w:t>.0 requires reporting for reporting periods that commenced prior to its commencement, it is not retrospective in operation as the obligation to report on these reporting periods commences from, and not prior to, its commencement.</w:t>
      </w:r>
    </w:p>
    <w:p w14:paraId="21D88032"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46372B0"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6337F96" w14:textId="0418ECB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21EE1">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B2796E"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9E945EF" w14:textId="4839C3D5"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r w:rsidR="00903D27">
        <w:rPr>
          <w:rFonts w:ascii="Times New Roman" w:hAnsi="Times New Roman" w:cs="Times New Roman"/>
          <w:sz w:val="24"/>
          <w:szCs w:val="24"/>
        </w:rPr>
        <w:t xml:space="preserve"> It may also be used by the Reserve Bank of Australia and the Australian Bureau of Statistics.</w:t>
      </w:r>
    </w:p>
    <w:p w14:paraId="252C948D" w14:textId="4A5033DB"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w:t>
      </w:r>
      <w:r w:rsidR="00F81C2A">
        <w:rPr>
          <w:rFonts w:ascii="Times New Roman" w:hAnsi="Times New Roman" w:cs="Times New Roman"/>
          <w:i/>
          <w:sz w:val="24"/>
          <w:szCs w:val="24"/>
        </w:rPr>
        <w:t xml:space="preserve"> </w:t>
      </w:r>
      <w:r w:rsidRPr="002E123D">
        <w:rPr>
          <w:rFonts w:ascii="Times New Roman" w:hAnsi="Times New Roman" w:cs="Times New Roman"/>
          <w:i/>
          <w:sz w:val="24"/>
          <w:szCs w:val="24"/>
        </w:rPr>
        <w:t>–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3</w:t>
      </w:r>
      <w:r w:rsidR="00A33B81">
        <w:rPr>
          <w:rFonts w:ascii="Times New Roman" w:hAnsi="Times New Roman" w:cs="Times New Roman"/>
          <w:i/>
          <w:sz w:val="24"/>
          <w:szCs w:val="24"/>
        </w:rPr>
        <w:t xml:space="preserve"> </w:t>
      </w:r>
      <w:r w:rsidR="000D6B02">
        <w:rPr>
          <w:rFonts w:ascii="Times New Roman" w:hAnsi="Times New Roman" w:cs="Times New Roman"/>
          <w:i/>
          <w:sz w:val="24"/>
          <w:szCs w:val="24"/>
        </w:rPr>
        <w:t>-</w:t>
      </w:r>
      <w:r w:rsidR="00A33B81">
        <w:rPr>
          <w:rFonts w:ascii="Times New Roman" w:hAnsi="Times New Roman" w:cs="Times New Roman"/>
          <w:i/>
          <w:sz w:val="24"/>
          <w:szCs w:val="24"/>
        </w:rPr>
        <w:t xml:space="preserve"> </w:t>
      </w:r>
      <w:r w:rsidR="000D6B02">
        <w:rPr>
          <w:rFonts w:ascii="Times New Roman" w:hAnsi="Times New Roman" w:cs="Times New Roman"/>
          <w:i/>
          <w:sz w:val="24"/>
          <w:szCs w:val="24"/>
        </w:rPr>
        <w:t>5</w:t>
      </w:r>
    </w:p>
    <w:p w14:paraId="3A4BBDF0" w14:textId="18C62515"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6947B1">
        <w:rPr>
          <w:rFonts w:ascii="Times New Roman" w:hAnsi="Times New Roman" w:cs="Times New Roman"/>
          <w:sz w:val="24"/>
          <w:szCs w:val="24"/>
        </w:rPr>
        <w:t>ese</w:t>
      </w:r>
      <w:r w:rsidRPr="002E123D">
        <w:rPr>
          <w:rFonts w:ascii="Times New Roman" w:hAnsi="Times New Roman" w:cs="Times New Roman"/>
          <w:sz w:val="24"/>
          <w:szCs w:val="24"/>
        </w:rPr>
        <w:t xml:space="preserve"> </w:t>
      </w:r>
      <w:r w:rsidR="008C0619">
        <w:rPr>
          <w:rFonts w:ascii="Times New Roman" w:hAnsi="Times New Roman" w:cs="Times New Roman"/>
          <w:sz w:val="24"/>
          <w:szCs w:val="24"/>
        </w:rPr>
        <w:t>paragraphs</w:t>
      </w:r>
      <w:r w:rsidR="008C0619" w:rsidRPr="002E123D">
        <w:rPr>
          <w:rFonts w:ascii="Times New Roman" w:hAnsi="Times New Roman" w:cs="Times New Roman"/>
          <w:sz w:val="24"/>
          <w:szCs w:val="24"/>
        </w:rPr>
        <w:t xml:space="preserve"> </w:t>
      </w:r>
      <w:r w:rsidRPr="002E123D">
        <w:rPr>
          <w:rFonts w:ascii="Times New Roman" w:hAnsi="Times New Roman" w:cs="Times New Roman"/>
          <w:sz w:val="24"/>
          <w:szCs w:val="24"/>
        </w:rPr>
        <w:t xml:space="preserve">state which financial sector entities must comply with the reporting standard </w:t>
      </w:r>
      <w:r w:rsidR="00A92968">
        <w:rPr>
          <w:rFonts w:ascii="Times New Roman" w:hAnsi="Times New Roman" w:cs="Times New Roman"/>
          <w:sz w:val="24"/>
          <w:szCs w:val="24"/>
        </w:rPr>
        <w:t xml:space="preserve">under </w:t>
      </w:r>
      <w:r w:rsidRPr="002E123D">
        <w:rPr>
          <w:rFonts w:ascii="Times New Roman" w:hAnsi="Times New Roman" w:cs="Times New Roman"/>
          <w:sz w:val="24"/>
          <w:szCs w:val="24"/>
        </w:rPr>
        <w:t>section 13</w:t>
      </w:r>
      <w:r w:rsidR="00477E9F">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w:t>
      </w:r>
    </w:p>
    <w:p w14:paraId="06C27C6E" w14:textId="05B9D3E2"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w:t>
      </w:r>
      <w:r w:rsidR="000D6B02">
        <w:rPr>
          <w:rFonts w:ascii="Times New Roman" w:hAnsi="Times New Roman" w:cs="Times New Roman"/>
          <w:i/>
          <w:sz w:val="24"/>
          <w:szCs w:val="24"/>
        </w:rPr>
        <w:t>6</w:t>
      </w:r>
      <w:r w:rsidR="00A33B81">
        <w:rPr>
          <w:rFonts w:ascii="Times New Roman" w:hAnsi="Times New Roman" w:cs="Times New Roman"/>
          <w:i/>
          <w:sz w:val="24"/>
          <w:szCs w:val="24"/>
        </w:rPr>
        <w:t xml:space="preserve"> and </w:t>
      </w:r>
      <w:r w:rsidR="000D6B02">
        <w:rPr>
          <w:rFonts w:ascii="Times New Roman" w:hAnsi="Times New Roman" w:cs="Times New Roman"/>
          <w:i/>
          <w:sz w:val="24"/>
          <w:szCs w:val="24"/>
        </w:rPr>
        <w:t>7</w:t>
      </w:r>
    </w:p>
    <w:p w14:paraId="6E2C2C13" w14:textId="728749B2"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2451F9">
        <w:rPr>
          <w:rFonts w:ascii="Times New Roman" w:hAnsi="Times New Roman" w:cs="Times New Roman"/>
          <w:sz w:val="24"/>
          <w:szCs w:val="24"/>
        </w:rPr>
        <w:t>ese</w:t>
      </w:r>
      <w:r w:rsidRPr="002E123D">
        <w:rPr>
          <w:rFonts w:ascii="Times New Roman" w:hAnsi="Times New Roman" w:cs="Times New Roman"/>
          <w:sz w:val="24"/>
          <w:szCs w:val="24"/>
        </w:rPr>
        <w:t xml:space="preserve"> </w:t>
      </w:r>
      <w:r w:rsidR="008C0619">
        <w:rPr>
          <w:rFonts w:ascii="Times New Roman" w:hAnsi="Times New Roman" w:cs="Times New Roman"/>
          <w:sz w:val="24"/>
          <w:szCs w:val="24"/>
        </w:rPr>
        <w:t>paragraphs</w:t>
      </w:r>
      <w:r w:rsidRPr="002E123D">
        <w:rPr>
          <w:rFonts w:ascii="Times New Roman" w:hAnsi="Times New Roman" w:cs="Times New Roman"/>
          <w:sz w:val="24"/>
          <w:szCs w:val="24"/>
        </w:rPr>
        <w:t xml:space="preserve"> state what information financial sector entities must provide to APRA for each reporting period as permitted by </w:t>
      </w:r>
      <w:r w:rsidR="00AE1E45" w:rsidRPr="002109C3">
        <w:rPr>
          <w:rFonts w:ascii="Times New Roman" w:hAnsi="Times New Roman" w:cs="Times New Roman"/>
          <w:sz w:val="24"/>
          <w:szCs w:val="24"/>
        </w:rPr>
        <w:t>paragraph</w:t>
      </w:r>
      <w:r w:rsidR="00AE1E45">
        <w:rPr>
          <w:rFonts w:ascii="Times New Roman" w:hAnsi="Times New Roman" w:cs="Times New Roman"/>
          <w:sz w:val="24"/>
          <w:szCs w:val="24"/>
        </w:rPr>
        <w:t>s</w:t>
      </w:r>
      <w:r w:rsidR="00AE1E45" w:rsidRPr="002109C3">
        <w:rPr>
          <w:rFonts w:ascii="Times New Roman" w:hAnsi="Times New Roman" w:cs="Times New Roman"/>
          <w:sz w:val="24"/>
          <w:szCs w:val="24"/>
        </w:rPr>
        <w:t xml:space="preserve"> 13(2)</w:t>
      </w:r>
      <w:r w:rsidR="00AE1E45">
        <w:rPr>
          <w:rFonts w:ascii="Times New Roman" w:hAnsi="Times New Roman" w:cs="Times New Roman"/>
          <w:sz w:val="24"/>
          <w:szCs w:val="24"/>
        </w:rPr>
        <w:t xml:space="preserve">(a) and </w:t>
      </w:r>
      <w:r w:rsidR="00AE1E45" w:rsidRPr="002109C3">
        <w:rPr>
          <w:rFonts w:ascii="Times New Roman" w:hAnsi="Times New Roman" w:cs="Times New Roman"/>
          <w:sz w:val="24"/>
          <w:szCs w:val="24"/>
        </w:rPr>
        <w:t xml:space="preserve">(b) </w:t>
      </w:r>
      <w:r w:rsidRPr="002E123D">
        <w:rPr>
          <w:rFonts w:ascii="Times New Roman" w:hAnsi="Times New Roman" w:cs="Times New Roman"/>
          <w:sz w:val="24"/>
          <w:szCs w:val="24"/>
        </w:rPr>
        <w:t>of the Act.</w:t>
      </w:r>
    </w:p>
    <w:p w14:paraId="2FA3C3DF" w14:textId="04213656"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sidR="000D6B02">
        <w:rPr>
          <w:rFonts w:ascii="Times New Roman" w:hAnsi="Times New Roman" w:cs="Times New Roman"/>
          <w:i/>
          <w:sz w:val="24"/>
          <w:szCs w:val="24"/>
        </w:rPr>
        <w:t>8</w:t>
      </w:r>
    </w:p>
    <w:p w14:paraId="389E1C4D" w14:textId="66868F80"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w:t>
      </w:r>
      <w:r w:rsidR="008C0619">
        <w:rPr>
          <w:rFonts w:ascii="Times New Roman" w:hAnsi="Times New Roman" w:cs="Times New Roman"/>
          <w:sz w:val="24"/>
          <w:szCs w:val="24"/>
        </w:rPr>
        <w:t>paragraph</w:t>
      </w:r>
      <w:r w:rsidR="008C0619" w:rsidRPr="002E123D">
        <w:rPr>
          <w:rFonts w:ascii="Times New Roman" w:hAnsi="Times New Roman" w:cs="Times New Roman"/>
          <w:sz w:val="24"/>
          <w:szCs w:val="24"/>
        </w:rPr>
        <w:t xml:space="preserve"> </w:t>
      </w:r>
      <w:r w:rsidRPr="002E123D">
        <w:rPr>
          <w:rFonts w:ascii="Times New Roman" w:hAnsi="Times New Roman" w:cs="Times New Roman"/>
          <w:sz w:val="24"/>
          <w:szCs w:val="24"/>
        </w:rPr>
        <w:t>specifies how information required by the reporting standard must be given to APRA as permitted by paragraph 13(2)(e) of the Act.</w:t>
      </w:r>
    </w:p>
    <w:p w14:paraId="20A5D6C2" w14:textId="288705C0" w:rsidR="00B93DF1" w:rsidRPr="002E123D" w:rsidRDefault="00B93DF1" w:rsidP="00D67D1B">
      <w:pPr>
        <w:keepNext/>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lastRenderedPageBreak/>
        <w:t>Reporting periods and due dates – paragraphs</w:t>
      </w:r>
      <w:r w:rsidR="000D6B02">
        <w:rPr>
          <w:rFonts w:ascii="Times New Roman" w:hAnsi="Times New Roman" w:cs="Times New Roman"/>
          <w:i/>
          <w:sz w:val="24"/>
          <w:szCs w:val="24"/>
        </w:rPr>
        <w:t xml:space="preserve"> 9 </w:t>
      </w:r>
      <w:r w:rsidRPr="002E123D">
        <w:rPr>
          <w:rFonts w:ascii="Times New Roman" w:hAnsi="Times New Roman" w:cs="Times New Roman"/>
          <w:i/>
          <w:sz w:val="24"/>
          <w:szCs w:val="24"/>
        </w:rPr>
        <w:t>-</w:t>
      </w:r>
      <w:r w:rsidR="000D6B02">
        <w:rPr>
          <w:rFonts w:ascii="Times New Roman" w:hAnsi="Times New Roman" w:cs="Times New Roman"/>
          <w:i/>
          <w:sz w:val="24"/>
          <w:szCs w:val="24"/>
        </w:rPr>
        <w:t xml:space="preserve"> </w:t>
      </w:r>
      <w:r>
        <w:rPr>
          <w:rFonts w:ascii="Times New Roman" w:hAnsi="Times New Roman" w:cs="Times New Roman"/>
          <w:i/>
          <w:sz w:val="24"/>
          <w:szCs w:val="24"/>
        </w:rPr>
        <w:t>1</w:t>
      </w:r>
      <w:r w:rsidR="000D6B02">
        <w:rPr>
          <w:rFonts w:ascii="Times New Roman" w:hAnsi="Times New Roman" w:cs="Times New Roman"/>
          <w:i/>
          <w:sz w:val="24"/>
          <w:szCs w:val="24"/>
        </w:rPr>
        <w:t>2</w:t>
      </w:r>
    </w:p>
    <w:p w14:paraId="40F162FF" w14:textId="77777777" w:rsidR="005E249D" w:rsidRDefault="00B93DF1"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w:t>
      </w:r>
      <w:r w:rsidR="005E249D">
        <w:rPr>
          <w:rFonts w:ascii="Times New Roman" w:hAnsi="Times New Roman" w:cs="Times New Roman"/>
          <w:sz w:val="24"/>
          <w:szCs w:val="24"/>
        </w:rPr>
        <w:t>:</w:t>
      </w:r>
      <w:r w:rsidRPr="002E123D">
        <w:rPr>
          <w:rFonts w:ascii="Times New Roman" w:hAnsi="Times New Roman" w:cs="Times New Roman"/>
          <w:sz w:val="24"/>
          <w:szCs w:val="24"/>
        </w:rPr>
        <w:t xml:space="preserve"> </w:t>
      </w:r>
    </w:p>
    <w:p w14:paraId="7C93DB8D" w14:textId="0C8697CB" w:rsidR="00137105" w:rsidRPr="00137105" w:rsidRDefault="00B93DF1" w:rsidP="00D67D1B">
      <w:pPr>
        <w:pStyle w:val="ListParagraph"/>
        <w:numPr>
          <w:ilvl w:val="0"/>
          <w:numId w:val="26"/>
        </w:numPr>
        <w:tabs>
          <w:tab w:val="clear" w:pos="425"/>
          <w:tab w:val="clear" w:pos="851"/>
        </w:tabs>
        <w:ind w:left="567" w:hanging="567"/>
        <w:contextualSpacing w:val="0"/>
        <w:rPr>
          <w:rFonts w:ascii="Times New Roman" w:hAnsi="Times New Roman"/>
          <w:sz w:val="24"/>
          <w:szCs w:val="24"/>
        </w:rPr>
      </w:pPr>
      <w:r w:rsidRPr="00137105">
        <w:rPr>
          <w:rFonts w:ascii="Times New Roman" w:hAnsi="Times New Roman"/>
          <w:sz w:val="24"/>
          <w:szCs w:val="24"/>
        </w:rPr>
        <w:t xml:space="preserve">the times as at which, or the periods to which, the information in reporting documents is to </w:t>
      </w:r>
      <w:proofErr w:type="gramStart"/>
      <w:r w:rsidRPr="00137105">
        <w:rPr>
          <w:rFonts w:ascii="Times New Roman" w:hAnsi="Times New Roman"/>
          <w:sz w:val="24"/>
          <w:szCs w:val="24"/>
        </w:rPr>
        <w:t>relate</w:t>
      </w:r>
      <w:r w:rsidR="00137105" w:rsidRPr="00137105">
        <w:rPr>
          <w:rFonts w:ascii="Times New Roman" w:hAnsi="Times New Roman"/>
          <w:sz w:val="24"/>
          <w:szCs w:val="24"/>
        </w:rPr>
        <w:t>;</w:t>
      </w:r>
      <w:proofErr w:type="gramEnd"/>
      <w:r w:rsidR="00137105" w:rsidRPr="00137105">
        <w:rPr>
          <w:rFonts w:ascii="Times New Roman" w:hAnsi="Times New Roman"/>
          <w:sz w:val="24"/>
          <w:szCs w:val="24"/>
        </w:rPr>
        <w:t xml:space="preserve"> </w:t>
      </w:r>
    </w:p>
    <w:p w14:paraId="3C7AC335" w14:textId="603032AA" w:rsidR="00137105" w:rsidRPr="00137105" w:rsidRDefault="00B93DF1" w:rsidP="00D67D1B">
      <w:pPr>
        <w:pStyle w:val="ListParagraph"/>
        <w:numPr>
          <w:ilvl w:val="0"/>
          <w:numId w:val="26"/>
        </w:numPr>
        <w:tabs>
          <w:tab w:val="clear" w:pos="425"/>
          <w:tab w:val="clear" w:pos="851"/>
        </w:tabs>
        <w:ind w:left="567" w:hanging="567"/>
        <w:contextualSpacing w:val="0"/>
        <w:rPr>
          <w:rFonts w:ascii="Times New Roman" w:hAnsi="Times New Roman"/>
          <w:sz w:val="24"/>
          <w:szCs w:val="24"/>
        </w:rPr>
      </w:pPr>
      <w:r w:rsidRPr="00137105">
        <w:rPr>
          <w:rFonts w:ascii="Times New Roman" w:hAnsi="Times New Roman"/>
          <w:sz w:val="24"/>
          <w:szCs w:val="24"/>
        </w:rPr>
        <w:t>the giving of reporting documents to APRA, and when they should be provided</w:t>
      </w:r>
      <w:r w:rsidR="00137105" w:rsidRPr="00137105">
        <w:rPr>
          <w:rFonts w:ascii="Times New Roman" w:hAnsi="Times New Roman"/>
          <w:sz w:val="24"/>
          <w:szCs w:val="24"/>
        </w:rPr>
        <w:t>;</w:t>
      </w:r>
      <w:r w:rsidRPr="00137105">
        <w:rPr>
          <w:rFonts w:ascii="Times New Roman" w:hAnsi="Times New Roman"/>
          <w:sz w:val="24"/>
          <w:szCs w:val="24"/>
        </w:rPr>
        <w:t xml:space="preserve"> and </w:t>
      </w:r>
    </w:p>
    <w:p w14:paraId="21BF88B8" w14:textId="77777777" w:rsidR="00137105" w:rsidRPr="00137105" w:rsidRDefault="00B93DF1" w:rsidP="00D67D1B">
      <w:pPr>
        <w:pStyle w:val="ListParagraph"/>
        <w:numPr>
          <w:ilvl w:val="0"/>
          <w:numId w:val="26"/>
        </w:numPr>
        <w:tabs>
          <w:tab w:val="clear" w:pos="425"/>
          <w:tab w:val="clear" w:pos="851"/>
        </w:tabs>
        <w:ind w:left="567" w:hanging="567"/>
        <w:contextualSpacing w:val="0"/>
        <w:rPr>
          <w:rFonts w:ascii="Times New Roman" w:hAnsi="Times New Roman"/>
          <w:sz w:val="24"/>
          <w:szCs w:val="24"/>
        </w:rPr>
      </w:pPr>
      <w:r w:rsidRPr="00137105">
        <w:rPr>
          <w:rFonts w:ascii="Times New Roman" w:hAnsi="Times New Roman"/>
          <w:sz w:val="24"/>
          <w:szCs w:val="24"/>
        </w:rPr>
        <w:t xml:space="preserve">the discretion of APRA, in particular cases, to vary reporting standards, including, but not limited to, the discretion to vary when entities are to provide documents. </w:t>
      </w:r>
    </w:p>
    <w:p w14:paraId="152C993C" w14:textId="3D63339B" w:rsidR="00B93DF1" w:rsidRDefault="00B93DF1" w:rsidP="00B93DF1">
      <w:pPr>
        <w:numPr>
          <w:ilvl w:val="0"/>
          <w:numId w:val="0"/>
        </w:numPr>
        <w:outlineLvl w:val="5"/>
        <w:rPr>
          <w:rFonts w:ascii="Times New Roman" w:hAnsi="Times New Roman" w:cs="Times New Roman"/>
          <w:sz w:val="24"/>
          <w:szCs w:val="24"/>
        </w:rPr>
      </w:pPr>
      <w:r>
        <w:rPr>
          <w:rFonts w:ascii="Times New Roman" w:hAnsi="Times New Roman" w:cs="Times New Roman"/>
          <w:sz w:val="24"/>
          <w:szCs w:val="24"/>
        </w:rPr>
        <w:t xml:space="preserve">Paragraph 13(2)(bb)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6AFF5495" w14:textId="6315D314" w:rsidR="00B93DF1" w:rsidRPr="00CE4F5D" w:rsidRDefault="00B93DF1" w:rsidP="00B93DF1">
      <w:r w:rsidRPr="002E123D">
        <w:rPr>
          <w:rFonts w:ascii="Times New Roman" w:hAnsi="Times New Roman" w:cs="Times New Roman"/>
          <w:sz w:val="24"/>
          <w:szCs w:val="24"/>
        </w:rPr>
        <w:t xml:space="preserve">Paragraphs </w:t>
      </w:r>
      <w:r w:rsidR="000D6B02">
        <w:rPr>
          <w:rFonts w:ascii="Times New Roman" w:hAnsi="Times New Roman" w:cs="Times New Roman"/>
          <w:sz w:val="24"/>
          <w:szCs w:val="24"/>
        </w:rPr>
        <w:t>9</w:t>
      </w:r>
      <w:r w:rsidRPr="002E123D">
        <w:rPr>
          <w:rFonts w:ascii="Times New Roman" w:hAnsi="Times New Roman" w:cs="Times New Roman"/>
          <w:sz w:val="24"/>
          <w:szCs w:val="24"/>
        </w:rPr>
        <w:t>-</w:t>
      </w:r>
      <w:r>
        <w:rPr>
          <w:rFonts w:ascii="Times New Roman" w:hAnsi="Times New Roman" w:cs="Times New Roman"/>
          <w:sz w:val="24"/>
          <w:szCs w:val="24"/>
        </w:rPr>
        <w:t>1</w:t>
      </w:r>
      <w:r w:rsidR="000D6B02">
        <w:rPr>
          <w:rFonts w:ascii="Times New Roman" w:hAnsi="Times New Roman" w:cs="Times New Roman"/>
          <w:sz w:val="24"/>
          <w:szCs w:val="24"/>
        </w:rPr>
        <w:t>2</w:t>
      </w:r>
      <w:r w:rsidRPr="002E123D">
        <w:rPr>
          <w:rFonts w:ascii="Times New Roman" w:hAnsi="Times New Roman" w:cs="Times New Roman"/>
          <w:sz w:val="24"/>
          <w:szCs w:val="24"/>
        </w:rPr>
        <w:t xml:space="preserve"> rely on these provisions. Paragraph </w:t>
      </w:r>
      <w:r w:rsidR="000D6B02">
        <w:rPr>
          <w:rFonts w:ascii="Times New Roman" w:hAnsi="Times New Roman" w:cs="Times New Roman"/>
          <w:sz w:val="24"/>
          <w:szCs w:val="24"/>
        </w:rPr>
        <w:t>9</w:t>
      </w:r>
      <w:r w:rsidRPr="002E123D">
        <w:rPr>
          <w:rFonts w:ascii="Times New Roman" w:hAnsi="Times New Roman" w:cs="Times New Roman"/>
          <w:sz w:val="24"/>
          <w:szCs w:val="24"/>
        </w:rPr>
        <w:t xml:space="preserve"> states that </w:t>
      </w:r>
      <w:r w:rsidR="00A33B81">
        <w:rPr>
          <w:rFonts w:ascii="Times New Roman" w:hAnsi="Times New Roman" w:cs="Times New Roman"/>
          <w:sz w:val="24"/>
          <w:szCs w:val="24"/>
        </w:rPr>
        <w:t>ADIs</w:t>
      </w:r>
      <w:r>
        <w:rPr>
          <w:rFonts w:ascii="Times New Roman" w:hAnsi="Times New Roman" w:cs="Times New Roman"/>
          <w:sz w:val="24"/>
          <w:szCs w:val="24"/>
        </w:rPr>
        <w:t xml:space="preserve">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00A33B81" w:rsidRPr="00A33B81">
        <w:rPr>
          <w:rFonts w:ascii="Times New Roman" w:hAnsi="Times New Roman" w:cs="Times New Roman"/>
          <w:sz w:val="24"/>
          <w:szCs w:val="24"/>
        </w:rPr>
        <w:t xml:space="preserve">in respect of each quarter based on the ADI’s financial year (within the meaning of the </w:t>
      </w:r>
      <w:r w:rsidR="00A33B81" w:rsidRPr="00A33B81">
        <w:rPr>
          <w:rFonts w:ascii="Times New Roman" w:hAnsi="Times New Roman" w:cs="Times New Roman"/>
          <w:i/>
          <w:sz w:val="24"/>
          <w:szCs w:val="24"/>
        </w:rPr>
        <w:t>Corporations Act 2001</w:t>
      </w:r>
      <w:r w:rsidR="00A33B81" w:rsidRPr="00A33B81">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0D6B02">
        <w:rPr>
          <w:rFonts w:ascii="Times New Roman" w:hAnsi="Times New Roman" w:cs="Times New Roman"/>
          <w:sz w:val="24"/>
          <w:szCs w:val="24"/>
        </w:rPr>
        <w:t>10</w:t>
      </w:r>
      <w:r w:rsidRPr="002E123D">
        <w:rPr>
          <w:rFonts w:ascii="Times New Roman" w:hAnsi="Times New Roman" w:cs="Times New Roman"/>
          <w:sz w:val="24"/>
          <w:szCs w:val="24"/>
        </w:rPr>
        <w:t xml:space="preserve"> provides for APRA to vary the reporting periods mentioned in paragraph </w:t>
      </w:r>
      <w:r w:rsidR="006471DC">
        <w:rPr>
          <w:rFonts w:ascii="Times New Roman" w:hAnsi="Times New Roman" w:cs="Times New Roman"/>
          <w:sz w:val="24"/>
          <w:szCs w:val="24"/>
        </w:rPr>
        <w:t>9</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w:t>
      </w:r>
      <w:r w:rsidR="00A33B81">
        <w:rPr>
          <w:rFonts w:ascii="Times New Roman" w:hAnsi="Times New Roman" w:cs="Times New Roman"/>
          <w:sz w:val="24"/>
          <w:szCs w:val="24"/>
        </w:rPr>
        <w:t>an ADI</w:t>
      </w:r>
      <w:r w:rsidR="00457623">
        <w:rPr>
          <w:rFonts w:ascii="Times New Roman" w:hAnsi="Times New Roman" w:cs="Times New Roman"/>
          <w:sz w:val="24"/>
          <w:szCs w:val="24"/>
        </w:rPr>
        <w:t xml:space="preserve"> and other matters</w:t>
      </w:r>
      <w:r w:rsidRPr="002E123D">
        <w:rPr>
          <w:rFonts w:ascii="Times New Roman" w:hAnsi="Times New Roman" w:cs="Times New Roman"/>
          <w:sz w:val="24"/>
          <w:szCs w:val="24"/>
        </w:rPr>
        <w:t xml:space="preserve">, APRA considers it necessary or desirable to obtain information at a different frequency than stated in paragraph </w:t>
      </w:r>
      <w:r w:rsidR="000D6B02">
        <w:rPr>
          <w:rFonts w:ascii="Times New Roman" w:hAnsi="Times New Roman" w:cs="Times New Roman"/>
          <w:sz w:val="24"/>
          <w:szCs w:val="24"/>
        </w:rPr>
        <w:t>9</w:t>
      </w:r>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1</w:t>
      </w:r>
      <w:r w:rsidR="000D6B02">
        <w:rPr>
          <w:rFonts w:ascii="Times New Roman" w:hAnsi="Times New Roman" w:cs="Times New Roman"/>
          <w:sz w:val="24"/>
          <w:szCs w:val="24"/>
        </w:rPr>
        <w:t>1</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00A33B81">
        <w:rPr>
          <w:rFonts w:ascii="Times New Roman" w:hAnsi="Times New Roman" w:cs="Times New Roman"/>
          <w:sz w:val="24"/>
          <w:szCs w:val="24"/>
        </w:rPr>
        <w:t>within 35 calendar days after the end of the relevant reporting period</w:t>
      </w:r>
      <w:r w:rsidR="00BA0B5D">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3E64E9">
        <w:rPr>
          <w:rFonts w:ascii="Times New Roman" w:hAnsi="Times New Roman" w:cs="Times New Roman"/>
          <w:sz w:val="24"/>
          <w:szCs w:val="24"/>
        </w:rPr>
        <w:t>1</w:t>
      </w:r>
      <w:r w:rsidR="000D6B02">
        <w:rPr>
          <w:rFonts w:ascii="Times New Roman" w:hAnsi="Times New Roman" w:cs="Times New Roman"/>
          <w:sz w:val="24"/>
          <w:szCs w:val="24"/>
        </w:rPr>
        <w:t>2</w:t>
      </w:r>
      <w:r w:rsidRPr="002E123D">
        <w:rPr>
          <w:rFonts w:ascii="Times New Roman" w:hAnsi="Times New Roman" w:cs="Times New Roman"/>
          <w:sz w:val="24"/>
          <w:szCs w:val="24"/>
        </w:rPr>
        <w:t xml:space="preserve"> states that APRA may grant an extension of a due date in paragraph </w:t>
      </w:r>
      <w:r w:rsidR="003E64E9">
        <w:rPr>
          <w:rFonts w:ascii="Times New Roman" w:hAnsi="Times New Roman" w:cs="Times New Roman"/>
          <w:sz w:val="24"/>
          <w:szCs w:val="24"/>
        </w:rPr>
        <w:t>1</w:t>
      </w:r>
      <w:r w:rsidR="000D6B02">
        <w:rPr>
          <w:rFonts w:ascii="Times New Roman" w:hAnsi="Times New Roman" w:cs="Times New Roman"/>
          <w:sz w:val="24"/>
          <w:szCs w:val="24"/>
        </w:rPr>
        <w:t>1</w:t>
      </w:r>
      <w:r w:rsidRPr="002E123D">
        <w:rPr>
          <w:rFonts w:ascii="Times New Roman" w:hAnsi="Times New Roman" w:cs="Times New Roman"/>
          <w:sz w:val="24"/>
          <w:szCs w:val="24"/>
        </w:rPr>
        <w:t xml:space="preserve"> in writing.</w:t>
      </w:r>
    </w:p>
    <w:p w14:paraId="199988E9" w14:textId="043AE270"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sidR="000D6B02">
        <w:rPr>
          <w:rFonts w:ascii="Times New Roman" w:hAnsi="Times New Roman" w:cs="Times New Roman"/>
          <w:i/>
          <w:sz w:val="24"/>
          <w:szCs w:val="24"/>
        </w:rPr>
        <w:t xml:space="preserve">3 </w:t>
      </w:r>
      <w:r>
        <w:rPr>
          <w:rFonts w:ascii="Times New Roman" w:hAnsi="Times New Roman" w:cs="Times New Roman"/>
          <w:i/>
          <w:sz w:val="24"/>
          <w:szCs w:val="24"/>
        </w:rPr>
        <w:t>-</w:t>
      </w:r>
      <w:r w:rsidR="000D6B02">
        <w:rPr>
          <w:rFonts w:ascii="Times New Roman" w:hAnsi="Times New Roman" w:cs="Times New Roman"/>
          <w:i/>
          <w:sz w:val="24"/>
          <w:szCs w:val="24"/>
        </w:rPr>
        <w:t xml:space="preserve"> </w:t>
      </w:r>
      <w:r>
        <w:rPr>
          <w:rFonts w:ascii="Times New Roman" w:hAnsi="Times New Roman" w:cs="Times New Roman"/>
          <w:i/>
          <w:sz w:val="24"/>
          <w:szCs w:val="24"/>
        </w:rPr>
        <w:t>1</w:t>
      </w:r>
      <w:r w:rsidR="000D6B02">
        <w:rPr>
          <w:rFonts w:ascii="Times New Roman" w:hAnsi="Times New Roman" w:cs="Times New Roman"/>
          <w:i/>
          <w:sz w:val="24"/>
          <w:szCs w:val="24"/>
        </w:rPr>
        <w:t>4</w:t>
      </w:r>
    </w:p>
    <w:p w14:paraId="3364970F" w14:textId="4DFA2756" w:rsidR="00DB0DF9" w:rsidRPr="00DB0DF9" w:rsidRDefault="00DB0DF9" w:rsidP="0029725B">
      <w:pPr>
        <w:rPr>
          <w:rFonts w:ascii="Times New Roman" w:hAnsi="Times New Roman" w:cs="Times New Roman"/>
          <w:sz w:val="24"/>
          <w:szCs w:val="24"/>
        </w:rPr>
      </w:pPr>
      <w:r w:rsidRPr="00DB0DF9">
        <w:rPr>
          <w:rFonts w:ascii="Times New Roman" w:hAnsi="Times New Roman" w:cs="Times New Roman"/>
          <w:sz w:val="24"/>
          <w:szCs w:val="24"/>
        </w:rPr>
        <w:t>Paragraph 13</w:t>
      </w:r>
      <w:r w:rsidRPr="00DB0DF9" w:rsidDel="00C93E66">
        <w:rPr>
          <w:rFonts w:ascii="Times New Roman" w:hAnsi="Times New Roman" w:cs="Times New Roman"/>
          <w:sz w:val="24"/>
          <w:szCs w:val="24"/>
        </w:rPr>
        <w:t xml:space="preserve"> </w:t>
      </w:r>
      <w:r w:rsidRPr="00DB0DF9">
        <w:rPr>
          <w:rFonts w:ascii="Times New Roman" w:hAnsi="Times New Roman" w:cs="Times New Roman"/>
          <w:sz w:val="24"/>
          <w:szCs w:val="24"/>
        </w:rPr>
        <w:t xml:space="preserve">states that information provided under the reporting standard (except for the information required under paragraph </w:t>
      </w:r>
      <w:r w:rsidR="006C0A14">
        <w:rPr>
          <w:rFonts w:ascii="Times New Roman" w:hAnsi="Times New Roman" w:cs="Times New Roman"/>
          <w:sz w:val="24"/>
          <w:szCs w:val="24"/>
        </w:rPr>
        <w:t>7</w:t>
      </w:r>
      <w:r w:rsidRPr="00DB0DF9">
        <w:rPr>
          <w:rFonts w:ascii="Times New Roman" w:hAnsi="Times New Roman" w:cs="Times New Roman"/>
          <w:sz w:val="24"/>
          <w:szCs w:val="24"/>
        </w:rPr>
        <w:t xml:space="preserve">) must be the product of systems, processes and controls that have been reviewed and tested by the ADI’s external auditor. Paragraph 14 states that all information provided under the reporting standard must be subject to systems, processes and controls developed by the ADI for the internal review and authorisation of that information. </w:t>
      </w:r>
    </w:p>
    <w:p w14:paraId="7A8BA4FD" w14:textId="01A0997B"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Authorisation – paragraph </w:t>
      </w:r>
      <w:r>
        <w:rPr>
          <w:rFonts w:ascii="Times New Roman" w:hAnsi="Times New Roman" w:cs="Times New Roman"/>
          <w:i/>
          <w:sz w:val="24"/>
          <w:szCs w:val="24"/>
        </w:rPr>
        <w:t>1</w:t>
      </w:r>
      <w:r w:rsidR="00B064C1">
        <w:rPr>
          <w:rFonts w:ascii="Times New Roman" w:hAnsi="Times New Roman" w:cs="Times New Roman"/>
          <w:i/>
          <w:sz w:val="24"/>
          <w:szCs w:val="24"/>
        </w:rPr>
        <w:t>5</w:t>
      </w:r>
    </w:p>
    <w:p w14:paraId="5A456935" w14:textId="11480AEB" w:rsidR="00D17490"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 1</w:t>
      </w:r>
      <w:r w:rsidR="00B064C1">
        <w:rPr>
          <w:rFonts w:ascii="Times New Roman" w:hAnsi="Times New Roman" w:cs="Times New Roman"/>
          <w:sz w:val="24"/>
          <w:szCs w:val="24"/>
        </w:rPr>
        <w:t>5</w:t>
      </w:r>
      <w:r w:rsidRPr="002E123D">
        <w:rPr>
          <w:rFonts w:ascii="Times New Roman" w:hAnsi="Times New Roman" w:cs="Times New Roman"/>
          <w:sz w:val="24"/>
          <w:szCs w:val="24"/>
        </w:rPr>
        <w:t xml:space="preserve"> state</w:t>
      </w:r>
      <w:r w:rsidR="00B94CD6">
        <w:rPr>
          <w:rFonts w:ascii="Times New Roman" w:hAnsi="Times New Roman" w:cs="Times New Roman"/>
          <w:sz w:val="24"/>
          <w:szCs w:val="24"/>
        </w:rPr>
        <w:t>s</w:t>
      </w:r>
      <w:r w:rsidRPr="002E123D">
        <w:rPr>
          <w:rFonts w:ascii="Times New Roman" w:hAnsi="Times New Roman" w:cs="Times New Roman"/>
          <w:sz w:val="24"/>
          <w:szCs w:val="24"/>
        </w:rPr>
        <w:t xml:space="preserve"> how information provided to APRA should be authenticated.</w:t>
      </w:r>
    </w:p>
    <w:p w14:paraId="463285B5" w14:textId="54D7E943" w:rsidR="00B064C1" w:rsidRPr="00B064C1" w:rsidRDefault="00B064C1" w:rsidP="00B064C1">
      <w:pPr>
        <w:numPr>
          <w:ilvl w:val="0"/>
          <w:numId w:val="0"/>
        </w:numPr>
        <w:outlineLvl w:val="5"/>
        <w:rPr>
          <w:rFonts w:ascii="Times New Roman" w:hAnsi="Times New Roman" w:cs="Times New Roman"/>
          <w:i/>
          <w:sz w:val="24"/>
          <w:szCs w:val="24"/>
        </w:rPr>
      </w:pPr>
      <w:r w:rsidRPr="00B064C1">
        <w:rPr>
          <w:rFonts w:ascii="Times New Roman" w:hAnsi="Times New Roman" w:cs="Times New Roman"/>
          <w:i/>
          <w:sz w:val="24"/>
          <w:szCs w:val="24"/>
        </w:rPr>
        <w:t>Variations – paragraphs 16 - 17</w:t>
      </w:r>
    </w:p>
    <w:p w14:paraId="328B499C" w14:textId="68F94BA1" w:rsidR="00B064C1" w:rsidRDefault="00B064C1" w:rsidP="00D17490">
      <w:pPr>
        <w:rPr>
          <w:rFonts w:ascii="Times New Roman" w:hAnsi="Times New Roman" w:cs="Times New Roman"/>
          <w:sz w:val="24"/>
          <w:szCs w:val="24"/>
        </w:rPr>
      </w:pPr>
      <w:r>
        <w:rPr>
          <w:rFonts w:ascii="Times New Roman" w:hAnsi="Times New Roman" w:cs="Times New Roman"/>
          <w:sz w:val="24"/>
          <w:szCs w:val="24"/>
        </w:rPr>
        <w:t xml:space="preserve">Paragraph 16 states that </w:t>
      </w:r>
      <w:r w:rsidRPr="00B064C1">
        <w:rPr>
          <w:rFonts w:ascii="Times New Roman" w:hAnsi="Times New Roman" w:cs="Times New Roman"/>
          <w:sz w:val="24"/>
          <w:szCs w:val="24"/>
        </w:rPr>
        <w:t>APRA may, by written notice to the ADI, vary the reporting requirements of this Reporting Standard in relation to that ADI</w:t>
      </w:r>
      <w:r w:rsidR="006D1F70">
        <w:rPr>
          <w:rFonts w:ascii="Times New Roman" w:hAnsi="Times New Roman" w:cs="Times New Roman"/>
          <w:sz w:val="24"/>
          <w:szCs w:val="24"/>
        </w:rPr>
        <w:t xml:space="preserve">, </w:t>
      </w:r>
      <w:r w:rsidR="006D1F70" w:rsidRPr="00CC16DE">
        <w:rPr>
          <w:rFonts w:ascii="Times New Roman" w:hAnsi="Times New Roman" w:cs="Times New Roman"/>
          <w:sz w:val="24"/>
          <w:szCs w:val="24"/>
        </w:rPr>
        <w:t>as permitted by paragraph 13(2)(f) of the Act</w:t>
      </w:r>
      <w:r>
        <w:rPr>
          <w:rFonts w:ascii="Times New Roman" w:hAnsi="Times New Roman" w:cs="Times New Roman"/>
          <w:sz w:val="24"/>
          <w:szCs w:val="24"/>
        </w:rPr>
        <w:t>.</w:t>
      </w:r>
    </w:p>
    <w:p w14:paraId="535501EC" w14:textId="7DED6275" w:rsidR="00B064C1" w:rsidRPr="002E123D" w:rsidRDefault="00B064C1" w:rsidP="00D17490">
      <w:pPr>
        <w:rPr>
          <w:rFonts w:ascii="Times New Roman" w:hAnsi="Times New Roman" w:cs="Times New Roman"/>
          <w:sz w:val="24"/>
          <w:szCs w:val="24"/>
        </w:rPr>
      </w:pPr>
      <w:r>
        <w:rPr>
          <w:rFonts w:ascii="Times New Roman" w:hAnsi="Times New Roman" w:cs="Times New Roman"/>
          <w:sz w:val="24"/>
          <w:szCs w:val="24"/>
        </w:rPr>
        <w:t xml:space="preserve">Paragraph 17 states that </w:t>
      </w:r>
      <w:r w:rsidRPr="00B93C8A">
        <w:rPr>
          <w:rFonts w:ascii="Times New Roman" w:hAnsi="Times New Roman" w:cs="Times New Roman"/>
          <w:sz w:val="24"/>
          <w:szCs w:val="24"/>
        </w:rPr>
        <w:t>APRA may determine, in writing, that an individual ADI of one class of ADI is to be treated, for the purposes of this Reporting Standard, as though it were an ADI of another class of ADI</w:t>
      </w:r>
      <w:r w:rsidR="00EA7E90">
        <w:rPr>
          <w:rFonts w:ascii="Times New Roman" w:hAnsi="Times New Roman" w:cs="Times New Roman"/>
          <w:sz w:val="24"/>
          <w:szCs w:val="24"/>
        </w:rPr>
        <w:t xml:space="preserve">, </w:t>
      </w:r>
      <w:r w:rsidR="00EA7E90" w:rsidRPr="00CC16DE">
        <w:rPr>
          <w:rFonts w:ascii="Times New Roman" w:hAnsi="Times New Roman" w:cs="Times New Roman"/>
          <w:sz w:val="24"/>
          <w:szCs w:val="24"/>
        </w:rPr>
        <w:t>as permitted by paragraph 13(2)(f) of the Act</w:t>
      </w:r>
      <w:r>
        <w:rPr>
          <w:rFonts w:ascii="Times New Roman" w:hAnsi="Times New Roman" w:cs="Times New Roman"/>
          <w:sz w:val="24"/>
          <w:szCs w:val="24"/>
        </w:rPr>
        <w:t>.</w:t>
      </w:r>
    </w:p>
    <w:p w14:paraId="4148D2B5" w14:textId="513BABCE" w:rsidR="00732C47" w:rsidRPr="00CC16DE" w:rsidRDefault="00732C47"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w:t>
      </w:r>
      <w:r w:rsidR="00B064C1">
        <w:rPr>
          <w:rFonts w:ascii="Times New Roman" w:hAnsi="Times New Roman" w:cs="Times New Roman"/>
          <w:sz w:val="24"/>
          <w:szCs w:val="24"/>
        </w:rPr>
        <w:t>8</w:t>
      </w:r>
    </w:p>
    <w:p w14:paraId="21C8519B" w14:textId="0B24530C" w:rsidR="00732C47" w:rsidRPr="00CC16DE" w:rsidRDefault="00732C47"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sidR="003B14E1">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sidR="00CC16DE">
        <w:rPr>
          <w:rFonts w:ascii="Times New Roman" w:hAnsi="Times New Roman" w:cs="Times New Roman"/>
          <w:sz w:val="24"/>
          <w:szCs w:val="24"/>
        </w:rPr>
        <w:t>Paragraph 1</w:t>
      </w:r>
      <w:r w:rsidR="00B064C1">
        <w:rPr>
          <w:rFonts w:ascii="Times New Roman" w:hAnsi="Times New Roman" w:cs="Times New Roman"/>
          <w:sz w:val="24"/>
          <w:szCs w:val="24"/>
        </w:rPr>
        <w:t>8</w:t>
      </w:r>
      <w:r w:rsidRPr="00CC16DE">
        <w:rPr>
          <w:rFonts w:ascii="Times New Roman" w:hAnsi="Times New Roman" w:cs="Times New Roman"/>
          <w:sz w:val="24"/>
          <w:szCs w:val="24"/>
        </w:rPr>
        <w:t xml:space="preserve"> </w:t>
      </w:r>
      <w:r w:rsidR="00A25F21">
        <w:rPr>
          <w:rFonts w:ascii="Times New Roman" w:hAnsi="Times New Roman" w:cs="Times New Roman"/>
          <w:sz w:val="24"/>
          <w:szCs w:val="24"/>
        </w:rPr>
        <w:t>clarifies</w:t>
      </w:r>
      <w:r w:rsidRPr="00CC16DE">
        <w:rPr>
          <w:rFonts w:ascii="Times New Roman" w:hAnsi="Times New Roman" w:cs="Times New Roman"/>
          <w:sz w:val="24"/>
          <w:szCs w:val="24"/>
        </w:rPr>
        <w:t xml:space="preserve"> that financial sector entities must </w:t>
      </w:r>
      <w:r w:rsidR="0082127D">
        <w:rPr>
          <w:rFonts w:ascii="Times New Roman" w:hAnsi="Times New Roman" w:cs="Times New Roman"/>
          <w:sz w:val="24"/>
          <w:szCs w:val="24"/>
        </w:rPr>
        <w:t xml:space="preserve">continue to </w:t>
      </w:r>
      <w:r w:rsidRPr="00CC16DE">
        <w:rPr>
          <w:rFonts w:ascii="Times New Roman" w:hAnsi="Times New Roman" w:cs="Times New Roman"/>
          <w:sz w:val="24"/>
          <w:szCs w:val="24"/>
        </w:rPr>
        <w:t xml:space="preserve">report data under the reporting standard </w:t>
      </w:r>
      <w:r w:rsidRPr="00CC16DE">
        <w:rPr>
          <w:rFonts w:ascii="Times New Roman" w:hAnsi="Times New Roman" w:cs="Times New Roman"/>
          <w:sz w:val="24"/>
          <w:szCs w:val="24"/>
        </w:rPr>
        <w:lastRenderedPageBreak/>
        <w:t xml:space="preserve">revoked in the determination making this reporting standard for reporting periods that </w:t>
      </w:r>
      <w:r w:rsidR="005D529D">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sidR="00316BC0">
        <w:rPr>
          <w:rFonts w:ascii="Times New Roman" w:hAnsi="Times New Roman" w:cs="Times New Roman"/>
          <w:sz w:val="24"/>
          <w:szCs w:val="24"/>
        </w:rPr>
        <w:t xml:space="preserve">the </w:t>
      </w:r>
      <w:r w:rsidR="00654151">
        <w:rPr>
          <w:rFonts w:ascii="Times New Roman" w:hAnsi="Times New Roman" w:cs="Times New Roman"/>
          <w:sz w:val="24"/>
          <w:szCs w:val="24"/>
        </w:rPr>
        <w:t xml:space="preserve">new </w:t>
      </w:r>
      <w:r w:rsidR="00316BC0">
        <w:rPr>
          <w:rFonts w:ascii="Times New Roman" w:hAnsi="Times New Roman" w:cs="Times New Roman"/>
          <w:sz w:val="24"/>
          <w:szCs w:val="24"/>
        </w:rPr>
        <w:t>reporting standard</w:t>
      </w:r>
      <w:r w:rsidR="00654151">
        <w:rPr>
          <w:rFonts w:ascii="Times New Roman" w:hAnsi="Times New Roman" w:cs="Times New Roman"/>
          <w:sz w:val="24"/>
          <w:szCs w:val="24"/>
        </w:rPr>
        <w:t xml:space="preserve"> begins to apply to reporting periods ending on or after </w:t>
      </w:r>
      <w:r w:rsidR="00B064C1">
        <w:rPr>
          <w:rFonts w:ascii="Times New Roman" w:hAnsi="Times New Roman" w:cs="Times New Roman"/>
          <w:sz w:val="24"/>
          <w:szCs w:val="24"/>
        </w:rPr>
        <w:t>1 October 2025</w:t>
      </w:r>
      <w:r w:rsidRPr="00CC16DE">
        <w:rPr>
          <w:rFonts w:ascii="Times New Roman" w:hAnsi="Times New Roman" w:cs="Times New Roman"/>
          <w:sz w:val="24"/>
          <w:szCs w:val="24"/>
        </w:rPr>
        <w:t xml:space="preserve">. </w:t>
      </w:r>
    </w:p>
    <w:p w14:paraId="19CAF199" w14:textId="76BF80BE"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sidR="00B064C1">
        <w:rPr>
          <w:rFonts w:ascii="Times New Roman" w:hAnsi="Times New Roman" w:cs="Times New Roman"/>
          <w:i/>
          <w:sz w:val="24"/>
          <w:szCs w:val="24"/>
        </w:rPr>
        <w:t>9</w:t>
      </w:r>
      <w:r w:rsidRPr="002E123D">
        <w:rPr>
          <w:rFonts w:ascii="Times New Roman" w:hAnsi="Times New Roman" w:cs="Times New Roman"/>
          <w:i/>
          <w:sz w:val="24"/>
          <w:szCs w:val="24"/>
        </w:rPr>
        <w:t>-</w:t>
      </w:r>
      <w:r w:rsidR="00B064C1">
        <w:rPr>
          <w:rFonts w:ascii="Times New Roman" w:hAnsi="Times New Roman" w:cs="Times New Roman"/>
          <w:i/>
          <w:sz w:val="24"/>
          <w:szCs w:val="24"/>
        </w:rPr>
        <w:t>20</w:t>
      </w:r>
    </w:p>
    <w:p w14:paraId="6F6DCFC2" w14:textId="2BB7AD32" w:rsidR="003E5777" w:rsidRPr="002E123D" w:rsidRDefault="00D17490" w:rsidP="00D17490">
      <w:r w:rsidRPr="002E123D">
        <w:rPr>
          <w:rFonts w:ascii="Times New Roman" w:hAnsi="Times New Roman" w:cs="Times New Roman"/>
          <w:sz w:val="24"/>
          <w:szCs w:val="24"/>
        </w:rPr>
        <w:t>Paragraph 1</w:t>
      </w:r>
      <w:r w:rsidR="00B064C1">
        <w:rPr>
          <w:rFonts w:ascii="Times New Roman" w:hAnsi="Times New Roman" w:cs="Times New Roman"/>
          <w:sz w:val="24"/>
          <w:szCs w:val="24"/>
        </w:rPr>
        <w:t>9</w:t>
      </w:r>
      <w:r w:rsidRPr="002E123D">
        <w:rPr>
          <w:rFonts w:ascii="Times New Roman" w:hAnsi="Times New Roman" w:cs="Times New Roman"/>
          <w:sz w:val="24"/>
          <w:szCs w:val="24"/>
        </w:rPr>
        <w:t xml:space="preserve"> provides definitions of common terms used throughout this reporting standard. Paragraph </w:t>
      </w:r>
      <w:r w:rsidR="00B064C1">
        <w:rPr>
          <w:rFonts w:ascii="Times New Roman" w:hAnsi="Times New Roman" w:cs="Times New Roman"/>
          <w:sz w:val="24"/>
          <w:szCs w:val="24"/>
        </w:rPr>
        <w:t>20</w:t>
      </w:r>
      <w:r w:rsidRPr="002E123D">
        <w:rPr>
          <w:rFonts w:ascii="Times New Roman" w:hAnsi="Times New Roman" w:cs="Times New Roman"/>
          <w:sz w:val="24"/>
          <w:szCs w:val="24"/>
        </w:rPr>
        <w:t xml:space="preserve"> states that unless the contrary intention appears, a reference to an Act,</w:t>
      </w:r>
      <w:r w:rsidR="00F2120B">
        <w:rPr>
          <w:rFonts w:ascii="Times New Roman" w:hAnsi="Times New Roman" w:cs="Times New Roman"/>
          <w:sz w:val="24"/>
          <w:szCs w:val="24"/>
        </w:rPr>
        <w:t xml:space="preserve"> Regulation,</w:t>
      </w:r>
      <w:r w:rsidRPr="002E123D">
        <w:rPr>
          <w:rFonts w:ascii="Times New Roman" w:hAnsi="Times New Roman" w:cs="Times New Roman"/>
          <w:sz w:val="24"/>
          <w:szCs w:val="24"/>
        </w:rPr>
        <w:t xml:space="preserve">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5516AA9F" w14:textId="7AB7BF20"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 xml:space="preserve">General </w:t>
      </w:r>
      <w:r w:rsidR="005F054D">
        <w:rPr>
          <w:rFonts w:ascii="Times New Roman" w:hAnsi="Times New Roman" w:cs="Times New Roman"/>
          <w:sz w:val="24"/>
          <w:szCs w:val="24"/>
        </w:rPr>
        <w:t>directions and notes</w:t>
      </w:r>
    </w:p>
    <w:p w14:paraId="619C7F2F" w14:textId="1C7360ED"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w:t>
      </w:r>
      <w:r w:rsidR="005F054D" w:rsidRP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contain details on the data to be reported to APRA under this reporting standard. Information in the general </w:t>
      </w:r>
      <w:r w:rsid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applies to all data items in this reporting standard. </w:t>
      </w:r>
    </w:p>
    <w:p w14:paraId="4BC81DB8"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728E80B" w14:textId="77777777" w:rsidR="00D274ED" w:rsidRPr="00234ED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specific </w:t>
      </w:r>
      <w:r w:rsidRPr="00234ED0">
        <w:rPr>
          <w:rFonts w:ascii="Times New Roman" w:hAnsi="Times New Roman" w:cs="Times New Roman"/>
          <w:sz w:val="24"/>
          <w:szCs w:val="24"/>
        </w:rPr>
        <w:t>instructions list the specific data items that must be reported to APRA and how financial sector entities should determine these items.</w:t>
      </w:r>
    </w:p>
    <w:p w14:paraId="575AE3C8" w14:textId="77777777" w:rsidR="00D274ED" w:rsidRPr="00234ED0" w:rsidRDefault="00D274ED" w:rsidP="00D274ED">
      <w:pPr>
        <w:pStyle w:val="Heading5"/>
        <w:rPr>
          <w:rFonts w:ascii="Times New Roman" w:hAnsi="Times New Roman" w:cs="Times New Roman"/>
          <w:i/>
          <w:sz w:val="24"/>
          <w:szCs w:val="24"/>
        </w:rPr>
      </w:pPr>
      <w:r w:rsidRPr="00234ED0">
        <w:rPr>
          <w:rFonts w:ascii="Times New Roman" w:hAnsi="Times New Roman" w:cs="Times New Roman"/>
          <w:i/>
          <w:sz w:val="24"/>
          <w:szCs w:val="24"/>
        </w:rPr>
        <w:t>Documents incorporated by reference</w:t>
      </w:r>
    </w:p>
    <w:p w14:paraId="10D8C152" w14:textId="63EC22B1" w:rsidR="00644872" w:rsidRPr="00234ED0" w:rsidRDefault="00644872" w:rsidP="00644872">
      <w:pPr>
        <w:rPr>
          <w:rFonts w:ascii="Times New Roman" w:hAnsi="Times New Roman" w:cs="Times New Roman"/>
          <w:sz w:val="24"/>
          <w:szCs w:val="24"/>
        </w:rPr>
      </w:pPr>
      <w:r w:rsidRPr="00234ED0">
        <w:rPr>
          <w:rFonts w:ascii="Times New Roman" w:hAnsi="Times New Roman" w:cs="Times New Roman"/>
          <w:sz w:val="24"/>
          <w:szCs w:val="24"/>
        </w:rPr>
        <w:t xml:space="preserve">Under </w:t>
      </w:r>
      <w:r w:rsidR="00DD3C66" w:rsidRPr="00234ED0">
        <w:rPr>
          <w:rFonts w:ascii="Times New Roman" w:hAnsi="Times New Roman" w:cs="Times New Roman"/>
          <w:sz w:val="24"/>
          <w:szCs w:val="24"/>
        </w:rPr>
        <w:t>paragraph</w:t>
      </w:r>
      <w:r w:rsidRPr="00234ED0">
        <w:rPr>
          <w:rFonts w:ascii="Times New Roman" w:hAnsi="Times New Roman" w:cs="Times New Roman"/>
          <w:sz w:val="24"/>
          <w:szCs w:val="24"/>
        </w:rPr>
        <w:t xml:space="preserve"> 14(1)(a) of the </w:t>
      </w:r>
      <w:r w:rsidRPr="00234ED0">
        <w:rPr>
          <w:rFonts w:ascii="Times New Roman" w:hAnsi="Times New Roman" w:cs="Times New Roman"/>
          <w:i/>
          <w:sz w:val="24"/>
          <w:szCs w:val="24"/>
        </w:rPr>
        <w:t>Legislation Act 2003</w:t>
      </w:r>
      <w:r w:rsidRPr="00234ED0">
        <w:rPr>
          <w:rFonts w:ascii="Times New Roman" w:hAnsi="Times New Roman" w:cs="Times New Roman"/>
          <w:sz w:val="24"/>
          <w:szCs w:val="24"/>
        </w:rPr>
        <w:t xml:space="preserve">, the </w:t>
      </w:r>
      <w:r w:rsidR="005D6CF8">
        <w:rPr>
          <w:rFonts w:ascii="Times New Roman" w:hAnsi="Times New Roman" w:cs="Times New Roman"/>
          <w:sz w:val="24"/>
          <w:szCs w:val="24"/>
        </w:rPr>
        <w:t xml:space="preserve">reporting </w:t>
      </w:r>
      <w:r w:rsidRPr="00234ED0">
        <w:rPr>
          <w:rFonts w:ascii="Times New Roman" w:hAnsi="Times New Roman" w:cs="Times New Roman"/>
          <w:sz w:val="24"/>
          <w:szCs w:val="24"/>
        </w:rPr>
        <w:t xml:space="preserve">standard incorporates by reference as in force from time to time: </w:t>
      </w:r>
    </w:p>
    <w:p w14:paraId="667D225B" w14:textId="43E8ED94" w:rsidR="00644872" w:rsidRPr="00234ED0" w:rsidRDefault="00644872" w:rsidP="00644872">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Acts of Parliament;</w:t>
      </w:r>
    </w:p>
    <w:p w14:paraId="47D36FDA" w14:textId="385BD5F1" w:rsidR="00644872" w:rsidRPr="00234ED0" w:rsidRDefault="00644872" w:rsidP="003A7F99">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Prudential Standards determined by APRA under </w:t>
      </w:r>
      <w:r w:rsidR="00617FAD" w:rsidRPr="00234ED0">
        <w:rPr>
          <w:rFonts w:ascii="Times New Roman" w:hAnsi="Times New Roman" w:cs="Times New Roman"/>
          <w:sz w:val="24"/>
          <w:szCs w:val="24"/>
        </w:rPr>
        <w:t>section 11AF of the </w:t>
      </w:r>
      <w:r w:rsidR="00617FAD" w:rsidRPr="00234ED0">
        <w:rPr>
          <w:rFonts w:ascii="Times New Roman" w:hAnsi="Times New Roman" w:cs="Times New Roman"/>
          <w:i/>
          <w:iCs/>
          <w:sz w:val="24"/>
          <w:szCs w:val="24"/>
        </w:rPr>
        <w:t>Banking Act 1959</w:t>
      </w:r>
      <w:r w:rsidRPr="00234ED0">
        <w:rPr>
          <w:rFonts w:ascii="Times New Roman" w:hAnsi="Times New Roman" w:cs="Times New Roman"/>
          <w:iCs/>
          <w:sz w:val="24"/>
          <w:szCs w:val="24"/>
        </w:rPr>
        <w:t xml:space="preserve">; </w:t>
      </w:r>
    </w:p>
    <w:p w14:paraId="1576E992" w14:textId="2EF891F9" w:rsidR="00644872" w:rsidRPr="00234ED0" w:rsidRDefault="00644872" w:rsidP="00644872">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Reporting Standards determined by APRA under subsection 13(1) of the Act</w:t>
      </w:r>
      <w:r w:rsidRPr="00234ED0">
        <w:rPr>
          <w:rFonts w:ascii="Times New Roman" w:hAnsi="Times New Roman" w:cs="Times New Roman"/>
          <w:iCs/>
          <w:sz w:val="24"/>
          <w:szCs w:val="24"/>
          <w:lang w:val="en-US"/>
        </w:rPr>
        <w:t>;</w:t>
      </w:r>
      <w:r w:rsidR="007B231E" w:rsidRPr="00234ED0">
        <w:rPr>
          <w:rFonts w:ascii="Times New Roman" w:hAnsi="Times New Roman" w:cs="Times New Roman"/>
          <w:iCs/>
          <w:sz w:val="24"/>
          <w:szCs w:val="24"/>
          <w:lang w:val="en-US"/>
        </w:rPr>
        <w:t xml:space="preserve"> and</w:t>
      </w:r>
    </w:p>
    <w:p w14:paraId="15B69B5C" w14:textId="7BF9C3E8" w:rsidR="00644872" w:rsidRPr="00234ED0" w:rsidRDefault="00644872" w:rsidP="00EB187C">
      <w:pPr>
        <w:numPr>
          <w:ilvl w:val="0"/>
          <w:numId w:val="21"/>
        </w:numPr>
        <w:rPr>
          <w:rFonts w:ascii="Times New Roman" w:hAnsi="Times New Roman" w:cs="Times New Roman"/>
          <w:i/>
          <w:iCs/>
          <w:sz w:val="24"/>
          <w:szCs w:val="24"/>
        </w:rPr>
      </w:pPr>
      <w:r w:rsidRPr="00234ED0">
        <w:rPr>
          <w:rFonts w:ascii="Times New Roman" w:hAnsi="Times New Roman" w:cs="Times New Roman"/>
          <w:sz w:val="24"/>
          <w:szCs w:val="24"/>
        </w:rPr>
        <w:t xml:space="preserve">Australian Accounting Standards determined by the Australian Accounting Standards Board under section 334 of the </w:t>
      </w:r>
      <w:r w:rsidRPr="00234ED0">
        <w:rPr>
          <w:rFonts w:ascii="Times New Roman" w:hAnsi="Times New Roman" w:cs="Times New Roman"/>
          <w:i/>
          <w:iCs/>
          <w:sz w:val="24"/>
          <w:szCs w:val="24"/>
        </w:rPr>
        <w:t xml:space="preserve">Corporations Act 2001 </w:t>
      </w:r>
      <w:r w:rsidRPr="00234ED0">
        <w:rPr>
          <w:rFonts w:ascii="Times New Roman" w:hAnsi="Times New Roman" w:cs="Times New Roman"/>
          <w:sz w:val="24"/>
          <w:szCs w:val="24"/>
        </w:rPr>
        <w:t>(</w:t>
      </w:r>
      <w:proofErr w:type="spellStart"/>
      <w:r w:rsidRPr="00234ED0">
        <w:rPr>
          <w:rFonts w:ascii="Times New Roman" w:hAnsi="Times New Roman" w:cs="Times New Roman"/>
          <w:sz w:val="24"/>
          <w:szCs w:val="24"/>
        </w:rPr>
        <w:t>Cth</w:t>
      </w:r>
      <w:proofErr w:type="spellEnd"/>
      <w:r w:rsidRPr="00234ED0">
        <w:rPr>
          <w:rFonts w:ascii="Times New Roman" w:hAnsi="Times New Roman" w:cs="Times New Roman"/>
          <w:sz w:val="24"/>
          <w:szCs w:val="24"/>
        </w:rPr>
        <w:t>).</w:t>
      </w:r>
    </w:p>
    <w:p w14:paraId="1972CB3A" w14:textId="6E95A643" w:rsidR="00644872" w:rsidRPr="00234ED0" w:rsidRDefault="00644872" w:rsidP="00644872">
      <w:pPr>
        <w:numPr>
          <w:ilvl w:val="0"/>
          <w:numId w:val="0"/>
        </w:numPr>
        <w:rPr>
          <w:rFonts w:ascii="Times New Roman" w:hAnsi="Times New Roman" w:cs="Times New Roman"/>
          <w:sz w:val="24"/>
          <w:szCs w:val="24"/>
        </w:rPr>
      </w:pPr>
      <w:r w:rsidRPr="00234ED0">
        <w:rPr>
          <w:rFonts w:ascii="Times New Roman" w:hAnsi="Times New Roman" w:cs="Times New Roman"/>
          <w:sz w:val="24"/>
          <w:szCs w:val="24"/>
        </w:rPr>
        <w:t xml:space="preserve">These documents may be freely obtained at </w:t>
      </w:r>
      <w:r w:rsidR="00296EA9" w:rsidRPr="00234ED0">
        <w:rPr>
          <w:rFonts w:ascii="Times New Roman" w:hAnsi="Times New Roman" w:cs="Times New Roman"/>
          <w:sz w:val="24"/>
          <w:szCs w:val="24"/>
        </w:rPr>
        <w:t>www.legislation.gov.au</w:t>
      </w:r>
      <w:r w:rsidRPr="00234ED0">
        <w:rPr>
          <w:rFonts w:ascii="Times New Roman" w:hAnsi="Times New Roman" w:cs="Times New Roman"/>
          <w:sz w:val="24"/>
          <w:szCs w:val="24"/>
        </w:rPr>
        <w:t xml:space="preserve"> (all documents listed above except for Australian Accounting Standards), </w:t>
      </w:r>
      <w:r w:rsidR="007B231E" w:rsidRPr="00234ED0">
        <w:rPr>
          <w:rFonts w:ascii="Times New Roman" w:hAnsi="Times New Roman" w:cs="Times New Roman"/>
          <w:sz w:val="24"/>
          <w:szCs w:val="24"/>
        </w:rPr>
        <w:t xml:space="preserve">and </w:t>
      </w:r>
      <w:r w:rsidR="00296EA9" w:rsidRPr="00234ED0">
        <w:rPr>
          <w:rFonts w:ascii="Times New Roman" w:hAnsi="Times New Roman" w:cs="Times New Roman"/>
          <w:sz w:val="24"/>
          <w:szCs w:val="24"/>
        </w:rPr>
        <w:t>https://www.aasb.gov.au/pronouncements/accounting-standards/</w:t>
      </w:r>
      <w:r w:rsidRPr="00234ED0">
        <w:rPr>
          <w:rFonts w:ascii="Times New Roman" w:hAnsi="Times New Roman" w:cs="Times New Roman"/>
          <w:sz w:val="24"/>
          <w:szCs w:val="24"/>
        </w:rPr>
        <w:t xml:space="preserve"> (Australian Accounting Standards).</w:t>
      </w:r>
    </w:p>
    <w:p w14:paraId="03332396" w14:textId="5297BD36" w:rsidR="009D4F63" w:rsidRPr="00234ED0" w:rsidRDefault="009D4F63" w:rsidP="009D4F63">
      <w:pPr>
        <w:rPr>
          <w:rFonts w:ascii="Times New Roman" w:hAnsi="Times New Roman" w:cs="Times New Roman"/>
          <w:sz w:val="24"/>
          <w:szCs w:val="24"/>
        </w:rPr>
      </w:pPr>
      <w:r w:rsidRPr="00234ED0">
        <w:rPr>
          <w:rFonts w:ascii="Times New Roman" w:hAnsi="Times New Roman" w:cs="Times New Roman"/>
          <w:sz w:val="24"/>
          <w:szCs w:val="24"/>
        </w:rPr>
        <w:t xml:space="preserve">Under </w:t>
      </w:r>
      <w:r w:rsidR="00234FDB">
        <w:rPr>
          <w:rFonts w:ascii="Times New Roman" w:hAnsi="Times New Roman" w:cs="Times New Roman"/>
          <w:sz w:val="24"/>
          <w:szCs w:val="24"/>
        </w:rPr>
        <w:t xml:space="preserve">paragraph </w:t>
      </w:r>
      <w:r w:rsidRPr="00234ED0">
        <w:rPr>
          <w:rFonts w:ascii="Times New Roman" w:hAnsi="Times New Roman" w:cs="Times New Roman"/>
          <w:sz w:val="24"/>
          <w:szCs w:val="24"/>
        </w:rPr>
        <w:t xml:space="preserve">14(1)(b) of the </w:t>
      </w:r>
      <w:r w:rsidRPr="001D0E77">
        <w:rPr>
          <w:rFonts w:ascii="Times New Roman" w:hAnsi="Times New Roman" w:cs="Times New Roman"/>
          <w:i/>
          <w:sz w:val="24"/>
          <w:szCs w:val="24"/>
        </w:rPr>
        <w:t>Legislation Act</w:t>
      </w:r>
      <w:r w:rsidR="00234FDB" w:rsidRPr="001D0E77">
        <w:rPr>
          <w:rFonts w:ascii="Times New Roman" w:hAnsi="Times New Roman" w:cs="Times New Roman"/>
          <w:i/>
          <w:sz w:val="24"/>
          <w:szCs w:val="24"/>
        </w:rPr>
        <w:t xml:space="preserve"> 2003</w:t>
      </w:r>
      <w:r w:rsidRPr="00234ED0">
        <w:rPr>
          <w:rFonts w:ascii="Times New Roman" w:hAnsi="Times New Roman" w:cs="Times New Roman"/>
          <w:sz w:val="24"/>
          <w:szCs w:val="24"/>
        </w:rPr>
        <w:t xml:space="preserve">, the </w:t>
      </w:r>
      <w:r w:rsidR="00F07C0B" w:rsidRPr="00234ED0">
        <w:rPr>
          <w:rFonts w:ascii="Times New Roman" w:hAnsi="Times New Roman" w:cs="Times New Roman"/>
          <w:sz w:val="24"/>
          <w:szCs w:val="24"/>
        </w:rPr>
        <w:t xml:space="preserve">reporting </w:t>
      </w:r>
      <w:r w:rsidRPr="00234ED0">
        <w:rPr>
          <w:rFonts w:ascii="Times New Roman" w:hAnsi="Times New Roman" w:cs="Times New Roman"/>
          <w:sz w:val="24"/>
          <w:szCs w:val="24"/>
        </w:rPr>
        <w:t>standard incorporates the following document</w:t>
      </w:r>
      <w:r w:rsidR="00B4634C" w:rsidRPr="00234ED0">
        <w:rPr>
          <w:rFonts w:ascii="Times New Roman" w:hAnsi="Times New Roman" w:cs="Times New Roman"/>
          <w:sz w:val="24"/>
          <w:szCs w:val="24"/>
        </w:rPr>
        <w:t xml:space="preserve"> as existing</w:t>
      </w:r>
      <w:r w:rsidR="00FD0224" w:rsidRPr="00234ED0">
        <w:rPr>
          <w:rFonts w:ascii="Times New Roman" w:hAnsi="Times New Roman" w:cs="Times New Roman"/>
          <w:sz w:val="24"/>
          <w:szCs w:val="24"/>
        </w:rPr>
        <w:t xml:space="preserve"> at the commencement of </w:t>
      </w:r>
      <w:r w:rsidR="001B265A" w:rsidRPr="00234ED0">
        <w:rPr>
          <w:rFonts w:ascii="Times New Roman" w:hAnsi="Times New Roman" w:cs="Times New Roman"/>
          <w:sz w:val="24"/>
          <w:szCs w:val="24"/>
        </w:rPr>
        <w:t xml:space="preserve">the </w:t>
      </w:r>
      <w:r w:rsidR="00F07C0B" w:rsidRPr="00234ED0">
        <w:rPr>
          <w:rFonts w:ascii="Times New Roman" w:hAnsi="Times New Roman" w:cs="Times New Roman"/>
          <w:sz w:val="24"/>
          <w:szCs w:val="24"/>
        </w:rPr>
        <w:t>reporting standard</w:t>
      </w:r>
      <w:r w:rsidRPr="00234ED0">
        <w:rPr>
          <w:rFonts w:ascii="Times New Roman" w:hAnsi="Times New Roman" w:cs="Times New Roman"/>
          <w:sz w:val="24"/>
          <w:szCs w:val="24"/>
        </w:rPr>
        <w:t xml:space="preserve">: </w:t>
      </w:r>
    </w:p>
    <w:p w14:paraId="65DE7F96" w14:textId="6297F2AE" w:rsidR="009D4F63" w:rsidRDefault="00201D0D" w:rsidP="009D4F63">
      <w:pPr>
        <w:numPr>
          <w:ilvl w:val="0"/>
          <w:numId w:val="23"/>
        </w:numPr>
        <w:rPr>
          <w:rFonts w:ascii="Times New Roman" w:hAnsi="Times New Roman" w:cs="Times New Roman"/>
          <w:iCs/>
          <w:sz w:val="24"/>
          <w:szCs w:val="24"/>
        </w:rPr>
      </w:pPr>
      <w:r w:rsidRPr="00201D0D">
        <w:rPr>
          <w:rFonts w:ascii="Times New Roman" w:hAnsi="Times New Roman" w:cs="Times New Roman"/>
          <w:iCs/>
          <w:sz w:val="24"/>
          <w:szCs w:val="24"/>
        </w:rPr>
        <w:t>Basel Committee on Banking Supervision (BCBS) (2016) Interest Rate Risk in the Banking Book</w:t>
      </w:r>
      <w:r w:rsidR="006A0B81" w:rsidRPr="00234ED0">
        <w:rPr>
          <w:rFonts w:ascii="Times New Roman" w:hAnsi="Times New Roman" w:cs="Times New Roman"/>
          <w:iCs/>
          <w:sz w:val="24"/>
          <w:szCs w:val="24"/>
        </w:rPr>
        <w:t xml:space="preserve">, version </w:t>
      </w:r>
      <w:r>
        <w:rPr>
          <w:rFonts w:ascii="Times New Roman" w:hAnsi="Times New Roman" w:cs="Times New Roman"/>
          <w:iCs/>
          <w:sz w:val="24"/>
          <w:szCs w:val="24"/>
        </w:rPr>
        <w:t>April</w:t>
      </w:r>
      <w:r w:rsidR="006A0B81" w:rsidRPr="00234ED0">
        <w:rPr>
          <w:rFonts w:ascii="Times New Roman" w:hAnsi="Times New Roman" w:cs="Times New Roman"/>
          <w:iCs/>
          <w:sz w:val="24"/>
          <w:szCs w:val="24"/>
        </w:rPr>
        <w:t xml:space="preserve"> 20</w:t>
      </w:r>
      <w:r>
        <w:rPr>
          <w:rFonts w:ascii="Times New Roman" w:hAnsi="Times New Roman" w:cs="Times New Roman"/>
          <w:iCs/>
          <w:sz w:val="24"/>
          <w:szCs w:val="24"/>
        </w:rPr>
        <w:t>16</w:t>
      </w:r>
      <w:r w:rsidR="006A0B81" w:rsidRPr="00234ED0">
        <w:rPr>
          <w:rFonts w:ascii="Times New Roman" w:hAnsi="Times New Roman" w:cs="Times New Roman"/>
          <w:iCs/>
          <w:sz w:val="24"/>
          <w:szCs w:val="24"/>
        </w:rPr>
        <w:t>,</w:t>
      </w:r>
      <w:r w:rsidR="00294C58" w:rsidRPr="00234ED0">
        <w:rPr>
          <w:rFonts w:ascii="Times New Roman" w:hAnsi="Times New Roman" w:cs="Times New Roman"/>
          <w:iCs/>
          <w:sz w:val="24"/>
          <w:szCs w:val="24"/>
        </w:rPr>
        <w:t xml:space="preserve"> </w:t>
      </w:r>
      <w:r w:rsidR="002E3A56">
        <w:rPr>
          <w:rFonts w:ascii="Times New Roman" w:hAnsi="Times New Roman" w:cs="Times New Roman"/>
          <w:iCs/>
          <w:sz w:val="24"/>
          <w:szCs w:val="24"/>
        </w:rPr>
        <w:t>published</w:t>
      </w:r>
      <w:r w:rsidR="009D4F63" w:rsidRPr="00234ED0">
        <w:rPr>
          <w:rFonts w:ascii="Times New Roman" w:hAnsi="Times New Roman" w:cs="Times New Roman"/>
          <w:iCs/>
          <w:sz w:val="24"/>
          <w:szCs w:val="24"/>
        </w:rPr>
        <w:t xml:space="preserve"> by </w:t>
      </w:r>
      <w:r w:rsidR="00294C58" w:rsidRPr="00234ED0">
        <w:rPr>
          <w:rFonts w:ascii="Times New Roman" w:hAnsi="Times New Roman" w:cs="Times New Roman"/>
          <w:iCs/>
          <w:sz w:val="24"/>
          <w:szCs w:val="24"/>
        </w:rPr>
        <w:t xml:space="preserve">the </w:t>
      </w:r>
      <w:r w:rsidRPr="00201D0D">
        <w:rPr>
          <w:rFonts w:ascii="Times New Roman" w:hAnsi="Times New Roman" w:cs="Times New Roman"/>
          <w:iCs/>
          <w:sz w:val="24"/>
          <w:szCs w:val="24"/>
        </w:rPr>
        <w:t>Basel Committee on Banking Supervision</w:t>
      </w:r>
      <w:r w:rsidR="009D4F63" w:rsidRPr="00234ED0">
        <w:rPr>
          <w:rFonts w:ascii="Times New Roman" w:hAnsi="Times New Roman" w:cs="Times New Roman"/>
          <w:iCs/>
          <w:sz w:val="24"/>
          <w:szCs w:val="24"/>
        </w:rPr>
        <w:t xml:space="preserve">. </w:t>
      </w:r>
      <w:r w:rsidR="007A3948">
        <w:rPr>
          <w:rFonts w:ascii="Times New Roman" w:hAnsi="Times New Roman" w:cs="Times New Roman"/>
          <w:iCs/>
          <w:sz w:val="24"/>
          <w:szCs w:val="24"/>
        </w:rPr>
        <w:t>This document</w:t>
      </w:r>
      <w:r w:rsidR="009D4F63" w:rsidRPr="00234ED0">
        <w:rPr>
          <w:rFonts w:ascii="Times New Roman" w:hAnsi="Times New Roman" w:cs="Times New Roman"/>
          <w:iCs/>
          <w:sz w:val="24"/>
          <w:szCs w:val="24"/>
        </w:rPr>
        <w:t xml:space="preserve"> may be freely obtained at </w:t>
      </w:r>
      <w:r w:rsidR="007A3948" w:rsidRPr="007A3948">
        <w:rPr>
          <w:rFonts w:ascii="Times New Roman" w:hAnsi="Times New Roman" w:cs="Times New Roman"/>
          <w:iCs/>
          <w:sz w:val="24"/>
          <w:szCs w:val="24"/>
        </w:rPr>
        <w:t>https://www.bis.org/bcbs/publ/d368.pdf</w:t>
      </w:r>
      <w:r w:rsidR="009D4F63" w:rsidRPr="007A3948">
        <w:rPr>
          <w:rFonts w:ascii="Times New Roman" w:hAnsi="Times New Roman" w:cs="Times New Roman"/>
          <w:iCs/>
          <w:sz w:val="24"/>
          <w:szCs w:val="24"/>
        </w:rPr>
        <w:t>.</w:t>
      </w:r>
    </w:p>
    <w:p w14:paraId="68B04281" w14:textId="35F9F7EA" w:rsidR="007A3948" w:rsidRPr="00290F25" w:rsidRDefault="007A3948" w:rsidP="007A3948">
      <w:pPr>
        <w:rPr>
          <w:rFonts w:eastAsia="Times New Roman" w:cs="Arial"/>
          <w:color w:val="auto"/>
          <w:sz w:val="24"/>
          <w:szCs w:val="24"/>
          <w:lang w:eastAsia="en-AU"/>
        </w:rPr>
      </w:pPr>
      <w:r>
        <w:rPr>
          <w:rFonts w:ascii="Times New Roman" w:eastAsia="Times New Roman" w:hAnsi="Times New Roman" w:cs="Times New Roman"/>
          <w:color w:val="auto"/>
          <w:sz w:val="24"/>
          <w:szCs w:val="24"/>
          <w:lang w:eastAsia="en-AU"/>
        </w:rPr>
        <w:t>ARS 117.0</w:t>
      </w:r>
      <w:r w:rsidRPr="00290F25">
        <w:rPr>
          <w:rFonts w:ascii="Times New Roman" w:eastAsia="Times New Roman" w:hAnsi="Times New Roman" w:cs="Times New Roman"/>
          <w:color w:val="auto"/>
          <w:sz w:val="24"/>
          <w:szCs w:val="24"/>
          <w:lang w:eastAsia="en-AU"/>
        </w:rPr>
        <w:t xml:space="preserve"> also requires entities to report against the following standard and codes as a matter of fact:</w:t>
      </w:r>
    </w:p>
    <w:p w14:paraId="788EF69A" w14:textId="733A53D5" w:rsidR="007A3948" w:rsidRDefault="007A3948" w:rsidP="007A3948">
      <w:pPr>
        <w:numPr>
          <w:ilvl w:val="0"/>
          <w:numId w:val="25"/>
        </w:numPr>
        <w:ind w:left="426"/>
        <w:rPr>
          <w:rFonts w:ascii="Times New Roman" w:eastAsia="Times New Roman" w:hAnsi="Times New Roman" w:cs="Times New Roman"/>
          <w:color w:val="auto"/>
          <w:sz w:val="24"/>
          <w:szCs w:val="24"/>
          <w:lang w:eastAsia="en-AU"/>
        </w:rPr>
      </w:pPr>
      <w:r w:rsidRPr="00290F25">
        <w:rPr>
          <w:rFonts w:ascii="Times New Roman" w:eastAsia="Times New Roman" w:hAnsi="Times New Roman" w:cs="Times New Roman"/>
          <w:color w:val="auto"/>
          <w:sz w:val="24"/>
          <w:szCs w:val="24"/>
          <w:lang w:eastAsia="en-AU"/>
        </w:rPr>
        <w:lastRenderedPageBreak/>
        <w:t xml:space="preserve">ISO 4217 - </w:t>
      </w:r>
      <w:r>
        <w:rPr>
          <w:rFonts w:ascii="Times New Roman" w:eastAsia="Times New Roman" w:hAnsi="Times New Roman" w:cs="Times New Roman"/>
          <w:color w:val="auto"/>
          <w:sz w:val="24"/>
          <w:szCs w:val="24"/>
          <w:lang w:eastAsia="en-AU"/>
        </w:rPr>
        <w:t>ARS 117.0</w:t>
      </w:r>
      <w:r w:rsidRPr="00290F25">
        <w:rPr>
          <w:rFonts w:ascii="Times New Roman" w:eastAsia="Times New Roman" w:hAnsi="Times New Roman" w:cs="Times New Roman"/>
          <w:color w:val="auto"/>
          <w:sz w:val="24"/>
          <w:szCs w:val="24"/>
          <w:lang w:eastAsia="en-AU"/>
        </w:rPr>
        <w:t xml:space="preserve"> requires financial sector entities to report certain items with a three-letter ISO 4217 currency code. ISO 4217 </w:t>
      </w:r>
      <w:r w:rsidR="0099675C">
        <w:rPr>
          <w:rFonts w:ascii="Times New Roman" w:eastAsia="Times New Roman" w:hAnsi="Times New Roman" w:cs="Times New Roman"/>
          <w:color w:val="auto"/>
          <w:sz w:val="24"/>
          <w:szCs w:val="24"/>
          <w:lang w:eastAsia="en-AU"/>
        </w:rPr>
        <w:t>is an</w:t>
      </w:r>
      <w:r w:rsidRPr="00290F25">
        <w:rPr>
          <w:rFonts w:ascii="Times New Roman" w:eastAsia="Times New Roman" w:hAnsi="Times New Roman" w:cs="Times New Roman"/>
          <w:color w:val="auto"/>
          <w:sz w:val="24"/>
          <w:szCs w:val="24"/>
          <w:lang w:eastAsia="en-AU"/>
        </w:rPr>
        <w:t xml:space="preserve"> internationally recognised code for the representation of currencies developed by the International Organization for Standardization (ISO). Financial sector entities are aware information relevant to the three-letter ISO 4217 currency code </w:t>
      </w:r>
      <w:r w:rsidR="0099675C">
        <w:rPr>
          <w:rFonts w:ascii="Times New Roman" w:eastAsia="Times New Roman" w:hAnsi="Times New Roman" w:cs="Times New Roman"/>
          <w:color w:val="auto"/>
          <w:sz w:val="24"/>
          <w:szCs w:val="24"/>
          <w:lang w:eastAsia="en-AU"/>
        </w:rPr>
        <w:t xml:space="preserve">may be freely obtained at </w:t>
      </w:r>
      <w:r w:rsidR="0099675C" w:rsidRPr="0099675C">
        <w:rPr>
          <w:rFonts w:ascii="Times New Roman" w:eastAsia="Times New Roman" w:hAnsi="Times New Roman" w:cs="Times New Roman"/>
          <w:color w:val="auto"/>
          <w:sz w:val="24"/>
          <w:szCs w:val="24"/>
          <w:lang w:eastAsia="en-AU"/>
        </w:rPr>
        <w:t>https://www.six-group.com/en/products-services/financial-information/data-standards.html</w:t>
      </w:r>
      <w:r w:rsidRPr="00290F25">
        <w:rPr>
          <w:rFonts w:ascii="Times New Roman" w:eastAsia="Times New Roman" w:hAnsi="Times New Roman" w:cs="Times New Roman"/>
          <w:color w:val="auto"/>
          <w:sz w:val="24"/>
          <w:szCs w:val="24"/>
          <w:lang w:eastAsia="en-AU"/>
        </w:rPr>
        <w:t>.</w:t>
      </w:r>
    </w:p>
    <w:p w14:paraId="043BA5B7" w14:textId="6AC50491" w:rsidR="007A3948" w:rsidRPr="007A3948" w:rsidRDefault="007A3948" w:rsidP="007A3948">
      <w:pPr>
        <w:rPr>
          <w:rFonts w:eastAsia="Times New Roman" w:cs="Arial"/>
          <w:sz w:val="24"/>
          <w:szCs w:val="24"/>
          <w:lang w:eastAsia="en-AU"/>
        </w:rPr>
      </w:pPr>
      <w:r w:rsidRPr="00290F25">
        <w:rPr>
          <w:rFonts w:ascii="Times New Roman" w:eastAsia="Times New Roman" w:hAnsi="Times New Roman" w:cs="Times New Roman"/>
          <w:color w:val="auto"/>
          <w:sz w:val="24"/>
          <w:szCs w:val="24"/>
          <w:lang w:eastAsia="en-AU"/>
        </w:rPr>
        <w:t>The contents of th</w:t>
      </w:r>
      <w:r w:rsidR="00795F4C">
        <w:rPr>
          <w:rFonts w:ascii="Times New Roman" w:eastAsia="Times New Roman" w:hAnsi="Times New Roman" w:cs="Times New Roman"/>
          <w:color w:val="auto"/>
          <w:sz w:val="24"/>
          <w:szCs w:val="24"/>
          <w:lang w:eastAsia="en-AU"/>
        </w:rPr>
        <w:t>is</w:t>
      </w:r>
      <w:r w:rsidRPr="00290F25">
        <w:rPr>
          <w:rFonts w:ascii="Times New Roman" w:eastAsia="Times New Roman" w:hAnsi="Times New Roman" w:cs="Times New Roman"/>
          <w:color w:val="auto"/>
          <w:sz w:val="24"/>
          <w:szCs w:val="24"/>
          <w:lang w:eastAsia="en-AU"/>
        </w:rPr>
        <w:t xml:space="preserve"> standard are not relevant to the understanding </w:t>
      </w:r>
      <w:r>
        <w:rPr>
          <w:rFonts w:ascii="Times New Roman" w:eastAsia="Times New Roman" w:hAnsi="Times New Roman" w:cs="Times New Roman"/>
          <w:color w:val="auto"/>
          <w:sz w:val="24"/>
          <w:szCs w:val="24"/>
          <w:lang w:eastAsia="en-AU"/>
        </w:rPr>
        <w:t>of ARS 117.0</w:t>
      </w:r>
      <w:r w:rsidRPr="00290F25">
        <w:rPr>
          <w:rFonts w:ascii="Times New Roman" w:eastAsia="Times New Roman" w:hAnsi="Times New Roman" w:cs="Times New Roman"/>
          <w:color w:val="auto"/>
          <w:sz w:val="24"/>
          <w:szCs w:val="24"/>
          <w:lang w:eastAsia="en-AU"/>
        </w:rPr>
        <w:t xml:space="preserve"> and </w:t>
      </w:r>
      <w:r w:rsidRPr="009151E7">
        <w:rPr>
          <w:rFonts w:ascii="Times New Roman" w:eastAsia="Times New Roman" w:hAnsi="Times New Roman" w:cs="Times New Roman"/>
          <w:sz w:val="24"/>
          <w:szCs w:val="24"/>
          <w:lang w:eastAsia="en-AU"/>
        </w:rPr>
        <w:t xml:space="preserve">accordingly </w:t>
      </w:r>
      <w:r>
        <w:rPr>
          <w:rFonts w:ascii="Times New Roman" w:eastAsia="Times New Roman" w:hAnsi="Times New Roman" w:cs="Times New Roman"/>
          <w:color w:val="auto"/>
          <w:sz w:val="24"/>
          <w:szCs w:val="24"/>
          <w:lang w:eastAsia="en-AU"/>
        </w:rPr>
        <w:t>ARS 117.0</w:t>
      </w:r>
      <w:r w:rsidRPr="00290F25">
        <w:rPr>
          <w:rFonts w:ascii="Times New Roman" w:eastAsia="Times New Roman" w:hAnsi="Times New Roman" w:cs="Times New Roman"/>
          <w:color w:val="auto"/>
          <w:sz w:val="24"/>
          <w:szCs w:val="24"/>
          <w:lang w:eastAsia="en-AU"/>
        </w:rPr>
        <w:t xml:space="preserve"> </w:t>
      </w:r>
      <w:r w:rsidRPr="009151E7">
        <w:rPr>
          <w:rFonts w:ascii="Times New Roman" w:eastAsia="Times New Roman" w:hAnsi="Times New Roman" w:cs="Times New Roman"/>
          <w:sz w:val="24"/>
          <w:szCs w:val="24"/>
          <w:lang w:eastAsia="en-AU"/>
        </w:rPr>
        <w:t>does not incorporate by reference the contents of th</w:t>
      </w:r>
      <w:r w:rsidR="00D1490F">
        <w:rPr>
          <w:rFonts w:ascii="Times New Roman" w:eastAsia="Times New Roman" w:hAnsi="Times New Roman" w:cs="Times New Roman"/>
          <w:sz w:val="24"/>
          <w:szCs w:val="24"/>
          <w:lang w:eastAsia="en-AU"/>
        </w:rPr>
        <w:t>i</w:t>
      </w:r>
      <w:r w:rsidRPr="009151E7">
        <w:rPr>
          <w:rFonts w:ascii="Times New Roman" w:eastAsia="Times New Roman" w:hAnsi="Times New Roman" w:cs="Times New Roman"/>
          <w:sz w:val="24"/>
          <w:szCs w:val="24"/>
          <w:lang w:eastAsia="en-AU"/>
        </w:rPr>
        <w:t>s standard.</w:t>
      </w:r>
    </w:p>
    <w:p w14:paraId="54F80AB1" w14:textId="6B2384AC" w:rsidR="00D274ED" w:rsidRPr="00D274ED" w:rsidRDefault="00E23A27" w:rsidP="00D274ED">
      <w:pPr>
        <w:pStyle w:val="Heading5"/>
        <w:rPr>
          <w:rFonts w:ascii="Times New Roman" w:hAnsi="Times New Roman" w:cs="Times New Roman"/>
          <w:i/>
          <w:sz w:val="24"/>
          <w:szCs w:val="24"/>
        </w:rPr>
      </w:pPr>
      <w:r>
        <w:rPr>
          <w:rFonts w:ascii="Times New Roman" w:hAnsi="Times New Roman" w:cs="Times New Roman"/>
          <w:i/>
          <w:sz w:val="24"/>
          <w:szCs w:val="24"/>
        </w:rPr>
        <w:t>Exercise of discretion</w:t>
      </w:r>
      <w:r w:rsidR="00234FDB">
        <w:rPr>
          <w:rFonts w:ascii="Times New Roman" w:hAnsi="Times New Roman" w:cs="Times New Roman"/>
          <w:i/>
          <w:sz w:val="24"/>
          <w:szCs w:val="24"/>
        </w:rPr>
        <w:t xml:space="preserve"> by APRA</w:t>
      </w:r>
    </w:p>
    <w:p w14:paraId="482E7A70" w14:textId="121B9D3D" w:rsidR="001148D0" w:rsidRPr="00DA1C02" w:rsidRDefault="00C25F3C"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w:t>
      </w:r>
      <w:proofErr w:type="gramStart"/>
      <w:r w:rsidRPr="006C1876">
        <w:rPr>
          <w:rFonts w:ascii="Times New Roman" w:hAnsi="Times New Roman" w:cs="Times New Roman"/>
          <w:sz w:val="24"/>
          <w:szCs w:val="24"/>
        </w:rPr>
        <w:t>a number of</w:t>
      </w:r>
      <w:proofErr w:type="gramEnd"/>
      <w:r w:rsidRPr="006C1876">
        <w:rPr>
          <w:rFonts w:ascii="Times New Roman" w:hAnsi="Times New Roman" w:cs="Times New Roman"/>
          <w:sz w:val="24"/>
          <w:szCs w:val="24"/>
        </w:rPr>
        <w:t xml:space="preserve">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sidR="00D82EA5">
        <w:rPr>
          <w:rFonts w:ascii="Times New Roman" w:hAnsi="Times New Roman" w:cs="Times New Roman"/>
          <w:sz w:val="24"/>
          <w:szCs w:val="24"/>
        </w:rPr>
        <w:t>ADIs</w:t>
      </w:r>
      <w:r>
        <w:rPr>
          <w:rFonts w:ascii="Times New Roman" w:hAnsi="Times New Roman" w:cs="Times New Roman"/>
          <w:sz w:val="24"/>
          <w:szCs w:val="24"/>
        </w:rPr>
        <w:t xml:space="preserve">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sidR="00D82EA5">
        <w:rPr>
          <w:rFonts w:ascii="Times New Roman" w:hAnsi="Times New Roman" w:cs="Times New Roman"/>
          <w:sz w:val="24"/>
          <w:szCs w:val="24"/>
        </w:rPr>
        <w:t xml:space="preserve"> or</w:t>
      </w:r>
      <w:r w:rsidRPr="009D77B5">
        <w:rPr>
          <w:rFonts w:ascii="Times New Roman" w:hAnsi="Times New Roman" w:cs="Times New Roman"/>
          <w:sz w:val="24"/>
          <w:szCs w:val="24"/>
        </w:rPr>
        <w:t xml:space="preserve"> due date for </w:t>
      </w:r>
      <w:r w:rsidR="00D82EA5">
        <w:rPr>
          <w:rFonts w:ascii="Times New Roman" w:hAnsi="Times New Roman" w:cs="Times New Roman"/>
          <w:sz w:val="24"/>
          <w:szCs w:val="24"/>
        </w:rPr>
        <w:t>an ADI</w:t>
      </w:r>
      <w:r w:rsidRPr="00B85DCE">
        <w:rPr>
          <w:rFonts w:ascii="Times New Roman" w:hAnsi="Times New Roman" w:cs="Times New Roman"/>
          <w:sz w:val="24"/>
          <w:szCs w:val="24"/>
        </w:rPr>
        <w:t xml:space="preserve"> to provide information required by each of the instruments. </w:t>
      </w:r>
    </w:p>
    <w:p w14:paraId="36BA2D9B" w14:textId="0CAFE4D5" w:rsidR="005E46C0" w:rsidRDefault="00153E56" w:rsidP="00D274ED">
      <w:pPr>
        <w:numPr>
          <w:ilvl w:val="0"/>
          <w:numId w:val="0"/>
        </w:numPr>
        <w:rPr>
          <w:rFonts w:ascii="Times New Roman" w:hAnsi="Times New Roman" w:cs="Times New Roman"/>
          <w:sz w:val="24"/>
          <w:szCs w:val="24"/>
        </w:rPr>
      </w:pPr>
      <w:r w:rsidRPr="00153E56">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2FE565FE" w14:textId="164E32AE" w:rsidR="007F3064" w:rsidRDefault="000E0E86" w:rsidP="005A0E7A">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APRA will exercise the power to vary the reporting requirements in relation to </w:t>
      </w:r>
      <w:r>
        <w:rPr>
          <w:rFonts w:ascii="Times New Roman" w:hAnsi="Times New Roman" w:cs="Times New Roman"/>
          <w:sz w:val="24"/>
          <w:szCs w:val="24"/>
        </w:rPr>
        <w:t>a relevant entity</w:t>
      </w:r>
      <w:r w:rsidRPr="002109C3">
        <w:rPr>
          <w:rFonts w:ascii="Times New Roman" w:hAnsi="Times New Roman" w:cs="Times New Roman"/>
          <w:sz w:val="24"/>
          <w:szCs w:val="24"/>
        </w:rPr>
        <w:t xml:space="preserve"> if it is satisfied that this will achieve a better reporting or prudential outcome than if it remained in its original form. </w:t>
      </w:r>
      <w:r>
        <w:rPr>
          <w:rFonts w:ascii="Times New Roman" w:hAnsi="Times New Roman" w:cs="Times New Roman"/>
          <w:sz w:val="24"/>
          <w:szCs w:val="24"/>
        </w:rPr>
        <w:t>For example, a</w:t>
      </w:r>
      <w:r w:rsidR="005A0E7A" w:rsidRPr="005A0E7A">
        <w:rPr>
          <w:rFonts w:ascii="Times New Roman" w:hAnsi="Times New Roman" w:cs="Times New Roman"/>
          <w:sz w:val="24"/>
          <w:szCs w:val="24"/>
        </w:rPr>
        <w:t xml:space="preserve"> </w:t>
      </w:r>
      <w:r w:rsidR="005A0E7A">
        <w:rPr>
          <w:rFonts w:ascii="Times New Roman" w:hAnsi="Times New Roman" w:cs="Times New Roman"/>
          <w:sz w:val="24"/>
          <w:szCs w:val="24"/>
        </w:rPr>
        <w:t>change to a reporting period or due date</w:t>
      </w:r>
      <w:r w:rsidR="005A0E7A" w:rsidRPr="005A0E7A">
        <w:rPr>
          <w:rFonts w:ascii="Times New Roman" w:hAnsi="Times New Roman" w:cs="Times New Roman"/>
          <w:sz w:val="24"/>
          <w:szCs w:val="24"/>
        </w:rPr>
        <w:t xml:space="preserve"> might be determined on APRA’s initiative </w:t>
      </w:r>
      <w:proofErr w:type="gramStart"/>
      <w:r w:rsidR="005A0E7A" w:rsidRPr="005A0E7A">
        <w:rPr>
          <w:rFonts w:ascii="Times New Roman" w:hAnsi="Times New Roman" w:cs="Times New Roman"/>
          <w:sz w:val="24"/>
          <w:szCs w:val="24"/>
        </w:rPr>
        <w:t>taking into account</w:t>
      </w:r>
      <w:proofErr w:type="gramEnd"/>
      <w:r w:rsidR="005A0E7A" w:rsidRPr="005A0E7A">
        <w:rPr>
          <w:rFonts w:ascii="Times New Roman" w:hAnsi="Times New Roman" w:cs="Times New Roman"/>
          <w:sz w:val="24"/>
          <w:szCs w:val="24"/>
        </w:rPr>
        <w:t xml:space="preserve"> APRA’s assessment of</w:t>
      </w:r>
      <w:r w:rsidR="005A0E7A">
        <w:rPr>
          <w:rFonts w:ascii="Times New Roman" w:hAnsi="Times New Roman" w:cs="Times New Roman"/>
          <w:sz w:val="24"/>
          <w:szCs w:val="24"/>
        </w:rPr>
        <w:t xml:space="preserve"> whether existing data will be sufficient for APRA’s prudential supervision purposes</w:t>
      </w:r>
      <w:r w:rsidR="007F3064">
        <w:rPr>
          <w:rFonts w:ascii="Times New Roman" w:hAnsi="Times New Roman" w:cs="Times New Roman"/>
          <w:sz w:val="24"/>
          <w:szCs w:val="24"/>
        </w:rPr>
        <w:t>, or whether APRA will have the required data to assess an entity’s capital adequacy by a particular date</w:t>
      </w:r>
      <w:r w:rsidR="005A0E7A" w:rsidRPr="005A0E7A">
        <w:rPr>
          <w:rFonts w:ascii="Times New Roman" w:hAnsi="Times New Roman" w:cs="Times New Roman"/>
          <w:sz w:val="24"/>
          <w:szCs w:val="24"/>
        </w:rPr>
        <w:t xml:space="preserve">. Alternatively, </w:t>
      </w:r>
      <w:r w:rsidR="007F3064">
        <w:rPr>
          <w:rFonts w:ascii="Times New Roman" w:hAnsi="Times New Roman" w:cs="Times New Roman"/>
          <w:sz w:val="24"/>
          <w:szCs w:val="24"/>
        </w:rPr>
        <w:t>a change to a reporting period or due date</w:t>
      </w:r>
      <w:r w:rsidR="005A0E7A" w:rsidRPr="005A0E7A">
        <w:rPr>
          <w:rFonts w:ascii="Times New Roman" w:hAnsi="Times New Roman" w:cs="Times New Roman"/>
          <w:sz w:val="24"/>
          <w:szCs w:val="24"/>
        </w:rPr>
        <w:t xml:space="preserve"> might be considered by APRA at the request of a</w:t>
      </w:r>
      <w:r w:rsidR="007F3064">
        <w:rPr>
          <w:rFonts w:ascii="Times New Roman" w:hAnsi="Times New Roman" w:cs="Times New Roman"/>
          <w:sz w:val="24"/>
          <w:szCs w:val="24"/>
        </w:rPr>
        <w:t xml:space="preserve">n </w:t>
      </w:r>
      <w:r w:rsidR="003C54A2">
        <w:rPr>
          <w:rFonts w:ascii="Times New Roman" w:hAnsi="Times New Roman" w:cs="Times New Roman"/>
          <w:sz w:val="24"/>
          <w:szCs w:val="24"/>
        </w:rPr>
        <w:t>entity</w:t>
      </w:r>
      <w:r w:rsidR="005A0E7A" w:rsidRPr="005A0E7A">
        <w:rPr>
          <w:rFonts w:ascii="Times New Roman" w:hAnsi="Times New Roman" w:cs="Times New Roman"/>
          <w:sz w:val="24"/>
          <w:szCs w:val="24"/>
        </w:rPr>
        <w:t xml:space="preserve">, where the </w:t>
      </w:r>
      <w:r w:rsidR="003C54A2">
        <w:rPr>
          <w:rFonts w:ascii="Times New Roman" w:hAnsi="Times New Roman" w:cs="Times New Roman"/>
          <w:sz w:val="24"/>
          <w:szCs w:val="24"/>
        </w:rPr>
        <w:t>entity</w:t>
      </w:r>
      <w:r w:rsidR="003C54A2" w:rsidRPr="005A0E7A">
        <w:rPr>
          <w:rFonts w:ascii="Times New Roman" w:hAnsi="Times New Roman" w:cs="Times New Roman"/>
          <w:sz w:val="24"/>
          <w:szCs w:val="24"/>
        </w:rPr>
        <w:t xml:space="preserve"> </w:t>
      </w:r>
      <w:r w:rsidR="005A0E7A" w:rsidRPr="005A0E7A">
        <w:rPr>
          <w:rFonts w:ascii="Times New Roman" w:hAnsi="Times New Roman" w:cs="Times New Roman"/>
          <w:sz w:val="24"/>
          <w:szCs w:val="24"/>
        </w:rPr>
        <w:t xml:space="preserve">is able to </w:t>
      </w:r>
      <w:r w:rsidR="007F3064">
        <w:rPr>
          <w:rFonts w:ascii="Times New Roman" w:hAnsi="Times New Roman" w:cs="Times New Roman"/>
          <w:sz w:val="24"/>
          <w:szCs w:val="24"/>
        </w:rPr>
        <w:t>demonstrate that it would not be appropriate or feasible to provide data for a particular reporting period or by a particular date</w:t>
      </w:r>
      <w:r w:rsidR="005A0E7A" w:rsidRPr="005A0E7A">
        <w:rPr>
          <w:rFonts w:ascii="Times New Roman" w:hAnsi="Times New Roman" w:cs="Times New Roman"/>
          <w:sz w:val="24"/>
          <w:szCs w:val="24"/>
        </w:rPr>
        <w:t xml:space="preserve">. </w:t>
      </w:r>
    </w:p>
    <w:p w14:paraId="43E26CEE" w14:textId="65CBF411" w:rsidR="007F3064" w:rsidRPr="007F3064" w:rsidRDefault="00323693" w:rsidP="007F3064">
      <w:pPr>
        <w:rPr>
          <w:rFonts w:ascii="Times New Roman" w:hAnsi="Times New Roman" w:cs="Times New Roman"/>
          <w:sz w:val="24"/>
          <w:szCs w:val="24"/>
        </w:rPr>
      </w:pPr>
      <w:r w:rsidRPr="00153E56">
        <w:rPr>
          <w:rFonts w:ascii="Times New Roman" w:hAnsi="Times New Roman" w:cs="Times New Roman"/>
          <w:sz w:val="24"/>
          <w:szCs w:val="24"/>
        </w:rPr>
        <w:t xml:space="preserve">APRA considers a wide range of factors when exercising its discretion under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 including </w:t>
      </w:r>
      <w:r w:rsidR="007F3064">
        <w:rPr>
          <w:rFonts w:ascii="Times New Roman" w:hAnsi="Times New Roman" w:cs="Times New Roman"/>
          <w:sz w:val="24"/>
          <w:szCs w:val="24"/>
        </w:rPr>
        <w:t>limiting</w:t>
      </w:r>
      <w:r w:rsidR="007F3064" w:rsidRPr="007F3064">
        <w:rPr>
          <w:rFonts w:ascii="Times New Roman" w:hAnsi="Times New Roman" w:cs="Times New Roman"/>
          <w:sz w:val="24"/>
          <w:szCs w:val="24"/>
        </w:rPr>
        <w:t xml:space="preserve"> regulatory burden</w:t>
      </w:r>
      <w:r w:rsidR="009011B2">
        <w:rPr>
          <w:rFonts w:ascii="Times New Roman" w:hAnsi="Times New Roman" w:cs="Times New Roman"/>
          <w:sz w:val="24"/>
          <w:szCs w:val="24"/>
        </w:rPr>
        <w:t>, or correcting errors or inconsistencies in the reporting standards</w:t>
      </w:r>
      <w:r w:rsidR="007F3064" w:rsidRPr="007F3064">
        <w:rPr>
          <w:rFonts w:ascii="Times New Roman" w:hAnsi="Times New Roman" w:cs="Times New Roman"/>
          <w:sz w:val="24"/>
          <w:szCs w:val="24"/>
        </w:rPr>
        <w:t>.</w:t>
      </w:r>
    </w:p>
    <w:p w14:paraId="59140615" w14:textId="444C0949" w:rsidR="007F3064" w:rsidRDefault="00323693" w:rsidP="001D0E77">
      <w:pPr>
        <w:rPr>
          <w:rFonts w:ascii="Times New Roman" w:hAnsi="Times New Roman" w:cs="Times New Roman"/>
          <w:sz w:val="24"/>
          <w:szCs w:val="24"/>
        </w:rPr>
      </w:pPr>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APRA officers with the appropriate experience and skill to exercise prudent judgement. The framework also requires decision makers to seek advice from internal technical experts</w:t>
      </w:r>
      <w:r w:rsidR="007F3064" w:rsidRPr="007F3064">
        <w:rPr>
          <w:rFonts w:ascii="Times New Roman" w:hAnsi="Times New Roman" w:cs="Times New Roman"/>
          <w:sz w:val="24"/>
          <w:szCs w:val="24"/>
        </w:rPr>
        <w:t>. </w:t>
      </w:r>
      <w:r w:rsidR="009E1669" w:rsidDel="009E1669">
        <w:rPr>
          <w:rFonts w:ascii="Times New Roman" w:hAnsi="Times New Roman" w:cs="Times New Roman"/>
          <w:sz w:val="24"/>
          <w:szCs w:val="24"/>
        </w:rPr>
        <w:t xml:space="preserve"> </w:t>
      </w:r>
    </w:p>
    <w:p w14:paraId="6628E71E" w14:textId="2F8BDC96" w:rsidR="00234176" w:rsidRDefault="00234176" w:rsidP="005A0E7A">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E2021">
        <w:rPr>
          <w:rFonts w:ascii="Times New Roman" w:hAnsi="Times New Roman" w:cs="Times New Roman"/>
          <w:sz w:val="24"/>
          <w:szCs w:val="24"/>
        </w:rPr>
        <w:t xml:space="preserve">reporting form and associated instructions in the </w:t>
      </w:r>
      <w:r>
        <w:rPr>
          <w:rFonts w:ascii="Times New Roman" w:hAnsi="Times New Roman" w:cs="Times New Roman"/>
          <w:sz w:val="24"/>
          <w:szCs w:val="24"/>
        </w:rPr>
        <w:t xml:space="preserve">reporting standard refer to discretions exercised by APRA under the </w:t>
      </w:r>
      <w:r w:rsidRPr="001D0E77">
        <w:rPr>
          <w:rFonts w:ascii="Times New Roman" w:hAnsi="Times New Roman" w:cs="Times New Roman"/>
          <w:i/>
          <w:sz w:val="24"/>
          <w:szCs w:val="24"/>
        </w:rPr>
        <w:t>Banking Act 1959</w:t>
      </w:r>
      <w:r>
        <w:rPr>
          <w:rFonts w:ascii="Times New Roman" w:hAnsi="Times New Roman" w:cs="Times New Roman"/>
          <w:sz w:val="24"/>
          <w:szCs w:val="24"/>
        </w:rPr>
        <w:t xml:space="preserve"> or a prudential standard made under that Act</w:t>
      </w:r>
      <w:r w:rsidR="001E2021">
        <w:rPr>
          <w:rFonts w:ascii="Times New Roman" w:hAnsi="Times New Roman" w:cs="Times New Roman"/>
          <w:sz w:val="24"/>
          <w:szCs w:val="24"/>
        </w:rPr>
        <w:t xml:space="preserve">, such as </w:t>
      </w:r>
      <w:r>
        <w:rPr>
          <w:rFonts w:ascii="Times New Roman" w:hAnsi="Times New Roman" w:cs="Times New Roman"/>
          <w:sz w:val="24"/>
          <w:szCs w:val="24"/>
        </w:rPr>
        <w:t>adjustments, limits and charges</w:t>
      </w:r>
      <w:r w:rsidR="001E2021">
        <w:rPr>
          <w:rFonts w:ascii="Times New Roman" w:hAnsi="Times New Roman" w:cs="Times New Roman"/>
          <w:sz w:val="24"/>
          <w:szCs w:val="24"/>
        </w:rPr>
        <w:t xml:space="preserve">. ADIs are required to report information relating to these items. These discretions are not contained in the reporting standard. </w:t>
      </w:r>
    </w:p>
    <w:p w14:paraId="7A29C1F7" w14:textId="77777777" w:rsidR="00E23A27" w:rsidRPr="00D274ED" w:rsidRDefault="00E23A27" w:rsidP="00E23A27">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1B7D1F5E" w14:textId="39BEBA1C" w:rsidR="00D274ED" w:rsidRPr="006C1876" w:rsidDel="001148D0" w:rsidRDefault="00130176" w:rsidP="00D274ED">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considers </w:t>
      </w:r>
      <w:r w:rsidR="008662DF">
        <w:rPr>
          <w:rFonts w:ascii="Times New Roman" w:hAnsi="Times New Roman" w:cs="Times New Roman"/>
          <w:sz w:val="24"/>
          <w:szCs w:val="24"/>
        </w:rPr>
        <w:t>that d</w:t>
      </w:r>
      <w:r w:rsidR="00C1424C" w:rsidRPr="00B85DCE">
        <w:rPr>
          <w:rFonts w:ascii="Times New Roman" w:hAnsi="Times New Roman" w:cs="Times New Roman"/>
          <w:sz w:val="24"/>
          <w:szCs w:val="24"/>
        </w:rPr>
        <w:t>ecisions made</w:t>
      </w:r>
      <w:r w:rsidR="00C1424C" w:rsidRPr="009D77B5">
        <w:rPr>
          <w:rFonts w:ascii="Times New Roman" w:hAnsi="Times New Roman" w:cs="Times New Roman"/>
          <w:sz w:val="24"/>
          <w:szCs w:val="24"/>
        </w:rPr>
        <w:t xml:space="preserve"> by APRA </w:t>
      </w:r>
      <w:r w:rsidR="008662DF">
        <w:rPr>
          <w:rFonts w:ascii="Times New Roman" w:hAnsi="Times New Roman" w:cs="Times New Roman"/>
          <w:sz w:val="24"/>
          <w:szCs w:val="24"/>
        </w:rPr>
        <w:t xml:space="preserve">in </w:t>
      </w:r>
      <w:r w:rsidR="00C1424C" w:rsidRPr="009D77B5">
        <w:rPr>
          <w:rFonts w:ascii="Times New Roman" w:hAnsi="Times New Roman" w:cs="Times New Roman"/>
          <w:sz w:val="24"/>
          <w:szCs w:val="24"/>
        </w:rPr>
        <w:t xml:space="preserve">exercising </w:t>
      </w:r>
      <w:r w:rsidR="00B26344">
        <w:rPr>
          <w:rFonts w:ascii="Times New Roman" w:hAnsi="Times New Roman" w:cs="Times New Roman"/>
          <w:sz w:val="24"/>
          <w:szCs w:val="24"/>
        </w:rPr>
        <w:t>the</w:t>
      </w:r>
      <w:r w:rsidR="00C1424C">
        <w:rPr>
          <w:rFonts w:ascii="Times New Roman" w:hAnsi="Times New Roman" w:cs="Times New Roman"/>
          <w:sz w:val="24"/>
          <w:szCs w:val="24"/>
        </w:rPr>
        <w:t xml:space="preserve"> </w:t>
      </w:r>
      <w:r w:rsidR="00C1424C" w:rsidRPr="009D77B5">
        <w:rPr>
          <w:rFonts w:ascii="Times New Roman" w:hAnsi="Times New Roman" w:cs="Times New Roman"/>
          <w:sz w:val="24"/>
          <w:szCs w:val="24"/>
        </w:rPr>
        <w:t xml:space="preserve">powers </w:t>
      </w:r>
      <w:r w:rsidR="00C1424C">
        <w:rPr>
          <w:rFonts w:ascii="Times New Roman" w:hAnsi="Times New Roman" w:cs="Times New Roman"/>
          <w:sz w:val="24"/>
          <w:szCs w:val="24"/>
        </w:rPr>
        <w:t xml:space="preserve">in </w:t>
      </w:r>
      <w:r w:rsidR="00530D54">
        <w:rPr>
          <w:rFonts w:ascii="Times New Roman" w:hAnsi="Times New Roman" w:cs="Times New Roman"/>
          <w:sz w:val="24"/>
          <w:szCs w:val="24"/>
        </w:rPr>
        <w:t>r</w:t>
      </w:r>
      <w:r w:rsidR="00C1424C">
        <w:rPr>
          <w:rFonts w:ascii="Times New Roman" w:hAnsi="Times New Roman" w:cs="Times New Roman"/>
          <w:sz w:val="24"/>
          <w:szCs w:val="24"/>
        </w:rPr>
        <w:t xml:space="preserve">eporting </w:t>
      </w:r>
      <w:r w:rsidR="00530D54">
        <w:rPr>
          <w:rFonts w:ascii="Times New Roman" w:hAnsi="Times New Roman" w:cs="Times New Roman"/>
          <w:sz w:val="24"/>
          <w:szCs w:val="24"/>
        </w:rPr>
        <w:t>s</w:t>
      </w:r>
      <w:r w:rsidR="00C1424C">
        <w:rPr>
          <w:rFonts w:ascii="Times New Roman" w:hAnsi="Times New Roman" w:cs="Times New Roman"/>
          <w:sz w:val="24"/>
          <w:szCs w:val="24"/>
        </w:rPr>
        <w:t>tandard</w:t>
      </w:r>
      <w:r w:rsidR="00530D54">
        <w:rPr>
          <w:rFonts w:ascii="Times New Roman" w:hAnsi="Times New Roman" w:cs="Times New Roman"/>
          <w:sz w:val="24"/>
          <w:szCs w:val="24"/>
        </w:rPr>
        <w:t>s</w:t>
      </w:r>
      <w:r w:rsidR="00C1424C">
        <w:rPr>
          <w:rFonts w:ascii="Times New Roman" w:hAnsi="Times New Roman" w:cs="Times New Roman"/>
          <w:sz w:val="24"/>
          <w:szCs w:val="24"/>
        </w:rPr>
        <w:t xml:space="preserve"> </w:t>
      </w:r>
      <w:r w:rsidR="008662DF">
        <w:rPr>
          <w:rFonts w:ascii="Times New Roman" w:hAnsi="Times New Roman" w:cs="Times New Roman"/>
          <w:sz w:val="24"/>
          <w:szCs w:val="24"/>
        </w:rPr>
        <w:t xml:space="preserve">should </w:t>
      </w:r>
      <w:r w:rsidR="00C1424C" w:rsidRPr="009D77B5">
        <w:rPr>
          <w:rFonts w:ascii="Times New Roman" w:hAnsi="Times New Roman" w:cs="Times New Roman"/>
          <w:sz w:val="24"/>
          <w:szCs w:val="24"/>
        </w:rPr>
        <w:t xml:space="preserve">not </w:t>
      </w:r>
      <w:r w:rsidR="008662DF">
        <w:rPr>
          <w:rFonts w:ascii="Times New Roman" w:hAnsi="Times New Roman" w:cs="Times New Roman"/>
          <w:sz w:val="24"/>
          <w:szCs w:val="24"/>
        </w:rPr>
        <w:t xml:space="preserve">be </w:t>
      </w:r>
      <w:r w:rsidR="00C1424C" w:rsidRPr="009D77B5">
        <w:rPr>
          <w:rFonts w:ascii="Times New Roman" w:hAnsi="Times New Roman" w:cs="Times New Roman"/>
          <w:sz w:val="24"/>
          <w:szCs w:val="24"/>
        </w:rPr>
        <w:t>subject to merits review</w:t>
      </w:r>
      <w:r w:rsidR="00D274ED" w:rsidRPr="006C1876" w:rsidDel="001148D0">
        <w:rPr>
          <w:rFonts w:ascii="Times New Roman" w:hAnsi="Times New Roman" w:cs="Times New Roman"/>
          <w:sz w:val="24"/>
          <w:szCs w:val="24"/>
        </w:rPr>
        <w:t xml:space="preserve"> as they are financial decisions with a significant public interest element.</w:t>
      </w:r>
    </w:p>
    <w:p w14:paraId="2A29117F" w14:textId="1C472B1A" w:rsidR="00D274ED" w:rsidDel="001148D0" w:rsidRDefault="00D274ED" w:rsidP="00D274ED">
      <w:pPr>
        <w:numPr>
          <w:ilvl w:val="0"/>
          <w:numId w:val="0"/>
        </w:numPr>
        <w:rPr>
          <w:rFonts w:ascii="Times New Roman" w:hAnsi="Times New Roman" w:cs="Times New Roman"/>
          <w:sz w:val="24"/>
          <w:szCs w:val="24"/>
        </w:rPr>
      </w:pPr>
      <w:r w:rsidRPr="006C1876" w:rsidDel="001148D0">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APRA relies heavily on this financial data to inform its supervisory actions towards its regulated entities. Without timely </w:t>
      </w:r>
      <w:r w:rsidRPr="006C1876" w:rsidDel="001148D0">
        <w:rPr>
          <w:rFonts w:ascii="Times New Roman" w:hAnsi="Times New Roman" w:cs="Times New Roman"/>
          <w:sz w:val="24"/>
          <w:szCs w:val="24"/>
        </w:rPr>
        <w:lastRenderedPageBreak/>
        <w:t>and complete data, APRA may miss indicators that a</w:t>
      </w:r>
      <w:r w:rsidDel="001148D0">
        <w:rPr>
          <w:rFonts w:ascii="Times New Roman" w:hAnsi="Times New Roman" w:cs="Times New Roman"/>
          <w:sz w:val="24"/>
          <w:szCs w:val="24"/>
        </w:rPr>
        <w:t xml:space="preserve">n </w:t>
      </w:r>
      <w:r w:rsidR="00323693">
        <w:rPr>
          <w:rFonts w:ascii="Times New Roman" w:hAnsi="Times New Roman" w:cs="Times New Roman"/>
          <w:sz w:val="24"/>
          <w:szCs w:val="24"/>
        </w:rPr>
        <w:t xml:space="preserve">entity </w:t>
      </w:r>
      <w:r w:rsidRPr="006C1876" w:rsidDel="001148D0">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3BC541CD" w14:textId="422BC88E" w:rsidR="007B5325" w:rsidRDefault="00633401"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undertook public consultation on updates to </w:t>
      </w:r>
      <w:r w:rsidR="005A13C6">
        <w:rPr>
          <w:rFonts w:ascii="Times New Roman" w:hAnsi="Times New Roman" w:cs="Times New Roman"/>
          <w:sz w:val="24"/>
          <w:szCs w:val="24"/>
        </w:rPr>
        <w:t xml:space="preserve">the </w:t>
      </w:r>
      <w:r w:rsidR="002D3254">
        <w:rPr>
          <w:rFonts w:ascii="Times New Roman" w:hAnsi="Times New Roman" w:cs="Times New Roman"/>
          <w:sz w:val="24"/>
          <w:szCs w:val="24"/>
        </w:rPr>
        <w:t xml:space="preserve">market risk </w:t>
      </w:r>
      <w:r w:rsidR="005A13C6">
        <w:rPr>
          <w:rFonts w:ascii="Times New Roman" w:hAnsi="Times New Roman" w:cs="Times New Roman"/>
          <w:sz w:val="24"/>
          <w:szCs w:val="24"/>
        </w:rPr>
        <w:t>capital framework for ADIs</w:t>
      </w:r>
      <w:r w:rsidR="00D55A36">
        <w:rPr>
          <w:rFonts w:ascii="Times New Roman" w:hAnsi="Times New Roman" w:cs="Times New Roman"/>
          <w:sz w:val="24"/>
          <w:szCs w:val="24"/>
        </w:rPr>
        <w:t xml:space="preserve">, including a draft of this </w:t>
      </w:r>
      <w:r w:rsidR="009F19AA">
        <w:rPr>
          <w:rFonts w:ascii="Times New Roman" w:hAnsi="Times New Roman" w:cs="Times New Roman"/>
          <w:sz w:val="24"/>
          <w:szCs w:val="24"/>
        </w:rPr>
        <w:t>r</w:t>
      </w:r>
      <w:r w:rsidR="00D55A36">
        <w:rPr>
          <w:rFonts w:ascii="Times New Roman" w:hAnsi="Times New Roman" w:cs="Times New Roman"/>
          <w:sz w:val="24"/>
          <w:szCs w:val="24"/>
        </w:rPr>
        <w:t xml:space="preserve">eporting </w:t>
      </w:r>
      <w:r w:rsidR="009F19AA">
        <w:rPr>
          <w:rFonts w:ascii="Times New Roman" w:hAnsi="Times New Roman" w:cs="Times New Roman"/>
          <w:sz w:val="24"/>
          <w:szCs w:val="24"/>
        </w:rPr>
        <w:t>s</w:t>
      </w:r>
      <w:r w:rsidR="00D55A36">
        <w:rPr>
          <w:rFonts w:ascii="Times New Roman" w:hAnsi="Times New Roman" w:cs="Times New Roman"/>
          <w:sz w:val="24"/>
          <w:szCs w:val="24"/>
        </w:rPr>
        <w:t>tandard,</w:t>
      </w:r>
      <w:r w:rsidR="005A13C6">
        <w:rPr>
          <w:rFonts w:ascii="Times New Roman" w:hAnsi="Times New Roman" w:cs="Times New Roman"/>
          <w:sz w:val="24"/>
          <w:szCs w:val="24"/>
        </w:rPr>
        <w:t xml:space="preserve"> </w:t>
      </w:r>
      <w:r w:rsidR="00277F1F">
        <w:rPr>
          <w:rFonts w:ascii="Times New Roman" w:hAnsi="Times New Roman" w:cs="Times New Roman"/>
          <w:sz w:val="24"/>
          <w:szCs w:val="24"/>
        </w:rPr>
        <w:t xml:space="preserve">from December 2023 to </w:t>
      </w:r>
      <w:r w:rsidR="00B807E2">
        <w:rPr>
          <w:rFonts w:ascii="Times New Roman" w:hAnsi="Times New Roman" w:cs="Times New Roman"/>
          <w:sz w:val="24"/>
          <w:szCs w:val="24"/>
        </w:rPr>
        <w:t xml:space="preserve">July </w:t>
      </w:r>
      <w:r w:rsidR="00277F1F">
        <w:rPr>
          <w:rFonts w:ascii="Times New Roman" w:hAnsi="Times New Roman" w:cs="Times New Roman"/>
          <w:sz w:val="24"/>
          <w:szCs w:val="24"/>
        </w:rPr>
        <w:t>2024</w:t>
      </w:r>
      <w:r w:rsidR="00807092">
        <w:rPr>
          <w:rFonts w:ascii="Times New Roman" w:hAnsi="Times New Roman" w:cs="Times New Roman"/>
          <w:sz w:val="24"/>
          <w:szCs w:val="24"/>
        </w:rPr>
        <w:t>.</w:t>
      </w:r>
      <w:r w:rsidR="00EB6A5C">
        <w:rPr>
          <w:rFonts w:ascii="Times New Roman" w:hAnsi="Times New Roman" w:cs="Times New Roman"/>
          <w:sz w:val="24"/>
          <w:szCs w:val="24"/>
        </w:rPr>
        <w:t xml:space="preserve"> </w:t>
      </w:r>
      <w:r w:rsidR="007B5325">
        <w:rPr>
          <w:rFonts w:ascii="Times New Roman" w:hAnsi="Times New Roman" w:cs="Times New Roman"/>
          <w:sz w:val="24"/>
          <w:szCs w:val="24"/>
        </w:rPr>
        <w:t xml:space="preserve">The final round of consultation was completed on </w:t>
      </w:r>
      <w:r w:rsidR="008B281E">
        <w:rPr>
          <w:rFonts w:ascii="Times New Roman" w:hAnsi="Times New Roman" w:cs="Times New Roman"/>
          <w:sz w:val="24"/>
          <w:szCs w:val="24"/>
        </w:rPr>
        <w:t>8 July</w:t>
      </w:r>
      <w:r w:rsidR="00623B5E" w:rsidRPr="00BD7E5A">
        <w:rPr>
          <w:rFonts w:ascii="Times New Roman" w:hAnsi="Times New Roman" w:cs="Times New Roman"/>
          <w:sz w:val="24"/>
          <w:szCs w:val="24"/>
        </w:rPr>
        <w:t xml:space="preserve"> 2024</w:t>
      </w:r>
      <w:r w:rsidR="007B5325">
        <w:rPr>
          <w:rFonts w:ascii="Times New Roman" w:hAnsi="Times New Roman" w:cs="Times New Roman"/>
          <w:sz w:val="24"/>
          <w:szCs w:val="24"/>
        </w:rPr>
        <w:t>, when APRA released f</w:t>
      </w:r>
      <w:r w:rsidR="007B5325" w:rsidRPr="004A1269">
        <w:rPr>
          <w:rFonts w:ascii="Times New Roman" w:hAnsi="Times New Roman" w:cs="Times New Roman"/>
          <w:sz w:val="24"/>
          <w:szCs w:val="24"/>
        </w:rPr>
        <w:t xml:space="preserve">inalised changes to the </w:t>
      </w:r>
      <w:r w:rsidR="003A25CD">
        <w:rPr>
          <w:rFonts w:ascii="Times New Roman" w:hAnsi="Times New Roman" w:cs="Times New Roman"/>
          <w:sz w:val="24"/>
          <w:szCs w:val="24"/>
        </w:rPr>
        <w:t xml:space="preserve">prudential and </w:t>
      </w:r>
      <w:r w:rsidR="007B5325" w:rsidRPr="004A1269">
        <w:rPr>
          <w:rFonts w:ascii="Times New Roman" w:hAnsi="Times New Roman" w:cs="Times New Roman"/>
          <w:sz w:val="24"/>
          <w:szCs w:val="24"/>
        </w:rPr>
        <w:t xml:space="preserve">reporting framework for </w:t>
      </w:r>
      <w:r w:rsidR="003A25CD">
        <w:rPr>
          <w:rFonts w:ascii="Times New Roman" w:hAnsi="Times New Roman" w:cs="Times New Roman"/>
          <w:sz w:val="24"/>
          <w:szCs w:val="24"/>
        </w:rPr>
        <w:t>ADIs</w:t>
      </w:r>
      <w:r w:rsidR="007B5325">
        <w:rPr>
          <w:rFonts w:ascii="Times New Roman" w:hAnsi="Times New Roman" w:cs="Times New Roman"/>
          <w:sz w:val="24"/>
          <w:szCs w:val="24"/>
        </w:rPr>
        <w:t>, including finalised reporting standards</w:t>
      </w:r>
      <w:r w:rsidR="007B5325">
        <w:rPr>
          <w:rStyle w:val="FootnoteReference"/>
          <w:rFonts w:ascii="Times New Roman" w:hAnsi="Times New Roman" w:cs="Times New Roman"/>
          <w:szCs w:val="24"/>
        </w:rPr>
        <w:footnoteReference w:id="3"/>
      </w:r>
      <w:r w:rsidR="007B5325">
        <w:rPr>
          <w:rFonts w:ascii="Times New Roman" w:hAnsi="Times New Roman" w:cs="Times New Roman"/>
          <w:sz w:val="24"/>
          <w:szCs w:val="24"/>
        </w:rPr>
        <w:t>.</w:t>
      </w:r>
    </w:p>
    <w:p w14:paraId="197A2978" w14:textId="2A0296F1" w:rsidR="007B5325" w:rsidRPr="00BA40B6" w:rsidRDefault="007B5325"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sidR="00AB1D44">
        <w:rPr>
          <w:rFonts w:ascii="Times New Roman" w:hAnsi="Times New Roman"/>
          <w:sz w:val="24"/>
          <w:szCs w:val="24"/>
        </w:rPr>
        <w:t>ADIs</w:t>
      </w:r>
      <w:r w:rsidR="00152E9D">
        <w:rPr>
          <w:rFonts w:ascii="Times New Roman" w:hAnsi="Times New Roman"/>
          <w:sz w:val="24"/>
          <w:szCs w:val="24"/>
        </w:rPr>
        <w:t>, regulatory technology providers</w:t>
      </w:r>
      <w:r w:rsidR="00FA6527">
        <w:rPr>
          <w:rFonts w:ascii="Times New Roman" w:hAnsi="Times New Roman"/>
          <w:sz w:val="24"/>
          <w:szCs w:val="24"/>
        </w:rPr>
        <w:t xml:space="preserve"> and </w:t>
      </w:r>
      <w:r>
        <w:rPr>
          <w:rFonts w:ascii="Times New Roman" w:hAnsi="Times New Roman"/>
          <w:sz w:val="24"/>
          <w:szCs w:val="24"/>
        </w:rPr>
        <w:t xml:space="preserve">industry bodies. APRA incorporated feedback received into the final versions of the reporting standards, including </w:t>
      </w:r>
      <w:r w:rsidR="00C56035">
        <w:rPr>
          <w:rFonts w:ascii="Times New Roman" w:hAnsi="Times New Roman"/>
          <w:sz w:val="24"/>
          <w:szCs w:val="24"/>
        </w:rPr>
        <w:t xml:space="preserve">providing </w:t>
      </w:r>
      <w:r w:rsidR="00C56035" w:rsidRPr="00BA40B6">
        <w:rPr>
          <w:rFonts w:ascii="Times New Roman" w:hAnsi="Times New Roman"/>
          <w:sz w:val="24"/>
          <w:szCs w:val="24"/>
        </w:rPr>
        <w:t>additional guidance for reporting and simplifying reporting classifications</w:t>
      </w:r>
      <w:r w:rsidRPr="00BA40B6">
        <w:rPr>
          <w:rFonts w:ascii="Times New Roman" w:hAnsi="Times New Roman"/>
          <w:sz w:val="24"/>
          <w:szCs w:val="24"/>
        </w:rPr>
        <w:t xml:space="preserve"> in response to industry feedback.</w:t>
      </w:r>
    </w:p>
    <w:p w14:paraId="7E95ABD1" w14:textId="77777777" w:rsidR="007B5325" w:rsidRPr="00BA40B6" w:rsidRDefault="007B5325" w:rsidP="007B5325">
      <w:pPr>
        <w:numPr>
          <w:ilvl w:val="0"/>
          <w:numId w:val="0"/>
        </w:numPr>
        <w:rPr>
          <w:rFonts w:ascii="Times New Roman" w:hAnsi="Times New Roman" w:cs="Times New Roman"/>
          <w:sz w:val="24"/>
          <w:szCs w:val="24"/>
        </w:rPr>
      </w:pPr>
      <w:r w:rsidRPr="00BA40B6">
        <w:rPr>
          <w:rFonts w:ascii="Times New Roman" w:hAnsi="Times New Roman" w:cs="Times New Roman"/>
          <w:sz w:val="24"/>
          <w:szCs w:val="24"/>
        </w:rPr>
        <w:t>APRA is satisfied the consultation was appropriate and reasonably practicable.</w:t>
      </w:r>
    </w:p>
    <w:p w14:paraId="1D2864CC" w14:textId="05A2D7DE" w:rsidR="00211AFD" w:rsidRPr="00BA40B6" w:rsidRDefault="00B670E9" w:rsidP="00211AFD">
      <w:pPr>
        <w:numPr>
          <w:ilvl w:val="0"/>
          <w:numId w:val="0"/>
        </w:numPr>
        <w:rPr>
          <w:rFonts w:ascii="Times New Roman" w:hAnsi="Times New Roman" w:cs="Times New Roman"/>
          <w:b/>
          <w:sz w:val="24"/>
          <w:szCs w:val="24"/>
        </w:rPr>
      </w:pPr>
      <w:r w:rsidRPr="00BA40B6">
        <w:rPr>
          <w:rFonts w:ascii="Times New Roman" w:hAnsi="Times New Roman" w:cs="Times New Roman"/>
          <w:b/>
          <w:sz w:val="24"/>
          <w:szCs w:val="24"/>
        </w:rPr>
        <w:t>4.</w:t>
      </w:r>
      <w:r w:rsidRPr="00BA40B6">
        <w:rPr>
          <w:rFonts w:ascii="Times New Roman" w:hAnsi="Times New Roman" w:cs="Times New Roman"/>
          <w:b/>
          <w:sz w:val="24"/>
          <w:szCs w:val="24"/>
        </w:rPr>
        <w:tab/>
      </w:r>
      <w:r w:rsidR="00211AFD" w:rsidRPr="00BA40B6">
        <w:rPr>
          <w:rFonts w:ascii="Times New Roman" w:hAnsi="Times New Roman" w:cs="Times New Roman"/>
          <w:b/>
          <w:sz w:val="24"/>
          <w:szCs w:val="24"/>
        </w:rPr>
        <w:t>Regulation Impact Statement</w:t>
      </w:r>
    </w:p>
    <w:p w14:paraId="71FFFEDD" w14:textId="7F40C560" w:rsidR="00A54193" w:rsidRPr="00BA40B6" w:rsidRDefault="006B76C6" w:rsidP="00A54193">
      <w:pPr>
        <w:rPr>
          <w:rFonts w:ascii="Times New Roman" w:hAnsi="Times New Roman"/>
          <w:sz w:val="24"/>
          <w:szCs w:val="24"/>
        </w:rPr>
      </w:pPr>
      <w:r w:rsidRPr="00BA40B6">
        <w:rPr>
          <w:rFonts w:ascii="Times New Roman" w:hAnsi="Times New Roman"/>
          <w:sz w:val="24"/>
          <w:szCs w:val="24"/>
        </w:rPr>
        <w:t>T</w:t>
      </w:r>
      <w:r w:rsidR="00A54193" w:rsidRPr="00BA40B6">
        <w:rPr>
          <w:rFonts w:ascii="Times New Roman" w:hAnsi="Times New Roman"/>
          <w:sz w:val="24"/>
          <w:szCs w:val="24"/>
        </w:rPr>
        <w:t>he Office of Impact Analys</w:t>
      </w:r>
      <w:r w:rsidRPr="00BA40B6">
        <w:rPr>
          <w:rFonts w:ascii="Times New Roman" w:hAnsi="Times New Roman"/>
          <w:sz w:val="24"/>
          <w:szCs w:val="24"/>
        </w:rPr>
        <w:t>is confirmed that a Regulation Impact Statement was not required</w:t>
      </w:r>
      <w:r w:rsidR="00A54193" w:rsidRPr="00BA40B6">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A40B6">
        <w:rPr>
          <w:rFonts w:cs="Times New Roman"/>
          <w:sz w:val="24"/>
          <w:szCs w:val="24"/>
        </w:rPr>
        <w:t>5.</w:t>
      </w:r>
      <w:r w:rsidRPr="00BA40B6">
        <w:rPr>
          <w:rFonts w:cs="Times New Roman"/>
          <w:sz w:val="24"/>
          <w:szCs w:val="24"/>
        </w:rPr>
        <w:tab/>
        <w:t xml:space="preserve">Statement of compatibility prepared in accordance with Part 3 of the </w:t>
      </w:r>
      <w:r w:rsidRPr="00BA40B6">
        <w:rPr>
          <w:rFonts w:cs="Times New Roman"/>
          <w:i/>
          <w:sz w:val="24"/>
          <w:szCs w:val="24"/>
        </w:rPr>
        <w:t>Human Rights</w:t>
      </w:r>
      <w:r w:rsidRPr="00DE1106">
        <w:rPr>
          <w:rFonts w:cs="Times New Roman"/>
          <w:i/>
          <w:sz w:val="24"/>
          <w:szCs w:val="24"/>
        </w:rPr>
        <w:t xml:space="preserve">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3D04CFAB"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Financial Sector (Collection of Data) (</w:t>
      </w:r>
      <w:r w:rsidRPr="00C312D1">
        <w:rPr>
          <w:rFonts w:ascii="Times New Roman" w:eastAsia="Times New Roman" w:hAnsi="Times New Roman" w:cs="Times New Roman"/>
          <w:b/>
          <w:sz w:val="24"/>
          <w:szCs w:val="24"/>
          <w:lang w:eastAsia="en-AU"/>
        </w:rPr>
        <w:t xml:space="preserve">reporting standard) determination No. </w:t>
      </w:r>
      <w:r w:rsidR="006C0A14" w:rsidRPr="00C312D1">
        <w:rPr>
          <w:rFonts w:ascii="Times New Roman" w:eastAsia="Times New Roman" w:hAnsi="Times New Roman" w:cs="Times New Roman"/>
          <w:b/>
          <w:sz w:val="24"/>
          <w:szCs w:val="24"/>
          <w:lang w:eastAsia="en-AU"/>
        </w:rPr>
        <w:t>15</w:t>
      </w:r>
      <w:r w:rsidR="000C5F0E" w:rsidRPr="00C312D1">
        <w:rPr>
          <w:rFonts w:ascii="Times New Roman" w:eastAsia="Times New Roman" w:hAnsi="Times New Roman" w:cs="Times New Roman"/>
          <w:b/>
          <w:sz w:val="24"/>
          <w:szCs w:val="24"/>
          <w:lang w:eastAsia="en-AU"/>
        </w:rPr>
        <w:t xml:space="preserve"> </w:t>
      </w:r>
      <w:r w:rsidRPr="00C312D1">
        <w:rPr>
          <w:rFonts w:ascii="Times New Roman" w:eastAsia="Times New Roman" w:hAnsi="Times New Roman" w:cs="Times New Roman"/>
          <w:b/>
          <w:sz w:val="24"/>
          <w:szCs w:val="24"/>
          <w:lang w:eastAsia="en-AU"/>
        </w:rPr>
        <w:t>of 202</w:t>
      </w:r>
      <w:r w:rsidR="000E0365" w:rsidRPr="00C312D1">
        <w:rPr>
          <w:rFonts w:ascii="Times New Roman" w:eastAsia="Times New Roman" w:hAnsi="Times New Roman" w:cs="Times New Roman"/>
          <w:b/>
          <w:sz w:val="24"/>
          <w:szCs w:val="24"/>
          <w:lang w:eastAsia="en-AU"/>
        </w:rPr>
        <w:t>5</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2AAFC28F" w14:textId="5732698C" w:rsidR="000C6B35"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30457E" w:rsidRPr="00DF2C01">
        <w:rPr>
          <w:rFonts w:ascii="Times New Roman" w:hAnsi="Times New Roman"/>
          <w:sz w:val="24"/>
          <w:szCs w:val="24"/>
        </w:rPr>
        <w:t xml:space="preserve">revoke </w:t>
      </w:r>
      <w:r w:rsidR="000C5F0E">
        <w:rPr>
          <w:rFonts w:ascii="Times New Roman" w:hAnsi="Times New Roman"/>
          <w:i/>
          <w:sz w:val="24"/>
          <w:szCs w:val="24"/>
        </w:rPr>
        <w:t>Reporting Standard ARS 11</w:t>
      </w:r>
      <w:r w:rsidR="007D68BF">
        <w:rPr>
          <w:rFonts w:ascii="Times New Roman" w:hAnsi="Times New Roman"/>
          <w:i/>
          <w:sz w:val="24"/>
          <w:szCs w:val="24"/>
        </w:rPr>
        <w:t>7</w:t>
      </w:r>
      <w:r w:rsidR="000C5F0E">
        <w:rPr>
          <w:rFonts w:ascii="Times New Roman" w:hAnsi="Times New Roman"/>
          <w:i/>
          <w:sz w:val="24"/>
          <w:szCs w:val="24"/>
        </w:rPr>
        <w:t xml:space="preserve">.0 </w:t>
      </w:r>
      <w:r w:rsidR="007D68BF">
        <w:rPr>
          <w:rFonts w:ascii="Times New Roman" w:hAnsi="Times New Roman"/>
          <w:i/>
          <w:sz w:val="24"/>
          <w:szCs w:val="24"/>
        </w:rPr>
        <w:t>Repricing Analysis</w:t>
      </w:r>
      <w:r w:rsidR="000C5F0E">
        <w:rPr>
          <w:rFonts w:ascii="Times New Roman" w:hAnsi="Times New Roman"/>
          <w:i/>
          <w:sz w:val="24"/>
          <w:szCs w:val="24"/>
        </w:rPr>
        <w:t xml:space="preserve"> </w:t>
      </w:r>
      <w:r w:rsidR="006926FD">
        <w:rPr>
          <w:rFonts w:ascii="Times New Roman" w:hAnsi="Times New Roman"/>
          <w:sz w:val="24"/>
          <w:szCs w:val="24"/>
        </w:rPr>
        <w:t>(ARS 11</w:t>
      </w:r>
      <w:r w:rsidR="007D68BF">
        <w:rPr>
          <w:rFonts w:ascii="Times New Roman" w:hAnsi="Times New Roman"/>
          <w:sz w:val="24"/>
          <w:szCs w:val="24"/>
        </w:rPr>
        <w:t>7</w:t>
      </w:r>
      <w:r w:rsidR="006926FD">
        <w:rPr>
          <w:rFonts w:ascii="Times New Roman" w:hAnsi="Times New Roman"/>
          <w:sz w:val="24"/>
          <w:szCs w:val="24"/>
        </w:rPr>
        <w:t xml:space="preserve">.0) </w:t>
      </w:r>
      <w:r w:rsidR="0030457E" w:rsidRPr="00DF2C01">
        <w:rPr>
          <w:rFonts w:ascii="Times New Roman" w:hAnsi="Times New Roman"/>
          <w:sz w:val="24"/>
          <w:szCs w:val="24"/>
        </w:rPr>
        <w:t xml:space="preserve">made under Financial Sector (Collection of Data) (reporting standard) determination </w:t>
      </w:r>
      <w:r w:rsidR="005B10ED">
        <w:rPr>
          <w:rFonts w:ascii="Times New Roman" w:hAnsi="Times New Roman"/>
          <w:sz w:val="24"/>
          <w:szCs w:val="24"/>
        </w:rPr>
        <w:t xml:space="preserve">No. </w:t>
      </w:r>
      <w:r w:rsidR="007D68BF">
        <w:rPr>
          <w:rFonts w:ascii="Times New Roman" w:hAnsi="Times New Roman"/>
          <w:sz w:val="24"/>
          <w:szCs w:val="24"/>
        </w:rPr>
        <w:t>3</w:t>
      </w:r>
      <w:r w:rsidR="005B10ED">
        <w:rPr>
          <w:rFonts w:ascii="Times New Roman" w:hAnsi="Times New Roman"/>
          <w:sz w:val="24"/>
          <w:szCs w:val="24"/>
        </w:rPr>
        <w:t xml:space="preserve"> of 2023</w:t>
      </w:r>
      <w:r w:rsidR="0030457E">
        <w:rPr>
          <w:rFonts w:ascii="Times New Roman" w:hAnsi="Times New Roman"/>
          <w:sz w:val="24"/>
          <w:szCs w:val="24"/>
        </w:rPr>
        <w:t xml:space="preserve"> and replace it with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0C6B35">
        <w:rPr>
          <w:rFonts w:ascii="Times New Roman" w:hAnsi="Times New Roman" w:cs="Times New Roman"/>
          <w:sz w:val="24"/>
          <w:szCs w:val="24"/>
        </w:rPr>
        <w:t xml:space="preserve">version of </w:t>
      </w:r>
      <w:r w:rsidR="006926FD">
        <w:rPr>
          <w:rFonts w:ascii="Times New Roman" w:hAnsi="Times New Roman" w:cs="Times New Roman"/>
          <w:sz w:val="24"/>
          <w:szCs w:val="24"/>
        </w:rPr>
        <w:t>ARS 11</w:t>
      </w:r>
      <w:r w:rsidR="007D68BF">
        <w:rPr>
          <w:rFonts w:ascii="Times New Roman" w:hAnsi="Times New Roman" w:cs="Times New Roman"/>
          <w:sz w:val="24"/>
          <w:szCs w:val="24"/>
        </w:rPr>
        <w:t>7</w:t>
      </w:r>
      <w:r w:rsidR="006926FD">
        <w:rPr>
          <w:rFonts w:ascii="Times New Roman" w:hAnsi="Times New Roman" w:cs="Times New Roman"/>
          <w:sz w:val="24"/>
          <w:szCs w:val="24"/>
        </w:rPr>
        <w:t>.0</w:t>
      </w:r>
      <w:r w:rsidR="000C6B35">
        <w:rPr>
          <w:rFonts w:ascii="Times New Roman" w:hAnsi="Times New Roman" w:cs="Times New Roman"/>
          <w:sz w:val="24"/>
          <w:szCs w:val="24"/>
        </w:rPr>
        <w:t>.</w:t>
      </w:r>
    </w:p>
    <w:p w14:paraId="751DCF46" w14:textId="1902DC50" w:rsidR="00CD1253" w:rsidRDefault="006926FD" w:rsidP="00D56D61">
      <w:pPr>
        <w:rPr>
          <w:rFonts w:ascii="Times New Roman" w:hAnsi="Times New Roman" w:cs="Times New Roman"/>
          <w:sz w:val="24"/>
          <w:szCs w:val="24"/>
        </w:rPr>
      </w:pPr>
      <w:r>
        <w:rPr>
          <w:rFonts w:ascii="Times New Roman" w:hAnsi="Times New Roman" w:cs="Times New Roman"/>
          <w:sz w:val="24"/>
          <w:szCs w:val="24"/>
        </w:rPr>
        <w:t>ARS 11</w:t>
      </w:r>
      <w:r w:rsidR="007D68BF">
        <w:rPr>
          <w:rFonts w:ascii="Times New Roman" w:hAnsi="Times New Roman" w:cs="Times New Roman"/>
          <w:sz w:val="24"/>
          <w:szCs w:val="24"/>
        </w:rPr>
        <w:t>7</w:t>
      </w:r>
      <w:r>
        <w:rPr>
          <w:rFonts w:ascii="Times New Roman" w:hAnsi="Times New Roman" w:cs="Times New Roman"/>
          <w:sz w:val="24"/>
          <w:szCs w:val="24"/>
        </w:rPr>
        <w:t xml:space="preserve">.0 sets out requirements for </w:t>
      </w:r>
      <w:r w:rsidR="000C6B35">
        <w:rPr>
          <w:rFonts w:ascii="Times New Roman" w:hAnsi="Times New Roman" w:cs="Times New Roman"/>
          <w:sz w:val="24"/>
          <w:szCs w:val="24"/>
        </w:rPr>
        <w:t>authorised deposit-taking institutions (</w:t>
      </w:r>
      <w:r>
        <w:rPr>
          <w:rFonts w:ascii="Times New Roman" w:hAnsi="Times New Roman" w:cs="Times New Roman"/>
          <w:sz w:val="24"/>
          <w:szCs w:val="24"/>
        </w:rPr>
        <w:t>ADIs</w:t>
      </w:r>
      <w:r w:rsidR="000C6B35">
        <w:rPr>
          <w:rFonts w:ascii="Times New Roman" w:hAnsi="Times New Roman" w:cs="Times New Roman"/>
          <w:sz w:val="24"/>
          <w:szCs w:val="24"/>
        </w:rPr>
        <w:t>)</w:t>
      </w:r>
      <w:r w:rsidR="00C41834">
        <w:rPr>
          <w:rFonts w:ascii="Times New Roman" w:hAnsi="Times New Roman" w:cs="Times New Roman"/>
          <w:sz w:val="24"/>
          <w:szCs w:val="24"/>
        </w:rPr>
        <w:t xml:space="preserve"> and immediate parent non-operating holding companies (NOHCs) of ADIs</w:t>
      </w:r>
      <w:r>
        <w:rPr>
          <w:rFonts w:ascii="Times New Roman" w:hAnsi="Times New Roman" w:cs="Times New Roman"/>
          <w:sz w:val="24"/>
          <w:szCs w:val="24"/>
        </w:rPr>
        <w:t xml:space="preserve"> to report their </w:t>
      </w:r>
      <w:r w:rsidR="007D68BF">
        <w:rPr>
          <w:rFonts w:ascii="Times New Roman" w:hAnsi="Times New Roman" w:cs="Times New Roman"/>
          <w:sz w:val="24"/>
          <w:szCs w:val="24"/>
        </w:rPr>
        <w:t>repricing profile</w:t>
      </w:r>
      <w:r>
        <w:rPr>
          <w:rFonts w:ascii="Times New Roman" w:hAnsi="Times New Roman" w:cs="Times New Roman"/>
          <w:sz w:val="24"/>
          <w:szCs w:val="24"/>
        </w:rPr>
        <w:t xml:space="preserve">. ADIs are bodies corporate that have been granted </w:t>
      </w:r>
      <w:r w:rsidR="00E32B9B">
        <w:rPr>
          <w:rFonts w:ascii="Times New Roman" w:hAnsi="Times New Roman" w:cs="Times New Roman"/>
          <w:sz w:val="24"/>
          <w:szCs w:val="24"/>
        </w:rPr>
        <w:t xml:space="preserve">the authority, under the </w:t>
      </w:r>
      <w:r w:rsidR="00E32B9B" w:rsidRPr="00BD7E5A">
        <w:rPr>
          <w:rFonts w:ascii="Times New Roman" w:hAnsi="Times New Roman" w:cs="Times New Roman"/>
          <w:i/>
          <w:sz w:val="24"/>
          <w:szCs w:val="24"/>
        </w:rPr>
        <w:t>Banking Act 1959</w:t>
      </w:r>
      <w:r w:rsidR="00E32B9B">
        <w:rPr>
          <w:rFonts w:ascii="Times New Roman" w:hAnsi="Times New Roman" w:cs="Times New Roman"/>
          <w:sz w:val="24"/>
          <w:szCs w:val="24"/>
        </w:rPr>
        <w:t xml:space="preserve">, to carry on banking business in Australia.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22AF419A"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D0122E">
        <w:rPr>
          <w:rFonts w:ascii="Times New Roman" w:eastAsia="Times New Roman" w:hAnsi="Times New Roman" w:cs="Times New Roman"/>
          <w:iCs/>
          <w:sz w:val="24"/>
          <w:szCs w:val="24"/>
          <w:lang w:eastAsia="en-AU"/>
        </w:rPr>
        <w:t>L</w:t>
      </w:r>
      <w:r w:rsidR="004E2FFF">
        <w:rPr>
          <w:rFonts w:ascii="Times New Roman" w:eastAsia="Times New Roman" w:hAnsi="Times New Roman" w:cs="Times New Roman"/>
          <w:iCs/>
          <w:sz w:val="24"/>
          <w:szCs w:val="24"/>
          <w:lang w:eastAsia="en-AU"/>
        </w:rPr>
        <w:t xml:space="preserve">egislative </w:t>
      </w:r>
      <w:r w:rsidRPr="000A1A15">
        <w:rPr>
          <w:rFonts w:ascii="Times New Roman" w:eastAsia="Times New Roman" w:hAnsi="Times New Roman" w:cs="Times New Roman"/>
          <w:iCs/>
          <w:sz w:val="24"/>
          <w:szCs w:val="24"/>
          <w:lang w:eastAsia="en-AU"/>
        </w:rPr>
        <w:t xml:space="preserve">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DD10" w14:textId="77777777" w:rsidR="00335B54" w:rsidRPr="000D4EDE" w:rsidRDefault="00335B54" w:rsidP="000D4EDE">
      <w:r>
        <w:separator/>
      </w:r>
    </w:p>
  </w:endnote>
  <w:endnote w:type="continuationSeparator" w:id="0">
    <w:p w14:paraId="12AF0A60" w14:textId="77777777" w:rsidR="00335B54" w:rsidRPr="000D4EDE" w:rsidRDefault="00335B54" w:rsidP="000D4EDE">
      <w:r>
        <w:continuationSeparator/>
      </w:r>
    </w:p>
  </w:endnote>
  <w:endnote w:type="continuationNotice" w:id="1">
    <w:p w14:paraId="54738CF6" w14:textId="77777777" w:rsidR="00335B54" w:rsidRDefault="00335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6FBB843B" w14:textId="44A3D4CE"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7FF0" w14:textId="77777777" w:rsidR="00335B54" w:rsidRPr="000D4EDE" w:rsidRDefault="00335B54" w:rsidP="000D4EDE">
      <w:r>
        <w:separator/>
      </w:r>
    </w:p>
  </w:footnote>
  <w:footnote w:type="continuationSeparator" w:id="0">
    <w:p w14:paraId="659FC499" w14:textId="77777777" w:rsidR="00335B54" w:rsidRPr="000D4EDE" w:rsidRDefault="00335B54" w:rsidP="000D4EDE">
      <w:r>
        <w:continuationSeparator/>
      </w:r>
    </w:p>
  </w:footnote>
  <w:footnote w:type="continuationNotice" w:id="1">
    <w:p w14:paraId="4307362C" w14:textId="77777777" w:rsidR="00335B54" w:rsidRDefault="00335B54">
      <w:pPr>
        <w:spacing w:after="0"/>
      </w:pPr>
    </w:p>
  </w:footnote>
  <w:footnote w:id="2">
    <w:p w14:paraId="04FF7D2A" w14:textId="70F0F737" w:rsidR="00AE12C8" w:rsidRDefault="00AE12C8">
      <w:pPr>
        <w:pStyle w:val="FootnoteText"/>
      </w:pPr>
      <w:r>
        <w:rPr>
          <w:rStyle w:val="FootnoteReference"/>
        </w:rPr>
        <w:footnoteRef/>
      </w:r>
      <w:r>
        <w:t xml:space="preserve"> </w:t>
      </w:r>
      <w:r w:rsidRPr="00AE12C8">
        <w:t>https://www.apra.gov.au/interest-rate-risk-banking-book</w:t>
      </w:r>
    </w:p>
  </w:footnote>
  <w:footnote w:id="3">
    <w:p w14:paraId="4EED7F37" w14:textId="41DD4209" w:rsidR="007B5325" w:rsidRDefault="007B5325"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sidR="00776E6E" w:rsidRPr="00BD7E5A">
        <w:rPr>
          <w:rFonts w:ascii="Times New Roman" w:hAnsi="Times New Roman" w:cs="Times New Roman"/>
          <w:sz w:val="22"/>
        </w:rPr>
        <w:t xml:space="preserve">Please see: </w:t>
      </w:r>
      <w:r w:rsidR="008B281E" w:rsidRPr="008B281E">
        <w:rPr>
          <w:rFonts w:ascii="Times New Roman" w:hAnsi="Times New Roman" w:cs="Times New Roman"/>
          <w:sz w:val="22"/>
        </w:rPr>
        <w:t>https://www.apra.gov.au/interest-rate-risk-banking-book</w:t>
      </w:r>
      <w:r w:rsidR="00C70A99">
        <w:rPr>
          <w:rFonts w:ascii="Times New Roman" w:hAnsi="Times New Roman" w:cs="Times New Roman"/>
          <w:sz w:val="22"/>
        </w:rPr>
        <w:t>.</w:t>
      </w:r>
      <w:r w:rsidR="00776E6E" w:rsidRPr="00BD7E5A">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2BD19B4"/>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631B1"/>
    <w:multiLevelType w:val="multilevel"/>
    <w:tmpl w:val="14FA02C2"/>
    <w:lvl w:ilvl="0">
      <w:start w:val="1"/>
      <w:numFmt w:val="bullet"/>
      <w:lvlText w:val=""/>
      <w:lvlJc w:val="left"/>
      <w:pPr>
        <w:tabs>
          <w:tab w:val="num" w:pos="440"/>
        </w:tabs>
        <w:ind w:left="440" w:hanging="360"/>
      </w:pPr>
      <w:rPr>
        <w:rFonts w:ascii="Symbol" w:hAnsi="Symbol" w:hint="default"/>
        <w:sz w:val="20"/>
      </w:rPr>
    </w:lvl>
    <w:lvl w:ilvl="1" w:tentative="1">
      <w:start w:val="1"/>
      <w:numFmt w:val="bullet"/>
      <w:lvlText w:val="o"/>
      <w:lvlJc w:val="left"/>
      <w:pPr>
        <w:tabs>
          <w:tab w:val="num" w:pos="1160"/>
        </w:tabs>
        <w:ind w:left="1160" w:hanging="360"/>
      </w:pPr>
      <w:rPr>
        <w:rFonts w:ascii="Courier New" w:hAnsi="Courier New" w:hint="default"/>
        <w:sz w:val="20"/>
      </w:rPr>
    </w:lvl>
    <w:lvl w:ilvl="2" w:tentative="1">
      <w:start w:val="1"/>
      <w:numFmt w:val="bullet"/>
      <w:lvlText w:val=""/>
      <w:lvlJc w:val="left"/>
      <w:pPr>
        <w:tabs>
          <w:tab w:val="num" w:pos="1880"/>
        </w:tabs>
        <w:ind w:left="1880" w:hanging="360"/>
      </w:pPr>
      <w:rPr>
        <w:rFonts w:ascii="Wingdings" w:hAnsi="Wingdings" w:hint="default"/>
        <w:sz w:val="20"/>
      </w:rPr>
    </w:lvl>
    <w:lvl w:ilvl="3" w:tentative="1">
      <w:start w:val="1"/>
      <w:numFmt w:val="bullet"/>
      <w:lvlText w:val=""/>
      <w:lvlJc w:val="left"/>
      <w:pPr>
        <w:tabs>
          <w:tab w:val="num" w:pos="2600"/>
        </w:tabs>
        <w:ind w:left="2600" w:hanging="360"/>
      </w:pPr>
      <w:rPr>
        <w:rFonts w:ascii="Wingdings" w:hAnsi="Wingdings" w:hint="default"/>
        <w:sz w:val="20"/>
      </w:rPr>
    </w:lvl>
    <w:lvl w:ilvl="4" w:tentative="1">
      <w:start w:val="1"/>
      <w:numFmt w:val="bullet"/>
      <w:lvlText w:val=""/>
      <w:lvlJc w:val="left"/>
      <w:pPr>
        <w:tabs>
          <w:tab w:val="num" w:pos="3320"/>
        </w:tabs>
        <w:ind w:left="3320" w:hanging="360"/>
      </w:pPr>
      <w:rPr>
        <w:rFonts w:ascii="Wingdings" w:hAnsi="Wingdings" w:hint="default"/>
        <w:sz w:val="20"/>
      </w:rPr>
    </w:lvl>
    <w:lvl w:ilvl="5" w:tentative="1">
      <w:start w:val="1"/>
      <w:numFmt w:val="bullet"/>
      <w:lvlText w:val=""/>
      <w:lvlJc w:val="left"/>
      <w:pPr>
        <w:tabs>
          <w:tab w:val="num" w:pos="4040"/>
        </w:tabs>
        <w:ind w:left="4040" w:hanging="360"/>
      </w:pPr>
      <w:rPr>
        <w:rFonts w:ascii="Wingdings" w:hAnsi="Wingdings" w:hint="default"/>
        <w:sz w:val="20"/>
      </w:rPr>
    </w:lvl>
    <w:lvl w:ilvl="6" w:tentative="1">
      <w:start w:val="1"/>
      <w:numFmt w:val="bullet"/>
      <w:lvlText w:val=""/>
      <w:lvlJc w:val="left"/>
      <w:pPr>
        <w:tabs>
          <w:tab w:val="num" w:pos="4760"/>
        </w:tabs>
        <w:ind w:left="4760" w:hanging="360"/>
      </w:pPr>
      <w:rPr>
        <w:rFonts w:ascii="Wingdings" w:hAnsi="Wingdings" w:hint="default"/>
        <w:sz w:val="20"/>
      </w:rPr>
    </w:lvl>
    <w:lvl w:ilvl="7" w:tentative="1">
      <w:start w:val="1"/>
      <w:numFmt w:val="bullet"/>
      <w:lvlText w:val=""/>
      <w:lvlJc w:val="left"/>
      <w:pPr>
        <w:tabs>
          <w:tab w:val="num" w:pos="5480"/>
        </w:tabs>
        <w:ind w:left="5480" w:hanging="360"/>
      </w:pPr>
      <w:rPr>
        <w:rFonts w:ascii="Wingdings" w:hAnsi="Wingdings" w:hint="default"/>
        <w:sz w:val="20"/>
      </w:rPr>
    </w:lvl>
    <w:lvl w:ilvl="8" w:tentative="1">
      <w:start w:val="1"/>
      <w:numFmt w:val="bullet"/>
      <w:lvlText w:val=""/>
      <w:lvlJc w:val="left"/>
      <w:pPr>
        <w:tabs>
          <w:tab w:val="num" w:pos="6200"/>
        </w:tabs>
        <w:ind w:left="6200" w:hanging="360"/>
      </w:pPr>
      <w:rPr>
        <w:rFonts w:ascii="Wingdings" w:hAnsi="Wingdings" w:hint="default"/>
        <w:sz w:val="20"/>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D2FF08"/>
    <w:multiLevelType w:val="hybridMultilevel"/>
    <w:tmpl w:val="FFFFFFFF"/>
    <w:lvl w:ilvl="0" w:tplc="B46E9868">
      <w:start w:val="1"/>
      <w:numFmt w:val="bullet"/>
      <w:lvlText w:val="·"/>
      <w:lvlJc w:val="left"/>
      <w:pPr>
        <w:ind w:left="720" w:hanging="360"/>
      </w:pPr>
      <w:rPr>
        <w:rFonts w:ascii="Symbol" w:hAnsi="Symbol" w:hint="default"/>
      </w:rPr>
    </w:lvl>
    <w:lvl w:ilvl="1" w:tplc="43100AC0">
      <w:start w:val="1"/>
      <w:numFmt w:val="bullet"/>
      <w:lvlText w:val="o"/>
      <w:lvlJc w:val="left"/>
      <w:pPr>
        <w:ind w:left="1440" w:hanging="360"/>
      </w:pPr>
      <w:rPr>
        <w:rFonts w:ascii="Courier New" w:hAnsi="Courier New" w:hint="default"/>
      </w:rPr>
    </w:lvl>
    <w:lvl w:ilvl="2" w:tplc="D3BC90B8">
      <w:start w:val="1"/>
      <w:numFmt w:val="bullet"/>
      <w:lvlText w:val=""/>
      <w:lvlJc w:val="left"/>
      <w:pPr>
        <w:ind w:left="2160" w:hanging="360"/>
      </w:pPr>
      <w:rPr>
        <w:rFonts w:ascii="Wingdings" w:hAnsi="Wingdings" w:hint="default"/>
      </w:rPr>
    </w:lvl>
    <w:lvl w:ilvl="3" w:tplc="5C606556">
      <w:start w:val="1"/>
      <w:numFmt w:val="bullet"/>
      <w:lvlText w:val=""/>
      <w:lvlJc w:val="left"/>
      <w:pPr>
        <w:ind w:left="2880" w:hanging="360"/>
      </w:pPr>
      <w:rPr>
        <w:rFonts w:ascii="Symbol" w:hAnsi="Symbol" w:hint="default"/>
      </w:rPr>
    </w:lvl>
    <w:lvl w:ilvl="4" w:tplc="FAA2E67A">
      <w:start w:val="1"/>
      <w:numFmt w:val="bullet"/>
      <w:lvlText w:val="o"/>
      <w:lvlJc w:val="left"/>
      <w:pPr>
        <w:ind w:left="3600" w:hanging="360"/>
      </w:pPr>
      <w:rPr>
        <w:rFonts w:ascii="Courier New" w:hAnsi="Courier New" w:hint="default"/>
      </w:rPr>
    </w:lvl>
    <w:lvl w:ilvl="5" w:tplc="98965478">
      <w:start w:val="1"/>
      <w:numFmt w:val="bullet"/>
      <w:lvlText w:val=""/>
      <w:lvlJc w:val="left"/>
      <w:pPr>
        <w:ind w:left="4320" w:hanging="360"/>
      </w:pPr>
      <w:rPr>
        <w:rFonts w:ascii="Wingdings" w:hAnsi="Wingdings" w:hint="default"/>
      </w:rPr>
    </w:lvl>
    <w:lvl w:ilvl="6" w:tplc="E410BEA6">
      <w:start w:val="1"/>
      <w:numFmt w:val="bullet"/>
      <w:lvlText w:val=""/>
      <w:lvlJc w:val="left"/>
      <w:pPr>
        <w:ind w:left="5040" w:hanging="360"/>
      </w:pPr>
      <w:rPr>
        <w:rFonts w:ascii="Symbol" w:hAnsi="Symbol" w:hint="default"/>
      </w:rPr>
    </w:lvl>
    <w:lvl w:ilvl="7" w:tplc="9DA07C62">
      <w:start w:val="1"/>
      <w:numFmt w:val="bullet"/>
      <w:lvlText w:val="o"/>
      <w:lvlJc w:val="left"/>
      <w:pPr>
        <w:ind w:left="5760" w:hanging="360"/>
      </w:pPr>
      <w:rPr>
        <w:rFonts w:ascii="Courier New" w:hAnsi="Courier New" w:hint="default"/>
      </w:rPr>
    </w:lvl>
    <w:lvl w:ilvl="8" w:tplc="5C4E73BC">
      <w:start w:val="1"/>
      <w:numFmt w:val="bullet"/>
      <w:lvlText w:val=""/>
      <w:lvlJc w:val="left"/>
      <w:pPr>
        <w:ind w:left="648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8"/>
  </w:num>
  <w:num w:numId="5" w16cid:durableId="521478323">
    <w:abstractNumId w:val="22"/>
  </w:num>
  <w:num w:numId="6" w16cid:durableId="288823805">
    <w:abstractNumId w:val="15"/>
  </w:num>
  <w:num w:numId="7" w16cid:durableId="1380936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1"/>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3"/>
  </w:num>
  <w:num w:numId="14" w16cid:durableId="168563981">
    <w:abstractNumId w:val="14"/>
  </w:num>
  <w:num w:numId="15" w16cid:durableId="2008093173">
    <w:abstractNumId w:val="10"/>
  </w:num>
  <w:num w:numId="16" w16cid:durableId="844632474">
    <w:abstractNumId w:val="12"/>
  </w:num>
  <w:num w:numId="17" w16cid:durableId="1251620339">
    <w:abstractNumId w:val="19"/>
  </w:num>
  <w:num w:numId="18" w16cid:durableId="1893076358">
    <w:abstractNumId w:val="21"/>
  </w:num>
  <w:num w:numId="19" w16cid:durableId="1667436918">
    <w:abstractNumId w:val="16"/>
  </w:num>
  <w:num w:numId="20" w16cid:durableId="351035494">
    <w:abstractNumId w:val="5"/>
  </w:num>
  <w:num w:numId="21" w16cid:durableId="451487053">
    <w:abstractNumId w:val="13"/>
  </w:num>
  <w:num w:numId="22" w16cid:durableId="210964964">
    <w:abstractNumId w:val="17"/>
  </w:num>
  <w:num w:numId="23" w16cid:durableId="1333339609">
    <w:abstractNumId w:val="20"/>
  </w:num>
  <w:num w:numId="24" w16cid:durableId="1894463098">
    <w:abstractNumId w:val="24"/>
  </w:num>
  <w:num w:numId="25" w16cid:durableId="258027641">
    <w:abstractNumId w:val="9"/>
  </w:num>
  <w:num w:numId="26" w16cid:durableId="90999847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6DE"/>
    <w:rsid w:val="0000276B"/>
    <w:rsid w:val="00004053"/>
    <w:rsid w:val="00004ED1"/>
    <w:rsid w:val="00005D98"/>
    <w:rsid w:val="00005F96"/>
    <w:rsid w:val="00007262"/>
    <w:rsid w:val="00007FE1"/>
    <w:rsid w:val="00010789"/>
    <w:rsid w:val="00011C96"/>
    <w:rsid w:val="000141B9"/>
    <w:rsid w:val="00014E49"/>
    <w:rsid w:val="000162DF"/>
    <w:rsid w:val="0001759C"/>
    <w:rsid w:val="00020E4C"/>
    <w:rsid w:val="000221F9"/>
    <w:rsid w:val="00023CE3"/>
    <w:rsid w:val="00034A19"/>
    <w:rsid w:val="00036F9E"/>
    <w:rsid w:val="000413B3"/>
    <w:rsid w:val="000453D9"/>
    <w:rsid w:val="00045D7D"/>
    <w:rsid w:val="00057063"/>
    <w:rsid w:val="000573E5"/>
    <w:rsid w:val="00057B71"/>
    <w:rsid w:val="0006126C"/>
    <w:rsid w:val="0006398B"/>
    <w:rsid w:val="0006638F"/>
    <w:rsid w:val="0007202C"/>
    <w:rsid w:val="00072B30"/>
    <w:rsid w:val="0007319C"/>
    <w:rsid w:val="000732AA"/>
    <w:rsid w:val="00073F77"/>
    <w:rsid w:val="000752F6"/>
    <w:rsid w:val="000760BC"/>
    <w:rsid w:val="000767DD"/>
    <w:rsid w:val="00077A5F"/>
    <w:rsid w:val="0008011A"/>
    <w:rsid w:val="00084F8B"/>
    <w:rsid w:val="000851D0"/>
    <w:rsid w:val="00086D07"/>
    <w:rsid w:val="00086F71"/>
    <w:rsid w:val="00093915"/>
    <w:rsid w:val="000949AD"/>
    <w:rsid w:val="00095109"/>
    <w:rsid w:val="00096B0F"/>
    <w:rsid w:val="000A1A15"/>
    <w:rsid w:val="000A23C5"/>
    <w:rsid w:val="000A3203"/>
    <w:rsid w:val="000A490E"/>
    <w:rsid w:val="000A7A90"/>
    <w:rsid w:val="000B01D8"/>
    <w:rsid w:val="000B04C5"/>
    <w:rsid w:val="000B1459"/>
    <w:rsid w:val="000B3539"/>
    <w:rsid w:val="000B4672"/>
    <w:rsid w:val="000B4A6A"/>
    <w:rsid w:val="000B63CA"/>
    <w:rsid w:val="000B7430"/>
    <w:rsid w:val="000B752A"/>
    <w:rsid w:val="000C14D9"/>
    <w:rsid w:val="000C15C7"/>
    <w:rsid w:val="000C2620"/>
    <w:rsid w:val="000C394D"/>
    <w:rsid w:val="000C5F0E"/>
    <w:rsid w:val="000C60E6"/>
    <w:rsid w:val="000C6B35"/>
    <w:rsid w:val="000D4EDE"/>
    <w:rsid w:val="000D6674"/>
    <w:rsid w:val="000D6B02"/>
    <w:rsid w:val="000E0365"/>
    <w:rsid w:val="000E0E86"/>
    <w:rsid w:val="000E15D2"/>
    <w:rsid w:val="000E2460"/>
    <w:rsid w:val="000E43AC"/>
    <w:rsid w:val="000E52F2"/>
    <w:rsid w:val="000E6E37"/>
    <w:rsid w:val="000E730A"/>
    <w:rsid w:val="000F0E6F"/>
    <w:rsid w:val="000F1B69"/>
    <w:rsid w:val="000F62C5"/>
    <w:rsid w:val="001018A5"/>
    <w:rsid w:val="0010233B"/>
    <w:rsid w:val="00102799"/>
    <w:rsid w:val="00106F56"/>
    <w:rsid w:val="001148D0"/>
    <w:rsid w:val="00114B50"/>
    <w:rsid w:val="00114EBD"/>
    <w:rsid w:val="00114F2A"/>
    <w:rsid w:val="0011578D"/>
    <w:rsid w:val="00115A39"/>
    <w:rsid w:val="00116AEF"/>
    <w:rsid w:val="00117479"/>
    <w:rsid w:val="00120FDB"/>
    <w:rsid w:val="0012148E"/>
    <w:rsid w:val="00123576"/>
    <w:rsid w:val="001241CB"/>
    <w:rsid w:val="00124B21"/>
    <w:rsid w:val="00130143"/>
    <w:rsid w:val="00130176"/>
    <w:rsid w:val="001314B3"/>
    <w:rsid w:val="001327B8"/>
    <w:rsid w:val="0013471B"/>
    <w:rsid w:val="00134B76"/>
    <w:rsid w:val="001352D4"/>
    <w:rsid w:val="00137105"/>
    <w:rsid w:val="00137B8B"/>
    <w:rsid w:val="0014023C"/>
    <w:rsid w:val="00142132"/>
    <w:rsid w:val="00145B63"/>
    <w:rsid w:val="00152E9D"/>
    <w:rsid w:val="00153E56"/>
    <w:rsid w:val="00153F9B"/>
    <w:rsid w:val="00155064"/>
    <w:rsid w:val="00155789"/>
    <w:rsid w:val="00157C98"/>
    <w:rsid w:val="0016218D"/>
    <w:rsid w:val="00162453"/>
    <w:rsid w:val="001653B6"/>
    <w:rsid w:val="00165BF6"/>
    <w:rsid w:val="00174039"/>
    <w:rsid w:val="00174B0F"/>
    <w:rsid w:val="00175603"/>
    <w:rsid w:val="00180361"/>
    <w:rsid w:val="001818C4"/>
    <w:rsid w:val="0018235E"/>
    <w:rsid w:val="00184187"/>
    <w:rsid w:val="00184B1B"/>
    <w:rsid w:val="001900CF"/>
    <w:rsid w:val="00193BFA"/>
    <w:rsid w:val="001A0257"/>
    <w:rsid w:val="001A4EA4"/>
    <w:rsid w:val="001A664F"/>
    <w:rsid w:val="001B0445"/>
    <w:rsid w:val="001B265A"/>
    <w:rsid w:val="001B2DB7"/>
    <w:rsid w:val="001B398D"/>
    <w:rsid w:val="001B3A9F"/>
    <w:rsid w:val="001B60B7"/>
    <w:rsid w:val="001B62B6"/>
    <w:rsid w:val="001C148B"/>
    <w:rsid w:val="001C3702"/>
    <w:rsid w:val="001D0C02"/>
    <w:rsid w:val="001D0E77"/>
    <w:rsid w:val="001D3008"/>
    <w:rsid w:val="001D3D43"/>
    <w:rsid w:val="001D66B0"/>
    <w:rsid w:val="001D7988"/>
    <w:rsid w:val="001E0F51"/>
    <w:rsid w:val="001E2021"/>
    <w:rsid w:val="001E423C"/>
    <w:rsid w:val="001E4A32"/>
    <w:rsid w:val="001E55BF"/>
    <w:rsid w:val="001E6375"/>
    <w:rsid w:val="001E6377"/>
    <w:rsid w:val="001E6BCB"/>
    <w:rsid w:val="001F35B5"/>
    <w:rsid w:val="001F373B"/>
    <w:rsid w:val="001F3EC7"/>
    <w:rsid w:val="001F6E1A"/>
    <w:rsid w:val="001F780A"/>
    <w:rsid w:val="001F7917"/>
    <w:rsid w:val="00200312"/>
    <w:rsid w:val="00200613"/>
    <w:rsid w:val="00201D0D"/>
    <w:rsid w:val="00201F3C"/>
    <w:rsid w:val="00202F6A"/>
    <w:rsid w:val="00204F39"/>
    <w:rsid w:val="002066FB"/>
    <w:rsid w:val="0020674F"/>
    <w:rsid w:val="002074A5"/>
    <w:rsid w:val="002119E6"/>
    <w:rsid w:val="00211AFD"/>
    <w:rsid w:val="002143E2"/>
    <w:rsid w:val="00214883"/>
    <w:rsid w:val="002156F6"/>
    <w:rsid w:val="00215874"/>
    <w:rsid w:val="00216D31"/>
    <w:rsid w:val="00220550"/>
    <w:rsid w:val="00222497"/>
    <w:rsid w:val="002255B7"/>
    <w:rsid w:val="00226DB0"/>
    <w:rsid w:val="002301A2"/>
    <w:rsid w:val="00230722"/>
    <w:rsid w:val="00234176"/>
    <w:rsid w:val="00234ED0"/>
    <w:rsid w:val="00234FDB"/>
    <w:rsid w:val="00236C2D"/>
    <w:rsid w:val="00237201"/>
    <w:rsid w:val="002374B7"/>
    <w:rsid w:val="00240126"/>
    <w:rsid w:val="00241177"/>
    <w:rsid w:val="00241D16"/>
    <w:rsid w:val="00242384"/>
    <w:rsid w:val="0024304D"/>
    <w:rsid w:val="00244826"/>
    <w:rsid w:val="00244B0A"/>
    <w:rsid w:val="00244ECB"/>
    <w:rsid w:val="002451F9"/>
    <w:rsid w:val="00247ACA"/>
    <w:rsid w:val="00252604"/>
    <w:rsid w:val="0025287F"/>
    <w:rsid w:val="00252E6A"/>
    <w:rsid w:val="00255A20"/>
    <w:rsid w:val="0025782A"/>
    <w:rsid w:val="00257E16"/>
    <w:rsid w:val="00263414"/>
    <w:rsid w:val="002661A6"/>
    <w:rsid w:val="00266C23"/>
    <w:rsid w:val="00274D5F"/>
    <w:rsid w:val="00277D6C"/>
    <w:rsid w:val="00277F1F"/>
    <w:rsid w:val="0028009F"/>
    <w:rsid w:val="00280FD7"/>
    <w:rsid w:val="00282B90"/>
    <w:rsid w:val="00285D5D"/>
    <w:rsid w:val="00286EAD"/>
    <w:rsid w:val="002870A7"/>
    <w:rsid w:val="00292A60"/>
    <w:rsid w:val="00292D3F"/>
    <w:rsid w:val="00292F38"/>
    <w:rsid w:val="0029389B"/>
    <w:rsid w:val="00294C58"/>
    <w:rsid w:val="00296EA9"/>
    <w:rsid w:val="002A1894"/>
    <w:rsid w:val="002A2188"/>
    <w:rsid w:val="002A2FB3"/>
    <w:rsid w:val="002A2FD2"/>
    <w:rsid w:val="002A36F2"/>
    <w:rsid w:val="002A5224"/>
    <w:rsid w:val="002A7D14"/>
    <w:rsid w:val="002B0913"/>
    <w:rsid w:val="002B0A7D"/>
    <w:rsid w:val="002B28E4"/>
    <w:rsid w:val="002B416B"/>
    <w:rsid w:val="002B49A3"/>
    <w:rsid w:val="002B5EBC"/>
    <w:rsid w:val="002B5FB0"/>
    <w:rsid w:val="002B7504"/>
    <w:rsid w:val="002C0D97"/>
    <w:rsid w:val="002C2FE7"/>
    <w:rsid w:val="002C66D1"/>
    <w:rsid w:val="002C7065"/>
    <w:rsid w:val="002C7D73"/>
    <w:rsid w:val="002C7F4A"/>
    <w:rsid w:val="002D2804"/>
    <w:rsid w:val="002D3254"/>
    <w:rsid w:val="002D3BFD"/>
    <w:rsid w:val="002D4B6C"/>
    <w:rsid w:val="002D5274"/>
    <w:rsid w:val="002D5D13"/>
    <w:rsid w:val="002D7953"/>
    <w:rsid w:val="002E123D"/>
    <w:rsid w:val="002E1EE3"/>
    <w:rsid w:val="002E3A56"/>
    <w:rsid w:val="002E4220"/>
    <w:rsid w:val="002E447D"/>
    <w:rsid w:val="002F0135"/>
    <w:rsid w:val="002F0C2C"/>
    <w:rsid w:val="002F239C"/>
    <w:rsid w:val="00300655"/>
    <w:rsid w:val="0030075D"/>
    <w:rsid w:val="00301BB1"/>
    <w:rsid w:val="00303D18"/>
    <w:rsid w:val="0030457E"/>
    <w:rsid w:val="00304C92"/>
    <w:rsid w:val="00307ADD"/>
    <w:rsid w:val="00307E55"/>
    <w:rsid w:val="003105C6"/>
    <w:rsid w:val="003118CB"/>
    <w:rsid w:val="00311FD1"/>
    <w:rsid w:val="00312167"/>
    <w:rsid w:val="00312A66"/>
    <w:rsid w:val="003130CA"/>
    <w:rsid w:val="00313312"/>
    <w:rsid w:val="003163CB"/>
    <w:rsid w:val="00316BC0"/>
    <w:rsid w:val="0031764D"/>
    <w:rsid w:val="00321180"/>
    <w:rsid w:val="00321646"/>
    <w:rsid w:val="0032180D"/>
    <w:rsid w:val="00323693"/>
    <w:rsid w:val="0032580F"/>
    <w:rsid w:val="00325BB2"/>
    <w:rsid w:val="003270C6"/>
    <w:rsid w:val="003306A5"/>
    <w:rsid w:val="00331394"/>
    <w:rsid w:val="00331FC5"/>
    <w:rsid w:val="003329A6"/>
    <w:rsid w:val="00334BDA"/>
    <w:rsid w:val="00335B54"/>
    <w:rsid w:val="003430C9"/>
    <w:rsid w:val="0034628E"/>
    <w:rsid w:val="00347108"/>
    <w:rsid w:val="003547F7"/>
    <w:rsid w:val="00355D40"/>
    <w:rsid w:val="00355DD7"/>
    <w:rsid w:val="00364F6D"/>
    <w:rsid w:val="0036541D"/>
    <w:rsid w:val="00371AAC"/>
    <w:rsid w:val="00371F54"/>
    <w:rsid w:val="0037223D"/>
    <w:rsid w:val="003728D0"/>
    <w:rsid w:val="0037770C"/>
    <w:rsid w:val="00377C8B"/>
    <w:rsid w:val="00383A95"/>
    <w:rsid w:val="00385CA0"/>
    <w:rsid w:val="0039009C"/>
    <w:rsid w:val="00390CF3"/>
    <w:rsid w:val="00390E33"/>
    <w:rsid w:val="0039585F"/>
    <w:rsid w:val="00395BFF"/>
    <w:rsid w:val="003A25CD"/>
    <w:rsid w:val="003A2733"/>
    <w:rsid w:val="003A3021"/>
    <w:rsid w:val="003A4483"/>
    <w:rsid w:val="003A4D41"/>
    <w:rsid w:val="003A627E"/>
    <w:rsid w:val="003A79EE"/>
    <w:rsid w:val="003A7F99"/>
    <w:rsid w:val="003B14E1"/>
    <w:rsid w:val="003B45AB"/>
    <w:rsid w:val="003B5039"/>
    <w:rsid w:val="003B67D8"/>
    <w:rsid w:val="003B6E16"/>
    <w:rsid w:val="003C180A"/>
    <w:rsid w:val="003C1E25"/>
    <w:rsid w:val="003C3B28"/>
    <w:rsid w:val="003C54A2"/>
    <w:rsid w:val="003C76D4"/>
    <w:rsid w:val="003D24D3"/>
    <w:rsid w:val="003D27CB"/>
    <w:rsid w:val="003D292C"/>
    <w:rsid w:val="003D329D"/>
    <w:rsid w:val="003D6192"/>
    <w:rsid w:val="003E1BB3"/>
    <w:rsid w:val="003E204A"/>
    <w:rsid w:val="003E5777"/>
    <w:rsid w:val="003E626D"/>
    <w:rsid w:val="003E64E9"/>
    <w:rsid w:val="003E6BF6"/>
    <w:rsid w:val="003F0F0D"/>
    <w:rsid w:val="00401627"/>
    <w:rsid w:val="0040173E"/>
    <w:rsid w:val="0040637F"/>
    <w:rsid w:val="00412EBF"/>
    <w:rsid w:val="00417FCF"/>
    <w:rsid w:val="004238D5"/>
    <w:rsid w:val="00424A42"/>
    <w:rsid w:val="00433F08"/>
    <w:rsid w:val="00434A5B"/>
    <w:rsid w:val="00435339"/>
    <w:rsid w:val="00436A8F"/>
    <w:rsid w:val="004410DC"/>
    <w:rsid w:val="004423A7"/>
    <w:rsid w:val="0044447D"/>
    <w:rsid w:val="0044482D"/>
    <w:rsid w:val="00450C67"/>
    <w:rsid w:val="00450D2C"/>
    <w:rsid w:val="004511C9"/>
    <w:rsid w:val="00452279"/>
    <w:rsid w:val="004539A8"/>
    <w:rsid w:val="00457623"/>
    <w:rsid w:val="0046020A"/>
    <w:rsid w:val="00460CF7"/>
    <w:rsid w:val="00463FA8"/>
    <w:rsid w:val="00464196"/>
    <w:rsid w:val="00466648"/>
    <w:rsid w:val="0047203C"/>
    <w:rsid w:val="00472CBC"/>
    <w:rsid w:val="004740C8"/>
    <w:rsid w:val="004757BE"/>
    <w:rsid w:val="004765B3"/>
    <w:rsid w:val="00477B09"/>
    <w:rsid w:val="00477E9F"/>
    <w:rsid w:val="00483A0A"/>
    <w:rsid w:val="00483CBA"/>
    <w:rsid w:val="004843CA"/>
    <w:rsid w:val="004846AA"/>
    <w:rsid w:val="00484B17"/>
    <w:rsid w:val="00487FCB"/>
    <w:rsid w:val="0049373D"/>
    <w:rsid w:val="00493DAA"/>
    <w:rsid w:val="00494335"/>
    <w:rsid w:val="00495A4C"/>
    <w:rsid w:val="00495F25"/>
    <w:rsid w:val="004964A9"/>
    <w:rsid w:val="004967A1"/>
    <w:rsid w:val="004A0FE7"/>
    <w:rsid w:val="004A1269"/>
    <w:rsid w:val="004A1AB5"/>
    <w:rsid w:val="004A29F6"/>
    <w:rsid w:val="004A2C9B"/>
    <w:rsid w:val="004B2060"/>
    <w:rsid w:val="004B2359"/>
    <w:rsid w:val="004B584E"/>
    <w:rsid w:val="004C077D"/>
    <w:rsid w:val="004C1106"/>
    <w:rsid w:val="004C3568"/>
    <w:rsid w:val="004C6854"/>
    <w:rsid w:val="004C6D4B"/>
    <w:rsid w:val="004C766B"/>
    <w:rsid w:val="004D16C6"/>
    <w:rsid w:val="004D33E3"/>
    <w:rsid w:val="004D6328"/>
    <w:rsid w:val="004D76C1"/>
    <w:rsid w:val="004D7C22"/>
    <w:rsid w:val="004E2269"/>
    <w:rsid w:val="004E2FFF"/>
    <w:rsid w:val="004E38FC"/>
    <w:rsid w:val="004E451A"/>
    <w:rsid w:val="004E5D1C"/>
    <w:rsid w:val="004F0E3E"/>
    <w:rsid w:val="004F1319"/>
    <w:rsid w:val="004F3339"/>
    <w:rsid w:val="004F5A0F"/>
    <w:rsid w:val="004F6673"/>
    <w:rsid w:val="004F6C86"/>
    <w:rsid w:val="004F72A2"/>
    <w:rsid w:val="004F78E5"/>
    <w:rsid w:val="004F7CED"/>
    <w:rsid w:val="005020B3"/>
    <w:rsid w:val="005026D4"/>
    <w:rsid w:val="00503A51"/>
    <w:rsid w:val="00506774"/>
    <w:rsid w:val="00512309"/>
    <w:rsid w:val="005213CF"/>
    <w:rsid w:val="00522B61"/>
    <w:rsid w:val="00530240"/>
    <w:rsid w:val="00530757"/>
    <w:rsid w:val="00530D54"/>
    <w:rsid w:val="00532668"/>
    <w:rsid w:val="0053692A"/>
    <w:rsid w:val="00537AFC"/>
    <w:rsid w:val="00541D54"/>
    <w:rsid w:val="00542522"/>
    <w:rsid w:val="00543472"/>
    <w:rsid w:val="0054526E"/>
    <w:rsid w:val="00545A29"/>
    <w:rsid w:val="00545CE1"/>
    <w:rsid w:val="00546297"/>
    <w:rsid w:val="005476B5"/>
    <w:rsid w:val="00550D46"/>
    <w:rsid w:val="005549D7"/>
    <w:rsid w:val="0055690E"/>
    <w:rsid w:val="0055744F"/>
    <w:rsid w:val="005602DA"/>
    <w:rsid w:val="00560CAF"/>
    <w:rsid w:val="00562087"/>
    <w:rsid w:val="005628DB"/>
    <w:rsid w:val="00566C83"/>
    <w:rsid w:val="005678FC"/>
    <w:rsid w:val="0057138A"/>
    <w:rsid w:val="005714D4"/>
    <w:rsid w:val="00573327"/>
    <w:rsid w:val="00573F5D"/>
    <w:rsid w:val="00574BA1"/>
    <w:rsid w:val="00575DC2"/>
    <w:rsid w:val="00577172"/>
    <w:rsid w:val="00577D9B"/>
    <w:rsid w:val="00585231"/>
    <w:rsid w:val="005856F8"/>
    <w:rsid w:val="00587DC4"/>
    <w:rsid w:val="00591FAA"/>
    <w:rsid w:val="005921A3"/>
    <w:rsid w:val="00592F64"/>
    <w:rsid w:val="00593952"/>
    <w:rsid w:val="00596F1E"/>
    <w:rsid w:val="005A0E7A"/>
    <w:rsid w:val="005A13C6"/>
    <w:rsid w:val="005A3F63"/>
    <w:rsid w:val="005A4E5D"/>
    <w:rsid w:val="005A59D0"/>
    <w:rsid w:val="005B073E"/>
    <w:rsid w:val="005B10ED"/>
    <w:rsid w:val="005B227F"/>
    <w:rsid w:val="005B73F0"/>
    <w:rsid w:val="005B7801"/>
    <w:rsid w:val="005B7D0A"/>
    <w:rsid w:val="005C0946"/>
    <w:rsid w:val="005C1108"/>
    <w:rsid w:val="005C14AD"/>
    <w:rsid w:val="005C1887"/>
    <w:rsid w:val="005C31CE"/>
    <w:rsid w:val="005C3BAE"/>
    <w:rsid w:val="005C5891"/>
    <w:rsid w:val="005C641B"/>
    <w:rsid w:val="005D04CC"/>
    <w:rsid w:val="005D0D1A"/>
    <w:rsid w:val="005D2534"/>
    <w:rsid w:val="005D2BF4"/>
    <w:rsid w:val="005D48D2"/>
    <w:rsid w:val="005D4973"/>
    <w:rsid w:val="005D4E93"/>
    <w:rsid w:val="005D529D"/>
    <w:rsid w:val="005D5E20"/>
    <w:rsid w:val="005D5FAE"/>
    <w:rsid w:val="005D6CF8"/>
    <w:rsid w:val="005E249D"/>
    <w:rsid w:val="005E46C0"/>
    <w:rsid w:val="005E4BC9"/>
    <w:rsid w:val="005F054D"/>
    <w:rsid w:val="005F0C9F"/>
    <w:rsid w:val="005F0E28"/>
    <w:rsid w:val="005F29B7"/>
    <w:rsid w:val="005F3B3C"/>
    <w:rsid w:val="00606EB5"/>
    <w:rsid w:val="00606FC8"/>
    <w:rsid w:val="00612E39"/>
    <w:rsid w:val="00616C90"/>
    <w:rsid w:val="00617663"/>
    <w:rsid w:val="00617FAD"/>
    <w:rsid w:val="00617FDA"/>
    <w:rsid w:val="0062090B"/>
    <w:rsid w:val="0062116F"/>
    <w:rsid w:val="006212E3"/>
    <w:rsid w:val="00623B5E"/>
    <w:rsid w:val="00623FD7"/>
    <w:rsid w:val="00624701"/>
    <w:rsid w:val="00624D0D"/>
    <w:rsid w:val="00626087"/>
    <w:rsid w:val="00633401"/>
    <w:rsid w:val="00634921"/>
    <w:rsid w:val="00634E4C"/>
    <w:rsid w:val="00636B8B"/>
    <w:rsid w:val="006406D7"/>
    <w:rsid w:val="00641EAA"/>
    <w:rsid w:val="006427FE"/>
    <w:rsid w:val="00644872"/>
    <w:rsid w:val="00644D01"/>
    <w:rsid w:val="006450DB"/>
    <w:rsid w:val="006471DC"/>
    <w:rsid w:val="006506C1"/>
    <w:rsid w:val="00650726"/>
    <w:rsid w:val="0065090A"/>
    <w:rsid w:val="00654151"/>
    <w:rsid w:val="00657459"/>
    <w:rsid w:val="0065747A"/>
    <w:rsid w:val="00657B2C"/>
    <w:rsid w:val="00657EAF"/>
    <w:rsid w:val="00662E28"/>
    <w:rsid w:val="00663820"/>
    <w:rsid w:val="0066674D"/>
    <w:rsid w:val="00666A78"/>
    <w:rsid w:val="00667484"/>
    <w:rsid w:val="00670B59"/>
    <w:rsid w:val="00674B2B"/>
    <w:rsid w:val="00675C34"/>
    <w:rsid w:val="00676C12"/>
    <w:rsid w:val="006778BF"/>
    <w:rsid w:val="0068651A"/>
    <w:rsid w:val="00687AED"/>
    <w:rsid w:val="00690532"/>
    <w:rsid w:val="00690A01"/>
    <w:rsid w:val="006926FD"/>
    <w:rsid w:val="0069375D"/>
    <w:rsid w:val="0069407C"/>
    <w:rsid w:val="006947B1"/>
    <w:rsid w:val="00695668"/>
    <w:rsid w:val="0069574E"/>
    <w:rsid w:val="006969C0"/>
    <w:rsid w:val="00697CA4"/>
    <w:rsid w:val="006A0B81"/>
    <w:rsid w:val="006A1921"/>
    <w:rsid w:val="006A1B8B"/>
    <w:rsid w:val="006A2303"/>
    <w:rsid w:val="006A2C82"/>
    <w:rsid w:val="006A31F5"/>
    <w:rsid w:val="006A383B"/>
    <w:rsid w:val="006A555E"/>
    <w:rsid w:val="006A595D"/>
    <w:rsid w:val="006B0CD5"/>
    <w:rsid w:val="006B42E3"/>
    <w:rsid w:val="006B5592"/>
    <w:rsid w:val="006B76C6"/>
    <w:rsid w:val="006C0A14"/>
    <w:rsid w:val="006C1876"/>
    <w:rsid w:val="006D04B2"/>
    <w:rsid w:val="006D18C0"/>
    <w:rsid w:val="006D1D13"/>
    <w:rsid w:val="006D1F70"/>
    <w:rsid w:val="006D2A45"/>
    <w:rsid w:val="006D315C"/>
    <w:rsid w:val="006D31F5"/>
    <w:rsid w:val="006D4C35"/>
    <w:rsid w:val="006D71B8"/>
    <w:rsid w:val="006E0FB8"/>
    <w:rsid w:val="006E4272"/>
    <w:rsid w:val="006E4E04"/>
    <w:rsid w:val="006E62BE"/>
    <w:rsid w:val="006F04CD"/>
    <w:rsid w:val="006F145A"/>
    <w:rsid w:val="006F27CB"/>
    <w:rsid w:val="006F359B"/>
    <w:rsid w:val="006F4962"/>
    <w:rsid w:val="006F5865"/>
    <w:rsid w:val="00701EC6"/>
    <w:rsid w:val="00703235"/>
    <w:rsid w:val="00703B66"/>
    <w:rsid w:val="00706179"/>
    <w:rsid w:val="00706A4D"/>
    <w:rsid w:val="00706E90"/>
    <w:rsid w:val="007102AA"/>
    <w:rsid w:val="007134F8"/>
    <w:rsid w:val="00714F78"/>
    <w:rsid w:val="007152B0"/>
    <w:rsid w:val="007155CF"/>
    <w:rsid w:val="00716CFD"/>
    <w:rsid w:val="007170F7"/>
    <w:rsid w:val="00717589"/>
    <w:rsid w:val="00721EE1"/>
    <w:rsid w:val="00722F9F"/>
    <w:rsid w:val="00723871"/>
    <w:rsid w:val="007253B8"/>
    <w:rsid w:val="00732C47"/>
    <w:rsid w:val="0073543C"/>
    <w:rsid w:val="0073573B"/>
    <w:rsid w:val="00736E7D"/>
    <w:rsid w:val="007402A3"/>
    <w:rsid w:val="00740992"/>
    <w:rsid w:val="00741EDB"/>
    <w:rsid w:val="0074284B"/>
    <w:rsid w:val="00743AE5"/>
    <w:rsid w:val="007509A6"/>
    <w:rsid w:val="00752E20"/>
    <w:rsid w:val="00753F83"/>
    <w:rsid w:val="007541B0"/>
    <w:rsid w:val="0075469B"/>
    <w:rsid w:val="00755163"/>
    <w:rsid w:val="00756573"/>
    <w:rsid w:val="00756AAB"/>
    <w:rsid w:val="00757F63"/>
    <w:rsid w:val="007600B4"/>
    <w:rsid w:val="007605EB"/>
    <w:rsid w:val="00760B9F"/>
    <w:rsid w:val="00760C6A"/>
    <w:rsid w:val="0076414B"/>
    <w:rsid w:val="007645AE"/>
    <w:rsid w:val="00764992"/>
    <w:rsid w:val="00765749"/>
    <w:rsid w:val="00767471"/>
    <w:rsid w:val="007708EB"/>
    <w:rsid w:val="00771075"/>
    <w:rsid w:val="007720F8"/>
    <w:rsid w:val="00773588"/>
    <w:rsid w:val="0077507F"/>
    <w:rsid w:val="00775AA0"/>
    <w:rsid w:val="00776E6E"/>
    <w:rsid w:val="007770FA"/>
    <w:rsid w:val="0077787A"/>
    <w:rsid w:val="00791738"/>
    <w:rsid w:val="00791780"/>
    <w:rsid w:val="00792D37"/>
    <w:rsid w:val="0079390C"/>
    <w:rsid w:val="00795F4C"/>
    <w:rsid w:val="007A0EB7"/>
    <w:rsid w:val="007A3948"/>
    <w:rsid w:val="007A4639"/>
    <w:rsid w:val="007B1847"/>
    <w:rsid w:val="007B231E"/>
    <w:rsid w:val="007B2C90"/>
    <w:rsid w:val="007B2E49"/>
    <w:rsid w:val="007B5325"/>
    <w:rsid w:val="007B6871"/>
    <w:rsid w:val="007B6AEC"/>
    <w:rsid w:val="007B7899"/>
    <w:rsid w:val="007B7EDB"/>
    <w:rsid w:val="007C08B1"/>
    <w:rsid w:val="007C2CC2"/>
    <w:rsid w:val="007C38BD"/>
    <w:rsid w:val="007C79AA"/>
    <w:rsid w:val="007D1955"/>
    <w:rsid w:val="007D31DA"/>
    <w:rsid w:val="007D5CCC"/>
    <w:rsid w:val="007D68BF"/>
    <w:rsid w:val="007D6982"/>
    <w:rsid w:val="007D72C5"/>
    <w:rsid w:val="007E1D1C"/>
    <w:rsid w:val="007E2576"/>
    <w:rsid w:val="007E4A4B"/>
    <w:rsid w:val="007E525D"/>
    <w:rsid w:val="007E5A0D"/>
    <w:rsid w:val="007E7735"/>
    <w:rsid w:val="007E7B36"/>
    <w:rsid w:val="007F0323"/>
    <w:rsid w:val="007F3064"/>
    <w:rsid w:val="007F379E"/>
    <w:rsid w:val="007F471C"/>
    <w:rsid w:val="007F655F"/>
    <w:rsid w:val="00800C90"/>
    <w:rsid w:val="008039A6"/>
    <w:rsid w:val="00805ADC"/>
    <w:rsid w:val="00807092"/>
    <w:rsid w:val="0080714C"/>
    <w:rsid w:val="00810BEC"/>
    <w:rsid w:val="00811E9C"/>
    <w:rsid w:val="008125F8"/>
    <w:rsid w:val="008208A8"/>
    <w:rsid w:val="0082127D"/>
    <w:rsid w:val="00821EFD"/>
    <w:rsid w:val="008229D2"/>
    <w:rsid w:val="008234D8"/>
    <w:rsid w:val="00826012"/>
    <w:rsid w:val="00832914"/>
    <w:rsid w:val="00834010"/>
    <w:rsid w:val="00834CE0"/>
    <w:rsid w:val="00834E96"/>
    <w:rsid w:val="0084110F"/>
    <w:rsid w:val="00841D04"/>
    <w:rsid w:val="008435C8"/>
    <w:rsid w:val="00843D0C"/>
    <w:rsid w:val="00844B1D"/>
    <w:rsid w:val="00844F5C"/>
    <w:rsid w:val="00845843"/>
    <w:rsid w:val="00846D34"/>
    <w:rsid w:val="00854C33"/>
    <w:rsid w:val="008567D0"/>
    <w:rsid w:val="00860D91"/>
    <w:rsid w:val="00863020"/>
    <w:rsid w:val="008637EC"/>
    <w:rsid w:val="0086388B"/>
    <w:rsid w:val="008662DF"/>
    <w:rsid w:val="008664F6"/>
    <w:rsid w:val="00867F68"/>
    <w:rsid w:val="00870BC6"/>
    <w:rsid w:val="008719E8"/>
    <w:rsid w:val="00873384"/>
    <w:rsid w:val="008746DC"/>
    <w:rsid w:val="00875DAD"/>
    <w:rsid w:val="00876761"/>
    <w:rsid w:val="00877B84"/>
    <w:rsid w:val="00877E5F"/>
    <w:rsid w:val="0088036D"/>
    <w:rsid w:val="00881155"/>
    <w:rsid w:val="00882892"/>
    <w:rsid w:val="00885882"/>
    <w:rsid w:val="00885A14"/>
    <w:rsid w:val="0088689B"/>
    <w:rsid w:val="0088756A"/>
    <w:rsid w:val="008902F9"/>
    <w:rsid w:val="0089071E"/>
    <w:rsid w:val="00890FA0"/>
    <w:rsid w:val="00893C33"/>
    <w:rsid w:val="008947BF"/>
    <w:rsid w:val="0089671A"/>
    <w:rsid w:val="008A0CAB"/>
    <w:rsid w:val="008A0CBE"/>
    <w:rsid w:val="008A1CA8"/>
    <w:rsid w:val="008A214D"/>
    <w:rsid w:val="008A4A5B"/>
    <w:rsid w:val="008A6F4A"/>
    <w:rsid w:val="008A72D2"/>
    <w:rsid w:val="008A74A3"/>
    <w:rsid w:val="008B281E"/>
    <w:rsid w:val="008B6868"/>
    <w:rsid w:val="008B6D24"/>
    <w:rsid w:val="008C0619"/>
    <w:rsid w:val="008C34F7"/>
    <w:rsid w:val="008C4786"/>
    <w:rsid w:val="008C6A43"/>
    <w:rsid w:val="008C764D"/>
    <w:rsid w:val="008C7FD5"/>
    <w:rsid w:val="008D0626"/>
    <w:rsid w:val="008D080C"/>
    <w:rsid w:val="008D1867"/>
    <w:rsid w:val="008D31E6"/>
    <w:rsid w:val="008D5D22"/>
    <w:rsid w:val="008D6437"/>
    <w:rsid w:val="008D6EDF"/>
    <w:rsid w:val="008D7428"/>
    <w:rsid w:val="008E3EF5"/>
    <w:rsid w:val="008E4253"/>
    <w:rsid w:val="008E712A"/>
    <w:rsid w:val="008F32F5"/>
    <w:rsid w:val="008F33B5"/>
    <w:rsid w:val="008F6F2A"/>
    <w:rsid w:val="008F7FC6"/>
    <w:rsid w:val="009011B2"/>
    <w:rsid w:val="00901414"/>
    <w:rsid w:val="00903D27"/>
    <w:rsid w:val="00904D3C"/>
    <w:rsid w:val="009059C6"/>
    <w:rsid w:val="00906799"/>
    <w:rsid w:val="00906F29"/>
    <w:rsid w:val="00907E06"/>
    <w:rsid w:val="009136D0"/>
    <w:rsid w:val="00917BED"/>
    <w:rsid w:val="009205B7"/>
    <w:rsid w:val="00921181"/>
    <w:rsid w:val="00922193"/>
    <w:rsid w:val="00922C7C"/>
    <w:rsid w:val="00924152"/>
    <w:rsid w:val="00924D0A"/>
    <w:rsid w:val="00931747"/>
    <w:rsid w:val="0093194D"/>
    <w:rsid w:val="0093219D"/>
    <w:rsid w:val="00934C3F"/>
    <w:rsid w:val="00937846"/>
    <w:rsid w:val="00937D36"/>
    <w:rsid w:val="0094133B"/>
    <w:rsid w:val="009417AE"/>
    <w:rsid w:val="00943811"/>
    <w:rsid w:val="00945B3F"/>
    <w:rsid w:val="0095053B"/>
    <w:rsid w:val="00950DCB"/>
    <w:rsid w:val="00952D47"/>
    <w:rsid w:val="00952D4C"/>
    <w:rsid w:val="009535CD"/>
    <w:rsid w:val="00960246"/>
    <w:rsid w:val="009611CC"/>
    <w:rsid w:val="009618B4"/>
    <w:rsid w:val="0096365D"/>
    <w:rsid w:val="00970A8F"/>
    <w:rsid w:val="00971D47"/>
    <w:rsid w:val="009720E1"/>
    <w:rsid w:val="00973B71"/>
    <w:rsid w:val="00974F0E"/>
    <w:rsid w:val="00975CD7"/>
    <w:rsid w:val="00980CA1"/>
    <w:rsid w:val="00981886"/>
    <w:rsid w:val="009829CE"/>
    <w:rsid w:val="009859F3"/>
    <w:rsid w:val="00985E70"/>
    <w:rsid w:val="0098603F"/>
    <w:rsid w:val="0098783B"/>
    <w:rsid w:val="00993C2B"/>
    <w:rsid w:val="00994522"/>
    <w:rsid w:val="00995343"/>
    <w:rsid w:val="00996086"/>
    <w:rsid w:val="0099675C"/>
    <w:rsid w:val="0099798A"/>
    <w:rsid w:val="009979F4"/>
    <w:rsid w:val="009A246D"/>
    <w:rsid w:val="009A325F"/>
    <w:rsid w:val="009A45B2"/>
    <w:rsid w:val="009A5585"/>
    <w:rsid w:val="009A59D5"/>
    <w:rsid w:val="009B161B"/>
    <w:rsid w:val="009B23EC"/>
    <w:rsid w:val="009B2CB7"/>
    <w:rsid w:val="009C1194"/>
    <w:rsid w:val="009C2198"/>
    <w:rsid w:val="009C62A1"/>
    <w:rsid w:val="009C707B"/>
    <w:rsid w:val="009D1ED9"/>
    <w:rsid w:val="009D21D9"/>
    <w:rsid w:val="009D2DDD"/>
    <w:rsid w:val="009D2F27"/>
    <w:rsid w:val="009D438F"/>
    <w:rsid w:val="009D4F63"/>
    <w:rsid w:val="009D77B5"/>
    <w:rsid w:val="009E0449"/>
    <w:rsid w:val="009E0C10"/>
    <w:rsid w:val="009E1669"/>
    <w:rsid w:val="009E4116"/>
    <w:rsid w:val="009E49C4"/>
    <w:rsid w:val="009E529F"/>
    <w:rsid w:val="009F05D9"/>
    <w:rsid w:val="009F0D50"/>
    <w:rsid w:val="009F19AA"/>
    <w:rsid w:val="009F2EAB"/>
    <w:rsid w:val="009F37B2"/>
    <w:rsid w:val="009F3B38"/>
    <w:rsid w:val="009F4E53"/>
    <w:rsid w:val="009F5F78"/>
    <w:rsid w:val="009F708F"/>
    <w:rsid w:val="00A01602"/>
    <w:rsid w:val="00A016F9"/>
    <w:rsid w:val="00A06A80"/>
    <w:rsid w:val="00A10A71"/>
    <w:rsid w:val="00A10DA6"/>
    <w:rsid w:val="00A151E9"/>
    <w:rsid w:val="00A15DBB"/>
    <w:rsid w:val="00A259F2"/>
    <w:rsid w:val="00A25F21"/>
    <w:rsid w:val="00A26DCA"/>
    <w:rsid w:val="00A2758A"/>
    <w:rsid w:val="00A27B70"/>
    <w:rsid w:val="00A33802"/>
    <w:rsid w:val="00A33B81"/>
    <w:rsid w:val="00A34ADD"/>
    <w:rsid w:val="00A35E73"/>
    <w:rsid w:val="00A37162"/>
    <w:rsid w:val="00A37E51"/>
    <w:rsid w:val="00A465D0"/>
    <w:rsid w:val="00A50B51"/>
    <w:rsid w:val="00A5195E"/>
    <w:rsid w:val="00A51E2D"/>
    <w:rsid w:val="00A5319F"/>
    <w:rsid w:val="00A533A9"/>
    <w:rsid w:val="00A53690"/>
    <w:rsid w:val="00A53D76"/>
    <w:rsid w:val="00A54193"/>
    <w:rsid w:val="00A541FE"/>
    <w:rsid w:val="00A62D31"/>
    <w:rsid w:val="00A63380"/>
    <w:rsid w:val="00A67AF3"/>
    <w:rsid w:val="00A8129D"/>
    <w:rsid w:val="00A82188"/>
    <w:rsid w:val="00A84C38"/>
    <w:rsid w:val="00A865C7"/>
    <w:rsid w:val="00A909CC"/>
    <w:rsid w:val="00A92968"/>
    <w:rsid w:val="00A92E3B"/>
    <w:rsid w:val="00A942CA"/>
    <w:rsid w:val="00A964A5"/>
    <w:rsid w:val="00A966C5"/>
    <w:rsid w:val="00A9751F"/>
    <w:rsid w:val="00A97E3B"/>
    <w:rsid w:val="00AA00CB"/>
    <w:rsid w:val="00AA20A1"/>
    <w:rsid w:val="00AA41F2"/>
    <w:rsid w:val="00AA555F"/>
    <w:rsid w:val="00AB039E"/>
    <w:rsid w:val="00AB1362"/>
    <w:rsid w:val="00AB1D44"/>
    <w:rsid w:val="00AB1D98"/>
    <w:rsid w:val="00AB2FFA"/>
    <w:rsid w:val="00AB4206"/>
    <w:rsid w:val="00AB556C"/>
    <w:rsid w:val="00AB65E2"/>
    <w:rsid w:val="00AB6A42"/>
    <w:rsid w:val="00AB7DA4"/>
    <w:rsid w:val="00AC1727"/>
    <w:rsid w:val="00AC1D69"/>
    <w:rsid w:val="00AC6415"/>
    <w:rsid w:val="00AC6B54"/>
    <w:rsid w:val="00AC7E54"/>
    <w:rsid w:val="00AD2FF9"/>
    <w:rsid w:val="00AD42D3"/>
    <w:rsid w:val="00AD51FB"/>
    <w:rsid w:val="00AD72D9"/>
    <w:rsid w:val="00AE12C8"/>
    <w:rsid w:val="00AE1E45"/>
    <w:rsid w:val="00AE3BDB"/>
    <w:rsid w:val="00AE43C8"/>
    <w:rsid w:val="00AE6A4E"/>
    <w:rsid w:val="00AE7B98"/>
    <w:rsid w:val="00AE7E0C"/>
    <w:rsid w:val="00AF0E85"/>
    <w:rsid w:val="00AF129F"/>
    <w:rsid w:val="00AF67D4"/>
    <w:rsid w:val="00AF776D"/>
    <w:rsid w:val="00AF7877"/>
    <w:rsid w:val="00B064C1"/>
    <w:rsid w:val="00B06E21"/>
    <w:rsid w:val="00B07F39"/>
    <w:rsid w:val="00B12DC9"/>
    <w:rsid w:val="00B1386B"/>
    <w:rsid w:val="00B13F84"/>
    <w:rsid w:val="00B1430E"/>
    <w:rsid w:val="00B14604"/>
    <w:rsid w:val="00B1471C"/>
    <w:rsid w:val="00B155D3"/>
    <w:rsid w:val="00B15ABA"/>
    <w:rsid w:val="00B167B4"/>
    <w:rsid w:val="00B20FA0"/>
    <w:rsid w:val="00B211BD"/>
    <w:rsid w:val="00B24DD4"/>
    <w:rsid w:val="00B26344"/>
    <w:rsid w:val="00B3253A"/>
    <w:rsid w:val="00B33A8A"/>
    <w:rsid w:val="00B34339"/>
    <w:rsid w:val="00B355DA"/>
    <w:rsid w:val="00B40B7D"/>
    <w:rsid w:val="00B42B2F"/>
    <w:rsid w:val="00B42B7D"/>
    <w:rsid w:val="00B442DC"/>
    <w:rsid w:val="00B44900"/>
    <w:rsid w:val="00B4634C"/>
    <w:rsid w:val="00B467F6"/>
    <w:rsid w:val="00B472E1"/>
    <w:rsid w:val="00B526F9"/>
    <w:rsid w:val="00B52821"/>
    <w:rsid w:val="00B52F5F"/>
    <w:rsid w:val="00B53D43"/>
    <w:rsid w:val="00B55F0B"/>
    <w:rsid w:val="00B56C63"/>
    <w:rsid w:val="00B61C16"/>
    <w:rsid w:val="00B664C7"/>
    <w:rsid w:val="00B670E9"/>
    <w:rsid w:val="00B678F6"/>
    <w:rsid w:val="00B71134"/>
    <w:rsid w:val="00B71170"/>
    <w:rsid w:val="00B736E7"/>
    <w:rsid w:val="00B7429A"/>
    <w:rsid w:val="00B7688A"/>
    <w:rsid w:val="00B77B57"/>
    <w:rsid w:val="00B807E2"/>
    <w:rsid w:val="00B80BCE"/>
    <w:rsid w:val="00B81524"/>
    <w:rsid w:val="00B81740"/>
    <w:rsid w:val="00B82726"/>
    <w:rsid w:val="00B83542"/>
    <w:rsid w:val="00B83763"/>
    <w:rsid w:val="00B85D7B"/>
    <w:rsid w:val="00B900EA"/>
    <w:rsid w:val="00B91069"/>
    <w:rsid w:val="00B9229D"/>
    <w:rsid w:val="00B92842"/>
    <w:rsid w:val="00B92E16"/>
    <w:rsid w:val="00B93C4B"/>
    <w:rsid w:val="00B93C8A"/>
    <w:rsid w:val="00B93DF1"/>
    <w:rsid w:val="00B94CD6"/>
    <w:rsid w:val="00B96CBD"/>
    <w:rsid w:val="00BA0B5D"/>
    <w:rsid w:val="00BA2713"/>
    <w:rsid w:val="00BA2941"/>
    <w:rsid w:val="00BA3358"/>
    <w:rsid w:val="00BA40B6"/>
    <w:rsid w:val="00BA4C61"/>
    <w:rsid w:val="00BA627A"/>
    <w:rsid w:val="00BB22FA"/>
    <w:rsid w:val="00BC1E70"/>
    <w:rsid w:val="00BD0C34"/>
    <w:rsid w:val="00BD12A1"/>
    <w:rsid w:val="00BD1D09"/>
    <w:rsid w:val="00BD6315"/>
    <w:rsid w:val="00BD7B83"/>
    <w:rsid w:val="00BD7E5A"/>
    <w:rsid w:val="00BE0249"/>
    <w:rsid w:val="00BE03F2"/>
    <w:rsid w:val="00BE0662"/>
    <w:rsid w:val="00BE0C04"/>
    <w:rsid w:val="00BE625B"/>
    <w:rsid w:val="00BF17C6"/>
    <w:rsid w:val="00BF1A95"/>
    <w:rsid w:val="00BF6293"/>
    <w:rsid w:val="00BF6F09"/>
    <w:rsid w:val="00BF7F8A"/>
    <w:rsid w:val="00C00FDA"/>
    <w:rsid w:val="00C02EB9"/>
    <w:rsid w:val="00C0373C"/>
    <w:rsid w:val="00C04E4B"/>
    <w:rsid w:val="00C052D9"/>
    <w:rsid w:val="00C057F1"/>
    <w:rsid w:val="00C10A2F"/>
    <w:rsid w:val="00C11531"/>
    <w:rsid w:val="00C11B56"/>
    <w:rsid w:val="00C1424C"/>
    <w:rsid w:val="00C14C04"/>
    <w:rsid w:val="00C1527E"/>
    <w:rsid w:val="00C1529E"/>
    <w:rsid w:val="00C15A8F"/>
    <w:rsid w:val="00C16045"/>
    <w:rsid w:val="00C16050"/>
    <w:rsid w:val="00C175CC"/>
    <w:rsid w:val="00C21E27"/>
    <w:rsid w:val="00C2332A"/>
    <w:rsid w:val="00C24912"/>
    <w:rsid w:val="00C25F3C"/>
    <w:rsid w:val="00C3063A"/>
    <w:rsid w:val="00C312D1"/>
    <w:rsid w:val="00C3686B"/>
    <w:rsid w:val="00C37BAE"/>
    <w:rsid w:val="00C41834"/>
    <w:rsid w:val="00C42500"/>
    <w:rsid w:val="00C42EA5"/>
    <w:rsid w:val="00C43C0A"/>
    <w:rsid w:val="00C50072"/>
    <w:rsid w:val="00C56035"/>
    <w:rsid w:val="00C56A2C"/>
    <w:rsid w:val="00C61BD9"/>
    <w:rsid w:val="00C62BF5"/>
    <w:rsid w:val="00C636DA"/>
    <w:rsid w:val="00C63DAE"/>
    <w:rsid w:val="00C67E22"/>
    <w:rsid w:val="00C70A99"/>
    <w:rsid w:val="00C72271"/>
    <w:rsid w:val="00C72A17"/>
    <w:rsid w:val="00C74603"/>
    <w:rsid w:val="00C76671"/>
    <w:rsid w:val="00C81356"/>
    <w:rsid w:val="00C813CA"/>
    <w:rsid w:val="00C813CD"/>
    <w:rsid w:val="00C84654"/>
    <w:rsid w:val="00C858D9"/>
    <w:rsid w:val="00C86A64"/>
    <w:rsid w:val="00C87DA0"/>
    <w:rsid w:val="00C915DA"/>
    <w:rsid w:val="00C96BDA"/>
    <w:rsid w:val="00CA26C1"/>
    <w:rsid w:val="00CA2DAA"/>
    <w:rsid w:val="00CA4E4D"/>
    <w:rsid w:val="00CA6FF9"/>
    <w:rsid w:val="00CA73DA"/>
    <w:rsid w:val="00CB2E3D"/>
    <w:rsid w:val="00CB4238"/>
    <w:rsid w:val="00CB5938"/>
    <w:rsid w:val="00CB5B27"/>
    <w:rsid w:val="00CC13F5"/>
    <w:rsid w:val="00CC16DE"/>
    <w:rsid w:val="00CC1A64"/>
    <w:rsid w:val="00CC30A1"/>
    <w:rsid w:val="00CC3154"/>
    <w:rsid w:val="00CC34EB"/>
    <w:rsid w:val="00CC4C58"/>
    <w:rsid w:val="00CC50DD"/>
    <w:rsid w:val="00CC66EA"/>
    <w:rsid w:val="00CD0329"/>
    <w:rsid w:val="00CD081F"/>
    <w:rsid w:val="00CD1253"/>
    <w:rsid w:val="00CD3C17"/>
    <w:rsid w:val="00CE0C50"/>
    <w:rsid w:val="00CE1776"/>
    <w:rsid w:val="00CE1F9C"/>
    <w:rsid w:val="00CE2E48"/>
    <w:rsid w:val="00CE6F79"/>
    <w:rsid w:val="00CF0184"/>
    <w:rsid w:val="00CF22CA"/>
    <w:rsid w:val="00CF3E83"/>
    <w:rsid w:val="00CF42C2"/>
    <w:rsid w:val="00CF46D3"/>
    <w:rsid w:val="00CF52F5"/>
    <w:rsid w:val="00CF55F6"/>
    <w:rsid w:val="00CF59E0"/>
    <w:rsid w:val="00CF6672"/>
    <w:rsid w:val="00D0122E"/>
    <w:rsid w:val="00D021F7"/>
    <w:rsid w:val="00D0248E"/>
    <w:rsid w:val="00D069C7"/>
    <w:rsid w:val="00D078A2"/>
    <w:rsid w:val="00D13B29"/>
    <w:rsid w:val="00D1490F"/>
    <w:rsid w:val="00D17490"/>
    <w:rsid w:val="00D21123"/>
    <w:rsid w:val="00D21142"/>
    <w:rsid w:val="00D2338F"/>
    <w:rsid w:val="00D233D2"/>
    <w:rsid w:val="00D24493"/>
    <w:rsid w:val="00D26BB7"/>
    <w:rsid w:val="00D26C5F"/>
    <w:rsid w:val="00D2715C"/>
    <w:rsid w:val="00D274ED"/>
    <w:rsid w:val="00D367EB"/>
    <w:rsid w:val="00D36C91"/>
    <w:rsid w:val="00D41871"/>
    <w:rsid w:val="00D45954"/>
    <w:rsid w:val="00D4613B"/>
    <w:rsid w:val="00D461C2"/>
    <w:rsid w:val="00D50A0A"/>
    <w:rsid w:val="00D5162F"/>
    <w:rsid w:val="00D5230B"/>
    <w:rsid w:val="00D55A36"/>
    <w:rsid w:val="00D55B27"/>
    <w:rsid w:val="00D56D61"/>
    <w:rsid w:val="00D575EC"/>
    <w:rsid w:val="00D60B57"/>
    <w:rsid w:val="00D615C7"/>
    <w:rsid w:val="00D61AAE"/>
    <w:rsid w:val="00D62848"/>
    <w:rsid w:val="00D64302"/>
    <w:rsid w:val="00D64CB8"/>
    <w:rsid w:val="00D6702C"/>
    <w:rsid w:val="00D67BB9"/>
    <w:rsid w:val="00D67D1B"/>
    <w:rsid w:val="00D720AE"/>
    <w:rsid w:val="00D72FD8"/>
    <w:rsid w:val="00D7529F"/>
    <w:rsid w:val="00D75AD8"/>
    <w:rsid w:val="00D76304"/>
    <w:rsid w:val="00D77037"/>
    <w:rsid w:val="00D80076"/>
    <w:rsid w:val="00D812E6"/>
    <w:rsid w:val="00D82EA5"/>
    <w:rsid w:val="00D8525E"/>
    <w:rsid w:val="00D85803"/>
    <w:rsid w:val="00D92A45"/>
    <w:rsid w:val="00D94759"/>
    <w:rsid w:val="00D96552"/>
    <w:rsid w:val="00D9697A"/>
    <w:rsid w:val="00DA152B"/>
    <w:rsid w:val="00DA1C02"/>
    <w:rsid w:val="00DA2B14"/>
    <w:rsid w:val="00DA3023"/>
    <w:rsid w:val="00DA4C48"/>
    <w:rsid w:val="00DA53A4"/>
    <w:rsid w:val="00DA5B10"/>
    <w:rsid w:val="00DA727D"/>
    <w:rsid w:val="00DA7980"/>
    <w:rsid w:val="00DB0DF9"/>
    <w:rsid w:val="00DB14D9"/>
    <w:rsid w:val="00DB3022"/>
    <w:rsid w:val="00DB3B5D"/>
    <w:rsid w:val="00DB4C02"/>
    <w:rsid w:val="00DB53A7"/>
    <w:rsid w:val="00DB5C8E"/>
    <w:rsid w:val="00DB6796"/>
    <w:rsid w:val="00DC03ED"/>
    <w:rsid w:val="00DC1CB6"/>
    <w:rsid w:val="00DC3DC9"/>
    <w:rsid w:val="00DC7240"/>
    <w:rsid w:val="00DD170F"/>
    <w:rsid w:val="00DD3524"/>
    <w:rsid w:val="00DD3C66"/>
    <w:rsid w:val="00DD7B07"/>
    <w:rsid w:val="00DD7F67"/>
    <w:rsid w:val="00DE0A8A"/>
    <w:rsid w:val="00DE1106"/>
    <w:rsid w:val="00DE303B"/>
    <w:rsid w:val="00DE4013"/>
    <w:rsid w:val="00DE58B9"/>
    <w:rsid w:val="00DF1EB2"/>
    <w:rsid w:val="00DF2F8B"/>
    <w:rsid w:val="00DF6837"/>
    <w:rsid w:val="00DF68E4"/>
    <w:rsid w:val="00DF6BF0"/>
    <w:rsid w:val="00DF6E54"/>
    <w:rsid w:val="00DF7C02"/>
    <w:rsid w:val="00E00AD9"/>
    <w:rsid w:val="00E03A10"/>
    <w:rsid w:val="00E04228"/>
    <w:rsid w:val="00E04457"/>
    <w:rsid w:val="00E04BBC"/>
    <w:rsid w:val="00E10450"/>
    <w:rsid w:val="00E1158A"/>
    <w:rsid w:val="00E141B6"/>
    <w:rsid w:val="00E1478E"/>
    <w:rsid w:val="00E159D7"/>
    <w:rsid w:val="00E15A57"/>
    <w:rsid w:val="00E15B3C"/>
    <w:rsid w:val="00E1647E"/>
    <w:rsid w:val="00E169BF"/>
    <w:rsid w:val="00E170AA"/>
    <w:rsid w:val="00E213AB"/>
    <w:rsid w:val="00E21653"/>
    <w:rsid w:val="00E21869"/>
    <w:rsid w:val="00E2197C"/>
    <w:rsid w:val="00E21C9B"/>
    <w:rsid w:val="00E22FD8"/>
    <w:rsid w:val="00E23A27"/>
    <w:rsid w:val="00E2414E"/>
    <w:rsid w:val="00E2444F"/>
    <w:rsid w:val="00E25E14"/>
    <w:rsid w:val="00E26830"/>
    <w:rsid w:val="00E26FAF"/>
    <w:rsid w:val="00E2766B"/>
    <w:rsid w:val="00E27BA4"/>
    <w:rsid w:val="00E320F1"/>
    <w:rsid w:val="00E32B9B"/>
    <w:rsid w:val="00E3416E"/>
    <w:rsid w:val="00E34ADE"/>
    <w:rsid w:val="00E40B36"/>
    <w:rsid w:val="00E4581A"/>
    <w:rsid w:val="00E50758"/>
    <w:rsid w:val="00E51672"/>
    <w:rsid w:val="00E51A21"/>
    <w:rsid w:val="00E51C2C"/>
    <w:rsid w:val="00E522FC"/>
    <w:rsid w:val="00E5312A"/>
    <w:rsid w:val="00E55EE5"/>
    <w:rsid w:val="00E56152"/>
    <w:rsid w:val="00E61784"/>
    <w:rsid w:val="00E625B3"/>
    <w:rsid w:val="00E64743"/>
    <w:rsid w:val="00E71ED2"/>
    <w:rsid w:val="00E7257D"/>
    <w:rsid w:val="00E728CB"/>
    <w:rsid w:val="00E7336F"/>
    <w:rsid w:val="00E73DCF"/>
    <w:rsid w:val="00E746F2"/>
    <w:rsid w:val="00E74F3B"/>
    <w:rsid w:val="00E76262"/>
    <w:rsid w:val="00E764D3"/>
    <w:rsid w:val="00E80A57"/>
    <w:rsid w:val="00E812B5"/>
    <w:rsid w:val="00E84A6B"/>
    <w:rsid w:val="00E854C0"/>
    <w:rsid w:val="00E873CF"/>
    <w:rsid w:val="00E92385"/>
    <w:rsid w:val="00E9368C"/>
    <w:rsid w:val="00E93F74"/>
    <w:rsid w:val="00E96DEA"/>
    <w:rsid w:val="00E97E4D"/>
    <w:rsid w:val="00EA1585"/>
    <w:rsid w:val="00EA1FBD"/>
    <w:rsid w:val="00EA332C"/>
    <w:rsid w:val="00EA48AE"/>
    <w:rsid w:val="00EA7E90"/>
    <w:rsid w:val="00EB05B0"/>
    <w:rsid w:val="00EB09E2"/>
    <w:rsid w:val="00EB0FDC"/>
    <w:rsid w:val="00EB15A6"/>
    <w:rsid w:val="00EB187C"/>
    <w:rsid w:val="00EB534C"/>
    <w:rsid w:val="00EB5CD8"/>
    <w:rsid w:val="00EB6A5C"/>
    <w:rsid w:val="00EB74A5"/>
    <w:rsid w:val="00EC67E3"/>
    <w:rsid w:val="00EC7A05"/>
    <w:rsid w:val="00ED0355"/>
    <w:rsid w:val="00ED07B3"/>
    <w:rsid w:val="00ED4C82"/>
    <w:rsid w:val="00ED6EB2"/>
    <w:rsid w:val="00ED6EE0"/>
    <w:rsid w:val="00EE0126"/>
    <w:rsid w:val="00EE0C89"/>
    <w:rsid w:val="00EE0E4F"/>
    <w:rsid w:val="00EE1A9E"/>
    <w:rsid w:val="00EE2683"/>
    <w:rsid w:val="00EE47FE"/>
    <w:rsid w:val="00EE4F0F"/>
    <w:rsid w:val="00EE50C6"/>
    <w:rsid w:val="00EE5D41"/>
    <w:rsid w:val="00EE766D"/>
    <w:rsid w:val="00EE79AD"/>
    <w:rsid w:val="00EF2A15"/>
    <w:rsid w:val="00EF5202"/>
    <w:rsid w:val="00EF5BFD"/>
    <w:rsid w:val="00EF7B33"/>
    <w:rsid w:val="00F00470"/>
    <w:rsid w:val="00F01C6F"/>
    <w:rsid w:val="00F0509B"/>
    <w:rsid w:val="00F06EE2"/>
    <w:rsid w:val="00F074DC"/>
    <w:rsid w:val="00F07C0B"/>
    <w:rsid w:val="00F13B96"/>
    <w:rsid w:val="00F15632"/>
    <w:rsid w:val="00F16191"/>
    <w:rsid w:val="00F17535"/>
    <w:rsid w:val="00F20949"/>
    <w:rsid w:val="00F2120B"/>
    <w:rsid w:val="00F24F8F"/>
    <w:rsid w:val="00F303B2"/>
    <w:rsid w:val="00F307E0"/>
    <w:rsid w:val="00F34D63"/>
    <w:rsid w:val="00F36E0C"/>
    <w:rsid w:val="00F410D7"/>
    <w:rsid w:val="00F411CA"/>
    <w:rsid w:val="00F41BD7"/>
    <w:rsid w:val="00F42F23"/>
    <w:rsid w:val="00F45374"/>
    <w:rsid w:val="00F45E52"/>
    <w:rsid w:val="00F516EA"/>
    <w:rsid w:val="00F529F3"/>
    <w:rsid w:val="00F57F5B"/>
    <w:rsid w:val="00F57F7A"/>
    <w:rsid w:val="00F62D33"/>
    <w:rsid w:val="00F64AB3"/>
    <w:rsid w:val="00F655AA"/>
    <w:rsid w:val="00F6570B"/>
    <w:rsid w:val="00F66681"/>
    <w:rsid w:val="00F66FEA"/>
    <w:rsid w:val="00F67615"/>
    <w:rsid w:val="00F677B3"/>
    <w:rsid w:val="00F7449D"/>
    <w:rsid w:val="00F76C98"/>
    <w:rsid w:val="00F804CD"/>
    <w:rsid w:val="00F80750"/>
    <w:rsid w:val="00F80CE7"/>
    <w:rsid w:val="00F81C2A"/>
    <w:rsid w:val="00F826F6"/>
    <w:rsid w:val="00F85F59"/>
    <w:rsid w:val="00F86220"/>
    <w:rsid w:val="00F86538"/>
    <w:rsid w:val="00F86717"/>
    <w:rsid w:val="00F86DD4"/>
    <w:rsid w:val="00F87701"/>
    <w:rsid w:val="00F8792B"/>
    <w:rsid w:val="00F902A6"/>
    <w:rsid w:val="00F921A4"/>
    <w:rsid w:val="00F97C7A"/>
    <w:rsid w:val="00FA2909"/>
    <w:rsid w:val="00FA3CEC"/>
    <w:rsid w:val="00FA6527"/>
    <w:rsid w:val="00FA6F3F"/>
    <w:rsid w:val="00FB26F2"/>
    <w:rsid w:val="00FB321C"/>
    <w:rsid w:val="00FB4CF2"/>
    <w:rsid w:val="00FB6E58"/>
    <w:rsid w:val="00FC071B"/>
    <w:rsid w:val="00FC4845"/>
    <w:rsid w:val="00FC6B03"/>
    <w:rsid w:val="00FD0224"/>
    <w:rsid w:val="00FD06D5"/>
    <w:rsid w:val="00FD164A"/>
    <w:rsid w:val="00FD28FF"/>
    <w:rsid w:val="00FD4580"/>
    <w:rsid w:val="00FD68A1"/>
    <w:rsid w:val="00FD6A11"/>
    <w:rsid w:val="00FD6A3A"/>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876623869">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
        <AccountId xsi:nil="true"/>
        <AccountType/>
      </UserInfo>
    </SharedWithUsers>
    <APRASecurityClassification xmlns="92a8a7e8-49a1-4017-acf0-0edc7cce208b" xsi:nil="true"/>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purl.org/dc/dcmitype/"/>
    <ds:schemaRef ds:uri="http://schemas.microsoft.com/office/2006/documentManagement/types"/>
    <ds:schemaRef ds:uri="http://purl.org/dc/elements/1.1/"/>
    <ds:schemaRef ds:uri="http://www.w3.org/XML/1998/namespace"/>
    <ds:schemaRef ds:uri="19950b9c-69ba-4c9a-93bc-55ff189ad0aa"/>
    <ds:schemaRef ds:uri="http://schemas.microsoft.com/office/infopath/2007/PartnerControls"/>
    <ds:schemaRef ds:uri="http://schemas.openxmlformats.org/package/2006/metadata/core-properties"/>
    <ds:schemaRef ds:uri="95c2d1d2-c827-46ba-beaf-02b545c4f6c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01A62EA-D550-419A-BF2E-A1015D164594}"/>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2528</Words>
  <Characters>14174</Characters>
  <Application>Microsoft Office Word</Application>
  <DocSecurity>0</DocSecurity>
  <Lines>232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2024-07-29T01:39:00Z</cp:lastPrinted>
  <dcterms:created xsi:type="dcterms:W3CDTF">2025-06-04T03:45:00Z</dcterms:created>
  <dcterms:modified xsi:type="dcterms:W3CDTF">2025-06-04T03:45:00Z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DocumentSetDescription">
    <vt:lpwstr/>
  </property>
  <property fmtid="{D5CDD505-2E9C-101B-9397-08002B2CF9AE}" pid="62" name="xd_ProgID">
    <vt:lpwstr/>
  </property>
  <property fmtid="{D5CDD505-2E9C-101B-9397-08002B2CF9AE}" pid="63" name="TemplateUrl">
    <vt:lpwstr/>
  </property>
  <property fmtid="{D5CDD505-2E9C-101B-9397-08002B2CF9AE}" pid="64" name="xd_Signature">
    <vt:bool>false</vt:bool>
  </property>
  <property fmtid="{D5CDD505-2E9C-101B-9397-08002B2CF9AE}" pid="65" name="PM_Hash_Salt_Prev">
    <vt:lpwstr>344B5D34EAE9228703D0B34DDD2CDFA9</vt:lpwstr>
  </property>
  <property fmtid="{D5CDD505-2E9C-101B-9397-08002B2CF9AE}" pid="66" name="PM_Hash_Salt">
    <vt:lpwstr>6CDB95BC2BB99E5CD22CEC458593CA2C</vt:lpwstr>
  </property>
  <property fmtid="{D5CDD505-2E9C-101B-9397-08002B2CF9AE}" pid="67" name="PM_Hash_SHA1">
    <vt:lpwstr>700A2CBE007BCFA9F65ADAF6071EE078FBB61A95</vt:lpwstr>
  </property>
  <property fmtid="{D5CDD505-2E9C-101B-9397-08002B2CF9AE}" pid="68" name="PMHMAC">
    <vt:lpwstr>v=2022.1;a=SHA256;h=7558464D508C5B4E1A7FB04FA0265B657DE91533ADC7F19730AA3C33E2F13144</vt:lpwstr>
  </property>
  <property fmtid="{D5CDD505-2E9C-101B-9397-08002B2CF9AE}" pid="69" name="MSIP_Label_c0129afb-6481-4f92-bc9f-5a4a6346364d_ActionId">
    <vt:lpwstr>0d87ad6136c34cb4996984f9baa3e4c9</vt:lpwstr>
  </property>
  <property fmtid="{D5CDD505-2E9C-101B-9397-08002B2CF9AE}" pid="70" name="PM_Originator_Hash_SHA1">
    <vt:lpwstr>C3AD57350F36D8E1BD75F8F67CB06D435C9C43CA</vt:lpwstr>
  </property>
  <property fmtid="{D5CDD505-2E9C-101B-9397-08002B2CF9AE}" pid="71" name="PM_OriginatorUserAccountName_SHA256">
    <vt:lpwstr>6E3018F28A186D2E5FF5207C041E7A82E907C3008E071057026A53705873B72E</vt:lpwstr>
  </property>
</Properties>
</file>