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917DB" w14:textId="77777777" w:rsidR="00FA6E85" w:rsidRPr="0041615C" w:rsidRDefault="00FA6E85" w:rsidP="0041615C">
      <w:pPr>
        <w:tabs>
          <w:tab w:val="center" w:pos="4156"/>
          <w:tab w:val="left" w:pos="6834"/>
        </w:tabs>
        <w:autoSpaceDE w:val="0"/>
        <w:autoSpaceDN w:val="0"/>
        <w:spacing w:after="120"/>
        <w:jc w:val="center"/>
        <w:rPr>
          <w:b/>
          <w:u w:val="single"/>
        </w:rPr>
      </w:pPr>
      <w:bookmarkStart w:id="0" w:name="_GoBack"/>
      <w:bookmarkEnd w:id="0"/>
      <w:r w:rsidRPr="0041615C">
        <w:rPr>
          <w:b/>
          <w:u w:val="single"/>
        </w:rPr>
        <w:t>EXPLANATORY STATEMENT</w:t>
      </w:r>
    </w:p>
    <w:p w14:paraId="3484E342" w14:textId="77777777" w:rsidR="0041615C" w:rsidRPr="0041615C" w:rsidRDefault="0041615C" w:rsidP="0041615C">
      <w:pPr>
        <w:autoSpaceDE w:val="0"/>
        <w:autoSpaceDN w:val="0"/>
        <w:spacing w:before="160" w:after="40"/>
        <w:jc w:val="center"/>
      </w:pPr>
      <w:r w:rsidRPr="0041615C">
        <w:t>Issued by the authority of the Australian Public Service Commissioner</w:t>
      </w:r>
    </w:p>
    <w:p w14:paraId="690F2561" w14:textId="77777777" w:rsidR="00FA6E85" w:rsidRDefault="00FA6E85" w:rsidP="00FA6E85">
      <w:pPr>
        <w:spacing w:before="100" w:beforeAutospacing="1" w:after="240"/>
        <w:jc w:val="center"/>
      </w:pPr>
      <w:r>
        <w:rPr>
          <w:i/>
          <w:iCs/>
        </w:rPr>
        <w:t>Public Service Act 1999</w:t>
      </w:r>
    </w:p>
    <w:p w14:paraId="0519E23E" w14:textId="057C3A69" w:rsidR="00FA6E85" w:rsidRPr="00E14E21" w:rsidRDefault="00FA6E85" w:rsidP="00FA6E85">
      <w:pPr>
        <w:spacing w:before="100" w:beforeAutospacing="1" w:after="240"/>
        <w:jc w:val="center"/>
      </w:pPr>
      <w:r>
        <w:rPr>
          <w:b/>
          <w:bCs/>
        </w:rPr>
        <w:t xml:space="preserve">Public Service Classification </w:t>
      </w:r>
      <w:r w:rsidR="00E14E21">
        <w:rPr>
          <w:b/>
          <w:bCs/>
        </w:rPr>
        <w:t>Amendment (</w:t>
      </w:r>
      <w:r w:rsidR="005B70C8" w:rsidRPr="005B70C8">
        <w:rPr>
          <w:b/>
          <w:bCs/>
        </w:rPr>
        <w:t>202</w:t>
      </w:r>
      <w:r w:rsidR="00F25817">
        <w:rPr>
          <w:b/>
          <w:bCs/>
        </w:rPr>
        <w:t>5</w:t>
      </w:r>
      <w:r w:rsidR="005B70C8" w:rsidRPr="005B70C8">
        <w:rPr>
          <w:b/>
          <w:bCs/>
        </w:rPr>
        <w:t xml:space="preserve"> Measures No. 1</w:t>
      </w:r>
      <w:r w:rsidR="00E14E21">
        <w:rPr>
          <w:b/>
          <w:bCs/>
        </w:rPr>
        <w:t>)</w:t>
      </w:r>
      <w:r>
        <w:rPr>
          <w:b/>
          <w:bCs/>
        </w:rPr>
        <w:t xml:space="preserve"> </w:t>
      </w:r>
      <w:r w:rsidR="00E14E21" w:rsidRPr="00E14E21">
        <w:rPr>
          <w:b/>
          <w:bCs/>
        </w:rPr>
        <w:t>Rule</w:t>
      </w:r>
      <w:r w:rsidR="00F25817">
        <w:rPr>
          <w:b/>
          <w:bCs/>
        </w:rPr>
        <w:t>s</w:t>
      </w:r>
      <w:r w:rsidR="00E14E21" w:rsidRPr="00E14E21">
        <w:rPr>
          <w:b/>
          <w:bCs/>
        </w:rPr>
        <w:t xml:space="preserve"> </w:t>
      </w:r>
      <w:r w:rsidRPr="00E14E21">
        <w:rPr>
          <w:b/>
          <w:bCs/>
        </w:rPr>
        <w:t>20</w:t>
      </w:r>
      <w:r w:rsidR="00F25817">
        <w:rPr>
          <w:b/>
          <w:bCs/>
        </w:rPr>
        <w:t>25</w:t>
      </w:r>
    </w:p>
    <w:p w14:paraId="49313650" w14:textId="77777777" w:rsidR="00DB6FF6" w:rsidRPr="00F63828" w:rsidRDefault="00DB6FF6" w:rsidP="00F63828">
      <w:pPr>
        <w:spacing w:before="120" w:after="120"/>
        <w:rPr>
          <w:b/>
          <w:lang w:val="en-US"/>
        </w:rPr>
      </w:pPr>
      <w:r w:rsidRPr="00F63828">
        <w:rPr>
          <w:b/>
          <w:lang w:val="en-US"/>
        </w:rPr>
        <w:t>Background</w:t>
      </w:r>
    </w:p>
    <w:p w14:paraId="7FFD7FD6" w14:textId="0DB6A42D" w:rsidR="00DB6FF6" w:rsidRDefault="00DB6FF6" w:rsidP="00C0438B">
      <w:pPr>
        <w:spacing w:before="120" w:after="120"/>
      </w:pPr>
      <w:r>
        <w:t xml:space="preserve">The </w:t>
      </w:r>
      <w:r w:rsidR="000F49C8" w:rsidRPr="009D26D1">
        <w:rPr>
          <w:i/>
        </w:rPr>
        <w:t>P</w:t>
      </w:r>
      <w:r w:rsidR="00BF1ADF" w:rsidRPr="009D26D1">
        <w:rPr>
          <w:i/>
        </w:rPr>
        <w:t xml:space="preserve">ublic </w:t>
      </w:r>
      <w:r w:rsidR="000F49C8" w:rsidRPr="009D26D1">
        <w:rPr>
          <w:i/>
        </w:rPr>
        <w:t>S</w:t>
      </w:r>
      <w:r w:rsidR="00BF1ADF" w:rsidRPr="009D26D1">
        <w:rPr>
          <w:i/>
        </w:rPr>
        <w:t>ervice</w:t>
      </w:r>
      <w:r w:rsidR="000F49C8" w:rsidRPr="009D26D1">
        <w:rPr>
          <w:i/>
        </w:rPr>
        <w:t xml:space="preserve"> </w:t>
      </w:r>
      <w:r w:rsidRPr="009D26D1">
        <w:rPr>
          <w:i/>
        </w:rPr>
        <w:t>Act</w:t>
      </w:r>
      <w:r w:rsidR="00BF1ADF" w:rsidRPr="009D26D1">
        <w:rPr>
          <w:i/>
        </w:rPr>
        <w:t xml:space="preserve"> 1999</w:t>
      </w:r>
      <w:r w:rsidR="00BF1ADF">
        <w:t xml:space="preserve"> (PS Act)</w:t>
      </w:r>
      <w:r>
        <w:t xml:space="preserve"> provides for the establishment and management of the APS. </w:t>
      </w:r>
    </w:p>
    <w:p w14:paraId="3B1E40B5" w14:textId="7C4837C1" w:rsidR="00DD5296" w:rsidRDefault="00DB6FF6" w:rsidP="00C0438B">
      <w:pPr>
        <w:spacing w:before="120" w:after="120"/>
        <w:rPr>
          <w:lang w:val="en-US"/>
        </w:rPr>
      </w:pPr>
      <w:r w:rsidRPr="001141B4">
        <w:rPr>
          <w:lang w:val="en-US"/>
        </w:rPr>
        <w:t xml:space="preserve">The </w:t>
      </w:r>
      <w:r w:rsidRPr="001141B4">
        <w:rPr>
          <w:i/>
          <w:lang w:val="en-US"/>
        </w:rPr>
        <w:t>Public Service Classification Rules 2000</w:t>
      </w:r>
      <w:r w:rsidRPr="001141B4">
        <w:rPr>
          <w:lang w:val="en-US"/>
        </w:rPr>
        <w:t xml:space="preserve"> (</w:t>
      </w:r>
      <w:r w:rsidR="00D136EE" w:rsidRPr="001141B4">
        <w:rPr>
          <w:lang w:val="en-US"/>
        </w:rPr>
        <w:t xml:space="preserve">the </w:t>
      </w:r>
      <w:r w:rsidRPr="001141B4">
        <w:rPr>
          <w:lang w:val="en-US"/>
        </w:rPr>
        <w:t>Classification Rules)</w:t>
      </w:r>
      <w:r w:rsidRPr="00DB6FF6">
        <w:rPr>
          <w:lang w:val="en-US"/>
        </w:rPr>
        <w:t xml:space="preserve"> </w:t>
      </w:r>
      <w:r w:rsidR="001141B4">
        <w:rPr>
          <w:lang w:val="en-US"/>
        </w:rPr>
        <w:t xml:space="preserve">made under subsection 23(1) of the PS Act </w:t>
      </w:r>
      <w:r w:rsidR="00DE7528" w:rsidRPr="00DE7528">
        <w:rPr>
          <w:lang w:val="en-US"/>
        </w:rPr>
        <w:t>provide a systematic</w:t>
      </w:r>
      <w:r w:rsidR="005D34A0">
        <w:rPr>
          <w:lang w:val="en-US"/>
        </w:rPr>
        <w:t>,</w:t>
      </w:r>
      <w:r w:rsidR="00DE7528" w:rsidRPr="00DE7528">
        <w:rPr>
          <w:lang w:val="en-US"/>
        </w:rPr>
        <w:t xml:space="preserve"> APS-wide </w:t>
      </w:r>
      <w:r w:rsidR="00D136EE">
        <w:rPr>
          <w:lang w:val="en-US"/>
        </w:rPr>
        <w:t>a</w:t>
      </w:r>
      <w:r w:rsidR="00DD5296" w:rsidRPr="00DD5296">
        <w:rPr>
          <w:lang w:val="en-US"/>
        </w:rPr>
        <w:t>pproach to the classification of</w:t>
      </w:r>
      <w:r w:rsidR="00793E7B">
        <w:rPr>
          <w:lang w:val="en-US"/>
        </w:rPr>
        <w:t xml:space="preserve"> duties (or</w:t>
      </w:r>
      <w:r w:rsidR="00DD5296" w:rsidRPr="00DD5296">
        <w:rPr>
          <w:lang w:val="en-US"/>
        </w:rPr>
        <w:t xml:space="preserve"> jobs</w:t>
      </w:r>
      <w:r w:rsidR="00793E7B">
        <w:rPr>
          <w:lang w:val="en-US"/>
        </w:rPr>
        <w:t>)</w:t>
      </w:r>
      <w:r w:rsidR="00DD5296" w:rsidRPr="00DD5296">
        <w:rPr>
          <w:lang w:val="en-US"/>
        </w:rPr>
        <w:t xml:space="preserve"> in the APS</w:t>
      </w:r>
      <w:r w:rsidR="00793E7B">
        <w:rPr>
          <w:lang w:val="en-US"/>
        </w:rPr>
        <w:t xml:space="preserve"> with work value as the underlying basis</w:t>
      </w:r>
      <w:r w:rsidR="0092694F" w:rsidRPr="0092694F">
        <w:rPr>
          <w:lang w:val="en-US"/>
        </w:rPr>
        <w:t>.</w:t>
      </w:r>
      <w:r w:rsidR="0077698A">
        <w:rPr>
          <w:lang w:val="en-US"/>
        </w:rPr>
        <w:t xml:space="preserve"> </w:t>
      </w:r>
      <w:r w:rsidR="0092694F">
        <w:rPr>
          <w:lang w:val="en-US"/>
        </w:rPr>
        <w:t>The Classification Rules</w:t>
      </w:r>
      <w:r w:rsidR="00DD5296" w:rsidRPr="00DD5296">
        <w:rPr>
          <w:lang w:val="en-US"/>
        </w:rPr>
        <w:t xml:space="preserve"> </w:t>
      </w:r>
      <w:r w:rsidR="00793E7B">
        <w:rPr>
          <w:lang w:val="en-US"/>
        </w:rPr>
        <w:t>are integral to the structure of the APS workforc</w:t>
      </w:r>
      <w:r w:rsidR="00910B87">
        <w:rPr>
          <w:lang w:val="en-US"/>
        </w:rPr>
        <w:t>e</w:t>
      </w:r>
      <w:r w:rsidR="00DD5296" w:rsidRPr="00DD5296">
        <w:rPr>
          <w:lang w:val="en-US"/>
        </w:rPr>
        <w:t xml:space="preserve"> and facilitate mobility in the APS.</w:t>
      </w:r>
      <w:r w:rsidR="00575C89">
        <w:rPr>
          <w:lang w:val="en-US"/>
        </w:rPr>
        <w:t xml:space="preserve"> </w:t>
      </w:r>
    </w:p>
    <w:p w14:paraId="12A54549" w14:textId="4C921365" w:rsidR="0068774A" w:rsidRPr="00435B82" w:rsidRDefault="00793E7B" w:rsidP="00C0438B">
      <w:pPr>
        <w:spacing w:before="120" w:after="120"/>
        <w:rPr>
          <w:lang w:val="en-US"/>
        </w:rPr>
      </w:pPr>
      <w:r>
        <w:rPr>
          <w:lang w:val="en-US"/>
        </w:rPr>
        <w:t>The Classifi</w:t>
      </w:r>
      <w:r w:rsidR="00910B87">
        <w:rPr>
          <w:lang w:val="en-US"/>
        </w:rPr>
        <w:t>cation Rules require an Agency H</w:t>
      </w:r>
      <w:r>
        <w:rPr>
          <w:lang w:val="en-US"/>
        </w:rPr>
        <w:t>ead to allocate an approved classification to each group of duties to be performed in the Agency and to allocate an approved classification to each APS employee based on the group of duties to be performed by the</w:t>
      </w:r>
      <w:r w:rsidR="00910B87">
        <w:rPr>
          <w:lang w:val="en-US"/>
        </w:rPr>
        <w:t xml:space="preserve"> employee</w:t>
      </w:r>
      <w:r w:rsidR="00FA3DD4">
        <w:rPr>
          <w:lang w:val="en-US"/>
        </w:rPr>
        <w:t>.</w:t>
      </w:r>
      <w:r w:rsidR="00910B87">
        <w:rPr>
          <w:lang w:val="en-US"/>
        </w:rPr>
        <w:t xml:space="preserve"> </w:t>
      </w:r>
      <w:r>
        <w:rPr>
          <w:lang w:val="en-US"/>
        </w:rPr>
        <w:t xml:space="preserve">Allocation of a classification to a group of duties is based on the work value of the duties. Work value is assessed by reference to work level standards. </w:t>
      </w:r>
    </w:p>
    <w:p w14:paraId="1864842A" w14:textId="77777777" w:rsidR="00DA24A5" w:rsidRPr="00755626" w:rsidRDefault="00DA24A5" w:rsidP="00F63828">
      <w:pPr>
        <w:spacing w:before="120" w:after="120"/>
        <w:rPr>
          <w:b/>
          <w:lang w:val="en-US"/>
        </w:rPr>
      </w:pPr>
      <w:r w:rsidRPr="00755626">
        <w:rPr>
          <w:b/>
          <w:lang w:val="en-US"/>
        </w:rPr>
        <w:t>Purpose of these amendments</w:t>
      </w:r>
    </w:p>
    <w:p w14:paraId="632EFB33" w14:textId="4DF31AD8" w:rsidR="00BE1863" w:rsidRDefault="00DA24A5" w:rsidP="00BE1863">
      <w:pPr>
        <w:spacing w:before="100" w:after="40"/>
        <w:rPr>
          <w:lang w:val="en-US"/>
        </w:rPr>
      </w:pPr>
      <w:r w:rsidRPr="00DA24A5">
        <w:rPr>
          <w:lang w:val="en-US"/>
        </w:rPr>
        <w:t xml:space="preserve">The </w:t>
      </w:r>
      <w:r w:rsidR="00623793">
        <w:rPr>
          <w:lang w:val="en-US"/>
        </w:rPr>
        <w:t xml:space="preserve">main </w:t>
      </w:r>
      <w:r w:rsidRPr="00DA24A5">
        <w:rPr>
          <w:lang w:val="en-US"/>
        </w:rPr>
        <w:t xml:space="preserve">purpose of the </w:t>
      </w:r>
      <w:r w:rsidR="00EE3C77" w:rsidRPr="00EE3C77">
        <w:rPr>
          <w:i/>
          <w:lang w:val="en-US"/>
        </w:rPr>
        <w:t>Public Service Classification Amendment (</w:t>
      </w:r>
      <w:r w:rsidR="005B70C8" w:rsidRPr="009D26D1">
        <w:rPr>
          <w:i/>
        </w:rPr>
        <w:t>202</w:t>
      </w:r>
      <w:r w:rsidR="00F25817" w:rsidRPr="009D26D1">
        <w:rPr>
          <w:i/>
        </w:rPr>
        <w:t>5</w:t>
      </w:r>
      <w:r w:rsidR="005B70C8" w:rsidRPr="009D26D1">
        <w:rPr>
          <w:i/>
        </w:rPr>
        <w:t xml:space="preserve"> Measures No. 1</w:t>
      </w:r>
      <w:r w:rsidR="00EE3C77" w:rsidRPr="00EE3C77">
        <w:rPr>
          <w:i/>
          <w:lang w:val="en-US"/>
        </w:rPr>
        <w:t>) Rule</w:t>
      </w:r>
      <w:r w:rsidR="00F25817">
        <w:rPr>
          <w:i/>
          <w:lang w:val="en-US"/>
        </w:rPr>
        <w:t>s</w:t>
      </w:r>
      <w:r w:rsidR="00EE3C77" w:rsidRPr="00EE3C77">
        <w:rPr>
          <w:i/>
          <w:lang w:val="en-US"/>
        </w:rPr>
        <w:t xml:space="preserve"> 20</w:t>
      </w:r>
      <w:r w:rsidR="00BE1863">
        <w:rPr>
          <w:i/>
          <w:lang w:val="en-US"/>
        </w:rPr>
        <w:t>2</w:t>
      </w:r>
      <w:r w:rsidR="00F25817">
        <w:rPr>
          <w:i/>
          <w:lang w:val="en-US"/>
        </w:rPr>
        <w:t>5</w:t>
      </w:r>
      <w:r w:rsidR="00A17072">
        <w:rPr>
          <w:lang w:val="en-US"/>
        </w:rPr>
        <w:t xml:space="preserve"> </w:t>
      </w:r>
      <w:r w:rsidR="00BE1863">
        <w:rPr>
          <w:lang w:val="en-US"/>
        </w:rPr>
        <w:t>(the Amendment Rules) is to make technical and consequential amendments to the Classification Rules</w:t>
      </w:r>
      <w:r w:rsidR="00891827">
        <w:rPr>
          <w:lang w:val="en-US"/>
        </w:rPr>
        <w:t xml:space="preserve"> following:</w:t>
      </w:r>
    </w:p>
    <w:p w14:paraId="4ACE0858" w14:textId="7F977E83" w:rsidR="00891827" w:rsidRDefault="00A579FF" w:rsidP="00891827">
      <w:pPr>
        <w:pStyle w:val="ListParagraph"/>
        <w:numPr>
          <w:ilvl w:val="0"/>
          <w:numId w:val="6"/>
        </w:numPr>
        <w:spacing w:before="100" w:after="40"/>
        <w:rPr>
          <w:lang w:val="en-US"/>
        </w:rPr>
      </w:pPr>
      <w:r>
        <w:rPr>
          <w:lang w:val="en-US"/>
        </w:rPr>
        <w:t>a</w:t>
      </w:r>
      <w:r w:rsidR="00891827">
        <w:rPr>
          <w:lang w:val="en-US"/>
        </w:rPr>
        <w:t>mendments to the PS Act</w:t>
      </w:r>
      <w:r w:rsidR="00DA73EE">
        <w:rPr>
          <w:lang w:val="en-US"/>
        </w:rPr>
        <w:t>,</w:t>
      </w:r>
      <w:r w:rsidR="00891827">
        <w:rPr>
          <w:lang w:val="en-US"/>
        </w:rPr>
        <w:t xml:space="preserve"> and</w:t>
      </w:r>
    </w:p>
    <w:p w14:paraId="7210C9E0" w14:textId="23E4AFEF" w:rsidR="00891827" w:rsidRPr="00891827" w:rsidRDefault="00A579FF" w:rsidP="00891827">
      <w:pPr>
        <w:pStyle w:val="ListParagraph"/>
        <w:numPr>
          <w:ilvl w:val="0"/>
          <w:numId w:val="6"/>
        </w:numPr>
        <w:spacing w:before="100" w:after="40"/>
        <w:rPr>
          <w:lang w:val="en-US"/>
        </w:rPr>
      </w:pPr>
      <w:r>
        <w:rPr>
          <w:lang w:val="en-US"/>
        </w:rPr>
        <w:t>t</w:t>
      </w:r>
      <w:r w:rsidR="00891827">
        <w:rPr>
          <w:lang w:val="en-US"/>
        </w:rPr>
        <w:t xml:space="preserve">he repeal of the </w:t>
      </w:r>
      <w:r w:rsidR="00891827" w:rsidRPr="00891827">
        <w:rPr>
          <w:i/>
          <w:lang w:val="en-US"/>
        </w:rPr>
        <w:t>Public Service Regulations 1999</w:t>
      </w:r>
      <w:r w:rsidR="002171C9">
        <w:rPr>
          <w:lang w:val="en-US"/>
        </w:rPr>
        <w:t xml:space="preserve"> (Repealed Regulations)</w:t>
      </w:r>
      <w:r w:rsidR="00891827">
        <w:rPr>
          <w:lang w:val="en-US"/>
        </w:rPr>
        <w:t>.</w:t>
      </w:r>
    </w:p>
    <w:p w14:paraId="159D6F24" w14:textId="77777777" w:rsidR="00C13465" w:rsidRDefault="00C13465" w:rsidP="00F63828">
      <w:pPr>
        <w:spacing w:before="120" w:after="120"/>
        <w:rPr>
          <w:b/>
          <w:lang w:val="en-US"/>
        </w:rPr>
      </w:pPr>
      <w:r w:rsidRPr="004D0763">
        <w:rPr>
          <w:b/>
          <w:lang w:val="en-US"/>
        </w:rPr>
        <w:t>Consultation</w:t>
      </w:r>
    </w:p>
    <w:p w14:paraId="2CCF8B4A" w14:textId="4673D739" w:rsidR="003039D5" w:rsidRDefault="001B59D3" w:rsidP="00C533EE">
      <w:pPr>
        <w:spacing w:before="120" w:after="120"/>
        <w:rPr>
          <w:lang w:val="en-US"/>
        </w:rPr>
      </w:pPr>
      <w:r w:rsidRPr="009D26D1">
        <w:t xml:space="preserve">Consultation was not undertaken specifically for the Amendment Rules as this instrument is consequential </w:t>
      </w:r>
      <w:r w:rsidR="003039D5" w:rsidRPr="009D26D1">
        <w:t>to</w:t>
      </w:r>
      <w:r w:rsidR="00A579FF">
        <w:t xml:space="preserve"> </w:t>
      </w:r>
      <w:r w:rsidR="002171C9">
        <w:rPr>
          <w:lang w:val="en-US"/>
        </w:rPr>
        <w:t>amendments made to the PS Act</w:t>
      </w:r>
      <w:r w:rsidR="003039D5">
        <w:rPr>
          <w:lang w:val="en-US"/>
        </w:rPr>
        <w:t xml:space="preserve"> by the </w:t>
      </w:r>
      <w:r w:rsidR="003039D5" w:rsidRPr="007C348C">
        <w:rPr>
          <w:i/>
          <w:lang w:val="en-US"/>
        </w:rPr>
        <w:t>Public Service Amendment Act 2024</w:t>
      </w:r>
      <w:r w:rsidR="003121C2">
        <w:rPr>
          <w:i/>
          <w:lang w:val="en-US"/>
        </w:rPr>
        <w:t xml:space="preserve"> </w:t>
      </w:r>
      <w:r w:rsidR="00360359">
        <w:rPr>
          <w:lang w:val="en-US"/>
        </w:rPr>
        <w:t xml:space="preserve">and </w:t>
      </w:r>
      <w:r w:rsidR="003121C2" w:rsidRPr="003121C2">
        <w:rPr>
          <w:lang w:val="en-US"/>
        </w:rPr>
        <w:t>in relation to</w:t>
      </w:r>
      <w:r w:rsidR="00A579FF" w:rsidRPr="003121C2">
        <w:rPr>
          <w:lang w:val="en-US"/>
        </w:rPr>
        <w:t>:</w:t>
      </w:r>
      <w:r w:rsidR="002171C9">
        <w:rPr>
          <w:lang w:val="en-US"/>
        </w:rPr>
        <w:t xml:space="preserve"> </w:t>
      </w:r>
    </w:p>
    <w:p w14:paraId="1F621A33" w14:textId="205EC128" w:rsidR="003039D5" w:rsidRPr="003039D5" w:rsidRDefault="00B667ED" w:rsidP="007C348C">
      <w:pPr>
        <w:pStyle w:val="ListParagraph"/>
        <w:numPr>
          <w:ilvl w:val="0"/>
          <w:numId w:val="6"/>
        </w:numPr>
        <w:spacing w:before="120" w:after="120"/>
        <w:rPr>
          <w:lang w:val="en-US"/>
        </w:rPr>
      </w:pPr>
      <w:r w:rsidRPr="003039D5">
        <w:rPr>
          <w:lang w:val="en-US"/>
        </w:rPr>
        <w:t>the repeal of the Repealed Regulations</w:t>
      </w:r>
      <w:r w:rsidR="00DA73EE">
        <w:rPr>
          <w:lang w:val="en-US"/>
        </w:rPr>
        <w:t>,</w:t>
      </w:r>
      <w:r w:rsidRPr="003039D5">
        <w:rPr>
          <w:lang w:val="en-US"/>
        </w:rPr>
        <w:t xml:space="preserve"> and </w:t>
      </w:r>
    </w:p>
    <w:p w14:paraId="54D78C14" w14:textId="6C58C641" w:rsidR="003039D5" w:rsidRPr="003039D5" w:rsidRDefault="00B667ED" w:rsidP="007C348C">
      <w:pPr>
        <w:pStyle w:val="ListParagraph"/>
        <w:numPr>
          <w:ilvl w:val="0"/>
          <w:numId w:val="6"/>
        </w:numPr>
        <w:spacing w:before="120" w:after="120"/>
        <w:rPr>
          <w:lang w:val="en-US"/>
        </w:rPr>
      </w:pPr>
      <w:r w:rsidRPr="003039D5">
        <w:rPr>
          <w:lang w:val="en-US"/>
        </w:rPr>
        <w:t xml:space="preserve">the making of the </w:t>
      </w:r>
      <w:r w:rsidR="003039D5" w:rsidRPr="007C348C">
        <w:rPr>
          <w:i/>
          <w:lang w:val="en-US"/>
        </w:rPr>
        <w:t>Australian Public Service Commissioner’s Directions 2022</w:t>
      </w:r>
      <w:r w:rsidR="003039D5" w:rsidRPr="003039D5">
        <w:rPr>
          <w:lang w:val="en-US"/>
        </w:rPr>
        <w:t xml:space="preserve"> (the Directions) and the </w:t>
      </w:r>
      <w:r w:rsidRPr="007C348C">
        <w:rPr>
          <w:i/>
          <w:lang w:val="en-US"/>
        </w:rPr>
        <w:t xml:space="preserve">Public Service </w:t>
      </w:r>
      <w:r w:rsidR="005D65A4" w:rsidRPr="007C348C">
        <w:rPr>
          <w:i/>
          <w:lang w:val="en-US"/>
        </w:rPr>
        <w:t>Regulations</w:t>
      </w:r>
      <w:r w:rsidRPr="007C348C">
        <w:rPr>
          <w:i/>
          <w:lang w:val="en-US"/>
        </w:rPr>
        <w:t xml:space="preserve"> 2023</w:t>
      </w:r>
      <w:r w:rsidR="003039D5" w:rsidRPr="003039D5">
        <w:rPr>
          <w:lang w:val="en-US"/>
        </w:rPr>
        <w:t xml:space="preserve"> (the </w:t>
      </w:r>
      <w:r w:rsidR="00640FD5">
        <w:rPr>
          <w:lang w:val="en-US"/>
        </w:rPr>
        <w:t xml:space="preserve">Current </w:t>
      </w:r>
      <w:r w:rsidR="003039D5" w:rsidRPr="003039D5">
        <w:rPr>
          <w:lang w:val="en-US"/>
        </w:rPr>
        <w:t>Regulations)</w:t>
      </w:r>
      <w:r w:rsidR="003039D5" w:rsidRPr="007C348C">
        <w:rPr>
          <w:i/>
          <w:lang w:val="en-US"/>
        </w:rPr>
        <w:t>.</w:t>
      </w:r>
      <w:r w:rsidR="00C533EE" w:rsidRPr="003039D5">
        <w:rPr>
          <w:lang w:val="en-US"/>
        </w:rPr>
        <w:t xml:space="preserve"> </w:t>
      </w:r>
    </w:p>
    <w:p w14:paraId="63695920" w14:textId="6A9BBDDF" w:rsidR="00DA73EE" w:rsidRDefault="003039D5" w:rsidP="00C533EE">
      <w:pPr>
        <w:spacing w:before="120" w:after="120"/>
        <w:rPr>
          <w:lang w:val="en-US"/>
        </w:rPr>
      </w:pPr>
      <w:r>
        <w:rPr>
          <w:lang w:val="en-US"/>
        </w:rPr>
        <w:t xml:space="preserve">The Amendment Rules </w:t>
      </w:r>
      <w:r w:rsidR="00C533EE">
        <w:rPr>
          <w:lang w:val="en-US"/>
        </w:rPr>
        <w:t xml:space="preserve">are necessary for </w:t>
      </w:r>
      <w:r w:rsidR="00DA73EE">
        <w:rPr>
          <w:lang w:val="en-US"/>
        </w:rPr>
        <w:t xml:space="preserve">the </w:t>
      </w:r>
      <w:r w:rsidR="00B667ED">
        <w:rPr>
          <w:lang w:val="en-US"/>
        </w:rPr>
        <w:t>effective operation of the PS Act</w:t>
      </w:r>
      <w:r w:rsidR="00612073">
        <w:rPr>
          <w:lang w:val="en-US"/>
        </w:rPr>
        <w:t xml:space="preserve">, the </w:t>
      </w:r>
      <w:r w:rsidR="00640FD5">
        <w:rPr>
          <w:lang w:val="en-US"/>
        </w:rPr>
        <w:t xml:space="preserve">Current </w:t>
      </w:r>
      <w:r w:rsidR="004651A6">
        <w:rPr>
          <w:lang w:val="en-US"/>
        </w:rPr>
        <w:t>Regulations</w:t>
      </w:r>
      <w:r>
        <w:rPr>
          <w:lang w:val="en-US"/>
        </w:rPr>
        <w:t>, the Directions</w:t>
      </w:r>
      <w:r w:rsidR="004651A6">
        <w:rPr>
          <w:lang w:val="en-US"/>
        </w:rPr>
        <w:t xml:space="preserve"> </w:t>
      </w:r>
      <w:r w:rsidR="00612073">
        <w:rPr>
          <w:lang w:val="en-US"/>
        </w:rPr>
        <w:t>and the Classification Rules</w:t>
      </w:r>
      <w:r w:rsidR="00C533EE">
        <w:rPr>
          <w:lang w:val="en-US"/>
        </w:rPr>
        <w:t>.</w:t>
      </w:r>
      <w:r w:rsidR="007B207A">
        <w:rPr>
          <w:lang w:val="en-US"/>
        </w:rPr>
        <w:t xml:space="preserve"> </w:t>
      </w:r>
    </w:p>
    <w:p w14:paraId="5E5DB2DF" w14:textId="2F75C1B5" w:rsidR="00C533EE" w:rsidRPr="00B667ED" w:rsidRDefault="00C533EE" w:rsidP="00C533EE">
      <w:pPr>
        <w:spacing w:before="120" w:after="120"/>
        <w:rPr>
          <w:i/>
        </w:rPr>
      </w:pPr>
      <w:r>
        <w:t>The</w:t>
      </w:r>
      <w:r w:rsidRPr="00C533EE">
        <w:t xml:space="preserve"> Department of Defence </w:t>
      </w:r>
      <w:r>
        <w:t xml:space="preserve">was consulted </w:t>
      </w:r>
      <w:r w:rsidRPr="00C533EE">
        <w:t>on the</w:t>
      </w:r>
      <w:r w:rsidR="002F4719">
        <w:t xml:space="preserve"> </w:t>
      </w:r>
      <w:r w:rsidRPr="00C533EE">
        <w:t xml:space="preserve">amendment to the definition of ‘outsider’ </w:t>
      </w:r>
      <w:r w:rsidR="00DA73EE">
        <w:t xml:space="preserve">which </w:t>
      </w:r>
      <w:r w:rsidRPr="00C533EE">
        <w:t>carve</w:t>
      </w:r>
      <w:r w:rsidR="00DA73EE">
        <w:t>s</w:t>
      </w:r>
      <w:r w:rsidRPr="00C533EE">
        <w:t xml:space="preserve"> out members from the Australian Defence Force in the making of the </w:t>
      </w:r>
      <w:r w:rsidR="00640FD5" w:rsidRPr="007C348C">
        <w:t xml:space="preserve">Current </w:t>
      </w:r>
      <w:r w:rsidR="003039D5" w:rsidRPr="007C348C">
        <w:t>Regulations</w:t>
      </w:r>
      <w:r w:rsidR="00B667ED">
        <w:rPr>
          <w:i/>
        </w:rPr>
        <w:t>.</w:t>
      </w:r>
      <w:r w:rsidR="00B667ED">
        <w:t xml:space="preserve"> </w:t>
      </w:r>
    </w:p>
    <w:p w14:paraId="2743BC32" w14:textId="77777777" w:rsidR="00771A0D" w:rsidRDefault="00C13465" w:rsidP="00F63828">
      <w:pPr>
        <w:spacing w:before="120" w:after="120"/>
        <w:rPr>
          <w:b/>
          <w:lang w:val="en-US"/>
        </w:rPr>
      </w:pPr>
      <w:r w:rsidRPr="00294098">
        <w:rPr>
          <w:b/>
          <w:lang w:val="en-US"/>
        </w:rPr>
        <w:t xml:space="preserve">Impact </w:t>
      </w:r>
      <w:r w:rsidR="005B70C8">
        <w:rPr>
          <w:b/>
          <w:lang w:val="en-US"/>
        </w:rPr>
        <w:t>Analysis</w:t>
      </w:r>
      <w:r w:rsidR="005574EB">
        <w:rPr>
          <w:b/>
          <w:lang w:val="en-US"/>
        </w:rPr>
        <w:t xml:space="preserve"> </w:t>
      </w:r>
    </w:p>
    <w:p w14:paraId="6C9797A3" w14:textId="1254F395" w:rsidR="00C46953" w:rsidRDefault="00C46953" w:rsidP="00C46953">
      <w:r>
        <w:lastRenderedPageBreak/>
        <w:t xml:space="preserve">As these regulatory changes relate to intra-governmental public sector employment and have no effect on business or the not-for-profit sector no </w:t>
      </w:r>
      <w:r w:rsidR="0077698A">
        <w:t>impact analysis</w:t>
      </w:r>
      <w:r w:rsidR="001D3D41">
        <w:t xml:space="preserve"> </w:t>
      </w:r>
      <w:r>
        <w:t xml:space="preserve">consultation process is required. The Office of </w:t>
      </w:r>
      <w:r w:rsidR="0077698A">
        <w:t>Impact Analysis</w:t>
      </w:r>
      <w:r>
        <w:t xml:space="preserve"> has granted a ‘carve out’ from the requirement to undertake preliminary assessments in these circumstances (</w:t>
      </w:r>
      <w:r w:rsidR="0077698A">
        <w:t>reference OIA23-06204</w:t>
      </w:r>
      <w:r>
        <w:t>).</w:t>
      </w:r>
    </w:p>
    <w:p w14:paraId="025DE0EF" w14:textId="77777777" w:rsidR="00A579FF" w:rsidRDefault="00A579FF">
      <w:pPr>
        <w:rPr>
          <w:b/>
          <w:lang w:val="en-US"/>
        </w:rPr>
      </w:pPr>
      <w:r>
        <w:rPr>
          <w:b/>
          <w:lang w:val="en-US"/>
        </w:rPr>
        <w:br w:type="page"/>
      </w:r>
    </w:p>
    <w:p w14:paraId="0EA14161" w14:textId="03CA48F7" w:rsidR="00771A0D" w:rsidRDefault="00227456" w:rsidP="00F63828">
      <w:pPr>
        <w:spacing w:before="120" w:after="120"/>
        <w:rPr>
          <w:b/>
          <w:lang w:val="en-US"/>
        </w:rPr>
      </w:pPr>
      <w:r>
        <w:rPr>
          <w:b/>
          <w:lang w:val="en-US"/>
        </w:rPr>
        <w:lastRenderedPageBreak/>
        <w:t>Exemption from disallowance and sunsetting</w:t>
      </w:r>
    </w:p>
    <w:p w14:paraId="75B65A4C" w14:textId="35724E74" w:rsidR="00BE1863" w:rsidRDefault="00BE1863" w:rsidP="00F63828">
      <w:pPr>
        <w:spacing w:before="120" w:after="120"/>
      </w:pPr>
      <w:r>
        <w:t xml:space="preserve">The Amendment Rules </w:t>
      </w:r>
      <w:r w:rsidR="00891827">
        <w:t>are</w:t>
      </w:r>
      <w:r>
        <w:t xml:space="preserve"> a legislative instrument for the purposes of the </w:t>
      </w:r>
      <w:r w:rsidRPr="00BE1863">
        <w:rPr>
          <w:i/>
        </w:rPr>
        <w:t>Legislation Act 2003</w:t>
      </w:r>
      <w:r>
        <w:t xml:space="preserve"> (Legislation Act). A note under subsection 23(1) of the PS Act confirms the disallowance and sunsetting provisions of the Legislation Act </w:t>
      </w:r>
      <w:r w:rsidR="00227456">
        <w:t>do not apply to the Classification Rules.</w:t>
      </w:r>
    </w:p>
    <w:p w14:paraId="5B55CEC6" w14:textId="5BB3F1AC" w:rsidR="000F7EEE" w:rsidRDefault="000F7EEE" w:rsidP="00575C89">
      <w:pPr>
        <w:spacing w:before="120" w:after="120"/>
      </w:pPr>
      <w:r>
        <w:t>I</w:t>
      </w:r>
      <w:r w:rsidR="005B70C8">
        <w:t xml:space="preserve">tem 27(b) in the table at </w:t>
      </w:r>
      <w:r>
        <w:t xml:space="preserve">section 10 of the </w:t>
      </w:r>
      <w:r w:rsidRPr="000F7EEE">
        <w:rPr>
          <w:bCs/>
          <w:i/>
        </w:rPr>
        <w:t>Legislation (Exemptions and Other Matters) Regulation 2015</w:t>
      </w:r>
      <w:r>
        <w:rPr>
          <w:bCs/>
        </w:rPr>
        <w:t xml:space="preserve"> </w:t>
      </w:r>
      <w:r w:rsidR="00360359">
        <w:rPr>
          <w:bCs/>
        </w:rPr>
        <w:t xml:space="preserve">(Legislation Regulations) </w:t>
      </w:r>
      <w:r>
        <w:rPr>
          <w:bCs/>
        </w:rPr>
        <w:t xml:space="preserve">provides the </w:t>
      </w:r>
      <w:r w:rsidR="00C13465" w:rsidRPr="00581CAB">
        <w:t xml:space="preserve">Classification Rules are not </w:t>
      </w:r>
      <w:r w:rsidR="00BE1863">
        <w:t xml:space="preserve">subject to disallowance. </w:t>
      </w:r>
      <w:r w:rsidR="00BE1863" w:rsidRPr="00BE1863">
        <w:t>T</w:t>
      </w:r>
      <w:r w:rsidR="00BE1863" w:rsidRPr="00BE1863">
        <w:rPr>
          <w:bCs/>
        </w:rPr>
        <w:t>he Explanatory Statement for the Legislation Regulations provide that instruments made under this provision are internal management tools for Government and should continue to be exempt from disallowance.</w:t>
      </w:r>
    </w:p>
    <w:p w14:paraId="0C593486" w14:textId="47927769" w:rsidR="000F7EEE" w:rsidRDefault="000F7EEE" w:rsidP="00575C89">
      <w:pPr>
        <w:spacing w:before="100" w:beforeAutospacing="1" w:after="100" w:afterAutospacing="1"/>
      </w:pPr>
      <w:r>
        <w:t>Item 54(b) in the table at section 12 of the</w:t>
      </w:r>
      <w:r w:rsidRPr="000F7EEE">
        <w:rPr>
          <w:bCs/>
          <w:i/>
        </w:rPr>
        <w:t xml:space="preserve"> Legislation (Exemptions and Other Matters) Regulation 2015</w:t>
      </w:r>
      <w:r w:rsidRPr="000F7EEE">
        <w:rPr>
          <w:bCs/>
        </w:rPr>
        <w:t xml:space="preserve"> </w:t>
      </w:r>
      <w:r>
        <w:rPr>
          <w:bCs/>
        </w:rPr>
        <w:t>provides the Classification Rules are not subject to sunsetting.</w:t>
      </w:r>
      <w:r w:rsidR="00BE1863" w:rsidRPr="00BE1863">
        <w:rPr>
          <w:rFonts w:ascii="Calibri" w:hAnsi="Calibri" w:cs="Calibri"/>
          <w:color w:val="000000"/>
          <w:sz w:val="22"/>
          <w:szCs w:val="22"/>
        </w:rPr>
        <w:t xml:space="preserve"> </w:t>
      </w:r>
      <w:r w:rsidR="00BE1863" w:rsidRPr="00BE1863">
        <w:t xml:space="preserve">The Explanatory Statement for the Legislation Regulations provide that instruments made under this provision are internal management tools for Government, intended to have ongoing effect, and should continue to be exempt from sunsetting. </w:t>
      </w:r>
    </w:p>
    <w:p w14:paraId="7E24F611" w14:textId="311258D3" w:rsidR="00227456" w:rsidRDefault="00227456" w:rsidP="00575C89">
      <w:r>
        <w:t xml:space="preserve">It is essential </w:t>
      </w:r>
      <w:r w:rsidR="00DA73EE">
        <w:t xml:space="preserve">that </w:t>
      </w:r>
      <w:r>
        <w:t xml:space="preserve">the Classification Rules remain exempt from disallowance and sunsetting to maintain certainty for APS employees </w:t>
      </w:r>
      <w:r w:rsidR="005F7C13">
        <w:t xml:space="preserve">regarding their classifications </w:t>
      </w:r>
      <w:r>
        <w:t>throughout their career with the APS</w:t>
      </w:r>
      <w:r w:rsidR="005F7C13">
        <w:t>. If</w:t>
      </w:r>
      <w:r w:rsidR="00DA73EE">
        <w:t>,</w:t>
      </w:r>
      <w:r w:rsidR="005F7C13">
        <w:t xml:space="preserve"> for example</w:t>
      </w:r>
      <w:r w:rsidR="00DA73EE">
        <w:t>,</w:t>
      </w:r>
      <w:r w:rsidR="005F7C13">
        <w:t xml:space="preserve"> the Classification Rules </w:t>
      </w:r>
      <w:r w:rsidR="00DA73EE">
        <w:t xml:space="preserve">were </w:t>
      </w:r>
      <w:r w:rsidR="005F7C13">
        <w:t>subject to disallowance</w:t>
      </w:r>
      <w:r w:rsidR="00406FA9">
        <w:t xml:space="preserve">, there is a risk employees would not have a classification. </w:t>
      </w:r>
      <w:r w:rsidR="00C22614">
        <w:t>It is essential for an APS employee to be assigned a cl</w:t>
      </w:r>
      <w:r w:rsidR="00406FA9">
        <w:t>assification for a number of reasons, including in</w:t>
      </w:r>
      <w:r w:rsidR="00DA73EE">
        <w:t xml:space="preserve"> order to</w:t>
      </w:r>
      <w:r w:rsidR="00406FA9">
        <w:t xml:space="preserve"> determin</w:t>
      </w:r>
      <w:r w:rsidR="00DA73EE">
        <w:t>e</w:t>
      </w:r>
      <w:r w:rsidR="00406FA9">
        <w:t xml:space="preserve"> </w:t>
      </w:r>
      <w:r w:rsidR="00DA73EE">
        <w:t>an</w:t>
      </w:r>
      <w:r w:rsidR="00406FA9">
        <w:t xml:space="preserve"> employee’s rate of pay. </w:t>
      </w:r>
    </w:p>
    <w:p w14:paraId="68C33F32" w14:textId="77777777" w:rsidR="00575C89" w:rsidRPr="00BE1863" w:rsidRDefault="00575C89" w:rsidP="00575C89"/>
    <w:p w14:paraId="21618E0F" w14:textId="77777777" w:rsidR="00227456" w:rsidRDefault="00227456" w:rsidP="00575C89">
      <w:pPr>
        <w:rPr>
          <w:b/>
          <w:lang w:val="en-US"/>
        </w:rPr>
      </w:pPr>
      <w:r w:rsidRPr="00B200BF">
        <w:rPr>
          <w:b/>
          <w:lang w:val="en-US"/>
        </w:rPr>
        <w:t>Statement of Compatibility with Human Rights</w:t>
      </w:r>
      <w:r>
        <w:rPr>
          <w:b/>
          <w:lang w:val="en-US"/>
        </w:rPr>
        <w:t xml:space="preserve"> </w:t>
      </w:r>
    </w:p>
    <w:p w14:paraId="6EFA7F8F" w14:textId="77777777" w:rsidR="0077698A" w:rsidRDefault="0077698A" w:rsidP="00575C89"/>
    <w:p w14:paraId="2EA8DA3A" w14:textId="0993323A" w:rsidR="00046504" w:rsidRDefault="000F7EEE" w:rsidP="00575C89">
      <w:r>
        <w:t>A</w:t>
      </w:r>
      <w:r w:rsidR="00227456">
        <w:t xml:space="preserve"> Statement of Compatibility with Human Rights, prepared under </w:t>
      </w:r>
      <w:r w:rsidR="00C13465" w:rsidRPr="00581CAB">
        <w:t xml:space="preserve">section 9 of the </w:t>
      </w:r>
      <w:r w:rsidR="00C13465" w:rsidRPr="00811B41">
        <w:rPr>
          <w:i/>
        </w:rPr>
        <w:t>Human Rights (Parliamentary Scrutiny) Act 2011</w:t>
      </w:r>
      <w:r w:rsidR="00227456">
        <w:t xml:space="preserve"> is not required, as paragraph 15J(2)(f) of the Legislation Act only requires a Statement to be prepared for disallowable legislative instruments</w:t>
      </w:r>
      <w:r w:rsidR="00647248">
        <w:t>.</w:t>
      </w:r>
    </w:p>
    <w:p w14:paraId="35188AD7" w14:textId="77777777" w:rsidR="0077698A" w:rsidRDefault="0077698A" w:rsidP="00575C89">
      <w:pPr>
        <w:rPr>
          <w:b/>
        </w:rPr>
      </w:pPr>
    </w:p>
    <w:p w14:paraId="4EF7BA6E" w14:textId="12269A38" w:rsidR="00227456" w:rsidRDefault="00227456" w:rsidP="00575C89">
      <w:pPr>
        <w:rPr>
          <w:b/>
        </w:rPr>
      </w:pPr>
      <w:r w:rsidRPr="00227456">
        <w:rPr>
          <w:b/>
        </w:rPr>
        <w:t>Commencement</w:t>
      </w:r>
    </w:p>
    <w:p w14:paraId="6DF72218" w14:textId="77777777" w:rsidR="0077698A" w:rsidRDefault="0077698A" w:rsidP="00575C89">
      <w:pPr>
        <w:rPr>
          <w:b/>
        </w:rPr>
      </w:pPr>
    </w:p>
    <w:p w14:paraId="5F8187B6" w14:textId="23778B08" w:rsidR="00227456" w:rsidRPr="00227456" w:rsidRDefault="00227456" w:rsidP="00575C89">
      <w:pPr>
        <w:pStyle w:val="Tabletext"/>
        <w:spacing w:before="0" w:line="240" w:lineRule="auto"/>
        <w:rPr>
          <w:sz w:val="24"/>
          <w:szCs w:val="24"/>
        </w:rPr>
      </w:pPr>
      <w:r w:rsidRPr="00227456">
        <w:rPr>
          <w:sz w:val="24"/>
          <w:szCs w:val="24"/>
        </w:rPr>
        <w:t xml:space="preserve">The Amendment Rules commence on </w:t>
      </w:r>
      <w:r>
        <w:rPr>
          <w:sz w:val="24"/>
          <w:szCs w:val="24"/>
        </w:rPr>
        <w:t>t</w:t>
      </w:r>
      <w:r w:rsidRPr="00227456">
        <w:rPr>
          <w:sz w:val="24"/>
          <w:szCs w:val="24"/>
        </w:rPr>
        <w:t xml:space="preserve">he </w:t>
      </w:r>
      <w:r w:rsidRPr="003613AB">
        <w:rPr>
          <w:sz w:val="24"/>
          <w:szCs w:val="24"/>
        </w:rPr>
        <w:t>day after the instrument is registe</w:t>
      </w:r>
      <w:r w:rsidRPr="00227456">
        <w:rPr>
          <w:sz w:val="24"/>
          <w:szCs w:val="24"/>
        </w:rPr>
        <w:t>red</w:t>
      </w:r>
      <w:r w:rsidR="00231154">
        <w:rPr>
          <w:sz w:val="24"/>
          <w:szCs w:val="24"/>
        </w:rPr>
        <w:t>.</w:t>
      </w:r>
    </w:p>
    <w:p w14:paraId="5F1ED476" w14:textId="77777777" w:rsidR="00227456" w:rsidRDefault="00227456" w:rsidP="00575C89">
      <w:pPr>
        <w:rPr>
          <w:rFonts w:eastAsia="Calibri"/>
          <w:sz w:val="22"/>
          <w:szCs w:val="20"/>
          <w:lang w:eastAsia="en-US"/>
        </w:rPr>
      </w:pPr>
    </w:p>
    <w:p w14:paraId="3CDAC859" w14:textId="3CE3E50F" w:rsidR="00227456" w:rsidRDefault="00227456" w:rsidP="00575C89">
      <w:pPr>
        <w:rPr>
          <w:rFonts w:eastAsia="Calibri"/>
          <w:b/>
          <w:sz w:val="22"/>
          <w:szCs w:val="20"/>
          <w:lang w:eastAsia="en-US"/>
        </w:rPr>
      </w:pPr>
      <w:r w:rsidRPr="00227456">
        <w:rPr>
          <w:rFonts w:eastAsia="Calibri"/>
          <w:b/>
          <w:sz w:val="22"/>
          <w:szCs w:val="20"/>
          <w:lang w:eastAsia="en-US"/>
        </w:rPr>
        <w:t>Authority</w:t>
      </w:r>
    </w:p>
    <w:p w14:paraId="0DD7517C" w14:textId="77777777" w:rsidR="0077698A" w:rsidRDefault="0077698A" w:rsidP="00575C89">
      <w:pPr>
        <w:rPr>
          <w:rFonts w:eastAsia="Calibri"/>
          <w:b/>
          <w:sz w:val="22"/>
          <w:szCs w:val="20"/>
          <w:lang w:eastAsia="en-US"/>
        </w:rPr>
      </w:pPr>
    </w:p>
    <w:p w14:paraId="240D5C55" w14:textId="2F95CD7A" w:rsidR="00BF1ADF" w:rsidRDefault="00227456" w:rsidP="00BF1ADF">
      <w:pPr>
        <w:spacing w:before="120" w:after="120"/>
      </w:pPr>
      <w:r w:rsidRPr="006D5511">
        <w:t>The Amendment Rules are made under subsection 23(1) of the PS Act</w:t>
      </w:r>
      <w:r w:rsidR="00DA73EE">
        <w:t xml:space="preserve"> </w:t>
      </w:r>
      <w:r w:rsidR="00BF1ADF">
        <w:t>which provides that the Australian Public Service Commissioner (the Commissioner) may, by legislative instrument, make rules about classifications of Australian Public Service (APS) employees.</w:t>
      </w:r>
    </w:p>
    <w:p w14:paraId="7CBAB0EA" w14:textId="77777777" w:rsidR="00CA70AA" w:rsidRDefault="00CA70AA" w:rsidP="00575C89"/>
    <w:p w14:paraId="29802842" w14:textId="0B83C084" w:rsidR="007E05B1" w:rsidRPr="00227456" w:rsidRDefault="00CA70AA" w:rsidP="00575C89">
      <w:pPr>
        <w:rPr>
          <w:b/>
          <w:lang w:val="en-US"/>
        </w:rPr>
      </w:pPr>
      <w:r w:rsidRPr="0015100D">
        <w:t xml:space="preserve">Under </w:t>
      </w:r>
      <w:r w:rsidRPr="00277499">
        <w:t>subsection 33(3) of the </w:t>
      </w:r>
      <w:r w:rsidRPr="00277499">
        <w:rPr>
          <w:i/>
        </w:rPr>
        <w:t>Acts Interpretation Act 1901</w:t>
      </w:r>
      <w:r w:rsidRPr="00277499">
        <w:t>, w</w:t>
      </w:r>
      <w:r w:rsidRPr="0015100D">
        <w:t>here an Act confers a power to make, grant or issue any instrument of a legislative or administrative character (including rules, regulations or by</w:t>
      </w:r>
      <w:r w:rsidRPr="0015100D">
        <w:noBreakHyphen/>
        <w:t xml:space="preserve">laws), the power shall be construed as including a power exercisable in the like manner and subject to the </w:t>
      </w:r>
      <w:r w:rsidRPr="0015100D">
        <w:lastRenderedPageBreak/>
        <w:t>like conditions (if any) to repeal, rescind, revoke, amend, or vary any such instrument.</w:t>
      </w:r>
      <w:r w:rsidR="007E05B1" w:rsidRPr="00227456">
        <w:rPr>
          <w:b/>
          <w:lang w:val="en-US"/>
        </w:rPr>
        <w:br w:type="page"/>
      </w:r>
    </w:p>
    <w:p w14:paraId="1EC8BF16" w14:textId="154F97D3" w:rsidR="00FA6E85" w:rsidRPr="003458BE" w:rsidRDefault="00FA6E85" w:rsidP="00F63828">
      <w:pPr>
        <w:spacing w:before="120" w:after="120"/>
        <w:rPr>
          <w:b/>
          <w:lang w:val="en-US"/>
        </w:rPr>
      </w:pPr>
      <w:r w:rsidRPr="003458BE">
        <w:rPr>
          <w:b/>
          <w:lang w:val="en-US"/>
        </w:rPr>
        <w:lastRenderedPageBreak/>
        <w:t>Notes</w:t>
      </w:r>
      <w:r w:rsidR="00B02B65">
        <w:rPr>
          <w:b/>
          <w:lang w:val="en-US"/>
        </w:rPr>
        <w:t xml:space="preserve"> on clauses</w:t>
      </w:r>
    </w:p>
    <w:p w14:paraId="31391C9F" w14:textId="6D39871B" w:rsidR="004B5A14" w:rsidRDefault="00CC294D" w:rsidP="00BE5DBF">
      <w:pPr>
        <w:spacing w:before="120" w:after="120"/>
      </w:pPr>
      <w:r>
        <w:rPr>
          <w:b/>
        </w:rPr>
        <w:t>Section</w:t>
      </w:r>
      <w:r w:rsidR="00966D75" w:rsidRPr="004340DC">
        <w:rPr>
          <w:b/>
        </w:rPr>
        <w:t xml:space="preserve"> </w:t>
      </w:r>
      <w:r w:rsidR="00BE5DBF" w:rsidRPr="004340DC">
        <w:rPr>
          <w:b/>
        </w:rPr>
        <w:t>1</w:t>
      </w:r>
      <w:r w:rsidR="00BE5DBF" w:rsidRPr="00CC294D">
        <w:rPr>
          <w:b/>
        </w:rPr>
        <w:t xml:space="preserve"> </w:t>
      </w:r>
      <w:r w:rsidRPr="00CC294D">
        <w:rPr>
          <w:b/>
        </w:rPr>
        <w:t>Name</w:t>
      </w:r>
    </w:p>
    <w:p w14:paraId="16576492" w14:textId="52A5CB86" w:rsidR="00BE5DBF" w:rsidRDefault="003613AB" w:rsidP="00BE5DBF">
      <w:pPr>
        <w:spacing w:before="120" w:after="120"/>
      </w:pPr>
      <w:r>
        <w:t>This section</w:t>
      </w:r>
      <w:r w:rsidR="004B5A14">
        <w:t xml:space="preserve"> provide</w:t>
      </w:r>
      <w:r w:rsidR="001F6D72">
        <w:t>s</w:t>
      </w:r>
      <w:r w:rsidR="00BE5DBF">
        <w:t xml:space="preserve"> </w:t>
      </w:r>
      <w:r w:rsidR="0077698A">
        <w:t xml:space="preserve">that the title </w:t>
      </w:r>
      <w:r w:rsidR="00BE5DBF">
        <w:t>of the instrument</w:t>
      </w:r>
      <w:r w:rsidR="0077698A">
        <w:t xml:space="preserve"> is</w:t>
      </w:r>
      <w:r w:rsidR="00575C89">
        <w:t xml:space="preserve"> the </w:t>
      </w:r>
      <w:r w:rsidR="00575C89" w:rsidRPr="00201B35">
        <w:rPr>
          <w:i/>
          <w:noProof/>
        </w:rPr>
        <w:t>Public Service Classification Amendment (202</w:t>
      </w:r>
      <w:r w:rsidR="004820A8">
        <w:rPr>
          <w:i/>
          <w:noProof/>
        </w:rPr>
        <w:t>5</w:t>
      </w:r>
      <w:r w:rsidR="00575C89" w:rsidRPr="00201B35">
        <w:rPr>
          <w:i/>
          <w:noProof/>
        </w:rPr>
        <w:t xml:space="preserve"> Measures No. 1) Rules 202</w:t>
      </w:r>
      <w:r w:rsidR="004820A8">
        <w:rPr>
          <w:i/>
          <w:noProof/>
        </w:rPr>
        <w:t>5</w:t>
      </w:r>
      <w:r w:rsidR="00575C89" w:rsidRPr="00201B35">
        <w:t>.</w:t>
      </w:r>
    </w:p>
    <w:p w14:paraId="47F0488B" w14:textId="6E5764EC" w:rsidR="004B5A14" w:rsidRDefault="00CC294D" w:rsidP="00BE5DBF">
      <w:pPr>
        <w:spacing w:before="120" w:after="120"/>
      </w:pPr>
      <w:r>
        <w:rPr>
          <w:b/>
        </w:rPr>
        <w:t>Section</w:t>
      </w:r>
      <w:r w:rsidR="00966D75" w:rsidRPr="004340DC">
        <w:rPr>
          <w:b/>
        </w:rPr>
        <w:t xml:space="preserve"> </w:t>
      </w:r>
      <w:r w:rsidR="00BE5DBF" w:rsidRPr="004340DC">
        <w:rPr>
          <w:b/>
        </w:rPr>
        <w:t>2</w:t>
      </w:r>
      <w:r>
        <w:rPr>
          <w:b/>
        </w:rPr>
        <w:t xml:space="preserve"> Commencement</w:t>
      </w:r>
      <w:r w:rsidR="00BE5DBF">
        <w:t xml:space="preserve"> </w:t>
      </w:r>
    </w:p>
    <w:p w14:paraId="31B9E3A5" w14:textId="324B9567" w:rsidR="00BE5DBF" w:rsidRDefault="004B5A14" w:rsidP="00BE5DBF">
      <w:pPr>
        <w:spacing w:before="120" w:after="120"/>
      </w:pPr>
      <w:r>
        <w:t xml:space="preserve">This section </w:t>
      </w:r>
      <w:r w:rsidR="00BE5DBF">
        <w:t xml:space="preserve">provides that the </w:t>
      </w:r>
      <w:r w:rsidR="0077698A">
        <w:t xml:space="preserve">whole of the </w:t>
      </w:r>
      <w:r w:rsidR="00B6094F">
        <w:t>instrument</w:t>
      </w:r>
      <w:r w:rsidR="00BE5DBF">
        <w:t xml:space="preserve"> commences on </w:t>
      </w:r>
      <w:r w:rsidR="00575C89">
        <w:t>the start of the day after it is registered</w:t>
      </w:r>
      <w:r w:rsidR="00BE5DBF">
        <w:t>.</w:t>
      </w:r>
    </w:p>
    <w:p w14:paraId="4A3B9543" w14:textId="7BD9E493" w:rsidR="004B5A14" w:rsidRDefault="00CC294D" w:rsidP="00BE5DBF">
      <w:pPr>
        <w:spacing w:before="120" w:after="120"/>
      </w:pPr>
      <w:r>
        <w:rPr>
          <w:b/>
        </w:rPr>
        <w:t>Section</w:t>
      </w:r>
      <w:r w:rsidR="00BE5DBF" w:rsidRPr="004340DC">
        <w:rPr>
          <w:b/>
        </w:rPr>
        <w:t xml:space="preserve"> 3</w:t>
      </w:r>
      <w:r>
        <w:rPr>
          <w:b/>
        </w:rPr>
        <w:t xml:space="preserve"> Authority</w:t>
      </w:r>
      <w:r w:rsidR="00BE5DBF">
        <w:t xml:space="preserve"> </w:t>
      </w:r>
    </w:p>
    <w:p w14:paraId="435F0A08" w14:textId="52727BC9" w:rsidR="00BE5DBF" w:rsidRDefault="004B5A14" w:rsidP="00BE5DBF">
      <w:pPr>
        <w:spacing w:before="120" w:after="120"/>
      </w:pPr>
      <w:r>
        <w:t xml:space="preserve">The section </w:t>
      </w:r>
      <w:r w:rsidR="0077698A">
        <w:t>provide</w:t>
      </w:r>
      <w:r w:rsidR="00BE5DBF">
        <w:t xml:space="preserve">s </w:t>
      </w:r>
      <w:r w:rsidR="0077698A">
        <w:t xml:space="preserve">that </w:t>
      </w:r>
      <w:r w:rsidR="00575C89">
        <w:t>the instrument</w:t>
      </w:r>
      <w:r w:rsidR="0077698A">
        <w:t xml:space="preserve"> is made under</w:t>
      </w:r>
      <w:r w:rsidR="00575C89">
        <w:t xml:space="preserve"> subsection 23(1) of the PS Act.</w:t>
      </w:r>
    </w:p>
    <w:p w14:paraId="017A1E39" w14:textId="24ED55D4" w:rsidR="004B5A14" w:rsidRDefault="00CC294D" w:rsidP="00BE5DBF">
      <w:pPr>
        <w:spacing w:before="120" w:after="120"/>
      </w:pPr>
      <w:r>
        <w:rPr>
          <w:b/>
        </w:rPr>
        <w:t>Section</w:t>
      </w:r>
      <w:r w:rsidR="00BE5DBF" w:rsidRPr="004340DC">
        <w:rPr>
          <w:b/>
        </w:rPr>
        <w:t xml:space="preserve"> 4</w:t>
      </w:r>
      <w:r>
        <w:rPr>
          <w:b/>
        </w:rPr>
        <w:t xml:space="preserve"> Schedules</w:t>
      </w:r>
      <w:r w:rsidR="004B5A14">
        <w:t xml:space="preserve"> </w:t>
      </w:r>
    </w:p>
    <w:p w14:paraId="207E4321" w14:textId="77777777" w:rsidR="00CC294D" w:rsidRDefault="004B5A14" w:rsidP="00CC294D">
      <w:pPr>
        <w:spacing w:before="120" w:after="120"/>
        <w:rPr>
          <w:rStyle w:val="normaltextrun"/>
          <w:color w:val="262626"/>
          <w:bdr w:val="none" w:sz="0" w:space="0" w:color="auto" w:frame="1"/>
        </w:rPr>
      </w:pPr>
      <w:r>
        <w:t>Th</w:t>
      </w:r>
      <w:r>
        <w:rPr>
          <w:rStyle w:val="normaltextrun"/>
          <w:color w:val="262626"/>
          <w:bdr w:val="none" w:sz="0" w:space="0" w:color="auto" w:frame="1"/>
        </w:rPr>
        <w:t xml:space="preserve">is section provides that each instrument that is specified in </w:t>
      </w:r>
      <w:r w:rsidR="00CC294D">
        <w:rPr>
          <w:rStyle w:val="normaltextrun"/>
          <w:color w:val="262626"/>
          <w:bdr w:val="none" w:sz="0" w:space="0" w:color="auto" w:frame="1"/>
        </w:rPr>
        <w:t xml:space="preserve">a </w:t>
      </w:r>
      <w:r>
        <w:rPr>
          <w:rStyle w:val="normaltextrun"/>
          <w:color w:val="262626"/>
          <w:bdr w:val="none" w:sz="0" w:space="0" w:color="auto" w:frame="1"/>
        </w:rPr>
        <w:t>Schedule to th</w:t>
      </w:r>
      <w:r w:rsidR="00CC294D">
        <w:rPr>
          <w:rStyle w:val="normaltextrun"/>
          <w:color w:val="262626"/>
          <w:bdr w:val="none" w:sz="0" w:space="0" w:color="auto" w:frame="1"/>
        </w:rPr>
        <w:t>is</w:t>
      </w:r>
      <w:r>
        <w:rPr>
          <w:rStyle w:val="normaltextrun"/>
          <w:color w:val="262626"/>
          <w:bdr w:val="none" w:sz="0" w:space="0" w:color="auto" w:frame="1"/>
        </w:rPr>
        <w:t xml:space="preserve"> instrument is</w:t>
      </w:r>
      <w:r w:rsidR="00CC294D">
        <w:rPr>
          <w:rStyle w:val="normaltextrun"/>
          <w:color w:val="262626"/>
          <w:bdr w:val="none" w:sz="0" w:space="0" w:color="auto" w:frame="1"/>
        </w:rPr>
        <w:t xml:space="preserve"> amend</w:t>
      </w:r>
      <w:r>
        <w:rPr>
          <w:rStyle w:val="normaltextrun"/>
          <w:color w:val="262626"/>
          <w:bdr w:val="none" w:sz="0" w:space="0" w:color="auto" w:frame="1"/>
        </w:rPr>
        <w:t>ed or repealed as set out in the applicable items in th</w:t>
      </w:r>
      <w:r w:rsidR="00CC294D">
        <w:rPr>
          <w:rStyle w:val="normaltextrun"/>
          <w:color w:val="262626"/>
          <w:bdr w:val="none" w:sz="0" w:space="0" w:color="auto" w:frame="1"/>
        </w:rPr>
        <w:t>e</w:t>
      </w:r>
      <w:r>
        <w:rPr>
          <w:rStyle w:val="normaltextrun"/>
          <w:color w:val="262626"/>
          <w:bdr w:val="none" w:sz="0" w:space="0" w:color="auto" w:frame="1"/>
        </w:rPr>
        <w:t xml:space="preserve"> Schedule</w:t>
      </w:r>
      <w:r w:rsidR="00CC294D">
        <w:rPr>
          <w:rStyle w:val="normaltextrun"/>
          <w:color w:val="262626"/>
          <w:bdr w:val="none" w:sz="0" w:space="0" w:color="auto" w:frame="1"/>
        </w:rPr>
        <w:t xml:space="preserve"> concerned, and any other item in a </w:t>
      </w:r>
      <w:r>
        <w:rPr>
          <w:rStyle w:val="normaltextrun"/>
          <w:color w:val="262626"/>
          <w:bdr w:val="none" w:sz="0" w:space="0" w:color="auto" w:frame="1"/>
        </w:rPr>
        <w:t xml:space="preserve">Schedule </w:t>
      </w:r>
      <w:r w:rsidR="00CC294D">
        <w:rPr>
          <w:rStyle w:val="normaltextrun"/>
          <w:color w:val="262626"/>
          <w:bdr w:val="none" w:sz="0" w:space="0" w:color="auto" w:frame="1"/>
        </w:rPr>
        <w:t xml:space="preserve">to this instrument </w:t>
      </w:r>
      <w:r>
        <w:rPr>
          <w:rStyle w:val="normaltextrun"/>
          <w:color w:val="262626"/>
          <w:bdr w:val="none" w:sz="0" w:space="0" w:color="auto" w:frame="1"/>
        </w:rPr>
        <w:t>has effect according to its terms.</w:t>
      </w:r>
    </w:p>
    <w:p w14:paraId="0AE18901" w14:textId="26E212B8" w:rsidR="003D7394" w:rsidRDefault="009A7716" w:rsidP="00CC294D">
      <w:pPr>
        <w:spacing w:before="120" w:after="120"/>
        <w:rPr>
          <w:b/>
        </w:rPr>
      </w:pPr>
      <w:r w:rsidRPr="004340DC">
        <w:rPr>
          <w:b/>
        </w:rPr>
        <w:t xml:space="preserve">Schedule </w:t>
      </w:r>
      <w:r w:rsidR="00461E5E" w:rsidRPr="004340DC">
        <w:rPr>
          <w:b/>
        </w:rPr>
        <w:t>1</w:t>
      </w:r>
      <w:r w:rsidRPr="004340DC">
        <w:rPr>
          <w:b/>
        </w:rPr>
        <w:t>—Amendments</w:t>
      </w:r>
    </w:p>
    <w:p w14:paraId="41C11221" w14:textId="77777777" w:rsidR="004B5A14" w:rsidRPr="00CC294D" w:rsidRDefault="004B5A14" w:rsidP="004B5A14">
      <w:pPr>
        <w:pStyle w:val="ActHead9"/>
        <w:rPr>
          <w:sz w:val="24"/>
          <w:szCs w:val="24"/>
        </w:rPr>
      </w:pPr>
      <w:bookmarkStart w:id="1" w:name="_Toc169774515"/>
      <w:r w:rsidRPr="00CC294D">
        <w:rPr>
          <w:sz w:val="24"/>
          <w:szCs w:val="24"/>
        </w:rPr>
        <w:t>Public Service Classification Rules 2000</w:t>
      </w:r>
      <w:bookmarkEnd w:id="1"/>
    </w:p>
    <w:p w14:paraId="09518F7B" w14:textId="4E10FD22" w:rsidR="005B70C8" w:rsidRDefault="000874B8" w:rsidP="005B70C8">
      <w:pPr>
        <w:spacing w:before="120" w:after="120"/>
      </w:pPr>
      <w:r w:rsidRPr="004340DC">
        <w:rPr>
          <w:b/>
        </w:rPr>
        <w:t>Item 1</w:t>
      </w:r>
      <w:r>
        <w:t xml:space="preserve"> </w:t>
      </w:r>
      <w:r w:rsidR="004B5A14" w:rsidRPr="00CC294D">
        <w:rPr>
          <w:b/>
        </w:rPr>
        <w:t>Paragraph 7(1)(b)</w:t>
      </w:r>
    </w:p>
    <w:p w14:paraId="0FFFC801" w14:textId="156D9A68" w:rsidR="004B5A14" w:rsidRDefault="004B5A14" w:rsidP="005B70C8">
      <w:pPr>
        <w:spacing w:before="120" w:after="120"/>
      </w:pPr>
      <w:r>
        <w:t>This item repeals paragraph 7(1)(b) of the Classi</w:t>
      </w:r>
      <w:r w:rsidR="00087703">
        <w:t>fication Rules and substitutes new</w:t>
      </w:r>
      <w:r>
        <w:t xml:space="preserve"> paragraph</w:t>
      </w:r>
      <w:r w:rsidR="00CC294D">
        <w:t xml:space="preserve"> 7(1)(b)</w:t>
      </w:r>
      <w:r w:rsidR="00087703">
        <w:t xml:space="preserve">. The effect of this amendment is that rule 7 applies to an Agency Head if an ongoing APS employee moves to the Agency Head’s agency in accordance with </w:t>
      </w:r>
      <w:r>
        <w:t xml:space="preserve">an agreement </w:t>
      </w:r>
      <w:r w:rsidR="00087703">
        <w:t xml:space="preserve">entered into </w:t>
      </w:r>
      <w:r>
        <w:t>under section 26 of the PS Act</w:t>
      </w:r>
      <w:r w:rsidR="00087703">
        <w:t xml:space="preserve"> which </w:t>
      </w:r>
      <w:r w:rsidR="008E1C60">
        <w:t>is for a temporary move</w:t>
      </w:r>
      <w:r>
        <w:t>.</w:t>
      </w:r>
    </w:p>
    <w:p w14:paraId="378BEFAF" w14:textId="3D2F429A" w:rsidR="008E1C60" w:rsidRDefault="004B5A14" w:rsidP="005B70C8">
      <w:pPr>
        <w:spacing w:before="120" w:after="120"/>
      </w:pPr>
      <w:r>
        <w:t xml:space="preserve">This is </w:t>
      </w:r>
      <w:r w:rsidR="006778D6">
        <w:t>a consequential amendment</w:t>
      </w:r>
      <w:r w:rsidR="008E1C60">
        <w:t>:</w:t>
      </w:r>
    </w:p>
    <w:p w14:paraId="7AF37F47" w14:textId="0743E24B" w:rsidR="008E1C60" w:rsidRDefault="004B5A14" w:rsidP="00002A5F">
      <w:pPr>
        <w:pStyle w:val="ListParagraph"/>
        <w:numPr>
          <w:ilvl w:val="0"/>
          <w:numId w:val="6"/>
        </w:numPr>
        <w:spacing w:before="120" w:after="120"/>
      </w:pPr>
      <w:r>
        <w:t xml:space="preserve">to remove a </w:t>
      </w:r>
      <w:r w:rsidR="00087703">
        <w:t xml:space="preserve">redundant </w:t>
      </w:r>
      <w:r>
        <w:t xml:space="preserve">reference to the </w:t>
      </w:r>
      <w:r w:rsidR="00DB568E">
        <w:t>Repealed Regulations</w:t>
      </w:r>
      <w:r w:rsidR="008E1C60">
        <w:t xml:space="preserve">; and </w:t>
      </w:r>
    </w:p>
    <w:p w14:paraId="212A228F" w14:textId="1D09EAD5" w:rsidR="00DB568E" w:rsidRDefault="00941D04" w:rsidP="00002A5F">
      <w:pPr>
        <w:pStyle w:val="ListParagraph"/>
        <w:numPr>
          <w:ilvl w:val="0"/>
          <w:numId w:val="6"/>
        </w:numPr>
        <w:spacing w:before="120" w:after="120"/>
      </w:pPr>
      <w:r>
        <w:t>to modernise</w:t>
      </w:r>
      <w:r w:rsidR="006778D6">
        <w:t xml:space="preserve"> </w:t>
      </w:r>
      <w:r>
        <w:t xml:space="preserve">drafting </w:t>
      </w:r>
      <w:r w:rsidR="008E1C60">
        <w:t>following the commencement of the Directions which include provisions relating to the movement of ongoing APS employees including for a ‘temporary move’</w:t>
      </w:r>
      <w:r w:rsidR="004B5A14">
        <w:t>.</w:t>
      </w:r>
      <w:r w:rsidR="003613AB">
        <w:t xml:space="preserve"> </w:t>
      </w:r>
    </w:p>
    <w:p w14:paraId="1DF67A26" w14:textId="6DEC8C71" w:rsidR="006E25D0" w:rsidRDefault="00DB568E" w:rsidP="005B70C8">
      <w:pPr>
        <w:spacing w:before="120" w:after="120"/>
      </w:pPr>
      <w:r>
        <w:t>Section 26 of the PS Act provides that</w:t>
      </w:r>
      <w:r w:rsidR="00A324E3">
        <w:t xml:space="preserve"> an agreement entered into ha</w:t>
      </w:r>
      <w:r w:rsidR="003613AB">
        <w:t>s</w:t>
      </w:r>
      <w:r w:rsidR="00A324E3">
        <w:t xml:space="preserve"> effect according to </w:t>
      </w:r>
      <w:r w:rsidR="003613AB">
        <w:t xml:space="preserve">its </w:t>
      </w:r>
      <w:r w:rsidR="00A324E3">
        <w:t>terms, subject to the Commissioner’s Direction</w:t>
      </w:r>
      <w:r w:rsidR="00CC4916">
        <w:t>s</w:t>
      </w:r>
      <w:r w:rsidR="00A324E3">
        <w:t xml:space="preserve"> issued under subsection 11A(1) of the PS Act. Section 46 of the </w:t>
      </w:r>
      <w:r w:rsidR="00087703">
        <w:t xml:space="preserve">Directions </w:t>
      </w:r>
      <w:r w:rsidR="00A324E3">
        <w:t>make</w:t>
      </w:r>
      <w:r w:rsidR="003613AB">
        <w:t>s</w:t>
      </w:r>
      <w:r w:rsidR="00A324E3">
        <w:t xml:space="preserve"> provision for agreements entered into under section 26 of the PS Act</w:t>
      </w:r>
      <w:r w:rsidR="008E1C60">
        <w:t xml:space="preserve"> by ongoing APS employees</w:t>
      </w:r>
      <w:r w:rsidR="006E25D0">
        <w:t>, for an ongoing move or a temporary move</w:t>
      </w:r>
      <w:r w:rsidR="00A324E3">
        <w:t xml:space="preserve">. </w:t>
      </w:r>
    </w:p>
    <w:p w14:paraId="72CB72BB" w14:textId="7AA26957" w:rsidR="004B5A14" w:rsidRDefault="00A324E3" w:rsidP="005B70C8">
      <w:pPr>
        <w:spacing w:before="120" w:after="120"/>
      </w:pPr>
      <w:r>
        <w:t>Th</w:t>
      </w:r>
      <w:r w:rsidR="006E25D0">
        <w:t>e</w:t>
      </w:r>
      <w:r>
        <w:t xml:space="preserve"> legislative framework does not make reference to regulations, so a reference to the Current Regulations is not necessary.</w:t>
      </w:r>
    </w:p>
    <w:p w14:paraId="74AC8F9A" w14:textId="3C4997EF" w:rsidR="00323CC3" w:rsidRDefault="00323CC3" w:rsidP="005B70C8">
      <w:pPr>
        <w:spacing w:before="120" w:after="120"/>
      </w:pPr>
      <w:r>
        <w:t>The application and operation of rule 7 is not substantively changed by this amendment.</w:t>
      </w:r>
    </w:p>
    <w:p w14:paraId="472139D4" w14:textId="17A681C1" w:rsidR="004B5A14" w:rsidRDefault="004B5A14" w:rsidP="00FA4D8D">
      <w:pPr>
        <w:spacing w:before="120" w:after="120"/>
      </w:pPr>
      <w:r w:rsidRPr="009E4239">
        <w:rPr>
          <w:b/>
        </w:rPr>
        <w:t>Item 2</w:t>
      </w:r>
      <w:r w:rsidR="009E4239">
        <w:rPr>
          <w:b/>
        </w:rPr>
        <w:t xml:space="preserve"> </w:t>
      </w:r>
      <w:r w:rsidR="009E4239" w:rsidRPr="00CC294D">
        <w:rPr>
          <w:b/>
        </w:rPr>
        <w:t>Subrule 11(2)</w:t>
      </w:r>
    </w:p>
    <w:p w14:paraId="69CC862D" w14:textId="73DAAF43" w:rsidR="009E4239" w:rsidRPr="00640FD5" w:rsidRDefault="009E4239" w:rsidP="00FA4D8D">
      <w:pPr>
        <w:spacing w:before="120" w:after="120"/>
      </w:pPr>
      <w:r>
        <w:t xml:space="preserve">This item repeals subrule 11(2) of the Classification Rules and substitutes a new subrule which provides that subrule 11(1) relating to the movement of an APS employee from a training classification on finishing a training requirement does </w:t>
      </w:r>
      <w:r>
        <w:lastRenderedPageBreak/>
        <w:t xml:space="preserve">not apply to a non-SES employee who is engaged for a specified term for the purpose mentioned in subparagraph 13(4)(c)(i) of the </w:t>
      </w:r>
      <w:r w:rsidR="00155C2F">
        <w:t>Current Regulations</w:t>
      </w:r>
      <w:r w:rsidRPr="00155C2F">
        <w:rPr>
          <w:i/>
        </w:rPr>
        <w:t>.</w:t>
      </w:r>
      <w:r w:rsidR="00640FD5">
        <w:t xml:space="preserve"> </w:t>
      </w:r>
    </w:p>
    <w:p w14:paraId="02BAFCAB" w14:textId="09A4D6CC" w:rsidR="00CA210F" w:rsidRDefault="00E3783B" w:rsidP="00FA4D8D">
      <w:pPr>
        <w:spacing w:before="120" w:after="120"/>
      </w:pPr>
      <w:r>
        <w:t xml:space="preserve">The new subrule is not substantively changed. </w:t>
      </w:r>
      <w:r w:rsidR="00640FD5">
        <w:t>Rather, t</w:t>
      </w:r>
      <w:r w:rsidR="009E4239">
        <w:t xml:space="preserve">his is a technical amendment made to remove a reference to the </w:t>
      </w:r>
      <w:r w:rsidR="00155C2F">
        <w:t>R</w:t>
      </w:r>
      <w:r w:rsidR="009E4239">
        <w:t>epealed</w:t>
      </w:r>
      <w:r w:rsidR="00155C2F">
        <w:t xml:space="preserve"> Regulations</w:t>
      </w:r>
      <w:r w:rsidR="009E4239">
        <w:t xml:space="preserve"> and</w:t>
      </w:r>
      <w:r w:rsidR="00155C2F">
        <w:t xml:space="preserve"> replace it with a reference to the correct provision in the Current Regulations. Under subparagraph 13(4)(c)(i) </w:t>
      </w:r>
      <w:r w:rsidR="00640FD5">
        <w:t xml:space="preserve">of the Current Regulations </w:t>
      </w:r>
      <w:r w:rsidR="00155C2F">
        <w:t>an Agency Head may engage a person as a non-ongoing non-SES employee for a specified term if the purpose of the employment is to assist the person to gain skills and experience, by participating in the workforce under a scheme approved by the Agency Head or the Commissioner</w:t>
      </w:r>
      <w:r w:rsidR="00CA210F">
        <w:t>.</w:t>
      </w:r>
      <w:r w:rsidR="002E32EA">
        <w:t xml:space="preserve">  </w:t>
      </w:r>
    </w:p>
    <w:p w14:paraId="63C79171" w14:textId="77777777" w:rsidR="00CA210F" w:rsidRDefault="00CA210F" w:rsidP="00FA4D8D">
      <w:pPr>
        <w:spacing w:before="120" w:after="120"/>
      </w:pPr>
      <w:r>
        <w:t>Under amended subrule 11(2), if an employee:</w:t>
      </w:r>
    </w:p>
    <w:p w14:paraId="69C9B439" w14:textId="0F25C253" w:rsidR="00CA210F" w:rsidRDefault="00CA210F" w:rsidP="00CA210F">
      <w:pPr>
        <w:pStyle w:val="ListParagraph"/>
        <w:numPr>
          <w:ilvl w:val="0"/>
          <w:numId w:val="5"/>
        </w:numPr>
        <w:spacing w:before="120" w:after="120"/>
      </w:pPr>
      <w:r>
        <w:t>is engaged in accordance with subparagraph 13(4)(c)(i)</w:t>
      </w:r>
      <w:r w:rsidR="00E3783B">
        <w:t>,</w:t>
      </w:r>
      <w:r>
        <w:t xml:space="preserve"> and</w:t>
      </w:r>
    </w:p>
    <w:p w14:paraId="69000666" w14:textId="6B62A50F" w:rsidR="00CA210F" w:rsidRDefault="00CA210F" w:rsidP="00CA210F">
      <w:pPr>
        <w:pStyle w:val="ListParagraph"/>
        <w:numPr>
          <w:ilvl w:val="0"/>
          <w:numId w:val="5"/>
        </w:numPr>
        <w:spacing w:before="120" w:after="120"/>
      </w:pPr>
      <w:r>
        <w:t>is employed at a training classification</w:t>
      </w:r>
      <w:r w:rsidR="00E3783B">
        <w:t>,</w:t>
      </w:r>
      <w:r>
        <w:t xml:space="preserve"> and </w:t>
      </w:r>
    </w:p>
    <w:p w14:paraId="5C4F2CFD" w14:textId="1544D338" w:rsidR="00CA210F" w:rsidRDefault="00CA210F" w:rsidP="00CA210F">
      <w:pPr>
        <w:pStyle w:val="ListParagraph"/>
        <w:numPr>
          <w:ilvl w:val="0"/>
          <w:numId w:val="5"/>
        </w:numPr>
        <w:spacing w:before="120" w:after="120"/>
      </w:pPr>
      <w:r>
        <w:t>satisfactorily finishes the training requirement</w:t>
      </w:r>
    </w:p>
    <w:p w14:paraId="4414C970" w14:textId="6BBE2334" w:rsidR="00A1632C" w:rsidRDefault="00CA210F" w:rsidP="00A1632C">
      <w:pPr>
        <w:spacing w:before="120" w:after="120"/>
      </w:pPr>
      <w:r>
        <w:t xml:space="preserve">the Agency Head is not required to allocate to the employee a classification relating to the employee’s training classification, in accordance with subrule (1). </w:t>
      </w:r>
      <w:r w:rsidR="00D00C2B">
        <w:t xml:space="preserve">This is because employees are </w:t>
      </w:r>
      <w:r w:rsidR="000C613E">
        <w:t xml:space="preserve">engaged </w:t>
      </w:r>
      <w:r w:rsidR="00D00C2B">
        <w:t xml:space="preserve">under </w:t>
      </w:r>
      <w:r w:rsidR="000C613E">
        <w:t xml:space="preserve">subparagraph </w:t>
      </w:r>
      <w:r w:rsidR="00D00C2B">
        <w:t>13(4)</w:t>
      </w:r>
      <w:r w:rsidR="00C97E26">
        <w:t>(c)</w:t>
      </w:r>
      <w:r w:rsidR="00D00C2B">
        <w:t xml:space="preserve">(i) for the purpose of assisting the person to gain skills and experience, by participating in the workforce under a scheme approved by the Agency </w:t>
      </w:r>
      <w:r w:rsidR="00E231FE">
        <w:t xml:space="preserve">Head or </w:t>
      </w:r>
      <w:r w:rsidR="00C22897">
        <w:t>the Commissioner</w:t>
      </w:r>
      <w:r w:rsidR="000C613E">
        <w:t xml:space="preserve">. Those employees are not engaged for the purposes of training to take up an operational role in the APS and therefore it is not appropriate for an Agency Head to have to allocate the employee a classification mentioned in column 3 of </w:t>
      </w:r>
      <w:r w:rsidR="00E231FE">
        <w:t xml:space="preserve"> Schedule 2 </w:t>
      </w:r>
      <w:r w:rsidR="000C613E">
        <w:t xml:space="preserve">to </w:t>
      </w:r>
      <w:r w:rsidR="00E231FE">
        <w:t>the Rules.</w:t>
      </w:r>
      <w:r w:rsidR="002E32EA">
        <w:t xml:space="preserve">  </w:t>
      </w:r>
    </w:p>
    <w:p w14:paraId="7F310E3B" w14:textId="7859834A" w:rsidR="00F97AE4" w:rsidRDefault="0079162E" w:rsidP="00CA210F">
      <w:pPr>
        <w:spacing w:before="120" w:after="120"/>
      </w:pPr>
      <w:r>
        <w:t>The</w:t>
      </w:r>
      <w:r w:rsidR="00000AD5">
        <w:t xml:space="preserve"> reference to </w:t>
      </w:r>
      <w:r>
        <w:t xml:space="preserve">engagement of an employee for </w:t>
      </w:r>
      <w:r w:rsidR="00000AD5">
        <w:t xml:space="preserve">a specified task is </w:t>
      </w:r>
      <w:r>
        <w:t xml:space="preserve">no longer </w:t>
      </w:r>
      <w:r w:rsidR="00000AD5">
        <w:t xml:space="preserve">required as subsection 13(4) of the Current Regulations only applies in relation to engagement </w:t>
      </w:r>
      <w:r w:rsidR="00323CC3">
        <w:t>of a person as a non-</w:t>
      </w:r>
      <w:r>
        <w:t xml:space="preserve">ongoing non-SES employee </w:t>
      </w:r>
      <w:r w:rsidR="00000AD5">
        <w:t xml:space="preserve">for a specified term.  </w:t>
      </w:r>
    </w:p>
    <w:p w14:paraId="631EB714" w14:textId="072D11FC" w:rsidR="009E4239" w:rsidRDefault="009E4239" w:rsidP="00FA4D8D">
      <w:pPr>
        <w:spacing w:before="120" w:after="120"/>
      </w:pPr>
      <w:r w:rsidRPr="009E4239">
        <w:rPr>
          <w:b/>
        </w:rPr>
        <w:t>Item 3</w:t>
      </w:r>
      <w:r>
        <w:t xml:space="preserve"> Subrule 13(2)</w:t>
      </w:r>
    </w:p>
    <w:p w14:paraId="0203143E" w14:textId="0FB08251" w:rsidR="009E4239" w:rsidRDefault="009E4239" w:rsidP="00FA4D8D">
      <w:pPr>
        <w:spacing w:before="120" w:after="120"/>
      </w:pPr>
      <w:r>
        <w:t>This item inserts the words ‘(within the meaning of subsection 78(8) of the Act)’ after the word ‘outside</w:t>
      </w:r>
      <w:r w:rsidR="005D50D1">
        <w:t>r</w:t>
      </w:r>
      <w:r>
        <w:t>’ in subrule 13(2).</w:t>
      </w:r>
      <w:r w:rsidR="009060C0">
        <w:t xml:space="preserve">  </w:t>
      </w:r>
    </w:p>
    <w:p w14:paraId="6270CF77" w14:textId="77777777" w:rsidR="00DD4A8D" w:rsidRDefault="009E4239" w:rsidP="00187358">
      <w:pPr>
        <w:spacing w:before="120" w:after="120"/>
      </w:pPr>
      <w:r>
        <w:t xml:space="preserve">This amendment is consequential to the amendment of subsection 78(8) </w:t>
      </w:r>
      <w:r w:rsidR="00891827">
        <w:t>of the PS Act made by</w:t>
      </w:r>
      <w:r>
        <w:t xml:space="preserve"> the </w:t>
      </w:r>
      <w:r w:rsidRPr="007E26C4">
        <w:rPr>
          <w:i/>
        </w:rPr>
        <w:t>Public Se</w:t>
      </w:r>
      <w:r w:rsidR="007E26C4" w:rsidRPr="007E26C4">
        <w:rPr>
          <w:i/>
        </w:rPr>
        <w:t>rvice Amendment Act 2024</w:t>
      </w:r>
      <w:r w:rsidR="007E26C4">
        <w:t xml:space="preserve">, to </w:t>
      </w:r>
      <w:r w:rsidR="005D50D1">
        <w:t xml:space="preserve">include ‘a member of the Australian Defence Force’ as a person who is </w:t>
      </w:r>
      <w:r w:rsidR="008359A4">
        <w:t xml:space="preserve">not </w:t>
      </w:r>
      <w:r w:rsidR="005D50D1">
        <w:t xml:space="preserve">an </w:t>
      </w:r>
      <w:r w:rsidR="005D50D1" w:rsidRPr="00F97AE4">
        <w:rPr>
          <w:b/>
          <w:i/>
        </w:rPr>
        <w:t>outsider</w:t>
      </w:r>
      <w:r w:rsidR="005D50D1" w:rsidRPr="00F97AE4">
        <w:rPr>
          <w:b/>
        </w:rPr>
        <w:t xml:space="preserve"> </w:t>
      </w:r>
      <w:r w:rsidR="005D50D1">
        <w:t xml:space="preserve">to whom an Agency Head cannot, under subsection 78(7) of the PS Act, delegate powers or functions without the prior written consent of the Commissioner.  </w:t>
      </w:r>
    </w:p>
    <w:p w14:paraId="40C322FD" w14:textId="47D11E9D" w:rsidR="00187358" w:rsidRDefault="00187358" w:rsidP="00187358">
      <w:pPr>
        <w:spacing w:before="120" w:after="120"/>
      </w:pPr>
      <w:r>
        <w:t>This accords with p</w:t>
      </w:r>
      <w:r w:rsidRPr="00187358">
        <w:t xml:space="preserve">aragraph 13(1)(b) of the </w:t>
      </w:r>
      <w:r w:rsidRPr="00DD4A8D">
        <w:t xml:space="preserve">Legislation Act which </w:t>
      </w:r>
      <w:r w:rsidRPr="00187358">
        <w:t>is to the effect that expressions used in a legislative instrument have the same meaning as in the enabling legislation as in force from time to time, unless a contrary intention appears.</w:t>
      </w:r>
      <w:r>
        <w:t xml:space="preserve">  </w:t>
      </w:r>
    </w:p>
    <w:p w14:paraId="2A923CE3" w14:textId="02C133B0" w:rsidR="00187358" w:rsidRDefault="00187358" w:rsidP="00187358">
      <w:pPr>
        <w:spacing w:before="120" w:after="120"/>
      </w:pPr>
      <w:r>
        <w:t xml:space="preserve">As a result of this, any amendments to the definition of </w:t>
      </w:r>
      <w:r w:rsidRPr="00DB568E">
        <w:t>outsider</w:t>
      </w:r>
      <w:r>
        <w:t xml:space="preserve"> in the </w:t>
      </w:r>
      <w:r w:rsidR="00E81630">
        <w:t>PS Act will apply in the Classification R</w:t>
      </w:r>
      <w:r>
        <w:t>ules without the</w:t>
      </w:r>
      <w:r w:rsidR="00E81630">
        <w:t>m</w:t>
      </w:r>
      <w:r>
        <w:t xml:space="preserve"> needing to be amended, ensuring </w:t>
      </w:r>
      <w:r w:rsidR="00E81630">
        <w:t>the definition</w:t>
      </w:r>
      <w:r>
        <w:t xml:space="preserve"> remains consistent across the legislation.</w:t>
      </w:r>
    </w:p>
    <w:p w14:paraId="59DD0474" w14:textId="50D1AC80" w:rsidR="005D50D1" w:rsidRDefault="009060C0" w:rsidP="00FA4D8D">
      <w:pPr>
        <w:spacing w:before="120" w:after="120"/>
      </w:pPr>
      <w:r>
        <w:t>Subrule 13(2) provides</w:t>
      </w:r>
      <w:r w:rsidR="00BF1ADF">
        <w:t xml:space="preserve"> that</w:t>
      </w:r>
      <w:r w:rsidR="005D50D1">
        <w:t xml:space="preserve"> an Agency Head</w:t>
      </w:r>
      <w:r w:rsidR="003E4976">
        <w:t xml:space="preserve"> cannot delegate powers or functions under the Classification Rules </w:t>
      </w:r>
      <w:r w:rsidR="003E4976" w:rsidRPr="005723E4">
        <w:t xml:space="preserve">to </w:t>
      </w:r>
      <w:r w:rsidR="005723E4" w:rsidRPr="005723E4">
        <w:t>an</w:t>
      </w:r>
      <w:r w:rsidR="005723E4">
        <w:t xml:space="preserve"> outsider</w:t>
      </w:r>
      <w:r w:rsidR="003E4976">
        <w:t xml:space="preserve"> </w:t>
      </w:r>
      <w:r w:rsidR="005723E4">
        <w:t xml:space="preserve">(within the meaning of subsection 78(8) of the PS Act) </w:t>
      </w:r>
      <w:r w:rsidR="003E4976">
        <w:t>without prior written con</w:t>
      </w:r>
      <w:r w:rsidR="00F97AE4">
        <w:t>s</w:t>
      </w:r>
      <w:r w:rsidR="003E4976">
        <w:t>ent of the Commissioner.</w:t>
      </w:r>
      <w:r w:rsidR="00F97AE4">
        <w:t xml:space="preserve"> </w:t>
      </w:r>
      <w:r w:rsidR="00BF1ADF">
        <w:t>This has not been changed by the amendment in item 3</w:t>
      </w:r>
      <w:r>
        <w:t xml:space="preserve">, which is to use the </w:t>
      </w:r>
      <w:r>
        <w:lastRenderedPageBreak/>
        <w:t>meaning of the term outside</w:t>
      </w:r>
      <w:r w:rsidR="00C90456">
        <w:t>r</w:t>
      </w:r>
      <w:r>
        <w:t xml:space="preserve"> provided in the PS Act rather than to define the term in rule 13.</w:t>
      </w:r>
    </w:p>
    <w:p w14:paraId="7204AD09" w14:textId="27D7987D" w:rsidR="003E4976" w:rsidRDefault="003E4976" w:rsidP="00FA4D8D">
      <w:pPr>
        <w:spacing w:before="120" w:after="120"/>
      </w:pPr>
      <w:r w:rsidRPr="003E4976">
        <w:rPr>
          <w:b/>
        </w:rPr>
        <w:t>Item 4</w:t>
      </w:r>
      <w:r>
        <w:t xml:space="preserve"> Subrule 13(7)</w:t>
      </w:r>
    </w:p>
    <w:p w14:paraId="1501C0AA" w14:textId="65B21D71" w:rsidR="003E4976" w:rsidRPr="003E4976" w:rsidRDefault="003E4976" w:rsidP="00FA4D8D">
      <w:pPr>
        <w:spacing w:before="120" w:after="120"/>
      </w:pPr>
      <w:r>
        <w:t xml:space="preserve">This item repeals subrule 13(7). This amendment is consequential to the amendment in item 3 described above, which </w:t>
      </w:r>
      <w:r w:rsidR="00564300">
        <w:t>nullifie</w:t>
      </w:r>
      <w:r>
        <w:t xml:space="preserve">s the requirement for subrule 13(7) by referring to the definition of </w:t>
      </w:r>
      <w:r w:rsidRPr="003E4976">
        <w:rPr>
          <w:i/>
        </w:rPr>
        <w:t>outsider</w:t>
      </w:r>
      <w:r>
        <w:t xml:space="preserve"> provided in subsection 78(8) of the PS Act.</w:t>
      </w:r>
    </w:p>
    <w:sectPr w:rsidR="003E4976" w:rsidRPr="003E4976" w:rsidSect="0044203F">
      <w:footerReference w:type="default" r:id="rId11"/>
      <w:pgSz w:w="11906" w:h="16838" w:code="9"/>
      <w:pgMar w:top="1418"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F0A65" w14:textId="77777777" w:rsidR="00A21804" w:rsidRDefault="00A21804" w:rsidP="00B82200">
      <w:r>
        <w:separator/>
      </w:r>
    </w:p>
  </w:endnote>
  <w:endnote w:type="continuationSeparator" w:id="0">
    <w:p w14:paraId="56EB9E32" w14:textId="77777777" w:rsidR="00A21804" w:rsidRDefault="00A21804" w:rsidP="00B8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972745"/>
      <w:docPartObj>
        <w:docPartGallery w:val="Page Numbers (Bottom of Page)"/>
        <w:docPartUnique/>
      </w:docPartObj>
    </w:sdtPr>
    <w:sdtEndPr>
      <w:rPr>
        <w:noProof/>
      </w:rPr>
    </w:sdtEndPr>
    <w:sdtContent>
      <w:p w14:paraId="2048B4FD" w14:textId="41740B9B" w:rsidR="00000154" w:rsidRDefault="00000154">
        <w:pPr>
          <w:pStyle w:val="Footer"/>
          <w:jc w:val="right"/>
        </w:pPr>
        <w:r>
          <w:fldChar w:fldCharType="begin"/>
        </w:r>
        <w:r>
          <w:instrText xml:space="preserve"> PAGE   \* MERGEFORMAT </w:instrText>
        </w:r>
        <w:r>
          <w:fldChar w:fldCharType="separate"/>
        </w:r>
        <w:r w:rsidR="00486010">
          <w:rPr>
            <w:noProof/>
          </w:rPr>
          <w:t>1</w:t>
        </w:r>
        <w:r>
          <w:rPr>
            <w:noProof/>
          </w:rPr>
          <w:fldChar w:fldCharType="end"/>
        </w:r>
      </w:p>
    </w:sdtContent>
  </w:sdt>
  <w:p w14:paraId="0456E7D8" w14:textId="77777777" w:rsidR="00E73288" w:rsidRDefault="00E73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395E6" w14:textId="77777777" w:rsidR="00A21804" w:rsidRDefault="00A21804" w:rsidP="00B82200">
      <w:r>
        <w:separator/>
      </w:r>
    </w:p>
  </w:footnote>
  <w:footnote w:type="continuationSeparator" w:id="0">
    <w:p w14:paraId="3EC8FEE6" w14:textId="77777777" w:rsidR="00A21804" w:rsidRDefault="00A21804" w:rsidP="00B82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02D"/>
    <w:multiLevelType w:val="hybridMultilevel"/>
    <w:tmpl w:val="37F28E4A"/>
    <w:lvl w:ilvl="0" w:tplc="0C090001">
      <w:start w:val="26"/>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267CF1"/>
    <w:multiLevelType w:val="hybridMultilevel"/>
    <w:tmpl w:val="1A021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B736D8"/>
    <w:multiLevelType w:val="multilevel"/>
    <w:tmpl w:val="8F1EF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C76EB"/>
    <w:multiLevelType w:val="hybridMultilevel"/>
    <w:tmpl w:val="E51AC0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7F1E67"/>
    <w:multiLevelType w:val="hybridMultilevel"/>
    <w:tmpl w:val="30B4C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5C14004"/>
    <w:multiLevelType w:val="hybridMultilevel"/>
    <w:tmpl w:val="CB10D1B4"/>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634"/>
    <w:rsid w:val="00000154"/>
    <w:rsid w:val="00000AD5"/>
    <w:rsid w:val="00002A5F"/>
    <w:rsid w:val="00002CCD"/>
    <w:rsid w:val="000207B8"/>
    <w:rsid w:val="000209C2"/>
    <w:rsid w:val="00020E82"/>
    <w:rsid w:val="00022E96"/>
    <w:rsid w:val="0002376E"/>
    <w:rsid w:val="00030875"/>
    <w:rsid w:val="00032D8F"/>
    <w:rsid w:val="00034FA2"/>
    <w:rsid w:val="00035EA7"/>
    <w:rsid w:val="00046504"/>
    <w:rsid w:val="00047BD9"/>
    <w:rsid w:val="00060070"/>
    <w:rsid w:val="000650F5"/>
    <w:rsid w:val="00067B65"/>
    <w:rsid w:val="00073E8F"/>
    <w:rsid w:val="0008294C"/>
    <w:rsid w:val="0008311A"/>
    <w:rsid w:val="000874B8"/>
    <w:rsid w:val="00087703"/>
    <w:rsid w:val="0009121F"/>
    <w:rsid w:val="00097069"/>
    <w:rsid w:val="000972D0"/>
    <w:rsid w:val="000B21E3"/>
    <w:rsid w:val="000B764F"/>
    <w:rsid w:val="000C613E"/>
    <w:rsid w:val="000D19E5"/>
    <w:rsid w:val="000E47A3"/>
    <w:rsid w:val="000F1308"/>
    <w:rsid w:val="000F49C8"/>
    <w:rsid w:val="000F6604"/>
    <w:rsid w:val="000F6AE4"/>
    <w:rsid w:val="000F7EEE"/>
    <w:rsid w:val="001000FD"/>
    <w:rsid w:val="001014FA"/>
    <w:rsid w:val="00102898"/>
    <w:rsid w:val="00104322"/>
    <w:rsid w:val="00112C1B"/>
    <w:rsid w:val="001141B4"/>
    <w:rsid w:val="0011465B"/>
    <w:rsid w:val="001209B4"/>
    <w:rsid w:val="00121316"/>
    <w:rsid w:val="00126028"/>
    <w:rsid w:val="00132689"/>
    <w:rsid w:val="0013301E"/>
    <w:rsid w:val="00144785"/>
    <w:rsid w:val="00150227"/>
    <w:rsid w:val="00155597"/>
    <w:rsid w:val="00155C2F"/>
    <w:rsid w:val="00165968"/>
    <w:rsid w:val="00173247"/>
    <w:rsid w:val="00180525"/>
    <w:rsid w:val="001845FD"/>
    <w:rsid w:val="00184AB9"/>
    <w:rsid w:val="001871A2"/>
    <w:rsid w:val="00187358"/>
    <w:rsid w:val="00195B5B"/>
    <w:rsid w:val="001977C4"/>
    <w:rsid w:val="001A2E8B"/>
    <w:rsid w:val="001A3131"/>
    <w:rsid w:val="001A5721"/>
    <w:rsid w:val="001A7F12"/>
    <w:rsid w:val="001B34F1"/>
    <w:rsid w:val="001B59D3"/>
    <w:rsid w:val="001D3D41"/>
    <w:rsid w:val="001D3D94"/>
    <w:rsid w:val="001D6B61"/>
    <w:rsid w:val="001D7B50"/>
    <w:rsid w:val="001E0C70"/>
    <w:rsid w:val="001F20AC"/>
    <w:rsid w:val="001F6D72"/>
    <w:rsid w:val="00204FEB"/>
    <w:rsid w:val="00207C55"/>
    <w:rsid w:val="002126BB"/>
    <w:rsid w:val="002137F7"/>
    <w:rsid w:val="00216F1E"/>
    <w:rsid w:val="002171C9"/>
    <w:rsid w:val="00221014"/>
    <w:rsid w:val="00221FBE"/>
    <w:rsid w:val="00222AD8"/>
    <w:rsid w:val="00224624"/>
    <w:rsid w:val="00226E4B"/>
    <w:rsid w:val="00227456"/>
    <w:rsid w:val="00231154"/>
    <w:rsid w:val="0024188A"/>
    <w:rsid w:val="00242DB3"/>
    <w:rsid w:val="00250259"/>
    <w:rsid w:val="0025247F"/>
    <w:rsid w:val="00257EE1"/>
    <w:rsid w:val="00260FFC"/>
    <w:rsid w:val="00263204"/>
    <w:rsid w:val="002769CE"/>
    <w:rsid w:val="00294098"/>
    <w:rsid w:val="00295085"/>
    <w:rsid w:val="0029623E"/>
    <w:rsid w:val="002A2ECE"/>
    <w:rsid w:val="002A7BA7"/>
    <w:rsid w:val="002B7822"/>
    <w:rsid w:val="002C09EE"/>
    <w:rsid w:val="002C16CE"/>
    <w:rsid w:val="002D0BC6"/>
    <w:rsid w:val="002D1D12"/>
    <w:rsid w:val="002D74AE"/>
    <w:rsid w:val="002E2E44"/>
    <w:rsid w:val="002E32EA"/>
    <w:rsid w:val="002E6EE6"/>
    <w:rsid w:val="002F4719"/>
    <w:rsid w:val="002F5B73"/>
    <w:rsid w:val="002F7D42"/>
    <w:rsid w:val="00302522"/>
    <w:rsid w:val="003039D5"/>
    <w:rsid w:val="003052D7"/>
    <w:rsid w:val="00310E41"/>
    <w:rsid w:val="00312001"/>
    <w:rsid w:val="0031203E"/>
    <w:rsid w:val="003121C2"/>
    <w:rsid w:val="00320777"/>
    <w:rsid w:val="00323CC3"/>
    <w:rsid w:val="0032611E"/>
    <w:rsid w:val="00335C2B"/>
    <w:rsid w:val="00342BEA"/>
    <w:rsid w:val="00344382"/>
    <w:rsid w:val="003450E5"/>
    <w:rsid w:val="003458BE"/>
    <w:rsid w:val="00350A87"/>
    <w:rsid w:val="00360359"/>
    <w:rsid w:val="003613AB"/>
    <w:rsid w:val="00361D12"/>
    <w:rsid w:val="00363500"/>
    <w:rsid w:val="00364064"/>
    <w:rsid w:val="00367C9E"/>
    <w:rsid w:val="00375432"/>
    <w:rsid w:val="00382791"/>
    <w:rsid w:val="00391434"/>
    <w:rsid w:val="003A0D29"/>
    <w:rsid w:val="003A2A48"/>
    <w:rsid w:val="003A4623"/>
    <w:rsid w:val="003A493A"/>
    <w:rsid w:val="003A58A8"/>
    <w:rsid w:val="003A6EC6"/>
    <w:rsid w:val="003C08FE"/>
    <w:rsid w:val="003C1854"/>
    <w:rsid w:val="003C24DC"/>
    <w:rsid w:val="003C5F62"/>
    <w:rsid w:val="003D027B"/>
    <w:rsid w:val="003D6404"/>
    <w:rsid w:val="003D7394"/>
    <w:rsid w:val="003E3AD6"/>
    <w:rsid w:val="003E4976"/>
    <w:rsid w:val="003E51D8"/>
    <w:rsid w:val="003F106E"/>
    <w:rsid w:val="003F6446"/>
    <w:rsid w:val="003F7488"/>
    <w:rsid w:val="004035CF"/>
    <w:rsid w:val="00406FA9"/>
    <w:rsid w:val="00407E74"/>
    <w:rsid w:val="0041615C"/>
    <w:rsid w:val="004229AE"/>
    <w:rsid w:val="004302D5"/>
    <w:rsid w:val="004340DC"/>
    <w:rsid w:val="00435B82"/>
    <w:rsid w:val="0044203F"/>
    <w:rsid w:val="00443F9A"/>
    <w:rsid w:val="00453548"/>
    <w:rsid w:val="00461E5E"/>
    <w:rsid w:val="004643A4"/>
    <w:rsid w:val="004651A6"/>
    <w:rsid w:val="0046697F"/>
    <w:rsid w:val="00466E20"/>
    <w:rsid w:val="004820A8"/>
    <w:rsid w:val="00486010"/>
    <w:rsid w:val="00492AB7"/>
    <w:rsid w:val="00493E86"/>
    <w:rsid w:val="004A653A"/>
    <w:rsid w:val="004B2D71"/>
    <w:rsid w:val="004B493A"/>
    <w:rsid w:val="004B52DD"/>
    <w:rsid w:val="004B52F8"/>
    <w:rsid w:val="004B5A14"/>
    <w:rsid w:val="004C1407"/>
    <w:rsid w:val="004C2635"/>
    <w:rsid w:val="004C67F3"/>
    <w:rsid w:val="004D0763"/>
    <w:rsid w:val="004D39D8"/>
    <w:rsid w:val="004D791A"/>
    <w:rsid w:val="004E0D7C"/>
    <w:rsid w:val="004F2FFE"/>
    <w:rsid w:val="00504666"/>
    <w:rsid w:val="00511B7C"/>
    <w:rsid w:val="00513AC6"/>
    <w:rsid w:val="0053026E"/>
    <w:rsid w:val="00532BE5"/>
    <w:rsid w:val="0053524A"/>
    <w:rsid w:val="00541E45"/>
    <w:rsid w:val="00546B63"/>
    <w:rsid w:val="00546D23"/>
    <w:rsid w:val="00551332"/>
    <w:rsid w:val="00553835"/>
    <w:rsid w:val="00556F98"/>
    <w:rsid w:val="005574EB"/>
    <w:rsid w:val="00564300"/>
    <w:rsid w:val="00564EBE"/>
    <w:rsid w:val="005650EC"/>
    <w:rsid w:val="005723E4"/>
    <w:rsid w:val="00575C89"/>
    <w:rsid w:val="00581CAB"/>
    <w:rsid w:val="00595B41"/>
    <w:rsid w:val="00595F40"/>
    <w:rsid w:val="005A2AB5"/>
    <w:rsid w:val="005A3285"/>
    <w:rsid w:val="005A58B1"/>
    <w:rsid w:val="005B70C8"/>
    <w:rsid w:val="005C089E"/>
    <w:rsid w:val="005C0AC8"/>
    <w:rsid w:val="005D0634"/>
    <w:rsid w:val="005D15C0"/>
    <w:rsid w:val="005D1819"/>
    <w:rsid w:val="005D34A0"/>
    <w:rsid w:val="005D50D1"/>
    <w:rsid w:val="005D65A4"/>
    <w:rsid w:val="005E119E"/>
    <w:rsid w:val="005E1C5D"/>
    <w:rsid w:val="005E1DE2"/>
    <w:rsid w:val="005E2A31"/>
    <w:rsid w:val="005F1854"/>
    <w:rsid w:val="005F5F38"/>
    <w:rsid w:val="005F7C13"/>
    <w:rsid w:val="00603FF8"/>
    <w:rsid w:val="00611DB5"/>
    <w:rsid w:val="00612073"/>
    <w:rsid w:val="00614C52"/>
    <w:rsid w:val="00623793"/>
    <w:rsid w:val="00625016"/>
    <w:rsid w:val="0062546A"/>
    <w:rsid w:val="00626D2A"/>
    <w:rsid w:val="00627EE7"/>
    <w:rsid w:val="00634DBF"/>
    <w:rsid w:val="00640065"/>
    <w:rsid w:val="00640FD5"/>
    <w:rsid w:val="006459DB"/>
    <w:rsid w:val="00647248"/>
    <w:rsid w:val="00653549"/>
    <w:rsid w:val="00660E07"/>
    <w:rsid w:val="00660F1B"/>
    <w:rsid w:val="00663FE8"/>
    <w:rsid w:val="0066618E"/>
    <w:rsid w:val="006705B0"/>
    <w:rsid w:val="00674BA9"/>
    <w:rsid w:val="00675E69"/>
    <w:rsid w:val="00676F2F"/>
    <w:rsid w:val="006778D6"/>
    <w:rsid w:val="006801C8"/>
    <w:rsid w:val="00682EDC"/>
    <w:rsid w:val="0068774A"/>
    <w:rsid w:val="00694044"/>
    <w:rsid w:val="00695630"/>
    <w:rsid w:val="006A3C97"/>
    <w:rsid w:val="006C35E0"/>
    <w:rsid w:val="006C7E67"/>
    <w:rsid w:val="006D0ED9"/>
    <w:rsid w:val="006D4608"/>
    <w:rsid w:val="006D5511"/>
    <w:rsid w:val="006D6662"/>
    <w:rsid w:val="006E0650"/>
    <w:rsid w:val="006E25D0"/>
    <w:rsid w:val="006E4FF1"/>
    <w:rsid w:val="00707048"/>
    <w:rsid w:val="0070743E"/>
    <w:rsid w:val="00716D60"/>
    <w:rsid w:val="007256B9"/>
    <w:rsid w:val="00730F86"/>
    <w:rsid w:val="007517CF"/>
    <w:rsid w:val="007523AE"/>
    <w:rsid w:val="00755626"/>
    <w:rsid w:val="00757F5E"/>
    <w:rsid w:val="0076280F"/>
    <w:rsid w:val="00762F26"/>
    <w:rsid w:val="00771A0D"/>
    <w:rsid w:val="007759BF"/>
    <w:rsid w:val="0077698A"/>
    <w:rsid w:val="0077781E"/>
    <w:rsid w:val="00780550"/>
    <w:rsid w:val="007811EC"/>
    <w:rsid w:val="0079162E"/>
    <w:rsid w:val="00793E7B"/>
    <w:rsid w:val="007952ED"/>
    <w:rsid w:val="007B09BF"/>
    <w:rsid w:val="007B207A"/>
    <w:rsid w:val="007B3F26"/>
    <w:rsid w:val="007B5A78"/>
    <w:rsid w:val="007C0990"/>
    <w:rsid w:val="007C348C"/>
    <w:rsid w:val="007C48E3"/>
    <w:rsid w:val="007C5216"/>
    <w:rsid w:val="007D040D"/>
    <w:rsid w:val="007D0FA0"/>
    <w:rsid w:val="007E05B1"/>
    <w:rsid w:val="007E07D0"/>
    <w:rsid w:val="007E1A9E"/>
    <w:rsid w:val="007E26C4"/>
    <w:rsid w:val="007F16B5"/>
    <w:rsid w:val="00811B41"/>
    <w:rsid w:val="00813096"/>
    <w:rsid w:val="00815452"/>
    <w:rsid w:val="00816D41"/>
    <w:rsid w:val="00820199"/>
    <w:rsid w:val="00820DDE"/>
    <w:rsid w:val="00823206"/>
    <w:rsid w:val="008243C9"/>
    <w:rsid w:val="0082591E"/>
    <w:rsid w:val="00833F44"/>
    <w:rsid w:val="008359A4"/>
    <w:rsid w:val="0085613A"/>
    <w:rsid w:val="00863C75"/>
    <w:rsid w:val="00891827"/>
    <w:rsid w:val="008A28AA"/>
    <w:rsid w:val="008A5618"/>
    <w:rsid w:val="008A67A7"/>
    <w:rsid w:val="008B0893"/>
    <w:rsid w:val="008B25BE"/>
    <w:rsid w:val="008D22B3"/>
    <w:rsid w:val="008D3CF0"/>
    <w:rsid w:val="008D48A6"/>
    <w:rsid w:val="008E1C60"/>
    <w:rsid w:val="008E3775"/>
    <w:rsid w:val="008E5A33"/>
    <w:rsid w:val="008F3179"/>
    <w:rsid w:val="008F77FC"/>
    <w:rsid w:val="00904F91"/>
    <w:rsid w:val="00905AF2"/>
    <w:rsid w:val="009060C0"/>
    <w:rsid w:val="00906A26"/>
    <w:rsid w:val="00910990"/>
    <w:rsid w:val="00910B87"/>
    <w:rsid w:val="0091215B"/>
    <w:rsid w:val="00916547"/>
    <w:rsid w:val="009259DE"/>
    <w:rsid w:val="0092694F"/>
    <w:rsid w:val="00941D04"/>
    <w:rsid w:val="00966D75"/>
    <w:rsid w:val="00971B87"/>
    <w:rsid w:val="00986472"/>
    <w:rsid w:val="009949F5"/>
    <w:rsid w:val="00995F80"/>
    <w:rsid w:val="0099602D"/>
    <w:rsid w:val="009A7716"/>
    <w:rsid w:val="009B5CDD"/>
    <w:rsid w:val="009C0F10"/>
    <w:rsid w:val="009C7D48"/>
    <w:rsid w:val="009D1967"/>
    <w:rsid w:val="009D26D1"/>
    <w:rsid w:val="009E4239"/>
    <w:rsid w:val="009E4B1A"/>
    <w:rsid w:val="00A04686"/>
    <w:rsid w:val="00A06B81"/>
    <w:rsid w:val="00A16166"/>
    <w:rsid w:val="00A1632C"/>
    <w:rsid w:val="00A16CCA"/>
    <w:rsid w:val="00A17072"/>
    <w:rsid w:val="00A2169C"/>
    <w:rsid w:val="00A21804"/>
    <w:rsid w:val="00A270ED"/>
    <w:rsid w:val="00A324E3"/>
    <w:rsid w:val="00A33FCF"/>
    <w:rsid w:val="00A41857"/>
    <w:rsid w:val="00A4590E"/>
    <w:rsid w:val="00A52A24"/>
    <w:rsid w:val="00A56625"/>
    <w:rsid w:val="00A579FF"/>
    <w:rsid w:val="00A6302E"/>
    <w:rsid w:val="00A75204"/>
    <w:rsid w:val="00A767A9"/>
    <w:rsid w:val="00A76F03"/>
    <w:rsid w:val="00A77542"/>
    <w:rsid w:val="00A8140B"/>
    <w:rsid w:val="00A820EC"/>
    <w:rsid w:val="00A82146"/>
    <w:rsid w:val="00A85F1C"/>
    <w:rsid w:val="00A86BE8"/>
    <w:rsid w:val="00AA14A1"/>
    <w:rsid w:val="00AC3266"/>
    <w:rsid w:val="00AC468E"/>
    <w:rsid w:val="00AD316F"/>
    <w:rsid w:val="00AD3EA2"/>
    <w:rsid w:val="00AD6C94"/>
    <w:rsid w:val="00AD6E6D"/>
    <w:rsid w:val="00AE0659"/>
    <w:rsid w:val="00AE20EA"/>
    <w:rsid w:val="00AF30F6"/>
    <w:rsid w:val="00AF3550"/>
    <w:rsid w:val="00AF3DD5"/>
    <w:rsid w:val="00AF41FB"/>
    <w:rsid w:val="00AF796A"/>
    <w:rsid w:val="00B02B65"/>
    <w:rsid w:val="00B200BF"/>
    <w:rsid w:val="00B27A0F"/>
    <w:rsid w:val="00B31007"/>
    <w:rsid w:val="00B31CC7"/>
    <w:rsid w:val="00B50DF8"/>
    <w:rsid w:val="00B525E6"/>
    <w:rsid w:val="00B56E11"/>
    <w:rsid w:val="00B57719"/>
    <w:rsid w:val="00B6094F"/>
    <w:rsid w:val="00B667ED"/>
    <w:rsid w:val="00B71481"/>
    <w:rsid w:val="00B7208D"/>
    <w:rsid w:val="00B728F4"/>
    <w:rsid w:val="00B778A0"/>
    <w:rsid w:val="00B82200"/>
    <w:rsid w:val="00B82D9A"/>
    <w:rsid w:val="00BA74FB"/>
    <w:rsid w:val="00BC3056"/>
    <w:rsid w:val="00BC7FAE"/>
    <w:rsid w:val="00BD515A"/>
    <w:rsid w:val="00BD5932"/>
    <w:rsid w:val="00BE1863"/>
    <w:rsid w:val="00BE357E"/>
    <w:rsid w:val="00BE5DBF"/>
    <w:rsid w:val="00BE63EC"/>
    <w:rsid w:val="00BF1ADF"/>
    <w:rsid w:val="00BF592E"/>
    <w:rsid w:val="00BF671E"/>
    <w:rsid w:val="00C028BE"/>
    <w:rsid w:val="00C0438B"/>
    <w:rsid w:val="00C05CFC"/>
    <w:rsid w:val="00C07202"/>
    <w:rsid w:val="00C13465"/>
    <w:rsid w:val="00C13980"/>
    <w:rsid w:val="00C155AC"/>
    <w:rsid w:val="00C22614"/>
    <w:rsid w:val="00C22897"/>
    <w:rsid w:val="00C232CC"/>
    <w:rsid w:val="00C26485"/>
    <w:rsid w:val="00C27F81"/>
    <w:rsid w:val="00C3085B"/>
    <w:rsid w:val="00C3492F"/>
    <w:rsid w:val="00C42099"/>
    <w:rsid w:val="00C46953"/>
    <w:rsid w:val="00C533EE"/>
    <w:rsid w:val="00C53CB9"/>
    <w:rsid w:val="00C53D0E"/>
    <w:rsid w:val="00C56319"/>
    <w:rsid w:val="00C640CB"/>
    <w:rsid w:val="00C66C85"/>
    <w:rsid w:val="00C67590"/>
    <w:rsid w:val="00C75052"/>
    <w:rsid w:val="00C80BFA"/>
    <w:rsid w:val="00C81C89"/>
    <w:rsid w:val="00C82753"/>
    <w:rsid w:val="00C90456"/>
    <w:rsid w:val="00C92A6A"/>
    <w:rsid w:val="00C94B8D"/>
    <w:rsid w:val="00C95ADA"/>
    <w:rsid w:val="00C97E26"/>
    <w:rsid w:val="00CA20C9"/>
    <w:rsid w:val="00CA210F"/>
    <w:rsid w:val="00CA70AA"/>
    <w:rsid w:val="00CA7614"/>
    <w:rsid w:val="00CB5345"/>
    <w:rsid w:val="00CC294D"/>
    <w:rsid w:val="00CC32B6"/>
    <w:rsid w:val="00CC4916"/>
    <w:rsid w:val="00CD1175"/>
    <w:rsid w:val="00CD4F2C"/>
    <w:rsid w:val="00CE5E77"/>
    <w:rsid w:val="00CE77B1"/>
    <w:rsid w:val="00CF243C"/>
    <w:rsid w:val="00D00C2B"/>
    <w:rsid w:val="00D03050"/>
    <w:rsid w:val="00D12DC8"/>
    <w:rsid w:val="00D136EE"/>
    <w:rsid w:val="00D16FCF"/>
    <w:rsid w:val="00D203F9"/>
    <w:rsid w:val="00D23B21"/>
    <w:rsid w:val="00D25638"/>
    <w:rsid w:val="00D25838"/>
    <w:rsid w:val="00D31D65"/>
    <w:rsid w:val="00D339D0"/>
    <w:rsid w:val="00D34CB3"/>
    <w:rsid w:val="00D37BBB"/>
    <w:rsid w:val="00D37E2F"/>
    <w:rsid w:val="00D40D94"/>
    <w:rsid w:val="00D46C15"/>
    <w:rsid w:val="00D5024F"/>
    <w:rsid w:val="00D52833"/>
    <w:rsid w:val="00D651ED"/>
    <w:rsid w:val="00D71978"/>
    <w:rsid w:val="00D7326C"/>
    <w:rsid w:val="00D75EF7"/>
    <w:rsid w:val="00D7714E"/>
    <w:rsid w:val="00D8147D"/>
    <w:rsid w:val="00D8150C"/>
    <w:rsid w:val="00D90026"/>
    <w:rsid w:val="00D91B9F"/>
    <w:rsid w:val="00D958C5"/>
    <w:rsid w:val="00D96C05"/>
    <w:rsid w:val="00DA24A5"/>
    <w:rsid w:val="00DA7173"/>
    <w:rsid w:val="00DA73EE"/>
    <w:rsid w:val="00DA7C29"/>
    <w:rsid w:val="00DB2320"/>
    <w:rsid w:val="00DB568E"/>
    <w:rsid w:val="00DB6FF6"/>
    <w:rsid w:val="00DC1763"/>
    <w:rsid w:val="00DD34CD"/>
    <w:rsid w:val="00DD4A8D"/>
    <w:rsid w:val="00DD5253"/>
    <w:rsid w:val="00DD5296"/>
    <w:rsid w:val="00DE5C03"/>
    <w:rsid w:val="00DE7528"/>
    <w:rsid w:val="00DE786F"/>
    <w:rsid w:val="00DF3D05"/>
    <w:rsid w:val="00DF6447"/>
    <w:rsid w:val="00E01736"/>
    <w:rsid w:val="00E02D64"/>
    <w:rsid w:val="00E03F2B"/>
    <w:rsid w:val="00E12352"/>
    <w:rsid w:val="00E14E21"/>
    <w:rsid w:val="00E15370"/>
    <w:rsid w:val="00E165D9"/>
    <w:rsid w:val="00E21526"/>
    <w:rsid w:val="00E231FE"/>
    <w:rsid w:val="00E24058"/>
    <w:rsid w:val="00E30F40"/>
    <w:rsid w:val="00E3783B"/>
    <w:rsid w:val="00E43412"/>
    <w:rsid w:val="00E4442F"/>
    <w:rsid w:val="00E5246A"/>
    <w:rsid w:val="00E64589"/>
    <w:rsid w:val="00E72189"/>
    <w:rsid w:val="00E725F3"/>
    <w:rsid w:val="00E73288"/>
    <w:rsid w:val="00E77A59"/>
    <w:rsid w:val="00E81630"/>
    <w:rsid w:val="00E84CBB"/>
    <w:rsid w:val="00E854D4"/>
    <w:rsid w:val="00E8669B"/>
    <w:rsid w:val="00E87853"/>
    <w:rsid w:val="00EA3310"/>
    <w:rsid w:val="00EA6C48"/>
    <w:rsid w:val="00EB4E23"/>
    <w:rsid w:val="00EC3FCF"/>
    <w:rsid w:val="00EC53D8"/>
    <w:rsid w:val="00ED4C2D"/>
    <w:rsid w:val="00EE3C77"/>
    <w:rsid w:val="00EE7214"/>
    <w:rsid w:val="00EF04D3"/>
    <w:rsid w:val="00F00876"/>
    <w:rsid w:val="00F042D5"/>
    <w:rsid w:val="00F102D2"/>
    <w:rsid w:val="00F1042F"/>
    <w:rsid w:val="00F10AF0"/>
    <w:rsid w:val="00F13541"/>
    <w:rsid w:val="00F17105"/>
    <w:rsid w:val="00F20E41"/>
    <w:rsid w:val="00F23158"/>
    <w:rsid w:val="00F23E70"/>
    <w:rsid w:val="00F240F1"/>
    <w:rsid w:val="00F25817"/>
    <w:rsid w:val="00F276AA"/>
    <w:rsid w:val="00F436A4"/>
    <w:rsid w:val="00F5128D"/>
    <w:rsid w:val="00F53F19"/>
    <w:rsid w:val="00F63828"/>
    <w:rsid w:val="00F653CA"/>
    <w:rsid w:val="00F7099D"/>
    <w:rsid w:val="00F71908"/>
    <w:rsid w:val="00F77C26"/>
    <w:rsid w:val="00F960EE"/>
    <w:rsid w:val="00F9621A"/>
    <w:rsid w:val="00F97AE4"/>
    <w:rsid w:val="00FA2324"/>
    <w:rsid w:val="00FA3DD4"/>
    <w:rsid w:val="00FA4D8D"/>
    <w:rsid w:val="00FA6101"/>
    <w:rsid w:val="00FA6E85"/>
    <w:rsid w:val="00FB7BC2"/>
    <w:rsid w:val="00FC7CFB"/>
    <w:rsid w:val="00FD23BF"/>
    <w:rsid w:val="00FD2EC4"/>
    <w:rsid w:val="00FD6D2D"/>
    <w:rsid w:val="00FD6F30"/>
    <w:rsid w:val="00FF00CC"/>
    <w:rsid w:val="00FF6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EA053C"/>
  <w15:docId w15:val="{F72F2F50-14C4-4D85-BBBC-B8AD0D36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E41"/>
    <w:pPr>
      <w:ind w:left="720"/>
      <w:contextualSpacing/>
    </w:pPr>
  </w:style>
  <w:style w:type="character" w:styleId="Hyperlink">
    <w:name w:val="Hyperlink"/>
    <w:basedOn w:val="DefaultParagraphFont"/>
    <w:rsid w:val="00E43412"/>
    <w:rPr>
      <w:color w:val="0000FF" w:themeColor="hyperlink"/>
      <w:u w:val="single"/>
    </w:rPr>
  </w:style>
  <w:style w:type="character" w:styleId="FollowedHyperlink">
    <w:name w:val="FollowedHyperlink"/>
    <w:basedOn w:val="DefaultParagraphFont"/>
    <w:rsid w:val="00E43412"/>
    <w:rPr>
      <w:color w:val="800080" w:themeColor="followedHyperlink"/>
      <w:u w:val="single"/>
    </w:rPr>
  </w:style>
  <w:style w:type="paragraph" w:styleId="EndnoteText">
    <w:name w:val="endnote text"/>
    <w:basedOn w:val="Normal"/>
    <w:link w:val="EndnoteTextChar"/>
    <w:rsid w:val="00B82200"/>
    <w:rPr>
      <w:sz w:val="20"/>
      <w:szCs w:val="20"/>
    </w:rPr>
  </w:style>
  <w:style w:type="character" w:customStyle="1" w:styleId="EndnoteTextChar">
    <w:name w:val="Endnote Text Char"/>
    <w:basedOn w:val="DefaultParagraphFont"/>
    <w:link w:val="EndnoteText"/>
    <w:rsid w:val="00B82200"/>
  </w:style>
  <w:style w:type="character" w:styleId="EndnoteReference">
    <w:name w:val="endnote reference"/>
    <w:basedOn w:val="DefaultParagraphFont"/>
    <w:rsid w:val="00B82200"/>
    <w:rPr>
      <w:vertAlign w:val="superscript"/>
    </w:rPr>
  </w:style>
  <w:style w:type="paragraph" w:styleId="Header">
    <w:name w:val="header"/>
    <w:basedOn w:val="Normal"/>
    <w:link w:val="HeaderChar"/>
    <w:rsid w:val="00E73288"/>
    <w:pPr>
      <w:tabs>
        <w:tab w:val="center" w:pos="4513"/>
        <w:tab w:val="right" w:pos="9026"/>
      </w:tabs>
    </w:pPr>
  </w:style>
  <w:style w:type="character" w:customStyle="1" w:styleId="HeaderChar">
    <w:name w:val="Header Char"/>
    <w:basedOn w:val="DefaultParagraphFont"/>
    <w:link w:val="Header"/>
    <w:rsid w:val="00E73288"/>
    <w:rPr>
      <w:sz w:val="24"/>
      <w:szCs w:val="24"/>
    </w:rPr>
  </w:style>
  <w:style w:type="paragraph" w:styleId="Footer">
    <w:name w:val="footer"/>
    <w:basedOn w:val="Normal"/>
    <w:link w:val="FooterChar"/>
    <w:uiPriority w:val="99"/>
    <w:rsid w:val="00E73288"/>
    <w:pPr>
      <w:tabs>
        <w:tab w:val="center" w:pos="4513"/>
        <w:tab w:val="right" w:pos="9026"/>
      </w:tabs>
    </w:pPr>
  </w:style>
  <w:style w:type="character" w:customStyle="1" w:styleId="FooterChar">
    <w:name w:val="Footer Char"/>
    <w:basedOn w:val="DefaultParagraphFont"/>
    <w:link w:val="Footer"/>
    <w:uiPriority w:val="99"/>
    <w:rsid w:val="00E73288"/>
    <w:rPr>
      <w:sz w:val="24"/>
      <w:szCs w:val="24"/>
    </w:rPr>
  </w:style>
  <w:style w:type="paragraph" w:styleId="BalloonText">
    <w:name w:val="Balloon Text"/>
    <w:basedOn w:val="Normal"/>
    <w:link w:val="BalloonTextChar"/>
    <w:rsid w:val="0068774A"/>
    <w:rPr>
      <w:rFonts w:ascii="Tahoma" w:hAnsi="Tahoma" w:cs="Tahoma"/>
      <w:sz w:val="16"/>
      <w:szCs w:val="16"/>
    </w:rPr>
  </w:style>
  <w:style w:type="character" w:customStyle="1" w:styleId="BalloonTextChar">
    <w:name w:val="Balloon Text Char"/>
    <w:basedOn w:val="DefaultParagraphFont"/>
    <w:link w:val="BalloonText"/>
    <w:rsid w:val="0068774A"/>
    <w:rPr>
      <w:rFonts w:ascii="Tahoma" w:hAnsi="Tahoma" w:cs="Tahoma"/>
      <w:sz w:val="16"/>
      <w:szCs w:val="16"/>
    </w:rPr>
  </w:style>
  <w:style w:type="character" w:styleId="CommentReference">
    <w:name w:val="annotation reference"/>
    <w:basedOn w:val="DefaultParagraphFont"/>
    <w:rsid w:val="00553835"/>
    <w:rPr>
      <w:sz w:val="16"/>
      <w:szCs w:val="16"/>
    </w:rPr>
  </w:style>
  <w:style w:type="paragraph" w:styleId="CommentText">
    <w:name w:val="annotation text"/>
    <w:basedOn w:val="Normal"/>
    <w:link w:val="CommentTextChar"/>
    <w:rsid w:val="00553835"/>
    <w:rPr>
      <w:sz w:val="20"/>
      <w:szCs w:val="20"/>
    </w:rPr>
  </w:style>
  <w:style w:type="character" w:customStyle="1" w:styleId="CommentTextChar">
    <w:name w:val="Comment Text Char"/>
    <w:basedOn w:val="DefaultParagraphFont"/>
    <w:link w:val="CommentText"/>
    <w:rsid w:val="00553835"/>
  </w:style>
  <w:style w:type="paragraph" w:styleId="CommentSubject">
    <w:name w:val="annotation subject"/>
    <w:basedOn w:val="CommentText"/>
    <w:next w:val="CommentText"/>
    <w:link w:val="CommentSubjectChar"/>
    <w:rsid w:val="00553835"/>
    <w:rPr>
      <w:b/>
      <w:bCs/>
    </w:rPr>
  </w:style>
  <w:style w:type="character" w:customStyle="1" w:styleId="CommentSubjectChar">
    <w:name w:val="Comment Subject Char"/>
    <w:basedOn w:val="CommentTextChar"/>
    <w:link w:val="CommentSubject"/>
    <w:rsid w:val="00553835"/>
    <w:rPr>
      <w:b/>
      <w:bCs/>
    </w:rPr>
  </w:style>
  <w:style w:type="paragraph" w:customStyle="1" w:styleId="Tabletext">
    <w:name w:val="Tabletext"/>
    <w:aliases w:val="tt"/>
    <w:basedOn w:val="Normal"/>
    <w:rsid w:val="00227456"/>
    <w:pPr>
      <w:spacing w:before="60" w:line="240" w:lineRule="atLeast"/>
    </w:pPr>
    <w:rPr>
      <w:sz w:val="20"/>
      <w:szCs w:val="20"/>
    </w:rPr>
  </w:style>
  <w:style w:type="character" w:customStyle="1" w:styleId="normaltextrun">
    <w:name w:val="normaltextrun"/>
    <w:basedOn w:val="DefaultParagraphFont"/>
    <w:rsid w:val="004B5A14"/>
  </w:style>
  <w:style w:type="paragraph" w:customStyle="1" w:styleId="ActHead9">
    <w:name w:val="ActHead 9"/>
    <w:aliases w:val="aat"/>
    <w:basedOn w:val="Normal"/>
    <w:next w:val="Normal"/>
    <w:qFormat/>
    <w:rsid w:val="004B5A14"/>
    <w:pPr>
      <w:keepNext/>
      <w:keepLines/>
      <w:spacing w:before="280"/>
      <w:ind w:left="1134" w:hanging="1134"/>
      <w:outlineLvl w:val="8"/>
    </w:pPr>
    <w:rPr>
      <w:b/>
      <w:i/>
      <w:kern w:val="28"/>
      <w:sz w:val="28"/>
      <w:szCs w:val="20"/>
    </w:rPr>
  </w:style>
  <w:style w:type="paragraph" w:customStyle="1" w:styleId="notedraft">
    <w:name w:val="note(draft)"/>
    <w:aliases w:val="nd"/>
    <w:basedOn w:val="Normal"/>
    <w:rsid w:val="00F97AE4"/>
    <w:pPr>
      <w:spacing w:before="240"/>
      <w:ind w:left="284" w:hanging="284"/>
    </w:pPr>
    <w:rPr>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04081">
      <w:bodyDiv w:val="1"/>
      <w:marLeft w:val="0"/>
      <w:marRight w:val="0"/>
      <w:marTop w:val="0"/>
      <w:marBottom w:val="0"/>
      <w:divBdr>
        <w:top w:val="none" w:sz="0" w:space="0" w:color="auto"/>
        <w:left w:val="none" w:sz="0" w:space="0" w:color="auto"/>
        <w:bottom w:val="none" w:sz="0" w:space="0" w:color="auto"/>
        <w:right w:val="none" w:sz="0" w:space="0" w:color="auto"/>
      </w:divBdr>
    </w:div>
    <w:div w:id="579826401">
      <w:bodyDiv w:val="1"/>
      <w:marLeft w:val="0"/>
      <w:marRight w:val="0"/>
      <w:marTop w:val="0"/>
      <w:marBottom w:val="0"/>
      <w:divBdr>
        <w:top w:val="none" w:sz="0" w:space="0" w:color="auto"/>
        <w:left w:val="none" w:sz="0" w:space="0" w:color="auto"/>
        <w:bottom w:val="none" w:sz="0" w:space="0" w:color="auto"/>
        <w:right w:val="none" w:sz="0" w:space="0" w:color="auto"/>
      </w:divBdr>
    </w:div>
    <w:div w:id="601768780">
      <w:bodyDiv w:val="1"/>
      <w:marLeft w:val="0"/>
      <w:marRight w:val="0"/>
      <w:marTop w:val="0"/>
      <w:marBottom w:val="0"/>
      <w:divBdr>
        <w:top w:val="none" w:sz="0" w:space="0" w:color="auto"/>
        <w:left w:val="none" w:sz="0" w:space="0" w:color="auto"/>
        <w:bottom w:val="none" w:sz="0" w:space="0" w:color="auto"/>
        <w:right w:val="none" w:sz="0" w:space="0" w:color="auto"/>
      </w:divBdr>
    </w:div>
    <w:div w:id="1093284490">
      <w:bodyDiv w:val="1"/>
      <w:marLeft w:val="0"/>
      <w:marRight w:val="0"/>
      <w:marTop w:val="0"/>
      <w:marBottom w:val="0"/>
      <w:divBdr>
        <w:top w:val="none" w:sz="0" w:space="0" w:color="auto"/>
        <w:left w:val="none" w:sz="0" w:space="0" w:color="auto"/>
        <w:bottom w:val="none" w:sz="0" w:space="0" w:color="auto"/>
        <w:right w:val="none" w:sz="0" w:space="0" w:color="auto"/>
      </w:divBdr>
      <w:divsChild>
        <w:div w:id="1950353740">
          <w:marLeft w:val="0"/>
          <w:marRight w:val="0"/>
          <w:marTop w:val="0"/>
          <w:marBottom w:val="0"/>
          <w:divBdr>
            <w:top w:val="none" w:sz="0" w:space="0" w:color="auto"/>
            <w:left w:val="none" w:sz="0" w:space="0" w:color="auto"/>
            <w:bottom w:val="none" w:sz="0" w:space="0" w:color="auto"/>
            <w:right w:val="none" w:sz="0" w:space="0" w:color="auto"/>
          </w:divBdr>
          <w:divsChild>
            <w:div w:id="149055758">
              <w:marLeft w:val="0"/>
              <w:marRight w:val="0"/>
              <w:marTop w:val="0"/>
              <w:marBottom w:val="0"/>
              <w:divBdr>
                <w:top w:val="none" w:sz="0" w:space="0" w:color="auto"/>
                <w:left w:val="none" w:sz="0" w:space="0" w:color="auto"/>
                <w:bottom w:val="none" w:sz="0" w:space="0" w:color="auto"/>
                <w:right w:val="none" w:sz="0" w:space="0" w:color="auto"/>
              </w:divBdr>
              <w:divsChild>
                <w:div w:id="1904294983">
                  <w:marLeft w:val="0"/>
                  <w:marRight w:val="0"/>
                  <w:marTop w:val="0"/>
                  <w:marBottom w:val="0"/>
                  <w:divBdr>
                    <w:top w:val="none" w:sz="0" w:space="0" w:color="auto"/>
                    <w:left w:val="none" w:sz="0" w:space="0" w:color="auto"/>
                    <w:bottom w:val="none" w:sz="0" w:space="0" w:color="auto"/>
                    <w:right w:val="none" w:sz="0" w:space="0" w:color="auto"/>
                  </w:divBdr>
                  <w:divsChild>
                    <w:div w:id="1606695729">
                      <w:marLeft w:val="0"/>
                      <w:marRight w:val="0"/>
                      <w:marTop w:val="0"/>
                      <w:marBottom w:val="0"/>
                      <w:divBdr>
                        <w:top w:val="none" w:sz="0" w:space="0" w:color="auto"/>
                        <w:left w:val="none" w:sz="0" w:space="0" w:color="auto"/>
                        <w:bottom w:val="none" w:sz="0" w:space="0" w:color="auto"/>
                        <w:right w:val="none" w:sz="0" w:space="0" w:color="auto"/>
                      </w:divBdr>
                      <w:divsChild>
                        <w:div w:id="2004889202">
                          <w:marLeft w:val="0"/>
                          <w:marRight w:val="0"/>
                          <w:marTop w:val="0"/>
                          <w:marBottom w:val="0"/>
                          <w:divBdr>
                            <w:top w:val="single" w:sz="6" w:space="0" w:color="828282"/>
                            <w:left w:val="single" w:sz="6" w:space="0" w:color="828282"/>
                            <w:bottom w:val="single" w:sz="6" w:space="0" w:color="828282"/>
                            <w:right w:val="single" w:sz="6" w:space="0" w:color="828282"/>
                          </w:divBdr>
                          <w:divsChild>
                            <w:div w:id="426849860">
                              <w:marLeft w:val="0"/>
                              <w:marRight w:val="0"/>
                              <w:marTop w:val="0"/>
                              <w:marBottom w:val="0"/>
                              <w:divBdr>
                                <w:top w:val="none" w:sz="0" w:space="0" w:color="auto"/>
                                <w:left w:val="none" w:sz="0" w:space="0" w:color="auto"/>
                                <w:bottom w:val="none" w:sz="0" w:space="0" w:color="auto"/>
                                <w:right w:val="none" w:sz="0" w:space="0" w:color="auto"/>
                              </w:divBdr>
                              <w:divsChild>
                                <w:div w:id="534316904">
                                  <w:marLeft w:val="0"/>
                                  <w:marRight w:val="0"/>
                                  <w:marTop w:val="0"/>
                                  <w:marBottom w:val="0"/>
                                  <w:divBdr>
                                    <w:top w:val="none" w:sz="0" w:space="0" w:color="auto"/>
                                    <w:left w:val="none" w:sz="0" w:space="0" w:color="auto"/>
                                    <w:bottom w:val="none" w:sz="0" w:space="0" w:color="auto"/>
                                    <w:right w:val="none" w:sz="0" w:space="0" w:color="auto"/>
                                  </w:divBdr>
                                  <w:divsChild>
                                    <w:div w:id="1165318838">
                                      <w:marLeft w:val="0"/>
                                      <w:marRight w:val="0"/>
                                      <w:marTop w:val="0"/>
                                      <w:marBottom w:val="0"/>
                                      <w:divBdr>
                                        <w:top w:val="none" w:sz="0" w:space="0" w:color="auto"/>
                                        <w:left w:val="none" w:sz="0" w:space="0" w:color="auto"/>
                                        <w:bottom w:val="none" w:sz="0" w:space="0" w:color="auto"/>
                                        <w:right w:val="none" w:sz="0" w:space="0" w:color="auto"/>
                                      </w:divBdr>
                                      <w:divsChild>
                                        <w:div w:id="1737505965">
                                          <w:marLeft w:val="0"/>
                                          <w:marRight w:val="0"/>
                                          <w:marTop w:val="0"/>
                                          <w:marBottom w:val="0"/>
                                          <w:divBdr>
                                            <w:top w:val="none" w:sz="0" w:space="0" w:color="auto"/>
                                            <w:left w:val="none" w:sz="0" w:space="0" w:color="auto"/>
                                            <w:bottom w:val="none" w:sz="0" w:space="0" w:color="auto"/>
                                            <w:right w:val="none" w:sz="0" w:space="0" w:color="auto"/>
                                          </w:divBdr>
                                          <w:divsChild>
                                            <w:div w:id="1441072077">
                                              <w:marLeft w:val="0"/>
                                              <w:marRight w:val="0"/>
                                              <w:marTop w:val="0"/>
                                              <w:marBottom w:val="0"/>
                                              <w:divBdr>
                                                <w:top w:val="none" w:sz="0" w:space="0" w:color="auto"/>
                                                <w:left w:val="none" w:sz="0" w:space="0" w:color="auto"/>
                                                <w:bottom w:val="none" w:sz="0" w:space="0" w:color="auto"/>
                                                <w:right w:val="none" w:sz="0" w:space="0" w:color="auto"/>
                                              </w:divBdr>
                                              <w:divsChild>
                                                <w:div w:id="19097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425193">
      <w:bodyDiv w:val="1"/>
      <w:marLeft w:val="0"/>
      <w:marRight w:val="0"/>
      <w:marTop w:val="0"/>
      <w:marBottom w:val="0"/>
      <w:divBdr>
        <w:top w:val="none" w:sz="0" w:space="0" w:color="auto"/>
        <w:left w:val="none" w:sz="0" w:space="0" w:color="auto"/>
        <w:bottom w:val="none" w:sz="0" w:space="0" w:color="auto"/>
        <w:right w:val="none" w:sz="0" w:space="0" w:color="auto"/>
      </w:divBdr>
    </w:div>
    <w:div w:id="1804351992">
      <w:bodyDiv w:val="1"/>
      <w:marLeft w:val="0"/>
      <w:marRight w:val="0"/>
      <w:marTop w:val="0"/>
      <w:marBottom w:val="0"/>
      <w:divBdr>
        <w:top w:val="none" w:sz="0" w:space="0" w:color="auto"/>
        <w:left w:val="none" w:sz="0" w:space="0" w:color="auto"/>
        <w:bottom w:val="none" w:sz="0" w:space="0" w:color="auto"/>
        <w:right w:val="none" w:sz="0" w:space="0" w:color="auto"/>
      </w:divBdr>
      <w:divsChild>
        <w:div w:id="1670600212">
          <w:marLeft w:val="0"/>
          <w:marRight w:val="0"/>
          <w:marTop w:val="0"/>
          <w:marBottom w:val="0"/>
          <w:divBdr>
            <w:top w:val="none" w:sz="0" w:space="0" w:color="auto"/>
            <w:left w:val="none" w:sz="0" w:space="0" w:color="auto"/>
            <w:bottom w:val="none" w:sz="0" w:space="0" w:color="auto"/>
            <w:right w:val="none" w:sz="0" w:space="0" w:color="auto"/>
          </w:divBdr>
          <w:divsChild>
            <w:div w:id="1492913559">
              <w:marLeft w:val="0"/>
              <w:marRight w:val="0"/>
              <w:marTop w:val="0"/>
              <w:marBottom w:val="0"/>
              <w:divBdr>
                <w:top w:val="none" w:sz="0" w:space="0" w:color="auto"/>
                <w:left w:val="none" w:sz="0" w:space="0" w:color="auto"/>
                <w:bottom w:val="none" w:sz="0" w:space="0" w:color="auto"/>
                <w:right w:val="none" w:sz="0" w:space="0" w:color="auto"/>
              </w:divBdr>
              <w:divsChild>
                <w:div w:id="1223517267">
                  <w:marLeft w:val="0"/>
                  <w:marRight w:val="0"/>
                  <w:marTop w:val="0"/>
                  <w:marBottom w:val="0"/>
                  <w:divBdr>
                    <w:top w:val="none" w:sz="0" w:space="0" w:color="auto"/>
                    <w:left w:val="none" w:sz="0" w:space="0" w:color="auto"/>
                    <w:bottom w:val="none" w:sz="0" w:space="0" w:color="auto"/>
                    <w:right w:val="none" w:sz="0" w:space="0" w:color="auto"/>
                  </w:divBdr>
                  <w:divsChild>
                    <w:div w:id="1146898395">
                      <w:marLeft w:val="0"/>
                      <w:marRight w:val="0"/>
                      <w:marTop w:val="0"/>
                      <w:marBottom w:val="0"/>
                      <w:divBdr>
                        <w:top w:val="none" w:sz="0" w:space="0" w:color="auto"/>
                        <w:left w:val="none" w:sz="0" w:space="0" w:color="auto"/>
                        <w:bottom w:val="none" w:sz="0" w:space="0" w:color="auto"/>
                        <w:right w:val="none" w:sz="0" w:space="0" w:color="auto"/>
                      </w:divBdr>
                      <w:divsChild>
                        <w:div w:id="1037122219">
                          <w:marLeft w:val="0"/>
                          <w:marRight w:val="0"/>
                          <w:marTop w:val="0"/>
                          <w:marBottom w:val="0"/>
                          <w:divBdr>
                            <w:top w:val="single" w:sz="6" w:space="0" w:color="828282"/>
                            <w:left w:val="single" w:sz="6" w:space="0" w:color="828282"/>
                            <w:bottom w:val="single" w:sz="6" w:space="0" w:color="828282"/>
                            <w:right w:val="single" w:sz="6" w:space="0" w:color="828282"/>
                          </w:divBdr>
                          <w:divsChild>
                            <w:div w:id="105850938">
                              <w:marLeft w:val="0"/>
                              <w:marRight w:val="0"/>
                              <w:marTop w:val="0"/>
                              <w:marBottom w:val="0"/>
                              <w:divBdr>
                                <w:top w:val="none" w:sz="0" w:space="0" w:color="auto"/>
                                <w:left w:val="none" w:sz="0" w:space="0" w:color="auto"/>
                                <w:bottom w:val="none" w:sz="0" w:space="0" w:color="auto"/>
                                <w:right w:val="none" w:sz="0" w:space="0" w:color="auto"/>
                              </w:divBdr>
                              <w:divsChild>
                                <w:div w:id="1548641754">
                                  <w:marLeft w:val="0"/>
                                  <w:marRight w:val="0"/>
                                  <w:marTop w:val="0"/>
                                  <w:marBottom w:val="0"/>
                                  <w:divBdr>
                                    <w:top w:val="none" w:sz="0" w:space="0" w:color="auto"/>
                                    <w:left w:val="none" w:sz="0" w:space="0" w:color="auto"/>
                                    <w:bottom w:val="none" w:sz="0" w:space="0" w:color="auto"/>
                                    <w:right w:val="none" w:sz="0" w:space="0" w:color="auto"/>
                                  </w:divBdr>
                                  <w:divsChild>
                                    <w:div w:id="785933075">
                                      <w:marLeft w:val="0"/>
                                      <w:marRight w:val="0"/>
                                      <w:marTop w:val="0"/>
                                      <w:marBottom w:val="0"/>
                                      <w:divBdr>
                                        <w:top w:val="none" w:sz="0" w:space="0" w:color="auto"/>
                                        <w:left w:val="none" w:sz="0" w:space="0" w:color="auto"/>
                                        <w:bottom w:val="none" w:sz="0" w:space="0" w:color="auto"/>
                                        <w:right w:val="none" w:sz="0" w:space="0" w:color="auto"/>
                                      </w:divBdr>
                                      <w:divsChild>
                                        <w:div w:id="1505821277">
                                          <w:marLeft w:val="0"/>
                                          <w:marRight w:val="0"/>
                                          <w:marTop w:val="0"/>
                                          <w:marBottom w:val="0"/>
                                          <w:divBdr>
                                            <w:top w:val="none" w:sz="0" w:space="0" w:color="auto"/>
                                            <w:left w:val="none" w:sz="0" w:space="0" w:color="auto"/>
                                            <w:bottom w:val="none" w:sz="0" w:space="0" w:color="auto"/>
                                            <w:right w:val="none" w:sz="0" w:space="0" w:color="auto"/>
                                          </w:divBdr>
                                          <w:divsChild>
                                            <w:div w:id="2099279656">
                                              <w:marLeft w:val="0"/>
                                              <w:marRight w:val="0"/>
                                              <w:marTop w:val="0"/>
                                              <w:marBottom w:val="0"/>
                                              <w:divBdr>
                                                <w:top w:val="none" w:sz="0" w:space="0" w:color="auto"/>
                                                <w:left w:val="none" w:sz="0" w:space="0" w:color="auto"/>
                                                <w:bottom w:val="none" w:sz="0" w:space="0" w:color="auto"/>
                                                <w:right w:val="none" w:sz="0" w:space="0" w:color="auto"/>
                                              </w:divBdr>
                                              <w:divsChild>
                                                <w:div w:id="7092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202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7C8FA25B9590A4887B8285A017EBCEA" ma:contentTypeVersion="" ma:contentTypeDescription="PDMS Document Site Content Type" ma:contentTypeScope="" ma:versionID="6c364d96aa45291af07986d6506824c9">
  <xsd:schema xmlns:xsd="http://www.w3.org/2001/XMLSchema" xmlns:xs="http://www.w3.org/2001/XMLSchema" xmlns:p="http://schemas.microsoft.com/office/2006/metadata/properties" xmlns:ns2="D1A4FBB6-28C7-4523-881A-1E5E013890AC" targetNamespace="http://schemas.microsoft.com/office/2006/metadata/properties" ma:root="true" ma:fieldsID="529c839326766f79ff38168cf418594a" ns2:_="">
    <xsd:import namespace="D1A4FBB6-28C7-4523-881A-1E5E013890A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4FBB6-28C7-4523-881A-1E5E013890A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1A4FBB6-28C7-4523-881A-1E5E013890A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82B60-E561-44CB-B6C0-181C5A5C2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4FBB6-28C7-4523-881A-1E5E01389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11C7F-EA52-4DD0-B6C9-E8B3C1BC34A7}">
  <ds:schemaRefs>
    <ds:schemaRef ds:uri="http://schemas.microsoft.com/sharepoint/v3/contenttype/forms"/>
  </ds:schemaRefs>
</ds:datastoreItem>
</file>

<file path=customXml/itemProps3.xml><?xml version="1.0" encoding="utf-8"?>
<ds:datastoreItem xmlns:ds="http://schemas.openxmlformats.org/officeDocument/2006/customXml" ds:itemID="{D21214CA-5C6F-40C0-87D6-CC496DF3A13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1A4FBB6-28C7-4523-881A-1E5E013890AC"/>
    <ds:schemaRef ds:uri="http://www.w3.org/XML/1998/namespace"/>
    <ds:schemaRef ds:uri="http://purl.org/dc/dcmitype/"/>
  </ds:schemaRefs>
</ds:datastoreItem>
</file>

<file path=customXml/itemProps4.xml><?xml version="1.0" encoding="utf-8"?>
<ds:datastoreItem xmlns:ds="http://schemas.openxmlformats.org/officeDocument/2006/customXml" ds:itemID="{23F609AE-EA93-477C-BEDB-81483091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1771</Words>
  <Characters>9210</Characters>
  <Application>Microsoft Office Word</Application>
  <DocSecurity>0</DocSecurity>
  <Lines>191</Lines>
  <Paragraphs>98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Baz</dc:creator>
  <cp:lastModifiedBy>Kumar, Neha</cp:lastModifiedBy>
  <cp:revision>2</cp:revision>
  <cp:lastPrinted>2014-11-17T05:39:00Z</cp:lastPrinted>
  <dcterms:created xsi:type="dcterms:W3CDTF">2025-06-03T05:07:00Z</dcterms:created>
  <dcterms:modified xsi:type="dcterms:W3CDTF">2025-06-03T05:07:00Z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0x010100266966F133664895A6EE3632470D45F50087C8FA25B9590A4887B8285A017EBCEA</vt:lpwstr>
  </property>
</Properties>
</file>