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4EEDB" w14:textId="77777777" w:rsidR="00486185" w:rsidRPr="009A6866" w:rsidRDefault="00486185" w:rsidP="00682847">
      <w:pPr>
        <w:pStyle w:val="ActHead6"/>
        <w:jc w:val="center"/>
      </w:pPr>
      <w:r>
        <w:t>EXPLANATORY STATEMENT</w:t>
      </w:r>
    </w:p>
    <w:p w14:paraId="6626F329" w14:textId="47184B27" w:rsidR="009A6866" w:rsidRPr="009A6866" w:rsidRDefault="009A6866" w:rsidP="00682847">
      <w:pPr>
        <w:pStyle w:val="Heading6"/>
        <w:jc w:val="center"/>
      </w:pPr>
      <w:r w:rsidRPr="009A6866">
        <w:t>Defence Determination, Conditions of service Amendment (</w:t>
      </w:r>
      <w:r w:rsidR="009F1707">
        <w:t>Continuation bonus</w:t>
      </w:r>
      <w:r w:rsidR="0008037A">
        <w:t xml:space="preserve">) Determination </w:t>
      </w:r>
      <w:r w:rsidR="00F774DD" w:rsidRPr="009A6866">
        <w:t>(No. </w:t>
      </w:r>
      <w:r w:rsidR="009F1707">
        <w:t>9</w:t>
      </w:r>
      <w:r w:rsidR="00F774DD" w:rsidRPr="009A6866">
        <w:t>)</w:t>
      </w:r>
      <w:r w:rsidR="00F774DD">
        <w:t xml:space="preserve"> </w:t>
      </w:r>
      <w:r w:rsidR="0008037A">
        <w:t>202</w:t>
      </w:r>
      <w:r w:rsidR="00F774DD">
        <w:t>5</w:t>
      </w:r>
      <w:r w:rsidRPr="009A6866">
        <w:t xml:space="preserve"> </w:t>
      </w:r>
    </w:p>
    <w:p w14:paraId="383649D3" w14:textId="6FE5FC69" w:rsidR="001E51FE" w:rsidRDefault="001E51FE" w:rsidP="00EC45EE">
      <w:pPr>
        <w:pStyle w:val="Sectiontext"/>
        <w:tabs>
          <w:tab w:val="left" w:pos="7380"/>
        </w:tabs>
      </w:pPr>
      <w:r w:rsidRPr="000D4FC9">
        <w:t xml:space="preserve">This </w:t>
      </w:r>
      <w:r w:rsidRPr="008B54B2">
        <w:t>Determination amends Defence Determination 2016/19, Conditions of service (the Principal Determination)</w:t>
      </w:r>
      <w:r w:rsidR="00E03661" w:rsidRPr="008B54B2">
        <w:t xml:space="preserve"> and </w:t>
      </w:r>
      <w:hyperlink r:id="rId11" w:history="1">
        <w:r w:rsidR="00E03661" w:rsidRPr="008B54B2">
          <w:t>Defence Determination, Conditions of service Amendment (Continuation bonus) Determination (No. 2) 2025</w:t>
        </w:r>
      </w:hyperlink>
      <w:r w:rsidR="00E03661" w:rsidRPr="008B54B2">
        <w:t xml:space="preserve"> (the amending Determination)</w:t>
      </w:r>
      <w:r w:rsidRPr="008B54B2">
        <w:t xml:space="preserve">, </w:t>
      </w:r>
      <w:r w:rsidR="00E03661" w:rsidRPr="008B54B2">
        <w:t xml:space="preserve">both </w:t>
      </w:r>
      <w:r w:rsidRPr="008B54B2">
        <w:t xml:space="preserve">made under section 58B of the </w:t>
      </w:r>
      <w:r w:rsidR="00255473" w:rsidRPr="008B54B2">
        <w:rPr>
          <w:i/>
        </w:rPr>
        <w:t>Defence Act 1903</w:t>
      </w:r>
      <w:r w:rsidR="00D516AD" w:rsidRPr="008B54B2">
        <w:t xml:space="preserve"> </w:t>
      </w:r>
      <w:r w:rsidRPr="008B54B2">
        <w:t>and in accordance with subsection</w:t>
      </w:r>
      <w:r w:rsidRPr="000D4FC9">
        <w:t xml:space="preserve"> 33(3) of the </w:t>
      </w:r>
      <w:r w:rsidRPr="00D84477">
        <w:rPr>
          <w:i/>
        </w:rPr>
        <w:t>Acts Interpretation Act 1901</w:t>
      </w:r>
      <w:r w:rsidR="00557413">
        <w:t xml:space="preserve"> (AI</w:t>
      </w:r>
      <w:r w:rsidRPr="000D4FC9">
        <w:t xml:space="preserve"> Act). </w:t>
      </w:r>
    </w:p>
    <w:p w14:paraId="15BAF105" w14:textId="7897381C" w:rsidR="001E51FE" w:rsidRPr="00255473" w:rsidRDefault="001E51FE" w:rsidP="001E51FE">
      <w:pPr>
        <w:pStyle w:val="Sectiontext"/>
        <w:tabs>
          <w:tab w:val="left" w:pos="7380"/>
        </w:tabs>
      </w:pPr>
      <w:r w:rsidRPr="000D4FC9">
        <w:t>Determinations made under section 58B of the Defence Act are disallowable legislative instruments</w:t>
      </w:r>
      <w:r>
        <w:t xml:space="preserve"> subject to the </w:t>
      </w:r>
      <w:r>
        <w:rPr>
          <w:i/>
        </w:rPr>
        <w:t>Legislation Act 2003</w:t>
      </w:r>
      <w:r>
        <w:t>. These instruments</w:t>
      </w:r>
      <w:r w:rsidRPr="000D4FC9">
        <w:t xml:space="preserve"> are </w:t>
      </w:r>
      <w:r>
        <w:t xml:space="preserve">also </w:t>
      </w:r>
      <w:r w:rsidRPr="000D4FC9">
        <w:t>subject to the interpret</w:t>
      </w:r>
      <w:r w:rsidR="00557413">
        <w:t>ation principles in the AI</w:t>
      </w:r>
      <w:r>
        <w:t xml:space="preserve"> Act</w:t>
      </w:r>
      <w:r w:rsidRPr="000D4FC9">
        <w:t xml:space="preserve">. </w:t>
      </w:r>
    </w:p>
    <w:p w14:paraId="5B5A9435" w14:textId="265E00F0" w:rsidR="00470B1E" w:rsidRDefault="00470B1E" w:rsidP="001E51FE">
      <w:pPr>
        <w:pStyle w:val="Sectiontext"/>
        <w:tabs>
          <w:tab w:val="left" w:pos="7380"/>
        </w:tabs>
      </w:pPr>
      <w:r w:rsidRPr="00255473">
        <w:t xml:space="preserve">The Principal Determination is exempt from sunsetting under item 21A of section 12 of the </w:t>
      </w:r>
      <w:r w:rsidRPr="00255473">
        <w:rPr>
          <w:iCs/>
        </w:rPr>
        <w:t>Legislation (Exemptions and Other Matters) Regulation 2015.</w:t>
      </w:r>
      <w:r w:rsidRPr="00255473">
        <w:t xml:space="preserve"> The exemption was granted as the instrument is a large and complex document that is subject to regular </w:t>
      </w:r>
      <w:r>
        <w:t>review and amendment. The exemption also provides certainty for members, stakeholders and administrators.</w:t>
      </w:r>
    </w:p>
    <w:p w14:paraId="14293F1E" w14:textId="1D04A679" w:rsidR="00682847" w:rsidRDefault="00682847" w:rsidP="001E51FE">
      <w:pPr>
        <w:pStyle w:val="Sectiontext"/>
        <w:tabs>
          <w:tab w:val="left" w:pos="7380"/>
        </w:tabs>
      </w:pPr>
      <w:r>
        <w:t>This Determination amends the Principal Determination which provides benefits for members of the Australian Defence Force (ADF) and their families as part of the member’s conditions of service. The Principal Determination provides a range of benefits that recognise the unique nature of military service and the obligation</w:t>
      </w:r>
      <w:r w:rsidR="00E81ECD">
        <w:t>s</w:t>
      </w:r>
      <w:r>
        <w:t xml:space="preserve"> and limitations that military service places on members and their families. Members undertake service in both the domestic and overseas environments, including on deployments. Specific benefits are provided for each environment. </w:t>
      </w:r>
    </w:p>
    <w:p w14:paraId="41EF0E3E" w14:textId="28AD15E4" w:rsidR="00682847" w:rsidRDefault="00682847" w:rsidP="00682847">
      <w:pPr>
        <w:pStyle w:val="Sectiontext"/>
        <w:tabs>
          <w:tab w:val="left" w:pos="7380"/>
        </w:tabs>
        <w:jc w:val="center"/>
        <w:rPr>
          <w:b/>
        </w:rPr>
      </w:pPr>
      <w:r>
        <w:rPr>
          <w:b/>
        </w:rPr>
        <w:t>Purpose</w:t>
      </w:r>
    </w:p>
    <w:p w14:paraId="6C16A989" w14:textId="71F8F827" w:rsidR="00682847" w:rsidRDefault="00682847" w:rsidP="009F1707">
      <w:pPr>
        <w:pStyle w:val="Sectiontext"/>
        <w:tabs>
          <w:tab w:val="left" w:pos="7380"/>
        </w:tabs>
      </w:pPr>
      <w:r>
        <w:t>The purpose of this Deter</w:t>
      </w:r>
      <w:r w:rsidR="009F1707">
        <w:t>mina</w:t>
      </w:r>
      <w:r w:rsidR="00F530FD">
        <w:t xml:space="preserve">tion is to </w:t>
      </w:r>
      <w:r w:rsidR="008B54B2">
        <w:t>update</w:t>
      </w:r>
      <w:r w:rsidR="005F030E">
        <w:t xml:space="preserve"> </w:t>
      </w:r>
      <w:r w:rsidR="00F530FD">
        <w:t>continuation b</w:t>
      </w:r>
      <w:r w:rsidR="009F1707">
        <w:t>onus</w:t>
      </w:r>
      <w:r w:rsidR="005F030E">
        <w:t xml:space="preserve"> provisions</w:t>
      </w:r>
      <w:r w:rsidR="009F1707">
        <w:t xml:space="preserve"> to better clarify the definition of effective service, and</w:t>
      </w:r>
      <w:r w:rsidR="008B54B2">
        <w:t xml:space="preserve"> clarify</w:t>
      </w:r>
      <w:r w:rsidR="009F1707">
        <w:t xml:space="preserve"> how it is used in relation to the application rul</w:t>
      </w:r>
      <w:r w:rsidR="008B54B2">
        <w:t>es for continuation bonus 1 and </w:t>
      </w:r>
      <w:r w:rsidR="009F1707">
        <w:t>2. Effective service in these instances include</w:t>
      </w:r>
      <w:r w:rsidR="008B54B2">
        <w:t>s</w:t>
      </w:r>
      <w:r w:rsidR="009F1707">
        <w:t xml:space="preserve"> periods of service in the Reserves undertaken on a continuous full-time service basis immediately before the member joined the Permanent Forces.</w:t>
      </w:r>
      <w:r w:rsidR="00E03661">
        <w:t xml:space="preserve"> </w:t>
      </w:r>
    </w:p>
    <w:p w14:paraId="2A644980" w14:textId="57C32D18" w:rsidR="00682847" w:rsidRDefault="009F1707" w:rsidP="009F1707">
      <w:pPr>
        <w:pStyle w:val="Sectiontext"/>
        <w:tabs>
          <w:tab w:val="left" w:pos="7380"/>
        </w:tabs>
      </w:pPr>
      <w:r>
        <w:t xml:space="preserve">The Determination also amends the savings provision in </w:t>
      </w:r>
      <w:r w:rsidR="005F030E" w:rsidRPr="005F030E">
        <w:rPr>
          <w:i/>
        </w:rPr>
        <w:t>Defence Determination, Conditions of service Amendment (Continuation bonus) Determination (No. 2) 2025</w:t>
      </w:r>
      <w:r w:rsidR="005F030E">
        <w:rPr>
          <w:i/>
        </w:rPr>
        <w:t xml:space="preserve"> </w:t>
      </w:r>
      <w:r w:rsidR="005F030E">
        <w:t xml:space="preserve">(amending Determination) </w:t>
      </w:r>
      <w:r>
        <w:t>to ensure that me</w:t>
      </w:r>
      <w:r w:rsidR="00F530FD">
        <w:t>mbers who are made an offer for the continuation bonus under the continuation b</w:t>
      </w:r>
      <w:r>
        <w:t>onus pilot are able to accept the offer until the end of 2025.</w:t>
      </w:r>
    </w:p>
    <w:p w14:paraId="604AE69D" w14:textId="406A19AE" w:rsidR="00682847" w:rsidRDefault="006422B7" w:rsidP="00682847">
      <w:pPr>
        <w:pStyle w:val="Sectiontext"/>
        <w:tabs>
          <w:tab w:val="left" w:pos="7380"/>
        </w:tabs>
        <w:jc w:val="center"/>
        <w:rPr>
          <w:b/>
        </w:rPr>
      </w:pPr>
      <w:r>
        <w:rPr>
          <w:b/>
        </w:rPr>
        <w:t>Operational d</w:t>
      </w:r>
      <w:r w:rsidR="00682847">
        <w:rPr>
          <w:b/>
        </w:rPr>
        <w:t>etails</w:t>
      </w:r>
    </w:p>
    <w:p w14:paraId="2A7303DD" w14:textId="77777777" w:rsidR="00AA0D47" w:rsidRPr="00172267" w:rsidRDefault="00AA0D47" w:rsidP="00AA0D47">
      <w:pPr>
        <w:pStyle w:val="Sectiontext"/>
        <w:jc w:val="center"/>
        <w:rPr>
          <w:b/>
          <w:snapToGrid w:val="0"/>
        </w:rPr>
      </w:pPr>
      <w:r w:rsidRPr="00172267">
        <w:rPr>
          <w:b/>
          <w:snapToGrid w:val="0"/>
        </w:rPr>
        <w:t>Human rights compatibility</w:t>
      </w:r>
    </w:p>
    <w:p w14:paraId="19681186" w14:textId="77777777" w:rsidR="00AA0D47" w:rsidRDefault="00AA0D47" w:rsidP="00AA0D47">
      <w:pPr>
        <w:pStyle w:val="Sectiontext"/>
        <w:rPr>
          <w:snapToGrid w:val="0"/>
        </w:rPr>
      </w:pPr>
      <w:r>
        <w:rPr>
          <w:snapToGrid w:val="0"/>
        </w:rPr>
        <w:t xml:space="preserve">The statement of compatibility </w:t>
      </w:r>
      <w:r w:rsidRPr="001739E7">
        <w:rPr>
          <w:snapToGrid w:val="0"/>
        </w:rPr>
        <w:t xml:space="preserve">under subsection 9(1) of the </w:t>
      </w:r>
      <w:r w:rsidRPr="001739E7">
        <w:rPr>
          <w:i/>
          <w:snapToGrid w:val="0"/>
        </w:rPr>
        <w:t>Human Righ</w:t>
      </w:r>
      <w:r>
        <w:rPr>
          <w:i/>
          <w:snapToGrid w:val="0"/>
        </w:rPr>
        <w:t>ts (Parliamentary Scrutiny) Act </w:t>
      </w:r>
      <w:r w:rsidRPr="001739E7">
        <w:rPr>
          <w:i/>
          <w:snapToGrid w:val="0"/>
        </w:rPr>
        <w:t>2011</w:t>
      </w:r>
      <w:r>
        <w:rPr>
          <w:snapToGrid w:val="0"/>
        </w:rPr>
        <w:t xml:space="preserve"> for this Determination is at annex B.</w:t>
      </w:r>
    </w:p>
    <w:p w14:paraId="48750C29" w14:textId="77777777" w:rsidR="00AA0D47" w:rsidRPr="00172267" w:rsidRDefault="00AA0D47" w:rsidP="00AA0D47">
      <w:pPr>
        <w:pStyle w:val="Sectiontext"/>
        <w:jc w:val="center"/>
        <w:rPr>
          <w:b/>
          <w:snapToGrid w:val="0"/>
        </w:rPr>
      </w:pPr>
      <w:r w:rsidRPr="00172267">
        <w:rPr>
          <w:b/>
          <w:snapToGrid w:val="0"/>
        </w:rPr>
        <w:t>Review options</w:t>
      </w:r>
    </w:p>
    <w:p w14:paraId="4D604980" w14:textId="5F5D8109" w:rsidR="00AA0D47" w:rsidRDefault="00AA0D47" w:rsidP="00AA0D47">
      <w:pPr>
        <w:pStyle w:val="Sectiontext"/>
        <w:rPr>
          <w:snapToGrid w:val="0"/>
        </w:rPr>
      </w:pPr>
      <w:r w:rsidRPr="00F46ABF">
        <w:rPr>
          <w:snapToGrid w:val="0"/>
        </w:rPr>
        <w:t xml:space="preserve">Decisions that are made under the Principal Determination, as amended by this Determination, </w:t>
      </w:r>
      <w:r w:rsidR="00E03661">
        <w:rPr>
          <w:snapToGrid w:val="0"/>
        </w:rPr>
        <w:t>and the savings provisions in the amending Determination</w:t>
      </w:r>
      <w:r w:rsidR="00E03661" w:rsidRPr="00F46ABF">
        <w:rPr>
          <w:snapToGrid w:val="0"/>
        </w:rPr>
        <w:t xml:space="preserve"> </w:t>
      </w:r>
      <w:r w:rsidRPr="00F46ABF">
        <w:rPr>
          <w:snapToGrid w:val="0"/>
        </w:rPr>
        <w:t xml:space="preserve">may be subject to inquiry under the ADF redress of grievance system provided under Part 7 of </w:t>
      </w:r>
      <w:r w:rsidRPr="00255473">
        <w:rPr>
          <w:snapToGrid w:val="0"/>
        </w:rPr>
        <w:t xml:space="preserve">the Defence Regulation. Also, a </w:t>
      </w:r>
      <w:r w:rsidRPr="00F46ABF">
        <w:rPr>
          <w:snapToGrid w:val="0"/>
        </w:rPr>
        <w:t>person may make a complaint to the Defence Force Ombudsman.</w:t>
      </w:r>
    </w:p>
    <w:p w14:paraId="04C7B303" w14:textId="77777777" w:rsidR="00322560" w:rsidRDefault="00322560" w:rsidP="00AA0D47">
      <w:pPr>
        <w:pStyle w:val="Sectiontext"/>
        <w:jc w:val="center"/>
        <w:rPr>
          <w:rFonts w:cs="Arial"/>
          <w:b/>
          <w:color w:val="000000"/>
        </w:rPr>
      </w:pPr>
      <w:r>
        <w:rPr>
          <w:rFonts w:cs="Arial"/>
          <w:b/>
          <w:color w:val="000000"/>
        </w:rPr>
        <w:br/>
      </w:r>
    </w:p>
    <w:p w14:paraId="211DD2BA" w14:textId="77777777" w:rsidR="00322560" w:rsidRDefault="00322560">
      <w:pPr>
        <w:spacing w:line="240" w:lineRule="auto"/>
        <w:rPr>
          <w:rFonts w:ascii="Arial" w:eastAsia="Times New Roman" w:hAnsi="Arial" w:cs="Arial"/>
          <w:b/>
          <w:color w:val="000000"/>
          <w:sz w:val="20"/>
          <w:lang w:eastAsia="en-AU"/>
        </w:rPr>
      </w:pPr>
      <w:r>
        <w:rPr>
          <w:rFonts w:cs="Arial"/>
          <w:b/>
          <w:color w:val="000000"/>
        </w:rPr>
        <w:br w:type="page"/>
      </w:r>
    </w:p>
    <w:p w14:paraId="047973A2" w14:textId="7C2B385A" w:rsidR="00AA0D47" w:rsidRPr="0021243D" w:rsidRDefault="00AA0D47" w:rsidP="00AA0D47">
      <w:pPr>
        <w:pStyle w:val="Sectiontext"/>
        <w:jc w:val="center"/>
        <w:rPr>
          <w:rFonts w:cs="Arial"/>
          <w:snapToGrid w:val="0"/>
          <w:color w:val="000000"/>
        </w:rPr>
      </w:pPr>
      <w:r w:rsidRPr="0021243D">
        <w:rPr>
          <w:rFonts w:cs="Arial"/>
          <w:b/>
          <w:color w:val="000000"/>
        </w:rPr>
        <w:lastRenderedPageBreak/>
        <w:t>Consultation</w:t>
      </w:r>
    </w:p>
    <w:p w14:paraId="064A18AC" w14:textId="5D74835B" w:rsidR="00C72AFD" w:rsidRPr="00A575F1" w:rsidRDefault="00AA0D47" w:rsidP="00C72AFD">
      <w:pPr>
        <w:pStyle w:val="Sectiontext"/>
        <w:rPr>
          <w:snapToGrid w:val="0"/>
        </w:rPr>
      </w:pPr>
      <w:r>
        <w:rPr>
          <w:snapToGrid w:val="0"/>
        </w:rPr>
        <w:t>Bef</w:t>
      </w:r>
      <w:r w:rsidR="00C40348">
        <w:rPr>
          <w:snapToGrid w:val="0"/>
        </w:rPr>
        <w:t>ore this Determination was made</w:t>
      </w:r>
      <w:r w:rsidR="00322560">
        <w:rPr>
          <w:snapToGrid w:val="0"/>
        </w:rPr>
        <w:t>, the consultation</w:t>
      </w:r>
      <w:r>
        <w:rPr>
          <w:snapToGrid w:val="0"/>
        </w:rPr>
        <w:t xml:space="preserve"> was undertaken</w:t>
      </w:r>
      <w:r w:rsidR="00E81ECD">
        <w:rPr>
          <w:snapToGrid w:val="0"/>
        </w:rPr>
        <w:t xml:space="preserve"> with</w:t>
      </w:r>
      <w:r w:rsidR="00E03661">
        <w:rPr>
          <w:snapToGrid w:val="0"/>
        </w:rPr>
        <w:t xml:space="preserve"> Military Personnel Branch.</w:t>
      </w:r>
      <w:r w:rsidR="00322560">
        <w:rPr>
          <w:snapToGrid w:val="0"/>
        </w:rPr>
        <w:t xml:space="preserve"> T</w:t>
      </w:r>
      <w:r w:rsidR="00C72AFD" w:rsidRPr="00A575F1">
        <w:rPr>
          <w:snapToGrid w:val="0"/>
        </w:rPr>
        <w:t>h</w:t>
      </w:r>
      <w:r w:rsidR="00C40348">
        <w:rPr>
          <w:snapToGrid w:val="0"/>
        </w:rPr>
        <w:t>e rule maker was satisfied that</w:t>
      </w:r>
      <w:r w:rsidR="00C72AFD">
        <w:rPr>
          <w:snapToGrid w:val="0"/>
        </w:rPr>
        <w:t xml:space="preserve"> further</w:t>
      </w:r>
      <w:r w:rsidR="00C72AFD" w:rsidRPr="00A575F1">
        <w:rPr>
          <w:snapToGrid w:val="0"/>
        </w:rPr>
        <w:t xml:space="preserve"> consultation was not required</w:t>
      </w:r>
      <w:r w:rsidR="00C72AFD">
        <w:rPr>
          <w:snapToGrid w:val="0"/>
        </w:rPr>
        <w:t>.</w:t>
      </w:r>
    </w:p>
    <w:p w14:paraId="717E9E4E" w14:textId="77777777" w:rsidR="00AA0D47" w:rsidRDefault="00AA0D47" w:rsidP="00AA0D47">
      <w:pPr>
        <w:pStyle w:val="Section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A0D47" w14:paraId="70C43414" w14:textId="77777777" w:rsidTr="00E817E9">
        <w:tc>
          <w:tcPr>
            <w:tcW w:w="4672" w:type="dxa"/>
          </w:tcPr>
          <w:p w14:paraId="218C04DB" w14:textId="77777777" w:rsidR="00AA0D47" w:rsidRDefault="00AA0D47" w:rsidP="00E817E9">
            <w:pPr>
              <w:keepNext/>
              <w:jc w:val="right"/>
              <w:rPr>
                <w:rFonts w:ascii="Arial" w:hAnsi="Arial" w:cs="Arial"/>
                <w:b/>
                <w:sz w:val="20"/>
              </w:rPr>
            </w:pPr>
            <w:r>
              <w:rPr>
                <w:rFonts w:ascii="Arial" w:hAnsi="Arial" w:cs="Arial"/>
                <w:b/>
                <w:sz w:val="20"/>
              </w:rPr>
              <w:t>Approved by:</w:t>
            </w:r>
          </w:p>
        </w:tc>
        <w:tc>
          <w:tcPr>
            <w:tcW w:w="4673" w:type="dxa"/>
          </w:tcPr>
          <w:p w14:paraId="13A31C67" w14:textId="0309E069" w:rsidR="00AA0D47" w:rsidRPr="00BE28F0" w:rsidRDefault="00E03661" w:rsidP="00E817E9">
            <w:pPr>
              <w:keepNext/>
              <w:jc w:val="right"/>
              <w:rPr>
                <w:rFonts w:ascii="Arial" w:hAnsi="Arial" w:cs="Arial"/>
                <w:b/>
                <w:sz w:val="20"/>
              </w:rPr>
            </w:pPr>
            <w:r>
              <w:rPr>
                <w:rFonts w:ascii="Arial" w:hAnsi="Arial" w:cs="Arial"/>
                <w:b/>
                <w:sz w:val="20"/>
              </w:rPr>
              <w:t>Sarah Kate McGregor</w:t>
            </w:r>
          </w:p>
          <w:p w14:paraId="738562E6" w14:textId="01761720" w:rsidR="00AA0D47" w:rsidRDefault="00E03661" w:rsidP="00E817E9">
            <w:pPr>
              <w:keepNext/>
              <w:jc w:val="right"/>
              <w:rPr>
                <w:rFonts w:ascii="Arial" w:hAnsi="Arial" w:cs="Arial"/>
                <w:sz w:val="20"/>
              </w:rPr>
            </w:pPr>
            <w:r>
              <w:rPr>
                <w:rFonts w:ascii="Arial" w:hAnsi="Arial" w:cs="Arial"/>
                <w:sz w:val="20"/>
              </w:rPr>
              <w:t xml:space="preserve">Acting </w:t>
            </w:r>
            <w:r w:rsidR="00255473">
              <w:rPr>
                <w:rFonts w:ascii="Arial" w:hAnsi="Arial" w:cs="Arial"/>
                <w:sz w:val="20"/>
              </w:rPr>
              <w:t>Director General</w:t>
            </w:r>
          </w:p>
          <w:p w14:paraId="5F2FF655" w14:textId="77777777" w:rsidR="00AA0D47" w:rsidRPr="00263C24" w:rsidRDefault="00AA0D47" w:rsidP="00E817E9">
            <w:pPr>
              <w:keepNext/>
              <w:jc w:val="right"/>
              <w:rPr>
                <w:rFonts w:ascii="Arial" w:hAnsi="Arial" w:cs="Arial"/>
                <w:sz w:val="20"/>
              </w:rPr>
            </w:pPr>
            <w:r w:rsidRPr="00263C24">
              <w:rPr>
                <w:rFonts w:ascii="Arial" w:hAnsi="Arial" w:cs="Arial"/>
                <w:sz w:val="20"/>
              </w:rPr>
              <w:t>People Policy and Employment Conditions</w:t>
            </w:r>
          </w:p>
          <w:p w14:paraId="4E0A008E" w14:textId="77777777" w:rsidR="00AA0D47" w:rsidRDefault="00AA0D47" w:rsidP="00E817E9">
            <w:pPr>
              <w:keepNext/>
              <w:jc w:val="right"/>
              <w:rPr>
                <w:rFonts w:ascii="Arial" w:hAnsi="Arial" w:cs="Arial"/>
                <w:b/>
                <w:sz w:val="20"/>
              </w:rPr>
            </w:pPr>
          </w:p>
        </w:tc>
      </w:tr>
      <w:tr w:rsidR="00AA0D47" w:rsidRPr="006109CE" w14:paraId="2232ED17" w14:textId="77777777" w:rsidTr="00E817E9">
        <w:tc>
          <w:tcPr>
            <w:tcW w:w="4672" w:type="dxa"/>
          </w:tcPr>
          <w:p w14:paraId="320EE412" w14:textId="77777777" w:rsidR="00AA0D47" w:rsidRPr="006109CE" w:rsidRDefault="00AA0D47" w:rsidP="00E817E9">
            <w:pPr>
              <w:keepNext/>
              <w:jc w:val="right"/>
              <w:rPr>
                <w:rFonts w:ascii="Arial" w:hAnsi="Arial" w:cs="Arial"/>
                <w:b/>
                <w:sz w:val="20"/>
              </w:rPr>
            </w:pPr>
            <w:r w:rsidRPr="006109CE">
              <w:rPr>
                <w:rFonts w:ascii="Arial" w:hAnsi="Arial" w:cs="Arial"/>
                <w:b/>
                <w:sz w:val="20"/>
              </w:rPr>
              <w:t>Authority:</w:t>
            </w:r>
          </w:p>
        </w:tc>
        <w:tc>
          <w:tcPr>
            <w:tcW w:w="4673" w:type="dxa"/>
          </w:tcPr>
          <w:p w14:paraId="0050434F" w14:textId="77777777" w:rsidR="00AA0D47" w:rsidRPr="006109CE" w:rsidRDefault="00AA0D47" w:rsidP="00E817E9">
            <w:pPr>
              <w:keepNext/>
              <w:jc w:val="right"/>
              <w:rPr>
                <w:rFonts w:ascii="Arial" w:hAnsi="Arial" w:cs="Arial"/>
                <w:b/>
                <w:sz w:val="20"/>
              </w:rPr>
            </w:pPr>
            <w:r w:rsidRPr="006109CE">
              <w:rPr>
                <w:rFonts w:ascii="Arial" w:hAnsi="Arial" w:cs="Arial"/>
                <w:sz w:val="20"/>
              </w:rPr>
              <w:t xml:space="preserve">Section 58B of the </w:t>
            </w:r>
            <w:r w:rsidRPr="006109CE">
              <w:rPr>
                <w:rFonts w:ascii="Arial" w:hAnsi="Arial" w:cs="Arial"/>
                <w:sz w:val="20"/>
              </w:rPr>
              <w:br/>
            </w:r>
            <w:r w:rsidRPr="006109CE">
              <w:rPr>
                <w:rFonts w:ascii="Arial" w:hAnsi="Arial" w:cs="Arial"/>
                <w:i/>
                <w:sz w:val="20"/>
              </w:rPr>
              <w:t>Defence Act 1903</w:t>
            </w:r>
          </w:p>
        </w:tc>
      </w:tr>
    </w:tbl>
    <w:p w14:paraId="5A00904B" w14:textId="77777777" w:rsidR="00AA0D47" w:rsidRDefault="00AA0D47" w:rsidP="001E51FE">
      <w:pPr>
        <w:pStyle w:val="Sectiontext"/>
        <w:rPr>
          <w:snapToGrid w:val="0"/>
        </w:rPr>
      </w:pPr>
    </w:p>
    <w:p w14:paraId="750CC8D9" w14:textId="77777777" w:rsidR="00AA0D47" w:rsidRDefault="00AA0D47">
      <w:pPr>
        <w:spacing w:line="240" w:lineRule="auto"/>
        <w:rPr>
          <w:rFonts w:ascii="Arial" w:eastAsia="Times New Roman" w:hAnsi="Arial" w:cs="Times New Roman"/>
          <w:snapToGrid w:val="0"/>
          <w:sz w:val="20"/>
          <w:lang w:eastAsia="en-AU"/>
        </w:rPr>
      </w:pPr>
      <w:r>
        <w:rPr>
          <w:snapToGrid w:val="0"/>
        </w:rPr>
        <w:br w:type="page"/>
      </w:r>
    </w:p>
    <w:p w14:paraId="6DB2C115" w14:textId="5D540EB7" w:rsidR="00AA0D47" w:rsidRPr="00737505" w:rsidRDefault="00AA0D47" w:rsidP="00AA0D47">
      <w:pPr>
        <w:pStyle w:val="Sectiontext"/>
        <w:jc w:val="right"/>
        <w:rPr>
          <w:b/>
          <w:snapToGrid w:val="0"/>
        </w:rPr>
      </w:pPr>
      <w:r w:rsidRPr="00737505">
        <w:rPr>
          <w:b/>
          <w:snapToGrid w:val="0"/>
        </w:rPr>
        <w:t>Annex A</w:t>
      </w:r>
    </w:p>
    <w:p w14:paraId="43253389" w14:textId="2F2925B6" w:rsidR="00417CDA" w:rsidRDefault="00417CDA" w:rsidP="00AA0D47">
      <w:pPr>
        <w:pStyle w:val="Sectiontext"/>
        <w:jc w:val="center"/>
        <w:rPr>
          <w:b/>
          <w:bCs/>
          <w:i/>
          <w:noProof/>
          <w:snapToGrid w:val="0"/>
          <w:lang w:val="en-US"/>
        </w:rPr>
      </w:pPr>
      <w:r w:rsidRPr="00417CDA">
        <w:rPr>
          <w:b/>
          <w:bCs/>
          <w:i/>
          <w:noProof/>
          <w:snapToGrid w:val="0"/>
          <w:lang w:val="en-US"/>
        </w:rPr>
        <w:t>Defence Determination, Conditions of service Amendment (</w:t>
      </w:r>
      <w:r w:rsidR="00E03661">
        <w:rPr>
          <w:b/>
          <w:bCs/>
          <w:i/>
          <w:noProof/>
          <w:snapToGrid w:val="0"/>
          <w:lang w:val="en-US"/>
        </w:rPr>
        <w:t>Continuation Bonus</w:t>
      </w:r>
      <w:r w:rsidRPr="00417CDA">
        <w:rPr>
          <w:b/>
          <w:bCs/>
          <w:i/>
          <w:noProof/>
          <w:snapToGrid w:val="0"/>
          <w:lang w:val="en-US"/>
        </w:rPr>
        <w:t xml:space="preserve">) Determination </w:t>
      </w:r>
      <w:r w:rsidR="00E03661">
        <w:rPr>
          <w:b/>
          <w:bCs/>
          <w:i/>
          <w:noProof/>
          <w:snapToGrid w:val="0"/>
          <w:lang w:val="en-US"/>
        </w:rPr>
        <w:t>(No.</w:t>
      </w:r>
      <w:r w:rsidR="00322560">
        <w:rPr>
          <w:b/>
          <w:bCs/>
          <w:i/>
          <w:noProof/>
          <w:snapToGrid w:val="0"/>
          <w:lang w:val="en-US"/>
        </w:rPr>
        <w:t xml:space="preserve"> </w:t>
      </w:r>
      <w:r w:rsidR="00E03661">
        <w:rPr>
          <w:b/>
          <w:bCs/>
          <w:i/>
          <w:noProof/>
          <w:snapToGrid w:val="0"/>
          <w:lang w:val="en-US"/>
        </w:rPr>
        <w:t>9</w:t>
      </w:r>
      <w:r w:rsidR="00F774DD" w:rsidRPr="00417CDA">
        <w:rPr>
          <w:b/>
          <w:bCs/>
          <w:i/>
          <w:noProof/>
          <w:snapToGrid w:val="0"/>
          <w:lang w:val="en-US"/>
        </w:rPr>
        <w:t>)</w:t>
      </w:r>
      <w:r w:rsidR="00F774DD">
        <w:rPr>
          <w:b/>
          <w:bCs/>
          <w:i/>
          <w:noProof/>
          <w:snapToGrid w:val="0"/>
          <w:lang w:val="en-US"/>
        </w:rPr>
        <w:t xml:space="preserve"> </w:t>
      </w:r>
      <w:r w:rsidRPr="00417CDA">
        <w:rPr>
          <w:b/>
          <w:bCs/>
          <w:i/>
          <w:noProof/>
          <w:snapToGrid w:val="0"/>
          <w:lang w:val="en-US"/>
        </w:rPr>
        <w:t>202</w:t>
      </w:r>
      <w:r w:rsidR="00F774DD">
        <w:rPr>
          <w:b/>
          <w:bCs/>
          <w:i/>
          <w:noProof/>
          <w:snapToGrid w:val="0"/>
          <w:lang w:val="en-US"/>
        </w:rPr>
        <w:t xml:space="preserve">5 </w:t>
      </w:r>
    </w:p>
    <w:p w14:paraId="1CBBBDEE" w14:textId="4FA33496" w:rsidR="00AA0D47" w:rsidRDefault="00AA0D47" w:rsidP="00AA0D47">
      <w:pPr>
        <w:pStyle w:val="Sectiontext"/>
        <w:jc w:val="center"/>
        <w:rPr>
          <w:b/>
          <w:bCs/>
          <w:i/>
          <w:noProof/>
          <w:snapToGrid w:val="0"/>
          <w:lang w:val="en-US"/>
        </w:rPr>
      </w:pPr>
      <w:r w:rsidRPr="001739E7">
        <w:rPr>
          <w:b/>
          <w:bCs/>
          <w:i/>
          <w:noProof/>
          <w:snapToGrid w:val="0"/>
          <w:lang w:val="en-US"/>
        </w:rPr>
        <w:t>Operational details</w:t>
      </w:r>
    </w:p>
    <w:p w14:paraId="02DC0CEE" w14:textId="77777777" w:rsidR="00AA0D47" w:rsidRDefault="00AA0D47" w:rsidP="00AA0D47">
      <w:pPr>
        <w:pStyle w:val="Sectiontext"/>
        <w:rPr>
          <w:snapToGrid w:val="0"/>
        </w:rPr>
      </w:pPr>
      <w:r>
        <w:rPr>
          <w:snapToGrid w:val="0"/>
        </w:rPr>
        <w:t>Section 1 of this Determination sets out the manner in which this Determination may be cited.</w:t>
      </w:r>
    </w:p>
    <w:p w14:paraId="2C9FE607" w14:textId="4168B30A" w:rsidR="00AA0D47" w:rsidRPr="00AA0D47" w:rsidRDefault="00E03661" w:rsidP="00E03661">
      <w:pPr>
        <w:pStyle w:val="Sectiontext"/>
        <w:rPr>
          <w:snapToGrid w:val="0"/>
        </w:rPr>
      </w:pPr>
      <w:r>
        <w:rPr>
          <w:snapToGrid w:val="0"/>
        </w:rPr>
        <w:t>Section 2 provides that thi</w:t>
      </w:r>
      <w:r w:rsidR="0041389F">
        <w:rPr>
          <w:snapToGrid w:val="0"/>
        </w:rPr>
        <w:t>s Determination commences on 5</w:t>
      </w:r>
      <w:bookmarkStart w:id="0" w:name="_GoBack"/>
      <w:bookmarkEnd w:id="0"/>
      <w:r w:rsidR="00F5477B">
        <w:rPr>
          <w:snapToGrid w:val="0"/>
        </w:rPr>
        <w:t xml:space="preserve"> June 2025</w:t>
      </w:r>
      <w:r>
        <w:rPr>
          <w:snapToGrid w:val="0"/>
        </w:rPr>
        <w:t>.</w:t>
      </w:r>
    </w:p>
    <w:p w14:paraId="66C3A9CC" w14:textId="365D1949" w:rsidR="001E51FE" w:rsidRPr="00A575F1" w:rsidRDefault="001E51FE" w:rsidP="001E51FE">
      <w:pPr>
        <w:pStyle w:val="Sectiontext"/>
        <w:rPr>
          <w:snapToGrid w:val="0"/>
        </w:rPr>
      </w:pPr>
      <w:r>
        <w:rPr>
          <w:snapToGrid w:val="0"/>
        </w:rPr>
        <w:t xml:space="preserve">Section 3 provides that this instrument has authority under section 58B of the </w:t>
      </w:r>
      <w:r w:rsidRPr="00FA083A">
        <w:rPr>
          <w:snapToGrid w:val="0"/>
        </w:rPr>
        <w:t>Defence Act</w:t>
      </w:r>
      <w:r>
        <w:rPr>
          <w:snapToGrid w:val="0"/>
        </w:rPr>
        <w:t>.</w:t>
      </w:r>
    </w:p>
    <w:p w14:paraId="7B55DD4F" w14:textId="53D752F9" w:rsidR="001E51FE" w:rsidRDefault="001E51FE" w:rsidP="001E51FE">
      <w:pPr>
        <w:pStyle w:val="Sectiontext"/>
        <w:rPr>
          <w:snapToGrid w:val="0"/>
        </w:rPr>
      </w:pPr>
      <w:r w:rsidRPr="00194BD6">
        <w:rPr>
          <w:snapToGrid w:val="0"/>
        </w:rPr>
        <w:t>Section 4 provides that each instrument that is specified in a Schedule to this instrument is amended or repealed as set out in the applicable items in the Schedule concerned, and any other item in a Schedule to this instrument has effect according to its terms.</w:t>
      </w:r>
      <w:r w:rsidR="000E4EC7">
        <w:rPr>
          <w:snapToGrid w:val="0"/>
        </w:rPr>
        <w:t xml:space="preserve"> </w:t>
      </w:r>
    </w:p>
    <w:p w14:paraId="522AD3C0" w14:textId="7A0939BD" w:rsidR="009A6866" w:rsidRDefault="009A6866" w:rsidP="00FA083A">
      <w:pPr>
        <w:pStyle w:val="Sectiontext"/>
        <w:rPr>
          <w:i/>
          <w:snapToGrid w:val="0"/>
          <w:u w:val="single"/>
        </w:rPr>
      </w:pPr>
      <w:r>
        <w:rPr>
          <w:i/>
          <w:snapToGrid w:val="0"/>
          <w:u w:val="single"/>
        </w:rPr>
        <w:t>Schedule 1</w:t>
      </w:r>
      <w:r>
        <w:rPr>
          <w:rFonts w:cs="Arial"/>
          <w:i/>
          <w:snapToGrid w:val="0"/>
          <w:u w:val="single"/>
        </w:rPr>
        <w:t>—</w:t>
      </w:r>
      <w:r w:rsidR="00E03661">
        <w:rPr>
          <w:i/>
          <w:snapToGrid w:val="0"/>
          <w:u w:val="single"/>
        </w:rPr>
        <w:t>C</w:t>
      </w:r>
      <w:r w:rsidR="00557F41">
        <w:rPr>
          <w:i/>
          <w:snapToGrid w:val="0"/>
          <w:u w:val="single"/>
        </w:rPr>
        <w:t>ontinuation b</w:t>
      </w:r>
      <w:r w:rsidR="00E03661">
        <w:rPr>
          <w:i/>
          <w:snapToGrid w:val="0"/>
          <w:u w:val="single"/>
        </w:rPr>
        <w:t>onus</w:t>
      </w:r>
      <w:r>
        <w:rPr>
          <w:i/>
          <w:snapToGrid w:val="0"/>
          <w:u w:val="single"/>
        </w:rPr>
        <w:t xml:space="preserve"> amendments</w:t>
      </w:r>
    </w:p>
    <w:p w14:paraId="3F2842B4" w14:textId="3786E3F9" w:rsidR="001E51FE" w:rsidRPr="00FA083A" w:rsidRDefault="00372E78" w:rsidP="00FA083A">
      <w:pPr>
        <w:pStyle w:val="Sectiontext"/>
        <w:rPr>
          <w:snapToGrid w:val="0"/>
        </w:rPr>
      </w:pPr>
      <w:r>
        <w:rPr>
          <w:snapToGrid w:val="0"/>
        </w:rPr>
        <w:t>Item</w:t>
      </w:r>
      <w:r w:rsidR="005C0A34">
        <w:rPr>
          <w:snapToGrid w:val="0"/>
        </w:rPr>
        <w:t xml:space="preserve"> 1 amends subparagraphs 3.4.3.1.a.i and 3.4.3.1.b.i of the Principal Determination which provide the commencement day of </w:t>
      </w:r>
      <w:r w:rsidR="005C0A34" w:rsidRPr="005C0A34">
        <w:rPr>
          <w:snapToGrid w:val="0"/>
        </w:rPr>
        <w:t>an agreed period of service</w:t>
      </w:r>
      <w:r w:rsidR="007B6B0F">
        <w:rPr>
          <w:snapToGrid w:val="0"/>
        </w:rPr>
        <w:t xml:space="preserve"> for</w:t>
      </w:r>
      <w:r w:rsidR="005C0A34">
        <w:rPr>
          <w:snapToGrid w:val="0"/>
        </w:rPr>
        <w:t xml:space="preserve"> continuation bonus 1 and continuation bonus 2</w:t>
      </w:r>
      <w:r w:rsidR="00922971">
        <w:rPr>
          <w:snapToGrid w:val="0"/>
        </w:rPr>
        <w:t>, respectively</w:t>
      </w:r>
      <w:r w:rsidR="005C0A34">
        <w:rPr>
          <w:snapToGrid w:val="0"/>
        </w:rPr>
        <w:t>.</w:t>
      </w:r>
      <w:r w:rsidR="007B6B0F">
        <w:rPr>
          <w:snapToGrid w:val="0"/>
        </w:rPr>
        <w:t xml:space="preserve"> The amendment removes the notes in each subparagraph as a consequence of changes made by items 4 and 5</w:t>
      </w:r>
      <w:r w:rsidR="005F030E">
        <w:rPr>
          <w:snapToGrid w:val="0"/>
        </w:rPr>
        <w:t xml:space="preserve"> of this Determination</w:t>
      </w:r>
      <w:r w:rsidR="007B6B0F">
        <w:rPr>
          <w:snapToGrid w:val="0"/>
        </w:rPr>
        <w:t>.</w:t>
      </w:r>
    </w:p>
    <w:p w14:paraId="0693B9AD" w14:textId="41E87B75" w:rsidR="001E51FE" w:rsidRDefault="00372E78" w:rsidP="001E51FE">
      <w:pPr>
        <w:pStyle w:val="Sectiontext"/>
        <w:rPr>
          <w:snapToGrid w:val="0"/>
        </w:rPr>
      </w:pPr>
      <w:r>
        <w:rPr>
          <w:snapToGrid w:val="0"/>
        </w:rPr>
        <w:t>Item</w:t>
      </w:r>
      <w:r w:rsidR="007B6B0F">
        <w:rPr>
          <w:snapToGrid w:val="0"/>
        </w:rPr>
        <w:t xml:space="preserve"> 2 amends paragraph 3.4.3.1.a of the Principal Determination</w:t>
      </w:r>
      <w:r w:rsidR="00F530FD">
        <w:rPr>
          <w:snapToGrid w:val="0"/>
        </w:rPr>
        <w:t xml:space="preserve"> which provides circumstances </w:t>
      </w:r>
      <w:r w:rsidR="007B1824">
        <w:rPr>
          <w:snapToGrid w:val="0"/>
        </w:rPr>
        <w:t>in</w:t>
      </w:r>
      <w:r w:rsidR="007B6B0F">
        <w:rPr>
          <w:snapToGrid w:val="0"/>
        </w:rPr>
        <w:t xml:space="preserve"> which the agreed period of service will commence in relation to continuation bonus 1. The item repeals subparagraph 3.4.3.1.a.ii, which refers to service obligations imposed when the member first joined the Permanent</w:t>
      </w:r>
      <w:r w:rsidR="007B1824">
        <w:rPr>
          <w:snapToGrid w:val="0"/>
        </w:rPr>
        <w:t xml:space="preserve"> Forces. This requirement is now</w:t>
      </w:r>
      <w:r w:rsidR="007B6B0F">
        <w:rPr>
          <w:snapToGrid w:val="0"/>
        </w:rPr>
        <w:t xml:space="preserve"> captured, albeit more broadly, by amendm</w:t>
      </w:r>
      <w:r w:rsidR="00322560">
        <w:rPr>
          <w:snapToGrid w:val="0"/>
        </w:rPr>
        <w:t>en</w:t>
      </w:r>
      <w:r w:rsidR="007B6B0F">
        <w:rPr>
          <w:snapToGrid w:val="0"/>
        </w:rPr>
        <w:t xml:space="preserve">ts made by item 3 of this </w:t>
      </w:r>
      <w:r w:rsidR="00322560">
        <w:rPr>
          <w:snapToGrid w:val="0"/>
        </w:rPr>
        <w:t>Determination</w:t>
      </w:r>
      <w:r w:rsidR="007B6B0F">
        <w:rPr>
          <w:snapToGrid w:val="0"/>
        </w:rPr>
        <w:t xml:space="preserve">. </w:t>
      </w:r>
    </w:p>
    <w:p w14:paraId="4E1E0687" w14:textId="36FE425F" w:rsidR="000E4EC7" w:rsidRDefault="000E4EC7" w:rsidP="001E51FE">
      <w:pPr>
        <w:pStyle w:val="Sectiontext"/>
        <w:rPr>
          <w:snapToGrid w:val="0"/>
        </w:rPr>
      </w:pPr>
      <w:r>
        <w:rPr>
          <w:snapToGrid w:val="0"/>
        </w:rPr>
        <w:t>Item 3</w:t>
      </w:r>
      <w:r w:rsidR="007B6B0F">
        <w:rPr>
          <w:snapToGrid w:val="0"/>
        </w:rPr>
        <w:t xml:space="preserve"> amends paragraph 3.4.3.1.c of the Principal Determination which provides some of the circumstances </w:t>
      </w:r>
      <w:r w:rsidR="007B1824">
        <w:rPr>
          <w:snapToGrid w:val="0"/>
        </w:rPr>
        <w:t>in</w:t>
      </w:r>
      <w:r w:rsidR="007B6B0F">
        <w:rPr>
          <w:snapToGrid w:val="0"/>
        </w:rPr>
        <w:t xml:space="preserve"> which an agreed period of service will commence. The item </w:t>
      </w:r>
      <w:r w:rsidR="00922971">
        <w:rPr>
          <w:snapToGrid w:val="0"/>
        </w:rPr>
        <w:t>redrafts the paragraph to include</w:t>
      </w:r>
      <w:r w:rsidR="007B6B0F">
        <w:rPr>
          <w:snapToGrid w:val="0"/>
        </w:rPr>
        <w:t xml:space="preserve"> the completion of a service obligation. This amendment means that a member must have completed all service oblations </w:t>
      </w:r>
      <w:r w:rsidR="007B1824">
        <w:rPr>
          <w:snapToGrid w:val="0"/>
        </w:rPr>
        <w:t xml:space="preserve">(as defined in section 3.4.2 of the Principal Determination) </w:t>
      </w:r>
      <w:r w:rsidR="007B6B0F">
        <w:rPr>
          <w:snapToGrid w:val="0"/>
        </w:rPr>
        <w:t>before they commence their agreed period of service.</w:t>
      </w:r>
    </w:p>
    <w:p w14:paraId="60F24CDB" w14:textId="1C5137DD" w:rsidR="000E4EC7" w:rsidRDefault="000E4EC7" w:rsidP="001E51FE">
      <w:pPr>
        <w:pStyle w:val="Sectiontext"/>
        <w:rPr>
          <w:snapToGrid w:val="0"/>
        </w:rPr>
      </w:pPr>
      <w:r>
        <w:rPr>
          <w:snapToGrid w:val="0"/>
        </w:rPr>
        <w:t>Item</w:t>
      </w:r>
      <w:r w:rsidR="00620D8C">
        <w:rPr>
          <w:snapToGrid w:val="0"/>
        </w:rPr>
        <w:t>s</w:t>
      </w:r>
      <w:r>
        <w:rPr>
          <w:snapToGrid w:val="0"/>
        </w:rPr>
        <w:t xml:space="preserve"> 4</w:t>
      </w:r>
      <w:r w:rsidR="00620D8C">
        <w:rPr>
          <w:snapToGrid w:val="0"/>
        </w:rPr>
        <w:t xml:space="preserve"> and 5 repeal and substitute sections 3.4.6 and 3.4.7</w:t>
      </w:r>
      <w:r w:rsidR="007B1824">
        <w:rPr>
          <w:snapToGrid w:val="0"/>
        </w:rPr>
        <w:t xml:space="preserve"> of the Principal Determination</w:t>
      </w:r>
      <w:r w:rsidR="00620D8C">
        <w:rPr>
          <w:snapToGrid w:val="0"/>
        </w:rPr>
        <w:t xml:space="preserve"> which define effective service. The amendments remake the definition by making general rules about when service may be effective service and how effective service is calculated on days that a member is, and is not, subject to a flexible service determination made under section 23 of the Defence Act.</w:t>
      </w:r>
    </w:p>
    <w:p w14:paraId="721DAC21" w14:textId="74FA990F" w:rsidR="000E4EC7" w:rsidRDefault="000E4EC7" w:rsidP="001E51FE">
      <w:pPr>
        <w:pStyle w:val="Sectiontext"/>
        <w:rPr>
          <w:snapToGrid w:val="0"/>
        </w:rPr>
      </w:pPr>
      <w:r>
        <w:rPr>
          <w:snapToGrid w:val="0"/>
        </w:rPr>
        <w:t>Items 6 and 7 repeal and substitute section 3.4.8 and 3.</w:t>
      </w:r>
      <w:r w:rsidR="007B1824">
        <w:rPr>
          <w:snapToGrid w:val="0"/>
        </w:rPr>
        <w:t>4.13</w:t>
      </w:r>
      <w:r w:rsidR="005F030E">
        <w:rPr>
          <w:snapToGrid w:val="0"/>
        </w:rPr>
        <w:t xml:space="preserve"> which provides</w:t>
      </w:r>
      <w:r>
        <w:rPr>
          <w:snapToGrid w:val="0"/>
        </w:rPr>
        <w:t xml:space="preserve"> when Divisions 1 and 3, respectively, apply to members. T</w:t>
      </w:r>
      <w:r w:rsidR="00620D8C">
        <w:rPr>
          <w:snapToGrid w:val="0"/>
        </w:rPr>
        <w:t xml:space="preserve">he </w:t>
      </w:r>
      <w:r w:rsidR="005F030E">
        <w:rPr>
          <w:snapToGrid w:val="0"/>
        </w:rPr>
        <w:t xml:space="preserve">amendments made </w:t>
      </w:r>
      <w:r w:rsidR="00620D8C">
        <w:rPr>
          <w:snapToGrid w:val="0"/>
        </w:rPr>
        <w:t xml:space="preserve">require the periods of effective service to be continuous periods and provide that the continuity of that period of effective service is not broken by a period of leave without pay. A member would break a period of continue effective service if they were a member of the Reserves undertaking continuous full-time service and had a break </w:t>
      </w:r>
      <w:r w:rsidR="007B1824">
        <w:rPr>
          <w:snapToGrid w:val="0"/>
        </w:rPr>
        <w:t xml:space="preserve">in full-time service </w:t>
      </w:r>
      <w:r w:rsidR="00620D8C">
        <w:rPr>
          <w:snapToGrid w:val="0"/>
        </w:rPr>
        <w:t>before joining the Permanent Forces.</w:t>
      </w:r>
    </w:p>
    <w:p w14:paraId="08F608A8" w14:textId="41B325C5" w:rsidR="000E4EC7" w:rsidRDefault="000E4EC7" w:rsidP="001E51FE">
      <w:pPr>
        <w:pStyle w:val="Sectiontext"/>
        <w:rPr>
          <w:snapToGrid w:val="0"/>
        </w:rPr>
      </w:pPr>
      <w:r>
        <w:rPr>
          <w:snapToGrid w:val="0"/>
        </w:rPr>
        <w:t xml:space="preserve">Item 8 amends section 3.4.23 of the Principal Determination which provides the rules to recover the continuation bonus in certain circumstances. The amendment removes the requirement that a bonus can only be recovered </w:t>
      </w:r>
      <w:r w:rsidR="00922971">
        <w:rPr>
          <w:snapToGrid w:val="0"/>
        </w:rPr>
        <w:t>if the member has</w:t>
      </w:r>
      <w:r>
        <w:rPr>
          <w:snapToGrid w:val="0"/>
        </w:rPr>
        <w:t xml:space="preserve"> made a valid acceptance of an offer. Subsection 3.4.20.1.b of the Principal Determination enables a member to be eligible to be paid the bonus in limited circumstances without making a valid accept</w:t>
      </w:r>
      <w:r w:rsidR="00922971">
        <w:rPr>
          <w:snapToGrid w:val="0"/>
        </w:rPr>
        <w:t>ance of an offer.</w:t>
      </w:r>
    </w:p>
    <w:p w14:paraId="5DB13399" w14:textId="005505BA" w:rsidR="009A6866" w:rsidRDefault="009A6866" w:rsidP="009A6866">
      <w:pPr>
        <w:pStyle w:val="Sectiontext"/>
        <w:rPr>
          <w:i/>
          <w:snapToGrid w:val="0"/>
          <w:u w:val="single"/>
        </w:rPr>
      </w:pPr>
      <w:r>
        <w:rPr>
          <w:i/>
          <w:snapToGrid w:val="0"/>
          <w:u w:val="single"/>
        </w:rPr>
        <w:t>Schedule 2</w:t>
      </w:r>
      <w:r>
        <w:rPr>
          <w:rFonts w:cs="Arial"/>
          <w:i/>
          <w:snapToGrid w:val="0"/>
          <w:u w:val="single"/>
        </w:rPr>
        <w:t>—</w:t>
      </w:r>
      <w:r w:rsidR="00E03661" w:rsidRPr="00E03661">
        <w:rPr>
          <w:i/>
          <w:snapToGrid w:val="0"/>
          <w:u w:val="single"/>
        </w:rPr>
        <w:t>Continuation bonus pilot amendments</w:t>
      </w:r>
    </w:p>
    <w:p w14:paraId="1840C9BA" w14:textId="3405426F" w:rsidR="00FA083A" w:rsidRPr="00FA083A" w:rsidRDefault="00372E78" w:rsidP="00FA083A">
      <w:pPr>
        <w:pStyle w:val="Sectiontext"/>
        <w:rPr>
          <w:snapToGrid w:val="0"/>
        </w:rPr>
      </w:pPr>
      <w:r>
        <w:rPr>
          <w:snapToGrid w:val="0"/>
        </w:rPr>
        <w:t>Item</w:t>
      </w:r>
      <w:r w:rsidR="00E03661">
        <w:rPr>
          <w:snapToGrid w:val="0"/>
        </w:rPr>
        <w:t xml:space="preserve"> 1 amends clause 2 of Schedule 2 of the amending Determination</w:t>
      </w:r>
      <w:r w:rsidR="005F030E">
        <w:rPr>
          <w:snapToGrid w:val="0"/>
        </w:rPr>
        <w:t xml:space="preserve"> which </w:t>
      </w:r>
      <w:r w:rsidR="00E03661">
        <w:rPr>
          <w:snapToGrid w:val="0"/>
        </w:rPr>
        <w:t xml:space="preserve">provides the saving provisions relating to the continuation bonus pilot. The amendment excludes subsection 3.4.11.2 from the savings provisions. This has the effect of enabling members to accept an offer of a continuation bonus under the pilot scheme </w:t>
      </w:r>
      <w:r w:rsidR="00557F41">
        <w:rPr>
          <w:snapToGrid w:val="0"/>
        </w:rPr>
        <w:t>if they were offered a bonus on or before 30 June 2025</w:t>
      </w:r>
      <w:r w:rsidR="00E03661">
        <w:rPr>
          <w:snapToGrid w:val="0"/>
        </w:rPr>
        <w:t>.</w:t>
      </w:r>
    </w:p>
    <w:p w14:paraId="73AC8C21" w14:textId="09AEDDB7" w:rsidR="1B0BDFBF" w:rsidRDefault="1B0BDFBF" w:rsidP="1B0BDFBF">
      <w:pPr>
        <w:spacing w:after="200" w:line="240" w:lineRule="auto"/>
        <w:rPr>
          <w:rFonts w:ascii="Arial" w:hAnsi="Arial" w:cs="Arial"/>
          <w:color w:val="FF0000"/>
          <w:sz w:val="20"/>
        </w:rPr>
      </w:pPr>
    </w:p>
    <w:p w14:paraId="7B7CB0E8" w14:textId="77777777" w:rsidR="001E51FE" w:rsidRPr="00CA5BE0" w:rsidRDefault="001E51FE" w:rsidP="001E51FE">
      <w:pPr>
        <w:autoSpaceDE w:val="0"/>
        <w:autoSpaceDN w:val="0"/>
        <w:adjustRightInd w:val="0"/>
        <w:rPr>
          <w:snapToGrid w:val="0"/>
          <w:sz w:val="20"/>
        </w:rPr>
      </w:pPr>
    </w:p>
    <w:p w14:paraId="2831585B" w14:textId="77777777" w:rsidR="001E51FE" w:rsidRDefault="001E51FE" w:rsidP="001E51FE">
      <w:pPr>
        <w:pStyle w:val="Sectiontext"/>
        <w:jc w:val="center"/>
        <w:rPr>
          <w:b/>
        </w:rPr>
        <w:sectPr w:rsidR="001E51FE" w:rsidSect="008417DF">
          <w:footerReference w:type="default" r:id="rId12"/>
          <w:footerReference w:type="first" r:id="rId13"/>
          <w:pgSz w:w="11907" w:h="16839"/>
          <w:pgMar w:top="1134" w:right="1134" w:bottom="992" w:left="1418" w:header="720" w:footer="709" w:gutter="0"/>
          <w:pgNumType w:start="1"/>
          <w:cols w:space="708"/>
          <w:titlePg/>
          <w:docGrid w:linePitch="360"/>
        </w:sectPr>
      </w:pPr>
    </w:p>
    <w:p w14:paraId="1BF58F94" w14:textId="10E69501" w:rsidR="00737505" w:rsidRPr="00737505" w:rsidRDefault="00737505" w:rsidP="00737505">
      <w:pPr>
        <w:pStyle w:val="Sectiontext"/>
        <w:jc w:val="right"/>
        <w:rPr>
          <w:b/>
          <w:snapToGrid w:val="0"/>
        </w:rPr>
      </w:pPr>
      <w:r w:rsidRPr="00737505">
        <w:rPr>
          <w:b/>
          <w:snapToGrid w:val="0"/>
        </w:rPr>
        <w:t xml:space="preserve">Annex </w:t>
      </w:r>
      <w:r>
        <w:rPr>
          <w:b/>
          <w:snapToGrid w:val="0"/>
        </w:rPr>
        <w:t>B</w:t>
      </w:r>
    </w:p>
    <w:p w14:paraId="12E2468D" w14:textId="55233866" w:rsidR="00417CDA" w:rsidRDefault="00417CDA" w:rsidP="00486185">
      <w:pPr>
        <w:pStyle w:val="BlockText-Plain"/>
        <w:jc w:val="center"/>
        <w:rPr>
          <w:b/>
          <w:i/>
          <w:snapToGrid w:val="0"/>
        </w:rPr>
      </w:pPr>
      <w:r w:rsidRPr="00417CDA">
        <w:rPr>
          <w:b/>
          <w:bCs/>
          <w:i/>
          <w:noProof/>
          <w:snapToGrid w:val="0"/>
          <w:lang w:val="en-US"/>
        </w:rPr>
        <w:t>Defence Determination, Conditions of service Amendment (</w:t>
      </w:r>
      <w:r w:rsidR="00322560">
        <w:rPr>
          <w:b/>
          <w:bCs/>
          <w:i/>
          <w:noProof/>
          <w:snapToGrid w:val="0"/>
          <w:lang w:val="en-US"/>
        </w:rPr>
        <w:t>Continuation Bonus</w:t>
      </w:r>
      <w:r w:rsidR="0008037A">
        <w:rPr>
          <w:b/>
          <w:bCs/>
          <w:i/>
          <w:noProof/>
          <w:snapToGrid w:val="0"/>
          <w:lang w:val="en-US"/>
        </w:rPr>
        <w:t xml:space="preserve">) Determination </w:t>
      </w:r>
      <w:r w:rsidR="00322560">
        <w:rPr>
          <w:b/>
          <w:bCs/>
          <w:i/>
          <w:noProof/>
          <w:snapToGrid w:val="0"/>
          <w:lang w:val="en-US"/>
        </w:rPr>
        <w:t>(No. 9</w:t>
      </w:r>
      <w:r w:rsidR="00F774DD">
        <w:rPr>
          <w:b/>
          <w:i/>
          <w:snapToGrid w:val="0"/>
        </w:rPr>
        <w:t xml:space="preserve">) </w:t>
      </w:r>
      <w:r w:rsidR="0008037A">
        <w:rPr>
          <w:b/>
          <w:bCs/>
          <w:i/>
          <w:noProof/>
          <w:snapToGrid w:val="0"/>
          <w:lang w:val="en-US"/>
        </w:rPr>
        <w:t>202</w:t>
      </w:r>
      <w:r w:rsidR="00F774DD">
        <w:rPr>
          <w:b/>
          <w:bCs/>
          <w:i/>
          <w:noProof/>
          <w:snapToGrid w:val="0"/>
          <w:lang w:val="en-US"/>
        </w:rPr>
        <w:t>5</w:t>
      </w:r>
    </w:p>
    <w:p w14:paraId="0C64CA0C" w14:textId="3774B220" w:rsidR="00737505" w:rsidRPr="009A6866" w:rsidRDefault="00737505" w:rsidP="00486185">
      <w:pPr>
        <w:pStyle w:val="BlockText-Plain"/>
        <w:jc w:val="center"/>
        <w:rPr>
          <w:b/>
          <w:i/>
          <w:snapToGrid w:val="0"/>
        </w:rPr>
      </w:pPr>
      <w:r>
        <w:rPr>
          <w:b/>
          <w:i/>
          <w:snapToGrid w:val="0"/>
        </w:rPr>
        <w:t>Statement of Compatibility with Human Rights</w:t>
      </w:r>
    </w:p>
    <w:p w14:paraId="72AD4000" w14:textId="77777777" w:rsidR="00737505" w:rsidRDefault="00737505" w:rsidP="00737505">
      <w:pPr>
        <w:pStyle w:val="Sectiontext"/>
        <w:jc w:val="center"/>
        <w:rPr>
          <w:i/>
          <w:snapToGrid w:val="0"/>
        </w:rPr>
      </w:pPr>
      <w:r>
        <w:rPr>
          <w:i/>
          <w:snapToGrid w:val="0"/>
        </w:rPr>
        <w:t>Prepared in accordance with Part 3 of the Human Rights (Parliamentary Scrutiny) Act 2011</w:t>
      </w:r>
    </w:p>
    <w:p w14:paraId="06067794" w14:textId="77777777" w:rsidR="001E51FE" w:rsidRPr="0021243D" w:rsidRDefault="001E51FE" w:rsidP="007753AD">
      <w:pPr>
        <w:spacing w:after="200" w:line="240" w:lineRule="auto"/>
        <w:rPr>
          <w:rFonts w:ascii="Arial" w:hAnsi="Arial" w:cs="Arial"/>
          <w:b/>
          <w:sz w:val="20"/>
        </w:rPr>
      </w:pPr>
      <w:r w:rsidRPr="0021243D">
        <w:rPr>
          <w:rFonts w:ascii="Arial" w:hAnsi="Arial" w:cs="Arial"/>
          <w:b/>
          <w:sz w:val="20"/>
        </w:rPr>
        <w:t>Overview of the Determination</w:t>
      </w:r>
    </w:p>
    <w:p w14:paraId="18D01B84" w14:textId="77777777" w:rsidR="005F030E" w:rsidRDefault="005F030E" w:rsidP="005F030E">
      <w:pPr>
        <w:pStyle w:val="Sectiontext"/>
        <w:tabs>
          <w:tab w:val="left" w:pos="7380"/>
        </w:tabs>
      </w:pPr>
      <w:r>
        <w:t xml:space="preserve">The purpose of this Determination is to update continuation bonus provisions to better clarify the definition of effective service, and clarify how it is used in relation to the application rules for continuation bonus 1 and 2. Effective service in these instances includes periods of service in the Reserves undertaken on a continuous full-time service basis immediately before the member joined the Permanent Forces. </w:t>
      </w:r>
    </w:p>
    <w:p w14:paraId="02BC487C" w14:textId="5EF8E911" w:rsidR="005F030E" w:rsidRDefault="005F030E" w:rsidP="005F030E">
      <w:pPr>
        <w:pStyle w:val="Sectiontext"/>
        <w:tabs>
          <w:tab w:val="left" w:pos="7380"/>
        </w:tabs>
      </w:pPr>
      <w:r>
        <w:t>The Determination also amends the savings provision in the amending Determination to ensure that members who are made an offer for the continuation bonus under the continuation bonus pilot are able to accept the offer until the end of 2025.</w:t>
      </w:r>
    </w:p>
    <w:p w14:paraId="08EBD08E" w14:textId="0CC6187C" w:rsidR="00BC00AA" w:rsidRDefault="00737505" w:rsidP="007753AD">
      <w:pPr>
        <w:shd w:val="clear" w:color="auto" w:fill="FFFFFF"/>
        <w:spacing w:before="100" w:beforeAutospacing="1" w:after="200" w:line="240" w:lineRule="auto"/>
        <w:rPr>
          <w:rFonts w:ascii="Arial" w:hAnsi="Arial" w:cs="Arial"/>
          <w:b/>
          <w:i/>
          <w:iCs/>
          <w:sz w:val="20"/>
        </w:rPr>
      </w:pPr>
      <w:r>
        <w:rPr>
          <w:rFonts w:ascii="Arial" w:hAnsi="Arial" w:cs="Arial"/>
          <w:b/>
          <w:i/>
          <w:iCs/>
          <w:sz w:val="20"/>
        </w:rPr>
        <w:t>Assessment of compatibility</w:t>
      </w:r>
    </w:p>
    <w:p w14:paraId="42942164" w14:textId="7B9B32CB" w:rsidR="00050390" w:rsidRPr="00050390" w:rsidRDefault="00322560" w:rsidP="00322560">
      <w:pPr>
        <w:spacing w:after="200" w:line="240" w:lineRule="auto"/>
        <w:rPr>
          <w:rFonts w:ascii="Arial" w:hAnsi="Arial" w:cs="Arial"/>
          <w:iCs/>
          <w:sz w:val="20"/>
        </w:rPr>
      </w:pPr>
      <w:r>
        <w:rPr>
          <w:rFonts w:ascii="Arial" w:hAnsi="Arial" w:cs="Arial"/>
          <w:iCs/>
          <w:sz w:val="20"/>
        </w:rPr>
        <w:t>This Determination provides technical amendments to provide clarity and greater certainty over the application of the continuation bonus, which provides members with a payment for agreeing to undertake additional periods of service in the Permanent Forces</w:t>
      </w:r>
      <w:r w:rsidR="00050390" w:rsidRPr="004E2521">
        <w:rPr>
          <w:rFonts w:ascii="Arial" w:hAnsi="Arial" w:cs="Arial"/>
          <w:iCs/>
          <w:sz w:val="20"/>
        </w:rPr>
        <w:t>. As such, it does not engage with any of the applicable rights or freedoms.</w:t>
      </w:r>
    </w:p>
    <w:p w14:paraId="494DEA52" w14:textId="77777777" w:rsidR="001E51FE" w:rsidRPr="0021243D" w:rsidRDefault="001E51FE" w:rsidP="007753AD">
      <w:pPr>
        <w:spacing w:after="200" w:line="240" w:lineRule="auto"/>
        <w:rPr>
          <w:rFonts w:ascii="Arial" w:hAnsi="Arial" w:cs="Arial"/>
          <w:b/>
          <w:sz w:val="20"/>
        </w:rPr>
      </w:pPr>
      <w:r w:rsidRPr="0021243D">
        <w:rPr>
          <w:rFonts w:ascii="Arial" w:hAnsi="Arial" w:cs="Arial"/>
          <w:b/>
          <w:sz w:val="20"/>
        </w:rPr>
        <w:t>Conclusion</w:t>
      </w:r>
    </w:p>
    <w:p w14:paraId="4D231897" w14:textId="1F8A86B3" w:rsidR="001E51FE" w:rsidRPr="00A575F1" w:rsidRDefault="001E51FE" w:rsidP="007753AD">
      <w:pPr>
        <w:pStyle w:val="Sectiontext"/>
        <w:rPr>
          <w:snapToGrid w:val="0"/>
        </w:rPr>
      </w:pPr>
      <w:r w:rsidRPr="00A575F1">
        <w:rPr>
          <w:snapToGrid w:val="0"/>
        </w:rPr>
        <w:t>This Determination is compa</w:t>
      </w:r>
      <w:r w:rsidR="00737505">
        <w:rPr>
          <w:snapToGrid w:val="0"/>
        </w:rPr>
        <w:t xml:space="preserve">tible with human rights and freedoms recognised or declared in the international instruments listed in section 3 of the </w:t>
      </w:r>
      <w:r w:rsidR="00737505">
        <w:rPr>
          <w:i/>
          <w:snapToGrid w:val="0"/>
        </w:rPr>
        <w:t>Human Rights (Parliamentary Scrutiny) Act 2011</w:t>
      </w:r>
      <w:r w:rsidRPr="00A575F1">
        <w:rPr>
          <w:snapToGrid w:val="0"/>
        </w:rPr>
        <w:t>.</w:t>
      </w:r>
    </w:p>
    <w:p w14:paraId="4D3CB653" w14:textId="77777777" w:rsidR="001E51FE" w:rsidRPr="00D15A4D" w:rsidRDefault="001E51FE" w:rsidP="006065DA">
      <w:pPr>
        <w:pStyle w:val="subsection"/>
      </w:pPr>
    </w:p>
    <w:sectPr w:rsidR="001E51FE" w:rsidRPr="00D15A4D" w:rsidSect="00C72AFD">
      <w:headerReference w:type="first" r:id="rId14"/>
      <w:pgSz w:w="11907" w:h="16839"/>
      <w:pgMar w:top="1134" w:right="1134" w:bottom="992" w:left="1418"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891B8" w14:textId="77777777" w:rsidR="009B6111" w:rsidRDefault="009B6111" w:rsidP="0048364F">
      <w:pPr>
        <w:spacing w:line="240" w:lineRule="auto"/>
      </w:pPr>
      <w:r>
        <w:separator/>
      </w:r>
    </w:p>
  </w:endnote>
  <w:endnote w:type="continuationSeparator" w:id="0">
    <w:p w14:paraId="72EBF9DA" w14:textId="77777777" w:rsidR="009B6111" w:rsidRDefault="009B611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120083"/>
      <w:docPartObj>
        <w:docPartGallery w:val="Page Numbers (Bottom of Page)"/>
        <w:docPartUnique/>
      </w:docPartObj>
    </w:sdtPr>
    <w:sdtEndPr>
      <w:rPr>
        <w:noProof/>
      </w:rPr>
    </w:sdtEndPr>
    <w:sdtContent>
      <w:p w14:paraId="786DDF70" w14:textId="4743C309" w:rsidR="00FA083A" w:rsidRDefault="00FA083A">
        <w:pPr>
          <w:pStyle w:val="Footer"/>
          <w:jc w:val="right"/>
        </w:pPr>
        <w:r>
          <w:fldChar w:fldCharType="begin"/>
        </w:r>
        <w:r>
          <w:instrText xml:space="preserve"> PAGE   \* MERGEFORMAT </w:instrText>
        </w:r>
        <w:r>
          <w:fldChar w:fldCharType="separate"/>
        </w:r>
        <w:r w:rsidR="0041389F">
          <w:rPr>
            <w:noProof/>
          </w:rPr>
          <w:t>3</w:t>
        </w:r>
        <w:r>
          <w:rPr>
            <w:noProof/>
          </w:rPr>
          <w:fldChar w:fldCharType="end"/>
        </w:r>
      </w:p>
    </w:sdtContent>
  </w:sdt>
  <w:p w14:paraId="080BA358" w14:textId="77777777" w:rsidR="00E86DED" w:rsidRPr="00ED79B6" w:rsidRDefault="00E86DED" w:rsidP="007A6863">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602690"/>
      <w:docPartObj>
        <w:docPartGallery w:val="Page Numbers (Bottom of Page)"/>
        <w:docPartUnique/>
      </w:docPartObj>
    </w:sdtPr>
    <w:sdtEndPr>
      <w:rPr>
        <w:noProof/>
        <w:sz w:val="18"/>
        <w:szCs w:val="18"/>
      </w:rPr>
    </w:sdtEndPr>
    <w:sdtContent>
      <w:p w14:paraId="15A37926" w14:textId="09B983D1" w:rsidR="00FA083A" w:rsidRPr="00A36CD7" w:rsidRDefault="00FA083A">
        <w:pPr>
          <w:pStyle w:val="Footer"/>
          <w:jc w:val="right"/>
          <w:rPr>
            <w:sz w:val="18"/>
            <w:szCs w:val="18"/>
          </w:rPr>
        </w:pPr>
        <w:r w:rsidRPr="00A36CD7">
          <w:rPr>
            <w:sz w:val="18"/>
            <w:szCs w:val="18"/>
          </w:rPr>
          <w:fldChar w:fldCharType="begin"/>
        </w:r>
        <w:r w:rsidRPr="00A36CD7">
          <w:rPr>
            <w:sz w:val="18"/>
            <w:szCs w:val="18"/>
          </w:rPr>
          <w:instrText xml:space="preserve"> PAGE   \* MERGEFORMAT </w:instrText>
        </w:r>
        <w:r w:rsidRPr="00A36CD7">
          <w:rPr>
            <w:sz w:val="18"/>
            <w:szCs w:val="18"/>
          </w:rPr>
          <w:fldChar w:fldCharType="separate"/>
        </w:r>
        <w:r w:rsidR="009B6111">
          <w:rPr>
            <w:noProof/>
            <w:sz w:val="18"/>
            <w:szCs w:val="18"/>
          </w:rPr>
          <w:t>1</w:t>
        </w:r>
        <w:r w:rsidRPr="00A36CD7">
          <w:rPr>
            <w:noProof/>
            <w:sz w:val="18"/>
            <w:szCs w:val="18"/>
          </w:rPr>
          <w:fldChar w:fldCharType="end"/>
        </w:r>
      </w:p>
    </w:sdtContent>
  </w:sdt>
  <w:p w14:paraId="53A836F1" w14:textId="77777777" w:rsidR="002C71AE" w:rsidRPr="00ED79B6" w:rsidRDefault="002C71AE"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DD366" w14:textId="77777777" w:rsidR="009B6111" w:rsidRDefault="009B6111" w:rsidP="0048364F">
      <w:pPr>
        <w:spacing w:line="240" w:lineRule="auto"/>
      </w:pPr>
      <w:r>
        <w:separator/>
      </w:r>
    </w:p>
  </w:footnote>
  <w:footnote w:type="continuationSeparator" w:id="0">
    <w:p w14:paraId="4FC4A73B" w14:textId="77777777" w:rsidR="009B6111" w:rsidRDefault="009B6111"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F27EC" w14:textId="638C0BDE" w:rsidR="001E51FE" w:rsidRPr="00486185" w:rsidRDefault="001E51FE" w:rsidP="00486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85228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00DE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9CE2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76F7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864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6281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8FE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0CD0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5E81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F85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DF2C0E"/>
    <w:multiLevelType w:val="hybridMultilevel"/>
    <w:tmpl w:val="C624E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03710E"/>
    <w:multiLevelType w:val="hybridMultilevel"/>
    <w:tmpl w:val="6F7076BC"/>
    <w:styleLink w:val="OPCBodyList"/>
    <w:lvl w:ilvl="0" w:tplc="EDD0FD74">
      <w:start w:val="1"/>
      <w:numFmt w:val="decimal"/>
      <w:pStyle w:val="BodyNum"/>
      <w:lvlText w:val="%1"/>
      <w:lvlJc w:val="left"/>
      <w:pPr>
        <w:tabs>
          <w:tab w:val="num" w:pos="720"/>
        </w:tabs>
        <w:ind w:left="0" w:firstLine="0"/>
      </w:pPr>
      <w:rPr>
        <w:rFonts w:hint="default"/>
      </w:rPr>
    </w:lvl>
    <w:lvl w:ilvl="1" w:tplc="14B25948">
      <w:start w:val="1"/>
      <w:numFmt w:val="lowerLetter"/>
      <w:pStyle w:val="BodyPara"/>
      <w:lvlText w:val="(%2)"/>
      <w:lvlJc w:val="left"/>
      <w:pPr>
        <w:tabs>
          <w:tab w:val="num" w:pos="1440"/>
        </w:tabs>
        <w:ind w:left="1440" w:hanging="720"/>
      </w:pPr>
      <w:rPr>
        <w:rFonts w:hint="default"/>
      </w:rPr>
    </w:lvl>
    <w:lvl w:ilvl="2" w:tplc="91F283FC">
      <w:start w:val="1"/>
      <w:numFmt w:val="bullet"/>
      <w:lvlText w:val=""/>
      <w:lvlJc w:val="left"/>
      <w:pPr>
        <w:tabs>
          <w:tab w:val="num" w:pos="1440"/>
        </w:tabs>
        <w:ind w:left="1440" w:hanging="720"/>
      </w:pPr>
      <w:rPr>
        <w:rFonts w:ascii="Symbol" w:hAnsi="Symbol" w:hint="default"/>
      </w:rPr>
    </w:lvl>
    <w:lvl w:ilvl="3" w:tplc="D2FCCBE8">
      <w:start w:val="1"/>
      <w:numFmt w:val="lowerRoman"/>
      <w:lvlText w:val="(%4)"/>
      <w:lvlJc w:val="left"/>
      <w:pPr>
        <w:tabs>
          <w:tab w:val="num" w:pos="2160"/>
        </w:tabs>
        <w:ind w:left="2160" w:hanging="720"/>
      </w:pPr>
      <w:rPr>
        <w:rFonts w:hint="default"/>
      </w:rPr>
    </w:lvl>
    <w:lvl w:ilvl="4" w:tplc="3F5CF6D2">
      <w:start w:val="1"/>
      <w:numFmt w:val="lowerLetter"/>
      <w:lvlText w:val="(%5)"/>
      <w:lvlJc w:val="left"/>
      <w:pPr>
        <w:ind w:left="1800" w:hanging="360"/>
      </w:pPr>
      <w:rPr>
        <w:rFonts w:hint="default"/>
      </w:rPr>
    </w:lvl>
    <w:lvl w:ilvl="5" w:tplc="7AAC74A6">
      <w:start w:val="1"/>
      <w:numFmt w:val="lowerRoman"/>
      <w:lvlText w:val="(%6)"/>
      <w:lvlJc w:val="left"/>
      <w:pPr>
        <w:ind w:left="2160" w:hanging="360"/>
      </w:pPr>
      <w:rPr>
        <w:rFonts w:hint="default"/>
      </w:rPr>
    </w:lvl>
    <w:lvl w:ilvl="6" w:tplc="72943198">
      <w:start w:val="1"/>
      <w:numFmt w:val="decimal"/>
      <w:lvlText w:val="%7."/>
      <w:lvlJc w:val="left"/>
      <w:pPr>
        <w:ind w:left="2520" w:hanging="360"/>
      </w:pPr>
      <w:rPr>
        <w:rFonts w:hint="default"/>
      </w:rPr>
    </w:lvl>
    <w:lvl w:ilvl="7" w:tplc="1DCC5D16">
      <w:start w:val="1"/>
      <w:numFmt w:val="lowerLetter"/>
      <w:lvlText w:val="%8."/>
      <w:lvlJc w:val="left"/>
      <w:pPr>
        <w:ind w:left="2880" w:hanging="360"/>
      </w:pPr>
      <w:rPr>
        <w:rFonts w:hint="default"/>
      </w:rPr>
    </w:lvl>
    <w:lvl w:ilvl="8" w:tplc="6E703288">
      <w:start w:val="1"/>
      <w:numFmt w:val="lowerRoman"/>
      <w:lvlText w:val="%9."/>
      <w:lvlJc w:val="left"/>
      <w:pPr>
        <w:ind w:left="3240" w:hanging="360"/>
      </w:pPr>
      <w:rPr>
        <w:rFonts w:hint="default"/>
      </w:rPr>
    </w:lvl>
  </w:abstractNum>
  <w:abstractNum w:abstractNumId="13" w15:restartNumberingAfterBreak="0">
    <w:nsid w:val="23F226CA"/>
    <w:multiLevelType w:val="hybridMultilevel"/>
    <w:tmpl w:val="99C251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E372AB0"/>
    <w:multiLevelType w:val="hybridMultilevel"/>
    <w:tmpl w:val="A7588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D7B4757"/>
    <w:multiLevelType w:val="hybridMultilevel"/>
    <w:tmpl w:val="2B8CE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D821AC"/>
    <w:multiLevelType w:val="hybridMultilevel"/>
    <w:tmpl w:val="1D50E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4A4ED3"/>
    <w:multiLevelType w:val="hybridMultilevel"/>
    <w:tmpl w:val="7D524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BBF7794"/>
    <w:multiLevelType w:val="hybridMultilevel"/>
    <w:tmpl w:val="8F345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D824EA"/>
    <w:multiLevelType w:val="hybridMultilevel"/>
    <w:tmpl w:val="B9161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0"/>
  </w:num>
  <w:num w:numId="13">
    <w:abstractNumId w:val="12"/>
  </w:num>
  <w:num w:numId="14">
    <w:abstractNumId w:val="17"/>
  </w:num>
  <w:num w:numId="15">
    <w:abstractNumId w:val="20"/>
  </w:num>
  <w:num w:numId="16">
    <w:abstractNumId w:val="18"/>
  </w:num>
  <w:num w:numId="17">
    <w:abstractNumId w:val="11"/>
  </w:num>
  <w:num w:numId="18">
    <w:abstractNumId w:val="16"/>
  </w:num>
  <w:num w:numId="19">
    <w:abstractNumId w:val="14"/>
  </w:num>
  <w:num w:numId="20">
    <w:abstractNumId w:val="1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06B"/>
    <w:rsid w:val="00000263"/>
    <w:rsid w:val="000113BC"/>
    <w:rsid w:val="000136AF"/>
    <w:rsid w:val="00034420"/>
    <w:rsid w:val="0004044E"/>
    <w:rsid w:val="00050390"/>
    <w:rsid w:val="0005120E"/>
    <w:rsid w:val="00054577"/>
    <w:rsid w:val="000614BF"/>
    <w:rsid w:val="0007169C"/>
    <w:rsid w:val="00077593"/>
    <w:rsid w:val="0008037A"/>
    <w:rsid w:val="00083F48"/>
    <w:rsid w:val="000A479A"/>
    <w:rsid w:val="000A7DF9"/>
    <w:rsid w:val="000C3AA3"/>
    <w:rsid w:val="000C696D"/>
    <w:rsid w:val="000D05EF"/>
    <w:rsid w:val="000D3FB9"/>
    <w:rsid w:val="000D5485"/>
    <w:rsid w:val="000E4EC7"/>
    <w:rsid w:val="000E598E"/>
    <w:rsid w:val="000E5A3D"/>
    <w:rsid w:val="000F0ADA"/>
    <w:rsid w:val="000F21C1"/>
    <w:rsid w:val="0010745C"/>
    <w:rsid w:val="001122FF"/>
    <w:rsid w:val="00116410"/>
    <w:rsid w:val="00160BD7"/>
    <w:rsid w:val="001643C9"/>
    <w:rsid w:val="00164901"/>
    <w:rsid w:val="00165568"/>
    <w:rsid w:val="00166082"/>
    <w:rsid w:val="00166C2F"/>
    <w:rsid w:val="001716C9"/>
    <w:rsid w:val="00184261"/>
    <w:rsid w:val="00193461"/>
    <w:rsid w:val="001939E1"/>
    <w:rsid w:val="0019452E"/>
    <w:rsid w:val="00195382"/>
    <w:rsid w:val="001A3B9F"/>
    <w:rsid w:val="001A5520"/>
    <w:rsid w:val="001A65C0"/>
    <w:rsid w:val="001B7A5D"/>
    <w:rsid w:val="001C69C4"/>
    <w:rsid w:val="001D6B30"/>
    <w:rsid w:val="001D75D3"/>
    <w:rsid w:val="001E0A8D"/>
    <w:rsid w:val="001E3590"/>
    <w:rsid w:val="001E51FE"/>
    <w:rsid w:val="001E7407"/>
    <w:rsid w:val="001F1A46"/>
    <w:rsid w:val="00201D27"/>
    <w:rsid w:val="0021153A"/>
    <w:rsid w:val="0021243D"/>
    <w:rsid w:val="0022229F"/>
    <w:rsid w:val="002245A6"/>
    <w:rsid w:val="002302EA"/>
    <w:rsid w:val="00237614"/>
    <w:rsid w:val="00240749"/>
    <w:rsid w:val="002468D7"/>
    <w:rsid w:val="00247E97"/>
    <w:rsid w:val="00255473"/>
    <w:rsid w:val="00256C81"/>
    <w:rsid w:val="00285CDD"/>
    <w:rsid w:val="00290F1C"/>
    <w:rsid w:val="00291167"/>
    <w:rsid w:val="0029489E"/>
    <w:rsid w:val="00297ECB"/>
    <w:rsid w:val="002A3EC7"/>
    <w:rsid w:val="002B1B7A"/>
    <w:rsid w:val="002C152A"/>
    <w:rsid w:val="002C71AE"/>
    <w:rsid w:val="002D043A"/>
    <w:rsid w:val="0031713F"/>
    <w:rsid w:val="003222D1"/>
    <w:rsid w:val="00322560"/>
    <w:rsid w:val="0032750F"/>
    <w:rsid w:val="003415D3"/>
    <w:rsid w:val="003442F6"/>
    <w:rsid w:val="00346335"/>
    <w:rsid w:val="00352B0F"/>
    <w:rsid w:val="003561B0"/>
    <w:rsid w:val="00372E78"/>
    <w:rsid w:val="00397893"/>
    <w:rsid w:val="003A15AC"/>
    <w:rsid w:val="003B0627"/>
    <w:rsid w:val="003C5F2B"/>
    <w:rsid w:val="003C7D35"/>
    <w:rsid w:val="003D0BFE"/>
    <w:rsid w:val="003D5700"/>
    <w:rsid w:val="003F506B"/>
    <w:rsid w:val="003F6F52"/>
    <w:rsid w:val="004022CA"/>
    <w:rsid w:val="004116CD"/>
    <w:rsid w:val="0041389F"/>
    <w:rsid w:val="00414ADE"/>
    <w:rsid w:val="00417CDA"/>
    <w:rsid w:val="00424CA9"/>
    <w:rsid w:val="004257BB"/>
    <w:rsid w:val="0044291A"/>
    <w:rsid w:val="004600B0"/>
    <w:rsid w:val="00460499"/>
    <w:rsid w:val="00460FBA"/>
    <w:rsid w:val="00470B1E"/>
    <w:rsid w:val="00474835"/>
    <w:rsid w:val="004819C7"/>
    <w:rsid w:val="0048364F"/>
    <w:rsid w:val="004840EA"/>
    <w:rsid w:val="00486185"/>
    <w:rsid w:val="004877FC"/>
    <w:rsid w:val="00490F2E"/>
    <w:rsid w:val="00496F97"/>
    <w:rsid w:val="004A53EA"/>
    <w:rsid w:val="004B35E7"/>
    <w:rsid w:val="004C5A5D"/>
    <w:rsid w:val="004F1FAC"/>
    <w:rsid w:val="004F676E"/>
    <w:rsid w:val="004F71C0"/>
    <w:rsid w:val="00506A01"/>
    <w:rsid w:val="00516B8D"/>
    <w:rsid w:val="00516D3D"/>
    <w:rsid w:val="0052756C"/>
    <w:rsid w:val="00530230"/>
    <w:rsid w:val="00530CC9"/>
    <w:rsid w:val="00531B46"/>
    <w:rsid w:val="005320C4"/>
    <w:rsid w:val="00537FBC"/>
    <w:rsid w:val="00541D73"/>
    <w:rsid w:val="00543469"/>
    <w:rsid w:val="00546FA3"/>
    <w:rsid w:val="00557413"/>
    <w:rsid w:val="00557C7A"/>
    <w:rsid w:val="00557F41"/>
    <w:rsid w:val="00562A58"/>
    <w:rsid w:val="0056541A"/>
    <w:rsid w:val="005803CD"/>
    <w:rsid w:val="00581211"/>
    <w:rsid w:val="00584811"/>
    <w:rsid w:val="00593AA6"/>
    <w:rsid w:val="00594161"/>
    <w:rsid w:val="00594749"/>
    <w:rsid w:val="00594956"/>
    <w:rsid w:val="005B1555"/>
    <w:rsid w:val="005B4067"/>
    <w:rsid w:val="005C0A34"/>
    <w:rsid w:val="005C3F41"/>
    <w:rsid w:val="005C4EF0"/>
    <w:rsid w:val="005D1A20"/>
    <w:rsid w:val="005D5EA1"/>
    <w:rsid w:val="005E098C"/>
    <w:rsid w:val="005E1F8D"/>
    <w:rsid w:val="005E317F"/>
    <w:rsid w:val="005E61D3"/>
    <w:rsid w:val="005F030E"/>
    <w:rsid w:val="00600219"/>
    <w:rsid w:val="006065DA"/>
    <w:rsid w:val="00606AA4"/>
    <w:rsid w:val="0061058B"/>
    <w:rsid w:val="00620D8C"/>
    <w:rsid w:val="006252AD"/>
    <w:rsid w:val="00640402"/>
    <w:rsid w:val="00640F78"/>
    <w:rsid w:val="006422B7"/>
    <w:rsid w:val="00655D6A"/>
    <w:rsid w:val="00656DE9"/>
    <w:rsid w:val="00672876"/>
    <w:rsid w:val="00677CC2"/>
    <w:rsid w:val="00682847"/>
    <w:rsid w:val="00685F42"/>
    <w:rsid w:val="0069207B"/>
    <w:rsid w:val="00697CB2"/>
    <w:rsid w:val="006A297B"/>
    <w:rsid w:val="006A304E"/>
    <w:rsid w:val="006B7006"/>
    <w:rsid w:val="006B7FE3"/>
    <w:rsid w:val="006C7F8C"/>
    <w:rsid w:val="006D7AB9"/>
    <w:rsid w:val="00700B2C"/>
    <w:rsid w:val="00713084"/>
    <w:rsid w:val="00717463"/>
    <w:rsid w:val="00720FC2"/>
    <w:rsid w:val="00722E89"/>
    <w:rsid w:val="00724541"/>
    <w:rsid w:val="00731E00"/>
    <w:rsid w:val="007339C7"/>
    <w:rsid w:val="00737505"/>
    <w:rsid w:val="007440B7"/>
    <w:rsid w:val="00747993"/>
    <w:rsid w:val="007551C1"/>
    <w:rsid w:val="007634AD"/>
    <w:rsid w:val="007715C9"/>
    <w:rsid w:val="00774EDD"/>
    <w:rsid w:val="007753AD"/>
    <w:rsid w:val="007757EC"/>
    <w:rsid w:val="007952E9"/>
    <w:rsid w:val="007A6863"/>
    <w:rsid w:val="007B1824"/>
    <w:rsid w:val="007B51E4"/>
    <w:rsid w:val="007B6B0F"/>
    <w:rsid w:val="007B7E65"/>
    <w:rsid w:val="007C78B4"/>
    <w:rsid w:val="007E0853"/>
    <w:rsid w:val="007E32B6"/>
    <w:rsid w:val="007E3976"/>
    <w:rsid w:val="007E486B"/>
    <w:rsid w:val="007E7D4A"/>
    <w:rsid w:val="007F48ED"/>
    <w:rsid w:val="007F5E3F"/>
    <w:rsid w:val="00812F45"/>
    <w:rsid w:val="008278DA"/>
    <w:rsid w:val="00836FE9"/>
    <w:rsid w:val="0084172C"/>
    <w:rsid w:val="008417DF"/>
    <w:rsid w:val="0085175E"/>
    <w:rsid w:val="00856A31"/>
    <w:rsid w:val="00864A66"/>
    <w:rsid w:val="008754D0"/>
    <w:rsid w:val="00877C69"/>
    <w:rsid w:val="00877D48"/>
    <w:rsid w:val="0088345B"/>
    <w:rsid w:val="008A16A5"/>
    <w:rsid w:val="008A5C57"/>
    <w:rsid w:val="008B54B2"/>
    <w:rsid w:val="008C0629"/>
    <w:rsid w:val="008C6FF0"/>
    <w:rsid w:val="008D0EE0"/>
    <w:rsid w:val="008D7A27"/>
    <w:rsid w:val="008E4702"/>
    <w:rsid w:val="008E69AA"/>
    <w:rsid w:val="008E768D"/>
    <w:rsid w:val="008F4F1C"/>
    <w:rsid w:val="009069AD"/>
    <w:rsid w:val="00910E64"/>
    <w:rsid w:val="00922764"/>
    <w:rsid w:val="00922971"/>
    <w:rsid w:val="009278C1"/>
    <w:rsid w:val="00932377"/>
    <w:rsid w:val="009346E3"/>
    <w:rsid w:val="0094523D"/>
    <w:rsid w:val="00976A63"/>
    <w:rsid w:val="00991733"/>
    <w:rsid w:val="009A6866"/>
    <w:rsid w:val="009B2490"/>
    <w:rsid w:val="009B50E5"/>
    <w:rsid w:val="009B6111"/>
    <w:rsid w:val="009C3431"/>
    <w:rsid w:val="009C5989"/>
    <w:rsid w:val="009C6A32"/>
    <w:rsid w:val="009D08DA"/>
    <w:rsid w:val="009F1229"/>
    <w:rsid w:val="009F1707"/>
    <w:rsid w:val="00A003BB"/>
    <w:rsid w:val="00A06860"/>
    <w:rsid w:val="00A07DDE"/>
    <w:rsid w:val="00A136F5"/>
    <w:rsid w:val="00A2047D"/>
    <w:rsid w:val="00A231E2"/>
    <w:rsid w:val="00A2550D"/>
    <w:rsid w:val="00A36CD7"/>
    <w:rsid w:val="00A379BB"/>
    <w:rsid w:val="00A4169B"/>
    <w:rsid w:val="00A44F44"/>
    <w:rsid w:val="00A50D55"/>
    <w:rsid w:val="00A52FDA"/>
    <w:rsid w:val="00A575F1"/>
    <w:rsid w:val="00A6282F"/>
    <w:rsid w:val="00A6327D"/>
    <w:rsid w:val="00A64912"/>
    <w:rsid w:val="00A70A74"/>
    <w:rsid w:val="00A905DB"/>
    <w:rsid w:val="00A9231A"/>
    <w:rsid w:val="00A93CFA"/>
    <w:rsid w:val="00A95BC7"/>
    <w:rsid w:val="00AA0343"/>
    <w:rsid w:val="00AA0D47"/>
    <w:rsid w:val="00AA78CE"/>
    <w:rsid w:val="00AA7B26"/>
    <w:rsid w:val="00AB2B71"/>
    <w:rsid w:val="00AC767C"/>
    <w:rsid w:val="00AD3467"/>
    <w:rsid w:val="00AD5641"/>
    <w:rsid w:val="00AF33DB"/>
    <w:rsid w:val="00AF6E41"/>
    <w:rsid w:val="00B032D8"/>
    <w:rsid w:val="00B039C8"/>
    <w:rsid w:val="00B05D72"/>
    <w:rsid w:val="00B20990"/>
    <w:rsid w:val="00B23770"/>
    <w:rsid w:val="00B23FAF"/>
    <w:rsid w:val="00B26ED7"/>
    <w:rsid w:val="00B33B3C"/>
    <w:rsid w:val="00B40D74"/>
    <w:rsid w:val="00B42649"/>
    <w:rsid w:val="00B46467"/>
    <w:rsid w:val="00B516C8"/>
    <w:rsid w:val="00B52663"/>
    <w:rsid w:val="00B56DCB"/>
    <w:rsid w:val="00B61728"/>
    <w:rsid w:val="00B770D2"/>
    <w:rsid w:val="00B908E1"/>
    <w:rsid w:val="00B93516"/>
    <w:rsid w:val="00B96776"/>
    <w:rsid w:val="00B973E5"/>
    <w:rsid w:val="00BA0F45"/>
    <w:rsid w:val="00BA47A3"/>
    <w:rsid w:val="00BA5026"/>
    <w:rsid w:val="00BA7B5B"/>
    <w:rsid w:val="00BB6E79"/>
    <w:rsid w:val="00BC00AA"/>
    <w:rsid w:val="00BE42C5"/>
    <w:rsid w:val="00BE719A"/>
    <w:rsid w:val="00BE720A"/>
    <w:rsid w:val="00BF0723"/>
    <w:rsid w:val="00BF6650"/>
    <w:rsid w:val="00C067E5"/>
    <w:rsid w:val="00C164CA"/>
    <w:rsid w:val="00C26051"/>
    <w:rsid w:val="00C40348"/>
    <w:rsid w:val="00C42BF8"/>
    <w:rsid w:val="00C460AE"/>
    <w:rsid w:val="00C50043"/>
    <w:rsid w:val="00C5015F"/>
    <w:rsid w:val="00C50A0F"/>
    <w:rsid w:val="00C50F4A"/>
    <w:rsid w:val="00C72AFD"/>
    <w:rsid w:val="00C72D10"/>
    <w:rsid w:val="00C7573B"/>
    <w:rsid w:val="00C76CF3"/>
    <w:rsid w:val="00C93205"/>
    <w:rsid w:val="00C945DC"/>
    <w:rsid w:val="00CA7844"/>
    <w:rsid w:val="00CB5822"/>
    <w:rsid w:val="00CB58EF"/>
    <w:rsid w:val="00CC3872"/>
    <w:rsid w:val="00CE0A93"/>
    <w:rsid w:val="00CF0BB2"/>
    <w:rsid w:val="00CF7C4E"/>
    <w:rsid w:val="00D12B0D"/>
    <w:rsid w:val="00D13441"/>
    <w:rsid w:val="00D15A4D"/>
    <w:rsid w:val="00D211E0"/>
    <w:rsid w:val="00D243A3"/>
    <w:rsid w:val="00D33440"/>
    <w:rsid w:val="00D516AD"/>
    <w:rsid w:val="00D52EFE"/>
    <w:rsid w:val="00D55AEE"/>
    <w:rsid w:val="00D567A2"/>
    <w:rsid w:val="00D56A0D"/>
    <w:rsid w:val="00D63EF6"/>
    <w:rsid w:val="00D66518"/>
    <w:rsid w:val="00D70DFB"/>
    <w:rsid w:val="00D71EEA"/>
    <w:rsid w:val="00D735CD"/>
    <w:rsid w:val="00D766DF"/>
    <w:rsid w:val="00D84477"/>
    <w:rsid w:val="00D90841"/>
    <w:rsid w:val="00D94896"/>
    <w:rsid w:val="00D954D8"/>
    <w:rsid w:val="00DA2439"/>
    <w:rsid w:val="00DA6F05"/>
    <w:rsid w:val="00DB64FC"/>
    <w:rsid w:val="00DE149E"/>
    <w:rsid w:val="00E034DB"/>
    <w:rsid w:val="00E03661"/>
    <w:rsid w:val="00E05704"/>
    <w:rsid w:val="00E12F1A"/>
    <w:rsid w:val="00E14113"/>
    <w:rsid w:val="00E22935"/>
    <w:rsid w:val="00E232C6"/>
    <w:rsid w:val="00E26604"/>
    <w:rsid w:val="00E54292"/>
    <w:rsid w:val="00E54D2B"/>
    <w:rsid w:val="00E60191"/>
    <w:rsid w:val="00E74DC7"/>
    <w:rsid w:val="00E81ECD"/>
    <w:rsid w:val="00E86DED"/>
    <w:rsid w:val="00E87699"/>
    <w:rsid w:val="00E92E27"/>
    <w:rsid w:val="00E9586B"/>
    <w:rsid w:val="00E97334"/>
    <w:rsid w:val="00EB3A99"/>
    <w:rsid w:val="00EB65F8"/>
    <w:rsid w:val="00EC45EE"/>
    <w:rsid w:val="00EC7475"/>
    <w:rsid w:val="00ED4928"/>
    <w:rsid w:val="00EE3FFE"/>
    <w:rsid w:val="00EE57E8"/>
    <w:rsid w:val="00EE6190"/>
    <w:rsid w:val="00EF2E3A"/>
    <w:rsid w:val="00EF6402"/>
    <w:rsid w:val="00F047E2"/>
    <w:rsid w:val="00F04D57"/>
    <w:rsid w:val="00F078DC"/>
    <w:rsid w:val="00F13E86"/>
    <w:rsid w:val="00F20B52"/>
    <w:rsid w:val="00F32FCB"/>
    <w:rsid w:val="00F33523"/>
    <w:rsid w:val="00F530FD"/>
    <w:rsid w:val="00F5477B"/>
    <w:rsid w:val="00F677A9"/>
    <w:rsid w:val="00F774DD"/>
    <w:rsid w:val="00F8121C"/>
    <w:rsid w:val="00F84735"/>
    <w:rsid w:val="00F84CF5"/>
    <w:rsid w:val="00F8612E"/>
    <w:rsid w:val="00F94583"/>
    <w:rsid w:val="00FA083A"/>
    <w:rsid w:val="00FA420B"/>
    <w:rsid w:val="00FB6AEE"/>
    <w:rsid w:val="00FC3EAC"/>
    <w:rsid w:val="00FF39DE"/>
    <w:rsid w:val="1B0BDFBF"/>
    <w:rsid w:val="26C6BB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5B1FB"/>
  <w15:docId w15:val="{B22B057F-1E63-4E2A-9585-AE3F07D2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aliases w:val="Document/Determination Title"/>
    <w:basedOn w:val="Normal"/>
    <w:next w:val="Normal"/>
    <w:link w:val="Heading1Char"/>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Chapter"/>
    <w:basedOn w:val="Normal"/>
    <w:next w:val="Normal"/>
    <w:link w:val="Heading2Char"/>
    <w:uiPriority w:val="9"/>
    <w:unhideWhenUsed/>
    <w:qFormat/>
    <w:rsid w:val="004C5A5D"/>
    <w:pPr>
      <w:outlineLvl w:val="1"/>
    </w:pPr>
    <w:rPr>
      <w:rFonts w:ascii="Arial" w:eastAsia="Times New Roman" w:hAnsi="Arial" w:cs="Times New Roman"/>
      <w:b/>
      <w:sz w:val="30"/>
      <w:lang w:eastAsia="en-AU"/>
    </w:rPr>
  </w:style>
  <w:style w:type="paragraph" w:styleId="Heading3">
    <w:name w:val="heading 3"/>
    <w:aliases w:val="Part"/>
    <w:basedOn w:val="Normal"/>
    <w:next w:val="Normal"/>
    <w:link w:val="Heading3Char"/>
    <w:uiPriority w:val="9"/>
    <w:unhideWhenUsed/>
    <w:qFormat/>
    <w:rsid w:val="004C5A5D"/>
    <w:pPr>
      <w:keepNext/>
      <w:keepLines/>
      <w:spacing w:before="200"/>
      <w:outlineLvl w:val="2"/>
    </w:pPr>
    <w:rPr>
      <w:rFonts w:ascii="Arial Bold" w:eastAsia="Times New Roman" w:hAnsi="Arial Bold" w:cs="Times New Roman"/>
      <w:sz w:val="27"/>
      <w:lang w:eastAsia="en-AU"/>
    </w:rPr>
  </w:style>
  <w:style w:type="paragraph" w:styleId="Heading4">
    <w:name w:val="heading 4"/>
    <w:aliases w:val="Division"/>
    <w:basedOn w:val="Heading3"/>
    <w:next w:val="Normal"/>
    <w:link w:val="Heading4Char"/>
    <w:uiPriority w:val="9"/>
    <w:unhideWhenUsed/>
    <w:qFormat/>
    <w:rsid w:val="004C5A5D"/>
    <w:pPr>
      <w:outlineLvl w:val="3"/>
    </w:pPr>
    <w:rPr>
      <w:b/>
      <w:bCs/>
    </w:rPr>
  </w:style>
  <w:style w:type="paragraph" w:styleId="Heading5">
    <w:name w:val="heading 5"/>
    <w:aliases w:val="Clause/Block Label"/>
    <w:basedOn w:val="Normal"/>
    <w:next w:val="Normal"/>
    <w:link w:val="Heading5Char"/>
    <w:unhideWhenUsed/>
    <w:qFormat/>
    <w:rsid w:val="00991733"/>
    <w:pPr>
      <w:keepNext/>
      <w:keepLines/>
      <w:spacing w:before="360" w:after="120" w:line="240" w:lineRule="auto"/>
      <w:outlineLvl w:val="4"/>
    </w:pPr>
    <w:rPr>
      <w:rFonts w:ascii="Arial" w:eastAsiaTheme="majorEastAsia" w:hAnsi="Arial" w:cstheme="majorBidi"/>
      <w:b/>
    </w:rPr>
  </w:style>
  <w:style w:type="paragraph" w:styleId="Heading6">
    <w:name w:val="heading 6"/>
    <w:aliases w:val="ES-HRS Title"/>
    <w:basedOn w:val="ActHead7"/>
    <w:next w:val="Normal"/>
    <w:link w:val="Heading6Char"/>
    <w:qFormat/>
    <w:rsid w:val="009A6866"/>
    <w:pPr>
      <w:spacing w:after="280"/>
      <w:outlineLvl w:val="5"/>
    </w:pPr>
    <w:rPr>
      <w:rFonts w:ascii="Arial" w:hAnsi="Arial"/>
      <w:noProof/>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A3EC7"/>
    <w:pPr>
      <w:keepNext/>
      <w:keepLines/>
      <w:spacing w:before="280" w:line="240" w:lineRule="auto"/>
      <w:outlineLvl w:val="6"/>
    </w:pPr>
    <w:rPr>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A3EC7"/>
    <w:pPr>
      <w:keepNext/>
      <w:keepLines/>
      <w:spacing w:before="280" w:line="240" w:lineRule="auto"/>
      <w:ind w:left="1134" w:hanging="1134"/>
      <w:outlineLvl w:val="8"/>
    </w:pPr>
    <w:rPr>
      <w:rFonts w:ascii="Arial" w:hAnsi="Arial"/>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aliases w:val="ES-HRS Title Char"/>
    <w:basedOn w:val="DefaultParagraphFont"/>
    <w:link w:val="Heading6"/>
    <w:rsid w:val="009A6866"/>
    <w:rPr>
      <w:rFonts w:ascii="Arial" w:eastAsia="Times New Roman" w:hAnsi="Arial" w:cs="Times New Roman"/>
      <w:b/>
      <w:noProof/>
      <w:kern w:val="28"/>
      <w:sz w:val="28"/>
      <w:lang w:eastAsia="en-AU"/>
    </w:rPr>
  </w:style>
  <w:style w:type="character" w:customStyle="1" w:styleId="Heading1Char">
    <w:name w:val="Heading 1 Char"/>
    <w:aliases w:val="Document/Determination Title Char"/>
    <w:basedOn w:val="DefaultParagraphFont"/>
    <w:link w:val="Heading1"/>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Chapter Char"/>
    <w:basedOn w:val="DefaultParagraphFont"/>
    <w:link w:val="Heading2"/>
    <w:uiPriority w:val="9"/>
    <w:rsid w:val="004C5A5D"/>
    <w:rPr>
      <w:rFonts w:ascii="Arial" w:eastAsia="Times New Roman" w:hAnsi="Arial" w:cs="Times New Roman"/>
      <w:b/>
      <w:sz w:val="30"/>
      <w:lang w:eastAsia="en-AU"/>
    </w:rPr>
  </w:style>
  <w:style w:type="character" w:customStyle="1" w:styleId="Heading3Char">
    <w:name w:val="Heading 3 Char"/>
    <w:aliases w:val="Part Char"/>
    <w:basedOn w:val="DefaultParagraphFont"/>
    <w:link w:val="Heading3"/>
    <w:uiPriority w:val="9"/>
    <w:rsid w:val="004C5A5D"/>
    <w:rPr>
      <w:rFonts w:ascii="Arial Bold" w:eastAsia="Times New Roman" w:hAnsi="Arial Bold" w:cs="Times New Roman"/>
      <w:sz w:val="27"/>
      <w:lang w:eastAsia="en-AU"/>
    </w:rPr>
  </w:style>
  <w:style w:type="character" w:customStyle="1" w:styleId="Heading4Char">
    <w:name w:val="Heading 4 Char"/>
    <w:aliases w:val="Division Char"/>
    <w:basedOn w:val="DefaultParagraphFont"/>
    <w:link w:val="Heading4"/>
    <w:uiPriority w:val="9"/>
    <w:rsid w:val="004C5A5D"/>
    <w:rPr>
      <w:rFonts w:ascii="Arial Bold" w:eastAsia="Times New Roman" w:hAnsi="Arial Bold" w:cs="Times New Roman"/>
      <w:sz w:val="27"/>
      <w:lang w:eastAsia="en-AU"/>
    </w:rPr>
  </w:style>
  <w:style w:type="character" w:customStyle="1" w:styleId="Heading5Char">
    <w:name w:val="Heading 5 Char"/>
    <w:aliases w:val="Clause/Block Label Char"/>
    <w:basedOn w:val="DefaultParagraphFont"/>
    <w:link w:val="Heading5"/>
    <w:rsid w:val="00991733"/>
    <w:rPr>
      <w:rFonts w:ascii="Arial" w:eastAsiaTheme="majorEastAsia" w:hAnsi="Arial" w:cstheme="majorBidi"/>
      <w:b/>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paragraph" w:customStyle="1" w:styleId="Sectiontext">
    <w:name w:val="Section text"/>
    <w:basedOn w:val="Normal"/>
    <w:link w:val="SectiontextChar"/>
    <w:qFormat/>
    <w:rsid w:val="003F506B"/>
    <w:pPr>
      <w:spacing w:after="200" w:line="240" w:lineRule="auto"/>
    </w:pPr>
    <w:rPr>
      <w:rFonts w:ascii="Arial" w:eastAsia="Times New Roman" w:hAnsi="Arial" w:cs="Times New Roman"/>
      <w:sz w:val="20"/>
      <w:lang w:eastAsia="en-AU"/>
    </w:rPr>
  </w:style>
  <w:style w:type="character" w:customStyle="1" w:styleId="SectiontextChar">
    <w:name w:val="Section text Char"/>
    <w:basedOn w:val="DefaultParagraphFont"/>
    <w:link w:val="Sectiontext"/>
    <w:rsid w:val="003F506B"/>
    <w:rPr>
      <w:rFonts w:ascii="Arial" w:eastAsia="Times New Roman" w:hAnsi="Arial" w:cs="Times New Roman"/>
      <w:lang w:eastAsia="en-AU"/>
    </w:rPr>
  </w:style>
  <w:style w:type="character" w:styleId="CommentReference">
    <w:name w:val="annotation reference"/>
    <w:basedOn w:val="DefaultParagraphFont"/>
    <w:uiPriority w:val="99"/>
    <w:semiHidden/>
    <w:unhideWhenUsed/>
    <w:rsid w:val="00E86DED"/>
    <w:rPr>
      <w:sz w:val="16"/>
      <w:szCs w:val="16"/>
    </w:rPr>
  </w:style>
  <w:style w:type="paragraph" w:styleId="CommentText">
    <w:name w:val="annotation text"/>
    <w:basedOn w:val="Normal"/>
    <w:link w:val="CommentTextChar"/>
    <w:uiPriority w:val="99"/>
    <w:semiHidden/>
    <w:unhideWhenUsed/>
    <w:rsid w:val="00E86DED"/>
    <w:pPr>
      <w:spacing w:line="240" w:lineRule="auto"/>
    </w:pPr>
    <w:rPr>
      <w:sz w:val="20"/>
    </w:rPr>
  </w:style>
  <w:style w:type="character" w:customStyle="1" w:styleId="CommentTextChar">
    <w:name w:val="Comment Text Char"/>
    <w:basedOn w:val="DefaultParagraphFont"/>
    <w:link w:val="CommentText"/>
    <w:uiPriority w:val="99"/>
    <w:semiHidden/>
    <w:rsid w:val="00E86DED"/>
  </w:style>
  <w:style w:type="paragraph" w:styleId="CommentSubject">
    <w:name w:val="annotation subject"/>
    <w:basedOn w:val="CommentText"/>
    <w:next w:val="CommentText"/>
    <w:link w:val="CommentSubjectChar"/>
    <w:uiPriority w:val="99"/>
    <w:semiHidden/>
    <w:unhideWhenUsed/>
    <w:rsid w:val="00E86DED"/>
    <w:rPr>
      <w:b/>
      <w:bCs/>
    </w:rPr>
  </w:style>
  <w:style w:type="character" w:customStyle="1" w:styleId="CommentSubjectChar">
    <w:name w:val="Comment Subject Char"/>
    <w:basedOn w:val="CommentTextChar"/>
    <w:link w:val="CommentSubject"/>
    <w:uiPriority w:val="99"/>
    <w:semiHidden/>
    <w:rsid w:val="00E86DED"/>
    <w:rPr>
      <w:b/>
      <w:bCs/>
    </w:rPr>
  </w:style>
  <w:style w:type="paragraph" w:customStyle="1" w:styleId="TableHeaderArial">
    <w:name w:val="Table Header (Arial)"/>
    <w:basedOn w:val="Normal"/>
    <w:rsid w:val="004C5A5D"/>
    <w:pPr>
      <w:keepNext/>
      <w:keepLines/>
      <w:spacing w:before="40" w:after="20" w:line="240" w:lineRule="auto"/>
      <w:jc w:val="center"/>
    </w:pPr>
    <w:rPr>
      <w:rFonts w:ascii="Arial" w:eastAsia="Times New Roman" w:hAnsi="Arial" w:cs="Times New Roman"/>
      <w:b/>
      <w:sz w:val="20"/>
      <w:lang w:eastAsia="en-AU"/>
    </w:rPr>
  </w:style>
  <w:style w:type="paragraph" w:customStyle="1" w:styleId="TableTextArial-left">
    <w:name w:val="Table Text (Arial - left)"/>
    <w:basedOn w:val="Normal"/>
    <w:rsid w:val="004C5A5D"/>
    <w:pPr>
      <w:spacing w:before="20" w:after="20" w:line="240" w:lineRule="auto"/>
    </w:pPr>
    <w:rPr>
      <w:rFonts w:ascii="Arial" w:eastAsia="Times New Roman" w:hAnsi="Arial" w:cs="Times New Roman"/>
      <w:sz w:val="20"/>
      <w:lang w:eastAsia="en-AU"/>
    </w:rPr>
  </w:style>
  <w:style w:type="paragraph" w:customStyle="1" w:styleId="TableTextArial-ctrd">
    <w:name w:val="Table Text (Arial - ctrd)"/>
    <w:basedOn w:val="Normal"/>
    <w:rsid w:val="004C5A5D"/>
    <w:pPr>
      <w:widowControl w:val="0"/>
      <w:numPr>
        <w:ilvl w:val="12"/>
      </w:numPr>
      <w:spacing w:before="20" w:line="240" w:lineRule="auto"/>
      <w:jc w:val="center"/>
    </w:pPr>
    <w:rPr>
      <w:rFonts w:ascii="Arial" w:eastAsia="Times New Roman" w:hAnsi="Arial" w:cs="Times New Roman"/>
      <w:sz w:val="20"/>
      <w:lang w:eastAsia="en-AU"/>
    </w:rPr>
  </w:style>
  <w:style w:type="paragraph" w:customStyle="1" w:styleId="BlockText-PlainNoSpacing">
    <w:name w:val="Block Text - Plain (No Spacing)"/>
    <w:basedOn w:val="Normal"/>
    <w:link w:val="BlockText-PlainNoSpacingChar"/>
    <w:rsid w:val="000C696D"/>
    <w:pPr>
      <w:keepNext/>
      <w:keepLines/>
      <w:spacing w:before="20" w:after="20" w:line="240" w:lineRule="auto"/>
    </w:pPr>
    <w:rPr>
      <w:rFonts w:ascii="Arial" w:eastAsia="Times New Roman" w:hAnsi="Arial" w:cs="Times New Roman"/>
      <w:sz w:val="20"/>
      <w:lang w:eastAsia="en-AU"/>
    </w:rPr>
  </w:style>
  <w:style w:type="character" w:customStyle="1" w:styleId="BlockText-PlainNoSpacingChar">
    <w:name w:val="Block Text - Plain (No Spacing) Char"/>
    <w:link w:val="BlockText-PlainNoSpacing"/>
    <w:rsid w:val="000C696D"/>
    <w:rPr>
      <w:rFonts w:ascii="Arial" w:eastAsia="Times New Roman" w:hAnsi="Arial" w:cs="Times New Roman"/>
      <w:lang w:eastAsia="en-AU"/>
    </w:rPr>
  </w:style>
  <w:style w:type="character" w:styleId="PlaceholderText">
    <w:name w:val="Placeholder Text"/>
    <w:basedOn w:val="DefaultParagraphFont"/>
    <w:uiPriority w:val="99"/>
    <w:semiHidden/>
    <w:rsid w:val="007E3976"/>
    <w:rPr>
      <w:color w:val="808080"/>
    </w:rPr>
  </w:style>
  <w:style w:type="paragraph" w:customStyle="1" w:styleId="BlockText-Plain">
    <w:name w:val="Block Text- Plain"/>
    <w:basedOn w:val="Normal"/>
    <w:link w:val="BlockText-PlainChar"/>
    <w:rsid w:val="00BC00AA"/>
    <w:pPr>
      <w:spacing w:after="200" w:line="240" w:lineRule="auto"/>
    </w:pPr>
    <w:rPr>
      <w:rFonts w:ascii="Arial" w:eastAsia="Times New Roman" w:hAnsi="Arial" w:cs="Times New Roman"/>
      <w:sz w:val="20"/>
      <w:lang w:eastAsia="en-AU"/>
    </w:rPr>
  </w:style>
  <w:style w:type="character" w:customStyle="1" w:styleId="BlockText-PlainChar">
    <w:name w:val="Block Text- Plain Char"/>
    <w:basedOn w:val="DefaultParagraphFont"/>
    <w:link w:val="BlockText-Plain"/>
    <w:rsid w:val="00BC00AA"/>
    <w:rPr>
      <w:rFonts w:ascii="Arial" w:eastAsia="Times New Roman" w:hAnsi="Arial" w:cs="Times New Roman"/>
      <w:lang w:eastAsia="en-AU"/>
    </w:rPr>
  </w:style>
  <w:style w:type="character" w:styleId="Hyperlink">
    <w:name w:val="Hyperlink"/>
    <w:basedOn w:val="DefaultParagraphFont"/>
    <w:uiPriority w:val="99"/>
    <w:semiHidden/>
    <w:unhideWhenUsed/>
    <w:rsid w:val="00E036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84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F2025L00139/lates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mcculloch1\AppData\Local\Microsoft\Windows\INetCache\IE\3F7IOAGJ\template_-_amending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4956981-af34-43b5-9bb9-127b84748104" xsi:nil="true"/>
    <Drafter xmlns="d4956981-af34-43b5-9bb9-127b8474810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7A4D2AC3D9C944A3BA2E3956678696" ma:contentTypeVersion="19" ma:contentTypeDescription="Create a new document." ma:contentTypeScope="" ma:versionID="f16467a35a7962543327fd4c0ae2f62f">
  <xsd:schema xmlns:xsd="http://www.w3.org/2001/XMLSchema" xmlns:xs="http://www.w3.org/2001/XMLSchema" xmlns:p="http://schemas.microsoft.com/office/2006/metadata/properties" xmlns:ns2="d4956981-af34-43b5-9bb9-127b84748104" xmlns:ns3="8a6f563f-2bdb-41f3-82d1-8dc8753557f6" targetNamespace="http://schemas.microsoft.com/office/2006/metadata/properties" ma:root="true" ma:fieldsID="036868ca51fd2b2b108cb6a3e0e1af30" ns2:_="" ns3:_="">
    <xsd:import namespace="d4956981-af34-43b5-9bb9-127b84748104"/>
    <xsd:import namespace="8a6f563f-2bdb-41f3-82d1-8dc8753557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DateTaken" minOccurs="0"/>
                <xsd:element ref="ns2:_Flow_SignoffStatus" minOccurs="0"/>
                <xsd:element ref="ns2:MediaServiceLocation" minOccurs="0"/>
                <xsd:element ref="ns2:Draf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56981-af34-43b5-9bb9-127b84748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Drafter" ma:index="21" nillable="true" ma:displayName="Drafter" ma:format="Dropdown" ma:internalName="Drafter">
      <xsd:complexType>
        <xsd:complexContent>
          <xsd:extension base="dms:MultiChoice">
            <xsd:sequence>
              <xsd:element name="Value" maxOccurs="unbounded" minOccurs="0" nillable="true">
                <xsd:simpleType>
                  <xsd:restriction base="dms:Choice">
                    <xsd:enumeration value="Jeremy"/>
                    <xsd:enumeration value="Yvette"/>
                    <xsd:enumeration value="Debbie"/>
                    <xsd:enumeration value="Karen"/>
                    <xsd:enumeration value="Jenn"/>
                    <xsd:enumeration value="David"/>
                    <xsd:enumeration value="Michael"/>
                    <xsd:enumeration value="Lea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6f563f-2bdb-41f3-82d1-8dc8753557f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11F83-DD14-4CEE-AC23-8FE7D146EB58}">
  <ds:schemaRefs>
    <ds:schemaRef ds:uri="http://schemas.microsoft.com/office/2006/metadata/properties"/>
    <ds:schemaRef ds:uri="http://schemas.microsoft.com/office/infopath/2007/PartnerControls"/>
    <ds:schemaRef ds:uri="d4956981-af34-43b5-9bb9-127b84748104"/>
  </ds:schemaRefs>
</ds:datastoreItem>
</file>

<file path=customXml/itemProps2.xml><?xml version="1.0" encoding="utf-8"?>
<ds:datastoreItem xmlns:ds="http://schemas.openxmlformats.org/officeDocument/2006/customXml" ds:itemID="{90058D4B-7D34-4682-88AA-568606BEB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56981-af34-43b5-9bb9-127b84748104"/>
    <ds:schemaRef ds:uri="8a6f563f-2bdb-41f3-82d1-8dc875355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AE5566-4E0C-4E7D-9999-5C4E0E14F6C9}">
  <ds:schemaRefs>
    <ds:schemaRef ds:uri="http://schemas.microsoft.com/sharepoint/v3/contenttype/forms"/>
  </ds:schemaRefs>
</ds:datastoreItem>
</file>

<file path=customXml/itemProps4.xml><?xml version="1.0" encoding="utf-8"?>
<ds:datastoreItem xmlns:ds="http://schemas.openxmlformats.org/officeDocument/2006/customXml" ds:itemID="{EEBACB00-6563-48E1-9EDB-C7166CE80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template_-_amending_instrument.dotx</Template>
  <TotalTime>170</TotalTime>
  <Pages>4</Pages>
  <Words>1281</Words>
  <Characters>7304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McCulloch, Michael MR 1</dc:creator>
  <cp:lastModifiedBy>McCulloch, Michael MR 1</cp:lastModifiedBy>
  <cp:revision>45</cp:revision>
  <cp:lastPrinted>2025-06-02T22:33:00Z</cp:lastPrinted>
  <dcterms:created xsi:type="dcterms:W3CDTF">2020-02-12T02:58:00Z</dcterms:created>
  <dcterms:modified xsi:type="dcterms:W3CDTF">2025-06-03T01:16:00Z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BN102610707</vt:lpwstr>
  </property>
  <property fmtid="{D5CDD505-2E9C-101B-9397-08002B2CF9AE}" pid="4" name="Objective-Title">
    <vt:lpwstr>58B ES and HRS - Continuation bonus</vt:lpwstr>
  </property>
  <property fmtid="{D5CDD505-2E9C-101B-9397-08002B2CF9AE}" pid="5" name="Objective-Comment">
    <vt:lpwstr/>
  </property>
  <property fmtid="{D5CDD505-2E9C-101B-9397-08002B2CF9AE}" pid="6" name="Objective-CreationStamp">
    <vt:filetime>2025-05-29T06:37:44Z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2025-06-03T02:30:34Z</vt:filetime>
  </property>
  <property fmtid="{D5CDD505-2E9C-101B-9397-08002B2CF9AE}" pid="10" name="Objective-ModificationStamp">
    <vt:filetime>2025-06-03T02:30:34Z</vt:filetime>
  </property>
  <property fmtid="{D5CDD505-2E9C-101B-9397-08002B2CF9AE}" pid="11" name="Objective-Owner">
    <vt:lpwstr>McCulloch, Michael Mr 1</vt:lpwstr>
  </property>
  <property fmtid="{D5CDD505-2E9C-101B-9397-08002B2CF9AE}" pid="12" name="Objective-Path">
    <vt:lpwstr>Objective Global Folder - PROD:Defence Business Units:Associate Secretary Organisation:Defence People Group:DEPSEC - People Strategy Organisation:People Policy &amp; Development:PPEC : Personnel Policy and Employment Conditions:20 - Directorates:20 Drafting and Engagement:02. Legislative Drafting team:02. DE Instruments:01. Work Requests:58B - 2025 - Continuation Bonus:</vt:lpwstr>
  </property>
  <property fmtid="{D5CDD505-2E9C-101B-9397-08002B2CF9AE}" pid="13" name="Objective-Parent">
    <vt:lpwstr>58B - 2025 - Continuation Bonus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i4>7</vt:i4>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ocument Type [system]">
    <vt:lpwstr/>
  </property>
  <property fmtid="{D5CDD505-2E9C-101B-9397-08002B2CF9AE}" pid="22" name="ContentTypeId">
    <vt:lpwstr>0x010100897A4D2AC3D9C944A3BA2E3956678696</vt:lpwstr>
  </property>
  <property fmtid="{D5CDD505-2E9C-101B-9397-08002B2CF9AE}" pid="23" name="Objective-Reason for Security Classification Change [system]">
    <vt:lpwstr/>
  </property>
</Properties>
</file>