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3CA84" w14:textId="77777777" w:rsidR="008E15B9" w:rsidRPr="00EE7DD8" w:rsidRDefault="008E15B9" w:rsidP="008E15B9">
      <w:pPr>
        <w:jc w:val="center"/>
        <w:rPr>
          <w:rFonts w:cs="Times New Roman"/>
          <w:b/>
          <w:bCs/>
          <w:i/>
          <w:iCs/>
          <w:szCs w:val="24"/>
        </w:rPr>
      </w:pPr>
    </w:p>
    <w:p w14:paraId="37ECFBA0" w14:textId="77777777" w:rsidR="008E15B9" w:rsidRPr="00EE7DD8" w:rsidRDefault="008E15B9" w:rsidP="008E15B9">
      <w:pPr>
        <w:jc w:val="center"/>
        <w:rPr>
          <w:rFonts w:cs="Times New Roman"/>
          <w:b/>
          <w:bCs/>
          <w:i/>
          <w:iCs/>
          <w:szCs w:val="24"/>
        </w:rPr>
      </w:pPr>
    </w:p>
    <w:p w14:paraId="197E0284" w14:textId="77777777" w:rsidR="008E15B9" w:rsidRPr="00EE7DD8" w:rsidRDefault="008E15B9" w:rsidP="008E15B9">
      <w:pPr>
        <w:jc w:val="center"/>
        <w:rPr>
          <w:rFonts w:cs="Times New Roman"/>
          <w:b/>
          <w:bCs/>
          <w:i/>
          <w:iCs/>
          <w:szCs w:val="24"/>
        </w:rPr>
      </w:pPr>
    </w:p>
    <w:p w14:paraId="1233502E" w14:textId="77777777" w:rsidR="008E15B9" w:rsidRPr="00EE7DD8" w:rsidRDefault="008E15B9" w:rsidP="008E15B9">
      <w:pPr>
        <w:jc w:val="center"/>
        <w:rPr>
          <w:rFonts w:cs="Times New Roman"/>
          <w:b/>
          <w:bCs/>
          <w:i/>
          <w:iCs/>
          <w:szCs w:val="24"/>
        </w:rPr>
      </w:pPr>
    </w:p>
    <w:p w14:paraId="5597C076" w14:textId="77777777" w:rsidR="008E15B9" w:rsidRPr="00EE7DD8" w:rsidRDefault="008E15B9" w:rsidP="008E15B9">
      <w:pPr>
        <w:jc w:val="center"/>
        <w:rPr>
          <w:rFonts w:cs="Times New Roman"/>
          <w:b/>
          <w:bCs/>
          <w:i/>
          <w:iCs/>
          <w:szCs w:val="24"/>
        </w:rPr>
      </w:pPr>
    </w:p>
    <w:p w14:paraId="39BF6135" w14:textId="77777777" w:rsidR="008E15B9" w:rsidRPr="00EE7DD8" w:rsidRDefault="008E15B9" w:rsidP="008E15B9">
      <w:pPr>
        <w:jc w:val="center"/>
        <w:rPr>
          <w:rFonts w:cs="Times New Roman"/>
          <w:b/>
          <w:bCs/>
          <w:i/>
          <w:iCs/>
          <w:szCs w:val="24"/>
        </w:rPr>
      </w:pPr>
    </w:p>
    <w:p w14:paraId="7E010F22" w14:textId="77777777" w:rsidR="008E15B9" w:rsidRPr="00EE7DD8" w:rsidRDefault="008E15B9" w:rsidP="008E15B9">
      <w:pPr>
        <w:jc w:val="center"/>
        <w:rPr>
          <w:rFonts w:cs="Times New Roman"/>
          <w:b/>
          <w:bCs/>
          <w:i/>
          <w:iCs/>
          <w:szCs w:val="24"/>
        </w:rPr>
      </w:pPr>
    </w:p>
    <w:p w14:paraId="1B1D65FE" w14:textId="102E41DE" w:rsidR="006E14AC" w:rsidRPr="00EE7DD8" w:rsidRDefault="008E15B9" w:rsidP="006E14AC">
      <w:pPr>
        <w:jc w:val="center"/>
        <w:rPr>
          <w:rFonts w:cs="Times New Roman"/>
          <w:b/>
          <w:bCs/>
          <w:i/>
          <w:iCs/>
          <w:szCs w:val="24"/>
        </w:rPr>
      </w:pPr>
      <w:r w:rsidRPr="008E15B9">
        <w:rPr>
          <w:rFonts w:cs="Times New Roman"/>
          <w:b/>
          <w:bCs/>
          <w:i/>
          <w:iCs/>
          <w:caps/>
          <w:szCs w:val="24"/>
        </w:rPr>
        <w:t xml:space="preserve">Federal Circuit and Family Court of Australia (Division 2) (Family Law) Amendment </w:t>
      </w:r>
      <w:r w:rsidR="006E14AC" w:rsidRPr="00EE7DD8">
        <w:rPr>
          <w:rFonts w:cs="Times New Roman"/>
          <w:b/>
          <w:bCs/>
          <w:i/>
          <w:iCs/>
          <w:szCs w:val="24"/>
        </w:rPr>
        <w:t>(202</w:t>
      </w:r>
      <w:r w:rsidR="006E14AC">
        <w:rPr>
          <w:rFonts w:cs="Times New Roman"/>
          <w:b/>
          <w:bCs/>
          <w:i/>
          <w:iCs/>
          <w:szCs w:val="24"/>
        </w:rPr>
        <w:t>5</w:t>
      </w:r>
      <w:r w:rsidR="006E14AC" w:rsidRPr="00EE7DD8">
        <w:rPr>
          <w:rFonts w:cs="Times New Roman"/>
          <w:b/>
          <w:bCs/>
          <w:i/>
          <w:iCs/>
          <w:szCs w:val="24"/>
        </w:rPr>
        <w:t xml:space="preserve"> MEASURES NO.1) RULES 202</w:t>
      </w:r>
      <w:r w:rsidR="006E14AC">
        <w:rPr>
          <w:rFonts w:cs="Times New Roman"/>
          <w:b/>
          <w:bCs/>
          <w:i/>
          <w:iCs/>
          <w:szCs w:val="24"/>
        </w:rPr>
        <w:t>5</w:t>
      </w:r>
    </w:p>
    <w:p w14:paraId="07608172" w14:textId="77777777" w:rsidR="008E15B9" w:rsidRDefault="008E15B9" w:rsidP="008E15B9">
      <w:pPr>
        <w:jc w:val="center"/>
        <w:rPr>
          <w:rFonts w:cs="Times New Roman"/>
          <w:b/>
          <w:bCs/>
          <w:szCs w:val="24"/>
        </w:rPr>
      </w:pPr>
      <w:r w:rsidRPr="00EE7DD8">
        <w:rPr>
          <w:rFonts w:cs="Times New Roman"/>
          <w:b/>
          <w:bCs/>
          <w:szCs w:val="24"/>
        </w:rPr>
        <w:t>EXPLANATORY STATEMENT</w:t>
      </w:r>
    </w:p>
    <w:p w14:paraId="1C529722" w14:textId="77777777" w:rsidR="008E15B9" w:rsidRDefault="008E15B9">
      <w:pPr>
        <w:spacing w:line="276" w:lineRule="auto"/>
        <w:rPr>
          <w:rFonts w:cs="Times New Roman"/>
          <w:b/>
          <w:bCs/>
          <w:szCs w:val="24"/>
        </w:rPr>
      </w:pPr>
      <w:r>
        <w:rPr>
          <w:rFonts w:cs="Times New Roman"/>
          <w:b/>
          <w:bCs/>
          <w:szCs w:val="24"/>
        </w:rPr>
        <w:br w:type="page"/>
      </w:r>
    </w:p>
    <w:p w14:paraId="59E987B9" w14:textId="77777777" w:rsidR="006E14AC" w:rsidRPr="00567251" w:rsidRDefault="006E14AC" w:rsidP="00567251">
      <w:pPr>
        <w:rPr>
          <w:rFonts w:cs="Times New Roman"/>
          <w:szCs w:val="24"/>
        </w:rPr>
      </w:pPr>
      <w:r w:rsidRPr="00567251">
        <w:rPr>
          <w:rFonts w:cs="Times New Roman"/>
          <w:caps/>
          <w:szCs w:val="24"/>
        </w:rPr>
        <w:lastRenderedPageBreak/>
        <w:t xml:space="preserve">Federal Circuit and Family Court of Australia (Division 2) (Family Law) Amendment </w:t>
      </w:r>
      <w:r w:rsidRPr="00567251">
        <w:rPr>
          <w:rFonts w:cs="Times New Roman"/>
          <w:szCs w:val="24"/>
        </w:rPr>
        <w:t>(2025 MEASURES NO.1) RULES 2025</w:t>
      </w:r>
    </w:p>
    <w:p w14:paraId="741EA46D" w14:textId="77777777" w:rsidR="008E15B9" w:rsidRDefault="008E15B9" w:rsidP="008E15B9">
      <w:pPr>
        <w:rPr>
          <w:rFonts w:cs="Times New Roman"/>
          <w:bCs/>
          <w:caps/>
          <w:szCs w:val="24"/>
        </w:rPr>
      </w:pPr>
    </w:p>
    <w:p w14:paraId="5696E11B" w14:textId="77777777" w:rsidR="008E15B9" w:rsidRDefault="008E15B9" w:rsidP="008E15B9">
      <w:pPr>
        <w:rPr>
          <w:rFonts w:cs="Times New Roman"/>
          <w:b/>
          <w:bCs/>
          <w:caps/>
          <w:szCs w:val="24"/>
        </w:rPr>
      </w:pPr>
      <w:r>
        <w:rPr>
          <w:rFonts w:cs="Times New Roman"/>
          <w:b/>
          <w:bCs/>
          <w:caps/>
          <w:szCs w:val="24"/>
        </w:rPr>
        <w:t>EXPLANATORY STATEMENT</w:t>
      </w:r>
    </w:p>
    <w:p w14:paraId="7546BE38" w14:textId="77777777" w:rsidR="008E15B9" w:rsidRDefault="008E15B9" w:rsidP="008E15B9">
      <w:pPr>
        <w:rPr>
          <w:rFonts w:cs="Times New Roman"/>
          <w:b/>
          <w:bCs/>
          <w:caps/>
          <w:szCs w:val="24"/>
        </w:rPr>
      </w:pPr>
    </w:p>
    <w:p w14:paraId="35FC5C63" w14:textId="77777777" w:rsidR="007A027D" w:rsidRDefault="008E15B9">
      <w:pPr>
        <w:rPr>
          <w:rFonts w:cs="Times New Roman"/>
          <w:b/>
          <w:bCs/>
          <w:szCs w:val="24"/>
        </w:rPr>
      </w:pPr>
      <w:r>
        <w:rPr>
          <w:rFonts w:cs="Times New Roman"/>
          <w:b/>
          <w:bCs/>
          <w:szCs w:val="24"/>
        </w:rPr>
        <w:t>Issued by the authority of the Chief Judge of the Federal Circuit and Family Court of Australia (Division 2)</w:t>
      </w:r>
    </w:p>
    <w:p w14:paraId="2D710720" w14:textId="77777777" w:rsidR="008E15B9" w:rsidRPr="00EE7DD8" w:rsidRDefault="008E15B9" w:rsidP="008E15B9">
      <w:pPr>
        <w:jc w:val="both"/>
        <w:rPr>
          <w:rFonts w:cs="Times New Roman"/>
          <w:szCs w:val="24"/>
        </w:rPr>
      </w:pPr>
      <w:r w:rsidRPr="00EE7DD8">
        <w:rPr>
          <w:rFonts w:cs="Times New Roman"/>
          <w:szCs w:val="24"/>
        </w:rPr>
        <w:t xml:space="preserve">Section 8 of the </w:t>
      </w:r>
      <w:r w:rsidRPr="00EE7DD8">
        <w:rPr>
          <w:rFonts w:cs="Times New Roman"/>
          <w:i/>
          <w:iCs/>
          <w:szCs w:val="24"/>
        </w:rPr>
        <w:t>Federal Circuit and Family Court of Australia Act 2021</w:t>
      </w:r>
      <w:r w:rsidRPr="00EE7DD8">
        <w:rPr>
          <w:rFonts w:cs="Times New Roman"/>
          <w:szCs w:val="24"/>
        </w:rPr>
        <w:t xml:space="preserve"> (‘the FCFCOA Act’) provides that, from the commencement day of the FCFCOA Act, the Family Court of Australia </w:t>
      </w:r>
      <w:r w:rsidR="00CD2FF3">
        <w:rPr>
          <w:rFonts w:cs="Times New Roman"/>
          <w:szCs w:val="24"/>
        </w:rPr>
        <w:t>was</w:t>
      </w:r>
      <w:r w:rsidRPr="00EE7DD8">
        <w:rPr>
          <w:rFonts w:cs="Times New Roman"/>
          <w:szCs w:val="24"/>
        </w:rPr>
        <w:t xml:space="preserve"> continued in existence as the Federal Circuit and Family Court of Australia (Division 1) (‘the FCFCOA (Division 1)’) and that the Federal Circuit Court of Australia </w:t>
      </w:r>
      <w:r w:rsidR="00CD2FF3">
        <w:rPr>
          <w:rFonts w:cs="Times New Roman"/>
          <w:szCs w:val="24"/>
        </w:rPr>
        <w:t>was</w:t>
      </w:r>
      <w:r w:rsidRPr="00EE7DD8">
        <w:rPr>
          <w:rFonts w:cs="Times New Roman"/>
          <w:szCs w:val="24"/>
        </w:rPr>
        <w:t xml:space="preserve"> continue</w:t>
      </w:r>
      <w:r w:rsidR="00CD2FF3">
        <w:rPr>
          <w:rFonts w:cs="Times New Roman"/>
          <w:szCs w:val="24"/>
        </w:rPr>
        <w:t>d</w:t>
      </w:r>
      <w:r w:rsidRPr="00EE7DD8">
        <w:rPr>
          <w:rFonts w:cs="Times New Roman"/>
          <w:szCs w:val="24"/>
        </w:rPr>
        <w:t xml:space="preserve"> in existence as the Federal Circuit and Family Court of Australia (Division 2) (‘the FCFCOA (Division 2)’).</w:t>
      </w:r>
    </w:p>
    <w:p w14:paraId="642B2333" w14:textId="4D683D24" w:rsidR="008E15B9" w:rsidRPr="00EE7DD8" w:rsidRDefault="008E15B9" w:rsidP="008E15B9">
      <w:pPr>
        <w:jc w:val="both"/>
        <w:rPr>
          <w:rFonts w:cs="Times New Roman"/>
          <w:szCs w:val="24"/>
        </w:rPr>
      </w:pPr>
      <w:r>
        <w:rPr>
          <w:rFonts w:cs="Times New Roman"/>
          <w:szCs w:val="24"/>
        </w:rPr>
        <w:t>Section 217</w:t>
      </w:r>
      <w:r w:rsidRPr="00EE7DD8">
        <w:rPr>
          <w:rFonts w:cs="Times New Roman"/>
          <w:szCs w:val="24"/>
        </w:rPr>
        <w:t xml:space="preserve"> of the FCFCOA Act provides, among other things, that the </w:t>
      </w:r>
      <w:r>
        <w:rPr>
          <w:rFonts w:cs="Times New Roman"/>
          <w:szCs w:val="24"/>
        </w:rPr>
        <w:t>Judge</w:t>
      </w:r>
      <w:r w:rsidR="00155DDC">
        <w:rPr>
          <w:rFonts w:cs="Times New Roman"/>
          <w:szCs w:val="24"/>
        </w:rPr>
        <w:t>s</w:t>
      </w:r>
      <w:r>
        <w:rPr>
          <w:rFonts w:cs="Times New Roman"/>
          <w:szCs w:val="24"/>
        </w:rPr>
        <w:t xml:space="preserve"> of the FCFCOA (Division 2</w:t>
      </w:r>
      <w:r w:rsidRPr="00EE7DD8">
        <w:rPr>
          <w:rFonts w:cs="Times New Roman"/>
          <w:szCs w:val="24"/>
        </w:rPr>
        <w:t>)</w:t>
      </w:r>
      <w:r w:rsidR="00155DDC">
        <w:rPr>
          <w:rFonts w:cs="Times New Roman"/>
          <w:szCs w:val="24"/>
        </w:rPr>
        <w:t>, or a majority of them,</w:t>
      </w:r>
      <w:r w:rsidRPr="00EE7DD8">
        <w:rPr>
          <w:rFonts w:cs="Times New Roman"/>
          <w:szCs w:val="24"/>
        </w:rPr>
        <w:t xml:space="preserve"> may make Rules of Court providing for, or in relation to, the practice and procedure to be fo</w:t>
      </w:r>
      <w:r>
        <w:rPr>
          <w:rFonts w:cs="Times New Roman"/>
          <w:szCs w:val="24"/>
        </w:rPr>
        <w:t>llowed in the FCFCOA (Division 2</w:t>
      </w:r>
      <w:r w:rsidRPr="00EE7DD8">
        <w:rPr>
          <w:rFonts w:cs="Times New Roman"/>
          <w:szCs w:val="24"/>
        </w:rPr>
        <w:t xml:space="preserve">), as well as for all matters and things incidental to any such practice or procedure, </w:t>
      </w:r>
      <w:r>
        <w:rPr>
          <w:rFonts w:cs="Times New Roman"/>
          <w:szCs w:val="24"/>
        </w:rPr>
        <w:t>or that are necessary or convenient to be prescribed for the conduct of any business of the FCFCOA (Division 2).</w:t>
      </w:r>
    </w:p>
    <w:p w14:paraId="4D69AAD4" w14:textId="6E1B19B4" w:rsidR="009F3583" w:rsidRDefault="008E15B9" w:rsidP="008E15B9">
      <w:pPr>
        <w:jc w:val="both"/>
        <w:rPr>
          <w:rFonts w:cs="Times New Roman"/>
          <w:i/>
        </w:rPr>
      </w:pPr>
      <w:r w:rsidRPr="7E18B4DE">
        <w:rPr>
          <w:rFonts w:cs="Times New Roman"/>
        </w:rPr>
        <w:t xml:space="preserve">The Chief Judge made the </w:t>
      </w:r>
      <w:r w:rsidRPr="7E18B4DE">
        <w:rPr>
          <w:rFonts w:cs="Times New Roman"/>
          <w:i/>
        </w:rPr>
        <w:t xml:space="preserve">Federal Circuit and Family Court of Australia (Division 2) (Family Law) Rules 2021 </w:t>
      </w:r>
      <w:r w:rsidRPr="7E18B4DE">
        <w:rPr>
          <w:rFonts w:cs="Times New Roman"/>
        </w:rPr>
        <w:t xml:space="preserve">(‘the Rules’) on 26 August 2021. These amending rules, the </w:t>
      </w:r>
      <w:r w:rsidR="006E14AC" w:rsidRPr="7E18B4DE">
        <w:rPr>
          <w:rFonts w:cs="Times New Roman"/>
          <w:i/>
        </w:rPr>
        <w:t>Federal Circuit and Family Court of Australia (</w:t>
      </w:r>
      <w:r w:rsidR="382FC405" w:rsidRPr="490562BF">
        <w:rPr>
          <w:rFonts w:cs="Times New Roman"/>
          <w:i/>
          <w:iCs/>
        </w:rPr>
        <w:t xml:space="preserve">Division 2) </w:t>
      </w:r>
      <w:r w:rsidR="006E14AC" w:rsidRPr="490562BF">
        <w:rPr>
          <w:rFonts w:cs="Times New Roman"/>
          <w:i/>
          <w:iCs/>
        </w:rPr>
        <w:t>(</w:t>
      </w:r>
      <w:r w:rsidR="00567251" w:rsidRPr="7E18B4DE">
        <w:rPr>
          <w:rFonts w:cs="Times New Roman"/>
          <w:i/>
        </w:rPr>
        <w:t>F</w:t>
      </w:r>
      <w:r w:rsidR="006E14AC" w:rsidRPr="7E18B4DE">
        <w:rPr>
          <w:rFonts w:cs="Times New Roman"/>
          <w:i/>
        </w:rPr>
        <w:t xml:space="preserve">amily </w:t>
      </w:r>
      <w:r w:rsidR="00567251" w:rsidRPr="7E18B4DE">
        <w:rPr>
          <w:rFonts w:cs="Times New Roman"/>
          <w:i/>
        </w:rPr>
        <w:t>L</w:t>
      </w:r>
      <w:r w:rsidR="006E14AC" w:rsidRPr="7E18B4DE">
        <w:rPr>
          <w:rFonts w:cs="Times New Roman"/>
          <w:i/>
        </w:rPr>
        <w:t xml:space="preserve">aw) Amendment (2025 Measures No.1) </w:t>
      </w:r>
      <w:r w:rsidR="00567251" w:rsidRPr="7E18B4DE">
        <w:rPr>
          <w:rFonts w:cs="Times New Roman"/>
          <w:i/>
        </w:rPr>
        <w:t>Rules 2025</w:t>
      </w:r>
      <w:r w:rsidRPr="7E18B4DE">
        <w:rPr>
          <w:rFonts w:cs="Times New Roman"/>
          <w:i/>
        </w:rPr>
        <w:t xml:space="preserve"> </w:t>
      </w:r>
      <w:r w:rsidRPr="7E18B4DE">
        <w:rPr>
          <w:rFonts w:cs="Times New Roman"/>
        </w:rPr>
        <w:t>(‘the amendments’), have now been made to the Rules</w:t>
      </w:r>
      <w:r w:rsidR="00F85067">
        <w:rPr>
          <w:rFonts w:cs="Times New Roman"/>
        </w:rPr>
        <w:t>. The amendments</w:t>
      </w:r>
      <w:r w:rsidR="002E5FEE">
        <w:rPr>
          <w:rFonts w:cs="Times New Roman"/>
        </w:rPr>
        <w:t xml:space="preserve"> </w:t>
      </w:r>
      <w:r w:rsidR="00F85067">
        <w:rPr>
          <w:rFonts w:cs="Times New Roman"/>
        </w:rPr>
        <w:t>remove</w:t>
      </w:r>
      <w:r w:rsidR="00E4587E">
        <w:rPr>
          <w:rFonts w:cs="Times New Roman"/>
        </w:rPr>
        <w:t xml:space="preserve"> </w:t>
      </w:r>
      <w:r w:rsidR="00166C7A">
        <w:rPr>
          <w:rFonts w:cs="Times New Roman"/>
        </w:rPr>
        <w:t xml:space="preserve">items from the modification table </w:t>
      </w:r>
      <w:r w:rsidR="00667405">
        <w:rPr>
          <w:rFonts w:cs="Times New Roman"/>
        </w:rPr>
        <w:t xml:space="preserve">and </w:t>
      </w:r>
      <w:r w:rsidR="00F85067">
        <w:rPr>
          <w:rFonts w:cs="Times New Roman"/>
        </w:rPr>
        <w:t>update</w:t>
      </w:r>
      <w:r w:rsidR="00667405">
        <w:rPr>
          <w:rFonts w:cs="Times New Roman"/>
        </w:rPr>
        <w:t xml:space="preserve"> the </w:t>
      </w:r>
      <w:r w:rsidR="00177953">
        <w:rPr>
          <w:rFonts w:cs="Times New Roman"/>
        </w:rPr>
        <w:t xml:space="preserve">scale of costs in Schedule 1 to the Rules. </w:t>
      </w:r>
    </w:p>
    <w:p w14:paraId="1B9F3EAA" w14:textId="5F90B481" w:rsidR="008E15B9" w:rsidRPr="00EE7DD8" w:rsidRDefault="008E15B9" w:rsidP="008E15B9">
      <w:pPr>
        <w:jc w:val="both"/>
        <w:rPr>
          <w:rFonts w:cs="Times New Roman"/>
          <w:szCs w:val="24"/>
        </w:rPr>
      </w:pPr>
      <w:r>
        <w:rPr>
          <w:rFonts w:cs="Times New Roman"/>
          <w:szCs w:val="24"/>
        </w:rPr>
        <w:t>Subsection 217(3</w:t>
      </w:r>
      <w:r w:rsidRPr="00EE7DD8">
        <w:rPr>
          <w:rFonts w:cs="Times New Roman"/>
          <w:szCs w:val="24"/>
        </w:rPr>
        <w:t xml:space="preserve">) of the FCFCOA Act provides that the </w:t>
      </w:r>
      <w:r w:rsidRPr="00EE7DD8">
        <w:rPr>
          <w:rFonts w:cs="Times New Roman"/>
          <w:i/>
          <w:iCs/>
          <w:szCs w:val="24"/>
        </w:rPr>
        <w:t>Legislation Act 2003</w:t>
      </w:r>
      <w:r w:rsidRPr="00EE7DD8">
        <w:rPr>
          <w:rFonts w:cs="Times New Roman"/>
          <w:szCs w:val="24"/>
        </w:rPr>
        <w:t xml:space="preserve"> (Cth) (other than sections 8, 9, 10, 16 and Part 4 of Chapter 3) applies to rules of court. In this application, a reference to a legislative instrument in the </w:t>
      </w:r>
      <w:r w:rsidRPr="00EE7DD8">
        <w:rPr>
          <w:rFonts w:cs="Times New Roman"/>
          <w:i/>
          <w:szCs w:val="24"/>
        </w:rPr>
        <w:t xml:space="preserve">Legislation Act 2003 </w:t>
      </w:r>
      <w:r w:rsidRPr="00EE7DD8">
        <w:rPr>
          <w:rFonts w:cs="Times New Roman"/>
          <w:szCs w:val="24"/>
        </w:rPr>
        <w:t xml:space="preserve">(Cth) is to be read as a reference to a rule of court and a reference to a rule-maker as a reference to the Chief </w:t>
      </w:r>
      <w:r>
        <w:rPr>
          <w:rFonts w:cs="Times New Roman"/>
          <w:szCs w:val="24"/>
        </w:rPr>
        <w:t>Judge</w:t>
      </w:r>
      <w:r w:rsidRPr="00EE7DD8">
        <w:rPr>
          <w:rFonts w:cs="Times New Roman"/>
          <w:szCs w:val="24"/>
        </w:rPr>
        <w:t xml:space="preserve">. </w:t>
      </w:r>
    </w:p>
    <w:p w14:paraId="4733B209" w14:textId="77777777" w:rsidR="008E15B9" w:rsidRPr="00EE7DD8" w:rsidRDefault="008E15B9" w:rsidP="008E15B9">
      <w:pPr>
        <w:jc w:val="both"/>
        <w:rPr>
          <w:rFonts w:cs="Times New Roman"/>
          <w:szCs w:val="24"/>
        </w:rPr>
      </w:pPr>
      <w:r w:rsidRPr="00EE7DD8">
        <w:rPr>
          <w:rFonts w:cs="Times New Roman"/>
          <w:szCs w:val="24"/>
        </w:rPr>
        <w:t xml:space="preserve">The Court has proceeded on the basis that a statement of compatibility with human rights is not required to be included in an explanatory statement to rules of court, as whilst the FCFCOA Act applies the </w:t>
      </w:r>
      <w:r w:rsidRPr="00EE7DD8">
        <w:rPr>
          <w:rFonts w:cs="Times New Roman"/>
          <w:i/>
          <w:iCs/>
          <w:szCs w:val="24"/>
        </w:rPr>
        <w:t>Legislation Act 2003</w:t>
      </w:r>
      <w:r w:rsidRPr="00EE7DD8">
        <w:rPr>
          <w:rFonts w:cs="Times New Roman"/>
          <w:szCs w:val="24"/>
        </w:rPr>
        <w:t xml:space="preserve"> (Cth) to rules of court, it does not expressly translate a reference to a legislative instrument in legislation other than the </w:t>
      </w:r>
      <w:r w:rsidRPr="00EE7DD8">
        <w:rPr>
          <w:rFonts w:cs="Times New Roman"/>
          <w:i/>
          <w:iCs/>
          <w:szCs w:val="24"/>
        </w:rPr>
        <w:t>Legislation Act 2003</w:t>
      </w:r>
      <w:r w:rsidRPr="00EE7DD8">
        <w:rPr>
          <w:rFonts w:cs="Times New Roman"/>
          <w:szCs w:val="24"/>
        </w:rPr>
        <w:t xml:space="preserve"> (Cth) into a reference to rules of court, such as in the </w:t>
      </w:r>
      <w:r w:rsidRPr="00EE7DD8">
        <w:rPr>
          <w:rFonts w:cs="Times New Roman"/>
          <w:i/>
          <w:iCs/>
          <w:szCs w:val="24"/>
        </w:rPr>
        <w:t xml:space="preserve">Human Rights (Parliamentary Scrutiny) Act 2011 </w:t>
      </w:r>
      <w:r w:rsidRPr="00EE7DD8">
        <w:rPr>
          <w:rFonts w:cs="Times New Roman"/>
          <w:szCs w:val="24"/>
        </w:rPr>
        <w:t>(Cth).</w:t>
      </w:r>
    </w:p>
    <w:p w14:paraId="2541D88A" w14:textId="77777777" w:rsidR="008E15B9" w:rsidRDefault="008E15B9" w:rsidP="008E15B9">
      <w:pPr>
        <w:rPr>
          <w:rFonts w:cs="Times New Roman"/>
          <w:szCs w:val="24"/>
        </w:rPr>
      </w:pPr>
      <w:r w:rsidRPr="00EE7DD8">
        <w:rPr>
          <w:rFonts w:cs="Times New Roman"/>
          <w:szCs w:val="24"/>
        </w:rPr>
        <w:t xml:space="preserve">The Court notes that different views are held as to whether a statement of compatibility with human rights is formally required to be included in an explanatory statement to rules of court. </w:t>
      </w:r>
      <w:r w:rsidR="00CD2FF3">
        <w:rPr>
          <w:rFonts w:cs="Times New Roman"/>
          <w:szCs w:val="24"/>
        </w:rPr>
        <w:t>F</w:t>
      </w:r>
      <w:r w:rsidRPr="00EE7DD8">
        <w:rPr>
          <w:rFonts w:cs="Times New Roman"/>
          <w:szCs w:val="24"/>
        </w:rPr>
        <w:t>or the avoidance of doubt, a statement of compatibility with human rights is included below.</w:t>
      </w:r>
    </w:p>
    <w:p w14:paraId="6A1CF4BB" w14:textId="77777777" w:rsidR="003F47B3" w:rsidRPr="00EE7DD8" w:rsidRDefault="003F47B3" w:rsidP="003F47B3">
      <w:pPr>
        <w:jc w:val="center"/>
        <w:rPr>
          <w:rFonts w:cs="Times New Roman"/>
          <w:b/>
          <w:szCs w:val="24"/>
        </w:rPr>
      </w:pPr>
      <w:r w:rsidRPr="00EE7DD8">
        <w:rPr>
          <w:rFonts w:cs="Times New Roman"/>
          <w:b/>
          <w:szCs w:val="24"/>
        </w:rPr>
        <w:lastRenderedPageBreak/>
        <w:t>Statement of Compatibility with Human Rights</w:t>
      </w:r>
    </w:p>
    <w:p w14:paraId="73E59886" w14:textId="6CD05705" w:rsidR="003F47B3" w:rsidRDefault="003F47B3" w:rsidP="003F47B3">
      <w:pPr>
        <w:jc w:val="both"/>
        <w:rPr>
          <w:rFonts w:cs="Times New Roman"/>
          <w:b/>
        </w:rPr>
      </w:pPr>
      <w:r w:rsidRPr="07735E6D">
        <w:rPr>
          <w:rFonts w:cs="Times New Roman"/>
          <w:b/>
        </w:rPr>
        <w:t>Federal Circuit and Family Court of Australia (Division 2) (Family Law) Amendment</w:t>
      </w:r>
      <w:r w:rsidRPr="07735E6D" w:rsidDel="005B78C1">
        <w:rPr>
          <w:rFonts w:cs="Times New Roman"/>
          <w:b/>
        </w:rPr>
        <w:t xml:space="preserve"> </w:t>
      </w:r>
      <w:r w:rsidR="005B78C1" w:rsidRPr="07735E6D">
        <w:rPr>
          <w:rFonts w:cs="Times New Roman"/>
          <w:b/>
        </w:rPr>
        <w:t xml:space="preserve">(2025 Measures No.1) Rules </w:t>
      </w:r>
    </w:p>
    <w:p w14:paraId="4A1950C7" w14:textId="77777777" w:rsidR="003F47B3" w:rsidRDefault="003F47B3" w:rsidP="003F47B3">
      <w:pPr>
        <w:jc w:val="both"/>
        <w:rPr>
          <w:rFonts w:cs="Times New Roman"/>
          <w:szCs w:val="24"/>
        </w:rPr>
      </w:pPr>
      <w:r w:rsidRPr="00EE7DD8">
        <w:rPr>
          <w:rFonts w:cs="Times New Roman"/>
          <w:szCs w:val="24"/>
        </w:rPr>
        <w:t xml:space="preserve">This legislative instrument is compatible with the human rights and freedoms recognised or declared in the international instruments listed in section 3 of the </w:t>
      </w:r>
      <w:r w:rsidRPr="00EE7DD8">
        <w:rPr>
          <w:rFonts w:cs="Times New Roman"/>
          <w:i/>
          <w:szCs w:val="24"/>
        </w:rPr>
        <w:t xml:space="preserve">Human Rights (Parliamentary Scrutiny) Act 2011 </w:t>
      </w:r>
      <w:r w:rsidRPr="00EE7DD8">
        <w:rPr>
          <w:rFonts w:cs="Times New Roman"/>
          <w:szCs w:val="24"/>
        </w:rPr>
        <w:t>(Cth).</w:t>
      </w:r>
    </w:p>
    <w:p w14:paraId="483CC520" w14:textId="1C5CDF96" w:rsidR="003F47B3" w:rsidRDefault="003F47B3" w:rsidP="003F47B3">
      <w:pPr>
        <w:jc w:val="both"/>
        <w:rPr>
          <w:rFonts w:cs="Times New Roman"/>
          <w:szCs w:val="24"/>
        </w:rPr>
      </w:pPr>
      <w:r>
        <w:rPr>
          <w:rFonts w:cs="Times New Roman"/>
          <w:szCs w:val="24"/>
        </w:rPr>
        <w:t xml:space="preserve">The instrument </w:t>
      </w:r>
      <w:r w:rsidR="005B78C1">
        <w:rPr>
          <w:rFonts w:cs="Times New Roman"/>
          <w:szCs w:val="24"/>
        </w:rPr>
        <w:t xml:space="preserve">modifies the </w:t>
      </w:r>
      <w:r w:rsidR="00552881">
        <w:rPr>
          <w:rFonts w:cs="Times New Roman"/>
          <w:szCs w:val="24"/>
        </w:rPr>
        <w:t>Rules,</w:t>
      </w:r>
      <w:r w:rsidR="00B87396">
        <w:rPr>
          <w:rFonts w:cs="Times New Roman"/>
          <w:szCs w:val="24"/>
        </w:rPr>
        <w:t xml:space="preserve"> which largely adopt the </w:t>
      </w:r>
      <w:r w:rsidR="00417E7F">
        <w:rPr>
          <w:rFonts w:cs="Times New Roman"/>
          <w:szCs w:val="24"/>
        </w:rPr>
        <w:t xml:space="preserve"> </w:t>
      </w:r>
      <w:r w:rsidR="00B87396">
        <w:rPr>
          <w:rFonts w:cs="Times New Roman"/>
          <w:i/>
          <w:iCs/>
          <w:szCs w:val="24"/>
        </w:rPr>
        <w:t xml:space="preserve">Federal Circuit and Family Court of Australia (Family Law) Rules </w:t>
      </w:r>
      <w:r w:rsidR="00B87396" w:rsidRPr="00BD3088">
        <w:rPr>
          <w:rFonts w:cs="Times New Roman"/>
          <w:i/>
          <w:iCs/>
          <w:szCs w:val="24"/>
        </w:rPr>
        <w:t>2021</w:t>
      </w:r>
      <w:r w:rsidR="00B87396">
        <w:rPr>
          <w:rFonts w:cs="Times New Roman"/>
          <w:szCs w:val="24"/>
        </w:rPr>
        <w:t xml:space="preserve"> </w:t>
      </w:r>
      <w:r w:rsidR="00BD3088">
        <w:rPr>
          <w:rFonts w:cs="Times New Roman"/>
          <w:szCs w:val="24"/>
        </w:rPr>
        <w:t xml:space="preserve">(‘FCFCOA (Division 1) Rules’) </w:t>
      </w:r>
      <w:r w:rsidR="007C5028">
        <w:rPr>
          <w:rFonts w:cs="Times New Roman"/>
          <w:szCs w:val="24"/>
        </w:rPr>
        <w:t>by repealing</w:t>
      </w:r>
      <w:r w:rsidR="00567251">
        <w:rPr>
          <w:rFonts w:cs="Times New Roman"/>
          <w:szCs w:val="24"/>
        </w:rPr>
        <w:t xml:space="preserve"> </w:t>
      </w:r>
      <w:r w:rsidR="005B78C1">
        <w:rPr>
          <w:rFonts w:cs="Times New Roman"/>
          <w:szCs w:val="24"/>
        </w:rPr>
        <w:t xml:space="preserve">certain </w:t>
      </w:r>
      <w:r w:rsidR="003A5CE8">
        <w:rPr>
          <w:rFonts w:cs="Times New Roman"/>
          <w:szCs w:val="24"/>
        </w:rPr>
        <w:t xml:space="preserve">items </w:t>
      </w:r>
      <w:r w:rsidR="00567251">
        <w:rPr>
          <w:rFonts w:cs="Times New Roman"/>
          <w:szCs w:val="24"/>
        </w:rPr>
        <w:t xml:space="preserve">listed in </w:t>
      </w:r>
      <w:r w:rsidR="005B0E48">
        <w:rPr>
          <w:rFonts w:cs="Times New Roman"/>
          <w:szCs w:val="24"/>
        </w:rPr>
        <w:t>T</w:t>
      </w:r>
      <w:r w:rsidR="00567251">
        <w:rPr>
          <w:rFonts w:cs="Times New Roman"/>
          <w:szCs w:val="24"/>
        </w:rPr>
        <w:t xml:space="preserve">able 2.1 </w:t>
      </w:r>
      <w:r w:rsidR="005B0E48">
        <w:rPr>
          <w:rFonts w:cs="Times New Roman"/>
          <w:szCs w:val="24"/>
        </w:rPr>
        <w:t>under rule 2.02</w:t>
      </w:r>
      <w:r w:rsidR="00567251">
        <w:rPr>
          <w:rFonts w:cs="Times New Roman"/>
          <w:szCs w:val="24"/>
        </w:rPr>
        <w:t xml:space="preserve"> and</w:t>
      </w:r>
      <w:r w:rsidR="005B78C1">
        <w:rPr>
          <w:rFonts w:cs="Times New Roman"/>
          <w:szCs w:val="24"/>
        </w:rPr>
        <w:t xml:space="preserve"> </w:t>
      </w:r>
      <w:r>
        <w:rPr>
          <w:rFonts w:cs="Times New Roman"/>
          <w:szCs w:val="24"/>
        </w:rPr>
        <w:t>updat</w:t>
      </w:r>
      <w:r w:rsidR="00E7710F">
        <w:rPr>
          <w:rFonts w:cs="Times New Roman"/>
          <w:szCs w:val="24"/>
        </w:rPr>
        <w:t>ing</w:t>
      </w:r>
      <w:r>
        <w:rPr>
          <w:rFonts w:cs="Times New Roman"/>
          <w:szCs w:val="24"/>
        </w:rPr>
        <w:t xml:space="preserve"> the figures in the scale of costs in Schedule 1 to the Rules. </w:t>
      </w:r>
    </w:p>
    <w:p w14:paraId="39CA9F4C" w14:textId="0439987B" w:rsidR="00C145C5" w:rsidRPr="003F5AAF" w:rsidRDefault="00B841F2" w:rsidP="6DD27F1A">
      <w:pPr>
        <w:jc w:val="both"/>
        <w:rPr>
          <w:rFonts w:cs="Times New Roman"/>
        </w:rPr>
      </w:pPr>
      <w:r w:rsidRPr="6DD27F1A">
        <w:rPr>
          <w:rFonts w:cs="Times New Roman"/>
        </w:rPr>
        <w:t xml:space="preserve">Because the </w:t>
      </w:r>
      <w:r w:rsidR="003C4BB8" w:rsidRPr="6DD27F1A">
        <w:rPr>
          <w:rFonts w:cs="Times New Roman"/>
        </w:rPr>
        <w:t>Rules</w:t>
      </w:r>
      <w:r w:rsidR="00D97EFD" w:rsidRPr="6DD27F1A">
        <w:rPr>
          <w:rFonts w:cs="Times New Roman"/>
        </w:rPr>
        <w:t xml:space="preserve"> under rule 2.01</w:t>
      </w:r>
      <w:r w:rsidR="003C4BB8" w:rsidRPr="6DD27F1A">
        <w:rPr>
          <w:rFonts w:cs="Times New Roman"/>
        </w:rPr>
        <w:t xml:space="preserve"> largely adopt the </w:t>
      </w:r>
      <w:r w:rsidR="00BB60A5" w:rsidRPr="6DD27F1A">
        <w:rPr>
          <w:rFonts w:cs="Times New Roman"/>
        </w:rPr>
        <w:t>FCFCOA (Division 1) Rules</w:t>
      </w:r>
      <w:r w:rsidR="003C2AF4" w:rsidRPr="6DD27F1A">
        <w:rPr>
          <w:rFonts w:cs="Times New Roman"/>
        </w:rPr>
        <w:t>,</w:t>
      </w:r>
      <w:r w:rsidR="00ED5ACB">
        <w:rPr>
          <w:rFonts w:cs="Times New Roman"/>
        </w:rPr>
        <w:t xml:space="preserve"> which have concurrently been amended through the making of the </w:t>
      </w:r>
      <w:r w:rsidR="00ED5ACB" w:rsidRPr="7E18B4DE">
        <w:rPr>
          <w:rFonts w:cs="Times New Roman"/>
          <w:i/>
        </w:rPr>
        <w:t>Federal Circuit and Family Court of Australia</w:t>
      </w:r>
      <w:r w:rsidR="00ED5ACB" w:rsidRPr="490562BF">
        <w:rPr>
          <w:rFonts w:cs="Times New Roman"/>
          <w:i/>
          <w:iCs/>
        </w:rPr>
        <w:t xml:space="preserve"> (</w:t>
      </w:r>
      <w:r w:rsidR="00ED5ACB" w:rsidRPr="7E18B4DE">
        <w:rPr>
          <w:rFonts w:cs="Times New Roman"/>
          <w:i/>
        </w:rPr>
        <w:t>Family Law) Amendment (2025 Measures No.1) Rules 2025</w:t>
      </w:r>
      <w:r w:rsidR="00ED5ACB">
        <w:rPr>
          <w:rFonts w:cs="Times New Roman"/>
        </w:rPr>
        <w:t>,</w:t>
      </w:r>
      <w:r w:rsidR="003C2AF4" w:rsidRPr="6DD27F1A">
        <w:rPr>
          <w:rFonts w:cs="Times New Roman"/>
        </w:rPr>
        <w:t xml:space="preserve"> </w:t>
      </w:r>
      <w:r w:rsidR="00ED5ACB">
        <w:rPr>
          <w:rFonts w:cs="Times New Roman"/>
        </w:rPr>
        <w:t xml:space="preserve">the </w:t>
      </w:r>
      <w:r w:rsidR="00BA3640" w:rsidRPr="00BA3640">
        <w:rPr>
          <w:rFonts w:cs="Times New Roman"/>
        </w:rPr>
        <w:t>Statement of Compatibility with Human Rights</w:t>
      </w:r>
      <w:r w:rsidR="00D10828" w:rsidRPr="6DD27F1A">
        <w:rPr>
          <w:rFonts w:cs="Times New Roman"/>
        </w:rPr>
        <w:t xml:space="preserve"> for that instrument </w:t>
      </w:r>
      <w:r w:rsidR="00BA3640">
        <w:rPr>
          <w:rFonts w:cs="Times New Roman"/>
        </w:rPr>
        <w:t>is relevant</w:t>
      </w:r>
      <w:r w:rsidR="00957AFD" w:rsidRPr="6DD27F1A">
        <w:rPr>
          <w:rFonts w:cs="Times New Roman"/>
        </w:rPr>
        <w:t>.</w:t>
      </w:r>
    </w:p>
    <w:p w14:paraId="2003D7F9" w14:textId="60F9C29A" w:rsidR="7C626E38" w:rsidRDefault="7C626E38" w:rsidP="6DD27F1A">
      <w:pPr>
        <w:jc w:val="both"/>
      </w:pPr>
      <w:r w:rsidRPr="6DD27F1A">
        <w:rPr>
          <w:rFonts w:eastAsia="Times New Roman" w:cs="Times New Roman"/>
          <w:szCs w:val="24"/>
        </w:rPr>
        <w:t xml:space="preserve">Article 14(1) of the </w:t>
      </w:r>
      <w:r w:rsidRPr="6DD27F1A">
        <w:rPr>
          <w:rFonts w:eastAsia="Times New Roman" w:cs="Times New Roman"/>
          <w:i/>
          <w:iCs/>
          <w:szCs w:val="24"/>
        </w:rPr>
        <w:t xml:space="preserve">International Covenant on Civil and Political Rights </w:t>
      </w:r>
      <w:r w:rsidRPr="6DD27F1A">
        <w:rPr>
          <w:rFonts w:eastAsia="Times New Roman" w:cs="Times New Roman"/>
          <w:szCs w:val="24"/>
        </w:rPr>
        <w:t>(ICCPR) provides that all persons shall be equal before the courts and that where their rights or obligations are to be determined in legal proceedings they shall be entitled to a fair and public hearing by a competent, independent and impartial tribunal established by law. The award of costs to a party who has been successful before the Court in accordance with the relevant law is an important aspect of ensuring equality before the courts and a fair process for all parties. The ability for a successful party to recoup legal costs ensures they are not prevented from seeking a remedy through the Court, which in turn enhances access to justice.</w:t>
      </w:r>
    </w:p>
    <w:p w14:paraId="1CC90074" w14:textId="77777777" w:rsidR="002169D3" w:rsidRDefault="003F47B3" w:rsidP="003F47B3">
      <w:pPr>
        <w:jc w:val="both"/>
        <w:rPr>
          <w:rFonts w:cs="Times New Roman"/>
          <w:szCs w:val="24"/>
        </w:rPr>
      </w:pPr>
      <w:r>
        <w:rPr>
          <w:rFonts w:cs="Times New Roman"/>
          <w:szCs w:val="24"/>
        </w:rPr>
        <w:t xml:space="preserve">This instrument otherwise has limited human rights implications and is compatible with </w:t>
      </w:r>
      <w:r w:rsidRPr="00EE7DD8">
        <w:rPr>
          <w:rFonts w:cs="Times New Roman"/>
          <w:szCs w:val="24"/>
        </w:rPr>
        <w:t xml:space="preserve">the human rights and freedoms recognised or declared in the international instruments listed in section 3 of the </w:t>
      </w:r>
      <w:r w:rsidRPr="00EE7DD8">
        <w:rPr>
          <w:rFonts w:cs="Times New Roman"/>
          <w:i/>
          <w:szCs w:val="24"/>
        </w:rPr>
        <w:t xml:space="preserve">Human Rights (Parliamentary Scrutiny) Act 2011 </w:t>
      </w:r>
      <w:r w:rsidRPr="00EE7DD8">
        <w:rPr>
          <w:rFonts w:cs="Times New Roman"/>
          <w:szCs w:val="24"/>
        </w:rPr>
        <w:t>(Cth).</w:t>
      </w:r>
    </w:p>
    <w:p w14:paraId="66231098" w14:textId="77777777" w:rsidR="002169D3" w:rsidRDefault="002169D3" w:rsidP="003F47B3">
      <w:pPr>
        <w:jc w:val="both"/>
        <w:rPr>
          <w:rFonts w:cs="Times New Roman"/>
          <w:szCs w:val="24"/>
        </w:rPr>
      </w:pPr>
    </w:p>
    <w:p w14:paraId="6A4088BC" w14:textId="77777777" w:rsidR="00EB76FF" w:rsidRDefault="00EB76FF" w:rsidP="00EB76FF">
      <w:pPr>
        <w:pStyle w:val="ListParagraph"/>
        <w:numPr>
          <w:ilvl w:val="0"/>
          <w:numId w:val="1"/>
        </w:numPr>
        <w:jc w:val="both"/>
        <w:rPr>
          <w:rFonts w:cs="Times New Roman"/>
          <w:b/>
          <w:szCs w:val="24"/>
          <w:u w:val="single"/>
        </w:rPr>
      </w:pPr>
      <w:r w:rsidRPr="678D7901">
        <w:rPr>
          <w:rFonts w:cs="Times New Roman"/>
          <w:b/>
          <w:u w:val="single"/>
        </w:rPr>
        <w:t>General Outline</w:t>
      </w:r>
    </w:p>
    <w:p w14:paraId="6F551166" w14:textId="2B4BA515" w:rsidR="678D7901" w:rsidRDefault="5A4501B2" w:rsidP="678D7901">
      <w:pPr>
        <w:jc w:val="both"/>
        <w:rPr>
          <w:rFonts w:cs="Times New Roman"/>
          <w:b/>
        </w:rPr>
      </w:pPr>
      <w:r w:rsidRPr="29D25374">
        <w:rPr>
          <w:rFonts w:cs="Times New Roman"/>
          <w:b/>
          <w:bCs/>
        </w:rPr>
        <w:t xml:space="preserve">Schedule 1 </w:t>
      </w:r>
      <w:r w:rsidRPr="5E343D40">
        <w:rPr>
          <w:rFonts w:cs="Times New Roman"/>
          <w:b/>
          <w:bCs/>
        </w:rPr>
        <w:t xml:space="preserve">– </w:t>
      </w:r>
      <w:r w:rsidRPr="2123743F">
        <w:rPr>
          <w:rFonts w:cs="Times New Roman"/>
          <w:b/>
          <w:bCs/>
        </w:rPr>
        <w:t>Amendments</w:t>
      </w:r>
    </w:p>
    <w:p w14:paraId="3787141B" w14:textId="02A0F01A" w:rsidR="5E343D40" w:rsidRDefault="5A4501B2" w:rsidP="5E343D40">
      <w:pPr>
        <w:jc w:val="both"/>
        <w:rPr>
          <w:rFonts w:cs="Times New Roman"/>
        </w:rPr>
      </w:pPr>
      <w:r w:rsidRPr="37E73D28">
        <w:rPr>
          <w:rFonts w:cs="Times New Roman"/>
        </w:rPr>
        <w:t xml:space="preserve">Schedule 1 </w:t>
      </w:r>
      <w:r w:rsidRPr="418A78DA">
        <w:rPr>
          <w:rFonts w:cs="Times New Roman"/>
        </w:rPr>
        <w:t xml:space="preserve">contains </w:t>
      </w:r>
      <w:r w:rsidRPr="63ECDFB6">
        <w:rPr>
          <w:rFonts w:cs="Times New Roman"/>
        </w:rPr>
        <w:t xml:space="preserve">the </w:t>
      </w:r>
      <w:r w:rsidRPr="53F8578C">
        <w:rPr>
          <w:rFonts w:cs="Times New Roman"/>
        </w:rPr>
        <w:t>amendments</w:t>
      </w:r>
      <w:r w:rsidRPr="63ECDFB6">
        <w:rPr>
          <w:rFonts w:cs="Times New Roman"/>
        </w:rPr>
        <w:t xml:space="preserve"> </w:t>
      </w:r>
      <w:r w:rsidRPr="2F079557">
        <w:rPr>
          <w:rFonts w:cs="Times New Roman"/>
        </w:rPr>
        <w:t xml:space="preserve">to the </w:t>
      </w:r>
      <w:r w:rsidRPr="39743DC9">
        <w:rPr>
          <w:rFonts w:cs="Times New Roman"/>
        </w:rPr>
        <w:t xml:space="preserve">Rules, including </w:t>
      </w:r>
      <w:r w:rsidRPr="7882AD06">
        <w:rPr>
          <w:rFonts w:cs="Times New Roman"/>
        </w:rPr>
        <w:t xml:space="preserve">the </w:t>
      </w:r>
      <w:r w:rsidRPr="2711225E">
        <w:rPr>
          <w:rFonts w:cs="Times New Roman"/>
        </w:rPr>
        <w:t>following:</w:t>
      </w:r>
    </w:p>
    <w:p w14:paraId="0A82FAA2" w14:textId="5C94B15A" w:rsidR="048B10A7" w:rsidRDefault="5A4501B2" w:rsidP="048B10A7">
      <w:pPr>
        <w:pStyle w:val="ListParagraph"/>
        <w:numPr>
          <w:ilvl w:val="0"/>
          <w:numId w:val="3"/>
        </w:numPr>
        <w:jc w:val="both"/>
        <w:rPr>
          <w:rFonts w:cs="Times New Roman"/>
          <w:szCs w:val="24"/>
        </w:rPr>
      </w:pPr>
      <w:r w:rsidRPr="07735E6D">
        <w:rPr>
          <w:rFonts w:cs="Times New Roman"/>
          <w:szCs w:val="24"/>
        </w:rPr>
        <w:t>Amending Table 2.1 Modifications of the FCFCOA (Division 1) Rules</w:t>
      </w:r>
      <w:r w:rsidR="483CEDB0" w:rsidRPr="07735E6D">
        <w:rPr>
          <w:rFonts w:cs="Times New Roman"/>
          <w:szCs w:val="24"/>
        </w:rPr>
        <w:t>.</w:t>
      </w:r>
      <w:r w:rsidRPr="07735E6D">
        <w:rPr>
          <w:rFonts w:cs="Times New Roman"/>
          <w:szCs w:val="24"/>
        </w:rPr>
        <w:t xml:space="preserve"> </w:t>
      </w:r>
    </w:p>
    <w:p w14:paraId="1E007A76" w14:textId="07EDBCB1" w:rsidR="3F756B52" w:rsidRDefault="5A4501B2" w:rsidP="1E6C8165">
      <w:pPr>
        <w:pStyle w:val="ListParagraph"/>
        <w:numPr>
          <w:ilvl w:val="0"/>
          <w:numId w:val="3"/>
        </w:numPr>
        <w:jc w:val="both"/>
        <w:rPr>
          <w:rFonts w:cs="Times New Roman"/>
          <w:szCs w:val="24"/>
        </w:rPr>
      </w:pPr>
      <w:r w:rsidRPr="0B4313CF">
        <w:rPr>
          <w:rFonts w:cs="Times New Roman"/>
          <w:szCs w:val="24"/>
        </w:rPr>
        <w:t xml:space="preserve">Amending the </w:t>
      </w:r>
      <w:r w:rsidRPr="03645D9D">
        <w:rPr>
          <w:rFonts w:cs="Times New Roman"/>
          <w:szCs w:val="24"/>
        </w:rPr>
        <w:t xml:space="preserve">scale </w:t>
      </w:r>
      <w:r w:rsidRPr="411BA198">
        <w:rPr>
          <w:rFonts w:cs="Times New Roman"/>
          <w:szCs w:val="24"/>
        </w:rPr>
        <w:t xml:space="preserve">of costs </w:t>
      </w:r>
      <w:r w:rsidRPr="536C4657">
        <w:rPr>
          <w:rFonts w:cs="Times New Roman"/>
          <w:szCs w:val="24"/>
        </w:rPr>
        <w:t xml:space="preserve">in family </w:t>
      </w:r>
      <w:r w:rsidRPr="457B26C0">
        <w:rPr>
          <w:rFonts w:cs="Times New Roman"/>
          <w:szCs w:val="24"/>
        </w:rPr>
        <w:t>law</w:t>
      </w:r>
      <w:r w:rsidRPr="536C4657">
        <w:rPr>
          <w:rFonts w:cs="Times New Roman"/>
          <w:szCs w:val="24"/>
        </w:rPr>
        <w:t xml:space="preserve"> and </w:t>
      </w:r>
      <w:r w:rsidRPr="668C039C">
        <w:rPr>
          <w:rFonts w:cs="Times New Roman"/>
          <w:szCs w:val="24"/>
        </w:rPr>
        <w:t xml:space="preserve">child </w:t>
      </w:r>
      <w:r w:rsidRPr="1B93921D">
        <w:rPr>
          <w:rFonts w:cs="Times New Roman"/>
          <w:szCs w:val="24"/>
        </w:rPr>
        <w:t xml:space="preserve">support </w:t>
      </w:r>
      <w:r w:rsidRPr="457B26C0">
        <w:rPr>
          <w:rFonts w:cs="Times New Roman"/>
          <w:szCs w:val="24"/>
        </w:rPr>
        <w:t>matters</w:t>
      </w:r>
      <w:r w:rsidRPr="21F0B9E1">
        <w:rPr>
          <w:rFonts w:cs="Times New Roman"/>
          <w:szCs w:val="24"/>
        </w:rPr>
        <w:t xml:space="preserve"> </w:t>
      </w:r>
      <w:r w:rsidRPr="411BA198">
        <w:rPr>
          <w:rFonts w:cs="Times New Roman"/>
          <w:szCs w:val="24"/>
        </w:rPr>
        <w:t xml:space="preserve">in </w:t>
      </w:r>
      <w:r w:rsidRPr="2E067BBB">
        <w:rPr>
          <w:rFonts w:cs="Times New Roman"/>
          <w:szCs w:val="24"/>
        </w:rPr>
        <w:t xml:space="preserve">Schedule </w:t>
      </w:r>
      <w:r w:rsidRPr="5D28FA5A">
        <w:rPr>
          <w:rFonts w:cs="Times New Roman"/>
          <w:szCs w:val="24"/>
        </w:rPr>
        <w:t>1</w:t>
      </w:r>
    </w:p>
    <w:p w14:paraId="375328F8" w14:textId="53931AC2" w:rsidR="00EB76FF" w:rsidRDefault="00EB76FF" w:rsidP="009F3583">
      <w:pPr>
        <w:numPr>
          <w:ilvl w:val="0"/>
          <w:numId w:val="1"/>
        </w:numPr>
        <w:jc w:val="both"/>
        <w:rPr>
          <w:rFonts w:cs="Times New Roman"/>
          <w:b/>
          <w:szCs w:val="24"/>
          <w:u w:val="single"/>
        </w:rPr>
      </w:pPr>
      <w:r w:rsidRPr="07735E6D">
        <w:rPr>
          <w:rFonts w:cs="Times New Roman"/>
          <w:b/>
          <w:u w:val="single"/>
        </w:rPr>
        <w:t>Consultation</w:t>
      </w:r>
    </w:p>
    <w:p w14:paraId="0B7BD9F1" w14:textId="55E4944C" w:rsidR="1B5B4371" w:rsidRDefault="1B5B4371" w:rsidP="009F3583">
      <w:pPr>
        <w:jc w:val="both"/>
        <w:rPr>
          <w:rFonts w:eastAsia="Times New Roman" w:cs="Times New Roman"/>
          <w:szCs w:val="24"/>
        </w:rPr>
      </w:pPr>
      <w:r w:rsidRPr="07735E6D">
        <w:rPr>
          <w:rFonts w:eastAsia="Times New Roman" w:cs="Times New Roman"/>
          <w:color w:val="000000" w:themeColor="text1"/>
          <w:szCs w:val="24"/>
        </w:rPr>
        <w:t xml:space="preserve">The </w:t>
      </w:r>
      <w:r w:rsidRPr="07735E6D">
        <w:rPr>
          <w:rFonts w:eastAsia="Times New Roman" w:cs="Times New Roman"/>
          <w:i/>
          <w:iCs/>
          <w:color w:val="000000" w:themeColor="text1"/>
          <w:szCs w:val="24"/>
        </w:rPr>
        <w:t>Legislation Act 2003</w:t>
      </w:r>
      <w:r w:rsidRPr="07735E6D">
        <w:rPr>
          <w:rFonts w:eastAsia="Times New Roman" w:cs="Times New Roman"/>
          <w:color w:val="000000" w:themeColor="text1"/>
          <w:szCs w:val="24"/>
        </w:rPr>
        <w:t xml:space="preserve"> (Cth) provides for certain consultation obligations when Rules are made.</w:t>
      </w:r>
    </w:p>
    <w:p w14:paraId="09F68857" w14:textId="54D36002" w:rsidR="00B1375A" w:rsidRDefault="1FDAA594" w:rsidP="00EB76FF">
      <w:pPr>
        <w:jc w:val="both"/>
        <w:rPr>
          <w:rFonts w:eastAsia="Times New Roman" w:cs="Times New Roman"/>
          <w:color w:val="000000" w:themeColor="text1"/>
          <w:szCs w:val="24"/>
        </w:rPr>
      </w:pPr>
      <w:r w:rsidRPr="07735E6D">
        <w:rPr>
          <w:rFonts w:cs="Times New Roman"/>
        </w:rPr>
        <w:lastRenderedPageBreak/>
        <w:t xml:space="preserve">The Court </w:t>
      </w:r>
      <w:r w:rsidR="3D2E6E5B" w:rsidRPr="07735E6D">
        <w:rPr>
          <w:rFonts w:cs="Times New Roman"/>
        </w:rPr>
        <w:t xml:space="preserve">undertook </w:t>
      </w:r>
      <w:r w:rsidRPr="07735E6D">
        <w:rPr>
          <w:rFonts w:cs="Times New Roman"/>
        </w:rPr>
        <w:t xml:space="preserve">both internal and external consultation on the </w:t>
      </w:r>
      <w:r w:rsidR="0001433E">
        <w:rPr>
          <w:rFonts w:cs="Times New Roman"/>
        </w:rPr>
        <w:t xml:space="preserve">amendments to the </w:t>
      </w:r>
      <w:r w:rsidRPr="07735E6D">
        <w:rPr>
          <w:rFonts w:cs="Times New Roman"/>
        </w:rPr>
        <w:t xml:space="preserve">FCFCOA (Division 1) </w:t>
      </w:r>
      <w:r w:rsidR="0001433E">
        <w:rPr>
          <w:rFonts w:cs="Times New Roman"/>
        </w:rPr>
        <w:t>Rules</w:t>
      </w:r>
      <w:r w:rsidRPr="07735E6D">
        <w:rPr>
          <w:rFonts w:cs="Times New Roman"/>
        </w:rPr>
        <w:t xml:space="preserve">, which are substantially </w:t>
      </w:r>
      <w:r w:rsidR="0050225A">
        <w:rPr>
          <w:rFonts w:cs="Times New Roman"/>
        </w:rPr>
        <w:t>applied and</w:t>
      </w:r>
      <w:r w:rsidR="000B589A">
        <w:rPr>
          <w:rFonts w:cs="Times New Roman"/>
        </w:rPr>
        <w:t xml:space="preserve"> modifie</w:t>
      </w:r>
      <w:r w:rsidR="00D27C91">
        <w:rPr>
          <w:rFonts w:cs="Times New Roman"/>
        </w:rPr>
        <w:t xml:space="preserve">d </w:t>
      </w:r>
      <w:r w:rsidR="0050225A">
        <w:rPr>
          <w:rFonts w:cs="Times New Roman"/>
        </w:rPr>
        <w:t xml:space="preserve">as necessary </w:t>
      </w:r>
      <w:r w:rsidR="00D27C91">
        <w:rPr>
          <w:rFonts w:cs="Times New Roman"/>
        </w:rPr>
        <w:t xml:space="preserve">to </w:t>
      </w:r>
      <w:r w:rsidR="00B059AE">
        <w:rPr>
          <w:rFonts w:cs="Times New Roman"/>
        </w:rPr>
        <w:t xml:space="preserve">the </w:t>
      </w:r>
      <w:r w:rsidR="0050225A">
        <w:rPr>
          <w:rFonts w:cs="Times New Roman"/>
        </w:rPr>
        <w:t>exercise</w:t>
      </w:r>
      <w:r w:rsidR="00B059AE">
        <w:rPr>
          <w:rFonts w:cs="Times New Roman"/>
        </w:rPr>
        <w:t xml:space="preserve"> of the Court’s jurisdiction in family law or child support proceedings in the</w:t>
      </w:r>
      <w:r w:rsidR="00D27C91">
        <w:rPr>
          <w:rFonts w:cs="Times New Roman"/>
        </w:rPr>
        <w:t xml:space="preserve"> FCFCOA (Division 2)</w:t>
      </w:r>
      <w:r w:rsidRPr="07735E6D">
        <w:rPr>
          <w:rFonts w:cs="Times New Roman"/>
        </w:rPr>
        <w:t xml:space="preserve">. Internally, </w:t>
      </w:r>
      <w:r w:rsidR="6A0CD316" w:rsidRPr="07735E6D">
        <w:rPr>
          <w:rFonts w:cs="Times New Roman"/>
        </w:rPr>
        <w:t xml:space="preserve">consultation took place with Judges of both </w:t>
      </w:r>
      <w:r w:rsidR="566731DF" w:rsidRPr="07735E6D">
        <w:rPr>
          <w:rFonts w:cs="Times New Roman"/>
        </w:rPr>
        <w:t>Courts</w:t>
      </w:r>
      <w:r w:rsidR="6A0CD316" w:rsidRPr="07735E6D">
        <w:rPr>
          <w:rFonts w:cs="Times New Roman"/>
        </w:rPr>
        <w:t xml:space="preserve">, and some other staff. Externally, consultation </w:t>
      </w:r>
      <w:r w:rsidR="483C8641" w:rsidRPr="07735E6D">
        <w:rPr>
          <w:rFonts w:eastAsia="Times New Roman" w:cs="Times New Roman"/>
          <w:color w:val="000000" w:themeColor="text1"/>
          <w:szCs w:val="24"/>
        </w:rPr>
        <w:t>took place with the Attorney-General’s Department, Family Law Section of the Law Council of Australia and National Legal Aid. Suggestions were adopted to further amend the Rules following consultation with each of these three bodies.</w:t>
      </w:r>
    </w:p>
    <w:p w14:paraId="7EC406B5" w14:textId="159F70F3" w:rsidR="002E7289" w:rsidRPr="002E7289" w:rsidRDefault="002E7289" w:rsidP="002E7289">
      <w:pPr>
        <w:jc w:val="both"/>
        <w:rPr>
          <w:rFonts w:eastAsia="Times New Roman" w:cs="Times New Roman"/>
          <w:szCs w:val="24"/>
        </w:rPr>
      </w:pPr>
      <w:r>
        <w:rPr>
          <w:rFonts w:eastAsia="Times New Roman" w:cs="Times New Roman"/>
          <w:szCs w:val="24"/>
        </w:rPr>
        <w:t>With respect to the scale of costs, c</w:t>
      </w:r>
      <w:r w:rsidRPr="002E7289">
        <w:rPr>
          <w:rFonts w:eastAsia="Times New Roman" w:cs="Times New Roman"/>
          <w:szCs w:val="24"/>
        </w:rPr>
        <w:t>onsultation was undertaken during the process of updating the amounts for each Item through the Joint Costs Advisory Committee, which functions to review and recommend variations to the quantum of costs contained in the rules made by the federal courts. The Joint Costs Advisory Committee comprises representatives of the High Court of Australia, Federal Court of Australia, FCFCOA (Division 1) and FCFCOA (Division 2). The Committee sought written submissions from the Commonwealth Attorney-General’s Department, the Law Council of Australia, the National Association of Community Legal Centres and National Legal Aid inviting each of them, and their respective constituent bodies or State/Territory counterparts, to make submissions to the review. Further, through publication on the Court</w:t>
      </w:r>
      <w:r w:rsidR="00741DDF">
        <w:rPr>
          <w:rFonts w:eastAsia="Times New Roman" w:cs="Times New Roman"/>
          <w:szCs w:val="24"/>
        </w:rPr>
        <w:t>s’</w:t>
      </w:r>
      <w:r w:rsidRPr="002E7289">
        <w:rPr>
          <w:rFonts w:eastAsia="Times New Roman" w:cs="Times New Roman"/>
          <w:szCs w:val="24"/>
        </w:rPr>
        <w:t xml:space="preserve"> website, other interested persons and organisations were invited to submit in writing any views on changes to the scales of costs they wished to have considered by the Joint Costs Advisory Committee.</w:t>
      </w:r>
    </w:p>
    <w:p w14:paraId="41423E99" w14:textId="41A54717" w:rsidR="002E7289" w:rsidRPr="002E7289" w:rsidRDefault="002E7289" w:rsidP="002E7289">
      <w:pPr>
        <w:jc w:val="both"/>
        <w:rPr>
          <w:rFonts w:eastAsia="Times New Roman" w:cs="Times New Roman"/>
          <w:szCs w:val="24"/>
        </w:rPr>
      </w:pPr>
      <w:r w:rsidRPr="00553225">
        <w:rPr>
          <w:rFonts w:eastAsia="Times New Roman" w:cs="Times New Roman"/>
          <w:szCs w:val="24"/>
        </w:rPr>
        <w:t>The Committee then considered the submissions received and the FCAC formula to recommend an increase of 4.</w:t>
      </w:r>
      <w:r w:rsidR="009F33BF" w:rsidRPr="00553225">
        <w:rPr>
          <w:rFonts w:eastAsia="Times New Roman" w:cs="Times New Roman"/>
          <w:szCs w:val="24"/>
        </w:rPr>
        <w:t>5</w:t>
      </w:r>
      <w:r w:rsidRPr="00553225">
        <w:rPr>
          <w:rFonts w:eastAsia="Times New Roman" w:cs="Times New Roman"/>
          <w:szCs w:val="24"/>
        </w:rPr>
        <w:t>% to the scale of costs for the FY</w:t>
      </w:r>
      <w:r w:rsidR="00254898" w:rsidRPr="00553225">
        <w:rPr>
          <w:rFonts w:eastAsia="Times New Roman" w:cs="Times New Roman"/>
          <w:szCs w:val="24"/>
        </w:rPr>
        <w:t>2022-23 and 4.</w:t>
      </w:r>
      <w:r w:rsidR="009F33BF" w:rsidRPr="00553225">
        <w:rPr>
          <w:rFonts w:eastAsia="Times New Roman" w:cs="Times New Roman"/>
          <w:szCs w:val="24"/>
        </w:rPr>
        <w:t>0</w:t>
      </w:r>
      <w:r w:rsidR="00254898" w:rsidRPr="00553225">
        <w:rPr>
          <w:rFonts w:eastAsia="Times New Roman" w:cs="Times New Roman"/>
          <w:szCs w:val="24"/>
        </w:rPr>
        <w:t>% for the FY</w:t>
      </w:r>
      <w:r w:rsidR="005A32C2" w:rsidRPr="00553225">
        <w:rPr>
          <w:rFonts w:eastAsia="Times New Roman" w:cs="Times New Roman"/>
          <w:szCs w:val="24"/>
        </w:rPr>
        <w:t>2023-24.</w:t>
      </w:r>
    </w:p>
    <w:p w14:paraId="090E7404" w14:textId="12D99B3D" w:rsidR="002E7289" w:rsidRPr="00661713" w:rsidRDefault="002E7289" w:rsidP="00EB76FF">
      <w:pPr>
        <w:jc w:val="both"/>
        <w:rPr>
          <w:rFonts w:eastAsia="Times New Roman" w:cs="Times New Roman"/>
          <w:szCs w:val="24"/>
        </w:rPr>
      </w:pPr>
      <w:r w:rsidRPr="002E7289">
        <w:rPr>
          <w:rFonts w:eastAsia="Times New Roman" w:cs="Times New Roman"/>
          <w:szCs w:val="24"/>
        </w:rPr>
        <w:t xml:space="preserve">The amounts for each Item in the table that comprises the scale of costs in family law and child support matters therefore reflects the cumulative </w:t>
      </w:r>
      <w:r w:rsidR="00697D24">
        <w:rPr>
          <w:rFonts w:eastAsia="Times New Roman" w:cs="Times New Roman"/>
          <w:szCs w:val="24"/>
        </w:rPr>
        <w:t>4</w:t>
      </w:r>
      <w:r w:rsidRPr="002E7289">
        <w:rPr>
          <w:rFonts w:eastAsia="Times New Roman" w:cs="Times New Roman"/>
          <w:szCs w:val="24"/>
        </w:rPr>
        <w:t xml:space="preserve">.5% increase and the 4.0% increase recommended by the Committee over the past two financial years. </w:t>
      </w:r>
    </w:p>
    <w:p w14:paraId="48483866" w14:textId="77777777" w:rsidR="00C301CF" w:rsidRPr="00661713" w:rsidRDefault="00C301CF" w:rsidP="00EB76FF">
      <w:pPr>
        <w:jc w:val="both"/>
        <w:rPr>
          <w:rFonts w:eastAsia="Times New Roman" w:cs="Times New Roman"/>
          <w:szCs w:val="24"/>
        </w:rPr>
      </w:pPr>
    </w:p>
    <w:p w14:paraId="51D92EF9" w14:textId="77777777" w:rsidR="00B1375A" w:rsidRDefault="00B1375A" w:rsidP="00B1375A">
      <w:pPr>
        <w:pStyle w:val="ListParagraph"/>
        <w:numPr>
          <w:ilvl w:val="0"/>
          <w:numId w:val="1"/>
        </w:numPr>
        <w:jc w:val="both"/>
        <w:rPr>
          <w:rFonts w:cs="Times New Roman"/>
          <w:b/>
          <w:szCs w:val="24"/>
          <w:u w:val="single"/>
        </w:rPr>
      </w:pPr>
      <w:r>
        <w:rPr>
          <w:rFonts w:cs="Times New Roman"/>
          <w:b/>
          <w:szCs w:val="24"/>
          <w:u w:val="single"/>
        </w:rPr>
        <w:t>Details of rules</w:t>
      </w:r>
    </w:p>
    <w:p w14:paraId="115DF20F" w14:textId="7338989A" w:rsidR="00D107A3" w:rsidRPr="00D107A3" w:rsidRDefault="00D107A3" w:rsidP="00B1375A">
      <w:pPr>
        <w:jc w:val="both"/>
        <w:rPr>
          <w:rFonts w:cs="Times New Roman"/>
          <w:b/>
          <w:bCs/>
        </w:rPr>
      </w:pPr>
      <w:r>
        <w:rPr>
          <w:rFonts w:cs="Times New Roman"/>
          <w:b/>
          <w:bCs/>
        </w:rPr>
        <w:t>Preliminary items</w:t>
      </w:r>
    </w:p>
    <w:p w14:paraId="13EBD73C" w14:textId="65B2A482" w:rsidR="00B1375A" w:rsidRPr="00B1375A" w:rsidDel="007C5028" w:rsidRDefault="00B1375A" w:rsidP="00B1375A">
      <w:pPr>
        <w:jc w:val="both"/>
        <w:rPr>
          <w:rFonts w:cs="Times New Roman"/>
        </w:rPr>
      </w:pPr>
      <w:r w:rsidRPr="07735E6D" w:rsidDel="007C5028">
        <w:rPr>
          <w:rFonts w:cs="Times New Roman"/>
        </w:rPr>
        <w:t>Item 1 states the name of the amendments.</w:t>
      </w:r>
    </w:p>
    <w:p w14:paraId="59ACC4EE" w14:textId="08E57FEC" w:rsidR="00B1375A" w:rsidRPr="00B1375A" w:rsidDel="007C5028" w:rsidRDefault="00B1375A" w:rsidP="00B1375A">
      <w:pPr>
        <w:jc w:val="both"/>
        <w:rPr>
          <w:rFonts w:cs="Times New Roman"/>
        </w:rPr>
      </w:pPr>
      <w:r w:rsidRPr="07735E6D" w:rsidDel="007C5028">
        <w:rPr>
          <w:rFonts w:cs="Times New Roman"/>
        </w:rPr>
        <w:t xml:space="preserve">Item 2 indicates the commencement of the amendments, which is </w:t>
      </w:r>
      <w:r w:rsidR="14F6A3D4" w:rsidRPr="07735E6D">
        <w:rPr>
          <w:rFonts w:cs="Times New Roman"/>
        </w:rPr>
        <w:t>10 June 2025</w:t>
      </w:r>
      <w:r w:rsidRPr="07735E6D" w:rsidDel="007C5028">
        <w:rPr>
          <w:rFonts w:cs="Times New Roman"/>
        </w:rPr>
        <w:t>.</w:t>
      </w:r>
    </w:p>
    <w:p w14:paraId="540BB7C6" w14:textId="6EFD51E0" w:rsidR="00B1375A" w:rsidRPr="00B1375A" w:rsidDel="007C5028" w:rsidRDefault="00B1375A" w:rsidP="00B1375A">
      <w:pPr>
        <w:jc w:val="both"/>
        <w:rPr>
          <w:rFonts w:cs="Times New Roman"/>
        </w:rPr>
      </w:pPr>
      <w:r w:rsidRPr="07735E6D" w:rsidDel="007C5028">
        <w:rPr>
          <w:rFonts w:cs="Times New Roman"/>
        </w:rPr>
        <w:t xml:space="preserve">Item 3 indicates that the amendments are made under Chapter 4 of the </w:t>
      </w:r>
      <w:r w:rsidRPr="07735E6D" w:rsidDel="007C5028">
        <w:rPr>
          <w:rFonts w:cs="Times New Roman"/>
          <w:i/>
        </w:rPr>
        <w:t>Federal Circuit and Family Court of Australia Act 2021</w:t>
      </w:r>
      <w:r w:rsidRPr="07735E6D" w:rsidDel="007C5028">
        <w:rPr>
          <w:rFonts w:cs="Times New Roman"/>
        </w:rPr>
        <w:t>.</w:t>
      </w:r>
    </w:p>
    <w:p w14:paraId="6096148C" w14:textId="06A22CFD" w:rsidR="00B1375A" w:rsidDel="007C5028" w:rsidRDefault="00B1375A" w:rsidP="00B1375A">
      <w:pPr>
        <w:jc w:val="both"/>
        <w:rPr>
          <w:rFonts w:cs="Times New Roman"/>
        </w:rPr>
      </w:pPr>
      <w:r w:rsidRPr="07735E6D" w:rsidDel="007C5028">
        <w:rPr>
          <w:rFonts w:cs="Times New Roman"/>
        </w:rPr>
        <w:t xml:space="preserve">Item 4 states </w:t>
      </w:r>
      <w:r w:rsidR="00843CA7" w:rsidRPr="07735E6D" w:rsidDel="007C5028">
        <w:rPr>
          <w:rFonts w:cs="Times New Roman"/>
        </w:rPr>
        <w:t xml:space="preserve">that </w:t>
      </w:r>
      <w:r w:rsidR="00843CA7">
        <w:rPr>
          <w:rFonts w:cs="Times New Roman"/>
        </w:rPr>
        <w:t>e</w:t>
      </w:r>
      <w:r w:rsidR="00843CA7" w:rsidRPr="07735E6D">
        <w:rPr>
          <w:rFonts w:cs="Times New Roman"/>
        </w:rPr>
        <w:t>ach</w:t>
      </w:r>
      <w:r w:rsidRPr="07735E6D" w:rsidDel="007C5028">
        <w:rPr>
          <w:rFonts w:cs="Times New Roman"/>
        </w:rPr>
        <w:t xml:space="preserve"> instrument that is specified in a Schedule to </w:t>
      </w:r>
      <w:r w:rsidR="6C4C0D47" w:rsidRPr="07735E6D">
        <w:rPr>
          <w:rFonts w:cs="Times New Roman"/>
        </w:rPr>
        <w:t>these Rules</w:t>
      </w:r>
      <w:r w:rsidRPr="07735E6D" w:rsidDel="007C5028">
        <w:rPr>
          <w:rFonts w:cs="Times New Roman"/>
        </w:rPr>
        <w:t xml:space="preserve"> is amended or repealed as set out in the applicable items in the Schedule</w:t>
      </w:r>
      <w:r w:rsidR="6C4C0D47" w:rsidRPr="07735E6D">
        <w:rPr>
          <w:rFonts w:cs="Times New Roman"/>
        </w:rPr>
        <w:t xml:space="preserve"> concerned, and any other item in a Schedule to these Rules has effect according to its terms</w:t>
      </w:r>
      <w:r w:rsidRPr="07735E6D" w:rsidDel="007C5028">
        <w:rPr>
          <w:rFonts w:cs="Times New Roman"/>
        </w:rPr>
        <w:t>.</w:t>
      </w:r>
    </w:p>
    <w:p w14:paraId="789F3518" w14:textId="392E366C" w:rsidR="00B1375A" w:rsidRDefault="00B1375A" w:rsidP="00B1375A">
      <w:pPr>
        <w:jc w:val="both"/>
        <w:rPr>
          <w:rFonts w:cs="Times New Roman"/>
          <w:b/>
          <w:szCs w:val="24"/>
        </w:rPr>
      </w:pPr>
      <w:r w:rsidRPr="07735E6D">
        <w:rPr>
          <w:rFonts w:cs="Times New Roman"/>
          <w:b/>
        </w:rPr>
        <w:lastRenderedPageBreak/>
        <w:t xml:space="preserve">Schedule 1 – </w:t>
      </w:r>
      <w:r w:rsidR="00957E02">
        <w:rPr>
          <w:rFonts w:cs="Times New Roman"/>
          <w:b/>
        </w:rPr>
        <w:t>A</w:t>
      </w:r>
      <w:r w:rsidRPr="07735E6D">
        <w:rPr>
          <w:rFonts w:cs="Times New Roman"/>
          <w:b/>
        </w:rPr>
        <w:t>mendments</w:t>
      </w:r>
    </w:p>
    <w:p w14:paraId="38D9E5E1" w14:textId="78839090" w:rsidR="002E0515" w:rsidRDefault="002E0515" w:rsidP="001C5704">
      <w:pPr>
        <w:jc w:val="both"/>
        <w:rPr>
          <w:rFonts w:cs="Times New Roman"/>
          <w:b/>
          <w:bCs/>
        </w:rPr>
      </w:pPr>
      <w:r>
        <w:rPr>
          <w:rFonts w:cs="Times New Roman"/>
          <w:b/>
          <w:bCs/>
        </w:rPr>
        <w:t xml:space="preserve">Item </w:t>
      </w:r>
      <w:r w:rsidRPr="002E0515">
        <w:rPr>
          <w:rFonts w:cs="Times New Roman"/>
          <w:b/>
          <w:bCs/>
        </w:rPr>
        <w:t xml:space="preserve">1 Rule 2.02 (table items 1 to 3, 24, 25 and 32) </w:t>
      </w:r>
    </w:p>
    <w:p w14:paraId="079F9F18" w14:textId="2BAD6BCA" w:rsidR="00DD7818" w:rsidRPr="009F3583" w:rsidRDefault="00DD7818" w:rsidP="00843CA7">
      <w:pPr>
        <w:jc w:val="both"/>
        <w:rPr>
          <w:rFonts w:cs="Times New Roman"/>
        </w:rPr>
      </w:pPr>
      <w:r>
        <w:rPr>
          <w:rFonts w:cs="Times New Roman"/>
        </w:rPr>
        <w:t xml:space="preserve">This item repeals </w:t>
      </w:r>
      <w:r w:rsidR="00931D61">
        <w:rPr>
          <w:rFonts w:cs="Times New Roman"/>
        </w:rPr>
        <w:t>table items 1</w:t>
      </w:r>
      <w:r w:rsidR="00EC1630">
        <w:rPr>
          <w:rFonts w:cs="Times New Roman"/>
        </w:rPr>
        <w:t>,</w:t>
      </w:r>
      <w:r w:rsidR="00166C28">
        <w:rPr>
          <w:rFonts w:cs="Times New Roman"/>
        </w:rPr>
        <w:t xml:space="preserve"> </w:t>
      </w:r>
      <w:r w:rsidR="00A807F3">
        <w:rPr>
          <w:rFonts w:cs="Times New Roman"/>
        </w:rPr>
        <w:t>2</w:t>
      </w:r>
      <w:r w:rsidR="00661713">
        <w:rPr>
          <w:rFonts w:cs="Times New Roman"/>
        </w:rPr>
        <w:t>,</w:t>
      </w:r>
      <w:r w:rsidR="00166C28">
        <w:rPr>
          <w:rFonts w:cs="Times New Roman"/>
        </w:rPr>
        <w:t xml:space="preserve"> </w:t>
      </w:r>
      <w:r w:rsidR="00931D61">
        <w:rPr>
          <w:rFonts w:cs="Times New Roman"/>
        </w:rPr>
        <w:t xml:space="preserve">3, </w:t>
      </w:r>
      <w:r w:rsidR="00A15B2F">
        <w:rPr>
          <w:rFonts w:cs="Times New Roman"/>
        </w:rPr>
        <w:t>24</w:t>
      </w:r>
      <w:r w:rsidR="00A807F3">
        <w:rPr>
          <w:rFonts w:cs="Times New Roman"/>
        </w:rPr>
        <w:t>, 25</w:t>
      </w:r>
      <w:r w:rsidR="00A15B2F">
        <w:rPr>
          <w:rFonts w:cs="Times New Roman"/>
        </w:rPr>
        <w:t xml:space="preserve"> and 32 from Table 2.1 </w:t>
      </w:r>
      <w:r w:rsidR="00C5368B">
        <w:rPr>
          <w:rFonts w:cs="Times New Roman"/>
        </w:rPr>
        <w:t>(</w:t>
      </w:r>
      <w:r w:rsidR="00A15B2F">
        <w:rPr>
          <w:rFonts w:cs="Times New Roman"/>
        </w:rPr>
        <w:t xml:space="preserve">Modifications </w:t>
      </w:r>
      <w:r w:rsidR="000822AD">
        <w:rPr>
          <w:rFonts w:cs="Times New Roman"/>
        </w:rPr>
        <w:t xml:space="preserve">of the </w:t>
      </w:r>
      <w:r w:rsidR="000822AD">
        <w:rPr>
          <w:rFonts w:cs="Times New Roman"/>
          <w:i/>
          <w:iCs/>
        </w:rPr>
        <w:t xml:space="preserve">Federal Circuit and Family Court of Australia (Family Law) Rules </w:t>
      </w:r>
      <w:r w:rsidR="00D01824">
        <w:rPr>
          <w:rFonts w:cs="Times New Roman"/>
          <w:i/>
          <w:iCs/>
        </w:rPr>
        <w:t>2021</w:t>
      </w:r>
      <w:r w:rsidR="00C5368B">
        <w:rPr>
          <w:rFonts w:cs="Times New Roman"/>
        </w:rPr>
        <w:t>)</w:t>
      </w:r>
      <w:r w:rsidR="00B37E4F">
        <w:rPr>
          <w:rFonts w:cs="Times New Roman"/>
        </w:rPr>
        <w:t xml:space="preserve"> </w:t>
      </w:r>
      <w:r w:rsidR="00C5368B">
        <w:rPr>
          <w:rFonts w:cs="Times New Roman"/>
        </w:rPr>
        <w:t xml:space="preserve">made </w:t>
      </w:r>
      <w:r w:rsidR="00C45ACD">
        <w:rPr>
          <w:rFonts w:cs="Times New Roman"/>
        </w:rPr>
        <w:t xml:space="preserve">under </w:t>
      </w:r>
      <w:r w:rsidR="00B37E4F">
        <w:rPr>
          <w:rFonts w:cs="Times New Roman"/>
        </w:rPr>
        <w:t>rule 2.0</w:t>
      </w:r>
      <w:r w:rsidR="00F2465D">
        <w:rPr>
          <w:rFonts w:cs="Times New Roman"/>
        </w:rPr>
        <w:t>2</w:t>
      </w:r>
      <w:r w:rsidR="00D01824">
        <w:rPr>
          <w:rFonts w:cs="Times New Roman"/>
        </w:rPr>
        <w:t xml:space="preserve">. </w:t>
      </w:r>
      <w:r w:rsidR="005D354A">
        <w:rPr>
          <w:rFonts w:cs="Times New Roman"/>
        </w:rPr>
        <w:t>This</w:t>
      </w:r>
      <w:r w:rsidR="00B86F95">
        <w:rPr>
          <w:rFonts w:cs="Times New Roman"/>
        </w:rPr>
        <w:t xml:space="preserve"> </w:t>
      </w:r>
      <w:r w:rsidR="005D354A">
        <w:rPr>
          <w:rFonts w:cs="Times New Roman"/>
        </w:rPr>
        <w:t>item</w:t>
      </w:r>
      <w:r w:rsidR="00B86F95">
        <w:rPr>
          <w:rFonts w:cs="Times New Roman"/>
        </w:rPr>
        <w:t xml:space="preserve"> remove</w:t>
      </w:r>
      <w:r w:rsidR="005D354A">
        <w:rPr>
          <w:rFonts w:cs="Times New Roman"/>
        </w:rPr>
        <w:t>s</w:t>
      </w:r>
      <w:r w:rsidR="00B86F95">
        <w:rPr>
          <w:rFonts w:cs="Times New Roman"/>
        </w:rPr>
        <w:t xml:space="preserve"> </w:t>
      </w:r>
      <w:r w:rsidR="00E53B24">
        <w:rPr>
          <w:rFonts w:cs="Times New Roman"/>
        </w:rPr>
        <w:t xml:space="preserve">modifications </w:t>
      </w:r>
      <w:r w:rsidR="001C79C1">
        <w:rPr>
          <w:rFonts w:cs="Times New Roman"/>
        </w:rPr>
        <w:t xml:space="preserve">to the </w:t>
      </w:r>
      <w:r w:rsidR="001C79C1">
        <w:rPr>
          <w:rFonts w:cs="Times New Roman"/>
          <w:szCs w:val="24"/>
        </w:rPr>
        <w:t>FCFCOA (Division 1) Rules</w:t>
      </w:r>
      <w:r w:rsidR="001C79C1">
        <w:rPr>
          <w:rFonts w:cs="Times New Roman"/>
        </w:rPr>
        <w:t xml:space="preserve"> </w:t>
      </w:r>
      <w:r w:rsidR="00E53B24">
        <w:rPr>
          <w:rFonts w:cs="Times New Roman"/>
        </w:rPr>
        <w:t xml:space="preserve">relating to </w:t>
      </w:r>
      <w:r w:rsidR="00F95086">
        <w:rPr>
          <w:rFonts w:cs="Times New Roman"/>
        </w:rPr>
        <w:t>the overarching purpose of the family law practice and procedure provisions which were relocated from section</w:t>
      </w:r>
      <w:r w:rsidR="002366EE">
        <w:rPr>
          <w:rFonts w:cs="Times New Roman"/>
        </w:rPr>
        <w:t>s</w:t>
      </w:r>
      <w:r w:rsidR="00F95086">
        <w:rPr>
          <w:rFonts w:cs="Times New Roman"/>
        </w:rPr>
        <w:t xml:space="preserve"> </w:t>
      </w:r>
      <w:r w:rsidR="00E526EB">
        <w:rPr>
          <w:rFonts w:cs="Times New Roman"/>
        </w:rPr>
        <w:t>190</w:t>
      </w:r>
      <w:r w:rsidR="00F95086">
        <w:rPr>
          <w:rFonts w:cs="Times New Roman"/>
        </w:rPr>
        <w:t xml:space="preserve"> and </w:t>
      </w:r>
      <w:r w:rsidR="00E526EB">
        <w:rPr>
          <w:rFonts w:cs="Times New Roman"/>
        </w:rPr>
        <w:t>191</w:t>
      </w:r>
      <w:r w:rsidR="00F95086">
        <w:rPr>
          <w:rFonts w:cs="Times New Roman"/>
        </w:rPr>
        <w:t xml:space="preserve"> of the </w:t>
      </w:r>
      <w:r w:rsidR="00334F25">
        <w:rPr>
          <w:rFonts w:cs="Times New Roman"/>
        </w:rPr>
        <w:t>FCFCOA Act</w:t>
      </w:r>
      <w:r w:rsidR="00F95086">
        <w:rPr>
          <w:rFonts w:cs="Times New Roman"/>
        </w:rPr>
        <w:t xml:space="preserve"> into equivalent sections 95 and 96 of the Family Law </w:t>
      </w:r>
      <w:r w:rsidR="00F923B4">
        <w:rPr>
          <w:rFonts w:cs="Times New Roman"/>
        </w:rPr>
        <w:t>Act</w:t>
      </w:r>
      <w:r w:rsidR="0053344D">
        <w:rPr>
          <w:rFonts w:cs="Times New Roman"/>
        </w:rPr>
        <w:t xml:space="preserve">. </w:t>
      </w:r>
    </w:p>
    <w:p w14:paraId="59D796A8" w14:textId="13F68971" w:rsidR="00DD7818" w:rsidRDefault="00DD7818" w:rsidP="001C5704">
      <w:pPr>
        <w:jc w:val="both"/>
        <w:rPr>
          <w:rFonts w:cs="Times New Roman"/>
          <w:b/>
          <w:bCs/>
        </w:rPr>
      </w:pPr>
      <w:r>
        <w:rPr>
          <w:rFonts w:cs="Times New Roman"/>
          <w:b/>
          <w:bCs/>
        </w:rPr>
        <w:t xml:space="preserve">Item </w:t>
      </w:r>
      <w:r w:rsidRPr="00DD7818">
        <w:rPr>
          <w:rFonts w:cs="Times New Roman"/>
          <w:b/>
          <w:bCs/>
        </w:rPr>
        <w:t>2 Schedule 1</w:t>
      </w:r>
    </w:p>
    <w:p w14:paraId="0EC4CBB0" w14:textId="489D9462" w:rsidR="003F47B3" w:rsidRPr="001C5704" w:rsidRDefault="00704C02" w:rsidP="001C5704">
      <w:pPr>
        <w:jc w:val="both"/>
        <w:rPr>
          <w:rFonts w:cs="Times New Roman"/>
        </w:rPr>
      </w:pPr>
      <w:r>
        <w:rPr>
          <w:rFonts w:cs="Times New Roman"/>
        </w:rPr>
        <w:t xml:space="preserve">This item repeals and replaces the scale of costs in family </w:t>
      </w:r>
      <w:r w:rsidR="007F37DA">
        <w:rPr>
          <w:rFonts w:cs="Times New Roman"/>
        </w:rPr>
        <w:t xml:space="preserve">law </w:t>
      </w:r>
      <w:r>
        <w:rPr>
          <w:rFonts w:cs="Times New Roman"/>
        </w:rPr>
        <w:t>and child support matters under Schedule 1, following updates to the amounts as recommended by the Joint Costs Advisory Committee</w:t>
      </w:r>
      <w:r w:rsidR="00ED1600">
        <w:rPr>
          <w:rFonts w:cs="Times New Roman"/>
        </w:rPr>
        <w:t xml:space="preserve"> (described above)</w:t>
      </w:r>
      <w:r>
        <w:rPr>
          <w:rFonts w:cs="Times New Roman"/>
        </w:rPr>
        <w:t xml:space="preserve">. </w:t>
      </w:r>
    </w:p>
    <w:sectPr w:rsidR="003F47B3" w:rsidRPr="001C57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A020F" w14:textId="77777777" w:rsidR="005F092B" w:rsidRDefault="005F092B" w:rsidP="005F092B">
      <w:pPr>
        <w:spacing w:after="0" w:line="240" w:lineRule="auto"/>
      </w:pPr>
      <w:r>
        <w:separator/>
      </w:r>
    </w:p>
  </w:endnote>
  <w:endnote w:type="continuationSeparator" w:id="0">
    <w:p w14:paraId="7616B0D6" w14:textId="77777777" w:rsidR="005F092B" w:rsidRDefault="005F092B" w:rsidP="005F0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D2E3F" w14:textId="77777777" w:rsidR="005F092B" w:rsidRDefault="005F092B" w:rsidP="005F092B">
      <w:pPr>
        <w:spacing w:after="0" w:line="240" w:lineRule="auto"/>
      </w:pPr>
      <w:r>
        <w:separator/>
      </w:r>
    </w:p>
  </w:footnote>
  <w:footnote w:type="continuationSeparator" w:id="0">
    <w:p w14:paraId="1A54BD7C" w14:textId="77777777" w:rsidR="005F092B" w:rsidRDefault="005F092B" w:rsidP="005F09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101B"/>
    <w:multiLevelType w:val="multilevel"/>
    <w:tmpl w:val="30F24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48614C"/>
    <w:multiLevelType w:val="multilevel"/>
    <w:tmpl w:val="B2A4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256675"/>
    <w:multiLevelType w:val="multilevel"/>
    <w:tmpl w:val="A1AA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345FC1"/>
    <w:multiLevelType w:val="multilevel"/>
    <w:tmpl w:val="9866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CF5405"/>
    <w:multiLevelType w:val="hybridMultilevel"/>
    <w:tmpl w:val="3C90ACE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57DA195F"/>
    <w:multiLevelType w:val="multilevel"/>
    <w:tmpl w:val="043C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C6742F"/>
    <w:multiLevelType w:val="hybridMultilevel"/>
    <w:tmpl w:val="6BAAB0A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775CB6E5"/>
    <w:multiLevelType w:val="hybridMultilevel"/>
    <w:tmpl w:val="FFFFFFFF"/>
    <w:lvl w:ilvl="0" w:tplc="0F14D0D0">
      <w:start w:val="1"/>
      <w:numFmt w:val="bullet"/>
      <w:lvlText w:val=""/>
      <w:lvlJc w:val="left"/>
      <w:pPr>
        <w:ind w:left="720" w:hanging="360"/>
      </w:pPr>
      <w:rPr>
        <w:rFonts w:ascii="Symbol" w:hAnsi="Symbol" w:hint="default"/>
      </w:rPr>
    </w:lvl>
    <w:lvl w:ilvl="1" w:tplc="3AEE17EA">
      <w:start w:val="1"/>
      <w:numFmt w:val="bullet"/>
      <w:lvlText w:val="o"/>
      <w:lvlJc w:val="left"/>
      <w:pPr>
        <w:ind w:left="1440" w:hanging="360"/>
      </w:pPr>
      <w:rPr>
        <w:rFonts w:ascii="Courier New" w:hAnsi="Courier New" w:hint="default"/>
      </w:rPr>
    </w:lvl>
    <w:lvl w:ilvl="2" w:tplc="EFDA315E">
      <w:start w:val="1"/>
      <w:numFmt w:val="bullet"/>
      <w:lvlText w:val=""/>
      <w:lvlJc w:val="left"/>
      <w:pPr>
        <w:ind w:left="2160" w:hanging="360"/>
      </w:pPr>
      <w:rPr>
        <w:rFonts w:ascii="Wingdings" w:hAnsi="Wingdings" w:hint="default"/>
      </w:rPr>
    </w:lvl>
    <w:lvl w:ilvl="3" w:tplc="563A878C">
      <w:start w:val="1"/>
      <w:numFmt w:val="bullet"/>
      <w:lvlText w:val=""/>
      <w:lvlJc w:val="left"/>
      <w:pPr>
        <w:ind w:left="2880" w:hanging="360"/>
      </w:pPr>
      <w:rPr>
        <w:rFonts w:ascii="Symbol" w:hAnsi="Symbol" w:hint="default"/>
      </w:rPr>
    </w:lvl>
    <w:lvl w:ilvl="4" w:tplc="892A8148">
      <w:start w:val="1"/>
      <w:numFmt w:val="bullet"/>
      <w:lvlText w:val="o"/>
      <w:lvlJc w:val="left"/>
      <w:pPr>
        <w:ind w:left="3600" w:hanging="360"/>
      </w:pPr>
      <w:rPr>
        <w:rFonts w:ascii="Courier New" w:hAnsi="Courier New" w:hint="default"/>
      </w:rPr>
    </w:lvl>
    <w:lvl w:ilvl="5" w:tplc="16ECA3C8">
      <w:start w:val="1"/>
      <w:numFmt w:val="bullet"/>
      <w:lvlText w:val=""/>
      <w:lvlJc w:val="left"/>
      <w:pPr>
        <w:ind w:left="4320" w:hanging="360"/>
      </w:pPr>
      <w:rPr>
        <w:rFonts w:ascii="Wingdings" w:hAnsi="Wingdings" w:hint="default"/>
      </w:rPr>
    </w:lvl>
    <w:lvl w:ilvl="6" w:tplc="BD086B40">
      <w:start w:val="1"/>
      <w:numFmt w:val="bullet"/>
      <w:lvlText w:val=""/>
      <w:lvlJc w:val="left"/>
      <w:pPr>
        <w:ind w:left="5040" w:hanging="360"/>
      </w:pPr>
      <w:rPr>
        <w:rFonts w:ascii="Symbol" w:hAnsi="Symbol" w:hint="default"/>
      </w:rPr>
    </w:lvl>
    <w:lvl w:ilvl="7" w:tplc="E6C6C6A4">
      <w:start w:val="1"/>
      <w:numFmt w:val="bullet"/>
      <w:lvlText w:val="o"/>
      <w:lvlJc w:val="left"/>
      <w:pPr>
        <w:ind w:left="5760" w:hanging="360"/>
      </w:pPr>
      <w:rPr>
        <w:rFonts w:ascii="Courier New" w:hAnsi="Courier New" w:hint="default"/>
      </w:rPr>
    </w:lvl>
    <w:lvl w:ilvl="8" w:tplc="37E83FC8">
      <w:start w:val="1"/>
      <w:numFmt w:val="bullet"/>
      <w:lvlText w:val=""/>
      <w:lvlJc w:val="left"/>
      <w:pPr>
        <w:ind w:left="6480" w:hanging="360"/>
      </w:pPr>
      <w:rPr>
        <w:rFonts w:ascii="Wingdings" w:hAnsi="Wingdings" w:hint="default"/>
      </w:rPr>
    </w:lvl>
  </w:abstractNum>
  <w:num w:numId="1" w16cid:durableId="1804469932">
    <w:abstractNumId w:val="6"/>
  </w:num>
  <w:num w:numId="2" w16cid:durableId="90704247">
    <w:abstractNumId w:val="4"/>
  </w:num>
  <w:num w:numId="3" w16cid:durableId="1505590065">
    <w:abstractNumId w:val="7"/>
  </w:num>
  <w:num w:numId="4" w16cid:durableId="1217545747">
    <w:abstractNumId w:val="5"/>
  </w:num>
  <w:num w:numId="5" w16cid:durableId="591859817">
    <w:abstractNumId w:val="0"/>
  </w:num>
  <w:num w:numId="6" w16cid:durableId="358111">
    <w:abstractNumId w:val="3"/>
  </w:num>
  <w:num w:numId="7" w16cid:durableId="1264068658">
    <w:abstractNumId w:val="1"/>
  </w:num>
  <w:num w:numId="8" w16cid:durableId="250505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5B9"/>
    <w:rsid w:val="000112FE"/>
    <w:rsid w:val="0001433E"/>
    <w:rsid w:val="00021C9F"/>
    <w:rsid w:val="0003006A"/>
    <w:rsid w:val="00035BFF"/>
    <w:rsid w:val="00042D0B"/>
    <w:rsid w:val="000435BA"/>
    <w:rsid w:val="000507E4"/>
    <w:rsid w:val="0008025A"/>
    <w:rsid w:val="000822AD"/>
    <w:rsid w:val="00083A79"/>
    <w:rsid w:val="000851C5"/>
    <w:rsid w:val="0009B06C"/>
    <w:rsid w:val="000A36A7"/>
    <w:rsid w:val="000A707B"/>
    <w:rsid w:val="000B589A"/>
    <w:rsid w:val="000B624D"/>
    <w:rsid w:val="000C415E"/>
    <w:rsid w:val="000D13E4"/>
    <w:rsid w:val="000D7A98"/>
    <w:rsid w:val="000E2467"/>
    <w:rsid w:val="001050EC"/>
    <w:rsid w:val="00125018"/>
    <w:rsid w:val="0012688C"/>
    <w:rsid w:val="00132A86"/>
    <w:rsid w:val="00136C92"/>
    <w:rsid w:val="00145ACC"/>
    <w:rsid w:val="00155DDC"/>
    <w:rsid w:val="001562B0"/>
    <w:rsid w:val="00160CA6"/>
    <w:rsid w:val="00162CF4"/>
    <w:rsid w:val="00166C28"/>
    <w:rsid w:val="00166C7A"/>
    <w:rsid w:val="001711AD"/>
    <w:rsid w:val="00177953"/>
    <w:rsid w:val="001863A4"/>
    <w:rsid w:val="001A6BD1"/>
    <w:rsid w:val="001B2D4A"/>
    <w:rsid w:val="001C5704"/>
    <w:rsid w:val="001C79C1"/>
    <w:rsid w:val="001F3B10"/>
    <w:rsid w:val="002129A8"/>
    <w:rsid w:val="002141DC"/>
    <w:rsid w:val="002169D3"/>
    <w:rsid w:val="002366EE"/>
    <w:rsid w:val="00245A48"/>
    <w:rsid w:val="00245CDC"/>
    <w:rsid w:val="00247A2C"/>
    <w:rsid w:val="00254898"/>
    <w:rsid w:val="00257B53"/>
    <w:rsid w:val="002704BA"/>
    <w:rsid w:val="00285C7C"/>
    <w:rsid w:val="002A00F4"/>
    <w:rsid w:val="002A4A72"/>
    <w:rsid w:val="002C0147"/>
    <w:rsid w:val="002D5FBE"/>
    <w:rsid w:val="002E0515"/>
    <w:rsid w:val="002E5FEE"/>
    <w:rsid w:val="002E7289"/>
    <w:rsid w:val="003160E8"/>
    <w:rsid w:val="00324B08"/>
    <w:rsid w:val="00325417"/>
    <w:rsid w:val="00334F25"/>
    <w:rsid w:val="003406DC"/>
    <w:rsid w:val="00362628"/>
    <w:rsid w:val="00366872"/>
    <w:rsid w:val="0037450A"/>
    <w:rsid w:val="003805D5"/>
    <w:rsid w:val="003950FA"/>
    <w:rsid w:val="003A2BD1"/>
    <w:rsid w:val="003A5CE8"/>
    <w:rsid w:val="003B4DB2"/>
    <w:rsid w:val="003B5254"/>
    <w:rsid w:val="003B53DB"/>
    <w:rsid w:val="003C1868"/>
    <w:rsid w:val="003C2AF4"/>
    <w:rsid w:val="003C4BB8"/>
    <w:rsid w:val="003D5437"/>
    <w:rsid w:val="003F47B3"/>
    <w:rsid w:val="003F5AAF"/>
    <w:rsid w:val="00403EB7"/>
    <w:rsid w:val="00417E7F"/>
    <w:rsid w:val="00426FAB"/>
    <w:rsid w:val="00427F52"/>
    <w:rsid w:val="00431BF1"/>
    <w:rsid w:val="00432111"/>
    <w:rsid w:val="0043588C"/>
    <w:rsid w:val="00442F7B"/>
    <w:rsid w:val="00460B77"/>
    <w:rsid w:val="00461221"/>
    <w:rsid w:val="004724A1"/>
    <w:rsid w:val="004B296F"/>
    <w:rsid w:val="004B512D"/>
    <w:rsid w:val="004C43A7"/>
    <w:rsid w:val="004D440B"/>
    <w:rsid w:val="004E3D66"/>
    <w:rsid w:val="004F17A2"/>
    <w:rsid w:val="0050225A"/>
    <w:rsid w:val="00503317"/>
    <w:rsid w:val="00505DBB"/>
    <w:rsid w:val="00517C43"/>
    <w:rsid w:val="0053344D"/>
    <w:rsid w:val="00536082"/>
    <w:rsid w:val="005517B9"/>
    <w:rsid w:val="00552881"/>
    <w:rsid w:val="00553225"/>
    <w:rsid w:val="00556D88"/>
    <w:rsid w:val="00563D89"/>
    <w:rsid w:val="00567251"/>
    <w:rsid w:val="0058177A"/>
    <w:rsid w:val="005A2799"/>
    <w:rsid w:val="005A32C2"/>
    <w:rsid w:val="005A54DB"/>
    <w:rsid w:val="005B0E48"/>
    <w:rsid w:val="005B78C1"/>
    <w:rsid w:val="005C2ABA"/>
    <w:rsid w:val="005C599E"/>
    <w:rsid w:val="005C7D7E"/>
    <w:rsid w:val="005D1DC9"/>
    <w:rsid w:val="005D354A"/>
    <w:rsid w:val="005D4294"/>
    <w:rsid w:val="005D7BB0"/>
    <w:rsid w:val="005F092B"/>
    <w:rsid w:val="006061BB"/>
    <w:rsid w:val="00622615"/>
    <w:rsid w:val="00623C50"/>
    <w:rsid w:val="00650128"/>
    <w:rsid w:val="0065580A"/>
    <w:rsid w:val="00656235"/>
    <w:rsid w:val="00656DBF"/>
    <w:rsid w:val="00661713"/>
    <w:rsid w:val="006648C1"/>
    <w:rsid w:val="00667405"/>
    <w:rsid w:val="006825EB"/>
    <w:rsid w:val="006914AE"/>
    <w:rsid w:val="00697D24"/>
    <w:rsid w:val="006B75AF"/>
    <w:rsid w:val="006B7B56"/>
    <w:rsid w:val="006E14AC"/>
    <w:rsid w:val="006E733F"/>
    <w:rsid w:val="006F0815"/>
    <w:rsid w:val="006F3A4C"/>
    <w:rsid w:val="006F7A22"/>
    <w:rsid w:val="00700906"/>
    <w:rsid w:val="00704C02"/>
    <w:rsid w:val="007153F1"/>
    <w:rsid w:val="00723E5E"/>
    <w:rsid w:val="00741465"/>
    <w:rsid w:val="00741DDF"/>
    <w:rsid w:val="00756005"/>
    <w:rsid w:val="00763E52"/>
    <w:rsid w:val="00771488"/>
    <w:rsid w:val="0077777D"/>
    <w:rsid w:val="007A027D"/>
    <w:rsid w:val="007A04DD"/>
    <w:rsid w:val="007C3C50"/>
    <w:rsid w:val="007C5028"/>
    <w:rsid w:val="007E0622"/>
    <w:rsid w:val="007E1D39"/>
    <w:rsid w:val="007E5579"/>
    <w:rsid w:val="007F0860"/>
    <w:rsid w:val="007F37DA"/>
    <w:rsid w:val="008026DE"/>
    <w:rsid w:val="00817A4C"/>
    <w:rsid w:val="00824BC1"/>
    <w:rsid w:val="00824D5C"/>
    <w:rsid w:val="00827DFA"/>
    <w:rsid w:val="008415E9"/>
    <w:rsid w:val="0084177F"/>
    <w:rsid w:val="00843CA7"/>
    <w:rsid w:val="008440C6"/>
    <w:rsid w:val="00852AAB"/>
    <w:rsid w:val="00862169"/>
    <w:rsid w:val="0087757C"/>
    <w:rsid w:val="0088331F"/>
    <w:rsid w:val="00883517"/>
    <w:rsid w:val="008A0474"/>
    <w:rsid w:val="008A678B"/>
    <w:rsid w:val="008C2296"/>
    <w:rsid w:val="008C45AB"/>
    <w:rsid w:val="008D306A"/>
    <w:rsid w:val="008E15B9"/>
    <w:rsid w:val="008E66E2"/>
    <w:rsid w:val="008F3DE5"/>
    <w:rsid w:val="008F6815"/>
    <w:rsid w:val="009138E1"/>
    <w:rsid w:val="00916409"/>
    <w:rsid w:val="00916F57"/>
    <w:rsid w:val="009176C5"/>
    <w:rsid w:val="0092470D"/>
    <w:rsid w:val="00931D61"/>
    <w:rsid w:val="009328AD"/>
    <w:rsid w:val="00937DB1"/>
    <w:rsid w:val="00957AFD"/>
    <w:rsid w:val="00957E02"/>
    <w:rsid w:val="00967D11"/>
    <w:rsid w:val="0098411B"/>
    <w:rsid w:val="0098610B"/>
    <w:rsid w:val="009C272B"/>
    <w:rsid w:val="009C2E71"/>
    <w:rsid w:val="009D5C02"/>
    <w:rsid w:val="009F33BF"/>
    <w:rsid w:val="009F3583"/>
    <w:rsid w:val="00A05AD8"/>
    <w:rsid w:val="00A157FF"/>
    <w:rsid w:val="00A15B2F"/>
    <w:rsid w:val="00A17DE1"/>
    <w:rsid w:val="00A45A17"/>
    <w:rsid w:val="00A50675"/>
    <w:rsid w:val="00A51623"/>
    <w:rsid w:val="00A67795"/>
    <w:rsid w:val="00A70CF6"/>
    <w:rsid w:val="00A807F3"/>
    <w:rsid w:val="00A90B75"/>
    <w:rsid w:val="00AA5727"/>
    <w:rsid w:val="00AA7FDE"/>
    <w:rsid w:val="00AB0144"/>
    <w:rsid w:val="00AB18EE"/>
    <w:rsid w:val="00AB68D1"/>
    <w:rsid w:val="00AE2D6A"/>
    <w:rsid w:val="00B059AE"/>
    <w:rsid w:val="00B1375A"/>
    <w:rsid w:val="00B23AF9"/>
    <w:rsid w:val="00B246C7"/>
    <w:rsid w:val="00B27AC6"/>
    <w:rsid w:val="00B37E4F"/>
    <w:rsid w:val="00B4576C"/>
    <w:rsid w:val="00B476E1"/>
    <w:rsid w:val="00B502D3"/>
    <w:rsid w:val="00B5325D"/>
    <w:rsid w:val="00B55107"/>
    <w:rsid w:val="00B64838"/>
    <w:rsid w:val="00B73077"/>
    <w:rsid w:val="00B81477"/>
    <w:rsid w:val="00B841F2"/>
    <w:rsid w:val="00B86F95"/>
    <w:rsid w:val="00B87396"/>
    <w:rsid w:val="00B90478"/>
    <w:rsid w:val="00BA3640"/>
    <w:rsid w:val="00BB4775"/>
    <w:rsid w:val="00BB60A5"/>
    <w:rsid w:val="00BC6F60"/>
    <w:rsid w:val="00BD3088"/>
    <w:rsid w:val="00BD4F35"/>
    <w:rsid w:val="00BE2F8E"/>
    <w:rsid w:val="00BF4244"/>
    <w:rsid w:val="00C145C5"/>
    <w:rsid w:val="00C15CD9"/>
    <w:rsid w:val="00C301CF"/>
    <w:rsid w:val="00C355F2"/>
    <w:rsid w:val="00C35A38"/>
    <w:rsid w:val="00C402F0"/>
    <w:rsid w:val="00C40866"/>
    <w:rsid w:val="00C42578"/>
    <w:rsid w:val="00C45ACD"/>
    <w:rsid w:val="00C535C6"/>
    <w:rsid w:val="00C5368B"/>
    <w:rsid w:val="00C61E1A"/>
    <w:rsid w:val="00C66FF5"/>
    <w:rsid w:val="00C70FF7"/>
    <w:rsid w:val="00C8102B"/>
    <w:rsid w:val="00C91AAE"/>
    <w:rsid w:val="00CA249F"/>
    <w:rsid w:val="00CA419C"/>
    <w:rsid w:val="00CC3C24"/>
    <w:rsid w:val="00CD2FF3"/>
    <w:rsid w:val="00CE22DA"/>
    <w:rsid w:val="00CE4B08"/>
    <w:rsid w:val="00D01824"/>
    <w:rsid w:val="00D107A3"/>
    <w:rsid w:val="00D10828"/>
    <w:rsid w:val="00D17844"/>
    <w:rsid w:val="00D262CF"/>
    <w:rsid w:val="00D27C91"/>
    <w:rsid w:val="00D47D61"/>
    <w:rsid w:val="00D60E72"/>
    <w:rsid w:val="00D7224E"/>
    <w:rsid w:val="00D7511C"/>
    <w:rsid w:val="00D76E7D"/>
    <w:rsid w:val="00D802C3"/>
    <w:rsid w:val="00D82BBC"/>
    <w:rsid w:val="00D945FC"/>
    <w:rsid w:val="00D97EFD"/>
    <w:rsid w:val="00DB11B0"/>
    <w:rsid w:val="00DB178A"/>
    <w:rsid w:val="00DB5E34"/>
    <w:rsid w:val="00DB75F3"/>
    <w:rsid w:val="00DC135F"/>
    <w:rsid w:val="00DC588F"/>
    <w:rsid w:val="00DD3E6E"/>
    <w:rsid w:val="00DD533E"/>
    <w:rsid w:val="00DD7818"/>
    <w:rsid w:val="00E015E8"/>
    <w:rsid w:val="00E05316"/>
    <w:rsid w:val="00E1073B"/>
    <w:rsid w:val="00E2694B"/>
    <w:rsid w:val="00E37249"/>
    <w:rsid w:val="00E4587E"/>
    <w:rsid w:val="00E526EB"/>
    <w:rsid w:val="00E53B24"/>
    <w:rsid w:val="00E6026F"/>
    <w:rsid w:val="00E727C1"/>
    <w:rsid w:val="00E7710F"/>
    <w:rsid w:val="00E8314D"/>
    <w:rsid w:val="00E92555"/>
    <w:rsid w:val="00E95D63"/>
    <w:rsid w:val="00E97143"/>
    <w:rsid w:val="00EA1277"/>
    <w:rsid w:val="00EB56E1"/>
    <w:rsid w:val="00EB76FF"/>
    <w:rsid w:val="00EC1630"/>
    <w:rsid w:val="00ED0055"/>
    <w:rsid w:val="00ED1600"/>
    <w:rsid w:val="00ED249B"/>
    <w:rsid w:val="00ED4714"/>
    <w:rsid w:val="00ED5ACB"/>
    <w:rsid w:val="00EE4ECF"/>
    <w:rsid w:val="00EF0041"/>
    <w:rsid w:val="00EF3E4A"/>
    <w:rsid w:val="00F04667"/>
    <w:rsid w:val="00F2465D"/>
    <w:rsid w:val="00F27581"/>
    <w:rsid w:val="00F30FEC"/>
    <w:rsid w:val="00F3158E"/>
    <w:rsid w:val="00F32E8A"/>
    <w:rsid w:val="00F3445D"/>
    <w:rsid w:val="00F350E5"/>
    <w:rsid w:val="00F425CF"/>
    <w:rsid w:val="00F46111"/>
    <w:rsid w:val="00F635EF"/>
    <w:rsid w:val="00F70710"/>
    <w:rsid w:val="00F85067"/>
    <w:rsid w:val="00F923B4"/>
    <w:rsid w:val="00F95086"/>
    <w:rsid w:val="00FB0827"/>
    <w:rsid w:val="00FB49E9"/>
    <w:rsid w:val="00FD07A0"/>
    <w:rsid w:val="00FE07B6"/>
    <w:rsid w:val="00FE29EB"/>
    <w:rsid w:val="00FE4ECB"/>
    <w:rsid w:val="00FE56E3"/>
    <w:rsid w:val="00FF738A"/>
    <w:rsid w:val="01CF055C"/>
    <w:rsid w:val="03645D9D"/>
    <w:rsid w:val="048B10A7"/>
    <w:rsid w:val="07735E6D"/>
    <w:rsid w:val="08689A70"/>
    <w:rsid w:val="08F867A7"/>
    <w:rsid w:val="095502CE"/>
    <w:rsid w:val="0B4313CF"/>
    <w:rsid w:val="0C1E55B4"/>
    <w:rsid w:val="0C435497"/>
    <w:rsid w:val="0CE3AE1A"/>
    <w:rsid w:val="0F68DFAE"/>
    <w:rsid w:val="12F57637"/>
    <w:rsid w:val="1494CEEF"/>
    <w:rsid w:val="14DD4374"/>
    <w:rsid w:val="14F6A3D4"/>
    <w:rsid w:val="1918B004"/>
    <w:rsid w:val="19339714"/>
    <w:rsid w:val="1B5B4371"/>
    <w:rsid w:val="1B93921D"/>
    <w:rsid w:val="1D669243"/>
    <w:rsid w:val="1E6C8165"/>
    <w:rsid w:val="1FDAA594"/>
    <w:rsid w:val="2123743F"/>
    <w:rsid w:val="21F0B9E1"/>
    <w:rsid w:val="225BD5D0"/>
    <w:rsid w:val="225C2229"/>
    <w:rsid w:val="22C594DE"/>
    <w:rsid w:val="2711225E"/>
    <w:rsid w:val="2809DBCD"/>
    <w:rsid w:val="29D25374"/>
    <w:rsid w:val="2B678A15"/>
    <w:rsid w:val="2C52D874"/>
    <w:rsid w:val="2C8FC909"/>
    <w:rsid w:val="2D52792A"/>
    <w:rsid w:val="2E067BBB"/>
    <w:rsid w:val="2E703D47"/>
    <w:rsid w:val="2F079557"/>
    <w:rsid w:val="30C1590B"/>
    <w:rsid w:val="30E58EC5"/>
    <w:rsid w:val="30F43452"/>
    <w:rsid w:val="32983E44"/>
    <w:rsid w:val="32B7922A"/>
    <w:rsid w:val="32D23275"/>
    <w:rsid w:val="348298AA"/>
    <w:rsid w:val="37E73D28"/>
    <w:rsid w:val="382FC405"/>
    <w:rsid w:val="39743DC9"/>
    <w:rsid w:val="3B9A089C"/>
    <w:rsid w:val="3C64CE5E"/>
    <w:rsid w:val="3D2E6E5B"/>
    <w:rsid w:val="3E327F94"/>
    <w:rsid w:val="3E6B727E"/>
    <w:rsid w:val="3F1E0294"/>
    <w:rsid w:val="3F756B52"/>
    <w:rsid w:val="40F5ED86"/>
    <w:rsid w:val="411BA198"/>
    <w:rsid w:val="418A78DA"/>
    <w:rsid w:val="45117ADE"/>
    <w:rsid w:val="457B26C0"/>
    <w:rsid w:val="46DEC487"/>
    <w:rsid w:val="4806EA01"/>
    <w:rsid w:val="480B91BF"/>
    <w:rsid w:val="483C8641"/>
    <w:rsid w:val="483CEDB0"/>
    <w:rsid w:val="4885FAE4"/>
    <w:rsid w:val="490562BF"/>
    <w:rsid w:val="4A1F993E"/>
    <w:rsid w:val="4C278015"/>
    <w:rsid w:val="51A1C49B"/>
    <w:rsid w:val="536C4657"/>
    <w:rsid w:val="53BFBC44"/>
    <w:rsid w:val="53F8578C"/>
    <w:rsid w:val="53FA3C78"/>
    <w:rsid w:val="55961B28"/>
    <w:rsid w:val="55BC81F0"/>
    <w:rsid w:val="566731DF"/>
    <w:rsid w:val="575E5704"/>
    <w:rsid w:val="57A8C19D"/>
    <w:rsid w:val="5A27C5AB"/>
    <w:rsid w:val="5A4501B2"/>
    <w:rsid w:val="5BAF067C"/>
    <w:rsid w:val="5D28FA5A"/>
    <w:rsid w:val="5E343D40"/>
    <w:rsid w:val="5E6045CA"/>
    <w:rsid w:val="5FFEB6B8"/>
    <w:rsid w:val="604AE6BF"/>
    <w:rsid w:val="633E4F86"/>
    <w:rsid w:val="6386A339"/>
    <w:rsid w:val="63ECDFB6"/>
    <w:rsid w:val="648D395E"/>
    <w:rsid w:val="668C039C"/>
    <w:rsid w:val="678D7901"/>
    <w:rsid w:val="6A0CD316"/>
    <w:rsid w:val="6C4C0D47"/>
    <w:rsid w:val="6C7D1664"/>
    <w:rsid w:val="6DD27F1A"/>
    <w:rsid w:val="6E12DB2D"/>
    <w:rsid w:val="6EDA1DD7"/>
    <w:rsid w:val="700AACF4"/>
    <w:rsid w:val="701F0CA8"/>
    <w:rsid w:val="712F9AB5"/>
    <w:rsid w:val="723FEA3A"/>
    <w:rsid w:val="74A4E1F4"/>
    <w:rsid w:val="755E1C9F"/>
    <w:rsid w:val="75B5FB12"/>
    <w:rsid w:val="76DA308C"/>
    <w:rsid w:val="779AC67B"/>
    <w:rsid w:val="7882AD06"/>
    <w:rsid w:val="788E0F5E"/>
    <w:rsid w:val="793B7048"/>
    <w:rsid w:val="79CA9A8E"/>
    <w:rsid w:val="7C626E38"/>
    <w:rsid w:val="7E18B4DE"/>
    <w:rsid w:val="7E22871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710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5B9"/>
    <w:pPr>
      <w:spacing w:line="288"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6FF"/>
    <w:pPr>
      <w:ind w:left="720"/>
      <w:contextualSpacing/>
    </w:pPr>
  </w:style>
  <w:style w:type="paragraph" w:styleId="BalloonText">
    <w:name w:val="Balloon Text"/>
    <w:basedOn w:val="Normal"/>
    <w:link w:val="BalloonTextChar"/>
    <w:uiPriority w:val="99"/>
    <w:semiHidden/>
    <w:unhideWhenUsed/>
    <w:rsid w:val="00426F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FAB"/>
    <w:rPr>
      <w:rFonts w:ascii="Segoe UI" w:hAnsi="Segoe UI" w:cs="Segoe UI"/>
      <w:sz w:val="18"/>
      <w:szCs w:val="18"/>
    </w:rPr>
  </w:style>
  <w:style w:type="paragraph" w:styleId="Revision">
    <w:name w:val="Revision"/>
    <w:hidden/>
    <w:uiPriority w:val="99"/>
    <w:semiHidden/>
    <w:rsid w:val="006E14AC"/>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324B08"/>
    <w:rPr>
      <w:sz w:val="16"/>
      <w:szCs w:val="16"/>
    </w:rPr>
  </w:style>
  <w:style w:type="paragraph" w:styleId="CommentText">
    <w:name w:val="annotation text"/>
    <w:basedOn w:val="Normal"/>
    <w:link w:val="CommentTextChar"/>
    <w:uiPriority w:val="99"/>
    <w:unhideWhenUsed/>
    <w:rsid w:val="00324B08"/>
    <w:pPr>
      <w:spacing w:line="240" w:lineRule="auto"/>
    </w:pPr>
    <w:rPr>
      <w:sz w:val="20"/>
      <w:szCs w:val="20"/>
    </w:rPr>
  </w:style>
  <w:style w:type="character" w:customStyle="1" w:styleId="CommentTextChar">
    <w:name w:val="Comment Text Char"/>
    <w:basedOn w:val="DefaultParagraphFont"/>
    <w:link w:val="CommentText"/>
    <w:uiPriority w:val="99"/>
    <w:rsid w:val="00324B0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24B08"/>
    <w:rPr>
      <w:b/>
      <w:bCs/>
    </w:rPr>
  </w:style>
  <w:style w:type="character" w:customStyle="1" w:styleId="CommentSubjectChar">
    <w:name w:val="Comment Subject Char"/>
    <w:basedOn w:val="CommentTextChar"/>
    <w:link w:val="CommentSubject"/>
    <w:uiPriority w:val="99"/>
    <w:semiHidden/>
    <w:rsid w:val="00324B08"/>
    <w:rPr>
      <w:rFonts w:ascii="Times New Roman" w:hAnsi="Times New Roman"/>
      <w:b/>
      <w:bCs/>
      <w:sz w:val="20"/>
      <w:szCs w:val="20"/>
    </w:rPr>
  </w:style>
  <w:style w:type="paragraph" w:styleId="Header">
    <w:name w:val="header"/>
    <w:basedOn w:val="Normal"/>
    <w:link w:val="HeaderChar"/>
    <w:uiPriority w:val="99"/>
    <w:unhideWhenUsed/>
    <w:rsid w:val="005F0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92B"/>
    <w:rPr>
      <w:rFonts w:ascii="Times New Roman" w:hAnsi="Times New Roman"/>
      <w:sz w:val="24"/>
    </w:rPr>
  </w:style>
  <w:style w:type="paragraph" w:styleId="Footer">
    <w:name w:val="footer"/>
    <w:basedOn w:val="Normal"/>
    <w:link w:val="FooterChar"/>
    <w:uiPriority w:val="99"/>
    <w:unhideWhenUsed/>
    <w:rsid w:val="005F0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92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8062">
      <w:bodyDiv w:val="1"/>
      <w:marLeft w:val="0"/>
      <w:marRight w:val="0"/>
      <w:marTop w:val="0"/>
      <w:marBottom w:val="0"/>
      <w:divBdr>
        <w:top w:val="none" w:sz="0" w:space="0" w:color="auto"/>
        <w:left w:val="none" w:sz="0" w:space="0" w:color="auto"/>
        <w:bottom w:val="none" w:sz="0" w:space="0" w:color="auto"/>
        <w:right w:val="none" w:sz="0" w:space="0" w:color="auto"/>
      </w:divBdr>
    </w:div>
    <w:div w:id="220408968">
      <w:bodyDiv w:val="1"/>
      <w:marLeft w:val="0"/>
      <w:marRight w:val="0"/>
      <w:marTop w:val="0"/>
      <w:marBottom w:val="0"/>
      <w:divBdr>
        <w:top w:val="none" w:sz="0" w:space="0" w:color="auto"/>
        <w:left w:val="none" w:sz="0" w:space="0" w:color="auto"/>
        <w:bottom w:val="none" w:sz="0" w:space="0" w:color="auto"/>
        <w:right w:val="none" w:sz="0" w:space="0" w:color="auto"/>
      </w:divBdr>
    </w:div>
    <w:div w:id="1237931647">
      <w:bodyDiv w:val="1"/>
      <w:marLeft w:val="0"/>
      <w:marRight w:val="0"/>
      <w:marTop w:val="0"/>
      <w:marBottom w:val="0"/>
      <w:divBdr>
        <w:top w:val="none" w:sz="0" w:space="0" w:color="auto"/>
        <w:left w:val="none" w:sz="0" w:space="0" w:color="auto"/>
        <w:bottom w:val="none" w:sz="0" w:space="0" w:color="auto"/>
        <w:right w:val="none" w:sz="0" w:space="0" w:color="auto"/>
      </w:divBdr>
    </w:div>
    <w:div w:id="169384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1290</Words>
  <Characters>7355</Characters>
  <Application>Microsoft Office Word</Application>
  <DocSecurity>0</DocSecurity>
  <Lines>61</Lines>
  <Paragraphs>17</Paragraphs>
  <ScaleCrop>false</ScaleCrop>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2025-06-02T09:28:00Z</dcterms:created>
  <dcterms:modified xsi:type="dcterms:W3CDTF">2025-06-02T09:28:00Z</dcterms:modified>
</cp:coreProperties>
</file>