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B2FE" w14:textId="77777777" w:rsidR="003C52DC" w:rsidRDefault="003C52DC" w:rsidP="003C52DC">
      <w:pPr>
        <w:rPr>
          <w:sz w:val="28"/>
        </w:rPr>
      </w:pPr>
      <w:bookmarkStart w:id="0" w:name="_Toc478567696"/>
      <w:bookmarkEnd w:id="0"/>
      <w:r>
        <w:rPr>
          <w:noProof/>
          <w:lang w:eastAsia="en-AU"/>
        </w:rPr>
        <w:drawing>
          <wp:inline distT="0" distB="0" distL="0" distR="0" wp14:anchorId="0BBE1A7A" wp14:editId="76B1D19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AE9AD70" w14:textId="77777777" w:rsidR="003C52DC" w:rsidRDefault="003C52DC" w:rsidP="003C52DC">
      <w:pPr>
        <w:rPr>
          <w:sz w:val="19"/>
        </w:rPr>
      </w:pPr>
    </w:p>
    <w:p w14:paraId="31AF8292" w14:textId="6A8AEC5E" w:rsidR="003C52DC" w:rsidRPr="00E500D4" w:rsidRDefault="005354BA" w:rsidP="003C52DC">
      <w:pPr>
        <w:pStyle w:val="ShortT"/>
      </w:pPr>
      <w:r w:rsidRPr="005354BA">
        <w:t>Health Insurance (Section 3C General Medical Services – Telehealth Attendances) Amendment (Chronic Condition Management) Determination 202</w:t>
      </w:r>
      <w:r w:rsidR="00D41A60">
        <w:t>5</w:t>
      </w:r>
      <w:r w:rsidRPr="005354BA">
        <w:t xml:space="preserve"> </w:t>
      </w:r>
    </w:p>
    <w:p w14:paraId="3530EF8F" w14:textId="69585F25" w:rsidR="003C52DC" w:rsidRPr="00DA182D" w:rsidRDefault="003C52DC" w:rsidP="003C52DC">
      <w:pPr>
        <w:pStyle w:val="SignCoverPageStart"/>
        <w:spacing w:before="240"/>
        <w:ind w:right="91"/>
        <w:rPr>
          <w:szCs w:val="22"/>
        </w:rPr>
      </w:pPr>
      <w:r w:rsidRPr="00DA182D">
        <w:rPr>
          <w:szCs w:val="22"/>
        </w:rPr>
        <w:t>I,</w:t>
      </w:r>
      <w:r w:rsidR="005354BA">
        <w:rPr>
          <w:szCs w:val="22"/>
        </w:rPr>
        <w:t xml:space="preserve"> Louise Riley, delegate of the Minister of Health and </w:t>
      </w:r>
      <w:r w:rsidR="00687E89">
        <w:rPr>
          <w:szCs w:val="22"/>
        </w:rPr>
        <w:t>Ageing</w:t>
      </w:r>
      <w:r w:rsidRPr="00DA182D">
        <w:rPr>
          <w:szCs w:val="22"/>
        </w:rPr>
        <w:t xml:space="preserve">, </w:t>
      </w:r>
      <w:r>
        <w:rPr>
          <w:szCs w:val="22"/>
        </w:rPr>
        <w:t>make the following</w:t>
      </w:r>
      <w:r w:rsidR="005354BA">
        <w:rPr>
          <w:szCs w:val="22"/>
        </w:rPr>
        <w:t xml:space="preserve"> Determination.</w:t>
      </w:r>
    </w:p>
    <w:p w14:paraId="78E4C56C" w14:textId="6A8A22D2" w:rsidR="003C52DC" w:rsidRPr="00001A63" w:rsidRDefault="003C52DC" w:rsidP="003C52DC">
      <w:pPr>
        <w:keepNext/>
        <w:spacing w:before="300" w:line="240" w:lineRule="atLeast"/>
        <w:ind w:right="397"/>
        <w:jc w:val="both"/>
      </w:pPr>
      <w:r>
        <w:t>Dated</w:t>
      </w:r>
      <w:r>
        <w:tab/>
      </w:r>
      <w:r w:rsidR="005009C1">
        <w:t xml:space="preserve">26 </w:t>
      </w:r>
      <w:r w:rsidR="004C2BBB">
        <w:t>May</w:t>
      </w:r>
      <w:r w:rsidR="006B0295">
        <w:t xml:space="preserve"> </w:t>
      </w:r>
      <w:r w:rsidR="00CE3E1F">
        <w:t>202</w:t>
      </w:r>
      <w:r w:rsidR="00D41A60">
        <w:t>5</w:t>
      </w:r>
      <w:r>
        <w:tab/>
      </w:r>
    </w:p>
    <w:p w14:paraId="7B76A8FB" w14:textId="4CC82C6D" w:rsidR="003C52DC" w:rsidRPr="00FC56ED" w:rsidRDefault="00C741D7" w:rsidP="003C52DC">
      <w:pPr>
        <w:keepNext/>
        <w:tabs>
          <w:tab w:val="left" w:pos="3402"/>
        </w:tabs>
        <w:spacing w:before="1440" w:line="300" w:lineRule="atLeast"/>
        <w:ind w:right="397"/>
        <w:rPr>
          <w:b/>
        </w:rPr>
      </w:pPr>
      <w:r w:rsidRPr="00FC56ED">
        <w:t>Louise Riley</w:t>
      </w:r>
    </w:p>
    <w:p w14:paraId="136B9005" w14:textId="4602F02F" w:rsidR="00C741D7" w:rsidRPr="00FC56ED" w:rsidRDefault="00C741D7" w:rsidP="003C52DC">
      <w:pPr>
        <w:pStyle w:val="SignCoverPageEnd"/>
        <w:ind w:right="91"/>
        <w:rPr>
          <w:sz w:val="22"/>
          <w:szCs w:val="22"/>
        </w:rPr>
      </w:pPr>
      <w:r w:rsidRPr="00FC56ED">
        <w:rPr>
          <w:sz w:val="22"/>
          <w:szCs w:val="22"/>
        </w:rPr>
        <w:t>Assistant Secretary</w:t>
      </w:r>
    </w:p>
    <w:p w14:paraId="31C4B43B" w14:textId="125A73F7" w:rsidR="00C741D7" w:rsidRPr="00FC56ED" w:rsidRDefault="00C741D7" w:rsidP="003C52DC">
      <w:pPr>
        <w:pStyle w:val="SignCoverPageEnd"/>
        <w:ind w:right="91"/>
        <w:rPr>
          <w:sz w:val="22"/>
          <w:szCs w:val="22"/>
        </w:rPr>
      </w:pPr>
      <w:r w:rsidRPr="00FC56ED">
        <w:rPr>
          <w:sz w:val="22"/>
          <w:szCs w:val="22"/>
        </w:rPr>
        <w:t>MBS Policy and Reviews Branch</w:t>
      </w:r>
    </w:p>
    <w:p w14:paraId="6DF3EDE3" w14:textId="068BEFE4" w:rsidR="00C741D7" w:rsidRPr="00FC56ED" w:rsidRDefault="00C741D7" w:rsidP="003C52DC">
      <w:pPr>
        <w:pStyle w:val="SignCoverPageEnd"/>
        <w:ind w:right="91"/>
        <w:rPr>
          <w:sz w:val="22"/>
          <w:szCs w:val="22"/>
        </w:rPr>
      </w:pPr>
      <w:r w:rsidRPr="00FC56ED">
        <w:rPr>
          <w:sz w:val="22"/>
          <w:szCs w:val="22"/>
        </w:rPr>
        <w:t>Medicare Benefits and Digital Health Division</w:t>
      </w:r>
    </w:p>
    <w:p w14:paraId="680D9BB1" w14:textId="3D872BE3" w:rsidR="00C741D7" w:rsidRPr="00FC56ED" w:rsidRDefault="00C741D7" w:rsidP="003C52DC">
      <w:pPr>
        <w:pStyle w:val="SignCoverPageEnd"/>
        <w:ind w:right="91"/>
        <w:rPr>
          <w:sz w:val="22"/>
          <w:szCs w:val="22"/>
        </w:rPr>
      </w:pPr>
      <w:r w:rsidRPr="00FC56ED">
        <w:rPr>
          <w:sz w:val="22"/>
          <w:szCs w:val="22"/>
        </w:rPr>
        <w:t>Health Resourcing Group</w:t>
      </w:r>
    </w:p>
    <w:p w14:paraId="123DA2FE" w14:textId="3B7EECF4" w:rsidR="003C52DC" w:rsidRPr="000D3FB9" w:rsidRDefault="00687E89" w:rsidP="003C52DC">
      <w:pPr>
        <w:pStyle w:val="SignCoverPageEnd"/>
        <w:ind w:right="91"/>
        <w:rPr>
          <w:sz w:val="22"/>
          <w:szCs w:val="22"/>
        </w:rPr>
      </w:pPr>
      <w:r>
        <w:rPr>
          <w:sz w:val="22"/>
          <w:szCs w:val="22"/>
        </w:rPr>
        <w:t>Department of Health, Disability and Ageing</w:t>
      </w:r>
    </w:p>
    <w:p w14:paraId="61A29CD9" w14:textId="08E963BB" w:rsidR="003C52DC" w:rsidRDefault="003C52DC" w:rsidP="003C52DC"/>
    <w:p w14:paraId="366821FA" w14:textId="6B35934A" w:rsidR="003C52DC" w:rsidRDefault="003C52DC" w:rsidP="003C52DC">
      <w:pPr>
        <w:sectPr w:rsidR="003C52DC" w:rsidSect="00B20990">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709" w:gutter="0"/>
          <w:cols w:space="708"/>
          <w:titlePg/>
          <w:docGrid w:linePitch="360"/>
        </w:sectPr>
      </w:pPr>
    </w:p>
    <w:p w14:paraId="53EC31EF" w14:textId="77777777" w:rsidR="003C52DC" w:rsidRDefault="003C52DC" w:rsidP="003C52DC">
      <w:pPr>
        <w:outlineLvl w:val="0"/>
        <w:rPr>
          <w:sz w:val="36"/>
        </w:rPr>
      </w:pPr>
      <w:r w:rsidRPr="007A1328">
        <w:rPr>
          <w:sz w:val="36"/>
        </w:rPr>
        <w:lastRenderedPageBreak/>
        <w:t>Contents</w:t>
      </w:r>
    </w:p>
    <w:p w14:paraId="2E2B165C" w14:textId="6AD1D88C" w:rsidR="00FC56ED" w:rsidRDefault="00FC56ED">
      <w:pPr>
        <w:pStyle w:val="TOC5"/>
        <w:rPr>
          <w:rFonts w:asciiTheme="minorHAnsi" w:eastAsiaTheme="minorEastAsia" w:hAnsiTheme="minorHAnsi" w:cstheme="minorBidi"/>
          <w:noProof/>
          <w:kern w:val="2"/>
          <w:sz w:val="22"/>
          <w:szCs w:val="22"/>
          <w14:ligatures w14:val="standardContextual"/>
        </w:rPr>
      </w:pPr>
      <w:bookmarkStart w:id="1" w:name="BKCheck15B_2"/>
      <w:bookmarkEnd w:id="1"/>
      <w:r>
        <w:rPr>
          <w:noProof/>
        </w:rPr>
        <w:t>1  Name</w:t>
      </w:r>
      <w:r>
        <w:rPr>
          <w:noProof/>
        </w:rPr>
        <w:tab/>
      </w:r>
      <w:r w:rsidR="00B06464">
        <w:rPr>
          <w:noProof/>
        </w:rPr>
        <w:t>1</w:t>
      </w:r>
    </w:p>
    <w:p w14:paraId="4605A5E8" w14:textId="4ED72EDD" w:rsidR="00FC56ED" w:rsidRDefault="00FC56ED">
      <w:pPr>
        <w:pStyle w:val="TOC5"/>
        <w:rPr>
          <w:rFonts w:asciiTheme="minorHAnsi" w:eastAsiaTheme="minorEastAsia" w:hAnsiTheme="minorHAnsi" w:cstheme="minorBidi"/>
          <w:noProof/>
          <w:kern w:val="2"/>
          <w:sz w:val="22"/>
          <w:szCs w:val="22"/>
          <w14:ligatures w14:val="standardContextual"/>
        </w:rPr>
      </w:pPr>
      <w:r>
        <w:rPr>
          <w:noProof/>
        </w:rPr>
        <w:t>2  Commencement</w:t>
      </w:r>
      <w:r>
        <w:rPr>
          <w:noProof/>
        </w:rPr>
        <w:tab/>
      </w:r>
      <w:r w:rsidR="00B06464">
        <w:rPr>
          <w:noProof/>
        </w:rPr>
        <w:t>1</w:t>
      </w:r>
    </w:p>
    <w:p w14:paraId="61BA90FE" w14:textId="040BE377" w:rsidR="00FC56ED" w:rsidRDefault="00FC56ED">
      <w:pPr>
        <w:pStyle w:val="TOC5"/>
        <w:rPr>
          <w:rFonts w:asciiTheme="minorHAnsi" w:eastAsiaTheme="minorEastAsia" w:hAnsiTheme="minorHAnsi" w:cstheme="minorBidi"/>
          <w:noProof/>
          <w:kern w:val="2"/>
          <w:sz w:val="22"/>
          <w:szCs w:val="22"/>
          <w14:ligatures w14:val="standardContextual"/>
        </w:rPr>
      </w:pPr>
      <w:r>
        <w:rPr>
          <w:noProof/>
        </w:rPr>
        <w:t>3  Authority</w:t>
      </w:r>
      <w:r>
        <w:rPr>
          <w:noProof/>
        </w:rPr>
        <w:tab/>
      </w:r>
      <w:r w:rsidR="00B06464">
        <w:rPr>
          <w:noProof/>
        </w:rPr>
        <w:t>1</w:t>
      </w:r>
    </w:p>
    <w:p w14:paraId="4D5946B3" w14:textId="1E359E59" w:rsidR="00FC56ED" w:rsidRDefault="00FC56ED">
      <w:pPr>
        <w:pStyle w:val="TOC5"/>
        <w:rPr>
          <w:rFonts w:asciiTheme="minorHAnsi" w:eastAsiaTheme="minorEastAsia" w:hAnsiTheme="minorHAnsi" w:cstheme="minorBidi"/>
          <w:noProof/>
          <w:kern w:val="2"/>
          <w:sz w:val="22"/>
          <w:szCs w:val="22"/>
          <w14:ligatures w14:val="standardContextual"/>
        </w:rPr>
      </w:pPr>
      <w:r>
        <w:rPr>
          <w:noProof/>
        </w:rPr>
        <w:t>4  Schedules</w:t>
      </w:r>
      <w:r>
        <w:rPr>
          <w:noProof/>
        </w:rPr>
        <w:tab/>
      </w:r>
      <w:r w:rsidR="00B06464">
        <w:rPr>
          <w:noProof/>
        </w:rPr>
        <w:t>1</w:t>
      </w:r>
    </w:p>
    <w:p w14:paraId="74FA267A" w14:textId="4FF1A67A" w:rsidR="00FC56ED" w:rsidRDefault="00FC56ED">
      <w:pPr>
        <w:pStyle w:val="TOC6"/>
        <w:rPr>
          <w:rFonts w:asciiTheme="minorHAnsi" w:eastAsiaTheme="minorEastAsia" w:hAnsiTheme="minorHAnsi" w:cstheme="minorBidi"/>
          <w:b w:val="0"/>
          <w:noProof/>
          <w:kern w:val="2"/>
          <w:sz w:val="22"/>
          <w:szCs w:val="22"/>
          <w14:ligatures w14:val="standardContextual"/>
        </w:rPr>
      </w:pPr>
      <w:r>
        <w:rPr>
          <w:noProof/>
        </w:rPr>
        <w:t>Schedule 1—Amendments</w:t>
      </w:r>
      <w:r>
        <w:rPr>
          <w:noProof/>
        </w:rPr>
        <w:tab/>
      </w:r>
      <w:r w:rsidR="00B06464">
        <w:rPr>
          <w:noProof/>
        </w:rPr>
        <w:t>2</w:t>
      </w:r>
    </w:p>
    <w:p w14:paraId="3BA31446" w14:textId="79E2B125" w:rsidR="00FC56ED" w:rsidRDefault="00FC56ED">
      <w:pPr>
        <w:pStyle w:val="TOC9"/>
        <w:rPr>
          <w:rFonts w:asciiTheme="minorHAnsi" w:eastAsiaTheme="minorEastAsia" w:hAnsiTheme="minorHAnsi" w:cstheme="minorBidi"/>
          <w:i w:val="0"/>
          <w:noProof/>
          <w:kern w:val="2"/>
          <w:sz w:val="22"/>
          <w:szCs w:val="22"/>
          <w14:ligatures w14:val="standardContextual"/>
        </w:rPr>
      </w:pPr>
      <w:r>
        <w:rPr>
          <w:noProof/>
        </w:rPr>
        <w:t>Health Insurance (Section 3C General Medical Services – Telehealth and Telephone Attendances) Determination 2021</w:t>
      </w:r>
      <w:r>
        <w:rPr>
          <w:noProof/>
        </w:rPr>
        <w:tab/>
      </w:r>
      <w:r w:rsidR="00B06464">
        <w:rPr>
          <w:noProof/>
        </w:rPr>
        <w:t>2</w:t>
      </w:r>
    </w:p>
    <w:p w14:paraId="35F4BFAA" w14:textId="571C1155" w:rsidR="003C52DC" w:rsidRDefault="003C52DC" w:rsidP="003C52DC"/>
    <w:p w14:paraId="0969A0CC" w14:textId="77777777" w:rsidR="003C52DC" w:rsidRDefault="003C52DC" w:rsidP="003C52DC"/>
    <w:p w14:paraId="344A62E4" w14:textId="77777777" w:rsidR="003C52DC" w:rsidRDefault="003C52DC" w:rsidP="003C52DC">
      <w:pPr>
        <w:sectPr w:rsidR="003C52DC" w:rsidSect="00C32B89">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24C081D2" w14:textId="77777777" w:rsidR="003C52DC" w:rsidRPr="009C2562" w:rsidRDefault="003C52DC" w:rsidP="003C52DC">
      <w:pPr>
        <w:pStyle w:val="ActHead5"/>
      </w:pPr>
      <w:bookmarkStart w:id="2" w:name="_Toc176171552"/>
      <w:r w:rsidRPr="009C2562">
        <w:rPr>
          <w:rStyle w:val="CharSectno"/>
        </w:rPr>
        <w:lastRenderedPageBreak/>
        <w:t>1</w:t>
      </w:r>
      <w:r w:rsidRPr="009C2562">
        <w:t xml:space="preserve">  Name</w:t>
      </w:r>
      <w:bookmarkEnd w:id="2"/>
    </w:p>
    <w:p w14:paraId="1525C3A3" w14:textId="6B3B8641" w:rsidR="003C52DC" w:rsidRDefault="003C52DC" w:rsidP="003C52DC">
      <w:pPr>
        <w:pStyle w:val="subsection"/>
      </w:pPr>
      <w:r w:rsidRPr="009C2562">
        <w:tab/>
      </w:r>
      <w:r w:rsidRPr="009C2562">
        <w:tab/>
      </w:r>
      <w:r w:rsidR="00802C03" w:rsidRPr="0057230E">
        <w:t xml:space="preserve">This instrument is the </w:t>
      </w:r>
      <w:bookmarkStart w:id="3" w:name="BKCheck15B_3"/>
      <w:bookmarkEnd w:id="3"/>
      <w:r w:rsidR="00802C03" w:rsidRPr="0057230E">
        <w:rPr>
          <w:i/>
        </w:rPr>
        <w:t xml:space="preserve">Health Insurance (Section 3C General Medical Services – Telehealth Attendances) Amendment </w:t>
      </w:r>
      <w:r w:rsidR="00802C03" w:rsidRPr="00392C3C">
        <w:rPr>
          <w:i/>
        </w:rPr>
        <w:t>(Chronic Condition Management)</w:t>
      </w:r>
      <w:r w:rsidR="00802C03" w:rsidRPr="0057230E">
        <w:rPr>
          <w:i/>
        </w:rPr>
        <w:t xml:space="preserve"> Determination 202</w:t>
      </w:r>
      <w:r w:rsidR="00D41A60">
        <w:rPr>
          <w:i/>
        </w:rPr>
        <w:t>5</w:t>
      </w:r>
      <w:r w:rsidR="00802C03" w:rsidRPr="0057230E">
        <w:t>.</w:t>
      </w:r>
    </w:p>
    <w:p w14:paraId="46E5203B" w14:textId="77777777" w:rsidR="003C52DC" w:rsidRDefault="003C52DC" w:rsidP="003C52DC">
      <w:pPr>
        <w:pStyle w:val="ActHead5"/>
      </w:pPr>
      <w:bookmarkStart w:id="4" w:name="_Toc176171553"/>
      <w:r w:rsidRPr="009C2562">
        <w:rPr>
          <w:rStyle w:val="CharSectno"/>
        </w:rPr>
        <w:t>2</w:t>
      </w:r>
      <w:r w:rsidRPr="009C2562">
        <w:t xml:space="preserve">  Commencement</w:t>
      </w:r>
      <w:bookmarkEnd w:id="4"/>
    </w:p>
    <w:p w14:paraId="5F9E4A9A" w14:textId="7AA0F35E" w:rsidR="003C52DC" w:rsidRDefault="003C52DC" w:rsidP="003C52DC">
      <w:pPr>
        <w:pStyle w:val="subsection"/>
        <w:numPr>
          <w:ilvl w:val="0"/>
          <w:numId w:val="15"/>
        </w:numPr>
        <w:ind w:left="1134"/>
      </w:pPr>
      <w:r w:rsidRPr="00835215">
        <w:t>Each provision of this instrument specified in column 1 of the table commences, or is taken to have commenced, in accordance with column 2 of the table. Any other statement in column 2 has effect according to its terms</w:t>
      </w:r>
      <w:r>
        <w:t>.</w:t>
      </w:r>
    </w:p>
    <w:p w14:paraId="5EA961D1" w14:textId="77777777" w:rsidR="003C52DC" w:rsidRDefault="003C52DC" w:rsidP="003C52DC">
      <w:pPr>
        <w:pStyle w:val="subsection"/>
        <w:ind w:firstLine="0"/>
      </w:pPr>
    </w:p>
    <w:tbl>
      <w:tblPr>
        <w:tblW w:w="8364" w:type="dxa"/>
        <w:tblInd w:w="107" w:type="dxa"/>
        <w:tblLayout w:type="fixed"/>
        <w:tblCellMar>
          <w:left w:w="107" w:type="dxa"/>
          <w:right w:w="107" w:type="dxa"/>
        </w:tblCellMar>
        <w:tblLook w:val="04A0" w:firstRow="1" w:lastRow="0" w:firstColumn="1" w:lastColumn="0" w:noHBand="0" w:noVBand="1"/>
      </w:tblPr>
      <w:tblGrid>
        <w:gridCol w:w="3154"/>
        <w:gridCol w:w="3367"/>
        <w:gridCol w:w="1843"/>
      </w:tblGrid>
      <w:tr w:rsidR="003C52DC" w:rsidRPr="00F619ED" w14:paraId="5D350D9A" w14:textId="77777777" w:rsidTr="00C32B89">
        <w:trPr>
          <w:cantSplit/>
          <w:trHeight w:val="202"/>
          <w:tblHeader/>
        </w:trPr>
        <w:tc>
          <w:tcPr>
            <w:tcW w:w="8364" w:type="dxa"/>
            <w:gridSpan w:val="3"/>
            <w:tcBorders>
              <w:top w:val="single" w:sz="12" w:space="0" w:color="auto"/>
              <w:left w:val="nil"/>
              <w:bottom w:val="single" w:sz="6" w:space="0" w:color="auto"/>
              <w:right w:val="nil"/>
            </w:tcBorders>
            <w:hideMark/>
          </w:tcPr>
          <w:p w14:paraId="6ABC8487" w14:textId="77777777" w:rsidR="003C52DC" w:rsidRPr="00F619ED" w:rsidRDefault="003C52DC" w:rsidP="00C32B89">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Commencement information</w:t>
            </w:r>
          </w:p>
        </w:tc>
      </w:tr>
      <w:tr w:rsidR="003C52DC" w:rsidRPr="00F619ED" w14:paraId="6E087D73" w14:textId="77777777" w:rsidTr="00C32B89">
        <w:trPr>
          <w:cantSplit/>
          <w:trHeight w:val="209"/>
          <w:tblHeader/>
        </w:trPr>
        <w:tc>
          <w:tcPr>
            <w:tcW w:w="3154" w:type="dxa"/>
            <w:tcBorders>
              <w:top w:val="single" w:sz="6" w:space="0" w:color="auto"/>
              <w:left w:val="nil"/>
              <w:bottom w:val="single" w:sz="6" w:space="0" w:color="auto"/>
              <w:right w:val="nil"/>
            </w:tcBorders>
            <w:hideMark/>
          </w:tcPr>
          <w:p w14:paraId="5757AFA0" w14:textId="77777777" w:rsidR="003C52DC" w:rsidRPr="00F619ED" w:rsidRDefault="003C52DC" w:rsidP="00C32B89">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Column 1</w:t>
            </w:r>
          </w:p>
        </w:tc>
        <w:tc>
          <w:tcPr>
            <w:tcW w:w="3367" w:type="dxa"/>
            <w:tcBorders>
              <w:top w:val="single" w:sz="6" w:space="0" w:color="auto"/>
              <w:left w:val="nil"/>
              <w:bottom w:val="single" w:sz="6" w:space="0" w:color="auto"/>
              <w:right w:val="nil"/>
            </w:tcBorders>
            <w:hideMark/>
          </w:tcPr>
          <w:p w14:paraId="59F96F6E" w14:textId="77777777" w:rsidR="003C52DC" w:rsidRPr="00F619ED" w:rsidRDefault="003C52DC" w:rsidP="00C32B89">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Column 2</w:t>
            </w:r>
          </w:p>
        </w:tc>
        <w:tc>
          <w:tcPr>
            <w:tcW w:w="1843" w:type="dxa"/>
            <w:tcBorders>
              <w:top w:val="single" w:sz="6" w:space="0" w:color="auto"/>
              <w:left w:val="nil"/>
              <w:bottom w:val="single" w:sz="6" w:space="0" w:color="auto"/>
              <w:right w:val="nil"/>
            </w:tcBorders>
            <w:hideMark/>
          </w:tcPr>
          <w:p w14:paraId="5134B4CA" w14:textId="77777777" w:rsidR="003C52DC" w:rsidRPr="00F619ED" w:rsidRDefault="003C52DC" w:rsidP="00C32B89">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Column 3</w:t>
            </w:r>
          </w:p>
        </w:tc>
      </w:tr>
      <w:tr w:rsidR="003C52DC" w:rsidRPr="00F619ED" w14:paraId="2D9901B6" w14:textId="77777777" w:rsidTr="00C32B89">
        <w:trPr>
          <w:cantSplit/>
          <w:tblHeader/>
        </w:trPr>
        <w:tc>
          <w:tcPr>
            <w:tcW w:w="3154" w:type="dxa"/>
            <w:tcBorders>
              <w:top w:val="single" w:sz="6" w:space="0" w:color="auto"/>
              <w:left w:val="nil"/>
              <w:bottom w:val="single" w:sz="12" w:space="0" w:color="auto"/>
              <w:right w:val="nil"/>
            </w:tcBorders>
            <w:hideMark/>
          </w:tcPr>
          <w:p w14:paraId="56C19D56" w14:textId="77777777" w:rsidR="003C52DC" w:rsidRPr="00F619ED" w:rsidRDefault="003C52DC" w:rsidP="00C32B89">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Provisions</w:t>
            </w:r>
          </w:p>
        </w:tc>
        <w:tc>
          <w:tcPr>
            <w:tcW w:w="3367" w:type="dxa"/>
            <w:tcBorders>
              <w:top w:val="single" w:sz="6" w:space="0" w:color="auto"/>
              <w:left w:val="nil"/>
              <w:bottom w:val="single" w:sz="12" w:space="0" w:color="auto"/>
              <w:right w:val="nil"/>
            </w:tcBorders>
            <w:hideMark/>
          </w:tcPr>
          <w:p w14:paraId="5CBDD01F" w14:textId="77777777" w:rsidR="003C52DC" w:rsidRPr="00F619ED" w:rsidRDefault="003C52DC" w:rsidP="00C32B89">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Commencement</w:t>
            </w:r>
          </w:p>
        </w:tc>
        <w:tc>
          <w:tcPr>
            <w:tcW w:w="1843" w:type="dxa"/>
            <w:tcBorders>
              <w:top w:val="single" w:sz="6" w:space="0" w:color="auto"/>
              <w:left w:val="nil"/>
              <w:bottom w:val="single" w:sz="12" w:space="0" w:color="auto"/>
              <w:right w:val="nil"/>
            </w:tcBorders>
            <w:hideMark/>
          </w:tcPr>
          <w:p w14:paraId="78E613F8" w14:textId="77777777" w:rsidR="003C52DC" w:rsidRPr="00F619ED" w:rsidRDefault="003C52DC" w:rsidP="00C32B89">
            <w:pPr>
              <w:keepNext/>
              <w:autoSpaceDE w:val="0"/>
              <w:autoSpaceDN w:val="0"/>
              <w:spacing w:before="60" w:line="240" w:lineRule="atLeast"/>
              <w:rPr>
                <w:rFonts w:eastAsia="Times New Roman" w:cs="Times New Roman"/>
                <w:b/>
                <w:sz w:val="20"/>
                <w:szCs w:val="24"/>
                <w:lang w:eastAsia="en-AU"/>
              </w:rPr>
            </w:pPr>
            <w:r w:rsidRPr="00F619ED">
              <w:rPr>
                <w:rFonts w:eastAsia="Times New Roman" w:cs="Times New Roman"/>
                <w:b/>
                <w:sz w:val="20"/>
                <w:szCs w:val="24"/>
                <w:lang w:eastAsia="en-AU"/>
              </w:rPr>
              <w:t>Date/Details</w:t>
            </w:r>
          </w:p>
        </w:tc>
      </w:tr>
      <w:tr w:rsidR="003C52DC" w:rsidRPr="00F619ED" w14:paraId="005E5547" w14:textId="77777777" w:rsidTr="00C32B89">
        <w:trPr>
          <w:cantSplit/>
        </w:trPr>
        <w:tc>
          <w:tcPr>
            <w:tcW w:w="3154" w:type="dxa"/>
            <w:tcBorders>
              <w:top w:val="single" w:sz="12" w:space="0" w:color="auto"/>
              <w:left w:val="nil"/>
              <w:bottom w:val="single" w:sz="12" w:space="0" w:color="auto"/>
              <w:right w:val="nil"/>
            </w:tcBorders>
            <w:hideMark/>
          </w:tcPr>
          <w:p w14:paraId="61E37D41" w14:textId="77777777" w:rsidR="003C52DC" w:rsidRPr="00F619ED" w:rsidRDefault="003C52DC" w:rsidP="00C32B89">
            <w:pPr>
              <w:keepNext/>
              <w:autoSpaceDE w:val="0"/>
              <w:autoSpaceDN w:val="0"/>
              <w:spacing w:before="60" w:line="240" w:lineRule="atLeast"/>
              <w:rPr>
                <w:rFonts w:eastAsia="Times New Roman" w:cs="Times New Roman"/>
                <w:sz w:val="20"/>
                <w:szCs w:val="24"/>
                <w:lang w:eastAsia="en-AU"/>
              </w:rPr>
            </w:pPr>
            <w:r w:rsidRPr="00F619ED">
              <w:rPr>
                <w:rFonts w:eastAsia="Times New Roman" w:cs="Times New Roman"/>
                <w:sz w:val="20"/>
                <w:szCs w:val="24"/>
                <w:lang w:eastAsia="en-AU"/>
              </w:rPr>
              <w:t>1.  The whole of this instrument</w:t>
            </w:r>
          </w:p>
        </w:tc>
        <w:tc>
          <w:tcPr>
            <w:tcW w:w="3367" w:type="dxa"/>
            <w:tcBorders>
              <w:top w:val="single" w:sz="12" w:space="0" w:color="auto"/>
              <w:left w:val="nil"/>
              <w:bottom w:val="single" w:sz="12" w:space="0" w:color="auto"/>
              <w:right w:val="nil"/>
            </w:tcBorders>
            <w:hideMark/>
          </w:tcPr>
          <w:p w14:paraId="6F491428" w14:textId="2442084D" w:rsidR="003C52DC" w:rsidRPr="003E73C0" w:rsidRDefault="00CE4887" w:rsidP="00C32B89">
            <w:pPr>
              <w:keepNext/>
              <w:autoSpaceDE w:val="0"/>
              <w:autoSpaceDN w:val="0"/>
              <w:spacing w:before="60" w:line="240" w:lineRule="atLeast"/>
              <w:rPr>
                <w:rFonts w:eastAsia="Times New Roman" w:cs="Times New Roman"/>
                <w:color w:val="FF0000"/>
                <w:sz w:val="20"/>
                <w:szCs w:val="24"/>
                <w:lang w:eastAsia="en-AU"/>
              </w:rPr>
            </w:pPr>
            <w:r w:rsidRPr="002154BE">
              <w:rPr>
                <w:rFonts w:eastAsia="Times New Roman" w:cs="Times New Roman"/>
                <w:sz w:val="20"/>
                <w:szCs w:val="24"/>
                <w:lang w:eastAsia="en-AU"/>
              </w:rPr>
              <w:t>Immediately after</w:t>
            </w:r>
            <w:r w:rsidR="00E8253B">
              <w:rPr>
                <w:rFonts w:eastAsia="Times New Roman" w:cs="Times New Roman"/>
                <w:sz w:val="20"/>
                <w:szCs w:val="24"/>
                <w:lang w:eastAsia="en-AU"/>
              </w:rPr>
              <w:t xml:space="preserve"> commencement of</w:t>
            </w:r>
            <w:r w:rsidRPr="00A62C34">
              <w:rPr>
                <w:rFonts w:eastAsia="Times New Roman" w:cs="Times New Roman"/>
                <w:sz w:val="20"/>
                <w:szCs w:val="24"/>
                <w:lang w:eastAsia="en-AU"/>
              </w:rPr>
              <w:t xml:space="preserve"> </w:t>
            </w:r>
            <w:r>
              <w:rPr>
                <w:rFonts w:eastAsia="Times New Roman" w:cs="Times New Roman"/>
                <w:sz w:val="20"/>
                <w:szCs w:val="24"/>
                <w:lang w:eastAsia="en-AU"/>
              </w:rPr>
              <w:t xml:space="preserve">the </w:t>
            </w:r>
            <w:r w:rsidRPr="00A62C34">
              <w:rPr>
                <w:rFonts w:eastAsia="Times New Roman" w:cs="Times New Roman"/>
                <w:i/>
                <w:iCs/>
                <w:sz w:val="20"/>
                <w:szCs w:val="24"/>
                <w:lang w:eastAsia="en-AU"/>
              </w:rPr>
              <w:t>Health Insurance Legislation Amendment (2025 Measures No. 1) Regulations 2025</w:t>
            </w:r>
            <w:r w:rsidRPr="00CE4887">
              <w:rPr>
                <w:rFonts w:eastAsia="Times New Roman" w:cs="Times New Roman"/>
                <w:sz w:val="20"/>
                <w:szCs w:val="24"/>
                <w:lang w:eastAsia="en-AU"/>
              </w:rPr>
              <w:t>.</w:t>
            </w:r>
          </w:p>
        </w:tc>
        <w:tc>
          <w:tcPr>
            <w:tcW w:w="1843" w:type="dxa"/>
            <w:tcBorders>
              <w:top w:val="single" w:sz="12" w:space="0" w:color="auto"/>
              <w:left w:val="nil"/>
              <w:bottom w:val="single" w:sz="12" w:space="0" w:color="auto"/>
              <w:right w:val="nil"/>
            </w:tcBorders>
          </w:tcPr>
          <w:p w14:paraId="619731CC" w14:textId="49D96F34" w:rsidR="003C52DC" w:rsidRPr="00F619ED" w:rsidRDefault="00DA721E" w:rsidP="00C32B89">
            <w:pPr>
              <w:keepNext/>
              <w:autoSpaceDE w:val="0"/>
              <w:autoSpaceDN w:val="0"/>
              <w:spacing w:before="60" w:line="240" w:lineRule="atLeast"/>
              <w:rPr>
                <w:rFonts w:eastAsia="Times New Roman" w:cs="Times New Roman"/>
                <w:sz w:val="20"/>
                <w:szCs w:val="24"/>
                <w:lang w:eastAsia="en-AU"/>
              </w:rPr>
            </w:pPr>
            <w:r>
              <w:rPr>
                <w:rFonts w:eastAsia="Times New Roman" w:cs="Times New Roman"/>
                <w:sz w:val="20"/>
                <w:szCs w:val="24"/>
                <w:lang w:eastAsia="en-AU"/>
              </w:rPr>
              <w:t>1 July 2025</w:t>
            </w:r>
          </w:p>
        </w:tc>
      </w:tr>
    </w:tbl>
    <w:p w14:paraId="00F281B5" w14:textId="0E8F0E0C" w:rsidR="003C52DC" w:rsidRPr="00382ACB" w:rsidRDefault="003C52DC" w:rsidP="003C52DC">
      <w:pPr>
        <w:spacing w:before="180" w:line="240" w:lineRule="auto"/>
        <w:ind w:left="720"/>
        <w:rPr>
          <w:sz w:val="18"/>
          <w:szCs w:val="16"/>
        </w:rPr>
      </w:pPr>
      <w:r w:rsidRPr="00382ACB">
        <w:rPr>
          <w:sz w:val="18"/>
          <w:szCs w:val="16"/>
        </w:rPr>
        <w:t>Note: </w:t>
      </w:r>
      <w:r>
        <w:rPr>
          <w:sz w:val="18"/>
          <w:szCs w:val="16"/>
        </w:rPr>
        <w:tab/>
      </w:r>
      <w:r w:rsidRPr="00382ACB">
        <w:rPr>
          <w:sz w:val="18"/>
          <w:szCs w:val="16"/>
        </w:rPr>
        <w:t>This table relates only to the provisions of this instrument as originally made. It will not be amended to deal with any later amendments of this instrument.</w:t>
      </w:r>
    </w:p>
    <w:p w14:paraId="0B98FFC2" w14:textId="01F7227B" w:rsidR="003C52DC" w:rsidRDefault="003C52DC" w:rsidP="003C52DC">
      <w:pPr>
        <w:pStyle w:val="subsection"/>
        <w:numPr>
          <w:ilvl w:val="0"/>
          <w:numId w:val="15"/>
        </w:numPr>
        <w:ind w:left="1134"/>
      </w:pPr>
      <w:r>
        <w:rPr>
          <w:color w:val="000000"/>
          <w:szCs w:val="22"/>
        </w:rPr>
        <w:t>Any information in column 3 of the table is not part of this instrument. Information may be inserted in this column, or information in it may be edited, in any published version of this instrument.</w:t>
      </w:r>
    </w:p>
    <w:p w14:paraId="5C68C03D" w14:textId="77777777" w:rsidR="003C52DC" w:rsidRPr="009C2562" w:rsidRDefault="003C52DC" w:rsidP="003C52DC">
      <w:pPr>
        <w:pStyle w:val="ActHead5"/>
      </w:pPr>
      <w:bookmarkStart w:id="5" w:name="_Toc176171554"/>
      <w:r w:rsidRPr="009C2562">
        <w:rPr>
          <w:rStyle w:val="CharSectno"/>
        </w:rPr>
        <w:t>3</w:t>
      </w:r>
      <w:r w:rsidRPr="009C2562">
        <w:t xml:space="preserve">  Authority</w:t>
      </w:r>
      <w:bookmarkEnd w:id="5"/>
    </w:p>
    <w:p w14:paraId="39A3CE56" w14:textId="42F307CA" w:rsidR="003C52DC" w:rsidRPr="009C2562" w:rsidRDefault="003C52DC" w:rsidP="003C52DC">
      <w:pPr>
        <w:pStyle w:val="subsection"/>
      </w:pPr>
      <w:r w:rsidRPr="009C2562">
        <w:tab/>
      </w:r>
      <w:r w:rsidRPr="009C2562">
        <w:tab/>
        <w:t>This instrument is made under</w:t>
      </w:r>
      <w:r>
        <w:t xml:space="preserve"> subsection 3C(1) of the </w:t>
      </w:r>
      <w:r>
        <w:rPr>
          <w:i/>
          <w:iCs/>
        </w:rPr>
        <w:t>Health Insurance Act 1973</w:t>
      </w:r>
      <w:r w:rsidRPr="009C2562">
        <w:t>.</w:t>
      </w:r>
    </w:p>
    <w:p w14:paraId="5C2F7B7A" w14:textId="77777777" w:rsidR="003C52DC" w:rsidRPr="006065DA" w:rsidRDefault="003C52DC" w:rsidP="003C52DC">
      <w:pPr>
        <w:pStyle w:val="ActHead5"/>
      </w:pPr>
      <w:bookmarkStart w:id="6" w:name="_Toc176171555"/>
      <w:r w:rsidRPr="006065DA">
        <w:t>4  Schedules</w:t>
      </w:r>
      <w:bookmarkEnd w:id="6"/>
    </w:p>
    <w:p w14:paraId="24A0E70A" w14:textId="77777777" w:rsidR="003C52DC" w:rsidRDefault="003C52DC" w:rsidP="003C52DC">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4BCC3DCE" w14:textId="77777777" w:rsidR="003C52DC" w:rsidRDefault="003C52DC" w:rsidP="003C52DC">
      <w:pPr>
        <w:pStyle w:val="ActHead6"/>
        <w:pageBreakBefore/>
      </w:pPr>
      <w:bookmarkStart w:id="7" w:name="_Toc176171556"/>
      <w:r w:rsidRPr="00DB64FC">
        <w:rPr>
          <w:rStyle w:val="CharAmSchNo"/>
        </w:rPr>
        <w:lastRenderedPageBreak/>
        <w:t>Schedule 1</w:t>
      </w:r>
      <w:r>
        <w:t>—</w:t>
      </w:r>
      <w:r w:rsidRPr="00DB64FC">
        <w:rPr>
          <w:rStyle w:val="CharAmSchText"/>
        </w:rPr>
        <w:t>Amendments</w:t>
      </w:r>
      <w:bookmarkEnd w:id="7"/>
    </w:p>
    <w:p w14:paraId="4CD58234" w14:textId="020BB281" w:rsidR="002B0FD3" w:rsidRDefault="002B0FD3" w:rsidP="002B0FD3">
      <w:pPr>
        <w:pStyle w:val="ActHead9"/>
      </w:pPr>
      <w:bookmarkStart w:id="8" w:name="_Toc172725781"/>
      <w:bookmarkStart w:id="9" w:name="_Toc176171557"/>
      <w:r w:rsidRPr="00F71DFC">
        <w:t>Health Insurance (Section 3C General Medical Services – Telehealth Attendances) Determination 2021</w:t>
      </w:r>
      <w:bookmarkEnd w:id="8"/>
      <w:bookmarkEnd w:id="9"/>
    </w:p>
    <w:p w14:paraId="4A74EF55" w14:textId="657CBB9C" w:rsidR="00060057" w:rsidRDefault="00060057" w:rsidP="00790B57">
      <w:pPr>
        <w:pStyle w:val="ItemHead"/>
        <w:ind w:left="0" w:firstLine="0"/>
        <w:rPr>
          <w:iCs/>
        </w:rPr>
      </w:pPr>
      <w:r>
        <w:t>1  Subsectio</w:t>
      </w:r>
      <w:r w:rsidR="00F26622">
        <w:t xml:space="preserve">n 5(1) (definitions of </w:t>
      </w:r>
      <w:r w:rsidR="00F26622" w:rsidRPr="008A104D">
        <w:rPr>
          <w:i/>
        </w:rPr>
        <w:t>coordinating a review of team care arrangements</w:t>
      </w:r>
      <w:r w:rsidR="00F26622">
        <w:rPr>
          <w:iCs/>
        </w:rPr>
        <w:t xml:space="preserve"> and </w:t>
      </w:r>
      <w:r w:rsidR="00F26622" w:rsidRPr="008A104D">
        <w:rPr>
          <w:i/>
        </w:rPr>
        <w:t>coordinating the development of team care arrangements</w:t>
      </w:r>
      <w:r w:rsidR="00F26622">
        <w:rPr>
          <w:iCs/>
        </w:rPr>
        <w:t>)</w:t>
      </w:r>
    </w:p>
    <w:p w14:paraId="067FFCAD" w14:textId="3763175C" w:rsidR="00F26622" w:rsidRDefault="00F26622" w:rsidP="00F26622">
      <w:pPr>
        <w:pStyle w:val="Item"/>
      </w:pPr>
      <w:r>
        <w:t xml:space="preserve">Repeal the definitions. </w:t>
      </w:r>
    </w:p>
    <w:p w14:paraId="3612928D" w14:textId="79595672" w:rsidR="00D34648" w:rsidRDefault="00A70308" w:rsidP="00D34648">
      <w:pPr>
        <w:pStyle w:val="ItemHead"/>
      </w:pPr>
      <w:r>
        <w:t>2</w:t>
      </w:r>
      <w:r w:rsidR="00D34648">
        <w:t xml:space="preserve">  Subsection 5(1)</w:t>
      </w:r>
    </w:p>
    <w:p w14:paraId="744AD4E5" w14:textId="6BACA22E" w:rsidR="00D34648" w:rsidRDefault="00D34648" w:rsidP="00D34648">
      <w:pPr>
        <w:pStyle w:val="Item"/>
      </w:pPr>
      <w:r>
        <w:t>Insert:</w:t>
      </w:r>
    </w:p>
    <w:p w14:paraId="0E04A3B4" w14:textId="77777777" w:rsidR="00D34648" w:rsidRDefault="00D34648" w:rsidP="00D34648">
      <w:pPr>
        <w:shd w:val="clear" w:color="auto" w:fill="FFFFFF"/>
        <w:spacing w:before="80" w:after="80"/>
        <w:ind w:left="851"/>
        <w:rPr>
          <w:bCs/>
          <w:iCs/>
          <w:szCs w:val="18"/>
        </w:rPr>
      </w:pPr>
      <w:r w:rsidRPr="00893C67">
        <w:rPr>
          <w:b/>
          <w:bCs/>
          <w:i/>
          <w:szCs w:val="18"/>
        </w:rPr>
        <w:t>GP chronic condition management plan</w:t>
      </w:r>
      <w:r w:rsidRPr="00534BA2">
        <w:rPr>
          <w:iCs/>
          <w:szCs w:val="18"/>
        </w:rPr>
        <w:t xml:space="preserve"> </w:t>
      </w:r>
      <w:r w:rsidRPr="00534BA2">
        <w:rPr>
          <w:bCs/>
          <w:iCs/>
          <w:szCs w:val="18"/>
        </w:rPr>
        <w:t>has the meaning given by clause 3.1.1 of the general medical services table.</w:t>
      </w:r>
    </w:p>
    <w:p w14:paraId="6308FC11" w14:textId="255E1308" w:rsidR="00D34648" w:rsidRDefault="00D34648" w:rsidP="00D34648">
      <w:pPr>
        <w:shd w:val="clear" w:color="auto" w:fill="FFFFFF"/>
        <w:spacing w:before="80" w:after="80"/>
        <w:ind w:left="851"/>
        <w:rPr>
          <w:bCs/>
          <w:iCs/>
          <w:szCs w:val="18"/>
        </w:rPr>
      </w:pPr>
      <w:r>
        <w:rPr>
          <w:b/>
          <w:i/>
          <w:szCs w:val="18"/>
        </w:rPr>
        <w:t>GP management plan</w:t>
      </w:r>
      <w:r>
        <w:rPr>
          <w:bCs/>
          <w:iCs/>
          <w:szCs w:val="18"/>
        </w:rPr>
        <w:t xml:space="preserve">, for a patient, means a GP management plan </w:t>
      </w:r>
      <w:r w:rsidR="00C11137">
        <w:rPr>
          <w:bCs/>
          <w:iCs/>
          <w:szCs w:val="18"/>
        </w:rPr>
        <w:t xml:space="preserve">prepared prior to 1 </w:t>
      </w:r>
      <w:r w:rsidR="00823435">
        <w:rPr>
          <w:bCs/>
          <w:iCs/>
          <w:szCs w:val="18"/>
        </w:rPr>
        <w:t>July 2025</w:t>
      </w:r>
      <w:r w:rsidR="00C11137">
        <w:rPr>
          <w:bCs/>
          <w:iCs/>
          <w:szCs w:val="18"/>
        </w:rPr>
        <w:t xml:space="preserve"> </w:t>
      </w:r>
      <w:r>
        <w:rPr>
          <w:bCs/>
          <w:iCs/>
          <w:szCs w:val="18"/>
        </w:rPr>
        <w:t>to which item</w:t>
      </w:r>
      <w:r w:rsidR="00C11137">
        <w:rPr>
          <w:bCs/>
          <w:iCs/>
          <w:szCs w:val="18"/>
        </w:rPr>
        <w:t xml:space="preserve"> 229 or 721 of the general medical services table or item </w:t>
      </w:r>
      <w:r>
        <w:rPr>
          <w:bCs/>
          <w:iCs/>
          <w:szCs w:val="18"/>
        </w:rPr>
        <w:t>92024</w:t>
      </w:r>
      <w:r w:rsidR="00C11137">
        <w:rPr>
          <w:bCs/>
          <w:iCs/>
          <w:szCs w:val="18"/>
        </w:rPr>
        <w:t xml:space="preserve"> or</w:t>
      </w:r>
      <w:r>
        <w:rPr>
          <w:bCs/>
          <w:iCs/>
          <w:szCs w:val="18"/>
        </w:rPr>
        <w:t xml:space="preserve"> 92025 applies</w:t>
      </w:r>
      <w:r w:rsidR="00C11137">
        <w:rPr>
          <w:bCs/>
          <w:iCs/>
          <w:szCs w:val="18"/>
        </w:rPr>
        <w:t xml:space="preserve">. </w:t>
      </w:r>
    </w:p>
    <w:p w14:paraId="2A50ACFB" w14:textId="4840C607" w:rsidR="00FD6876" w:rsidRPr="00625E30" w:rsidRDefault="00625E30" w:rsidP="00D34648">
      <w:pPr>
        <w:shd w:val="clear" w:color="auto" w:fill="FFFFFF"/>
        <w:spacing w:before="80" w:after="80"/>
        <w:ind w:left="851"/>
        <w:rPr>
          <w:szCs w:val="18"/>
        </w:rPr>
      </w:pPr>
      <w:r w:rsidRPr="00625E30">
        <w:rPr>
          <w:b/>
          <w:bCs/>
          <w:i/>
          <w:iCs/>
          <w:szCs w:val="18"/>
        </w:rPr>
        <w:t>prescribed medical practitioner</w:t>
      </w:r>
      <w:r>
        <w:rPr>
          <w:b/>
          <w:bCs/>
          <w:i/>
          <w:iCs/>
          <w:szCs w:val="18"/>
        </w:rPr>
        <w:t xml:space="preserve"> </w:t>
      </w:r>
      <w:r>
        <w:rPr>
          <w:szCs w:val="18"/>
        </w:rPr>
        <w:t xml:space="preserve">has the meaning given by </w:t>
      </w:r>
      <w:r w:rsidR="00804391">
        <w:rPr>
          <w:szCs w:val="18"/>
        </w:rPr>
        <w:t xml:space="preserve">clause 7.1.1 of the general medical services table. </w:t>
      </w:r>
    </w:p>
    <w:p w14:paraId="1F3076B5" w14:textId="21891F6E" w:rsidR="004B13F3" w:rsidRDefault="00A70308" w:rsidP="004B13F3">
      <w:pPr>
        <w:pStyle w:val="ItemHead"/>
      </w:pPr>
      <w:r>
        <w:t>3</w:t>
      </w:r>
      <w:r w:rsidR="004B13F3">
        <w:t xml:space="preserve">  Subsection 5(1) (definition of </w:t>
      </w:r>
      <w:r w:rsidR="004B13F3">
        <w:rPr>
          <w:i/>
          <w:iCs/>
        </w:rPr>
        <w:t>preparing a GP management plan</w:t>
      </w:r>
      <w:r w:rsidR="004B13F3">
        <w:t xml:space="preserve">) </w:t>
      </w:r>
    </w:p>
    <w:p w14:paraId="2146BE58" w14:textId="77777777" w:rsidR="004B13F3" w:rsidRDefault="004B13F3" w:rsidP="004B13F3">
      <w:pPr>
        <w:pStyle w:val="Item"/>
      </w:pPr>
      <w:r>
        <w:t xml:space="preserve">Repeal the definition. </w:t>
      </w:r>
    </w:p>
    <w:p w14:paraId="59CE3431" w14:textId="3960DB09" w:rsidR="004B13F3" w:rsidRDefault="00A70308" w:rsidP="004B13F3">
      <w:pPr>
        <w:pStyle w:val="ItemHead"/>
      </w:pPr>
      <w:r>
        <w:t>4</w:t>
      </w:r>
      <w:r w:rsidR="004B13F3">
        <w:t xml:space="preserve">  Subsection 5(1)</w:t>
      </w:r>
    </w:p>
    <w:p w14:paraId="56B52C91" w14:textId="20783DEC" w:rsidR="004B13F3" w:rsidRDefault="004B13F3" w:rsidP="004B13F3">
      <w:pPr>
        <w:pStyle w:val="Item"/>
      </w:pPr>
      <w:r>
        <w:t>Insert:</w:t>
      </w:r>
    </w:p>
    <w:p w14:paraId="5384B7D7" w14:textId="77777777" w:rsidR="00687B00" w:rsidRDefault="00687B00" w:rsidP="00687B00">
      <w:pPr>
        <w:shd w:val="clear" w:color="auto" w:fill="FFFFFF"/>
        <w:spacing w:before="80" w:after="80"/>
        <w:ind w:left="851"/>
        <w:rPr>
          <w:bCs/>
          <w:iCs/>
          <w:szCs w:val="18"/>
        </w:rPr>
      </w:pPr>
      <w:r>
        <w:rPr>
          <w:b/>
          <w:i/>
          <w:szCs w:val="18"/>
        </w:rPr>
        <w:t xml:space="preserve">preparing a GP chronic condition management plan </w:t>
      </w:r>
      <w:r>
        <w:rPr>
          <w:bCs/>
          <w:iCs/>
          <w:szCs w:val="18"/>
        </w:rPr>
        <w:t xml:space="preserve">has the meaning given by clause 2.16.7 of the general medical services table. </w:t>
      </w:r>
    </w:p>
    <w:p w14:paraId="34087A9F" w14:textId="696633FE" w:rsidR="00CC5C94" w:rsidRPr="00CC5C94" w:rsidRDefault="00CC5C94" w:rsidP="00687B00">
      <w:pPr>
        <w:shd w:val="clear" w:color="auto" w:fill="FFFFFF"/>
        <w:spacing w:before="80" w:after="80"/>
        <w:ind w:left="851"/>
        <w:rPr>
          <w:bCs/>
          <w:iCs/>
          <w:szCs w:val="18"/>
        </w:rPr>
      </w:pPr>
      <w:r>
        <w:rPr>
          <w:b/>
          <w:i/>
          <w:szCs w:val="18"/>
        </w:rPr>
        <w:t>provider number</w:t>
      </w:r>
      <w:r>
        <w:rPr>
          <w:bCs/>
          <w:i/>
          <w:szCs w:val="18"/>
        </w:rPr>
        <w:t xml:space="preserve"> </w:t>
      </w:r>
      <w:r>
        <w:rPr>
          <w:bCs/>
          <w:iCs/>
          <w:szCs w:val="18"/>
        </w:rPr>
        <w:t xml:space="preserve">has the meaning given by section 4 of the </w:t>
      </w:r>
      <w:bookmarkStart w:id="10" w:name="_Hlk171519773"/>
      <w:r>
        <w:rPr>
          <w:bCs/>
          <w:i/>
          <w:szCs w:val="18"/>
        </w:rPr>
        <w:t>Health Insurance Regulations 2018</w:t>
      </w:r>
      <w:bookmarkEnd w:id="10"/>
      <w:r>
        <w:rPr>
          <w:bCs/>
          <w:iCs/>
          <w:szCs w:val="18"/>
        </w:rPr>
        <w:t>.</w:t>
      </w:r>
    </w:p>
    <w:p w14:paraId="258D9291" w14:textId="77777777" w:rsidR="00687B00" w:rsidRPr="00D34648" w:rsidRDefault="00687B00" w:rsidP="00687B00">
      <w:pPr>
        <w:shd w:val="clear" w:color="auto" w:fill="FFFFFF"/>
        <w:spacing w:before="80" w:after="80"/>
        <w:ind w:left="851"/>
        <w:rPr>
          <w:bCs/>
          <w:iCs/>
          <w:szCs w:val="18"/>
        </w:rPr>
      </w:pPr>
      <w:r>
        <w:rPr>
          <w:b/>
          <w:i/>
          <w:szCs w:val="18"/>
        </w:rPr>
        <w:t>reviewing a GP chronic condition management plan</w:t>
      </w:r>
      <w:r>
        <w:rPr>
          <w:bCs/>
          <w:iCs/>
          <w:szCs w:val="18"/>
        </w:rPr>
        <w:t xml:space="preserve"> has the meaning given by clause 2.16.8 of the general medical services table. </w:t>
      </w:r>
    </w:p>
    <w:p w14:paraId="7BF2B3D7" w14:textId="539D0D12" w:rsidR="002B5CD0" w:rsidRDefault="00A70308" w:rsidP="002B5CD0">
      <w:pPr>
        <w:pStyle w:val="ItemHead"/>
      </w:pPr>
      <w:r>
        <w:t>5</w:t>
      </w:r>
      <w:r w:rsidR="002B5CD0">
        <w:t xml:space="preserve">  Subsection 5(1) (definition of </w:t>
      </w:r>
      <w:r w:rsidR="002B5CD0" w:rsidRPr="003337AA">
        <w:rPr>
          <w:i/>
          <w:iCs/>
        </w:rPr>
        <w:t>reviewing a GP management plan</w:t>
      </w:r>
      <w:r w:rsidR="002B5CD0">
        <w:t>)</w:t>
      </w:r>
    </w:p>
    <w:p w14:paraId="713588F0" w14:textId="1E4FBF08" w:rsidR="002B5CD0" w:rsidRPr="002B5CD0" w:rsidRDefault="002B5CD0" w:rsidP="002B5CD0">
      <w:pPr>
        <w:pStyle w:val="Item"/>
      </w:pPr>
      <w:r>
        <w:t xml:space="preserve">Repeal the definition. </w:t>
      </w:r>
    </w:p>
    <w:p w14:paraId="200691DB" w14:textId="423B90F3" w:rsidR="00060057" w:rsidRDefault="00A70308" w:rsidP="00790B57">
      <w:pPr>
        <w:pStyle w:val="ItemHead"/>
        <w:ind w:left="0" w:firstLine="0"/>
      </w:pPr>
      <w:r>
        <w:t>6</w:t>
      </w:r>
      <w:r w:rsidR="00687B00">
        <w:t xml:space="preserve">  Subsection 5(1) </w:t>
      </w:r>
    </w:p>
    <w:p w14:paraId="225B9F9E" w14:textId="02D4F806" w:rsidR="00687B00" w:rsidRDefault="00687B00" w:rsidP="00687B00">
      <w:pPr>
        <w:pStyle w:val="Item"/>
      </w:pPr>
      <w:r>
        <w:t xml:space="preserve">Insert: </w:t>
      </w:r>
    </w:p>
    <w:p w14:paraId="4E20F4DA" w14:textId="75D9BC0B" w:rsidR="00475448" w:rsidRPr="00687B00" w:rsidRDefault="00687B00" w:rsidP="00475448">
      <w:pPr>
        <w:shd w:val="clear" w:color="auto" w:fill="FFFFFF"/>
        <w:spacing w:before="80" w:after="80"/>
        <w:ind w:left="851"/>
        <w:rPr>
          <w:bCs/>
          <w:iCs/>
          <w:szCs w:val="18"/>
        </w:rPr>
      </w:pPr>
      <w:r>
        <w:rPr>
          <w:b/>
          <w:i/>
          <w:szCs w:val="18"/>
        </w:rPr>
        <w:t>Team Care Arrangements</w:t>
      </w:r>
      <w:r w:rsidR="00E060EE">
        <w:rPr>
          <w:bCs/>
          <w:iCs/>
          <w:szCs w:val="18"/>
        </w:rPr>
        <w:t>, for a patient,</w:t>
      </w:r>
      <w:r>
        <w:rPr>
          <w:bCs/>
          <w:iCs/>
          <w:szCs w:val="18"/>
        </w:rPr>
        <w:t xml:space="preserve"> means GP coordination of the development of team care arrangements</w:t>
      </w:r>
      <w:r w:rsidR="00E060EE">
        <w:rPr>
          <w:bCs/>
          <w:iCs/>
          <w:szCs w:val="18"/>
        </w:rPr>
        <w:t xml:space="preserve"> prior </w:t>
      </w:r>
      <w:r w:rsidR="000122D8">
        <w:rPr>
          <w:bCs/>
          <w:iCs/>
          <w:szCs w:val="18"/>
        </w:rPr>
        <w:t xml:space="preserve">to 1 </w:t>
      </w:r>
      <w:r w:rsidR="00E529D6">
        <w:rPr>
          <w:bCs/>
          <w:iCs/>
          <w:szCs w:val="18"/>
        </w:rPr>
        <w:t>July 2025</w:t>
      </w:r>
      <w:r>
        <w:rPr>
          <w:bCs/>
          <w:iCs/>
          <w:szCs w:val="18"/>
        </w:rPr>
        <w:t xml:space="preserve"> to which item</w:t>
      </w:r>
      <w:r w:rsidR="000122D8">
        <w:rPr>
          <w:bCs/>
          <w:iCs/>
          <w:szCs w:val="18"/>
        </w:rPr>
        <w:t xml:space="preserve"> 230 or 729 of the general medical services table or item</w:t>
      </w:r>
      <w:r>
        <w:rPr>
          <w:bCs/>
          <w:iCs/>
          <w:szCs w:val="18"/>
        </w:rPr>
        <w:t xml:space="preserve"> 92025</w:t>
      </w:r>
      <w:r w:rsidR="000122D8">
        <w:rPr>
          <w:bCs/>
          <w:iCs/>
          <w:szCs w:val="18"/>
        </w:rPr>
        <w:t xml:space="preserve"> or </w:t>
      </w:r>
      <w:r>
        <w:rPr>
          <w:bCs/>
          <w:iCs/>
          <w:szCs w:val="18"/>
        </w:rPr>
        <w:t xml:space="preserve">92056 </w:t>
      </w:r>
      <w:r w:rsidR="000122D8">
        <w:rPr>
          <w:bCs/>
          <w:iCs/>
          <w:szCs w:val="18"/>
        </w:rPr>
        <w:t>applies</w:t>
      </w:r>
      <w:r>
        <w:rPr>
          <w:bCs/>
          <w:iCs/>
          <w:szCs w:val="18"/>
        </w:rPr>
        <w:t xml:space="preserve">. </w:t>
      </w:r>
    </w:p>
    <w:p w14:paraId="7F9455B4" w14:textId="14F176C5" w:rsidR="00475448" w:rsidRDefault="00A70308" w:rsidP="00C07445">
      <w:pPr>
        <w:pStyle w:val="ItemHead"/>
      </w:pPr>
      <w:r>
        <w:t>7</w:t>
      </w:r>
      <w:r w:rsidR="00475448">
        <w:t xml:space="preserve">  Subsection 7(4)</w:t>
      </w:r>
    </w:p>
    <w:p w14:paraId="52E873F7" w14:textId="6D20B03C" w:rsidR="00475448" w:rsidRPr="00475448" w:rsidRDefault="00475448" w:rsidP="00475448">
      <w:pPr>
        <w:pStyle w:val="Item"/>
      </w:pPr>
      <w:r>
        <w:t xml:space="preserve">Before “items”, insert “items </w:t>
      </w:r>
      <w:r w:rsidRPr="0075798C">
        <w:t>92029, 92030, 92060 and 92061</w:t>
      </w:r>
      <w:r>
        <w:t xml:space="preserve"> and”. </w:t>
      </w:r>
    </w:p>
    <w:p w14:paraId="31D08C53" w14:textId="137D8F65" w:rsidR="00C07445" w:rsidRDefault="00A70308" w:rsidP="00C07445">
      <w:pPr>
        <w:pStyle w:val="ItemHead"/>
      </w:pPr>
      <w:r>
        <w:lastRenderedPageBreak/>
        <w:t>8</w:t>
      </w:r>
      <w:r w:rsidR="00C07445">
        <w:t xml:space="preserve">  Sub</w:t>
      </w:r>
      <w:r w:rsidR="0009425E">
        <w:t>par</w:t>
      </w:r>
      <w:r w:rsidR="00920F0E">
        <w:t>a</w:t>
      </w:r>
      <w:r w:rsidR="0009425E">
        <w:t>graph</w:t>
      </w:r>
      <w:r w:rsidR="00C07445">
        <w:t xml:space="preserve"> 7(6)(d)(iii) </w:t>
      </w:r>
    </w:p>
    <w:p w14:paraId="28A41955" w14:textId="77777777" w:rsidR="00C07445" w:rsidRDefault="00C07445" w:rsidP="00C07445">
      <w:pPr>
        <w:pStyle w:val="Item"/>
      </w:pPr>
      <w:r>
        <w:t>Omit “in person.”, substitute “in person; or”.</w:t>
      </w:r>
    </w:p>
    <w:p w14:paraId="3A6C88CD" w14:textId="5377C458" w:rsidR="00C07445" w:rsidRDefault="00A70308" w:rsidP="00C07445">
      <w:pPr>
        <w:pStyle w:val="ItemHead"/>
      </w:pPr>
      <w:r>
        <w:t>9</w:t>
      </w:r>
      <w:r w:rsidR="004C7532">
        <w:t xml:space="preserve">  </w:t>
      </w:r>
      <w:r w:rsidR="0009425E">
        <w:t>After paragraph</w:t>
      </w:r>
      <w:r w:rsidR="00C07445">
        <w:t xml:space="preserve"> 7(6)</w:t>
      </w:r>
      <w:r w:rsidR="0009425E">
        <w:t>(d)</w:t>
      </w:r>
    </w:p>
    <w:p w14:paraId="70C8FFC7" w14:textId="4461EC66" w:rsidR="00C07445" w:rsidRDefault="0009425E" w:rsidP="003B74FA">
      <w:pPr>
        <w:pStyle w:val="Item"/>
      </w:pPr>
      <w:r>
        <w:t>I</w:t>
      </w:r>
      <w:r w:rsidR="00C07445">
        <w:t>nsert:</w:t>
      </w:r>
    </w:p>
    <w:p w14:paraId="6A09774B" w14:textId="2EC1B4E3" w:rsidR="00C07445" w:rsidRDefault="00C07445" w:rsidP="003B74FA">
      <w:pPr>
        <w:pStyle w:val="paragraph"/>
        <w:spacing w:before="80" w:after="80"/>
      </w:pPr>
      <w:r>
        <w:tab/>
      </w:r>
      <w:r w:rsidRPr="00EF43E0">
        <w:t>(</w:t>
      </w:r>
      <w:r>
        <w:t>e</w:t>
      </w:r>
      <w:r w:rsidRPr="00EF43E0">
        <w:t>)</w:t>
      </w:r>
      <w:r w:rsidRPr="00EF43E0">
        <w:tab/>
        <w:t>a service to which item</w:t>
      </w:r>
      <w:r>
        <w:t xml:space="preserve"> 92029, 92030, 92060 or 92061 applies. </w:t>
      </w:r>
    </w:p>
    <w:p w14:paraId="09B41FF1" w14:textId="6F876893" w:rsidR="00C07445" w:rsidRDefault="00A70308" w:rsidP="00C07445">
      <w:pPr>
        <w:pStyle w:val="ItemHead"/>
      </w:pPr>
      <w:r>
        <w:t>10</w:t>
      </w:r>
      <w:r w:rsidR="004C7532">
        <w:t xml:space="preserve">  </w:t>
      </w:r>
      <w:r w:rsidR="00C07445">
        <w:t>After section 8</w:t>
      </w:r>
    </w:p>
    <w:p w14:paraId="5E3A0723" w14:textId="77777777" w:rsidR="00C07445" w:rsidRDefault="00C07445" w:rsidP="00C07445">
      <w:pPr>
        <w:pStyle w:val="Item"/>
      </w:pPr>
      <w:r>
        <w:t>Insert:</w:t>
      </w:r>
    </w:p>
    <w:p w14:paraId="7330B875" w14:textId="77777777" w:rsidR="00C07445" w:rsidRDefault="00C07445" w:rsidP="00C07445">
      <w:pPr>
        <w:pStyle w:val="ItemHead"/>
        <w:spacing w:before="180"/>
        <w:rPr>
          <w:rFonts w:ascii="Times New Roman" w:hAnsi="Times New Roman"/>
        </w:rPr>
      </w:pPr>
      <w:r>
        <w:rPr>
          <w:rStyle w:val="charsectno0"/>
          <w:rFonts w:ascii="Times New Roman" w:hAnsi="Times New Roman"/>
        </w:rPr>
        <w:t>9</w:t>
      </w:r>
      <w:r w:rsidRPr="00EB3498">
        <w:rPr>
          <w:rFonts w:ascii="Times New Roman" w:hAnsi="Times New Roman"/>
        </w:rPr>
        <w:t>  </w:t>
      </w:r>
      <w:r>
        <w:rPr>
          <w:rFonts w:ascii="Times New Roman" w:hAnsi="Times New Roman"/>
        </w:rPr>
        <w:t>Referrals requirements for allied health services</w:t>
      </w:r>
    </w:p>
    <w:p w14:paraId="2F214C2D" w14:textId="1727732D" w:rsidR="00C07445" w:rsidRPr="00F01CC6" w:rsidRDefault="00D749CF" w:rsidP="00C07445">
      <w:pPr>
        <w:pStyle w:val="Item"/>
        <w:numPr>
          <w:ilvl w:val="0"/>
          <w:numId w:val="18"/>
        </w:numPr>
        <w:rPr>
          <w:color w:val="000000"/>
          <w:szCs w:val="22"/>
        </w:rPr>
      </w:pPr>
      <w:r w:rsidRPr="00D749CF">
        <w:rPr>
          <w:color w:val="000000"/>
          <w:szCs w:val="22"/>
        </w:rPr>
        <w:t xml:space="preserve">This section applies to a referral prepared on or after 1 </w:t>
      </w:r>
      <w:r w:rsidR="008C4703">
        <w:rPr>
          <w:color w:val="000000"/>
          <w:szCs w:val="22"/>
        </w:rPr>
        <w:t>July 2025</w:t>
      </w:r>
      <w:r w:rsidRPr="00D749CF">
        <w:rPr>
          <w:color w:val="000000"/>
          <w:szCs w:val="22"/>
        </w:rPr>
        <w:t xml:space="preserve"> for a service to which an item in Subgroup 11, 12, 13, 14, 15, 17, 18, 25 or 26 of Group M18 applies</w:t>
      </w:r>
      <w:r w:rsidR="00C07445">
        <w:rPr>
          <w:color w:val="000000"/>
          <w:szCs w:val="22"/>
        </w:rPr>
        <w:t>.</w:t>
      </w:r>
    </w:p>
    <w:p w14:paraId="2B7434F0" w14:textId="432E59DB" w:rsidR="00C07445" w:rsidRPr="00AC2171" w:rsidRDefault="00C07445" w:rsidP="00C07445">
      <w:pPr>
        <w:pStyle w:val="ItemHead"/>
        <w:spacing w:before="120"/>
        <w:ind w:left="1083" w:firstLine="0"/>
        <w:rPr>
          <w:rFonts w:ascii="Times New Roman" w:hAnsi="Times New Roman"/>
          <w:b w:val="0"/>
          <w:bCs/>
          <w:i/>
          <w:iCs/>
          <w:sz w:val="22"/>
          <w:szCs w:val="18"/>
        </w:rPr>
      </w:pPr>
      <w:r>
        <w:rPr>
          <w:rFonts w:ascii="Times New Roman" w:hAnsi="Times New Roman"/>
          <w:b w:val="0"/>
          <w:bCs/>
          <w:i/>
          <w:iCs/>
          <w:sz w:val="22"/>
          <w:szCs w:val="18"/>
        </w:rPr>
        <w:t>General</w:t>
      </w:r>
    </w:p>
    <w:p w14:paraId="241FA5D1" w14:textId="77777777" w:rsidR="00C07445" w:rsidRPr="00AC2171" w:rsidRDefault="00C07445" w:rsidP="00C07445">
      <w:pPr>
        <w:pStyle w:val="ItemHead"/>
        <w:numPr>
          <w:ilvl w:val="0"/>
          <w:numId w:val="18"/>
        </w:numPr>
        <w:spacing w:before="80"/>
        <w:ind w:left="1083" w:hanging="374"/>
      </w:pPr>
      <w:r>
        <w:rPr>
          <w:rFonts w:ascii="Times New Roman" w:hAnsi="Times New Roman"/>
          <w:b w:val="0"/>
          <w:bCs/>
          <w:sz w:val="22"/>
          <w:szCs w:val="18"/>
        </w:rPr>
        <w:t>Subject to subsection (5), the following particulars are prescribed for the purposes of a referral mention in subsection (1):</w:t>
      </w:r>
    </w:p>
    <w:p w14:paraId="6D291977" w14:textId="77777777" w:rsidR="00C07445" w:rsidRPr="00AC2171" w:rsidRDefault="00C07445" w:rsidP="00C07445">
      <w:pPr>
        <w:pStyle w:val="ItemHead"/>
        <w:numPr>
          <w:ilvl w:val="1"/>
          <w:numId w:val="18"/>
        </w:numPr>
        <w:spacing w:before="120"/>
      </w:pPr>
      <w:r>
        <w:rPr>
          <w:rFonts w:ascii="Times New Roman" w:hAnsi="Times New Roman"/>
          <w:b w:val="0"/>
          <w:bCs/>
          <w:sz w:val="22"/>
          <w:szCs w:val="18"/>
        </w:rPr>
        <w:t>the name of the referring practitioner;</w:t>
      </w:r>
    </w:p>
    <w:p w14:paraId="5CC2E290" w14:textId="77777777" w:rsidR="00C07445" w:rsidRDefault="00C07445" w:rsidP="00C07445">
      <w:pPr>
        <w:pStyle w:val="ItemHead"/>
        <w:numPr>
          <w:ilvl w:val="1"/>
          <w:numId w:val="18"/>
        </w:numPr>
        <w:spacing w:before="120"/>
        <w:rPr>
          <w:rFonts w:ascii="Times New Roman" w:hAnsi="Times New Roman"/>
          <w:b w:val="0"/>
          <w:bCs/>
          <w:sz w:val="22"/>
          <w:szCs w:val="18"/>
        </w:rPr>
      </w:pPr>
      <w:r>
        <w:rPr>
          <w:rFonts w:ascii="Times New Roman" w:hAnsi="Times New Roman"/>
          <w:b w:val="0"/>
          <w:bCs/>
          <w:sz w:val="22"/>
          <w:szCs w:val="18"/>
        </w:rPr>
        <w:t xml:space="preserve">the </w:t>
      </w:r>
      <w:r w:rsidRPr="00AC2171">
        <w:rPr>
          <w:rFonts w:ascii="Times New Roman" w:hAnsi="Times New Roman"/>
          <w:b w:val="0"/>
          <w:bCs/>
          <w:sz w:val="22"/>
          <w:szCs w:val="18"/>
        </w:rPr>
        <w:t>address of the place of practice, or the provider number in respect of the place of practice, of the referring practitioner;</w:t>
      </w:r>
    </w:p>
    <w:p w14:paraId="3B7AA3BA" w14:textId="77777777" w:rsidR="00C07445" w:rsidRDefault="00C07445" w:rsidP="00C07445">
      <w:pPr>
        <w:pStyle w:val="Item"/>
        <w:numPr>
          <w:ilvl w:val="1"/>
          <w:numId w:val="18"/>
        </w:numPr>
        <w:rPr>
          <w:color w:val="000000"/>
          <w:szCs w:val="22"/>
        </w:rPr>
      </w:pPr>
      <w:bookmarkStart w:id="11" w:name="_Hlk171521606"/>
      <w:r>
        <w:rPr>
          <w:color w:val="000000"/>
          <w:szCs w:val="22"/>
        </w:rPr>
        <w:t>the date on which the patient was referred by the referring practitioner to the treating practitioner</w:t>
      </w:r>
      <w:bookmarkEnd w:id="11"/>
      <w:r>
        <w:rPr>
          <w:color w:val="000000"/>
          <w:szCs w:val="22"/>
        </w:rPr>
        <w:t>;</w:t>
      </w:r>
    </w:p>
    <w:p w14:paraId="6AE7E23F" w14:textId="77777777" w:rsidR="00C07445" w:rsidRDefault="00C07445" w:rsidP="00C07445">
      <w:pPr>
        <w:pStyle w:val="Item"/>
        <w:numPr>
          <w:ilvl w:val="1"/>
          <w:numId w:val="18"/>
        </w:numPr>
        <w:rPr>
          <w:color w:val="000000"/>
          <w:szCs w:val="22"/>
        </w:rPr>
      </w:pPr>
      <w:bookmarkStart w:id="12" w:name="_Hlk171521616"/>
      <w:r w:rsidRPr="00AC2171">
        <w:rPr>
          <w:color w:val="000000"/>
          <w:szCs w:val="22"/>
        </w:rPr>
        <w:t>the period of validity of the referral</w:t>
      </w:r>
      <w:bookmarkEnd w:id="12"/>
      <w:r w:rsidRPr="00AC2171">
        <w:rPr>
          <w:color w:val="000000"/>
          <w:szCs w:val="22"/>
        </w:rPr>
        <w:t xml:space="preserve"> under</w:t>
      </w:r>
      <w:r>
        <w:rPr>
          <w:color w:val="000000"/>
          <w:szCs w:val="22"/>
        </w:rPr>
        <w:t xml:space="preserve"> subsection (7), if relevant.</w:t>
      </w:r>
    </w:p>
    <w:p w14:paraId="5CDF7642" w14:textId="77777777" w:rsidR="00C07445" w:rsidRDefault="00C07445" w:rsidP="00C07445">
      <w:pPr>
        <w:pStyle w:val="ItemHead"/>
        <w:numPr>
          <w:ilvl w:val="0"/>
          <w:numId w:val="18"/>
        </w:numPr>
        <w:rPr>
          <w:rFonts w:ascii="Times New Roman" w:hAnsi="Times New Roman"/>
          <w:b w:val="0"/>
          <w:bCs/>
          <w:sz w:val="22"/>
          <w:szCs w:val="18"/>
        </w:rPr>
      </w:pPr>
      <w:r>
        <w:rPr>
          <w:rFonts w:ascii="Times New Roman" w:hAnsi="Times New Roman"/>
          <w:b w:val="0"/>
          <w:bCs/>
          <w:sz w:val="22"/>
          <w:szCs w:val="18"/>
        </w:rPr>
        <w:t>A referral mentioned in subsection (1) must be:</w:t>
      </w:r>
    </w:p>
    <w:p w14:paraId="03C8A70F" w14:textId="77777777" w:rsidR="00C07445" w:rsidRDefault="00C07445" w:rsidP="00C07445">
      <w:pPr>
        <w:pStyle w:val="Item"/>
        <w:numPr>
          <w:ilvl w:val="1"/>
          <w:numId w:val="18"/>
        </w:numPr>
      </w:pPr>
      <w:r>
        <w:t>in writing;</w:t>
      </w:r>
    </w:p>
    <w:p w14:paraId="43BD9F33" w14:textId="77777777" w:rsidR="00C07445" w:rsidRPr="00175789" w:rsidRDefault="00C07445" w:rsidP="00C07445">
      <w:pPr>
        <w:pStyle w:val="Item"/>
        <w:numPr>
          <w:ilvl w:val="1"/>
          <w:numId w:val="18"/>
        </w:numPr>
      </w:pPr>
      <w:r w:rsidRPr="00175789">
        <w:t>signed by the referring practitioner; and</w:t>
      </w:r>
    </w:p>
    <w:p w14:paraId="5C913C92" w14:textId="77777777" w:rsidR="00C07445" w:rsidRDefault="00C07445" w:rsidP="00C07445">
      <w:pPr>
        <w:pStyle w:val="Item"/>
        <w:numPr>
          <w:ilvl w:val="1"/>
          <w:numId w:val="18"/>
        </w:numPr>
      </w:pPr>
      <w:r>
        <w:t>dated.</w:t>
      </w:r>
    </w:p>
    <w:p w14:paraId="4ACD8D19" w14:textId="77777777" w:rsidR="00C07445" w:rsidRDefault="00C07445" w:rsidP="00C07445">
      <w:pPr>
        <w:pStyle w:val="ItemHead"/>
        <w:numPr>
          <w:ilvl w:val="0"/>
          <w:numId w:val="18"/>
        </w:numPr>
        <w:rPr>
          <w:rFonts w:ascii="Times New Roman" w:hAnsi="Times New Roman"/>
          <w:b w:val="0"/>
          <w:bCs/>
          <w:sz w:val="22"/>
          <w:szCs w:val="18"/>
        </w:rPr>
      </w:pPr>
      <w:r w:rsidRPr="00175789">
        <w:rPr>
          <w:rFonts w:ascii="Times New Roman" w:hAnsi="Times New Roman"/>
          <w:b w:val="0"/>
          <w:bCs/>
          <w:sz w:val="22"/>
          <w:szCs w:val="18"/>
        </w:rPr>
        <w:t>A referral</w:t>
      </w:r>
      <w:r>
        <w:rPr>
          <w:rFonts w:ascii="Times New Roman" w:hAnsi="Times New Roman"/>
          <w:b w:val="0"/>
          <w:bCs/>
          <w:sz w:val="22"/>
          <w:szCs w:val="18"/>
        </w:rPr>
        <w:t xml:space="preserve"> mentioned in subsection (1)</w:t>
      </w:r>
      <w:r w:rsidRPr="00175789">
        <w:rPr>
          <w:rFonts w:ascii="Times New Roman" w:hAnsi="Times New Roman"/>
          <w:b w:val="0"/>
          <w:bCs/>
          <w:sz w:val="22"/>
          <w:szCs w:val="18"/>
        </w:rPr>
        <w:t xml:space="preserve"> must </w:t>
      </w:r>
      <w:bookmarkStart w:id="13" w:name="_Hlk171521864"/>
      <w:r w:rsidRPr="00175789">
        <w:rPr>
          <w:rFonts w:ascii="Times New Roman" w:hAnsi="Times New Roman"/>
          <w:b w:val="0"/>
          <w:bCs/>
          <w:sz w:val="22"/>
          <w:szCs w:val="18"/>
        </w:rPr>
        <w:t>explain the reasons for referring the patient, including any information about the patient’s condition that the referring practitioner considers necessary to give to the</w:t>
      </w:r>
      <w:r>
        <w:rPr>
          <w:rFonts w:ascii="Times New Roman" w:hAnsi="Times New Roman"/>
          <w:b w:val="0"/>
          <w:bCs/>
          <w:sz w:val="22"/>
          <w:szCs w:val="18"/>
        </w:rPr>
        <w:t xml:space="preserve"> treating practitioner</w:t>
      </w:r>
      <w:bookmarkEnd w:id="13"/>
      <w:r>
        <w:rPr>
          <w:rFonts w:ascii="Times New Roman" w:hAnsi="Times New Roman"/>
          <w:b w:val="0"/>
          <w:bCs/>
          <w:sz w:val="22"/>
          <w:szCs w:val="18"/>
        </w:rPr>
        <w:t>.</w:t>
      </w:r>
    </w:p>
    <w:p w14:paraId="4AAACCAD" w14:textId="77777777" w:rsidR="00C07445" w:rsidRPr="002134B8" w:rsidRDefault="00C07445" w:rsidP="00C07445">
      <w:pPr>
        <w:pStyle w:val="ItemHead"/>
        <w:numPr>
          <w:ilvl w:val="0"/>
          <w:numId w:val="18"/>
        </w:numPr>
        <w:rPr>
          <w:rFonts w:ascii="Times New Roman" w:hAnsi="Times New Roman"/>
          <w:b w:val="0"/>
          <w:bCs/>
          <w:sz w:val="22"/>
          <w:szCs w:val="22"/>
        </w:rPr>
      </w:pPr>
      <w:r w:rsidRPr="002134B8">
        <w:rPr>
          <w:rFonts w:ascii="Times New Roman" w:hAnsi="Times New Roman"/>
          <w:b w:val="0"/>
          <w:bCs/>
          <w:sz w:val="22"/>
          <w:szCs w:val="22"/>
        </w:rPr>
        <w:t>In this section:</w:t>
      </w:r>
    </w:p>
    <w:p w14:paraId="157AE576" w14:textId="77777777" w:rsidR="00C07445" w:rsidRDefault="00C07445" w:rsidP="00C07445">
      <w:pPr>
        <w:pStyle w:val="Item"/>
        <w:numPr>
          <w:ilvl w:val="1"/>
          <w:numId w:val="18"/>
        </w:numPr>
      </w:pPr>
      <w:r>
        <w:rPr>
          <w:b/>
          <w:bCs/>
          <w:i/>
          <w:iCs/>
        </w:rPr>
        <w:t>referring practitioner</w:t>
      </w:r>
      <w:r>
        <w:rPr>
          <w:color w:val="000000"/>
          <w:szCs w:val="22"/>
        </w:rPr>
        <w:t xml:space="preserve"> means the person making the referral</w:t>
      </w:r>
      <w:r>
        <w:t>; and</w:t>
      </w:r>
    </w:p>
    <w:p w14:paraId="26C1A6D3" w14:textId="77777777" w:rsidR="00C07445" w:rsidRPr="00C11001" w:rsidRDefault="00C07445" w:rsidP="00C07445">
      <w:pPr>
        <w:pStyle w:val="Item"/>
        <w:numPr>
          <w:ilvl w:val="1"/>
          <w:numId w:val="18"/>
        </w:numPr>
        <w:ind w:left="1775" w:hanging="357"/>
      </w:pPr>
      <w:r w:rsidRPr="00705012">
        <w:rPr>
          <w:b/>
          <w:i/>
          <w:iCs/>
        </w:rPr>
        <w:t>treating practitioner</w:t>
      </w:r>
      <w:r>
        <w:t xml:space="preserve"> means the person performing the service to which the patient is referred.</w:t>
      </w:r>
    </w:p>
    <w:p w14:paraId="6E29C703" w14:textId="77777777" w:rsidR="00C07445" w:rsidRDefault="00C07445" w:rsidP="00C07445">
      <w:pPr>
        <w:pStyle w:val="ItemHead"/>
        <w:spacing w:before="120"/>
        <w:ind w:left="1083" w:firstLine="0"/>
        <w:rPr>
          <w:rFonts w:ascii="Times New Roman" w:hAnsi="Times New Roman"/>
          <w:b w:val="0"/>
          <w:bCs/>
          <w:i/>
          <w:iCs/>
          <w:sz w:val="22"/>
          <w:szCs w:val="18"/>
        </w:rPr>
      </w:pPr>
      <w:r>
        <w:rPr>
          <w:rFonts w:ascii="Times New Roman" w:hAnsi="Times New Roman"/>
          <w:b w:val="0"/>
          <w:bCs/>
          <w:i/>
          <w:iCs/>
          <w:sz w:val="22"/>
          <w:szCs w:val="18"/>
        </w:rPr>
        <w:t>Lost referrals</w:t>
      </w:r>
    </w:p>
    <w:p w14:paraId="53C4C08A" w14:textId="77777777" w:rsidR="00C07445" w:rsidRPr="002134B8" w:rsidRDefault="00C07445" w:rsidP="00C07445">
      <w:pPr>
        <w:pStyle w:val="ItemHead"/>
        <w:numPr>
          <w:ilvl w:val="0"/>
          <w:numId w:val="18"/>
        </w:numPr>
        <w:spacing w:before="80"/>
        <w:ind w:left="1083" w:hanging="374"/>
        <w:rPr>
          <w:rFonts w:ascii="Times New Roman" w:hAnsi="Times New Roman"/>
          <w:b w:val="0"/>
        </w:rPr>
      </w:pPr>
      <w:r w:rsidRPr="002134B8">
        <w:rPr>
          <w:rFonts w:ascii="Times New Roman" w:hAnsi="Times New Roman"/>
          <w:b w:val="0"/>
          <w:sz w:val="22"/>
          <w:szCs w:val="16"/>
        </w:rPr>
        <w:t>If a service mentioned</w:t>
      </w:r>
      <w:r w:rsidRPr="002134B8">
        <w:rPr>
          <w:rFonts w:ascii="Times New Roman" w:hAnsi="Times New Roman"/>
          <w:b w:val="0"/>
          <w:sz w:val="22"/>
          <w:szCs w:val="18"/>
        </w:rPr>
        <w:t xml:space="preserve"> in an item in subsection (1) is rendered on the basis of a lost, stolen or destroyed referral:</w:t>
      </w:r>
    </w:p>
    <w:p w14:paraId="3E1B511D" w14:textId="77777777" w:rsidR="00C07445" w:rsidRDefault="00C07445" w:rsidP="00C07445">
      <w:pPr>
        <w:pStyle w:val="Item"/>
        <w:numPr>
          <w:ilvl w:val="1"/>
          <w:numId w:val="18"/>
        </w:numPr>
      </w:pPr>
      <w:r>
        <w:t>paragraphs (2)(a) to (d) do not apply; and</w:t>
      </w:r>
    </w:p>
    <w:p w14:paraId="39039D5A" w14:textId="77777777" w:rsidR="00C07445" w:rsidRPr="00F66DA2" w:rsidRDefault="00C07445" w:rsidP="00C07445">
      <w:pPr>
        <w:pStyle w:val="Item"/>
        <w:numPr>
          <w:ilvl w:val="1"/>
          <w:numId w:val="18"/>
        </w:numPr>
        <w:ind w:left="1775" w:hanging="357"/>
      </w:pPr>
      <w:r w:rsidRPr="00462E0B">
        <w:t>the words “lost referral” are a prescribed particula</w:t>
      </w:r>
      <w:r>
        <w:t>r.</w:t>
      </w:r>
    </w:p>
    <w:p w14:paraId="5AB85B0A" w14:textId="77777777" w:rsidR="00C07445" w:rsidRPr="00175789" w:rsidRDefault="00C07445" w:rsidP="00C07445">
      <w:pPr>
        <w:pStyle w:val="ItemHead"/>
        <w:ind w:left="1083" w:firstLine="0"/>
        <w:rPr>
          <w:rFonts w:ascii="Times New Roman" w:hAnsi="Times New Roman"/>
          <w:b w:val="0"/>
          <w:bCs/>
          <w:i/>
          <w:iCs/>
          <w:sz w:val="22"/>
          <w:szCs w:val="18"/>
        </w:rPr>
      </w:pPr>
      <w:r w:rsidRPr="00175789">
        <w:rPr>
          <w:rFonts w:ascii="Times New Roman" w:hAnsi="Times New Roman"/>
          <w:b w:val="0"/>
          <w:bCs/>
          <w:i/>
          <w:iCs/>
          <w:sz w:val="22"/>
          <w:szCs w:val="18"/>
        </w:rPr>
        <w:lastRenderedPageBreak/>
        <w:t>Period</w:t>
      </w:r>
      <w:r>
        <w:rPr>
          <w:rFonts w:ascii="Times New Roman" w:hAnsi="Times New Roman"/>
          <w:b w:val="0"/>
          <w:bCs/>
          <w:i/>
          <w:iCs/>
          <w:sz w:val="22"/>
          <w:szCs w:val="18"/>
        </w:rPr>
        <w:t xml:space="preserve"> of validity for referrals</w:t>
      </w:r>
    </w:p>
    <w:p w14:paraId="6D896433" w14:textId="45E21A75" w:rsidR="00C07445" w:rsidRDefault="00C07445" w:rsidP="00C07445">
      <w:pPr>
        <w:pStyle w:val="Item"/>
        <w:numPr>
          <w:ilvl w:val="0"/>
          <w:numId w:val="18"/>
        </w:numPr>
      </w:pPr>
      <w:r>
        <w:t xml:space="preserve">For the purposes of a referral for a service to which an item in </w:t>
      </w:r>
      <w:bookmarkStart w:id="14" w:name="_Hlk171522044"/>
      <w:r>
        <w:t xml:space="preserve">Subgroup </w:t>
      </w:r>
      <w:bookmarkStart w:id="15" w:name="_Hlk176526585"/>
      <w:r>
        <w:t>1</w:t>
      </w:r>
      <w:r w:rsidR="000528A2">
        <w:t>1, 12, 17, 18</w:t>
      </w:r>
      <w:r w:rsidR="00295F8D">
        <w:t>, 25 or 26</w:t>
      </w:r>
      <w:r>
        <w:t xml:space="preserve"> of Group M</w:t>
      </w:r>
      <w:r w:rsidR="00295F8D">
        <w:t>18</w:t>
      </w:r>
      <w:r>
        <w:t xml:space="preserve"> </w:t>
      </w:r>
      <w:bookmarkEnd w:id="14"/>
      <w:bookmarkEnd w:id="15"/>
      <w:r>
        <w:t>applies:</w:t>
      </w:r>
    </w:p>
    <w:p w14:paraId="4AD5E300" w14:textId="77777777" w:rsidR="00C07445" w:rsidRDefault="00C07445" w:rsidP="00C07445">
      <w:pPr>
        <w:pStyle w:val="Item"/>
        <w:numPr>
          <w:ilvl w:val="1"/>
          <w:numId w:val="18"/>
        </w:numPr>
      </w:pPr>
      <w:r>
        <w:t>if the</w:t>
      </w:r>
      <w:r w:rsidRPr="00175789">
        <w:t xml:space="preserve"> referral states it is valid for a fixed period</w:t>
      </w:r>
      <w:r>
        <w:t>, it</w:t>
      </w:r>
      <w:r w:rsidRPr="00175789">
        <w:t xml:space="preserve"> is valid until the end of that period after the first service rendered in accordance with the referral;</w:t>
      </w:r>
    </w:p>
    <w:p w14:paraId="0A725530" w14:textId="77777777" w:rsidR="00C07445" w:rsidRPr="002133DE" w:rsidRDefault="00C07445" w:rsidP="00C07445">
      <w:pPr>
        <w:pStyle w:val="Item"/>
        <w:numPr>
          <w:ilvl w:val="1"/>
          <w:numId w:val="18"/>
        </w:numPr>
        <w:rPr>
          <w:color w:val="000000"/>
          <w:szCs w:val="22"/>
        </w:rPr>
      </w:pPr>
      <w:r>
        <w:rPr>
          <w:color w:val="000000"/>
          <w:szCs w:val="22"/>
        </w:rPr>
        <w:t>if the referral does not state a time for which it remains valid, it is valid until 18 months after the first service rendered in accordance with the referral.</w:t>
      </w:r>
    </w:p>
    <w:p w14:paraId="50B70D27" w14:textId="560AD329" w:rsidR="00C07445" w:rsidRPr="008F2EFE" w:rsidRDefault="00A70308" w:rsidP="00BE7133">
      <w:pPr>
        <w:pStyle w:val="ItemHead"/>
        <w:tabs>
          <w:tab w:val="left" w:pos="1701"/>
        </w:tabs>
      </w:pPr>
      <w:r>
        <w:t>11</w:t>
      </w:r>
      <w:r w:rsidR="004C7532">
        <w:t xml:space="preserve">  </w:t>
      </w:r>
      <w:r w:rsidR="00C07445">
        <w:t>Clause 1.1.04</w:t>
      </w:r>
      <w:r w:rsidR="00920F0E">
        <w:t xml:space="preserve"> of Schedule 1</w:t>
      </w:r>
    </w:p>
    <w:p w14:paraId="19808456" w14:textId="77777777" w:rsidR="00C07445" w:rsidRDefault="00C07445" w:rsidP="00C07445">
      <w:pPr>
        <w:pStyle w:val="Item"/>
      </w:pPr>
      <w:r>
        <w:t xml:space="preserve">Repeal the clause, substitute: </w:t>
      </w:r>
    </w:p>
    <w:p w14:paraId="726191AF" w14:textId="5CB9EAA9" w:rsidR="00C07445" w:rsidRPr="00B10A60" w:rsidRDefault="00C07445" w:rsidP="00C07445">
      <w:pPr>
        <w:keepNext/>
        <w:keepLines/>
        <w:spacing w:before="240" w:after="120" w:line="240" w:lineRule="auto"/>
        <w:outlineLvl w:val="6"/>
        <w:rPr>
          <w:rFonts w:eastAsia="Times New Roman" w:cs="Times New Roman"/>
          <w:b/>
          <w:kern w:val="28"/>
          <w:szCs w:val="22"/>
          <w:lang w:eastAsia="en-AU"/>
        </w:rPr>
      </w:pPr>
      <w:r w:rsidRPr="00B10A60">
        <w:rPr>
          <w:rFonts w:eastAsia="Times New Roman" w:cs="Times New Roman"/>
          <w:b/>
          <w:kern w:val="28"/>
          <w:szCs w:val="22"/>
          <w:lang w:eastAsia="en-AU"/>
        </w:rPr>
        <w:t>1.1.04  Application of items </w:t>
      </w:r>
      <w:r w:rsidR="00861D6F" w:rsidRPr="00861D6F">
        <w:rPr>
          <w:rFonts w:eastAsia="Times New Roman" w:cs="Times New Roman"/>
          <w:b/>
          <w:kern w:val="28"/>
          <w:szCs w:val="22"/>
          <w:lang w:eastAsia="en-AU"/>
        </w:rPr>
        <w:t>92026, 92027, 92029, 92030, 92057, 92058, 92060 and 92061</w:t>
      </w:r>
    </w:p>
    <w:p w14:paraId="241EDA7E" w14:textId="5DBA0898" w:rsidR="00C07445" w:rsidRDefault="00C07445" w:rsidP="00C07445">
      <w:pPr>
        <w:tabs>
          <w:tab w:val="right" w:pos="1021"/>
        </w:tabs>
        <w:spacing w:before="180" w:line="240" w:lineRule="auto"/>
        <w:ind w:left="714" w:hanging="357"/>
        <w:rPr>
          <w:rFonts w:cs="Times New Roman"/>
          <w:szCs w:val="22"/>
        </w:rPr>
      </w:pPr>
      <w:r w:rsidRPr="00B10A60">
        <w:rPr>
          <w:rFonts w:cs="Times New Roman"/>
          <w:szCs w:val="22"/>
        </w:rPr>
        <w:t>(</w:t>
      </w:r>
      <w:r>
        <w:rPr>
          <w:rFonts w:cs="Times New Roman"/>
          <w:szCs w:val="22"/>
        </w:rPr>
        <w:t>1</w:t>
      </w:r>
      <w:r w:rsidRPr="00B10A60">
        <w:rPr>
          <w:rFonts w:cs="Times New Roman"/>
          <w:szCs w:val="22"/>
        </w:rPr>
        <w:t>)</w:t>
      </w:r>
      <w:r w:rsidRPr="00B10A60">
        <w:rPr>
          <w:rFonts w:cs="Times New Roman"/>
          <w:szCs w:val="22"/>
        </w:rPr>
        <w:tab/>
      </w:r>
      <w:r w:rsidRPr="00B10A60">
        <w:rPr>
          <w:rFonts w:eastAsia="Times New Roman" w:cs="Times New Roman"/>
          <w:szCs w:val="22"/>
          <w:lang w:eastAsia="en-AU"/>
        </w:rPr>
        <w:t>Items </w:t>
      </w:r>
      <w:r w:rsidR="00861D6F">
        <w:rPr>
          <w:rFonts w:eastAsia="Times New Roman" w:cs="Times New Roman"/>
          <w:szCs w:val="22"/>
          <w:lang w:eastAsia="en-AU"/>
        </w:rPr>
        <w:t xml:space="preserve">92026, 92027, </w:t>
      </w:r>
      <w:r w:rsidR="00F93B8A" w:rsidRPr="00895148">
        <w:rPr>
          <w:rFonts w:cs="Times New Roman"/>
          <w:szCs w:val="22"/>
          <w:lang w:eastAsia="en-AU"/>
        </w:rPr>
        <w:t xml:space="preserve">92029, 92030, </w:t>
      </w:r>
      <w:r w:rsidR="00861D6F">
        <w:rPr>
          <w:rFonts w:cs="Times New Roman"/>
          <w:szCs w:val="22"/>
          <w:lang w:eastAsia="en-AU"/>
        </w:rPr>
        <w:t xml:space="preserve">92057, 92058, </w:t>
      </w:r>
      <w:r w:rsidR="00F93B8A" w:rsidRPr="00895148">
        <w:rPr>
          <w:rFonts w:cs="Times New Roman"/>
          <w:szCs w:val="22"/>
          <w:lang w:eastAsia="en-AU"/>
        </w:rPr>
        <w:t>92060 and 92061</w:t>
      </w:r>
      <w:r w:rsidR="00F93B8A">
        <w:rPr>
          <w:rFonts w:cs="Times New Roman"/>
          <w:szCs w:val="22"/>
          <w:lang w:eastAsia="en-AU"/>
        </w:rPr>
        <w:t xml:space="preserve"> </w:t>
      </w:r>
      <w:r w:rsidRPr="00B10A60">
        <w:rPr>
          <w:rFonts w:cs="Times New Roman"/>
          <w:szCs w:val="22"/>
        </w:rPr>
        <w:t xml:space="preserve">apply only to a service for a patient </w:t>
      </w:r>
      <w:r>
        <w:rPr>
          <w:rFonts w:cs="Times New Roman"/>
          <w:szCs w:val="22"/>
        </w:rPr>
        <w:t>who:</w:t>
      </w:r>
    </w:p>
    <w:p w14:paraId="4EB0C740" w14:textId="17A2EB02" w:rsidR="00C07445" w:rsidRPr="00B10A60" w:rsidRDefault="00C07445" w:rsidP="00C07445">
      <w:pPr>
        <w:tabs>
          <w:tab w:val="right" w:pos="1531"/>
        </w:tabs>
        <w:spacing w:before="40" w:line="240" w:lineRule="auto"/>
        <w:ind w:left="1644" w:hanging="1644"/>
        <w:rPr>
          <w:rFonts w:cs="Times New Roman"/>
          <w:szCs w:val="22"/>
        </w:rPr>
      </w:pPr>
      <w:r w:rsidRPr="00B10A60">
        <w:rPr>
          <w:rFonts w:cs="Times New Roman"/>
          <w:szCs w:val="22"/>
        </w:rPr>
        <w:tab/>
        <w:t>(a)</w:t>
      </w:r>
      <w:r w:rsidRPr="00B10A60">
        <w:rPr>
          <w:rFonts w:cs="Times New Roman"/>
          <w:szCs w:val="22"/>
        </w:rPr>
        <w:tab/>
      </w:r>
      <w:r w:rsidR="00861D6F">
        <w:rPr>
          <w:rFonts w:cs="Times New Roman"/>
          <w:szCs w:val="22"/>
        </w:rPr>
        <w:t xml:space="preserve">suffers from </w:t>
      </w:r>
      <w:r>
        <w:rPr>
          <w:rFonts w:cs="Times New Roman"/>
          <w:szCs w:val="22"/>
        </w:rPr>
        <w:t>a</w:t>
      </w:r>
      <w:r w:rsidR="00AF6E5E">
        <w:rPr>
          <w:rFonts w:cs="Times New Roman"/>
          <w:szCs w:val="22"/>
        </w:rPr>
        <w:t>t least one</w:t>
      </w:r>
      <w:r>
        <w:rPr>
          <w:rFonts w:cs="Times New Roman"/>
          <w:szCs w:val="22"/>
        </w:rPr>
        <w:t xml:space="preserve"> chronic condition</w:t>
      </w:r>
      <w:r w:rsidRPr="00B10A60">
        <w:rPr>
          <w:rFonts w:cs="Times New Roman"/>
          <w:szCs w:val="22"/>
        </w:rPr>
        <w:t>; and</w:t>
      </w:r>
    </w:p>
    <w:p w14:paraId="6ED8B3EB" w14:textId="5008A0C4" w:rsidR="00C07445" w:rsidRDefault="00C07445" w:rsidP="000A7B4E">
      <w:pPr>
        <w:tabs>
          <w:tab w:val="right" w:pos="1531"/>
        </w:tabs>
        <w:spacing w:before="40" w:line="240" w:lineRule="auto"/>
        <w:ind w:left="1644" w:hanging="1644"/>
        <w:rPr>
          <w:rFonts w:cs="Times New Roman"/>
          <w:szCs w:val="22"/>
        </w:rPr>
      </w:pPr>
      <w:r w:rsidRPr="00B10A60">
        <w:rPr>
          <w:rFonts w:cs="Times New Roman"/>
          <w:szCs w:val="22"/>
        </w:rPr>
        <w:tab/>
        <w:t>(b)</w:t>
      </w:r>
      <w:r w:rsidRPr="00B10A60">
        <w:rPr>
          <w:rFonts w:cs="Times New Roman"/>
          <w:szCs w:val="22"/>
        </w:rPr>
        <w:tab/>
      </w:r>
      <w:r w:rsidR="00A50E10">
        <w:rPr>
          <w:rFonts w:cs="Times New Roman"/>
          <w:szCs w:val="22"/>
        </w:rPr>
        <w:t xml:space="preserve">for items 92026, 92027, 92057 and 92058 </w:t>
      </w:r>
      <w:r w:rsidRPr="00B10A60">
        <w:rPr>
          <w:rFonts w:eastAsia="Times New Roman" w:cs="Times New Roman"/>
          <w:szCs w:val="22"/>
          <w:lang w:eastAsia="en-AU"/>
        </w:rPr>
        <w:t>requires</w:t>
      </w:r>
      <w:r w:rsidRPr="00B10A60">
        <w:rPr>
          <w:rFonts w:cs="Times New Roman"/>
          <w:szCs w:val="22"/>
        </w:rPr>
        <w:t xml:space="preserve"> ongoing care</w:t>
      </w:r>
      <w:r w:rsidR="005803DD">
        <w:rPr>
          <w:rFonts w:cs="Times New Roman"/>
          <w:szCs w:val="22"/>
        </w:rPr>
        <w:t xml:space="preserve"> </w:t>
      </w:r>
      <w:r w:rsidR="005803DD" w:rsidRPr="005803DD">
        <w:rPr>
          <w:rFonts w:cs="Times New Roman"/>
          <w:szCs w:val="22"/>
        </w:rPr>
        <w:t>from at least 3 collaborating providers, each of whom provides a different kind of treatment or service to the patient, and at least one of whom is a medical practitioner</w:t>
      </w:r>
      <w:r w:rsidR="000A7B4E">
        <w:rPr>
          <w:rFonts w:cs="Times New Roman"/>
          <w:szCs w:val="22"/>
        </w:rPr>
        <w:t>.</w:t>
      </w:r>
      <w:r w:rsidR="000A7B4E" w:rsidRPr="00B10A60" w:rsidDel="000A7B4E">
        <w:rPr>
          <w:rFonts w:cs="Times New Roman"/>
          <w:szCs w:val="22"/>
        </w:rPr>
        <w:t xml:space="preserve"> </w:t>
      </w:r>
    </w:p>
    <w:p w14:paraId="12D59BFC" w14:textId="5689A50F" w:rsidR="000A7B4E" w:rsidRDefault="000A7B4E" w:rsidP="000A7B4E">
      <w:pPr>
        <w:tabs>
          <w:tab w:val="right" w:pos="1021"/>
        </w:tabs>
        <w:spacing w:before="180" w:line="240" w:lineRule="auto"/>
        <w:ind w:left="714" w:hanging="357"/>
        <w:rPr>
          <w:rFonts w:cs="Times New Roman"/>
          <w:szCs w:val="22"/>
        </w:rPr>
      </w:pPr>
      <w:r w:rsidRPr="00B10A60">
        <w:rPr>
          <w:rFonts w:cs="Times New Roman"/>
          <w:szCs w:val="22"/>
        </w:rPr>
        <w:t>(</w:t>
      </w:r>
      <w:r>
        <w:rPr>
          <w:rFonts w:cs="Times New Roman"/>
          <w:szCs w:val="22"/>
        </w:rPr>
        <w:t>2</w:t>
      </w:r>
      <w:r w:rsidRPr="00B10A60">
        <w:rPr>
          <w:rFonts w:cs="Times New Roman"/>
          <w:szCs w:val="22"/>
        </w:rPr>
        <w:t>)</w:t>
      </w:r>
      <w:r w:rsidRPr="00B10A60">
        <w:rPr>
          <w:rFonts w:cs="Times New Roman"/>
          <w:szCs w:val="22"/>
        </w:rPr>
        <w:tab/>
      </w:r>
      <w:r w:rsidRPr="000A7B4E">
        <w:rPr>
          <w:rFonts w:cs="Times New Roman"/>
          <w:szCs w:val="22"/>
        </w:rPr>
        <w:t xml:space="preserve">For the purposes of this clause, a </w:t>
      </w:r>
      <w:r w:rsidRPr="000A7B4E">
        <w:rPr>
          <w:rFonts w:cs="Times New Roman"/>
          <w:b/>
          <w:bCs/>
          <w:i/>
          <w:iCs/>
          <w:szCs w:val="22"/>
        </w:rPr>
        <w:t>collaborating provider</w:t>
      </w:r>
      <w:r w:rsidRPr="000A7B4E">
        <w:rPr>
          <w:rFonts w:cs="Times New Roman"/>
          <w:szCs w:val="22"/>
        </w:rPr>
        <w:t xml:space="preserve"> is a person </w:t>
      </w:r>
      <w:r w:rsidR="00D60FDA">
        <w:rPr>
          <w:rFonts w:cs="Times New Roman"/>
          <w:szCs w:val="22"/>
        </w:rPr>
        <w:t>who:</w:t>
      </w:r>
    </w:p>
    <w:p w14:paraId="493DFA27" w14:textId="358706DA" w:rsidR="00D60FDA" w:rsidRPr="00B10A60" w:rsidRDefault="00D60FDA" w:rsidP="00D60FDA">
      <w:pPr>
        <w:tabs>
          <w:tab w:val="right" w:pos="1531"/>
        </w:tabs>
        <w:spacing w:before="40" w:line="240" w:lineRule="auto"/>
        <w:ind w:left="1644" w:hanging="1644"/>
        <w:rPr>
          <w:rFonts w:cs="Times New Roman"/>
          <w:szCs w:val="22"/>
        </w:rPr>
      </w:pPr>
      <w:r w:rsidRPr="00B10A60">
        <w:rPr>
          <w:rFonts w:cs="Times New Roman"/>
          <w:szCs w:val="22"/>
        </w:rPr>
        <w:tab/>
        <w:t>(a)</w:t>
      </w:r>
      <w:r w:rsidRPr="00B10A60">
        <w:rPr>
          <w:rFonts w:cs="Times New Roman"/>
          <w:szCs w:val="22"/>
        </w:rPr>
        <w:tab/>
      </w:r>
      <w:r w:rsidRPr="00D60FDA">
        <w:rPr>
          <w:rFonts w:cs="Times New Roman"/>
          <w:szCs w:val="22"/>
        </w:rPr>
        <w:t xml:space="preserve">provides treatment or a service to a patient; </w:t>
      </w:r>
      <w:r w:rsidRPr="00B10A60">
        <w:rPr>
          <w:rFonts w:cs="Times New Roman"/>
          <w:szCs w:val="22"/>
        </w:rPr>
        <w:t>and</w:t>
      </w:r>
    </w:p>
    <w:p w14:paraId="72879CAE" w14:textId="0BB89704" w:rsidR="000A7B4E" w:rsidRDefault="00D60FDA" w:rsidP="00DF7F1E">
      <w:pPr>
        <w:tabs>
          <w:tab w:val="right" w:pos="1531"/>
        </w:tabs>
        <w:spacing w:before="40" w:line="240" w:lineRule="auto"/>
        <w:ind w:left="1644" w:hanging="1644"/>
        <w:rPr>
          <w:rFonts w:cs="Times New Roman"/>
          <w:szCs w:val="22"/>
        </w:rPr>
      </w:pPr>
      <w:r w:rsidRPr="00B10A60">
        <w:rPr>
          <w:rFonts w:cs="Times New Roman"/>
          <w:szCs w:val="22"/>
        </w:rPr>
        <w:tab/>
        <w:t>(</w:t>
      </w:r>
      <w:r>
        <w:rPr>
          <w:rFonts w:cs="Times New Roman"/>
          <w:szCs w:val="22"/>
        </w:rPr>
        <w:t>b</w:t>
      </w:r>
      <w:r w:rsidRPr="00B10A60">
        <w:rPr>
          <w:rFonts w:cs="Times New Roman"/>
          <w:szCs w:val="22"/>
        </w:rPr>
        <w:t>)</w:t>
      </w:r>
      <w:r w:rsidRPr="00B10A60">
        <w:rPr>
          <w:rFonts w:cs="Times New Roman"/>
          <w:szCs w:val="22"/>
        </w:rPr>
        <w:tab/>
      </w:r>
      <w:r w:rsidRPr="00D60FDA">
        <w:rPr>
          <w:rFonts w:cs="Times New Roman"/>
          <w:szCs w:val="22"/>
        </w:rPr>
        <w:t>is not an unpaid carer of the patient</w:t>
      </w:r>
      <w:r>
        <w:rPr>
          <w:rFonts w:cs="Times New Roman"/>
          <w:szCs w:val="22"/>
        </w:rPr>
        <w:t xml:space="preserve">. </w:t>
      </w:r>
    </w:p>
    <w:p w14:paraId="0A7B3E21" w14:textId="602F80A2" w:rsidR="00C07445" w:rsidRDefault="000A7B4E" w:rsidP="000A7B4E">
      <w:pPr>
        <w:tabs>
          <w:tab w:val="right" w:pos="1021"/>
        </w:tabs>
        <w:spacing w:before="180" w:line="240" w:lineRule="auto"/>
        <w:ind w:left="714" w:hanging="357"/>
        <w:rPr>
          <w:rFonts w:cs="Times New Roman"/>
          <w:szCs w:val="22"/>
        </w:rPr>
      </w:pPr>
      <w:r w:rsidRPr="00B10A60">
        <w:rPr>
          <w:rFonts w:cs="Times New Roman"/>
          <w:szCs w:val="22"/>
        </w:rPr>
        <w:t>(</w:t>
      </w:r>
      <w:r>
        <w:rPr>
          <w:rFonts w:cs="Times New Roman"/>
          <w:szCs w:val="22"/>
        </w:rPr>
        <w:t>3</w:t>
      </w:r>
      <w:r w:rsidRPr="00B10A60">
        <w:rPr>
          <w:rFonts w:cs="Times New Roman"/>
          <w:szCs w:val="22"/>
        </w:rPr>
        <w:t>)</w:t>
      </w:r>
      <w:r w:rsidRPr="00B10A60">
        <w:rPr>
          <w:rFonts w:cs="Times New Roman"/>
          <w:szCs w:val="22"/>
        </w:rPr>
        <w:tab/>
      </w:r>
      <w:r>
        <w:rPr>
          <w:rFonts w:cs="Times New Roman"/>
          <w:szCs w:val="22"/>
        </w:rPr>
        <w:t xml:space="preserve">For the purposes of subclause (1), </w:t>
      </w:r>
      <w:r w:rsidRPr="005A7CB6">
        <w:rPr>
          <w:rFonts w:cs="Times New Roman"/>
          <w:b/>
          <w:bCs/>
          <w:i/>
          <w:iCs/>
          <w:szCs w:val="22"/>
        </w:rPr>
        <w:t>chronic condition</w:t>
      </w:r>
      <w:r>
        <w:rPr>
          <w:rFonts w:cs="Times New Roman"/>
          <w:szCs w:val="22"/>
        </w:rPr>
        <w:t xml:space="preserve"> has the meaning given by clause 7.1.1 of the general medical services table.</w:t>
      </w:r>
    </w:p>
    <w:p w14:paraId="64FE260F" w14:textId="6C1697BF" w:rsidR="00BD3F68" w:rsidRDefault="008D5821" w:rsidP="00C07445">
      <w:pPr>
        <w:tabs>
          <w:tab w:val="right" w:pos="1021"/>
        </w:tabs>
        <w:spacing w:before="180" w:line="240" w:lineRule="auto"/>
        <w:ind w:left="714" w:hanging="357"/>
        <w:rPr>
          <w:rFonts w:cs="Times New Roman"/>
          <w:szCs w:val="22"/>
          <w:lang w:eastAsia="en-AU"/>
        </w:rPr>
      </w:pPr>
      <w:r>
        <w:rPr>
          <w:rFonts w:cs="Times New Roman"/>
          <w:szCs w:val="22"/>
        </w:rPr>
        <w:t>(</w:t>
      </w:r>
      <w:r w:rsidR="000A7B4E">
        <w:rPr>
          <w:rFonts w:cs="Times New Roman"/>
          <w:szCs w:val="22"/>
        </w:rPr>
        <w:t>4</w:t>
      </w:r>
      <w:r>
        <w:rPr>
          <w:rFonts w:cs="Times New Roman"/>
          <w:szCs w:val="22"/>
        </w:rPr>
        <w:t xml:space="preserve">)  Items </w:t>
      </w:r>
      <w:r w:rsidRPr="00895148">
        <w:rPr>
          <w:rFonts w:cs="Times New Roman"/>
          <w:szCs w:val="22"/>
          <w:lang w:eastAsia="en-AU"/>
        </w:rPr>
        <w:t>92029, 92030, 92060 and 92061</w:t>
      </w:r>
      <w:r>
        <w:rPr>
          <w:rFonts w:cs="Times New Roman"/>
          <w:szCs w:val="22"/>
          <w:lang w:eastAsia="en-AU"/>
        </w:rPr>
        <w:t xml:space="preserve"> </w:t>
      </w:r>
      <w:r w:rsidR="00802877">
        <w:rPr>
          <w:rFonts w:cs="Times New Roman"/>
          <w:szCs w:val="22"/>
          <w:lang w:eastAsia="en-AU"/>
        </w:rPr>
        <w:t>apply only to a service if the patient</w:t>
      </w:r>
      <w:r w:rsidR="00BD3F68">
        <w:rPr>
          <w:rFonts w:cs="Times New Roman"/>
          <w:szCs w:val="22"/>
          <w:lang w:eastAsia="en-AU"/>
        </w:rPr>
        <w:t>:</w:t>
      </w:r>
    </w:p>
    <w:p w14:paraId="0847723D" w14:textId="39163DB4" w:rsidR="006379ED" w:rsidRDefault="006379ED" w:rsidP="006379ED">
      <w:pPr>
        <w:tabs>
          <w:tab w:val="right" w:pos="1531"/>
        </w:tabs>
        <w:spacing w:before="40" w:line="240" w:lineRule="auto"/>
        <w:ind w:left="1644" w:hanging="1644"/>
        <w:rPr>
          <w:rFonts w:cs="Times New Roman"/>
          <w:szCs w:val="22"/>
        </w:rPr>
      </w:pPr>
      <w:r w:rsidRPr="00B10A60">
        <w:rPr>
          <w:rFonts w:cs="Times New Roman"/>
          <w:szCs w:val="22"/>
        </w:rPr>
        <w:tab/>
        <w:t>(a)</w:t>
      </w:r>
      <w:r w:rsidRPr="00B10A60">
        <w:rPr>
          <w:rFonts w:cs="Times New Roman"/>
          <w:szCs w:val="22"/>
        </w:rPr>
        <w:tab/>
      </w:r>
      <w:r>
        <w:rPr>
          <w:rFonts w:cs="Times New Roman"/>
          <w:szCs w:val="22"/>
        </w:rPr>
        <w:t xml:space="preserve">is not a care recipient in a residential aged care facility; and </w:t>
      </w:r>
    </w:p>
    <w:p w14:paraId="27A60376" w14:textId="21485CC1" w:rsidR="006379ED" w:rsidRDefault="006379ED" w:rsidP="006379ED">
      <w:pPr>
        <w:tabs>
          <w:tab w:val="right" w:pos="1531"/>
        </w:tabs>
        <w:spacing w:before="40" w:line="240" w:lineRule="auto"/>
        <w:ind w:left="1644" w:hanging="1644"/>
        <w:rPr>
          <w:rFonts w:cs="Times New Roman"/>
          <w:szCs w:val="22"/>
        </w:rPr>
      </w:pPr>
      <w:r w:rsidRPr="00B10A60">
        <w:rPr>
          <w:rFonts w:cs="Times New Roman"/>
          <w:szCs w:val="22"/>
        </w:rPr>
        <w:tab/>
        <w:t>(</w:t>
      </w:r>
      <w:r>
        <w:rPr>
          <w:rFonts w:cs="Times New Roman"/>
          <w:szCs w:val="22"/>
        </w:rPr>
        <w:t>b</w:t>
      </w:r>
      <w:r w:rsidRPr="00B10A60">
        <w:rPr>
          <w:rFonts w:cs="Times New Roman"/>
          <w:szCs w:val="22"/>
        </w:rPr>
        <w:t>)</w:t>
      </w:r>
      <w:r w:rsidRPr="00B10A60">
        <w:rPr>
          <w:rFonts w:cs="Times New Roman"/>
          <w:szCs w:val="22"/>
        </w:rPr>
        <w:tab/>
      </w:r>
      <w:r>
        <w:rPr>
          <w:rFonts w:cs="Times New Roman"/>
          <w:szCs w:val="22"/>
        </w:rPr>
        <w:t>is provided with the service:</w:t>
      </w:r>
    </w:p>
    <w:p w14:paraId="2C616898" w14:textId="7EBBB1E9" w:rsidR="00BE7133" w:rsidRDefault="00BE7133" w:rsidP="00BE7133">
      <w:pPr>
        <w:pStyle w:val="paragraphsub"/>
        <w:rPr>
          <w:szCs w:val="22"/>
        </w:rPr>
      </w:pPr>
      <w:r w:rsidRPr="00B10A60">
        <w:tab/>
        <w:t>(i)</w:t>
      </w:r>
      <w:r w:rsidRPr="00B10A60">
        <w:tab/>
      </w:r>
      <w:r w:rsidRPr="00BE7133">
        <w:rPr>
          <w:szCs w:val="22"/>
        </w:rPr>
        <w:t>if the patient is enrolled in MyMedicare—at the general practice at which the patient is so enrolled; or</w:t>
      </w:r>
    </w:p>
    <w:p w14:paraId="688EDF8D" w14:textId="563614C2" w:rsidR="00BE7133" w:rsidRDefault="00BE7133" w:rsidP="00BE7133">
      <w:pPr>
        <w:pStyle w:val="paragraphsub"/>
      </w:pPr>
      <w:r w:rsidRPr="00B10A60">
        <w:rPr>
          <w:color w:val="000000"/>
          <w:szCs w:val="22"/>
        </w:rPr>
        <w:tab/>
        <w:t>(ii)</w:t>
      </w:r>
      <w:r w:rsidRPr="00B10A60">
        <w:rPr>
          <w:color w:val="000000"/>
          <w:szCs w:val="22"/>
        </w:rPr>
        <w:tab/>
      </w:r>
      <w:r w:rsidRPr="005A0D15">
        <w:t>if the patient is not enrolled in My Medicare—by the patient’s usual medical practitioner</w:t>
      </w:r>
      <w:r>
        <w:t xml:space="preserve">. </w:t>
      </w:r>
    </w:p>
    <w:p w14:paraId="48A82DBF" w14:textId="5F5A01E3" w:rsidR="000D52DE" w:rsidRPr="000D52DE" w:rsidRDefault="000D52DE" w:rsidP="00474EB9">
      <w:pPr>
        <w:tabs>
          <w:tab w:val="right" w:pos="1021"/>
        </w:tabs>
        <w:spacing w:before="180" w:line="240" w:lineRule="auto"/>
        <w:ind w:left="714" w:hanging="357"/>
      </w:pPr>
      <w:r>
        <w:rPr>
          <w:color w:val="000000"/>
          <w:szCs w:val="22"/>
        </w:rPr>
        <w:t>(</w:t>
      </w:r>
      <w:r w:rsidR="000A7B4E">
        <w:rPr>
          <w:color w:val="000000"/>
          <w:szCs w:val="22"/>
        </w:rPr>
        <w:t>5</w:t>
      </w:r>
      <w:r>
        <w:rPr>
          <w:color w:val="000000"/>
          <w:szCs w:val="22"/>
        </w:rPr>
        <w:t xml:space="preserve">)  For the purposes of subclause (3), </w:t>
      </w:r>
      <w:r>
        <w:rPr>
          <w:b/>
          <w:bCs/>
          <w:i/>
          <w:iCs/>
          <w:color w:val="000000"/>
          <w:szCs w:val="22"/>
        </w:rPr>
        <w:t>usual medical practitioner</w:t>
      </w:r>
      <w:r>
        <w:rPr>
          <w:color w:val="000000"/>
          <w:szCs w:val="22"/>
        </w:rPr>
        <w:t xml:space="preserve"> has the meaning given by clause 7.1.1 of the general medical services table.</w:t>
      </w:r>
    </w:p>
    <w:p w14:paraId="350B1FED" w14:textId="7BE6AEC3" w:rsidR="00C07445" w:rsidRPr="008F2EFE" w:rsidRDefault="000F2BBE" w:rsidP="00C07445">
      <w:pPr>
        <w:pStyle w:val="ItemHead"/>
      </w:pPr>
      <w:r>
        <w:t>12</w:t>
      </w:r>
      <w:r w:rsidR="004C7532">
        <w:t xml:space="preserve">  </w:t>
      </w:r>
      <w:r w:rsidR="00C07445">
        <w:t>Clause 1.1.05</w:t>
      </w:r>
      <w:r w:rsidR="00920F0E">
        <w:t xml:space="preserve"> of Schedule 1</w:t>
      </w:r>
    </w:p>
    <w:p w14:paraId="06D499D3" w14:textId="77777777" w:rsidR="00C07445" w:rsidRDefault="00C07445" w:rsidP="00C07445">
      <w:pPr>
        <w:pStyle w:val="Item"/>
      </w:pPr>
      <w:r>
        <w:t>Repeal the clause, substitute:</w:t>
      </w:r>
    </w:p>
    <w:p w14:paraId="251DD526" w14:textId="7A79FDEA" w:rsidR="00C07445" w:rsidRPr="00B10A60" w:rsidRDefault="00C07445" w:rsidP="00C07445">
      <w:pPr>
        <w:keepNext/>
        <w:keepLines/>
        <w:spacing w:before="240" w:after="120" w:line="240" w:lineRule="auto"/>
        <w:outlineLvl w:val="6"/>
        <w:rPr>
          <w:rFonts w:eastAsia="Times New Roman" w:cs="Times New Roman"/>
          <w:b/>
          <w:kern w:val="28"/>
          <w:szCs w:val="22"/>
          <w:lang w:eastAsia="en-AU"/>
        </w:rPr>
      </w:pPr>
      <w:r w:rsidRPr="00B10A60">
        <w:rPr>
          <w:rFonts w:eastAsia="Times New Roman" w:cs="Times New Roman"/>
          <w:b/>
          <w:kern w:val="28"/>
          <w:szCs w:val="22"/>
          <w:lang w:eastAsia="en-AU"/>
        </w:rPr>
        <w:t>1.1.05  Application of items in relation to items </w:t>
      </w:r>
      <w:bookmarkStart w:id="16" w:name="_Hlk176269162"/>
      <w:r w:rsidR="00C3144C" w:rsidRPr="00C3144C">
        <w:rPr>
          <w:rFonts w:eastAsia="Times New Roman" w:cs="Times New Roman"/>
          <w:b/>
          <w:kern w:val="28"/>
          <w:szCs w:val="22"/>
          <w:lang w:eastAsia="en-AU"/>
        </w:rPr>
        <w:t>92029, 92030, 92060 and 92061</w:t>
      </w:r>
      <w:bookmarkEnd w:id="16"/>
    </w:p>
    <w:p w14:paraId="39306E81" w14:textId="09DBE3D5" w:rsidR="006A73D4" w:rsidRPr="008A0DFC" w:rsidRDefault="00C07445" w:rsidP="008A0DFC">
      <w:pPr>
        <w:shd w:val="clear" w:color="auto" w:fill="FFFFFF"/>
        <w:spacing w:before="180" w:after="80" w:line="240" w:lineRule="auto"/>
        <w:ind w:left="714" w:hanging="357"/>
        <w:rPr>
          <w:rFonts w:eastAsia="Times New Roman" w:cs="Times New Roman"/>
          <w:color w:val="000000"/>
          <w:szCs w:val="22"/>
          <w:lang w:eastAsia="en-AU"/>
        </w:rPr>
      </w:pPr>
      <w:bookmarkStart w:id="17" w:name="_Hlk176267786"/>
      <w:r w:rsidRPr="007F106F">
        <w:rPr>
          <w:rFonts w:eastAsia="Times New Roman" w:cs="Times New Roman"/>
          <w:color w:val="000000"/>
          <w:szCs w:val="22"/>
          <w:lang w:eastAsia="en-AU"/>
        </w:rPr>
        <w:t>(1)</w:t>
      </w:r>
      <w:r w:rsidRPr="007F106F">
        <w:rPr>
          <w:rFonts w:cs="Times New Roman"/>
          <w:szCs w:val="22"/>
        </w:rPr>
        <w:tab/>
      </w:r>
      <w:bookmarkEnd w:id="17"/>
      <w:r w:rsidR="00E5310E">
        <w:rPr>
          <w:rFonts w:eastAsia="Times New Roman" w:cs="Times New Roman"/>
          <w:szCs w:val="22"/>
          <w:lang w:eastAsia="en-AU"/>
        </w:rPr>
        <w:t>A</w:t>
      </w:r>
      <w:r w:rsidR="00E5310E" w:rsidRPr="007F106F">
        <w:rPr>
          <w:rFonts w:eastAsia="Times New Roman" w:cs="Times New Roman"/>
          <w:szCs w:val="22"/>
          <w:lang w:eastAsia="en-AU"/>
        </w:rPr>
        <w:t xml:space="preserve">n item specified in paragraph 2.16.11(a), (b), (c), (d), (e) </w:t>
      </w:r>
      <w:r w:rsidR="00E5310E">
        <w:rPr>
          <w:rFonts w:eastAsia="Times New Roman" w:cs="Times New Roman"/>
          <w:szCs w:val="22"/>
          <w:lang w:eastAsia="en-AU"/>
        </w:rPr>
        <w:t>or</w:t>
      </w:r>
      <w:r w:rsidR="00E5310E" w:rsidRPr="007F106F">
        <w:rPr>
          <w:rFonts w:eastAsia="Times New Roman" w:cs="Times New Roman"/>
          <w:szCs w:val="22"/>
          <w:lang w:eastAsia="en-AU"/>
        </w:rPr>
        <w:t xml:space="preserve"> (f) of the general medical services table</w:t>
      </w:r>
      <w:r w:rsidRPr="007F106F">
        <w:rPr>
          <w:rFonts w:eastAsia="Times New Roman" w:cs="Times New Roman"/>
          <w:color w:val="000000"/>
          <w:szCs w:val="22"/>
          <w:lang w:eastAsia="en-AU"/>
        </w:rPr>
        <w:t xml:space="preserve"> do</w:t>
      </w:r>
      <w:r w:rsidR="00E5310E">
        <w:rPr>
          <w:rFonts w:eastAsia="Times New Roman" w:cs="Times New Roman"/>
          <w:color w:val="000000"/>
          <w:szCs w:val="22"/>
          <w:lang w:eastAsia="en-AU"/>
        </w:rPr>
        <w:t>es</w:t>
      </w:r>
      <w:r w:rsidRPr="007F106F">
        <w:rPr>
          <w:rFonts w:eastAsia="Times New Roman" w:cs="Times New Roman"/>
          <w:color w:val="000000"/>
          <w:szCs w:val="22"/>
          <w:lang w:eastAsia="en-AU"/>
        </w:rPr>
        <w:t xml:space="preserve"> not apply to a service mentioned in the item that is provided by a general practitioner or </w:t>
      </w:r>
      <w:r w:rsidR="00920F0E" w:rsidRPr="007F106F">
        <w:rPr>
          <w:rFonts w:eastAsia="Times New Roman" w:cs="Times New Roman"/>
          <w:color w:val="000000"/>
          <w:szCs w:val="22"/>
          <w:lang w:eastAsia="en-AU"/>
        </w:rPr>
        <w:t xml:space="preserve">prescribed </w:t>
      </w:r>
      <w:r w:rsidRPr="007F106F">
        <w:rPr>
          <w:rFonts w:eastAsia="Times New Roman" w:cs="Times New Roman"/>
          <w:color w:val="000000"/>
          <w:szCs w:val="22"/>
          <w:lang w:eastAsia="en-AU"/>
        </w:rPr>
        <w:t>medical practitioner, if the service is provided on the same day for the same patient for whom the practitioner provides a service mentioned in</w:t>
      </w:r>
      <w:r w:rsidR="008A0DFC" w:rsidRPr="007F106F">
        <w:rPr>
          <w:rFonts w:eastAsia="Times New Roman" w:cs="Times New Roman"/>
          <w:color w:val="000000"/>
          <w:szCs w:val="22"/>
          <w:lang w:eastAsia="en-AU"/>
        </w:rPr>
        <w:t xml:space="preserve"> </w:t>
      </w:r>
      <w:r w:rsidRPr="007F106F">
        <w:rPr>
          <w:rFonts w:eastAsia="Times New Roman" w:cs="Times New Roman"/>
          <w:color w:val="000000"/>
          <w:szCs w:val="22"/>
          <w:lang w:eastAsia="en-AU"/>
        </w:rPr>
        <w:t>item</w:t>
      </w:r>
      <w:r w:rsidR="006A73D4" w:rsidRPr="007F106F">
        <w:rPr>
          <w:rFonts w:eastAsia="Times New Roman" w:cs="Times New Roman"/>
          <w:color w:val="000000"/>
          <w:szCs w:val="22"/>
          <w:lang w:eastAsia="en-AU"/>
        </w:rPr>
        <w:t xml:space="preserve"> </w:t>
      </w:r>
      <w:r w:rsidR="00C4201D" w:rsidRPr="007F106F">
        <w:rPr>
          <w:rFonts w:eastAsia="Times New Roman" w:cs="Times New Roman"/>
          <w:color w:val="000000"/>
          <w:szCs w:val="22"/>
          <w:lang w:eastAsia="en-AU"/>
        </w:rPr>
        <w:t xml:space="preserve">92029, 92030, 92060 </w:t>
      </w:r>
      <w:r w:rsidR="009833CA">
        <w:rPr>
          <w:rFonts w:eastAsia="Times New Roman" w:cs="Times New Roman"/>
          <w:color w:val="000000"/>
          <w:szCs w:val="22"/>
          <w:lang w:eastAsia="en-AU"/>
        </w:rPr>
        <w:t>or</w:t>
      </w:r>
      <w:r w:rsidR="00C4201D" w:rsidRPr="007F106F">
        <w:rPr>
          <w:rFonts w:eastAsia="Times New Roman" w:cs="Times New Roman"/>
          <w:color w:val="000000"/>
          <w:szCs w:val="22"/>
          <w:lang w:eastAsia="en-AU"/>
        </w:rPr>
        <w:t xml:space="preserve"> 92061</w:t>
      </w:r>
      <w:r w:rsidR="008A0DFC" w:rsidRPr="007F106F">
        <w:rPr>
          <w:rFonts w:eastAsia="Times New Roman" w:cs="Times New Roman"/>
          <w:szCs w:val="22"/>
          <w:lang w:eastAsia="en-AU"/>
        </w:rPr>
        <w:t xml:space="preserve">. </w:t>
      </w:r>
    </w:p>
    <w:p w14:paraId="4B925F14" w14:textId="2EF609E2" w:rsidR="00C07445" w:rsidRPr="008F2EFE" w:rsidRDefault="000F2BBE" w:rsidP="00C07445">
      <w:pPr>
        <w:pStyle w:val="ItemHead"/>
      </w:pPr>
      <w:r>
        <w:lastRenderedPageBreak/>
        <w:t>13</w:t>
      </w:r>
      <w:r w:rsidR="004C7532">
        <w:t xml:space="preserve">  </w:t>
      </w:r>
      <w:r w:rsidR="00C07445">
        <w:t>Clause 1.1.06</w:t>
      </w:r>
      <w:r w:rsidR="00920F0E">
        <w:t xml:space="preserve"> of Schedule 1</w:t>
      </w:r>
    </w:p>
    <w:p w14:paraId="49567102" w14:textId="77777777" w:rsidR="00C07445" w:rsidRDefault="00C07445" w:rsidP="00C07445">
      <w:pPr>
        <w:pStyle w:val="Item"/>
      </w:pPr>
      <w:r>
        <w:t xml:space="preserve">Repeal the clause, substitute: </w:t>
      </w:r>
    </w:p>
    <w:p w14:paraId="143A4567" w14:textId="3671E9AF" w:rsidR="00C07445" w:rsidRPr="00B10A60" w:rsidRDefault="00C07445" w:rsidP="00C07445">
      <w:pPr>
        <w:keepNext/>
        <w:keepLines/>
        <w:spacing w:before="240" w:after="120" w:line="240" w:lineRule="auto"/>
        <w:outlineLvl w:val="6"/>
        <w:rPr>
          <w:rFonts w:eastAsia="Times New Roman" w:cs="Times New Roman"/>
          <w:b/>
          <w:kern w:val="28"/>
          <w:szCs w:val="22"/>
          <w:lang w:eastAsia="en-AU"/>
        </w:rPr>
      </w:pPr>
      <w:r w:rsidRPr="00B10A60">
        <w:rPr>
          <w:rFonts w:eastAsia="Times New Roman" w:cs="Times New Roman"/>
          <w:b/>
          <w:kern w:val="28"/>
          <w:szCs w:val="22"/>
          <w:lang w:eastAsia="en-AU"/>
        </w:rPr>
        <w:t>1.1.0</w:t>
      </w:r>
      <w:r>
        <w:rPr>
          <w:rFonts w:eastAsia="Times New Roman" w:cs="Times New Roman"/>
          <w:b/>
          <w:kern w:val="28"/>
          <w:szCs w:val="22"/>
          <w:lang w:eastAsia="en-AU"/>
        </w:rPr>
        <w:t>6</w:t>
      </w:r>
      <w:r w:rsidRPr="00B10A60">
        <w:rPr>
          <w:rFonts w:eastAsia="Times New Roman" w:cs="Times New Roman"/>
          <w:b/>
          <w:kern w:val="28"/>
          <w:szCs w:val="22"/>
          <w:lang w:eastAsia="en-AU"/>
        </w:rPr>
        <w:t xml:space="preserve">  </w:t>
      </w:r>
      <w:r>
        <w:rPr>
          <w:b/>
          <w:bCs/>
          <w:color w:val="000000"/>
          <w:szCs w:val="22"/>
        </w:rPr>
        <w:t>Limitation on items </w:t>
      </w:r>
      <w:r w:rsidR="00FC735E" w:rsidRPr="00FC735E">
        <w:rPr>
          <w:b/>
          <w:bCs/>
          <w:color w:val="000000"/>
          <w:szCs w:val="22"/>
        </w:rPr>
        <w:t>92026, 92027, 92029, 92030, 92057, 92058, 92060 and 92061</w:t>
      </w:r>
    </w:p>
    <w:p w14:paraId="1A853492" w14:textId="77777777" w:rsidR="00C07445" w:rsidRDefault="00C07445" w:rsidP="00C07445">
      <w:pPr>
        <w:pStyle w:val="subsection"/>
        <w:ind w:left="714" w:hanging="357"/>
        <w:rPr>
          <w:szCs w:val="22"/>
        </w:rPr>
      </w:pPr>
      <w:r>
        <w:rPr>
          <w:szCs w:val="22"/>
        </w:rPr>
        <w:t xml:space="preserve">(1)  </w:t>
      </w:r>
      <w:r w:rsidRPr="00F42CB0">
        <w:rPr>
          <w:szCs w:val="22"/>
        </w:rPr>
        <w:t>This clause applies to the performances of services for a patient for whom exceptional circumstances do not exist.</w:t>
      </w:r>
    </w:p>
    <w:p w14:paraId="033E88B4" w14:textId="36887428" w:rsidR="00C07445" w:rsidRDefault="00C07445" w:rsidP="00C07445">
      <w:pPr>
        <w:pStyle w:val="subsection"/>
        <w:ind w:left="714" w:hanging="357"/>
        <w:rPr>
          <w:szCs w:val="22"/>
        </w:rPr>
      </w:pPr>
      <w:r w:rsidRPr="00B10A60">
        <w:rPr>
          <w:szCs w:val="22"/>
        </w:rPr>
        <w:t>(2)</w:t>
      </w:r>
      <w:r w:rsidRPr="00B10A60">
        <w:rPr>
          <w:szCs w:val="22"/>
        </w:rPr>
        <w:tab/>
        <w:t>Items </w:t>
      </w:r>
      <w:r w:rsidR="00EB6FA2">
        <w:rPr>
          <w:szCs w:val="22"/>
        </w:rPr>
        <w:t xml:space="preserve">92026, 92027, </w:t>
      </w:r>
      <w:r w:rsidR="00EB6FA2" w:rsidRPr="00895148">
        <w:rPr>
          <w:szCs w:val="22"/>
        </w:rPr>
        <w:t xml:space="preserve">92029, 92030, </w:t>
      </w:r>
      <w:r w:rsidR="00EB6FA2">
        <w:rPr>
          <w:szCs w:val="22"/>
        </w:rPr>
        <w:t xml:space="preserve">92057, 92058, </w:t>
      </w:r>
      <w:r w:rsidR="00EB6FA2" w:rsidRPr="00895148">
        <w:rPr>
          <w:szCs w:val="22"/>
        </w:rPr>
        <w:t>92060 and 92061</w:t>
      </w:r>
      <w:r w:rsidR="00EB6FA2">
        <w:rPr>
          <w:szCs w:val="22"/>
        </w:rPr>
        <w:t xml:space="preserve"> </w:t>
      </w:r>
      <w:r w:rsidRPr="00B10A60">
        <w:rPr>
          <w:szCs w:val="22"/>
        </w:rPr>
        <w:t>apply in the circumstances mentioned in table below.</w:t>
      </w:r>
    </w:p>
    <w:p w14:paraId="5984A451" w14:textId="05EC7711" w:rsidR="005F5978" w:rsidRDefault="005F5978" w:rsidP="00C07445">
      <w:pPr>
        <w:pStyle w:val="subsection"/>
        <w:ind w:left="714" w:hanging="357"/>
        <w:rPr>
          <w:szCs w:val="22"/>
        </w:rPr>
      </w:pPr>
      <w:r>
        <w:rPr>
          <w:color w:val="000000"/>
          <w:szCs w:val="22"/>
        </w:rPr>
        <w:t>(3)  In this clause, </w:t>
      </w:r>
      <w:r>
        <w:rPr>
          <w:b/>
          <w:bCs/>
          <w:i/>
          <w:iCs/>
          <w:color w:val="000000"/>
          <w:szCs w:val="22"/>
        </w:rPr>
        <w:t>exceptional circumstances</w:t>
      </w:r>
      <w:r>
        <w:rPr>
          <w:color w:val="000000"/>
          <w:szCs w:val="22"/>
        </w:rPr>
        <w:t>, for a patient, means there has been a significant change in the patient’s clinical condition or care circumstances that necessitates the performance of the service for the patient.</w:t>
      </w:r>
    </w:p>
    <w:p w14:paraId="67E76215" w14:textId="77777777" w:rsidR="005F5978" w:rsidRDefault="005F5978" w:rsidP="00C07445">
      <w:pPr>
        <w:pStyle w:val="subsection"/>
        <w:ind w:left="714" w:hanging="357"/>
        <w:rPr>
          <w:szCs w:val="22"/>
        </w:rPr>
      </w:pPr>
    </w:p>
    <w:tbl>
      <w:tblPr>
        <w:tblW w:w="5000" w:type="pct"/>
        <w:tblBorders>
          <w:top w:val="single" w:sz="4" w:space="0" w:color="auto"/>
          <w:bottom w:val="single" w:sz="2" w:space="0" w:color="auto"/>
          <w:insideH w:val="single" w:sz="2" w:space="0" w:color="auto"/>
        </w:tblBorders>
        <w:tblLook w:val="04A0" w:firstRow="1" w:lastRow="0" w:firstColumn="1" w:lastColumn="0" w:noHBand="0" w:noVBand="1"/>
      </w:tblPr>
      <w:tblGrid>
        <w:gridCol w:w="614"/>
        <w:gridCol w:w="1847"/>
        <w:gridCol w:w="5852"/>
      </w:tblGrid>
      <w:tr w:rsidR="000A0914" w:rsidRPr="005A0D15" w14:paraId="785E5124" w14:textId="77777777" w:rsidTr="008E53D2">
        <w:trPr>
          <w:tblHeader/>
        </w:trPr>
        <w:tc>
          <w:tcPr>
            <w:tcW w:w="5000" w:type="pct"/>
            <w:gridSpan w:val="3"/>
            <w:tcBorders>
              <w:top w:val="single" w:sz="12" w:space="0" w:color="auto"/>
              <w:bottom w:val="single" w:sz="6" w:space="0" w:color="auto"/>
            </w:tcBorders>
            <w:shd w:val="clear" w:color="auto" w:fill="auto"/>
            <w:hideMark/>
          </w:tcPr>
          <w:p w14:paraId="4A249469" w14:textId="77777777" w:rsidR="000A0914" w:rsidRPr="005A0D15" w:rsidRDefault="000A0914" w:rsidP="008E53D2">
            <w:pPr>
              <w:pStyle w:val="TableHeading"/>
            </w:pPr>
            <w:r w:rsidRPr="00EA6ABF">
              <w:t>Limitation on items 920</w:t>
            </w:r>
            <w:r>
              <w:t>26</w:t>
            </w:r>
            <w:r w:rsidRPr="00EA6ABF">
              <w:t xml:space="preserve"> to 920</w:t>
            </w:r>
            <w:r>
              <w:t>61</w:t>
            </w:r>
          </w:p>
        </w:tc>
      </w:tr>
      <w:tr w:rsidR="000A0914" w:rsidRPr="005A0D15" w14:paraId="18389E27" w14:textId="77777777" w:rsidTr="008E53D2">
        <w:tblPrEx>
          <w:tblCellMar>
            <w:left w:w="107" w:type="dxa"/>
            <w:right w:w="107" w:type="dxa"/>
          </w:tblCellMar>
        </w:tblPrEx>
        <w:trPr>
          <w:tblHeader/>
        </w:trPr>
        <w:tc>
          <w:tcPr>
            <w:tcW w:w="361" w:type="pct"/>
            <w:tcBorders>
              <w:top w:val="single" w:sz="6" w:space="0" w:color="auto"/>
              <w:bottom w:val="single" w:sz="12" w:space="0" w:color="auto"/>
            </w:tcBorders>
            <w:shd w:val="clear" w:color="auto" w:fill="auto"/>
            <w:hideMark/>
          </w:tcPr>
          <w:p w14:paraId="555BB97A" w14:textId="77777777" w:rsidR="000A0914" w:rsidRPr="005A0D15" w:rsidRDefault="000A0914" w:rsidP="008E53D2">
            <w:pPr>
              <w:pStyle w:val="TableHeading"/>
            </w:pPr>
          </w:p>
          <w:p w14:paraId="3AE770A3" w14:textId="77777777" w:rsidR="000A0914" w:rsidRPr="005A0D15" w:rsidRDefault="000A0914" w:rsidP="008E53D2">
            <w:pPr>
              <w:pStyle w:val="TableHeading"/>
            </w:pPr>
            <w:r w:rsidRPr="005A0D15">
              <w:t>Item</w:t>
            </w:r>
          </w:p>
        </w:tc>
        <w:tc>
          <w:tcPr>
            <w:tcW w:w="1115" w:type="pct"/>
            <w:tcBorders>
              <w:top w:val="single" w:sz="6" w:space="0" w:color="auto"/>
              <w:bottom w:val="single" w:sz="12" w:space="0" w:color="auto"/>
            </w:tcBorders>
            <w:shd w:val="clear" w:color="auto" w:fill="auto"/>
            <w:hideMark/>
          </w:tcPr>
          <w:p w14:paraId="5BD8E598" w14:textId="77777777" w:rsidR="000A0914" w:rsidRPr="005A0D15" w:rsidRDefault="000A0914" w:rsidP="008E53D2">
            <w:pPr>
              <w:pStyle w:val="TableHeading"/>
            </w:pPr>
            <w:r w:rsidRPr="005A0D15">
              <w:t>Column 1</w:t>
            </w:r>
          </w:p>
          <w:p w14:paraId="2AECE3E4" w14:textId="77777777" w:rsidR="000A0914" w:rsidRPr="005A0D15" w:rsidRDefault="000A0914" w:rsidP="008E53D2">
            <w:pPr>
              <w:pStyle w:val="TableHeading"/>
            </w:pPr>
            <w:r w:rsidRPr="005A0D15">
              <w:t>Items of this Schedule</w:t>
            </w:r>
          </w:p>
        </w:tc>
        <w:tc>
          <w:tcPr>
            <w:tcW w:w="3524" w:type="pct"/>
            <w:tcBorders>
              <w:top w:val="single" w:sz="6" w:space="0" w:color="auto"/>
              <w:bottom w:val="single" w:sz="12" w:space="0" w:color="auto"/>
            </w:tcBorders>
            <w:shd w:val="clear" w:color="auto" w:fill="auto"/>
            <w:hideMark/>
          </w:tcPr>
          <w:p w14:paraId="5CEF7C57" w14:textId="77777777" w:rsidR="000A0914" w:rsidRPr="005A0D15" w:rsidRDefault="000A0914" w:rsidP="008E53D2">
            <w:pPr>
              <w:pStyle w:val="TableHeading"/>
            </w:pPr>
            <w:r w:rsidRPr="005A0D15">
              <w:t>Column 2</w:t>
            </w:r>
          </w:p>
          <w:p w14:paraId="6A81FFA0" w14:textId="77777777" w:rsidR="000A0914" w:rsidRPr="005A0D15" w:rsidRDefault="000A0914" w:rsidP="008E53D2">
            <w:pPr>
              <w:pStyle w:val="TableHeading"/>
            </w:pPr>
            <w:r w:rsidRPr="005A0D15">
              <w:t>Circumstances</w:t>
            </w:r>
          </w:p>
        </w:tc>
      </w:tr>
      <w:tr w:rsidR="000A0914" w:rsidRPr="005A0D15" w14:paraId="5896761A" w14:textId="77777777" w:rsidTr="008E53D2">
        <w:tc>
          <w:tcPr>
            <w:tcW w:w="361" w:type="pct"/>
            <w:tcBorders>
              <w:top w:val="single" w:sz="12" w:space="0" w:color="auto"/>
            </w:tcBorders>
            <w:shd w:val="clear" w:color="auto" w:fill="auto"/>
            <w:hideMark/>
          </w:tcPr>
          <w:p w14:paraId="4F180FC4" w14:textId="77777777" w:rsidR="000A0914" w:rsidRPr="005A0D15" w:rsidRDefault="000A0914" w:rsidP="008E53D2">
            <w:pPr>
              <w:pStyle w:val="Tabletext"/>
            </w:pPr>
            <w:r w:rsidRPr="005A0D15">
              <w:rPr>
                <w:bCs/>
                <w:szCs w:val="22"/>
              </w:rPr>
              <w:t>1</w:t>
            </w:r>
          </w:p>
        </w:tc>
        <w:tc>
          <w:tcPr>
            <w:tcW w:w="1115" w:type="pct"/>
            <w:tcBorders>
              <w:top w:val="single" w:sz="12" w:space="0" w:color="auto"/>
            </w:tcBorders>
            <w:shd w:val="clear" w:color="auto" w:fill="auto"/>
            <w:hideMark/>
          </w:tcPr>
          <w:p w14:paraId="6921A49F" w14:textId="77777777" w:rsidR="000A0914" w:rsidRPr="005A0D15" w:rsidRDefault="000A0914" w:rsidP="008E53D2">
            <w:pPr>
              <w:pStyle w:val="Tabletext"/>
            </w:pPr>
            <w:r>
              <w:t>92026</w:t>
            </w:r>
            <w:r w:rsidRPr="005A0D15">
              <w:t xml:space="preserve"> and </w:t>
            </w:r>
            <w:r>
              <w:t>92057</w:t>
            </w:r>
          </w:p>
        </w:tc>
        <w:tc>
          <w:tcPr>
            <w:tcW w:w="3524" w:type="pct"/>
            <w:tcBorders>
              <w:top w:val="single" w:sz="12" w:space="0" w:color="auto"/>
            </w:tcBorders>
            <w:shd w:val="clear" w:color="auto" w:fill="auto"/>
            <w:hideMark/>
          </w:tcPr>
          <w:p w14:paraId="4AB56079" w14:textId="77777777" w:rsidR="000A0914" w:rsidRPr="005A0D15" w:rsidRDefault="000A0914" w:rsidP="008E53D2">
            <w:pPr>
              <w:pStyle w:val="Tablea"/>
            </w:pPr>
            <w:r w:rsidRPr="005A0D15">
              <w:t>The circumstances are that:</w:t>
            </w:r>
          </w:p>
          <w:p w14:paraId="2B42CD56" w14:textId="77777777" w:rsidR="000A0914" w:rsidRPr="005A0D15" w:rsidRDefault="000A0914" w:rsidP="008E53D2">
            <w:pPr>
              <w:pStyle w:val="Tablea"/>
              <w:rPr>
                <w:lang w:eastAsia="en-US"/>
              </w:rPr>
            </w:pPr>
            <w:r w:rsidRPr="005A0D15">
              <w:t>(</w:t>
            </w:r>
            <w:r w:rsidRPr="005A0D15">
              <w:rPr>
                <w:lang w:eastAsia="en-US"/>
              </w:rPr>
              <w:t>a) in</w:t>
            </w:r>
            <w:r w:rsidRPr="005A0D15">
              <w:t xml:space="preserve"> the preceding 3 months, a service to wh</w:t>
            </w:r>
            <w:r w:rsidRPr="005A0D15">
              <w:rPr>
                <w:lang w:eastAsia="en-US"/>
              </w:rPr>
              <w:t>ich item</w:t>
            </w:r>
            <w:r w:rsidRPr="005A0D15">
              <w:t> 231, 232, 393, 729, 731, 967, 92027, 92058, 92030 or 92061 a</w:t>
            </w:r>
            <w:r w:rsidRPr="005A0D15">
              <w:rPr>
                <w:lang w:eastAsia="en-US"/>
              </w:rPr>
              <w:t>pplies has not been provided to the patient; or</w:t>
            </w:r>
          </w:p>
          <w:p w14:paraId="3CCC2BBE" w14:textId="77777777" w:rsidR="000A0914" w:rsidRPr="005A0D15" w:rsidRDefault="000A0914" w:rsidP="008E53D2">
            <w:pPr>
              <w:pStyle w:val="Tablea"/>
            </w:pPr>
            <w:r w:rsidRPr="005A0D15">
              <w:t>(b) in the preceding 12 months, a service to which both of the following subparagraphs apply has not been provided to the patient:</w:t>
            </w:r>
          </w:p>
          <w:p w14:paraId="7FB6E725" w14:textId="569597F4" w:rsidR="000A0914" w:rsidRPr="005A0D15" w:rsidRDefault="000A0914" w:rsidP="008E53D2">
            <w:pPr>
              <w:pStyle w:val="Tablei"/>
            </w:pPr>
            <w:r w:rsidRPr="005A0D15">
              <w:t>(i) the service is a service to which item</w:t>
            </w:r>
            <w:r w:rsidR="00F04FD2">
              <w:t xml:space="preserve"> 231,</w:t>
            </w:r>
            <w:r w:rsidRPr="005A0D15">
              <w:t xml:space="preserve"> 392,  </w:t>
            </w:r>
            <w:r w:rsidR="00F04FD2">
              <w:t xml:space="preserve">729, </w:t>
            </w:r>
            <w:r w:rsidRPr="005A0D15">
              <w:t xml:space="preserve">965,  </w:t>
            </w:r>
            <w:r w:rsidR="00F04FD2">
              <w:t xml:space="preserve">92026, </w:t>
            </w:r>
            <w:r w:rsidRPr="005A0D15">
              <w:t xml:space="preserve">92029, </w:t>
            </w:r>
            <w:r w:rsidR="00F3068D">
              <w:t xml:space="preserve">or </w:t>
            </w:r>
            <w:r w:rsidRPr="005A0D15">
              <w:t>92060 applies;</w:t>
            </w:r>
          </w:p>
          <w:p w14:paraId="26CE6F74" w14:textId="7EB86BBB" w:rsidR="000A0914" w:rsidRPr="005A0D15" w:rsidRDefault="000A0914" w:rsidP="008E53D2">
            <w:pPr>
              <w:pStyle w:val="Tablei"/>
            </w:pPr>
            <w:r w:rsidRPr="005A0D15">
              <w:t>(ii) the service is performed by the medical practitioner who performs the service to which item </w:t>
            </w:r>
            <w:r w:rsidR="000678A1">
              <w:t>92026</w:t>
            </w:r>
            <w:r w:rsidR="000678A1" w:rsidRPr="005A0D15">
              <w:t xml:space="preserve"> </w:t>
            </w:r>
            <w:r w:rsidRPr="005A0D15">
              <w:t xml:space="preserve">or </w:t>
            </w:r>
            <w:r w:rsidR="000678A1">
              <w:t>92057</w:t>
            </w:r>
            <w:r w:rsidRPr="005A0D15">
              <w:t xml:space="preserve"> would, but for this item, apply</w:t>
            </w:r>
          </w:p>
        </w:tc>
      </w:tr>
      <w:tr w:rsidR="000A0914" w:rsidRPr="005A0D15" w14:paraId="530EB81C" w14:textId="77777777" w:rsidTr="008E53D2">
        <w:tc>
          <w:tcPr>
            <w:tcW w:w="361" w:type="pct"/>
            <w:shd w:val="clear" w:color="auto" w:fill="auto"/>
            <w:hideMark/>
          </w:tcPr>
          <w:p w14:paraId="1F3DAFCB" w14:textId="77777777" w:rsidR="000A0914" w:rsidRPr="005A0D15" w:rsidRDefault="000A0914" w:rsidP="008E53D2">
            <w:pPr>
              <w:pStyle w:val="Tabletext"/>
            </w:pPr>
            <w:r w:rsidRPr="005A0D15">
              <w:rPr>
                <w:bCs/>
              </w:rPr>
              <w:t>2</w:t>
            </w:r>
          </w:p>
        </w:tc>
        <w:tc>
          <w:tcPr>
            <w:tcW w:w="1115" w:type="pct"/>
            <w:shd w:val="clear" w:color="auto" w:fill="auto"/>
            <w:hideMark/>
          </w:tcPr>
          <w:p w14:paraId="1C8DCB40" w14:textId="77777777" w:rsidR="000A0914" w:rsidRPr="005A0D15" w:rsidRDefault="000A0914" w:rsidP="008E53D2">
            <w:pPr>
              <w:pStyle w:val="Tabletext"/>
            </w:pPr>
            <w:r>
              <w:t>92027</w:t>
            </w:r>
            <w:r w:rsidRPr="005A0D15">
              <w:t xml:space="preserve"> and </w:t>
            </w:r>
            <w:r>
              <w:t>92058</w:t>
            </w:r>
          </w:p>
        </w:tc>
        <w:tc>
          <w:tcPr>
            <w:tcW w:w="3524" w:type="pct"/>
            <w:shd w:val="clear" w:color="auto" w:fill="auto"/>
            <w:hideMark/>
          </w:tcPr>
          <w:p w14:paraId="06BB1B30" w14:textId="53005904" w:rsidR="000A0914" w:rsidRPr="005A0D15" w:rsidRDefault="000A0914" w:rsidP="008E53D2">
            <w:pPr>
              <w:pStyle w:val="Tabletext"/>
              <w:rPr>
                <w:lang w:eastAsia="en-US"/>
              </w:rPr>
            </w:pPr>
            <w:r w:rsidRPr="005A0D15">
              <w:t>The circumstances are that in the preceding 3 months a service to which item 231, 232, 392, 393, 729, 731, 965, 967, 92027, 92029, 92030, 92057,</w:t>
            </w:r>
            <w:r w:rsidR="00BD0009">
              <w:t xml:space="preserve"> 920</w:t>
            </w:r>
            <w:r w:rsidR="00EC12A6">
              <w:t>58,</w:t>
            </w:r>
            <w:r w:rsidRPr="005A0D15">
              <w:t xml:space="preserve"> 92060 or 92061 applies has not been provided to the patient</w:t>
            </w:r>
          </w:p>
        </w:tc>
      </w:tr>
      <w:tr w:rsidR="000A0914" w:rsidRPr="005A0D15" w14:paraId="59AD5914" w14:textId="77777777" w:rsidTr="008E53D2">
        <w:tc>
          <w:tcPr>
            <w:tcW w:w="361" w:type="pct"/>
            <w:tcBorders>
              <w:bottom w:val="single" w:sz="2" w:space="0" w:color="auto"/>
            </w:tcBorders>
            <w:shd w:val="clear" w:color="auto" w:fill="auto"/>
          </w:tcPr>
          <w:p w14:paraId="76B9E26F" w14:textId="77777777" w:rsidR="000A0914" w:rsidRPr="005A0D15" w:rsidRDefault="000A0914" w:rsidP="008E53D2">
            <w:pPr>
              <w:pStyle w:val="Tabletext"/>
            </w:pPr>
            <w:r w:rsidRPr="005A0D15">
              <w:rPr>
                <w:bCs/>
              </w:rPr>
              <w:t>3</w:t>
            </w:r>
          </w:p>
        </w:tc>
        <w:tc>
          <w:tcPr>
            <w:tcW w:w="1115" w:type="pct"/>
            <w:tcBorders>
              <w:bottom w:val="single" w:sz="2" w:space="0" w:color="auto"/>
            </w:tcBorders>
            <w:shd w:val="clear" w:color="auto" w:fill="auto"/>
          </w:tcPr>
          <w:p w14:paraId="5430BB7A" w14:textId="77777777" w:rsidR="000A0914" w:rsidRPr="005A0D15" w:rsidRDefault="000A0914" w:rsidP="008E53D2">
            <w:pPr>
              <w:pStyle w:val="Tabletext"/>
            </w:pPr>
            <w:r>
              <w:t>92029</w:t>
            </w:r>
            <w:r w:rsidRPr="005A0D15">
              <w:t xml:space="preserve"> and </w:t>
            </w:r>
            <w:r>
              <w:t>92060</w:t>
            </w:r>
          </w:p>
        </w:tc>
        <w:tc>
          <w:tcPr>
            <w:tcW w:w="3524" w:type="pct"/>
            <w:tcBorders>
              <w:bottom w:val="single" w:sz="2" w:space="0" w:color="auto"/>
            </w:tcBorders>
            <w:shd w:val="clear" w:color="auto" w:fill="auto"/>
          </w:tcPr>
          <w:p w14:paraId="6C951A99" w14:textId="77777777" w:rsidR="000A0914" w:rsidRPr="005A0D15" w:rsidRDefault="000A0914" w:rsidP="008E53D2">
            <w:pPr>
              <w:pStyle w:val="Tablea"/>
            </w:pPr>
            <w:r w:rsidRPr="005A0D15">
              <w:t>The circumstances are that:</w:t>
            </w:r>
          </w:p>
          <w:p w14:paraId="2F2A5346" w14:textId="77777777" w:rsidR="000A0914" w:rsidRPr="005A0D15" w:rsidRDefault="000A0914" w:rsidP="008E53D2">
            <w:pPr>
              <w:pStyle w:val="Tablea"/>
            </w:pPr>
            <w:r w:rsidRPr="005A0D15">
              <w:t>(a) the service:</w:t>
            </w:r>
          </w:p>
          <w:p w14:paraId="05C9694B" w14:textId="77777777" w:rsidR="000A0914" w:rsidRPr="005A0D15" w:rsidRDefault="000A0914" w:rsidP="008E53D2">
            <w:pPr>
              <w:pStyle w:val="Tablei"/>
            </w:pPr>
            <w:r w:rsidRPr="005A0D15">
              <w:t>(i) is not performed by a medical practitioner who is a recognised specialist in palliative medicine; and</w:t>
            </w:r>
          </w:p>
          <w:p w14:paraId="1AD912F4" w14:textId="77777777" w:rsidR="000A0914" w:rsidRPr="005A0D15" w:rsidRDefault="000A0914" w:rsidP="008E53D2">
            <w:pPr>
              <w:pStyle w:val="Tablei"/>
            </w:pPr>
            <w:r w:rsidRPr="005A0D15">
              <w:t>(ii) is not performed by a medical practitioner who is treating a palliative patient who has been referred to the medical practitioner; and</w:t>
            </w:r>
          </w:p>
          <w:p w14:paraId="14B8D0AB" w14:textId="77777777" w:rsidR="000A0914" w:rsidRPr="005A0D15" w:rsidRDefault="000A0914" w:rsidP="008E53D2">
            <w:pPr>
              <w:pStyle w:val="Tablei"/>
            </w:pPr>
            <w:r w:rsidRPr="005A0D15">
              <w:t>(iii) is not a service to which an item in Subgroup 3 or 4 of Group A24 applies because of the treatment of the palliative patient by the medical practitioner; and</w:t>
            </w:r>
          </w:p>
          <w:p w14:paraId="1129E22D" w14:textId="77777777" w:rsidR="000A0914" w:rsidRPr="005A0D15" w:rsidRDefault="000A0914" w:rsidP="008E53D2">
            <w:pPr>
              <w:pStyle w:val="Tablea"/>
            </w:pPr>
            <w:r w:rsidRPr="005A0D15">
              <w:t>(b) in the preceding 3 months, a service to which item 231, 232, 393, 729, 731, 967, 92026, 92027, 92030, 92057, 92059 or 92061 applies has not been provided to the patient; and</w:t>
            </w:r>
          </w:p>
          <w:p w14:paraId="0ED698B7" w14:textId="77777777" w:rsidR="000A0914" w:rsidRPr="005A0D15" w:rsidRDefault="000A0914" w:rsidP="008E53D2">
            <w:pPr>
              <w:pStyle w:val="Tablea"/>
            </w:pPr>
            <w:r w:rsidRPr="005A0D15">
              <w:t>(c) in the preceding 12 months, a service to which item 392, 965, 92029 or 92060 applies has not been provided to the patient</w:t>
            </w:r>
          </w:p>
        </w:tc>
      </w:tr>
      <w:tr w:rsidR="000A0914" w:rsidRPr="005A0D15" w14:paraId="4A23BA70" w14:textId="77777777" w:rsidTr="008E53D2">
        <w:tc>
          <w:tcPr>
            <w:tcW w:w="361" w:type="pct"/>
            <w:tcBorders>
              <w:top w:val="single" w:sz="2" w:space="0" w:color="auto"/>
              <w:bottom w:val="single" w:sz="12" w:space="0" w:color="auto"/>
            </w:tcBorders>
            <w:shd w:val="clear" w:color="auto" w:fill="auto"/>
          </w:tcPr>
          <w:p w14:paraId="6A3F41BC" w14:textId="77777777" w:rsidR="000A0914" w:rsidRPr="005A0D15" w:rsidRDefault="000A0914" w:rsidP="008E53D2">
            <w:pPr>
              <w:pStyle w:val="Tabletext"/>
              <w:rPr>
                <w:bCs/>
              </w:rPr>
            </w:pPr>
            <w:r w:rsidRPr="005A0D15">
              <w:rPr>
                <w:bCs/>
              </w:rPr>
              <w:lastRenderedPageBreak/>
              <w:t>4</w:t>
            </w:r>
          </w:p>
        </w:tc>
        <w:tc>
          <w:tcPr>
            <w:tcW w:w="1115" w:type="pct"/>
            <w:tcBorders>
              <w:top w:val="single" w:sz="2" w:space="0" w:color="auto"/>
              <w:bottom w:val="single" w:sz="12" w:space="0" w:color="auto"/>
            </w:tcBorders>
            <w:shd w:val="clear" w:color="auto" w:fill="auto"/>
          </w:tcPr>
          <w:p w14:paraId="17C9B19A" w14:textId="77777777" w:rsidR="000A0914" w:rsidRPr="005A0D15" w:rsidRDefault="000A0914" w:rsidP="008E53D2">
            <w:pPr>
              <w:pStyle w:val="Tabletext"/>
            </w:pPr>
            <w:r>
              <w:t>92030</w:t>
            </w:r>
            <w:r w:rsidRPr="005A0D15">
              <w:t xml:space="preserve"> and </w:t>
            </w:r>
            <w:r>
              <w:t>92061</w:t>
            </w:r>
          </w:p>
        </w:tc>
        <w:tc>
          <w:tcPr>
            <w:tcW w:w="3524" w:type="pct"/>
            <w:tcBorders>
              <w:top w:val="single" w:sz="2" w:space="0" w:color="auto"/>
              <w:bottom w:val="single" w:sz="12" w:space="0" w:color="auto"/>
            </w:tcBorders>
            <w:shd w:val="clear" w:color="auto" w:fill="auto"/>
          </w:tcPr>
          <w:p w14:paraId="2FAF0E6E" w14:textId="77777777" w:rsidR="000A0914" w:rsidRPr="005A0D15" w:rsidRDefault="000A0914" w:rsidP="008E53D2">
            <w:pPr>
              <w:pStyle w:val="Tablea"/>
              <w:rPr>
                <w:lang w:eastAsia="en-US"/>
              </w:rPr>
            </w:pPr>
            <w:r w:rsidRPr="005A0D15">
              <w:rPr>
                <w:lang w:eastAsia="en-US"/>
              </w:rPr>
              <w:t>The circumstances are that:</w:t>
            </w:r>
          </w:p>
          <w:p w14:paraId="69C94F40" w14:textId="77777777" w:rsidR="000A0914" w:rsidRPr="005A0D15" w:rsidRDefault="000A0914" w:rsidP="008E53D2">
            <w:pPr>
              <w:pStyle w:val="Tablea"/>
            </w:pPr>
            <w:r w:rsidRPr="005A0D15">
              <w:rPr>
                <w:lang w:eastAsia="en-US"/>
              </w:rPr>
              <w:t>(a) the service:</w:t>
            </w:r>
          </w:p>
          <w:p w14:paraId="6AF23A6A" w14:textId="77777777" w:rsidR="000A0914" w:rsidRPr="005A0D15" w:rsidRDefault="000A0914" w:rsidP="008E53D2">
            <w:pPr>
              <w:pStyle w:val="Tablei"/>
            </w:pPr>
            <w:r w:rsidRPr="005A0D15">
              <w:t xml:space="preserve">(i) </w:t>
            </w:r>
            <w:r w:rsidRPr="005A0D15">
              <w:rPr>
                <w:lang w:eastAsia="en-US"/>
              </w:rPr>
              <w:t xml:space="preserve">is not performed by a medical practitioner </w:t>
            </w:r>
            <w:r w:rsidRPr="005A0D15">
              <w:t>who is a recognised specialist in palliative medicine; and</w:t>
            </w:r>
          </w:p>
          <w:p w14:paraId="69B7F17C" w14:textId="77777777" w:rsidR="000A0914" w:rsidRPr="005A0D15" w:rsidRDefault="000A0914" w:rsidP="008E53D2">
            <w:pPr>
              <w:pStyle w:val="Tablei"/>
            </w:pPr>
            <w:r w:rsidRPr="005A0D15">
              <w:t xml:space="preserve">(ii) </w:t>
            </w:r>
            <w:r w:rsidRPr="005A0D15">
              <w:rPr>
                <w:lang w:eastAsia="en-US"/>
              </w:rPr>
              <w:t xml:space="preserve">is not performed by a medical practitioner </w:t>
            </w:r>
            <w:r w:rsidRPr="005A0D15">
              <w:t>who is treating a palliative patient who has been referred to the medical practitioner; and</w:t>
            </w:r>
          </w:p>
          <w:p w14:paraId="50B82159" w14:textId="77777777" w:rsidR="000A0914" w:rsidRPr="005A0D15" w:rsidRDefault="000A0914" w:rsidP="008E53D2">
            <w:pPr>
              <w:pStyle w:val="Tablei"/>
            </w:pPr>
            <w:r w:rsidRPr="005A0D15">
              <w:t>(iii) is not a service to which an item in Subgroup 3 or 4 of Group A24 applies because of the treatment of the palliative patient by the medical practitioner; and</w:t>
            </w:r>
          </w:p>
          <w:p w14:paraId="42E44479" w14:textId="77777777" w:rsidR="000A0914" w:rsidRPr="005A0D15" w:rsidRDefault="000A0914" w:rsidP="008E53D2">
            <w:pPr>
              <w:pStyle w:val="Tablea"/>
            </w:pPr>
            <w:r w:rsidRPr="005A0D15">
              <w:t xml:space="preserve">(b) in </w:t>
            </w:r>
            <w:r w:rsidRPr="005A0D15">
              <w:rPr>
                <w:lang w:eastAsia="en-US"/>
              </w:rPr>
              <w:t>the</w:t>
            </w:r>
            <w:r w:rsidRPr="005A0D15">
              <w:t xml:space="preserve"> preceding 3 months, a service to which item 3</w:t>
            </w:r>
            <w:r w:rsidRPr="005A0D15">
              <w:rPr>
                <w:lang w:eastAsia="en-US"/>
              </w:rPr>
              <w:t>93,</w:t>
            </w:r>
            <w:r w:rsidRPr="005A0D15">
              <w:t> 9</w:t>
            </w:r>
            <w:r w:rsidRPr="005A0D15">
              <w:rPr>
                <w:lang w:eastAsia="en-US"/>
              </w:rPr>
              <w:t>67, 92030 or 92061 applies has not been performed for the patient</w:t>
            </w:r>
          </w:p>
        </w:tc>
      </w:tr>
    </w:tbl>
    <w:p w14:paraId="4696EC95" w14:textId="44A6FCC0" w:rsidR="00C07445" w:rsidRPr="00674229" w:rsidRDefault="000F2BBE" w:rsidP="00C07445">
      <w:pPr>
        <w:pStyle w:val="ItemHead"/>
      </w:pPr>
      <w:r>
        <w:t>14</w:t>
      </w:r>
      <w:r w:rsidR="00C07445" w:rsidRPr="00674229">
        <w:t xml:space="preserve">  Clause 1.1.07</w:t>
      </w:r>
      <w:r w:rsidR="00920F0E" w:rsidRPr="00674229">
        <w:t xml:space="preserve"> of Schedule 1</w:t>
      </w:r>
    </w:p>
    <w:p w14:paraId="26FED8F6" w14:textId="04FF6CF9" w:rsidR="00C07445" w:rsidRDefault="00C07445" w:rsidP="00C07445">
      <w:pPr>
        <w:pStyle w:val="Item"/>
      </w:pPr>
      <w:r w:rsidRPr="00674229">
        <w:t>Repeal the clause</w:t>
      </w:r>
      <w:r w:rsidR="00EB6FA2" w:rsidRPr="00674229">
        <w:t>, substitute:</w:t>
      </w:r>
      <w:r w:rsidR="00EB6FA2">
        <w:t xml:space="preserve"> </w:t>
      </w:r>
    </w:p>
    <w:p w14:paraId="42692211" w14:textId="6D7E5A04" w:rsidR="00EB1356" w:rsidRPr="00B10A60" w:rsidRDefault="00EB1356" w:rsidP="00EB1356">
      <w:pPr>
        <w:keepNext/>
        <w:keepLines/>
        <w:spacing w:before="240" w:after="120" w:line="240" w:lineRule="auto"/>
        <w:outlineLvl w:val="6"/>
        <w:rPr>
          <w:rFonts w:eastAsia="Times New Roman" w:cs="Times New Roman"/>
          <w:b/>
          <w:kern w:val="28"/>
          <w:szCs w:val="22"/>
          <w:lang w:eastAsia="en-AU"/>
        </w:rPr>
      </w:pPr>
      <w:r w:rsidRPr="00B10A60">
        <w:rPr>
          <w:rFonts w:eastAsia="Times New Roman" w:cs="Times New Roman"/>
          <w:b/>
          <w:kern w:val="28"/>
          <w:szCs w:val="22"/>
          <w:lang w:eastAsia="en-AU"/>
        </w:rPr>
        <w:t>1.1.07</w:t>
      </w:r>
      <w:r w:rsidRPr="00B10A60">
        <w:rPr>
          <w:rFonts w:eastAsia="Times New Roman" w:cs="Times New Roman"/>
          <w:b/>
          <w:kern w:val="28"/>
          <w:szCs w:val="22"/>
          <w:lang w:eastAsia="en-AU"/>
        </w:rPr>
        <w:tab/>
      </w:r>
      <w:r>
        <w:rPr>
          <w:rFonts w:eastAsia="Times New Roman" w:cs="Times New Roman"/>
          <w:b/>
          <w:kern w:val="28"/>
          <w:szCs w:val="22"/>
          <w:lang w:eastAsia="en-AU"/>
        </w:rPr>
        <w:t>Restrictions on items 92029, 92030, 92060 and 92061 (GP chronic condition management plans)</w:t>
      </w:r>
    </w:p>
    <w:p w14:paraId="4E838602" w14:textId="3DB736A9" w:rsidR="00EB6FA2" w:rsidRPr="00384DD1" w:rsidRDefault="00EB6FA2" w:rsidP="00EB6FA2">
      <w:pPr>
        <w:pStyle w:val="SubsectionHead"/>
      </w:pPr>
      <w:r w:rsidRPr="00384DD1">
        <w:t>Items </w:t>
      </w:r>
      <w:r w:rsidR="004145D5" w:rsidRPr="00384DD1">
        <w:t>92029</w:t>
      </w:r>
      <w:r w:rsidRPr="00384DD1">
        <w:t xml:space="preserve"> and 9</w:t>
      </w:r>
      <w:r w:rsidR="004145D5" w:rsidRPr="00384DD1">
        <w:t>2030</w:t>
      </w:r>
    </w:p>
    <w:p w14:paraId="26B8D132" w14:textId="0C480EA2" w:rsidR="00EB6FA2" w:rsidRPr="00384DD1" w:rsidRDefault="00EB6FA2" w:rsidP="00EB6FA2">
      <w:pPr>
        <w:pStyle w:val="subsection"/>
      </w:pPr>
      <w:r w:rsidRPr="00384DD1">
        <w:tab/>
        <w:t>(1)</w:t>
      </w:r>
      <w:r w:rsidRPr="00384DD1">
        <w:tab/>
        <w:t>Items </w:t>
      </w:r>
      <w:r w:rsidR="004145D5" w:rsidRPr="00384DD1">
        <w:t>92029</w:t>
      </w:r>
      <w:r w:rsidRPr="00384DD1">
        <w:t xml:space="preserve"> and </w:t>
      </w:r>
      <w:r w:rsidR="004145D5" w:rsidRPr="00384DD1">
        <w:t xml:space="preserve">92030 </w:t>
      </w:r>
      <w:r w:rsidRPr="00384DD1">
        <w:t>apply only to a service provided in the course of personal attendance by a single general practitioner on a single patient.</w:t>
      </w:r>
    </w:p>
    <w:p w14:paraId="1B3E362B" w14:textId="02AFBB86" w:rsidR="00EB6FA2" w:rsidRPr="00384DD1" w:rsidRDefault="00EB6FA2" w:rsidP="00EB6FA2">
      <w:pPr>
        <w:pStyle w:val="SubsectionHead"/>
      </w:pPr>
      <w:r w:rsidRPr="00384DD1">
        <w:t>Items </w:t>
      </w:r>
      <w:r w:rsidR="00D0580C" w:rsidRPr="00384DD1">
        <w:t>92060</w:t>
      </w:r>
      <w:r w:rsidRPr="00384DD1">
        <w:t xml:space="preserve"> and </w:t>
      </w:r>
      <w:r w:rsidR="00D0580C" w:rsidRPr="00384DD1">
        <w:t>92061</w:t>
      </w:r>
    </w:p>
    <w:p w14:paraId="3CB0E2A4" w14:textId="5740ADF0" w:rsidR="00EB6FA2" w:rsidRPr="00384DD1" w:rsidRDefault="00EB6FA2" w:rsidP="00EB6FA2">
      <w:pPr>
        <w:pStyle w:val="subsection"/>
      </w:pPr>
      <w:r w:rsidRPr="00384DD1">
        <w:tab/>
        <w:t>(2)</w:t>
      </w:r>
      <w:r w:rsidRPr="00384DD1">
        <w:tab/>
        <w:t>Items </w:t>
      </w:r>
      <w:r w:rsidR="00D0580C" w:rsidRPr="00384DD1">
        <w:t>92060</w:t>
      </w:r>
      <w:r w:rsidRPr="00384DD1">
        <w:t xml:space="preserve"> and </w:t>
      </w:r>
      <w:r w:rsidR="00D0580C" w:rsidRPr="00384DD1">
        <w:t>92061</w:t>
      </w:r>
      <w:r w:rsidRPr="00384DD1">
        <w:t xml:space="preserve"> apply only to a service provided in the course of personal attendance by a single prescribed medical practitioner on a single patient.</w:t>
      </w:r>
    </w:p>
    <w:p w14:paraId="68F3914E" w14:textId="60E5EF40" w:rsidR="00EB6FA2" w:rsidRPr="00384DD1" w:rsidRDefault="00EB6FA2" w:rsidP="00EB6FA2">
      <w:pPr>
        <w:pStyle w:val="SubsectionHead"/>
      </w:pPr>
      <w:r w:rsidRPr="00384DD1">
        <w:t>Items </w:t>
      </w:r>
      <w:r w:rsidR="004145D5" w:rsidRPr="00384DD1">
        <w:t>92029</w:t>
      </w:r>
      <w:r w:rsidRPr="00384DD1">
        <w:t xml:space="preserve">, </w:t>
      </w:r>
      <w:r w:rsidR="004145D5" w:rsidRPr="00384DD1">
        <w:t>92030</w:t>
      </w:r>
      <w:r w:rsidRPr="00384DD1">
        <w:t xml:space="preserve">, </w:t>
      </w:r>
      <w:r w:rsidR="00D0580C" w:rsidRPr="00384DD1">
        <w:t>92060</w:t>
      </w:r>
      <w:r w:rsidRPr="00384DD1">
        <w:t xml:space="preserve"> and </w:t>
      </w:r>
      <w:r w:rsidR="00D0580C" w:rsidRPr="00384DD1">
        <w:t>92061</w:t>
      </w:r>
    </w:p>
    <w:p w14:paraId="631A5478" w14:textId="77777777" w:rsidR="00EB6FA2" w:rsidRPr="00384DD1" w:rsidRDefault="00EB6FA2" w:rsidP="00EB6FA2">
      <w:pPr>
        <w:pStyle w:val="subsection"/>
      </w:pPr>
      <w:r w:rsidRPr="00384DD1">
        <w:tab/>
        <w:t>(3)</w:t>
      </w:r>
      <w:r w:rsidRPr="00384DD1">
        <w:tab/>
        <w:t>Practice nurses, Aboriginal health workers and Aboriginal and Torres Strait Islander health practitioners may assist general practitioners or prescribed medical practitioners in preparing or reviewing a GP chronic condition management plan, in accordance with accepted medical practice, and under the supervision of the general practitioner or the prescribed medical practitioner, as the case may be.</w:t>
      </w:r>
    </w:p>
    <w:p w14:paraId="04277875" w14:textId="77777777" w:rsidR="00EB6FA2" w:rsidRPr="00384DD1" w:rsidRDefault="00EB6FA2" w:rsidP="00EB6FA2">
      <w:pPr>
        <w:pStyle w:val="subsection"/>
      </w:pPr>
      <w:r w:rsidRPr="00384DD1">
        <w:tab/>
        <w:t>(4)</w:t>
      </w:r>
      <w:r w:rsidRPr="00384DD1">
        <w:tab/>
        <w:t>For the purposes of subclause (3), assistance may include activities associated with:</w:t>
      </w:r>
    </w:p>
    <w:p w14:paraId="7944D374" w14:textId="77777777" w:rsidR="00EB6FA2" w:rsidRPr="00384DD1" w:rsidRDefault="00EB6FA2" w:rsidP="00EB6FA2">
      <w:pPr>
        <w:pStyle w:val="paragraph"/>
      </w:pPr>
      <w:r w:rsidRPr="00384DD1">
        <w:tab/>
        <w:t>(a)</w:t>
      </w:r>
      <w:r w:rsidRPr="00384DD1">
        <w:tab/>
        <w:t>information collection; and</w:t>
      </w:r>
    </w:p>
    <w:p w14:paraId="6070F6C2" w14:textId="77777777" w:rsidR="00EB6FA2" w:rsidRPr="00384DD1" w:rsidRDefault="00EB6FA2" w:rsidP="00EB6FA2">
      <w:pPr>
        <w:pStyle w:val="paragraph"/>
      </w:pPr>
      <w:r w:rsidRPr="00384DD1">
        <w:tab/>
        <w:t>(b)</w:t>
      </w:r>
      <w:r w:rsidRPr="00384DD1">
        <w:tab/>
        <w:t>supporting collaboration with a multidisciplinary team (if any) to which the patient is or is to be referred in accordance with the plan; and</w:t>
      </w:r>
    </w:p>
    <w:p w14:paraId="68B766C9" w14:textId="77777777" w:rsidR="00EB6FA2" w:rsidRPr="005A0D15" w:rsidRDefault="00EB6FA2" w:rsidP="00EB6FA2">
      <w:pPr>
        <w:pStyle w:val="paragraph"/>
      </w:pPr>
      <w:r w:rsidRPr="00384DD1">
        <w:tab/>
        <w:t>(c)</w:t>
      </w:r>
      <w:r w:rsidRPr="00384DD1">
        <w:tab/>
        <w:t>at the direction of the general practitioner or prescribed medical practitioner—providing further information to the patient on any treatments, services or interventions considered or discussed during preparation or review of the plan.</w:t>
      </w:r>
    </w:p>
    <w:p w14:paraId="241FB37D" w14:textId="7C55483F" w:rsidR="00ED17CA" w:rsidRDefault="000F2BBE" w:rsidP="00790B57">
      <w:pPr>
        <w:pStyle w:val="ItemHead"/>
        <w:ind w:left="0" w:firstLine="0"/>
      </w:pPr>
      <w:r>
        <w:lastRenderedPageBreak/>
        <w:t>15</w:t>
      </w:r>
      <w:r w:rsidR="00ED17CA">
        <w:t xml:space="preserve">  Clause 1.1.08 of Schedule 1</w:t>
      </w:r>
    </w:p>
    <w:p w14:paraId="1746D7AA" w14:textId="6387D876" w:rsidR="00D85641" w:rsidRDefault="00ED17CA" w:rsidP="00ED17CA">
      <w:pPr>
        <w:pStyle w:val="Item"/>
      </w:pPr>
      <w:r>
        <w:t>Repeal the clause</w:t>
      </w:r>
      <w:r w:rsidR="00FE1E88">
        <w:t>.</w:t>
      </w:r>
    </w:p>
    <w:p w14:paraId="10E167D7" w14:textId="01611500" w:rsidR="0076440C" w:rsidRDefault="00F20B02" w:rsidP="00790B57">
      <w:pPr>
        <w:pStyle w:val="ItemHead"/>
        <w:ind w:left="0" w:firstLine="0"/>
      </w:pPr>
      <w:r>
        <w:t>1</w:t>
      </w:r>
      <w:r w:rsidR="000F2BBE">
        <w:t>6</w:t>
      </w:r>
      <w:r w:rsidR="0076440C">
        <w:t xml:space="preserve">  Clause </w:t>
      </w:r>
      <w:r w:rsidR="00580B65">
        <w:t>1.1.09</w:t>
      </w:r>
      <w:r w:rsidR="00920F0E">
        <w:t xml:space="preserve"> of Schedule 1</w:t>
      </w:r>
    </w:p>
    <w:p w14:paraId="3F0199EF" w14:textId="560DD2AA" w:rsidR="00D40D7D" w:rsidRPr="00D40D7D" w:rsidRDefault="00D40D7D" w:rsidP="00D40D7D">
      <w:pPr>
        <w:pStyle w:val="Item"/>
      </w:pPr>
      <w:r>
        <w:t xml:space="preserve">Repeal the clause. </w:t>
      </w:r>
    </w:p>
    <w:p w14:paraId="61DADD4C" w14:textId="200D2DF1" w:rsidR="00790B57" w:rsidRPr="00F1305D" w:rsidRDefault="00790B57" w:rsidP="00790B57">
      <w:pPr>
        <w:pStyle w:val="ItemHead"/>
        <w:ind w:left="0" w:firstLine="0"/>
      </w:pPr>
      <w:r>
        <w:t>1</w:t>
      </w:r>
      <w:r w:rsidR="000F2BBE">
        <w:t>7</w:t>
      </w:r>
      <w:r w:rsidRPr="00F1305D">
        <w:t xml:space="preserve">  </w:t>
      </w:r>
      <w:r>
        <w:t>Schedule 1 (item</w:t>
      </w:r>
      <w:r w:rsidR="00787E77">
        <w:t>s</w:t>
      </w:r>
      <w:r>
        <w:t xml:space="preserve"> 92024</w:t>
      </w:r>
      <w:r w:rsidR="00920F0E">
        <w:t xml:space="preserve"> and</w:t>
      </w:r>
      <w:r w:rsidR="00787E77">
        <w:t xml:space="preserve"> 92025</w:t>
      </w:r>
      <w:r>
        <w:t>)</w:t>
      </w:r>
    </w:p>
    <w:p w14:paraId="24689609" w14:textId="210748E0" w:rsidR="00790B57" w:rsidRPr="00F1305D" w:rsidRDefault="00790B57" w:rsidP="00790B57">
      <w:pPr>
        <w:pStyle w:val="Item"/>
      </w:pPr>
      <w:r>
        <w:t>Repeal the item</w:t>
      </w:r>
      <w:r w:rsidR="005500AF">
        <w:t>s</w:t>
      </w:r>
      <w:r w:rsidR="000C37AA">
        <w:t xml:space="preserve">. </w:t>
      </w:r>
    </w:p>
    <w:p w14:paraId="3E2B6CB5" w14:textId="41EAA74B" w:rsidR="00790B57" w:rsidRDefault="004C7532" w:rsidP="00790B57">
      <w:pPr>
        <w:pStyle w:val="ItemHead"/>
      </w:pPr>
      <w:r>
        <w:t>1</w:t>
      </w:r>
      <w:r w:rsidR="000F2BBE">
        <w:t>8</w:t>
      </w:r>
      <w:r w:rsidR="00790B57">
        <w:t xml:space="preserve"> </w:t>
      </w:r>
      <w:r w:rsidR="007E2369">
        <w:t xml:space="preserve"> </w:t>
      </w:r>
      <w:r w:rsidR="00790B57">
        <w:t>Schedule 1 (after 9202</w:t>
      </w:r>
      <w:r w:rsidR="00920F0E">
        <w:t>7</w:t>
      </w:r>
      <w:r w:rsidR="00790B57">
        <w:t>)</w:t>
      </w:r>
    </w:p>
    <w:p w14:paraId="22F62111" w14:textId="77777777" w:rsidR="00790B57" w:rsidRPr="00634418" w:rsidRDefault="00790B57" w:rsidP="00790B57">
      <w:pPr>
        <w:pStyle w:val="Item"/>
        <w:spacing w:after="240"/>
      </w:pPr>
      <w:r>
        <w:t>Insert:</w:t>
      </w:r>
    </w:p>
    <w:tbl>
      <w:tblPr>
        <w:tblW w:w="5000" w:type="pct"/>
        <w:tblBorders>
          <w:top w:val="single" w:sz="4" w:space="0" w:color="auto"/>
          <w:bottom w:val="single" w:sz="2" w:space="0" w:color="auto"/>
          <w:insideH w:val="single" w:sz="4" w:space="0" w:color="auto"/>
        </w:tblBorders>
        <w:tblCellMar>
          <w:left w:w="107" w:type="dxa"/>
          <w:right w:w="107" w:type="dxa"/>
        </w:tblCellMar>
        <w:tblLook w:val="00A0" w:firstRow="1" w:lastRow="0" w:firstColumn="1" w:lastColumn="0" w:noHBand="0" w:noVBand="0"/>
      </w:tblPr>
      <w:tblGrid>
        <w:gridCol w:w="1329"/>
        <w:gridCol w:w="5468"/>
        <w:gridCol w:w="1516"/>
      </w:tblGrid>
      <w:tr w:rsidR="00790B57" w:rsidRPr="00EB3729" w14:paraId="61BFB4D6" w14:textId="77777777" w:rsidTr="00392C3C">
        <w:tc>
          <w:tcPr>
            <w:tcW w:w="798"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575F3D53" w14:textId="77777777" w:rsidR="00790B57" w:rsidRPr="00EB3729" w:rsidRDefault="00790B57" w:rsidP="00392C3C">
            <w:pPr>
              <w:pStyle w:val="Tabletext"/>
            </w:pPr>
            <w:r w:rsidRPr="00EB3729">
              <w:rPr>
                <w:szCs w:val="22"/>
              </w:rPr>
              <w:t>920</w:t>
            </w:r>
            <w:r>
              <w:rPr>
                <w:szCs w:val="22"/>
              </w:rPr>
              <w:t>29</w:t>
            </w:r>
          </w:p>
        </w:tc>
        <w:tc>
          <w:tcPr>
            <w:tcW w:w="3284"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7BC0832C" w14:textId="562C6A84" w:rsidR="00790B57" w:rsidRPr="00A0714C" w:rsidRDefault="005937BD" w:rsidP="00392C3C">
            <w:pPr>
              <w:spacing w:line="221" w:lineRule="atLeast"/>
              <w:rPr>
                <w:rFonts w:eastAsia="Times New Roman" w:cs="Times New Roman"/>
                <w:color w:val="FF0000"/>
                <w:sz w:val="20"/>
              </w:rPr>
            </w:pPr>
            <w:r>
              <w:rPr>
                <w:rFonts w:eastAsia="Times New Roman" w:cs="Times New Roman"/>
                <w:sz w:val="20"/>
              </w:rPr>
              <w:t>Video</w:t>
            </w:r>
            <w:r w:rsidR="00790B57" w:rsidRPr="00A0714C">
              <w:rPr>
                <w:rFonts w:eastAsia="Times New Roman" w:cs="Times New Roman"/>
                <w:sz w:val="20"/>
              </w:rPr>
              <w:t xml:space="preserve"> attendance by a general practitioner </w:t>
            </w:r>
            <w:r w:rsidR="00920F0E">
              <w:rPr>
                <w:rFonts w:eastAsia="Times New Roman" w:cs="Times New Roman"/>
                <w:sz w:val="20"/>
              </w:rPr>
              <w:t>to</w:t>
            </w:r>
            <w:r w:rsidR="00790B57" w:rsidRPr="00A0714C">
              <w:rPr>
                <w:rFonts w:eastAsia="Times New Roman" w:cs="Times New Roman"/>
                <w:sz w:val="20"/>
              </w:rPr>
              <w:t xml:space="preserve"> prepar</w:t>
            </w:r>
            <w:r w:rsidR="00920F0E">
              <w:rPr>
                <w:rFonts w:eastAsia="Times New Roman" w:cs="Times New Roman"/>
                <w:sz w:val="20"/>
              </w:rPr>
              <w:t>e</w:t>
            </w:r>
            <w:r w:rsidR="00790B57" w:rsidRPr="00A0714C">
              <w:rPr>
                <w:rFonts w:eastAsia="Times New Roman" w:cs="Times New Roman"/>
                <w:sz w:val="20"/>
              </w:rPr>
              <w:t xml:space="preserve"> a GP chronic condition management plan for a patient </w:t>
            </w:r>
          </w:p>
        </w:tc>
        <w:tc>
          <w:tcPr>
            <w:tcW w:w="911"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23753003" w14:textId="6A470BBA" w:rsidR="00790B57" w:rsidRPr="00EB3729" w:rsidRDefault="00790B57" w:rsidP="00392C3C">
            <w:pPr>
              <w:pStyle w:val="Tabletext"/>
              <w:jc w:val="right"/>
            </w:pPr>
            <w:r>
              <w:t>1</w:t>
            </w:r>
            <w:r w:rsidR="002043C8">
              <w:t>5</w:t>
            </w:r>
            <w:r w:rsidR="005937BD">
              <w:t>6.55</w:t>
            </w:r>
          </w:p>
        </w:tc>
      </w:tr>
      <w:tr w:rsidR="00790B57" w:rsidRPr="00EB3729" w14:paraId="2BC67327" w14:textId="77777777" w:rsidTr="00392C3C">
        <w:tc>
          <w:tcPr>
            <w:tcW w:w="798"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1289561A" w14:textId="77777777" w:rsidR="00790B57" w:rsidRPr="00EB3729" w:rsidRDefault="00790B57" w:rsidP="00392C3C">
            <w:pPr>
              <w:pStyle w:val="Tabletext"/>
              <w:rPr>
                <w:szCs w:val="22"/>
              </w:rPr>
            </w:pPr>
            <w:r w:rsidRPr="00EB3729">
              <w:rPr>
                <w:szCs w:val="22"/>
              </w:rPr>
              <w:t>920</w:t>
            </w:r>
            <w:r>
              <w:rPr>
                <w:szCs w:val="22"/>
              </w:rPr>
              <w:t>30</w:t>
            </w:r>
          </w:p>
        </w:tc>
        <w:tc>
          <w:tcPr>
            <w:tcW w:w="3284"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39B8ED8D" w14:textId="7ECBF9C2" w:rsidR="00790B57" w:rsidRPr="00D208E5" w:rsidRDefault="005937BD" w:rsidP="00392C3C">
            <w:pPr>
              <w:spacing w:line="221" w:lineRule="atLeast"/>
              <w:rPr>
                <w:rFonts w:eastAsia="Times New Roman" w:cs="Times New Roman"/>
                <w:sz w:val="20"/>
              </w:rPr>
            </w:pPr>
            <w:r>
              <w:rPr>
                <w:rFonts w:eastAsia="Times New Roman" w:cs="Times New Roman"/>
                <w:sz w:val="20"/>
              </w:rPr>
              <w:t>Video</w:t>
            </w:r>
            <w:r w:rsidR="00790B57" w:rsidRPr="00D208E5">
              <w:rPr>
                <w:rFonts w:eastAsia="Times New Roman" w:cs="Times New Roman"/>
                <w:sz w:val="20"/>
              </w:rPr>
              <w:t xml:space="preserve"> attendance by a general practitioner to review a GP chronic condition management plan prepared by the general practitioner or an associated medical practitioner</w:t>
            </w:r>
          </w:p>
        </w:tc>
        <w:tc>
          <w:tcPr>
            <w:tcW w:w="911"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067E065B" w14:textId="2100F31A" w:rsidR="00790B57" w:rsidRPr="00EB3729" w:rsidRDefault="00790B57" w:rsidP="00392C3C">
            <w:pPr>
              <w:pStyle w:val="Tabletext"/>
              <w:jc w:val="right"/>
            </w:pPr>
            <w:r>
              <w:t>1</w:t>
            </w:r>
            <w:r w:rsidR="002043C8">
              <w:t>5</w:t>
            </w:r>
            <w:r w:rsidR="005937BD">
              <w:t>6.55</w:t>
            </w:r>
          </w:p>
        </w:tc>
      </w:tr>
    </w:tbl>
    <w:p w14:paraId="581AD681" w14:textId="0A5DE9F4" w:rsidR="00920F0E" w:rsidRPr="00F1305D" w:rsidRDefault="004C7532" w:rsidP="00920F0E">
      <w:pPr>
        <w:pStyle w:val="ItemHead"/>
        <w:ind w:left="0" w:firstLine="0"/>
      </w:pPr>
      <w:r>
        <w:t>1</w:t>
      </w:r>
      <w:r w:rsidR="000F2BBE">
        <w:t>9</w:t>
      </w:r>
      <w:r w:rsidR="00790B57">
        <w:t xml:space="preserve"> </w:t>
      </w:r>
      <w:r w:rsidR="007E2369">
        <w:t xml:space="preserve"> </w:t>
      </w:r>
      <w:r w:rsidR="00920F0E">
        <w:t>Schedule 1 (items 92028, 92055 and 92056)</w:t>
      </w:r>
    </w:p>
    <w:p w14:paraId="50250F55" w14:textId="18A3E510" w:rsidR="00920F0E" w:rsidRDefault="00920F0E" w:rsidP="00AC5C07">
      <w:pPr>
        <w:pStyle w:val="Item"/>
      </w:pPr>
      <w:r>
        <w:t>Repeal the items.</w:t>
      </w:r>
    </w:p>
    <w:p w14:paraId="773C6B71" w14:textId="7FC21571" w:rsidR="00790B57" w:rsidRDefault="000F2BBE" w:rsidP="00790B57">
      <w:pPr>
        <w:pStyle w:val="ItemHead"/>
      </w:pPr>
      <w:r>
        <w:t>20</w:t>
      </w:r>
      <w:r w:rsidR="00920F0E">
        <w:t xml:space="preserve">  </w:t>
      </w:r>
      <w:r w:rsidR="00790B57">
        <w:t>Schedule 1 (after 9205</w:t>
      </w:r>
      <w:r w:rsidR="00FA3EEC">
        <w:t>8</w:t>
      </w:r>
      <w:r w:rsidR="00790B57">
        <w:t>)</w:t>
      </w:r>
    </w:p>
    <w:p w14:paraId="63F2CACE" w14:textId="77777777" w:rsidR="00790B57" w:rsidRPr="00634418" w:rsidRDefault="00790B57" w:rsidP="00790B57">
      <w:pPr>
        <w:pStyle w:val="Item"/>
        <w:spacing w:after="240"/>
      </w:pPr>
      <w:r>
        <w:t>Insert:</w:t>
      </w:r>
    </w:p>
    <w:tbl>
      <w:tblPr>
        <w:tblW w:w="5000" w:type="pct"/>
        <w:tblBorders>
          <w:top w:val="single" w:sz="4" w:space="0" w:color="auto"/>
          <w:bottom w:val="single" w:sz="2" w:space="0" w:color="auto"/>
          <w:insideH w:val="single" w:sz="4" w:space="0" w:color="auto"/>
        </w:tblBorders>
        <w:tblCellMar>
          <w:left w:w="107" w:type="dxa"/>
          <w:right w:w="107" w:type="dxa"/>
        </w:tblCellMar>
        <w:tblLook w:val="00A0" w:firstRow="1" w:lastRow="0" w:firstColumn="1" w:lastColumn="0" w:noHBand="0" w:noVBand="0"/>
      </w:tblPr>
      <w:tblGrid>
        <w:gridCol w:w="1329"/>
        <w:gridCol w:w="5468"/>
        <w:gridCol w:w="1516"/>
      </w:tblGrid>
      <w:tr w:rsidR="00790B57" w:rsidRPr="00EB3729" w14:paraId="3D9075FE" w14:textId="77777777" w:rsidTr="00C76389">
        <w:tc>
          <w:tcPr>
            <w:tcW w:w="799"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745B2B4E" w14:textId="77777777" w:rsidR="00790B57" w:rsidRPr="00EB3729" w:rsidRDefault="00790B57" w:rsidP="00392C3C">
            <w:pPr>
              <w:pStyle w:val="Tabletext"/>
            </w:pPr>
            <w:r w:rsidRPr="00EB3729">
              <w:rPr>
                <w:szCs w:val="22"/>
              </w:rPr>
              <w:t>920</w:t>
            </w:r>
            <w:r>
              <w:rPr>
                <w:szCs w:val="22"/>
              </w:rPr>
              <w:t>60</w:t>
            </w:r>
          </w:p>
        </w:tc>
        <w:tc>
          <w:tcPr>
            <w:tcW w:w="3289"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689953CF" w14:textId="18924F75" w:rsidR="00790B57" w:rsidRPr="00A0714C" w:rsidRDefault="00C575DD" w:rsidP="00392C3C">
            <w:pPr>
              <w:spacing w:line="221" w:lineRule="atLeast"/>
              <w:rPr>
                <w:rFonts w:eastAsia="Times New Roman" w:cs="Times New Roman"/>
                <w:color w:val="FF0000"/>
                <w:sz w:val="20"/>
              </w:rPr>
            </w:pPr>
            <w:r>
              <w:rPr>
                <w:rFonts w:eastAsia="Times New Roman" w:cs="Times New Roman"/>
                <w:sz w:val="20"/>
              </w:rPr>
              <w:t>Video</w:t>
            </w:r>
            <w:r w:rsidR="00790B57" w:rsidRPr="00DA662C">
              <w:rPr>
                <w:rFonts w:eastAsia="Times New Roman" w:cs="Times New Roman"/>
                <w:sz w:val="20"/>
              </w:rPr>
              <w:t xml:space="preserve"> attendance by a prescribed medical practitioner </w:t>
            </w:r>
            <w:r w:rsidR="00920F0E">
              <w:rPr>
                <w:rFonts w:eastAsia="Times New Roman" w:cs="Times New Roman"/>
                <w:sz w:val="20"/>
              </w:rPr>
              <w:t>to</w:t>
            </w:r>
            <w:r w:rsidR="00790B57" w:rsidRPr="00DA662C">
              <w:rPr>
                <w:rFonts w:eastAsia="Times New Roman" w:cs="Times New Roman"/>
                <w:sz w:val="20"/>
              </w:rPr>
              <w:t xml:space="preserve"> prepar</w:t>
            </w:r>
            <w:r w:rsidR="00920F0E">
              <w:rPr>
                <w:rFonts w:eastAsia="Times New Roman" w:cs="Times New Roman"/>
                <w:sz w:val="20"/>
              </w:rPr>
              <w:t>e</w:t>
            </w:r>
            <w:r w:rsidR="00790B57" w:rsidRPr="00DA662C">
              <w:rPr>
                <w:rFonts w:eastAsia="Times New Roman" w:cs="Times New Roman"/>
                <w:sz w:val="20"/>
              </w:rPr>
              <w:t xml:space="preserve"> a GP chronic condition management plan for a patient </w:t>
            </w:r>
          </w:p>
        </w:tc>
        <w:tc>
          <w:tcPr>
            <w:tcW w:w="912" w:type="pct"/>
            <w:tcBorders>
              <w:top w:val="single" w:sz="4" w:space="0" w:color="auto"/>
              <w:left w:val="nil"/>
              <w:bottom w:val="single" w:sz="4" w:space="0" w:color="auto"/>
              <w:right w:val="nil"/>
            </w:tcBorders>
            <w:shd w:val="clear" w:color="auto" w:fill="auto"/>
            <w:tcMar>
              <w:top w:w="0" w:type="dxa"/>
              <w:left w:w="108" w:type="dxa"/>
              <w:bottom w:w="0" w:type="dxa"/>
              <w:right w:w="108" w:type="dxa"/>
            </w:tcMar>
            <w:hideMark/>
          </w:tcPr>
          <w:p w14:paraId="5D310B6E" w14:textId="2AED01F6" w:rsidR="00790B57" w:rsidRPr="00EB3729" w:rsidRDefault="00790B57" w:rsidP="00392C3C">
            <w:pPr>
              <w:pStyle w:val="Tabletext"/>
              <w:jc w:val="right"/>
            </w:pPr>
            <w:r>
              <w:t>1</w:t>
            </w:r>
            <w:r w:rsidR="00C20A7F">
              <w:t>2</w:t>
            </w:r>
            <w:r w:rsidR="005D1A7E">
              <w:t>5.30</w:t>
            </w:r>
          </w:p>
        </w:tc>
      </w:tr>
      <w:tr w:rsidR="00790B57" w:rsidRPr="00EB3729" w14:paraId="25BCB587" w14:textId="77777777" w:rsidTr="00C76389">
        <w:tc>
          <w:tcPr>
            <w:tcW w:w="799"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6A0B74DA" w14:textId="77777777" w:rsidR="00790B57" w:rsidRPr="00EB3729" w:rsidRDefault="00790B57" w:rsidP="00392C3C">
            <w:pPr>
              <w:pStyle w:val="Tabletext"/>
              <w:rPr>
                <w:szCs w:val="22"/>
              </w:rPr>
            </w:pPr>
            <w:r w:rsidRPr="00EB3729">
              <w:rPr>
                <w:szCs w:val="22"/>
              </w:rPr>
              <w:t>920</w:t>
            </w:r>
            <w:r>
              <w:rPr>
                <w:szCs w:val="22"/>
              </w:rPr>
              <w:t>61</w:t>
            </w:r>
          </w:p>
        </w:tc>
        <w:tc>
          <w:tcPr>
            <w:tcW w:w="3289"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548EB865" w14:textId="50A5804D" w:rsidR="00790B57" w:rsidRPr="00D208E5" w:rsidRDefault="00C575DD" w:rsidP="00392C3C">
            <w:pPr>
              <w:spacing w:line="221" w:lineRule="atLeast"/>
              <w:rPr>
                <w:rFonts w:eastAsia="Times New Roman" w:cs="Times New Roman"/>
                <w:sz w:val="20"/>
              </w:rPr>
            </w:pPr>
            <w:r>
              <w:rPr>
                <w:rFonts w:eastAsia="Times New Roman" w:cs="Times New Roman"/>
                <w:sz w:val="20"/>
              </w:rPr>
              <w:t>Video</w:t>
            </w:r>
            <w:r w:rsidR="00790B57" w:rsidRPr="00943F96">
              <w:rPr>
                <w:rFonts w:eastAsia="Times New Roman" w:cs="Times New Roman"/>
                <w:sz w:val="20"/>
              </w:rPr>
              <w:t xml:space="preserve"> attendance by a prescribed medical practitioner to review a GP chronic condition management plan prepared by the prescribed medical practitioner or an associated medical practitioner</w:t>
            </w:r>
          </w:p>
        </w:tc>
        <w:tc>
          <w:tcPr>
            <w:tcW w:w="912" w:type="pct"/>
            <w:tcBorders>
              <w:top w:val="single" w:sz="4" w:space="0" w:color="auto"/>
              <w:left w:val="nil"/>
              <w:bottom w:val="single" w:sz="4" w:space="0" w:color="auto"/>
              <w:right w:val="nil"/>
            </w:tcBorders>
            <w:shd w:val="clear" w:color="auto" w:fill="auto"/>
            <w:tcMar>
              <w:top w:w="0" w:type="dxa"/>
              <w:left w:w="108" w:type="dxa"/>
              <w:bottom w:w="0" w:type="dxa"/>
              <w:right w:w="108" w:type="dxa"/>
            </w:tcMar>
          </w:tcPr>
          <w:p w14:paraId="0244D56F" w14:textId="338083F9" w:rsidR="00790B57" w:rsidRPr="00EB3729" w:rsidRDefault="00C20A7F" w:rsidP="00392C3C">
            <w:pPr>
              <w:pStyle w:val="Tabletext"/>
              <w:jc w:val="right"/>
            </w:pPr>
            <w:r>
              <w:t>12</w:t>
            </w:r>
            <w:r w:rsidR="005D1A7E">
              <w:t>5.30</w:t>
            </w:r>
          </w:p>
        </w:tc>
      </w:tr>
    </w:tbl>
    <w:p w14:paraId="607261AF" w14:textId="0DC50AD7" w:rsidR="00920F0E" w:rsidRPr="00F1305D" w:rsidRDefault="000F2BBE" w:rsidP="00920F0E">
      <w:pPr>
        <w:pStyle w:val="ItemHead"/>
        <w:ind w:left="0" w:firstLine="0"/>
      </w:pPr>
      <w:r>
        <w:t>21</w:t>
      </w:r>
      <w:r w:rsidR="00BF2D52">
        <w:t xml:space="preserve">  </w:t>
      </w:r>
      <w:r w:rsidR="00920F0E">
        <w:t>Schedule 1 (item 92059)</w:t>
      </w:r>
    </w:p>
    <w:p w14:paraId="794A1B51" w14:textId="1404B2E0" w:rsidR="00920F0E" w:rsidRDefault="00920F0E" w:rsidP="00AC5C07">
      <w:pPr>
        <w:pStyle w:val="Item"/>
      </w:pPr>
      <w:r>
        <w:t>Repeal the item.</w:t>
      </w:r>
    </w:p>
    <w:p w14:paraId="4EFF52DD" w14:textId="397126A0" w:rsidR="00DC2D8F" w:rsidRDefault="000F2BBE" w:rsidP="00DC2D8F">
      <w:pPr>
        <w:pStyle w:val="ItemHead"/>
      </w:pPr>
      <w:r>
        <w:t>22</w:t>
      </w:r>
      <w:r w:rsidR="00920F0E">
        <w:t xml:space="preserve">  </w:t>
      </w:r>
      <w:r w:rsidR="00DC2D8F">
        <w:t xml:space="preserve">Schedule </w:t>
      </w:r>
      <w:r w:rsidR="0064384A">
        <w:t>3</w:t>
      </w:r>
      <w:r w:rsidR="00DC2D8F">
        <w:t xml:space="preserve"> (item 9300</w:t>
      </w:r>
      <w:r w:rsidR="008D16F1">
        <w:t>0</w:t>
      </w:r>
      <w:r w:rsidR="003D793E">
        <w:t xml:space="preserve"> and</w:t>
      </w:r>
      <w:r w:rsidR="008D16F1">
        <w:t xml:space="preserve"> 93013</w:t>
      </w:r>
      <w:r w:rsidR="00920596">
        <w:t>,</w:t>
      </w:r>
      <w:r w:rsidR="008D16F1">
        <w:t xml:space="preserve"> column 2</w:t>
      </w:r>
      <w:r w:rsidR="00920596">
        <w:t>,</w:t>
      </w:r>
      <w:r w:rsidR="004D7FAD">
        <w:t xml:space="preserve"> paragraphs (a) and (b))</w:t>
      </w:r>
    </w:p>
    <w:p w14:paraId="7B51E61D" w14:textId="25C316C7" w:rsidR="008D16F1" w:rsidRDefault="004D7FAD" w:rsidP="008D16F1">
      <w:pPr>
        <w:pStyle w:val="Item"/>
      </w:pPr>
      <w:r>
        <w:t xml:space="preserve">Repeal the paragraphs, substitute: </w:t>
      </w:r>
    </w:p>
    <w:p w14:paraId="59617232" w14:textId="77777777" w:rsidR="009E4FE4" w:rsidRPr="00993001" w:rsidRDefault="009E4FE4" w:rsidP="009E4FE4">
      <w:pPr>
        <w:spacing w:before="180" w:line="221" w:lineRule="atLeast"/>
        <w:ind w:left="357" w:hanging="357"/>
        <w:rPr>
          <w:rFonts w:cs="Times New Roman"/>
          <w:sz w:val="20"/>
        </w:rPr>
      </w:pPr>
      <w:r w:rsidRPr="00993001">
        <w:rPr>
          <w:rFonts w:cs="Times New Roman"/>
          <w:sz w:val="20"/>
        </w:rPr>
        <w:t>(a)</w:t>
      </w:r>
      <w:r w:rsidRPr="00993001">
        <w:rPr>
          <w:rFonts w:cs="Times New Roman"/>
          <w:sz w:val="20"/>
        </w:rPr>
        <w:tab/>
        <w:t xml:space="preserve">the </w:t>
      </w:r>
      <w:r>
        <w:rPr>
          <w:rFonts w:cs="Times New Roman"/>
          <w:sz w:val="20"/>
        </w:rPr>
        <w:t>patient has a chronic condition and complex care needs being managed by a medical practitioner (other than a specialist or consultant physician) under</w:t>
      </w:r>
      <w:r w:rsidRPr="00993001">
        <w:rPr>
          <w:rFonts w:cs="Times New Roman"/>
          <w:sz w:val="20"/>
        </w:rPr>
        <w:t>:</w:t>
      </w:r>
    </w:p>
    <w:p w14:paraId="0A66BB43" w14:textId="77777777" w:rsidR="009E4FE4" w:rsidRPr="00993001" w:rsidRDefault="009E4FE4" w:rsidP="009E4FE4">
      <w:pPr>
        <w:tabs>
          <w:tab w:val="right" w:pos="408"/>
        </w:tabs>
        <w:spacing w:after="60" w:line="240" w:lineRule="exact"/>
        <w:ind w:left="941" w:hanging="533"/>
        <w:rPr>
          <w:rFonts w:cs="Times New Roman"/>
          <w:sz w:val="20"/>
        </w:rPr>
      </w:pPr>
      <w:r w:rsidRPr="00993001">
        <w:rPr>
          <w:rFonts w:cs="Times New Roman"/>
          <w:sz w:val="20"/>
        </w:rPr>
        <w:t>(i)</w:t>
      </w:r>
      <w:r w:rsidRPr="00993001">
        <w:rPr>
          <w:rFonts w:cs="Times New Roman"/>
          <w:sz w:val="20"/>
        </w:rPr>
        <w:tab/>
      </w:r>
      <w:r w:rsidRPr="00EE24EF">
        <w:rPr>
          <w:rFonts w:cs="Times New Roman"/>
          <w:sz w:val="20"/>
        </w:rPr>
        <w:t>a GP chronic condition management plan that has been prepared or reviewed in the last 18 months; or</w:t>
      </w:r>
    </w:p>
    <w:p w14:paraId="222ABDAD" w14:textId="332C1E41" w:rsidR="009E4FE4" w:rsidRDefault="009E4FE4" w:rsidP="009E4FE4">
      <w:pPr>
        <w:tabs>
          <w:tab w:val="right" w:pos="408"/>
        </w:tabs>
        <w:spacing w:after="60" w:line="240" w:lineRule="exact"/>
        <w:ind w:left="941" w:hanging="533"/>
        <w:rPr>
          <w:rFonts w:cs="Times New Roman"/>
          <w:sz w:val="20"/>
        </w:rPr>
      </w:pPr>
      <w:r w:rsidRPr="00993001">
        <w:rPr>
          <w:rFonts w:cs="Times New Roman"/>
          <w:sz w:val="20"/>
        </w:rPr>
        <w:t>(ii)</w:t>
      </w:r>
      <w:r w:rsidRPr="00993001">
        <w:rPr>
          <w:rFonts w:cs="Times New Roman"/>
          <w:sz w:val="20"/>
        </w:rPr>
        <w:tab/>
      </w:r>
      <w:r w:rsidRPr="008237C1">
        <w:rPr>
          <w:rFonts w:cs="Times New Roman"/>
          <w:sz w:val="20"/>
        </w:rPr>
        <w:t xml:space="preserve">until </w:t>
      </w:r>
      <w:r>
        <w:rPr>
          <w:rFonts w:cs="Times New Roman"/>
          <w:sz w:val="20"/>
        </w:rPr>
        <w:t>the end of</w:t>
      </w:r>
      <w:r w:rsidR="00B06CEF">
        <w:rPr>
          <w:rFonts w:cs="Times New Roman"/>
          <w:sz w:val="20"/>
        </w:rPr>
        <w:t xml:space="preserve"> 30 June 2027</w:t>
      </w:r>
      <w:r w:rsidRPr="008237C1">
        <w:rPr>
          <w:rFonts w:cs="Times New Roman"/>
          <w:sz w:val="20"/>
        </w:rPr>
        <w:t xml:space="preserve">—a GP </w:t>
      </w:r>
      <w:r>
        <w:rPr>
          <w:rFonts w:cs="Times New Roman"/>
          <w:sz w:val="20"/>
        </w:rPr>
        <w:t>M</w:t>
      </w:r>
      <w:r w:rsidRPr="008237C1">
        <w:rPr>
          <w:rFonts w:cs="Times New Roman"/>
          <w:sz w:val="20"/>
        </w:rPr>
        <w:t xml:space="preserve">anagement </w:t>
      </w:r>
      <w:r>
        <w:rPr>
          <w:rFonts w:cs="Times New Roman"/>
          <w:sz w:val="20"/>
        </w:rPr>
        <w:t>P</w:t>
      </w:r>
      <w:r w:rsidRPr="008237C1">
        <w:rPr>
          <w:rFonts w:cs="Times New Roman"/>
          <w:sz w:val="20"/>
        </w:rPr>
        <w:t xml:space="preserve">lan </w:t>
      </w:r>
      <w:r>
        <w:rPr>
          <w:rFonts w:cs="Times New Roman"/>
          <w:sz w:val="20"/>
        </w:rPr>
        <w:t>and</w:t>
      </w:r>
      <w:r w:rsidRPr="008237C1">
        <w:rPr>
          <w:rFonts w:cs="Times New Roman"/>
          <w:sz w:val="20"/>
        </w:rPr>
        <w:t xml:space="preserve"> </w:t>
      </w:r>
      <w:r>
        <w:rPr>
          <w:rFonts w:cs="Times New Roman"/>
          <w:sz w:val="20"/>
        </w:rPr>
        <w:t>T</w:t>
      </w:r>
      <w:r w:rsidRPr="008237C1">
        <w:rPr>
          <w:rFonts w:cs="Times New Roman"/>
          <w:sz w:val="20"/>
        </w:rPr>
        <w:t xml:space="preserve">eam </w:t>
      </w:r>
      <w:r>
        <w:rPr>
          <w:rFonts w:cs="Times New Roman"/>
          <w:sz w:val="20"/>
        </w:rPr>
        <w:t>C</w:t>
      </w:r>
      <w:r w:rsidRPr="008237C1">
        <w:rPr>
          <w:rFonts w:cs="Times New Roman"/>
          <w:sz w:val="20"/>
        </w:rPr>
        <w:t xml:space="preserve">are </w:t>
      </w:r>
      <w:r>
        <w:rPr>
          <w:rFonts w:cs="Times New Roman"/>
          <w:sz w:val="20"/>
        </w:rPr>
        <w:t>A</w:t>
      </w:r>
      <w:r w:rsidRPr="008237C1">
        <w:rPr>
          <w:rFonts w:cs="Times New Roman"/>
          <w:sz w:val="20"/>
        </w:rPr>
        <w:t>rrangement</w:t>
      </w:r>
      <w:r w:rsidR="00090EE8">
        <w:rPr>
          <w:rFonts w:cs="Times New Roman"/>
          <w:sz w:val="20"/>
        </w:rPr>
        <w:t>s</w:t>
      </w:r>
      <w:r w:rsidRPr="008237C1">
        <w:rPr>
          <w:rFonts w:cs="Times New Roman"/>
          <w:sz w:val="20"/>
        </w:rPr>
        <w:t xml:space="preserve"> prepared prior to 1</w:t>
      </w:r>
      <w:r w:rsidR="00B06CEF">
        <w:rPr>
          <w:rFonts w:cs="Times New Roman"/>
          <w:sz w:val="20"/>
        </w:rPr>
        <w:t xml:space="preserve"> July 2025</w:t>
      </w:r>
      <w:r w:rsidRPr="008237C1">
        <w:rPr>
          <w:rFonts w:cs="Times New Roman"/>
          <w:sz w:val="20"/>
        </w:rPr>
        <w:t>; or</w:t>
      </w:r>
    </w:p>
    <w:p w14:paraId="5CBB627F" w14:textId="77777777" w:rsidR="009E4FE4" w:rsidRDefault="009E4FE4" w:rsidP="009E4FE4">
      <w:pPr>
        <w:tabs>
          <w:tab w:val="right" w:pos="408"/>
        </w:tabs>
        <w:spacing w:after="60" w:line="240" w:lineRule="exact"/>
        <w:ind w:left="941" w:hanging="533"/>
        <w:rPr>
          <w:rFonts w:cs="Times New Roman"/>
          <w:sz w:val="20"/>
        </w:rPr>
      </w:pPr>
      <w:r>
        <w:rPr>
          <w:rFonts w:cs="Times New Roman"/>
          <w:sz w:val="20"/>
        </w:rPr>
        <w:t xml:space="preserve">(iii)    </w:t>
      </w:r>
      <w:r w:rsidRPr="00A0626A">
        <w:rPr>
          <w:rFonts w:cs="Times New Roman"/>
          <w:sz w:val="20"/>
        </w:rPr>
        <w:t>a multidisciplinary care plan; and</w:t>
      </w:r>
      <w:r w:rsidRPr="00993001">
        <w:rPr>
          <w:rFonts w:cs="Times New Roman"/>
          <w:sz w:val="20"/>
        </w:rPr>
        <w:t xml:space="preserve"> </w:t>
      </w:r>
    </w:p>
    <w:p w14:paraId="1BBE9B60" w14:textId="77777777" w:rsidR="009E4FE4" w:rsidRDefault="009E4FE4" w:rsidP="009E4FE4">
      <w:pPr>
        <w:spacing w:line="221" w:lineRule="atLeast"/>
        <w:ind w:left="360" w:hanging="360"/>
        <w:rPr>
          <w:rFonts w:cs="Times New Roman"/>
          <w:sz w:val="20"/>
        </w:rPr>
      </w:pPr>
      <w:r>
        <w:rPr>
          <w:rFonts w:cs="Times New Roman"/>
          <w:sz w:val="20"/>
        </w:rPr>
        <w:t xml:space="preserve">(b)   </w:t>
      </w:r>
      <w:r w:rsidRPr="00993001">
        <w:rPr>
          <w:rFonts w:cs="Times New Roman"/>
          <w:sz w:val="20"/>
        </w:rPr>
        <w:t>the service is recommended in the patient’s</w:t>
      </w:r>
      <w:r w:rsidRPr="00F37891">
        <w:rPr>
          <w:rFonts w:cs="Times New Roman"/>
          <w:sz w:val="20"/>
        </w:rPr>
        <w:t xml:space="preserve"> plan or arrangements</w:t>
      </w:r>
      <w:r w:rsidRPr="00993001">
        <w:rPr>
          <w:rFonts w:cs="Times New Roman"/>
          <w:sz w:val="20"/>
        </w:rPr>
        <w:t xml:space="preserve"> as part of the management of the patient’s chronic condition and complex care needs; and</w:t>
      </w:r>
    </w:p>
    <w:p w14:paraId="26FD4155" w14:textId="318705FD" w:rsidR="00C358B6" w:rsidRDefault="000F2BBE" w:rsidP="00C358B6">
      <w:pPr>
        <w:pStyle w:val="ItemHead"/>
      </w:pPr>
      <w:r>
        <w:t>23</w:t>
      </w:r>
      <w:r w:rsidR="00C358B6">
        <w:t xml:space="preserve">  Schedule </w:t>
      </w:r>
      <w:r w:rsidR="003B2D79">
        <w:t>3</w:t>
      </w:r>
      <w:r w:rsidR="00ED17CA">
        <w:t xml:space="preserve"> </w:t>
      </w:r>
      <w:r w:rsidR="00C358B6">
        <w:t>(item 93048</w:t>
      </w:r>
      <w:r w:rsidR="00506507">
        <w:t xml:space="preserve"> and</w:t>
      </w:r>
      <w:r w:rsidR="00C358B6">
        <w:t xml:space="preserve"> 93061</w:t>
      </w:r>
      <w:r w:rsidR="00506507">
        <w:t xml:space="preserve">, </w:t>
      </w:r>
      <w:r w:rsidR="00C358B6">
        <w:t>column 2</w:t>
      </w:r>
      <w:r w:rsidR="00506507">
        <w:t>,</w:t>
      </w:r>
      <w:r w:rsidR="00C358B6">
        <w:t xml:space="preserve"> paragraph (b))</w:t>
      </w:r>
    </w:p>
    <w:p w14:paraId="5CC02DCC" w14:textId="77777777" w:rsidR="00C358B6" w:rsidRDefault="00C358B6" w:rsidP="00C358B6">
      <w:pPr>
        <w:pStyle w:val="Item"/>
      </w:pPr>
      <w:r>
        <w:t xml:space="preserve">Repeal the paragraph, substitute: </w:t>
      </w:r>
    </w:p>
    <w:p w14:paraId="53A9D5BB" w14:textId="77777777" w:rsidR="00C358B6" w:rsidRPr="00AD58F0" w:rsidRDefault="00C358B6" w:rsidP="00C358B6">
      <w:pPr>
        <w:spacing w:before="180" w:line="240" w:lineRule="atLeast"/>
        <w:ind w:left="437" w:hanging="437"/>
        <w:rPr>
          <w:rFonts w:cs="Times New Roman"/>
          <w:sz w:val="20"/>
        </w:rPr>
      </w:pPr>
      <w:r w:rsidRPr="00993001">
        <w:rPr>
          <w:rFonts w:eastAsia="Times New Roman" w:cs="Times New Roman"/>
          <w:sz w:val="20"/>
          <w:lang w:eastAsia="en-AU"/>
        </w:rPr>
        <w:lastRenderedPageBreak/>
        <w:t>(b)</w:t>
      </w:r>
      <w:r w:rsidRPr="00993001">
        <w:rPr>
          <w:rFonts w:eastAsia="Times New Roman" w:cs="Times New Roman"/>
          <w:sz w:val="20"/>
          <w:lang w:eastAsia="en-AU"/>
        </w:rPr>
        <w:tab/>
      </w:r>
      <w:r w:rsidRPr="00993001">
        <w:rPr>
          <w:rFonts w:cs="Times New Roman"/>
          <w:sz w:val="20"/>
        </w:rPr>
        <w:t>the patient has</w:t>
      </w:r>
      <w:r>
        <w:rPr>
          <w:rFonts w:cs="Times New Roman"/>
          <w:sz w:val="20"/>
        </w:rPr>
        <w:t xml:space="preserve"> </w:t>
      </w:r>
      <w:r w:rsidRPr="003322C4">
        <w:rPr>
          <w:sz w:val="20"/>
          <w:szCs w:val="18"/>
        </w:rPr>
        <w:t>a chronic condition</w:t>
      </w:r>
      <w:r>
        <w:rPr>
          <w:sz w:val="20"/>
          <w:szCs w:val="18"/>
        </w:rPr>
        <w:t xml:space="preserve"> </w:t>
      </w:r>
      <w:r>
        <w:rPr>
          <w:rFonts w:cs="Times New Roman"/>
          <w:sz w:val="20"/>
        </w:rPr>
        <w:t>and complex care needs being managed by a medical practitioner (other than a specialist or consultant physician) under</w:t>
      </w:r>
      <w:r>
        <w:t>:</w:t>
      </w:r>
    </w:p>
    <w:p w14:paraId="357952FB" w14:textId="77777777" w:rsidR="00C358B6" w:rsidRPr="00993001" w:rsidRDefault="00C358B6" w:rsidP="00C358B6">
      <w:pPr>
        <w:tabs>
          <w:tab w:val="right" w:pos="408"/>
        </w:tabs>
        <w:spacing w:after="60" w:line="240" w:lineRule="exact"/>
        <w:ind w:left="941" w:hanging="533"/>
        <w:rPr>
          <w:rFonts w:cs="Times New Roman"/>
          <w:sz w:val="20"/>
        </w:rPr>
      </w:pPr>
      <w:r w:rsidRPr="00993001">
        <w:rPr>
          <w:rFonts w:cs="Times New Roman"/>
          <w:sz w:val="20"/>
        </w:rPr>
        <w:t>(i)</w:t>
      </w:r>
      <w:r w:rsidRPr="00993001">
        <w:rPr>
          <w:rFonts w:cs="Times New Roman"/>
          <w:sz w:val="20"/>
        </w:rPr>
        <w:tab/>
      </w:r>
      <w:r w:rsidRPr="00EE24EF">
        <w:rPr>
          <w:rFonts w:cs="Times New Roman"/>
          <w:sz w:val="20"/>
        </w:rPr>
        <w:t>a GP chronic condition management plan that has been prepared or reviewed in the last 18 months; or</w:t>
      </w:r>
    </w:p>
    <w:p w14:paraId="0A713E2E" w14:textId="7EAD7CE3" w:rsidR="00C358B6" w:rsidRDefault="00C358B6" w:rsidP="00C358B6">
      <w:pPr>
        <w:tabs>
          <w:tab w:val="right" w:pos="408"/>
        </w:tabs>
        <w:spacing w:after="60" w:line="240" w:lineRule="exact"/>
        <w:ind w:left="941" w:hanging="533"/>
        <w:rPr>
          <w:rFonts w:cs="Times New Roman"/>
          <w:sz w:val="20"/>
        </w:rPr>
      </w:pPr>
      <w:r w:rsidRPr="00993001">
        <w:rPr>
          <w:rFonts w:cs="Times New Roman"/>
          <w:sz w:val="20"/>
        </w:rPr>
        <w:t>(ii)</w:t>
      </w:r>
      <w:r w:rsidRPr="00993001">
        <w:rPr>
          <w:rFonts w:cs="Times New Roman"/>
          <w:sz w:val="20"/>
        </w:rPr>
        <w:tab/>
      </w:r>
      <w:r w:rsidRPr="008237C1">
        <w:rPr>
          <w:rFonts w:cs="Times New Roman"/>
          <w:sz w:val="20"/>
        </w:rPr>
        <w:t xml:space="preserve">until </w:t>
      </w:r>
      <w:r>
        <w:rPr>
          <w:rFonts w:cs="Times New Roman"/>
          <w:sz w:val="20"/>
        </w:rPr>
        <w:t xml:space="preserve">the end of </w:t>
      </w:r>
      <w:r w:rsidR="00B06CEF">
        <w:rPr>
          <w:rFonts w:cs="Times New Roman"/>
          <w:sz w:val="20"/>
        </w:rPr>
        <w:t>30 June 2027</w:t>
      </w:r>
      <w:r w:rsidRPr="008237C1">
        <w:rPr>
          <w:rFonts w:cs="Times New Roman"/>
          <w:sz w:val="20"/>
        </w:rPr>
        <w:t xml:space="preserve">—a GP </w:t>
      </w:r>
      <w:r>
        <w:rPr>
          <w:rFonts w:cs="Times New Roman"/>
          <w:sz w:val="20"/>
        </w:rPr>
        <w:t>M</w:t>
      </w:r>
      <w:r w:rsidRPr="008237C1">
        <w:rPr>
          <w:rFonts w:cs="Times New Roman"/>
          <w:sz w:val="20"/>
        </w:rPr>
        <w:t xml:space="preserve">anagement </w:t>
      </w:r>
      <w:r>
        <w:rPr>
          <w:rFonts w:cs="Times New Roman"/>
          <w:sz w:val="20"/>
        </w:rPr>
        <w:t>P</w:t>
      </w:r>
      <w:r w:rsidRPr="008237C1">
        <w:rPr>
          <w:rFonts w:cs="Times New Roman"/>
          <w:sz w:val="20"/>
        </w:rPr>
        <w:t xml:space="preserve">lan </w:t>
      </w:r>
      <w:r>
        <w:rPr>
          <w:rFonts w:cs="Times New Roman"/>
          <w:sz w:val="20"/>
        </w:rPr>
        <w:t>and</w:t>
      </w:r>
      <w:r w:rsidRPr="008237C1">
        <w:rPr>
          <w:rFonts w:cs="Times New Roman"/>
          <w:sz w:val="20"/>
        </w:rPr>
        <w:t xml:space="preserve"> </w:t>
      </w:r>
      <w:r>
        <w:rPr>
          <w:rFonts w:cs="Times New Roman"/>
          <w:sz w:val="20"/>
        </w:rPr>
        <w:t>T</w:t>
      </w:r>
      <w:r w:rsidRPr="008237C1">
        <w:rPr>
          <w:rFonts w:cs="Times New Roman"/>
          <w:sz w:val="20"/>
        </w:rPr>
        <w:t xml:space="preserve">eam </w:t>
      </w:r>
      <w:r>
        <w:rPr>
          <w:rFonts w:cs="Times New Roman"/>
          <w:sz w:val="20"/>
        </w:rPr>
        <w:t>C</w:t>
      </w:r>
      <w:r w:rsidRPr="008237C1">
        <w:rPr>
          <w:rFonts w:cs="Times New Roman"/>
          <w:sz w:val="20"/>
        </w:rPr>
        <w:t xml:space="preserve">are </w:t>
      </w:r>
      <w:r>
        <w:rPr>
          <w:rFonts w:cs="Times New Roman"/>
          <w:sz w:val="20"/>
        </w:rPr>
        <w:t>A</w:t>
      </w:r>
      <w:r w:rsidRPr="008237C1">
        <w:rPr>
          <w:rFonts w:cs="Times New Roman"/>
          <w:sz w:val="20"/>
        </w:rPr>
        <w:t>rrangement</w:t>
      </w:r>
      <w:r w:rsidR="00EA15E3">
        <w:rPr>
          <w:rFonts w:cs="Times New Roman"/>
          <w:sz w:val="20"/>
        </w:rPr>
        <w:t>s</w:t>
      </w:r>
      <w:r w:rsidR="001E0007">
        <w:rPr>
          <w:rFonts w:cs="Times New Roman"/>
          <w:sz w:val="20"/>
        </w:rPr>
        <w:t xml:space="preserve"> </w:t>
      </w:r>
      <w:r w:rsidRPr="008237C1">
        <w:rPr>
          <w:rFonts w:cs="Times New Roman"/>
          <w:sz w:val="20"/>
        </w:rPr>
        <w:t xml:space="preserve">prepared prior to 1 </w:t>
      </w:r>
      <w:r w:rsidR="00B06CEF">
        <w:rPr>
          <w:rFonts w:cs="Times New Roman"/>
          <w:sz w:val="20"/>
        </w:rPr>
        <w:t>July 2025</w:t>
      </w:r>
      <w:r w:rsidRPr="008237C1">
        <w:rPr>
          <w:rFonts w:cs="Times New Roman"/>
          <w:sz w:val="20"/>
        </w:rPr>
        <w:t>; or</w:t>
      </w:r>
    </w:p>
    <w:p w14:paraId="356B19C4" w14:textId="77777777" w:rsidR="00C358B6" w:rsidRPr="00993001" w:rsidRDefault="00C358B6" w:rsidP="00C358B6">
      <w:pPr>
        <w:pStyle w:val="Tabletext"/>
        <w:ind w:left="795" w:hanging="360"/>
      </w:pPr>
      <w:r>
        <w:t xml:space="preserve">(iii)    </w:t>
      </w:r>
      <w:r w:rsidRPr="00A0626A">
        <w:t>a multidisciplinary care plan; and</w:t>
      </w:r>
    </w:p>
    <w:p w14:paraId="68C850BD" w14:textId="77777777" w:rsidR="00C358B6" w:rsidRPr="000517A4" w:rsidRDefault="00C358B6" w:rsidP="00C358B6">
      <w:pPr>
        <w:pStyle w:val="Tabletext"/>
        <w:ind w:left="435"/>
      </w:pPr>
      <w:r w:rsidRPr="00993001">
        <w:t>the service is recommended in the patient’s</w:t>
      </w:r>
      <w:r w:rsidRPr="00F37891">
        <w:t xml:space="preserve"> plan or arrangements</w:t>
      </w:r>
      <w:r w:rsidRPr="00993001">
        <w:t xml:space="preserve"> as part of the management of the patient’s chronic condition and complex care needs</w:t>
      </w:r>
      <w:r>
        <w:t>;</w:t>
      </w:r>
    </w:p>
    <w:p w14:paraId="635F0E6E" w14:textId="3B653791" w:rsidR="00C82FD0" w:rsidRDefault="000F2BBE" w:rsidP="00C82FD0">
      <w:pPr>
        <w:pStyle w:val="ItemHead"/>
      </w:pPr>
      <w:r>
        <w:t>24</w:t>
      </w:r>
      <w:r w:rsidR="00916D64">
        <w:t xml:space="preserve">  Subclause 4.1.1(1)</w:t>
      </w:r>
      <w:r w:rsidR="00713B42">
        <w:t xml:space="preserve"> of Schedule 4</w:t>
      </w:r>
    </w:p>
    <w:p w14:paraId="11659C2E" w14:textId="77777777" w:rsidR="00520950" w:rsidRDefault="00916D64" w:rsidP="00C82FD0">
      <w:pPr>
        <w:pStyle w:val="Item"/>
      </w:pPr>
      <w:r>
        <w:t xml:space="preserve"> </w:t>
      </w:r>
      <w:r w:rsidR="00C82FD0">
        <w:t xml:space="preserve">Repeal the subclause, substitute: </w:t>
      </w:r>
    </w:p>
    <w:p w14:paraId="6BAA4C9C" w14:textId="77777777" w:rsidR="005C4973" w:rsidRPr="00B10A60" w:rsidRDefault="005C4973" w:rsidP="005C4973">
      <w:pPr>
        <w:pStyle w:val="subsection"/>
        <w:ind w:left="714" w:hanging="357"/>
        <w:rPr>
          <w:snapToGrid w:val="0"/>
          <w:szCs w:val="22"/>
        </w:rPr>
      </w:pPr>
      <w:r w:rsidRPr="00B10A60">
        <w:rPr>
          <w:snapToGrid w:val="0"/>
          <w:szCs w:val="22"/>
        </w:rPr>
        <w:t>(1)</w:t>
      </w:r>
      <w:r w:rsidRPr="00B10A60">
        <w:rPr>
          <w:snapToGrid w:val="0"/>
          <w:szCs w:val="22"/>
        </w:rPr>
        <w:tab/>
        <w:t>In items 93201</w:t>
      </w:r>
      <w:r w:rsidRPr="00B10A60">
        <w:t>, 93203, 93284, and 93286:</w:t>
      </w:r>
    </w:p>
    <w:p w14:paraId="7F49EF9C" w14:textId="0F02F49C" w:rsidR="005C4973" w:rsidRPr="00B10A60" w:rsidRDefault="005C4973" w:rsidP="005C4973">
      <w:pPr>
        <w:pStyle w:val="paragraph"/>
      </w:pPr>
      <w:r w:rsidRPr="00B10A60">
        <w:tab/>
      </w:r>
      <w:r w:rsidRPr="00B10A60">
        <w:tab/>
      </w:r>
      <w:r w:rsidRPr="00B10A60">
        <w:rPr>
          <w:b/>
          <w:i/>
        </w:rPr>
        <w:t>GP management plan</w:t>
      </w:r>
      <w:r w:rsidRPr="00B10A60">
        <w:t xml:space="preserve"> means a plan </w:t>
      </w:r>
      <w:r w:rsidR="00096277">
        <w:t xml:space="preserve">prepared prior to 1 </w:t>
      </w:r>
      <w:r w:rsidR="00FA6635">
        <w:t>July 2025</w:t>
      </w:r>
      <w:r w:rsidR="00096277">
        <w:t xml:space="preserve"> </w:t>
      </w:r>
      <w:r w:rsidRPr="00B10A60">
        <w:t>under:</w:t>
      </w:r>
    </w:p>
    <w:p w14:paraId="527A2616" w14:textId="77777777" w:rsidR="005C4973" w:rsidRPr="00B10A60" w:rsidRDefault="005C4973" w:rsidP="005C4973">
      <w:pPr>
        <w:pStyle w:val="paragraphsub"/>
      </w:pPr>
      <w:r w:rsidRPr="00B10A60">
        <w:tab/>
        <w:t>(a)</w:t>
      </w:r>
      <w:r w:rsidRPr="00B10A60">
        <w:tab/>
        <w:t>item 721 or 732 of the general medical services table (for coordination of a review of a GP management plan under item 721); or</w:t>
      </w:r>
    </w:p>
    <w:p w14:paraId="331401EB" w14:textId="77777777" w:rsidR="005C4973" w:rsidRPr="00B10A60" w:rsidRDefault="005C4973" w:rsidP="005C4973">
      <w:pPr>
        <w:pStyle w:val="paragraphsub"/>
      </w:pPr>
      <w:r w:rsidRPr="00B10A60">
        <w:tab/>
        <w:t>(b)</w:t>
      </w:r>
      <w:r w:rsidRPr="00B10A60">
        <w:tab/>
        <w:t>item 229 or 233 of the general medical services table (for coordination of a review of a GP management plan under item 229); or</w:t>
      </w:r>
    </w:p>
    <w:p w14:paraId="19D19D75" w14:textId="69FC3BFE" w:rsidR="00457C04" w:rsidRPr="00B10A60" w:rsidRDefault="005C4973" w:rsidP="009D525E">
      <w:pPr>
        <w:pStyle w:val="paragraphsub"/>
      </w:pPr>
      <w:r w:rsidRPr="00B10A60">
        <w:tab/>
        <w:t>(c)</w:t>
      </w:r>
      <w:r w:rsidRPr="00B10A60">
        <w:tab/>
        <w:t>item 92024, 92028, 92055, 92059, 92068, 92072, 92099 or 92103 (for coordination of a review of a GP management plan under item 92024, 92055, 92068 or 92099)</w:t>
      </w:r>
      <w:r w:rsidR="00457C04">
        <w:t xml:space="preserve">. </w:t>
      </w:r>
    </w:p>
    <w:p w14:paraId="3C24038F" w14:textId="387AA2AF" w:rsidR="005C4973" w:rsidRPr="00B10A60" w:rsidRDefault="005C4973" w:rsidP="005C4973">
      <w:pPr>
        <w:pStyle w:val="paragraph"/>
      </w:pPr>
      <w:r w:rsidRPr="00B10A60">
        <w:tab/>
      </w:r>
      <w:r w:rsidRPr="00B10A60">
        <w:tab/>
      </w:r>
      <w:r w:rsidRPr="00B10A60">
        <w:rPr>
          <w:b/>
          <w:i/>
        </w:rPr>
        <w:t>multidisciplinary care plan</w:t>
      </w:r>
      <w:r w:rsidRPr="00B10A60">
        <w:t> means a plan</w:t>
      </w:r>
      <w:r w:rsidR="00096277">
        <w:t xml:space="preserve"> prepared</w:t>
      </w:r>
      <w:r w:rsidRPr="00B10A60">
        <w:t xml:space="preserve"> under:</w:t>
      </w:r>
    </w:p>
    <w:p w14:paraId="4CA94CE1" w14:textId="77777777" w:rsidR="005C4973" w:rsidRPr="00B10A60" w:rsidRDefault="005C4973" w:rsidP="005C4973">
      <w:pPr>
        <w:pStyle w:val="paragraphsub"/>
      </w:pPr>
      <w:r w:rsidRPr="00B10A60">
        <w:tab/>
        <w:t>(a)</w:t>
      </w:r>
      <w:r w:rsidRPr="00B10A60">
        <w:tab/>
        <w:t>item 231, 232, 729 or 731 of the general medical services table; or</w:t>
      </w:r>
    </w:p>
    <w:p w14:paraId="77A995C7" w14:textId="27105B05" w:rsidR="005A6814" w:rsidRDefault="005C4973" w:rsidP="009D525E">
      <w:pPr>
        <w:pStyle w:val="paragraphsub"/>
      </w:pPr>
      <w:r w:rsidRPr="00B10A60">
        <w:tab/>
        <w:t>(b)</w:t>
      </w:r>
      <w:r w:rsidRPr="00B10A60">
        <w:tab/>
        <w:t>item 92026, 92027, 92057</w:t>
      </w:r>
      <w:r w:rsidR="00E21C26">
        <w:t xml:space="preserve"> or</w:t>
      </w:r>
      <w:r w:rsidRPr="00B10A60">
        <w:t xml:space="preserve"> 92058</w:t>
      </w:r>
      <w:r w:rsidR="009E1602">
        <w:t xml:space="preserve">. </w:t>
      </w:r>
    </w:p>
    <w:p w14:paraId="0E545240" w14:textId="6B0F7545" w:rsidR="00F4549E" w:rsidRPr="00B10A60" w:rsidRDefault="00F4549E" w:rsidP="00F4549E">
      <w:pPr>
        <w:pStyle w:val="paragraph"/>
      </w:pPr>
      <w:r w:rsidRPr="00B10A60">
        <w:tab/>
      </w:r>
      <w:r w:rsidRPr="00B10A60">
        <w:tab/>
      </w:r>
      <w:r w:rsidRPr="00F4549E">
        <w:rPr>
          <w:b/>
          <w:i/>
        </w:rPr>
        <w:t xml:space="preserve">person with a chronic condition </w:t>
      </w:r>
      <w:r w:rsidRPr="00B10A60">
        <w:t>means:</w:t>
      </w:r>
    </w:p>
    <w:p w14:paraId="53E42030" w14:textId="35B08570" w:rsidR="00F4549E" w:rsidRPr="00B10A60" w:rsidRDefault="00F4549E" w:rsidP="00F4549E">
      <w:pPr>
        <w:pStyle w:val="paragraphsub"/>
      </w:pPr>
      <w:r w:rsidRPr="00B10A60">
        <w:tab/>
        <w:t>(a)</w:t>
      </w:r>
      <w:r w:rsidRPr="00B10A60">
        <w:tab/>
      </w:r>
      <w:r w:rsidRPr="00F4549E">
        <w:t>a person who has a plan under item 231, 232, 392, 729, 731, 965, 92026, 92027, 92029, 92030, 92057, 92058, 92060 or 92061; or</w:t>
      </w:r>
    </w:p>
    <w:p w14:paraId="71B3C174" w14:textId="5F1A2D86" w:rsidR="00F4549E" w:rsidRDefault="00F4549E" w:rsidP="00F4549E">
      <w:pPr>
        <w:pStyle w:val="paragraphsub"/>
      </w:pPr>
      <w:r w:rsidRPr="00B10A60">
        <w:tab/>
        <w:t>(b)</w:t>
      </w:r>
      <w:r w:rsidRPr="00B10A60">
        <w:tab/>
      </w:r>
      <w:r w:rsidRPr="00F4549E">
        <w:t>until the end of 30 June 2027—a person who has a plan under item 229, 230, 721, 723, 92024, 92025, 92028, 92055, 92056 or 92059 that was prepared before 1 July 2025</w:t>
      </w:r>
      <w:r>
        <w:t>.</w:t>
      </w:r>
      <w:r w:rsidRPr="00B10A60">
        <w:t xml:space="preserve"> </w:t>
      </w:r>
    </w:p>
    <w:p w14:paraId="018C5F78" w14:textId="77777777" w:rsidR="00F4549E" w:rsidRDefault="00F4549E" w:rsidP="009D525E">
      <w:pPr>
        <w:pStyle w:val="paragraphsub"/>
      </w:pPr>
    </w:p>
    <w:p w14:paraId="7C49AB7E" w14:textId="7F19E798" w:rsidR="005717B7" w:rsidRDefault="000F2BBE" w:rsidP="005A6814">
      <w:pPr>
        <w:pStyle w:val="ItemHead"/>
        <w:ind w:left="0" w:firstLine="0"/>
      </w:pPr>
      <w:r>
        <w:t>25</w:t>
      </w:r>
      <w:r w:rsidR="005717B7">
        <w:t xml:space="preserve">  Schedule </w:t>
      </w:r>
      <w:r w:rsidR="009B0A6C">
        <w:t>4</w:t>
      </w:r>
      <w:r w:rsidR="005717B7">
        <w:t xml:space="preserve"> (item 93201</w:t>
      </w:r>
      <w:r w:rsidR="0009446B">
        <w:t xml:space="preserve">, </w:t>
      </w:r>
      <w:r w:rsidR="005717B7">
        <w:t>column 2)</w:t>
      </w:r>
    </w:p>
    <w:p w14:paraId="31450DB7" w14:textId="77777777" w:rsidR="005717B7" w:rsidRDefault="005717B7" w:rsidP="00EF65CF">
      <w:pPr>
        <w:pStyle w:val="Item"/>
        <w:spacing w:after="240"/>
      </w:pPr>
      <w:r>
        <w:t xml:space="preserve">Repeal the cell, substitute: </w:t>
      </w:r>
    </w:p>
    <w:tbl>
      <w:tblPr>
        <w:tblW w:w="5000" w:type="pct"/>
        <w:tblCellMar>
          <w:left w:w="0" w:type="dxa"/>
          <w:right w:w="0" w:type="dxa"/>
        </w:tblCellMar>
        <w:tblLook w:val="04A0" w:firstRow="1" w:lastRow="0" w:firstColumn="1" w:lastColumn="0" w:noHBand="0" w:noVBand="1"/>
      </w:tblPr>
      <w:tblGrid>
        <w:gridCol w:w="1182"/>
        <w:gridCol w:w="5596"/>
        <w:gridCol w:w="1535"/>
      </w:tblGrid>
      <w:tr w:rsidR="007A304B" w:rsidRPr="00D309CA" w14:paraId="4F2A7481" w14:textId="77777777" w:rsidTr="007A304B">
        <w:tc>
          <w:tcPr>
            <w:tcW w:w="711" w:type="pct"/>
            <w:tcMar>
              <w:top w:w="0" w:type="dxa"/>
              <w:left w:w="107" w:type="dxa"/>
              <w:bottom w:w="0" w:type="dxa"/>
              <w:right w:w="107" w:type="dxa"/>
            </w:tcMar>
          </w:tcPr>
          <w:p w14:paraId="56441175" w14:textId="77777777" w:rsidR="007A304B" w:rsidRPr="00D309CA" w:rsidRDefault="007A304B" w:rsidP="007A304B">
            <w:pPr>
              <w:pStyle w:val="Tabletext"/>
            </w:pPr>
          </w:p>
        </w:tc>
        <w:tc>
          <w:tcPr>
            <w:tcW w:w="3366" w:type="pct"/>
            <w:tcMar>
              <w:top w:w="0" w:type="dxa"/>
              <w:left w:w="107" w:type="dxa"/>
              <w:bottom w:w="0" w:type="dxa"/>
              <w:right w:w="107" w:type="dxa"/>
            </w:tcMar>
          </w:tcPr>
          <w:p w14:paraId="0D37BC2F" w14:textId="77777777" w:rsidR="007A304B" w:rsidRPr="005A0D15" w:rsidRDefault="007A304B" w:rsidP="007A304B">
            <w:pPr>
              <w:pStyle w:val="Tabletext"/>
            </w:pPr>
            <w:r>
              <w:t>Video attendance</w:t>
            </w:r>
            <w:r w:rsidRPr="005A0D15">
              <w:t xml:space="preserve"> provided by a practice nurse or an Aboriginal and Torres Strait Islander health practitioner to a person with a chronic condition, if:</w:t>
            </w:r>
          </w:p>
          <w:p w14:paraId="2E3AFCFD" w14:textId="77777777" w:rsidR="007A304B" w:rsidRPr="005A0D15" w:rsidRDefault="007A304B" w:rsidP="007A304B">
            <w:pPr>
              <w:pStyle w:val="Tablea"/>
            </w:pPr>
            <w:r w:rsidRPr="005A0D15">
              <w:t>(a) the service is provided on behalf of and under the supervision of a medical practitioner; and</w:t>
            </w:r>
          </w:p>
          <w:p w14:paraId="28084C4E" w14:textId="77777777" w:rsidR="007A304B" w:rsidRPr="005A0D15" w:rsidRDefault="007A304B" w:rsidP="007A304B">
            <w:pPr>
              <w:pStyle w:val="Tablea"/>
            </w:pPr>
            <w:r w:rsidRPr="005A0D15">
              <w:t>(</w:t>
            </w:r>
            <w:r>
              <w:t>b</w:t>
            </w:r>
            <w:r w:rsidRPr="005A0D15">
              <w:t>) the person has in place:</w:t>
            </w:r>
          </w:p>
          <w:p w14:paraId="6164105E" w14:textId="77777777" w:rsidR="007A304B" w:rsidRPr="005A0D15" w:rsidRDefault="007A304B" w:rsidP="007A304B">
            <w:pPr>
              <w:pStyle w:val="Tablei"/>
            </w:pPr>
            <w:r w:rsidRPr="005A0D15">
              <w:t>(i) a GP chronic condition management plan that has been prepared or reviewed in the last 18 months; or</w:t>
            </w:r>
          </w:p>
          <w:p w14:paraId="56D4E3A7" w14:textId="77777777" w:rsidR="007A304B" w:rsidRPr="005A0D15" w:rsidRDefault="007A304B" w:rsidP="007A304B">
            <w:pPr>
              <w:pStyle w:val="Tablei"/>
            </w:pPr>
            <w:r w:rsidRPr="005A0D15">
              <w:t xml:space="preserve">(ii) until the end of </w:t>
            </w:r>
            <w:r>
              <w:t>30 June 2027</w:t>
            </w:r>
            <w:r w:rsidRPr="005A0D15">
              <w:t xml:space="preserve">—a GP </w:t>
            </w:r>
            <w:r>
              <w:t>M</w:t>
            </w:r>
            <w:r w:rsidRPr="005A0D15">
              <w:t xml:space="preserve">anagement </w:t>
            </w:r>
            <w:r>
              <w:t>P</w:t>
            </w:r>
            <w:r w:rsidRPr="005A0D15">
              <w:t>lan</w:t>
            </w:r>
            <w:r>
              <w:t xml:space="preserve"> and T</w:t>
            </w:r>
            <w:r w:rsidRPr="005A0D15">
              <w:t xml:space="preserve">eam </w:t>
            </w:r>
            <w:r>
              <w:t>C</w:t>
            </w:r>
            <w:r w:rsidRPr="005A0D15">
              <w:t xml:space="preserve">are </w:t>
            </w:r>
            <w:r>
              <w:t>A</w:t>
            </w:r>
            <w:r w:rsidRPr="005A0D15">
              <w:t>rrangement</w:t>
            </w:r>
            <w:r>
              <w:t>s</w:t>
            </w:r>
            <w:r w:rsidRPr="005A0D15">
              <w:t>, prepared before 1</w:t>
            </w:r>
            <w:r>
              <w:t xml:space="preserve"> July 2025</w:t>
            </w:r>
            <w:r w:rsidRPr="005A0D15">
              <w:t>; or</w:t>
            </w:r>
          </w:p>
          <w:p w14:paraId="402E6106" w14:textId="77777777" w:rsidR="007A304B" w:rsidRPr="005A0D15" w:rsidRDefault="007A304B" w:rsidP="007A304B">
            <w:pPr>
              <w:pStyle w:val="Tablei"/>
            </w:pPr>
            <w:r w:rsidRPr="005A0D15">
              <w:t>(iii) a multidisciplinary care plan; and</w:t>
            </w:r>
          </w:p>
          <w:p w14:paraId="27FC3C04" w14:textId="30B982B0" w:rsidR="007A304B" w:rsidRPr="00D309CA" w:rsidRDefault="007A304B" w:rsidP="007A304B">
            <w:pPr>
              <w:pStyle w:val="Tablea"/>
            </w:pPr>
            <w:r w:rsidRPr="005A0D15">
              <w:t>(</w:t>
            </w:r>
            <w:r>
              <w:t>c</w:t>
            </w:r>
            <w:r w:rsidRPr="005A0D15">
              <w:t>) the service is consistent with the plan or arrangements</w:t>
            </w:r>
          </w:p>
        </w:tc>
        <w:tc>
          <w:tcPr>
            <w:tcW w:w="923" w:type="pct"/>
            <w:tcMar>
              <w:top w:w="0" w:type="dxa"/>
              <w:left w:w="107" w:type="dxa"/>
              <w:bottom w:w="0" w:type="dxa"/>
              <w:right w:w="107" w:type="dxa"/>
            </w:tcMar>
          </w:tcPr>
          <w:p w14:paraId="12973DCC" w14:textId="7AB4E201" w:rsidR="007A304B" w:rsidRPr="00D309CA" w:rsidRDefault="007A304B" w:rsidP="00993D5A">
            <w:pPr>
              <w:spacing w:before="100" w:beforeAutospacing="1" w:after="100" w:afterAutospacing="1" w:line="240" w:lineRule="auto"/>
              <w:jc w:val="right"/>
            </w:pPr>
          </w:p>
        </w:tc>
      </w:tr>
    </w:tbl>
    <w:p w14:paraId="38ED9835" w14:textId="14A2937D" w:rsidR="005717B7" w:rsidRPr="00A12F0E" w:rsidRDefault="000F2BBE" w:rsidP="005717B7">
      <w:pPr>
        <w:pStyle w:val="ItemHead"/>
      </w:pPr>
      <w:r>
        <w:lastRenderedPageBreak/>
        <w:t>2</w:t>
      </w:r>
      <w:r w:rsidR="000F17CD">
        <w:t>6</w:t>
      </w:r>
      <w:r w:rsidR="005717B7">
        <w:t xml:space="preserve">  Schedule </w:t>
      </w:r>
      <w:r w:rsidR="00A37C6C">
        <w:t>4</w:t>
      </w:r>
      <w:r w:rsidR="005717B7">
        <w:t xml:space="preserve"> (item 93203</w:t>
      </w:r>
      <w:r w:rsidR="007C0DDC">
        <w:t xml:space="preserve">, </w:t>
      </w:r>
      <w:r w:rsidR="005717B7">
        <w:t>column 2)</w:t>
      </w:r>
    </w:p>
    <w:p w14:paraId="404EA576" w14:textId="118F5F80" w:rsidR="007A304B" w:rsidRDefault="005717B7" w:rsidP="00EF65CF">
      <w:pPr>
        <w:pStyle w:val="Item"/>
        <w:spacing w:after="240"/>
      </w:pPr>
      <w:r>
        <w:t xml:space="preserve">Repeal the cell, substitute: </w:t>
      </w:r>
    </w:p>
    <w:tbl>
      <w:tblPr>
        <w:tblW w:w="5000" w:type="pct"/>
        <w:tblCellMar>
          <w:left w:w="0" w:type="dxa"/>
          <w:right w:w="0" w:type="dxa"/>
        </w:tblCellMar>
        <w:tblLook w:val="04A0" w:firstRow="1" w:lastRow="0" w:firstColumn="1" w:lastColumn="0" w:noHBand="0" w:noVBand="1"/>
      </w:tblPr>
      <w:tblGrid>
        <w:gridCol w:w="1182"/>
        <w:gridCol w:w="5596"/>
        <w:gridCol w:w="1535"/>
      </w:tblGrid>
      <w:tr w:rsidR="007A304B" w:rsidRPr="00D309CA" w14:paraId="2B68DEF7" w14:textId="77777777" w:rsidTr="00993D5A">
        <w:tc>
          <w:tcPr>
            <w:tcW w:w="711" w:type="pct"/>
            <w:tcMar>
              <w:top w:w="0" w:type="dxa"/>
              <w:left w:w="107" w:type="dxa"/>
              <w:bottom w:w="0" w:type="dxa"/>
              <w:right w:w="107" w:type="dxa"/>
            </w:tcMar>
          </w:tcPr>
          <w:p w14:paraId="34D4C5AD" w14:textId="77777777" w:rsidR="007A304B" w:rsidRPr="00D309CA" w:rsidRDefault="007A304B" w:rsidP="00993D5A">
            <w:pPr>
              <w:pStyle w:val="Tabletext"/>
            </w:pPr>
          </w:p>
        </w:tc>
        <w:tc>
          <w:tcPr>
            <w:tcW w:w="3366" w:type="pct"/>
            <w:tcMar>
              <w:top w:w="0" w:type="dxa"/>
              <w:left w:w="107" w:type="dxa"/>
              <w:bottom w:w="0" w:type="dxa"/>
              <w:right w:w="107" w:type="dxa"/>
            </w:tcMar>
          </w:tcPr>
          <w:p w14:paraId="481DEC66" w14:textId="77777777" w:rsidR="007A304B" w:rsidRPr="005A0D15" w:rsidRDefault="007A304B" w:rsidP="007A304B">
            <w:pPr>
              <w:pStyle w:val="Tabletext"/>
            </w:pPr>
            <w:r>
              <w:t>Phone attendance</w:t>
            </w:r>
            <w:r w:rsidRPr="005A0D15">
              <w:t xml:space="preserve"> provided by a practice nurse or an Aboriginal and Torres Strait Islander health practitioner to a person with a chronic condition, if:</w:t>
            </w:r>
          </w:p>
          <w:p w14:paraId="3F02E663" w14:textId="77777777" w:rsidR="007A304B" w:rsidRPr="005A0D15" w:rsidRDefault="007A304B" w:rsidP="007A304B">
            <w:pPr>
              <w:pStyle w:val="Tablea"/>
            </w:pPr>
            <w:r w:rsidRPr="005A0D15">
              <w:t>(a) the service is provided on behalf of and under the supervision of a medical practitioner; and</w:t>
            </w:r>
          </w:p>
          <w:p w14:paraId="6D4D3BEE" w14:textId="77777777" w:rsidR="007A304B" w:rsidRPr="005A0D15" w:rsidRDefault="007A304B" w:rsidP="007A304B">
            <w:pPr>
              <w:pStyle w:val="Tablea"/>
            </w:pPr>
            <w:r w:rsidRPr="005A0D15">
              <w:t>(</w:t>
            </w:r>
            <w:r>
              <w:t>b</w:t>
            </w:r>
            <w:r w:rsidRPr="005A0D15">
              <w:t>) the person has in place:</w:t>
            </w:r>
          </w:p>
          <w:p w14:paraId="4700FCBE" w14:textId="77777777" w:rsidR="007A304B" w:rsidRPr="005A0D15" w:rsidRDefault="007A304B" w:rsidP="007A304B">
            <w:pPr>
              <w:pStyle w:val="Tablei"/>
            </w:pPr>
            <w:r w:rsidRPr="005A0D15">
              <w:t>(i) a GP chronic condition management plan that has been prepared or reviewed in the last 18 months; or</w:t>
            </w:r>
          </w:p>
          <w:p w14:paraId="0BECD26E" w14:textId="77777777" w:rsidR="007A304B" w:rsidRPr="005A0D15" w:rsidRDefault="007A304B" w:rsidP="007A304B">
            <w:pPr>
              <w:pStyle w:val="Tablei"/>
            </w:pPr>
            <w:r w:rsidRPr="005A0D15">
              <w:t xml:space="preserve">(ii) until the end of </w:t>
            </w:r>
            <w:r>
              <w:t>30 June 2027</w:t>
            </w:r>
            <w:r w:rsidRPr="005A0D15">
              <w:t xml:space="preserve">—a GP </w:t>
            </w:r>
            <w:r>
              <w:t>M</w:t>
            </w:r>
            <w:r w:rsidRPr="005A0D15">
              <w:t xml:space="preserve">anagement </w:t>
            </w:r>
            <w:r>
              <w:t>P</w:t>
            </w:r>
            <w:r w:rsidRPr="005A0D15">
              <w:t>lan</w:t>
            </w:r>
            <w:r>
              <w:t xml:space="preserve"> and</w:t>
            </w:r>
            <w:r w:rsidRPr="005A0D15">
              <w:t xml:space="preserve"> </w:t>
            </w:r>
            <w:r>
              <w:t>T</w:t>
            </w:r>
            <w:r w:rsidRPr="005A0D15">
              <w:t xml:space="preserve">eam </w:t>
            </w:r>
            <w:r>
              <w:t>C</w:t>
            </w:r>
            <w:r w:rsidRPr="005A0D15">
              <w:t xml:space="preserve">are </w:t>
            </w:r>
            <w:r>
              <w:t>A</w:t>
            </w:r>
            <w:r w:rsidRPr="005A0D15">
              <w:t>rrangement</w:t>
            </w:r>
            <w:r>
              <w:t>s</w:t>
            </w:r>
            <w:r w:rsidRPr="005A0D15">
              <w:t xml:space="preserve">, prepared before </w:t>
            </w:r>
            <w:r>
              <w:t>1 July 2025</w:t>
            </w:r>
            <w:r w:rsidRPr="005A0D15">
              <w:t>; or</w:t>
            </w:r>
          </w:p>
          <w:p w14:paraId="17516B6E" w14:textId="77777777" w:rsidR="007A304B" w:rsidRPr="005A0D15" w:rsidRDefault="007A304B" w:rsidP="007A304B">
            <w:pPr>
              <w:pStyle w:val="Tablei"/>
            </w:pPr>
            <w:r w:rsidRPr="005A0D15">
              <w:t>(iii) a multidisciplinary care plan; and</w:t>
            </w:r>
          </w:p>
          <w:p w14:paraId="41C894BA" w14:textId="33BC1C10" w:rsidR="007A304B" w:rsidRPr="00D309CA" w:rsidRDefault="007A304B" w:rsidP="007A304B">
            <w:pPr>
              <w:pStyle w:val="Tablea"/>
            </w:pPr>
            <w:r w:rsidRPr="005A0D15">
              <w:t>(</w:t>
            </w:r>
            <w:r>
              <w:t>c</w:t>
            </w:r>
            <w:r w:rsidRPr="005A0D15">
              <w:t>) the service is consistent with the plan or arrangements</w:t>
            </w:r>
          </w:p>
        </w:tc>
        <w:tc>
          <w:tcPr>
            <w:tcW w:w="923" w:type="pct"/>
            <w:tcMar>
              <w:top w:w="0" w:type="dxa"/>
              <w:left w:w="107" w:type="dxa"/>
              <w:bottom w:w="0" w:type="dxa"/>
              <w:right w:w="107" w:type="dxa"/>
            </w:tcMar>
          </w:tcPr>
          <w:p w14:paraId="46FE78B0" w14:textId="77777777" w:rsidR="007A304B" w:rsidRPr="00D309CA" w:rsidRDefault="007A304B" w:rsidP="00993D5A">
            <w:pPr>
              <w:spacing w:before="100" w:beforeAutospacing="1" w:after="100" w:afterAutospacing="1" w:line="240" w:lineRule="auto"/>
              <w:jc w:val="right"/>
            </w:pPr>
          </w:p>
        </w:tc>
      </w:tr>
    </w:tbl>
    <w:p w14:paraId="25DFA3D5" w14:textId="1BB300D5" w:rsidR="008D16F1" w:rsidRDefault="000F2BBE" w:rsidP="005717B7">
      <w:pPr>
        <w:pStyle w:val="ItemHead"/>
        <w:ind w:left="0" w:firstLine="0"/>
      </w:pPr>
      <w:r>
        <w:t>2</w:t>
      </w:r>
      <w:r w:rsidR="000F17CD">
        <w:t>7</w:t>
      </w:r>
      <w:r w:rsidR="008D16F1">
        <w:t xml:space="preserve">  Schedule </w:t>
      </w:r>
      <w:r w:rsidR="00841CDE">
        <w:t>3</w:t>
      </w:r>
      <w:r w:rsidR="008D16F1">
        <w:t xml:space="preserve"> </w:t>
      </w:r>
      <w:r w:rsidR="00757140">
        <w:t>(item 93284</w:t>
      </w:r>
      <w:r w:rsidR="001D563B">
        <w:t xml:space="preserve"> and</w:t>
      </w:r>
      <w:r w:rsidR="000F5D0C">
        <w:t xml:space="preserve"> </w:t>
      </w:r>
      <w:r w:rsidR="004A5884">
        <w:t>93286</w:t>
      </w:r>
      <w:r w:rsidR="001D563B">
        <w:t xml:space="preserve">, </w:t>
      </w:r>
      <w:r w:rsidR="004A5884">
        <w:t>column 2</w:t>
      </w:r>
      <w:r w:rsidR="001D563B">
        <w:t xml:space="preserve">, </w:t>
      </w:r>
      <w:r w:rsidR="00E25D06">
        <w:t>paragraph (b) and (c))</w:t>
      </w:r>
    </w:p>
    <w:p w14:paraId="464A676F" w14:textId="65555F71" w:rsidR="004142D2" w:rsidRDefault="004142D2" w:rsidP="004142D2">
      <w:pPr>
        <w:pStyle w:val="Item"/>
      </w:pPr>
      <w:r>
        <w:t xml:space="preserve">Repeal the paragraphs, substitute: </w:t>
      </w:r>
    </w:p>
    <w:p w14:paraId="4B33294B" w14:textId="77777777" w:rsidR="00343177" w:rsidRDefault="00343177" w:rsidP="00343177">
      <w:pPr>
        <w:spacing w:before="180" w:line="240" w:lineRule="atLeast"/>
        <w:ind w:left="357" w:hanging="357"/>
        <w:rPr>
          <w:rFonts w:cs="Times New Roman"/>
          <w:sz w:val="20"/>
        </w:rPr>
      </w:pPr>
      <w:r w:rsidRPr="00993001">
        <w:rPr>
          <w:rFonts w:cs="Times New Roman"/>
          <w:sz w:val="20"/>
        </w:rPr>
        <w:t>(b)</w:t>
      </w:r>
      <w:r w:rsidRPr="00993001">
        <w:rPr>
          <w:rFonts w:cs="Times New Roman"/>
          <w:sz w:val="20"/>
        </w:rPr>
        <w:tab/>
        <w:t xml:space="preserve">the patient is being managed by a medical practitioner </w:t>
      </w:r>
      <w:r>
        <w:rPr>
          <w:rFonts w:cs="Times New Roman"/>
          <w:sz w:val="20"/>
        </w:rPr>
        <w:t xml:space="preserve">(other than </w:t>
      </w:r>
      <w:r w:rsidRPr="00993001">
        <w:rPr>
          <w:rFonts w:cs="Times New Roman"/>
          <w:sz w:val="20"/>
        </w:rPr>
        <w:t>a specialist or consultant physician) under</w:t>
      </w:r>
      <w:r>
        <w:rPr>
          <w:rFonts w:cs="Times New Roman"/>
          <w:sz w:val="20"/>
        </w:rPr>
        <w:t>:</w:t>
      </w:r>
    </w:p>
    <w:p w14:paraId="04C40B39" w14:textId="77777777" w:rsidR="00343177" w:rsidRPr="00993001" w:rsidRDefault="00343177" w:rsidP="00343177">
      <w:pPr>
        <w:tabs>
          <w:tab w:val="right" w:pos="408"/>
        </w:tabs>
        <w:spacing w:after="60" w:line="240" w:lineRule="exact"/>
        <w:ind w:left="941" w:hanging="533"/>
        <w:rPr>
          <w:rFonts w:cs="Times New Roman"/>
          <w:sz w:val="20"/>
        </w:rPr>
      </w:pPr>
      <w:r w:rsidRPr="00993001">
        <w:rPr>
          <w:rFonts w:cs="Times New Roman"/>
          <w:sz w:val="20"/>
        </w:rPr>
        <w:t xml:space="preserve"> (i)</w:t>
      </w:r>
      <w:r w:rsidRPr="00993001">
        <w:rPr>
          <w:rFonts w:cs="Times New Roman"/>
          <w:sz w:val="20"/>
        </w:rPr>
        <w:tab/>
      </w:r>
      <w:r w:rsidRPr="00EE24EF">
        <w:rPr>
          <w:rFonts w:cs="Times New Roman"/>
          <w:sz w:val="20"/>
        </w:rPr>
        <w:t>a GP chronic condition management plan that has been prepared or reviewed in the last 18 months; or</w:t>
      </w:r>
    </w:p>
    <w:p w14:paraId="6FEF4F8A" w14:textId="3C4234F7" w:rsidR="00343177" w:rsidRDefault="00343177" w:rsidP="00343177">
      <w:pPr>
        <w:tabs>
          <w:tab w:val="right" w:pos="408"/>
        </w:tabs>
        <w:spacing w:after="60" w:line="240" w:lineRule="exact"/>
        <w:ind w:left="941" w:hanging="533"/>
        <w:rPr>
          <w:rFonts w:cs="Times New Roman"/>
          <w:sz w:val="20"/>
        </w:rPr>
      </w:pPr>
      <w:r w:rsidRPr="00993001">
        <w:rPr>
          <w:rFonts w:cs="Times New Roman"/>
          <w:sz w:val="20"/>
        </w:rPr>
        <w:t>(ii)</w:t>
      </w:r>
      <w:r w:rsidRPr="00993001">
        <w:rPr>
          <w:rFonts w:cs="Times New Roman"/>
          <w:sz w:val="20"/>
        </w:rPr>
        <w:tab/>
      </w:r>
      <w:r w:rsidRPr="008237C1">
        <w:rPr>
          <w:rFonts w:cs="Times New Roman"/>
          <w:sz w:val="20"/>
        </w:rPr>
        <w:t xml:space="preserve">until </w:t>
      </w:r>
      <w:r>
        <w:rPr>
          <w:rFonts w:cs="Times New Roman"/>
          <w:sz w:val="20"/>
        </w:rPr>
        <w:t xml:space="preserve">the end of </w:t>
      </w:r>
      <w:r w:rsidR="00590FA0">
        <w:rPr>
          <w:rFonts w:cs="Times New Roman"/>
          <w:sz w:val="20"/>
        </w:rPr>
        <w:t>30 June 2027</w:t>
      </w:r>
      <w:r w:rsidRPr="008237C1">
        <w:rPr>
          <w:rFonts w:cs="Times New Roman"/>
          <w:sz w:val="20"/>
        </w:rPr>
        <w:t xml:space="preserve">—a GP </w:t>
      </w:r>
      <w:r>
        <w:rPr>
          <w:rFonts w:cs="Times New Roman"/>
          <w:sz w:val="20"/>
        </w:rPr>
        <w:t>M</w:t>
      </w:r>
      <w:r w:rsidRPr="008237C1">
        <w:rPr>
          <w:rFonts w:cs="Times New Roman"/>
          <w:sz w:val="20"/>
        </w:rPr>
        <w:t xml:space="preserve">anagement </w:t>
      </w:r>
      <w:r>
        <w:rPr>
          <w:rFonts w:cs="Times New Roman"/>
          <w:sz w:val="20"/>
        </w:rPr>
        <w:t>P</w:t>
      </w:r>
      <w:r w:rsidRPr="008237C1">
        <w:rPr>
          <w:rFonts w:cs="Times New Roman"/>
          <w:sz w:val="20"/>
        </w:rPr>
        <w:t xml:space="preserve">lan prepared prior to 1 </w:t>
      </w:r>
      <w:r w:rsidR="00590FA0">
        <w:rPr>
          <w:rFonts w:cs="Times New Roman"/>
          <w:sz w:val="20"/>
        </w:rPr>
        <w:t>July 2025</w:t>
      </w:r>
      <w:r w:rsidRPr="008237C1">
        <w:rPr>
          <w:rFonts w:cs="Times New Roman"/>
          <w:sz w:val="20"/>
        </w:rPr>
        <w:t>; or</w:t>
      </w:r>
    </w:p>
    <w:p w14:paraId="4ACB4610" w14:textId="77777777" w:rsidR="00343177" w:rsidRPr="00993001" w:rsidRDefault="00343177" w:rsidP="00343177">
      <w:pPr>
        <w:spacing w:before="60" w:line="240" w:lineRule="atLeast"/>
        <w:ind w:left="720" w:hanging="360"/>
      </w:pPr>
      <w:r>
        <w:rPr>
          <w:rFonts w:cs="Times New Roman"/>
          <w:sz w:val="20"/>
        </w:rPr>
        <w:t xml:space="preserve">(iii)    </w:t>
      </w:r>
      <w:r w:rsidRPr="00A0626A">
        <w:rPr>
          <w:rFonts w:cs="Times New Roman"/>
          <w:sz w:val="20"/>
        </w:rPr>
        <w:t>a multidisciplinary care plan; and</w:t>
      </w:r>
    </w:p>
    <w:p w14:paraId="734BA110" w14:textId="77777777" w:rsidR="00343177" w:rsidRDefault="00343177" w:rsidP="00343177">
      <w:pPr>
        <w:spacing w:before="60" w:line="240" w:lineRule="atLeast"/>
        <w:ind w:left="360" w:hanging="360"/>
        <w:rPr>
          <w:rFonts w:cs="Times New Roman"/>
          <w:sz w:val="20"/>
        </w:rPr>
      </w:pPr>
      <w:r w:rsidRPr="00993001">
        <w:rPr>
          <w:rFonts w:cs="Times New Roman"/>
          <w:sz w:val="20"/>
        </w:rPr>
        <w:t>(c)</w:t>
      </w:r>
      <w:r w:rsidRPr="00993001">
        <w:rPr>
          <w:rFonts w:cs="Times New Roman"/>
          <w:sz w:val="20"/>
        </w:rPr>
        <w:tab/>
        <w:t>the patient is referred to an eligible diabetes educator by the medical practitioner; and</w:t>
      </w:r>
    </w:p>
    <w:p w14:paraId="794409B2" w14:textId="77777777" w:rsidR="00A12F0E" w:rsidRDefault="00A12F0E" w:rsidP="000F2BBE">
      <w:pPr>
        <w:pStyle w:val="Item"/>
        <w:ind w:left="0"/>
      </w:pPr>
    </w:p>
    <w:sectPr w:rsidR="00A12F0E" w:rsidSect="00B20990">
      <w:headerReference w:type="even" r:id="rId23"/>
      <w:headerReference w:type="default" r:id="rId24"/>
      <w:footerReference w:type="even" r:id="rId25"/>
      <w:footerReference w:type="default" r:id="rId26"/>
      <w:footerReference w:type="first" r:id="rId27"/>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F5D5A" w14:textId="77777777" w:rsidR="0039269D" w:rsidRDefault="0039269D" w:rsidP="0048364F">
      <w:pPr>
        <w:spacing w:line="240" w:lineRule="auto"/>
      </w:pPr>
      <w:r>
        <w:separator/>
      </w:r>
    </w:p>
  </w:endnote>
  <w:endnote w:type="continuationSeparator" w:id="0">
    <w:p w14:paraId="047431D8" w14:textId="77777777" w:rsidR="0039269D" w:rsidRDefault="0039269D" w:rsidP="0048364F">
      <w:pPr>
        <w:spacing w:line="240" w:lineRule="auto"/>
      </w:pPr>
      <w:r>
        <w:continuationSeparator/>
      </w:r>
    </w:p>
  </w:endnote>
  <w:endnote w:type="continuationNotice" w:id="1">
    <w:p w14:paraId="7FE2AE13" w14:textId="77777777" w:rsidR="0039269D" w:rsidRDefault="003926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3C52DC" w14:paraId="27FCBBB9" w14:textId="77777777" w:rsidTr="00C32B89">
      <w:tc>
        <w:tcPr>
          <w:tcW w:w="5000" w:type="pct"/>
        </w:tcPr>
        <w:p w14:paraId="539576D5" w14:textId="77777777" w:rsidR="003C52DC" w:rsidRDefault="003C52DC" w:rsidP="00C32B89">
          <w:pPr>
            <w:rPr>
              <w:sz w:val="18"/>
            </w:rPr>
          </w:pPr>
        </w:p>
      </w:tc>
    </w:tr>
  </w:tbl>
  <w:p w14:paraId="25BA62BA" w14:textId="77777777" w:rsidR="003C52DC" w:rsidRPr="005F1388" w:rsidRDefault="003C52DC"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3C52DC" w14:paraId="25B43128" w14:textId="77777777" w:rsidTr="00C32B89">
      <w:tc>
        <w:tcPr>
          <w:tcW w:w="5000" w:type="pct"/>
        </w:tcPr>
        <w:p w14:paraId="5B429DFF" w14:textId="77777777" w:rsidR="003C52DC" w:rsidRDefault="003C52DC" w:rsidP="00C32B89">
          <w:pPr>
            <w:rPr>
              <w:sz w:val="18"/>
            </w:rPr>
          </w:pPr>
        </w:p>
      </w:tc>
    </w:tr>
  </w:tbl>
  <w:p w14:paraId="0CCE8621" w14:textId="77777777" w:rsidR="003C52DC" w:rsidRPr="006D3667" w:rsidRDefault="003C52DC" w:rsidP="00C32B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3B963" w14:textId="77777777" w:rsidR="003C52DC" w:rsidRDefault="003C52DC" w:rsidP="00C32B89">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3C52DC" w14:paraId="73EC5E1D" w14:textId="77777777" w:rsidTr="00C32B89">
      <w:tc>
        <w:tcPr>
          <w:tcW w:w="5000" w:type="pct"/>
        </w:tcPr>
        <w:p w14:paraId="111BD5F9" w14:textId="77777777" w:rsidR="003C52DC" w:rsidRDefault="003C52DC" w:rsidP="00C32B89">
          <w:pPr>
            <w:rPr>
              <w:sz w:val="18"/>
            </w:rPr>
          </w:pPr>
        </w:p>
      </w:tc>
    </w:tr>
  </w:tbl>
  <w:p w14:paraId="4DE36244" w14:textId="77777777" w:rsidR="003C52DC" w:rsidRPr="00486382" w:rsidRDefault="003C52DC"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8AD00" w14:textId="77777777" w:rsidR="003C52DC" w:rsidRPr="00E33C1C" w:rsidRDefault="003C52DC" w:rsidP="00C32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3C52DC" w14:paraId="1CA55AE9" w14:textId="77777777" w:rsidTr="00C32B89">
      <w:tc>
        <w:tcPr>
          <w:tcW w:w="365" w:type="pct"/>
          <w:tcBorders>
            <w:top w:val="nil"/>
            <w:left w:val="nil"/>
            <w:bottom w:val="nil"/>
            <w:right w:val="nil"/>
          </w:tcBorders>
        </w:tcPr>
        <w:p w14:paraId="7B61AA72" w14:textId="77777777" w:rsidR="003C52DC" w:rsidRDefault="003C52DC" w:rsidP="00C32B8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6CD4C242" w14:textId="77777777" w:rsidR="003C52DC" w:rsidRDefault="003C52DC" w:rsidP="00C32B89">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392D5F14" w14:textId="77777777" w:rsidR="003C52DC" w:rsidRDefault="003C52DC" w:rsidP="00C32B89">
          <w:pPr>
            <w:spacing w:line="0" w:lineRule="atLeast"/>
            <w:jc w:val="right"/>
            <w:rPr>
              <w:sz w:val="18"/>
            </w:rPr>
          </w:pPr>
        </w:p>
      </w:tc>
    </w:tr>
    <w:tr w:rsidR="003C52DC" w14:paraId="43682ED3" w14:textId="77777777" w:rsidTr="00C32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E9D4B8E" w14:textId="77777777" w:rsidR="003C52DC" w:rsidRDefault="003C52DC" w:rsidP="00C32B89">
          <w:pPr>
            <w:jc w:val="right"/>
            <w:rPr>
              <w:sz w:val="18"/>
            </w:rPr>
          </w:pPr>
        </w:p>
      </w:tc>
    </w:tr>
  </w:tbl>
  <w:p w14:paraId="0ED91CE3" w14:textId="77777777" w:rsidR="003C52DC" w:rsidRPr="00ED79B6" w:rsidRDefault="003C52DC" w:rsidP="00C32B89">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F7F" w14:textId="77777777" w:rsidR="003C52DC" w:rsidRPr="00E33C1C" w:rsidRDefault="003C52DC" w:rsidP="00C32B89">
    <w:pPr>
      <w:pBdr>
        <w:top w:val="single" w:sz="6" w:space="1" w:color="auto"/>
      </w:pBdr>
      <w:spacing w:before="120" w:line="0" w:lineRule="atLeast"/>
      <w:rPr>
        <w:sz w:val="16"/>
        <w:szCs w:val="16"/>
      </w:rPr>
    </w:pPr>
  </w:p>
  <w:p w14:paraId="62EA247A" w14:textId="77777777" w:rsidR="00C32B89" w:rsidRDefault="00C32B89">
    <w:pPr>
      <w:rPr>
        <w:i/>
        <w:sz w:val="18"/>
      </w:rPr>
    </w:pPr>
  </w:p>
  <w:tbl>
    <w:tblPr>
      <w:tblStyle w:val="TableGrid"/>
      <w:tblW w:w="5000" w:type="pct"/>
      <w:tblLook w:val="04A0" w:firstRow="1" w:lastRow="0" w:firstColumn="1" w:lastColumn="0" w:noHBand="0" w:noVBand="1"/>
    </w:tblPr>
    <w:tblGrid>
      <w:gridCol w:w="1574"/>
      <w:gridCol w:w="6132"/>
      <w:gridCol w:w="607"/>
    </w:tblGrid>
    <w:tr w:rsidR="003C52DC" w14:paraId="187CA703" w14:textId="77777777" w:rsidTr="00C32B89">
      <w:tc>
        <w:tcPr>
          <w:tcW w:w="947" w:type="pct"/>
          <w:tcBorders>
            <w:top w:val="nil"/>
            <w:left w:val="nil"/>
            <w:bottom w:val="nil"/>
            <w:right w:val="nil"/>
          </w:tcBorders>
        </w:tcPr>
        <w:p w14:paraId="4310A7BC" w14:textId="3B76F8EB" w:rsidR="003C52DC" w:rsidRDefault="003C52DC" w:rsidP="00C32B89">
          <w:pPr>
            <w:spacing w:line="0" w:lineRule="atLeast"/>
            <w:rPr>
              <w:sz w:val="18"/>
            </w:rPr>
          </w:pPr>
        </w:p>
      </w:tc>
      <w:tc>
        <w:tcPr>
          <w:tcW w:w="3688" w:type="pct"/>
          <w:tcBorders>
            <w:top w:val="nil"/>
            <w:left w:val="nil"/>
            <w:bottom w:val="nil"/>
            <w:right w:val="nil"/>
          </w:tcBorders>
        </w:tcPr>
        <w:p w14:paraId="70FFBD1F" w14:textId="6D3A7545" w:rsidR="003C52DC" w:rsidRPr="00B20990" w:rsidRDefault="003C52DC" w:rsidP="00C32B89">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009C1">
            <w:rPr>
              <w:i/>
              <w:noProof/>
              <w:sz w:val="18"/>
            </w:rPr>
            <w:t>Health Insurance (Section 3C General Medical Services – Telehealth Attendances) Amendment (Chronic Condition Management) Determination 2025</w:t>
          </w:r>
          <w:r w:rsidRPr="00B20990">
            <w:rPr>
              <w:i/>
              <w:sz w:val="18"/>
            </w:rPr>
            <w:fldChar w:fldCharType="end"/>
          </w:r>
        </w:p>
      </w:tc>
      <w:tc>
        <w:tcPr>
          <w:tcW w:w="365" w:type="pct"/>
          <w:tcBorders>
            <w:top w:val="nil"/>
            <w:left w:val="nil"/>
            <w:bottom w:val="nil"/>
            <w:right w:val="nil"/>
          </w:tcBorders>
        </w:tcPr>
        <w:p w14:paraId="1E0748B2" w14:textId="77777777" w:rsidR="003C52DC" w:rsidRDefault="003C52DC" w:rsidP="00C32B8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3C52DC" w14:paraId="404C7018" w14:textId="77777777" w:rsidTr="00C32B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11FE979" w14:textId="77777777" w:rsidR="003C52DC" w:rsidRDefault="003C52DC" w:rsidP="00C32B89">
          <w:pPr>
            <w:rPr>
              <w:sz w:val="18"/>
            </w:rPr>
          </w:pPr>
        </w:p>
      </w:tc>
    </w:tr>
  </w:tbl>
  <w:p w14:paraId="4F7517D8" w14:textId="77777777" w:rsidR="003C52DC" w:rsidRPr="00ED79B6" w:rsidRDefault="003C52DC" w:rsidP="00C32B89">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10A4"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1DB7AB0E" w14:textId="77777777" w:rsidTr="007A6863">
      <w:tc>
        <w:tcPr>
          <w:tcW w:w="709" w:type="dxa"/>
          <w:tcBorders>
            <w:top w:val="nil"/>
            <w:left w:val="nil"/>
            <w:bottom w:val="nil"/>
            <w:right w:val="nil"/>
          </w:tcBorders>
        </w:tcPr>
        <w:p w14:paraId="11356AAD"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6</w:t>
          </w:r>
          <w:r w:rsidRPr="00ED79B6">
            <w:rPr>
              <w:i/>
              <w:sz w:val="18"/>
            </w:rPr>
            <w:fldChar w:fldCharType="end"/>
          </w:r>
        </w:p>
      </w:tc>
      <w:tc>
        <w:tcPr>
          <w:tcW w:w="6379" w:type="dxa"/>
          <w:tcBorders>
            <w:top w:val="nil"/>
            <w:left w:val="nil"/>
            <w:bottom w:val="nil"/>
            <w:right w:val="nil"/>
          </w:tcBorders>
        </w:tcPr>
        <w:p w14:paraId="494A3581" w14:textId="117DDBA0"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009C1">
            <w:rPr>
              <w:i/>
              <w:noProof/>
              <w:sz w:val="18"/>
            </w:rPr>
            <w:t>Health Insurance (Section 3C General Medical Services – Telehealth Attendances) Amendment (Chronic Condition Management) Determination 2025</w:t>
          </w:r>
          <w:r w:rsidRPr="00B20990">
            <w:rPr>
              <w:i/>
              <w:sz w:val="18"/>
            </w:rPr>
            <w:fldChar w:fldCharType="end"/>
          </w:r>
        </w:p>
      </w:tc>
      <w:tc>
        <w:tcPr>
          <w:tcW w:w="1383" w:type="dxa"/>
          <w:tcBorders>
            <w:top w:val="nil"/>
            <w:left w:val="nil"/>
            <w:bottom w:val="nil"/>
            <w:right w:val="nil"/>
          </w:tcBorders>
        </w:tcPr>
        <w:p w14:paraId="3EF37AB8" w14:textId="77777777" w:rsidR="00EE57E8" w:rsidRDefault="00EE57E8" w:rsidP="00EE57E8">
          <w:pPr>
            <w:spacing w:line="0" w:lineRule="atLeast"/>
            <w:jc w:val="right"/>
            <w:rPr>
              <w:sz w:val="18"/>
            </w:rPr>
          </w:pPr>
        </w:p>
      </w:tc>
    </w:tr>
    <w:tr w:rsidR="00EE57E8" w14:paraId="266117ED"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A29F322" w14:textId="77777777" w:rsidR="00EE57E8" w:rsidRDefault="00EE57E8" w:rsidP="00EE57E8">
          <w:pPr>
            <w:jc w:val="right"/>
            <w:rPr>
              <w:sz w:val="18"/>
            </w:rPr>
          </w:pPr>
        </w:p>
      </w:tc>
    </w:tr>
  </w:tbl>
  <w:p w14:paraId="75DF97E4"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9879B"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4983CAE2" w14:textId="77777777" w:rsidTr="00EE57E8">
      <w:tc>
        <w:tcPr>
          <w:tcW w:w="1384" w:type="dxa"/>
          <w:tcBorders>
            <w:top w:val="nil"/>
            <w:left w:val="nil"/>
            <w:bottom w:val="nil"/>
            <w:right w:val="nil"/>
          </w:tcBorders>
        </w:tcPr>
        <w:p w14:paraId="6B640EBC" w14:textId="77777777" w:rsidR="00EE57E8" w:rsidRDefault="00EE57E8" w:rsidP="00EE57E8">
          <w:pPr>
            <w:spacing w:line="0" w:lineRule="atLeast"/>
            <w:rPr>
              <w:sz w:val="18"/>
            </w:rPr>
          </w:pPr>
        </w:p>
      </w:tc>
      <w:tc>
        <w:tcPr>
          <w:tcW w:w="6379" w:type="dxa"/>
          <w:tcBorders>
            <w:top w:val="nil"/>
            <w:left w:val="nil"/>
            <w:bottom w:val="nil"/>
            <w:right w:val="nil"/>
          </w:tcBorders>
        </w:tcPr>
        <w:p w14:paraId="789642CC" w14:textId="412B845C"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5009C1">
            <w:rPr>
              <w:i/>
              <w:noProof/>
              <w:sz w:val="18"/>
            </w:rPr>
            <w:t>Health Insurance (Section 3C General Medical Services – Telehealth Attendances) Amendment (Chronic Condition Management) Determination 2025</w:t>
          </w:r>
          <w:r w:rsidRPr="00B20990">
            <w:rPr>
              <w:i/>
              <w:sz w:val="18"/>
            </w:rPr>
            <w:fldChar w:fldCharType="end"/>
          </w:r>
        </w:p>
      </w:tc>
      <w:tc>
        <w:tcPr>
          <w:tcW w:w="709" w:type="dxa"/>
          <w:tcBorders>
            <w:top w:val="nil"/>
            <w:left w:val="nil"/>
            <w:bottom w:val="nil"/>
            <w:right w:val="nil"/>
          </w:tcBorders>
        </w:tcPr>
        <w:p w14:paraId="378D79BB"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7</w:t>
          </w:r>
          <w:r w:rsidRPr="00ED79B6">
            <w:rPr>
              <w:i/>
              <w:sz w:val="18"/>
            </w:rPr>
            <w:fldChar w:fldCharType="end"/>
          </w:r>
        </w:p>
      </w:tc>
    </w:tr>
    <w:tr w:rsidR="00EE57E8" w14:paraId="23D830C5"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00B12AC" w14:textId="77777777" w:rsidR="00EE57E8" w:rsidRDefault="00EE57E8" w:rsidP="00EE57E8">
          <w:pPr>
            <w:rPr>
              <w:sz w:val="18"/>
            </w:rPr>
          </w:pPr>
        </w:p>
      </w:tc>
    </w:tr>
  </w:tbl>
  <w:p w14:paraId="37D3B8B4"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D8A9"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2B7F5AAE" w14:textId="77777777" w:rsidTr="007A6863">
      <w:tc>
        <w:tcPr>
          <w:tcW w:w="1384" w:type="dxa"/>
          <w:tcBorders>
            <w:top w:val="nil"/>
            <w:left w:val="nil"/>
            <w:bottom w:val="nil"/>
            <w:right w:val="nil"/>
          </w:tcBorders>
        </w:tcPr>
        <w:p w14:paraId="52BE9B31" w14:textId="77777777" w:rsidR="00EE57E8" w:rsidRDefault="00EE57E8" w:rsidP="00EE57E8">
          <w:pPr>
            <w:spacing w:line="0" w:lineRule="atLeast"/>
            <w:rPr>
              <w:sz w:val="18"/>
            </w:rPr>
          </w:pPr>
        </w:p>
      </w:tc>
      <w:tc>
        <w:tcPr>
          <w:tcW w:w="6379" w:type="dxa"/>
          <w:tcBorders>
            <w:top w:val="nil"/>
            <w:left w:val="nil"/>
            <w:bottom w:val="nil"/>
            <w:right w:val="nil"/>
          </w:tcBorders>
        </w:tcPr>
        <w:p w14:paraId="755491CC"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D7E3B">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486A27A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0CBA61FC"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FC67D1B" w14:textId="3873F6DA"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CD7E3B">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5009C1">
            <w:rPr>
              <w:i/>
              <w:noProof/>
              <w:sz w:val="18"/>
            </w:rPr>
            <w:t>27/5/2025 11:19 AM</w:t>
          </w:r>
          <w:r w:rsidRPr="00ED79B6">
            <w:rPr>
              <w:i/>
              <w:sz w:val="18"/>
            </w:rPr>
            <w:fldChar w:fldCharType="end"/>
          </w:r>
        </w:p>
      </w:tc>
    </w:tr>
  </w:tbl>
  <w:p w14:paraId="654DA69C"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21452" w14:textId="77777777" w:rsidR="0039269D" w:rsidRDefault="0039269D" w:rsidP="0048364F">
      <w:pPr>
        <w:spacing w:line="240" w:lineRule="auto"/>
      </w:pPr>
      <w:r>
        <w:separator/>
      </w:r>
    </w:p>
  </w:footnote>
  <w:footnote w:type="continuationSeparator" w:id="0">
    <w:p w14:paraId="27336036" w14:textId="77777777" w:rsidR="0039269D" w:rsidRDefault="0039269D" w:rsidP="0048364F">
      <w:pPr>
        <w:spacing w:line="240" w:lineRule="auto"/>
      </w:pPr>
      <w:r>
        <w:continuationSeparator/>
      </w:r>
    </w:p>
  </w:footnote>
  <w:footnote w:type="continuationNotice" w:id="1">
    <w:p w14:paraId="5D8C02AA" w14:textId="77777777" w:rsidR="0039269D" w:rsidRDefault="003926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C1B4" w14:textId="77777777" w:rsidR="003C52DC" w:rsidRPr="005F1388" w:rsidRDefault="003C52DC"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EC96A" w14:textId="77777777" w:rsidR="003C52DC" w:rsidRPr="005F1388" w:rsidRDefault="003C52DC"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A0B0F" w14:textId="77777777" w:rsidR="003C52DC" w:rsidRPr="005F1388" w:rsidRDefault="003C52DC"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49B1" w14:textId="77777777" w:rsidR="003C52DC" w:rsidRPr="00ED79B6" w:rsidRDefault="003C52DC" w:rsidP="00C32B89">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971FC" w14:textId="77777777" w:rsidR="003C52DC" w:rsidRPr="00ED79B6" w:rsidRDefault="003C52DC" w:rsidP="00C32B89">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A000" w14:textId="77777777" w:rsidR="003C52DC" w:rsidRPr="00ED79B6" w:rsidRDefault="003C52DC"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22A4" w14:textId="77777777" w:rsidR="00EE57E8" w:rsidRPr="00A961C4" w:rsidRDefault="00EE57E8" w:rsidP="0048364F">
    <w:pPr>
      <w:rPr>
        <w:b/>
        <w:sz w:val="20"/>
      </w:rPr>
    </w:pPr>
  </w:p>
  <w:p w14:paraId="1836C8EB" w14:textId="77777777" w:rsidR="00EE57E8" w:rsidRPr="00A961C4" w:rsidRDefault="00EE57E8" w:rsidP="0048364F">
    <w:pPr>
      <w:rPr>
        <w:b/>
        <w:sz w:val="20"/>
      </w:rPr>
    </w:pPr>
  </w:p>
  <w:p w14:paraId="08C6A2F6"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FCBF" w14:textId="77777777" w:rsidR="00EE57E8" w:rsidRPr="00A961C4" w:rsidRDefault="00EE57E8" w:rsidP="0048364F">
    <w:pPr>
      <w:jc w:val="right"/>
      <w:rPr>
        <w:sz w:val="20"/>
      </w:rPr>
    </w:pPr>
  </w:p>
  <w:p w14:paraId="1EB9FD70" w14:textId="77777777" w:rsidR="00EE57E8" w:rsidRPr="00A961C4" w:rsidRDefault="00EE57E8" w:rsidP="0048364F">
    <w:pPr>
      <w:jc w:val="right"/>
      <w:rPr>
        <w:b/>
        <w:sz w:val="20"/>
      </w:rPr>
    </w:pPr>
  </w:p>
  <w:p w14:paraId="603C6131"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4F50C2"/>
    <w:multiLevelType w:val="hybridMultilevel"/>
    <w:tmpl w:val="E7DC7092"/>
    <w:lvl w:ilvl="0" w:tplc="6994BE08">
      <w:start w:val="1"/>
      <w:numFmt w:val="decimal"/>
      <w:lvlText w:val="(%1)"/>
      <w:lvlJc w:val="left"/>
      <w:pPr>
        <w:ind w:left="1084" w:hanging="375"/>
      </w:pPr>
      <w:rPr>
        <w:rFonts w:ascii="Times New Roman" w:hAnsi="Times New Roman" w:cs="Times New Roman" w:hint="default"/>
        <w:b w:val="0"/>
        <w:bCs/>
        <w:sz w:val="22"/>
        <w:szCs w:val="18"/>
      </w:rPr>
    </w:lvl>
    <w:lvl w:ilvl="1" w:tplc="D1A2AB0C">
      <w:start w:val="1"/>
      <w:numFmt w:val="lowerLetter"/>
      <w:lvlText w:val="(%2)"/>
      <w:lvlJc w:val="left"/>
      <w:pPr>
        <w:ind w:left="1777" w:hanging="360"/>
      </w:pPr>
      <w:rPr>
        <w:rFonts w:ascii="Times New Roman" w:hAnsi="Times New Roman" w:cs="Times New Roman" w:hint="default"/>
        <w:b w:val="0"/>
        <w:bCs/>
        <w:sz w:val="22"/>
        <w:szCs w:val="18"/>
      </w:r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6D21DB"/>
    <w:multiLevelType w:val="hybridMultilevel"/>
    <w:tmpl w:val="480415C6"/>
    <w:lvl w:ilvl="0" w:tplc="CF740D6C">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FA478C"/>
    <w:multiLevelType w:val="hybridMultilevel"/>
    <w:tmpl w:val="6866A6AA"/>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0D41F76"/>
    <w:multiLevelType w:val="hybridMultilevel"/>
    <w:tmpl w:val="90C670F4"/>
    <w:lvl w:ilvl="0" w:tplc="6F22DA5C">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06A7489"/>
    <w:multiLevelType w:val="hybridMultilevel"/>
    <w:tmpl w:val="6866A6AA"/>
    <w:lvl w:ilvl="0" w:tplc="3EC0AF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44919789">
    <w:abstractNumId w:val="9"/>
  </w:num>
  <w:num w:numId="2" w16cid:durableId="1619946897">
    <w:abstractNumId w:val="7"/>
  </w:num>
  <w:num w:numId="3" w16cid:durableId="517473619">
    <w:abstractNumId w:val="6"/>
  </w:num>
  <w:num w:numId="4" w16cid:durableId="550268632">
    <w:abstractNumId w:val="5"/>
  </w:num>
  <w:num w:numId="5" w16cid:durableId="1031148791">
    <w:abstractNumId w:val="4"/>
  </w:num>
  <w:num w:numId="6" w16cid:durableId="1442457083">
    <w:abstractNumId w:val="8"/>
  </w:num>
  <w:num w:numId="7" w16cid:durableId="1896699544">
    <w:abstractNumId w:val="3"/>
  </w:num>
  <w:num w:numId="8" w16cid:durableId="1092973658">
    <w:abstractNumId w:val="2"/>
  </w:num>
  <w:num w:numId="9" w16cid:durableId="288359402">
    <w:abstractNumId w:val="1"/>
  </w:num>
  <w:num w:numId="10" w16cid:durableId="660544502">
    <w:abstractNumId w:val="0"/>
  </w:num>
  <w:num w:numId="11" w16cid:durableId="961963985">
    <w:abstractNumId w:val="16"/>
  </w:num>
  <w:num w:numId="12" w16cid:durableId="14575373">
    <w:abstractNumId w:val="11"/>
  </w:num>
  <w:num w:numId="13" w16cid:durableId="454300125">
    <w:abstractNumId w:val="14"/>
  </w:num>
  <w:num w:numId="14" w16cid:durableId="1427264886">
    <w:abstractNumId w:val="12"/>
  </w:num>
  <w:num w:numId="15" w16cid:durableId="52117312">
    <w:abstractNumId w:val="15"/>
  </w:num>
  <w:num w:numId="16" w16cid:durableId="1234467033">
    <w:abstractNumId w:val="13"/>
  </w:num>
  <w:num w:numId="17" w16cid:durableId="2047833893">
    <w:abstractNumId w:val="17"/>
  </w:num>
  <w:num w:numId="18" w16cid:durableId="1346519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E3B"/>
    <w:rsid w:val="00000263"/>
    <w:rsid w:val="000027BA"/>
    <w:rsid w:val="00004222"/>
    <w:rsid w:val="00005665"/>
    <w:rsid w:val="0000690B"/>
    <w:rsid w:val="000113BC"/>
    <w:rsid w:val="000122D8"/>
    <w:rsid w:val="000136AF"/>
    <w:rsid w:val="000238EC"/>
    <w:rsid w:val="00034B58"/>
    <w:rsid w:val="0003777A"/>
    <w:rsid w:val="00037FD7"/>
    <w:rsid w:val="0004044E"/>
    <w:rsid w:val="00042E16"/>
    <w:rsid w:val="0005120E"/>
    <w:rsid w:val="000528A2"/>
    <w:rsid w:val="00054577"/>
    <w:rsid w:val="00056D47"/>
    <w:rsid w:val="00060057"/>
    <w:rsid w:val="000614BF"/>
    <w:rsid w:val="000650A6"/>
    <w:rsid w:val="000678A1"/>
    <w:rsid w:val="0007169C"/>
    <w:rsid w:val="000738C8"/>
    <w:rsid w:val="00077593"/>
    <w:rsid w:val="00080A24"/>
    <w:rsid w:val="00083D1F"/>
    <w:rsid w:val="00083F48"/>
    <w:rsid w:val="00090EE8"/>
    <w:rsid w:val="00092E0A"/>
    <w:rsid w:val="0009425E"/>
    <w:rsid w:val="0009446B"/>
    <w:rsid w:val="00094FD0"/>
    <w:rsid w:val="00096277"/>
    <w:rsid w:val="000A0914"/>
    <w:rsid w:val="000A479A"/>
    <w:rsid w:val="000A7B4E"/>
    <w:rsid w:val="000A7DF9"/>
    <w:rsid w:val="000B3769"/>
    <w:rsid w:val="000C37AA"/>
    <w:rsid w:val="000C48FB"/>
    <w:rsid w:val="000C63D8"/>
    <w:rsid w:val="000D05EF"/>
    <w:rsid w:val="000D3FB9"/>
    <w:rsid w:val="000D443D"/>
    <w:rsid w:val="000D52DE"/>
    <w:rsid w:val="000D5485"/>
    <w:rsid w:val="000E598E"/>
    <w:rsid w:val="000E5A3D"/>
    <w:rsid w:val="000F0ADA"/>
    <w:rsid w:val="000F17CD"/>
    <w:rsid w:val="000F1CD8"/>
    <w:rsid w:val="000F21C1"/>
    <w:rsid w:val="000F2BBE"/>
    <w:rsid w:val="000F5D0C"/>
    <w:rsid w:val="0010745C"/>
    <w:rsid w:val="001122E2"/>
    <w:rsid w:val="001122FF"/>
    <w:rsid w:val="00133EDC"/>
    <w:rsid w:val="00133F3F"/>
    <w:rsid w:val="00137AE1"/>
    <w:rsid w:val="00147C42"/>
    <w:rsid w:val="00154561"/>
    <w:rsid w:val="001546A7"/>
    <w:rsid w:val="00156CE2"/>
    <w:rsid w:val="00160BD7"/>
    <w:rsid w:val="00164250"/>
    <w:rsid w:val="001643C9"/>
    <w:rsid w:val="00165568"/>
    <w:rsid w:val="00165690"/>
    <w:rsid w:val="00166082"/>
    <w:rsid w:val="00166C2F"/>
    <w:rsid w:val="001716C9"/>
    <w:rsid w:val="00172014"/>
    <w:rsid w:val="001771CD"/>
    <w:rsid w:val="00184261"/>
    <w:rsid w:val="0019278A"/>
    <w:rsid w:val="00193461"/>
    <w:rsid w:val="001939E1"/>
    <w:rsid w:val="0019452E"/>
    <w:rsid w:val="001945CB"/>
    <w:rsid w:val="0019498A"/>
    <w:rsid w:val="00195382"/>
    <w:rsid w:val="001A3B9F"/>
    <w:rsid w:val="001A5520"/>
    <w:rsid w:val="001A65C0"/>
    <w:rsid w:val="001A72BE"/>
    <w:rsid w:val="001B093E"/>
    <w:rsid w:val="001B7A5D"/>
    <w:rsid w:val="001C22DB"/>
    <w:rsid w:val="001C696F"/>
    <w:rsid w:val="001C69C4"/>
    <w:rsid w:val="001D14E1"/>
    <w:rsid w:val="001D2DEC"/>
    <w:rsid w:val="001D563B"/>
    <w:rsid w:val="001E0007"/>
    <w:rsid w:val="001E0A8D"/>
    <w:rsid w:val="001E3299"/>
    <w:rsid w:val="001E3590"/>
    <w:rsid w:val="001E58C0"/>
    <w:rsid w:val="001E7407"/>
    <w:rsid w:val="001F0F7B"/>
    <w:rsid w:val="001F1A46"/>
    <w:rsid w:val="00201D27"/>
    <w:rsid w:val="0020308B"/>
    <w:rsid w:val="002043C8"/>
    <w:rsid w:val="00205F72"/>
    <w:rsid w:val="00207AA5"/>
    <w:rsid w:val="0021153A"/>
    <w:rsid w:val="0021425F"/>
    <w:rsid w:val="002154BE"/>
    <w:rsid w:val="00223F80"/>
    <w:rsid w:val="002245A6"/>
    <w:rsid w:val="002302EA"/>
    <w:rsid w:val="0023603F"/>
    <w:rsid w:val="00237614"/>
    <w:rsid w:val="00240749"/>
    <w:rsid w:val="00245E95"/>
    <w:rsid w:val="002468D7"/>
    <w:rsid w:val="00247E97"/>
    <w:rsid w:val="00256C81"/>
    <w:rsid w:val="00275E18"/>
    <w:rsid w:val="0027749E"/>
    <w:rsid w:val="00285CDD"/>
    <w:rsid w:val="00291167"/>
    <w:rsid w:val="00294240"/>
    <w:rsid w:val="0029489E"/>
    <w:rsid w:val="00295F8D"/>
    <w:rsid w:val="00297ECB"/>
    <w:rsid w:val="002A756B"/>
    <w:rsid w:val="002B0FD3"/>
    <w:rsid w:val="002B5B60"/>
    <w:rsid w:val="002B5CD0"/>
    <w:rsid w:val="002C0553"/>
    <w:rsid w:val="002C152A"/>
    <w:rsid w:val="002C29D4"/>
    <w:rsid w:val="002C3297"/>
    <w:rsid w:val="002D043A"/>
    <w:rsid w:val="002D3C42"/>
    <w:rsid w:val="002D48BC"/>
    <w:rsid w:val="002F47DD"/>
    <w:rsid w:val="002F4C76"/>
    <w:rsid w:val="0031012B"/>
    <w:rsid w:val="0031713F"/>
    <w:rsid w:val="00321474"/>
    <w:rsid w:val="003222D1"/>
    <w:rsid w:val="00323F44"/>
    <w:rsid w:val="0032485F"/>
    <w:rsid w:val="00324FC4"/>
    <w:rsid w:val="0032750F"/>
    <w:rsid w:val="00332BC8"/>
    <w:rsid w:val="00332C16"/>
    <w:rsid w:val="003415D3"/>
    <w:rsid w:val="00343177"/>
    <w:rsid w:val="003442F6"/>
    <w:rsid w:val="0034430D"/>
    <w:rsid w:val="00346335"/>
    <w:rsid w:val="00352B0F"/>
    <w:rsid w:val="00354C9C"/>
    <w:rsid w:val="003561B0"/>
    <w:rsid w:val="00361C1E"/>
    <w:rsid w:val="00364A85"/>
    <w:rsid w:val="003658F4"/>
    <w:rsid w:val="00371486"/>
    <w:rsid w:val="00373930"/>
    <w:rsid w:val="00380125"/>
    <w:rsid w:val="00382ACB"/>
    <w:rsid w:val="00384DD1"/>
    <w:rsid w:val="003864A1"/>
    <w:rsid w:val="0039269D"/>
    <w:rsid w:val="00393682"/>
    <w:rsid w:val="00393DA3"/>
    <w:rsid w:val="00395AFC"/>
    <w:rsid w:val="00396DF3"/>
    <w:rsid w:val="0039760F"/>
    <w:rsid w:val="00397893"/>
    <w:rsid w:val="003A15AC"/>
    <w:rsid w:val="003A2729"/>
    <w:rsid w:val="003A4FC7"/>
    <w:rsid w:val="003B0627"/>
    <w:rsid w:val="003B212D"/>
    <w:rsid w:val="003B2D79"/>
    <w:rsid w:val="003B450D"/>
    <w:rsid w:val="003B74FA"/>
    <w:rsid w:val="003C52DC"/>
    <w:rsid w:val="003C5F2B"/>
    <w:rsid w:val="003C7793"/>
    <w:rsid w:val="003C7D35"/>
    <w:rsid w:val="003D0BFE"/>
    <w:rsid w:val="003D5700"/>
    <w:rsid w:val="003D793E"/>
    <w:rsid w:val="003E035C"/>
    <w:rsid w:val="003F14AE"/>
    <w:rsid w:val="003F6F52"/>
    <w:rsid w:val="00401FBB"/>
    <w:rsid w:val="004022CA"/>
    <w:rsid w:val="004116CD"/>
    <w:rsid w:val="004142D2"/>
    <w:rsid w:val="004145D5"/>
    <w:rsid w:val="00414ADE"/>
    <w:rsid w:val="00416763"/>
    <w:rsid w:val="0041768A"/>
    <w:rsid w:val="00424CA9"/>
    <w:rsid w:val="00425518"/>
    <w:rsid w:val="004257BB"/>
    <w:rsid w:val="00427484"/>
    <w:rsid w:val="0043059F"/>
    <w:rsid w:val="004340A6"/>
    <w:rsid w:val="00434D26"/>
    <w:rsid w:val="0044291A"/>
    <w:rsid w:val="00453060"/>
    <w:rsid w:val="00455851"/>
    <w:rsid w:val="00457C04"/>
    <w:rsid w:val="004600B0"/>
    <w:rsid w:val="00460499"/>
    <w:rsid w:val="00460FBA"/>
    <w:rsid w:val="00461081"/>
    <w:rsid w:val="00474835"/>
    <w:rsid w:val="00474EB9"/>
    <w:rsid w:val="00475448"/>
    <w:rsid w:val="00475DF4"/>
    <w:rsid w:val="0048128E"/>
    <w:rsid w:val="004819C7"/>
    <w:rsid w:val="0048364F"/>
    <w:rsid w:val="00483C70"/>
    <w:rsid w:val="004877FC"/>
    <w:rsid w:val="00490F2E"/>
    <w:rsid w:val="00492173"/>
    <w:rsid w:val="00494BD3"/>
    <w:rsid w:val="00496F97"/>
    <w:rsid w:val="004977F0"/>
    <w:rsid w:val="004A53EA"/>
    <w:rsid w:val="004A5884"/>
    <w:rsid w:val="004A5A01"/>
    <w:rsid w:val="004A5C8C"/>
    <w:rsid w:val="004B13F3"/>
    <w:rsid w:val="004B35E7"/>
    <w:rsid w:val="004C2BBB"/>
    <w:rsid w:val="004C7532"/>
    <w:rsid w:val="004D7CC7"/>
    <w:rsid w:val="004D7FAD"/>
    <w:rsid w:val="004E29FC"/>
    <w:rsid w:val="004E396E"/>
    <w:rsid w:val="004F0035"/>
    <w:rsid w:val="004F1FAC"/>
    <w:rsid w:val="004F676E"/>
    <w:rsid w:val="004F71C0"/>
    <w:rsid w:val="005009C1"/>
    <w:rsid w:val="005031F4"/>
    <w:rsid w:val="00505CD9"/>
    <w:rsid w:val="00506507"/>
    <w:rsid w:val="00516B8D"/>
    <w:rsid w:val="00517DE8"/>
    <w:rsid w:val="00520950"/>
    <w:rsid w:val="00520E9D"/>
    <w:rsid w:val="00524553"/>
    <w:rsid w:val="0052756C"/>
    <w:rsid w:val="00530230"/>
    <w:rsid w:val="00530CC9"/>
    <w:rsid w:val="005311E5"/>
    <w:rsid w:val="00531B46"/>
    <w:rsid w:val="005326E2"/>
    <w:rsid w:val="005332B2"/>
    <w:rsid w:val="00533A50"/>
    <w:rsid w:val="005354BA"/>
    <w:rsid w:val="00536437"/>
    <w:rsid w:val="00537FBC"/>
    <w:rsid w:val="00540D04"/>
    <w:rsid w:val="00541D73"/>
    <w:rsid w:val="00543469"/>
    <w:rsid w:val="00544BAE"/>
    <w:rsid w:val="005455F7"/>
    <w:rsid w:val="00545A08"/>
    <w:rsid w:val="00546FA3"/>
    <w:rsid w:val="005500AF"/>
    <w:rsid w:val="005548C5"/>
    <w:rsid w:val="005549F9"/>
    <w:rsid w:val="00557C7A"/>
    <w:rsid w:val="00562A58"/>
    <w:rsid w:val="00563E42"/>
    <w:rsid w:val="00564894"/>
    <w:rsid w:val="0056541A"/>
    <w:rsid w:val="005717B7"/>
    <w:rsid w:val="0058027B"/>
    <w:rsid w:val="005803DD"/>
    <w:rsid w:val="00580B65"/>
    <w:rsid w:val="00581211"/>
    <w:rsid w:val="00584811"/>
    <w:rsid w:val="00590FA0"/>
    <w:rsid w:val="00593237"/>
    <w:rsid w:val="005937BD"/>
    <w:rsid w:val="00593AA6"/>
    <w:rsid w:val="00593BC7"/>
    <w:rsid w:val="00594161"/>
    <w:rsid w:val="00594749"/>
    <w:rsid w:val="00594956"/>
    <w:rsid w:val="00595421"/>
    <w:rsid w:val="00597682"/>
    <w:rsid w:val="005A1E75"/>
    <w:rsid w:val="005A3F4E"/>
    <w:rsid w:val="005A6814"/>
    <w:rsid w:val="005A7CB6"/>
    <w:rsid w:val="005A7E35"/>
    <w:rsid w:val="005B0E8C"/>
    <w:rsid w:val="005B1555"/>
    <w:rsid w:val="005B4067"/>
    <w:rsid w:val="005B52CA"/>
    <w:rsid w:val="005C3F41"/>
    <w:rsid w:val="005C4973"/>
    <w:rsid w:val="005C4EF0"/>
    <w:rsid w:val="005C5C8A"/>
    <w:rsid w:val="005C5F28"/>
    <w:rsid w:val="005C6D05"/>
    <w:rsid w:val="005D0E8C"/>
    <w:rsid w:val="005D1A7E"/>
    <w:rsid w:val="005D5EA1"/>
    <w:rsid w:val="005E098C"/>
    <w:rsid w:val="005E1F8D"/>
    <w:rsid w:val="005E317F"/>
    <w:rsid w:val="005E4DE9"/>
    <w:rsid w:val="005E61D3"/>
    <w:rsid w:val="005E7150"/>
    <w:rsid w:val="005F0865"/>
    <w:rsid w:val="005F2CAF"/>
    <w:rsid w:val="005F5978"/>
    <w:rsid w:val="00600219"/>
    <w:rsid w:val="006049F3"/>
    <w:rsid w:val="006065DA"/>
    <w:rsid w:val="00606AA4"/>
    <w:rsid w:val="00607677"/>
    <w:rsid w:val="00617D38"/>
    <w:rsid w:val="006211F0"/>
    <w:rsid w:val="006222A1"/>
    <w:rsid w:val="00625BDF"/>
    <w:rsid w:val="00625E30"/>
    <w:rsid w:val="0063351F"/>
    <w:rsid w:val="00635E54"/>
    <w:rsid w:val="006379ED"/>
    <w:rsid w:val="006401DB"/>
    <w:rsid w:val="00640402"/>
    <w:rsid w:val="00640EEE"/>
    <w:rsid w:val="00640F78"/>
    <w:rsid w:val="00641DAF"/>
    <w:rsid w:val="0064384A"/>
    <w:rsid w:val="0065540C"/>
    <w:rsid w:val="00655D6A"/>
    <w:rsid w:val="00656072"/>
    <w:rsid w:val="00656DE9"/>
    <w:rsid w:val="006615C7"/>
    <w:rsid w:val="00666AB0"/>
    <w:rsid w:val="00670CA8"/>
    <w:rsid w:val="00672876"/>
    <w:rsid w:val="00672893"/>
    <w:rsid w:val="00674229"/>
    <w:rsid w:val="00677CC2"/>
    <w:rsid w:val="0068394D"/>
    <w:rsid w:val="00685F42"/>
    <w:rsid w:val="00687B00"/>
    <w:rsid w:val="00687E89"/>
    <w:rsid w:val="00691F19"/>
    <w:rsid w:val="0069207B"/>
    <w:rsid w:val="006974EB"/>
    <w:rsid w:val="006A1613"/>
    <w:rsid w:val="006A304E"/>
    <w:rsid w:val="006A320B"/>
    <w:rsid w:val="006A73D4"/>
    <w:rsid w:val="006B0295"/>
    <w:rsid w:val="006B7006"/>
    <w:rsid w:val="006C00AF"/>
    <w:rsid w:val="006C3D87"/>
    <w:rsid w:val="006C7F8C"/>
    <w:rsid w:val="006D0AA4"/>
    <w:rsid w:val="006D272F"/>
    <w:rsid w:val="006D7AB9"/>
    <w:rsid w:val="006E024A"/>
    <w:rsid w:val="006F1BD3"/>
    <w:rsid w:val="00700B2C"/>
    <w:rsid w:val="00707F5A"/>
    <w:rsid w:val="00713084"/>
    <w:rsid w:val="00713B42"/>
    <w:rsid w:val="00716F26"/>
    <w:rsid w:val="00717463"/>
    <w:rsid w:val="00720FC2"/>
    <w:rsid w:val="00722E89"/>
    <w:rsid w:val="00725F2B"/>
    <w:rsid w:val="00731E00"/>
    <w:rsid w:val="007339C7"/>
    <w:rsid w:val="007440B7"/>
    <w:rsid w:val="00747993"/>
    <w:rsid w:val="00757140"/>
    <w:rsid w:val="0075798C"/>
    <w:rsid w:val="00761868"/>
    <w:rsid w:val="007634AD"/>
    <w:rsid w:val="0076440C"/>
    <w:rsid w:val="00767524"/>
    <w:rsid w:val="007715C9"/>
    <w:rsid w:val="0077253A"/>
    <w:rsid w:val="00773134"/>
    <w:rsid w:val="00774EDD"/>
    <w:rsid w:val="007757EC"/>
    <w:rsid w:val="00782EA3"/>
    <w:rsid w:val="007848C6"/>
    <w:rsid w:val="00787E77"/>
    <w:rsid w:val="00790B57"/>
    <w:rsid w:val="007A304B"/>
    <w:rsid w:val="007A43DB"/>
    <w:rsid w:val="007A6863"/>
    <w:rsid w:val="007A6F4C"/>
    <w:rsid w:val="007B237E"/>
    <w:rsid w:val="007B3077"/>
    <w:rsid w:val="007B38AB"/>
    <w:rsid w:val="007B56E3"/>
    <w:rsid w:val="007B645A"/>
    <w:rsid w:val="007C0DDC"/>
    <w:rsid w:val="007C5DE1"/>
    <w:rsid w:val="007C78B4"/>
    <w:rsid w:val="007D5B22"/>
    <w:rsid w:val="007D7652"/>
    <w:rsid w:val="007E2369"/>
    <w:rsid w:val="007E32B6"/>
    <w:rsid w:val="007E3FA1"/>
    <w:rsid w:val="007E486B"/>
    <w:rsid w:val="007E4C3A"/>
    <w:rsid w:val="007E7D4A"/>
    <w:rsid w:val="007F106F"/>
    <w:rsid w:val="007F1615"/>
    <w:rsid w:val="007F34B0"/>
    <w:rsid w:val="007F48ED"/>
    <w:rsid w:val="007F52BB"/>
    <w:rsid w:val="007F5E3F"/>
    <w:rsid w:val="007F6791"/>
    <w:rsid w:val="00801C85"/>
    <w:rsid w:val="00802877"/>
    <w:rsid w:val="00802C03"/>
    <w:rsid w:val="00804391"/>
    <w:rsid w:val="00812F45"/>
    <w:rsid w:val="00814FCB"/>
    <w:rsid w:val="00823435"/>
    <w:rsid w:val="00836FE9"/>
    <w:rsid w:val="0084172C"/>
    <w:rsid w:val="00841CDE"/>
    <w:rsid w:val="00844B93"/>
    <w:rsid w:val="0084511A"/>
    <w:rsid w:val="0085040D"/>
    <w:rsid w:val="0085175E"/>
    <w:rsid w:val="00852E50"/>
    <w:rsid w:val="0085576A"/>
    <w:rsid w:val="00856A31"/>
    <w:rsid w:val="00861D6F"/>
    <w:rsid w:val="00873C95"/>
    <w:rsid w:val="008754D0"/>
    <w:rsid w:val="00877C69"/>
    <w:rsid w:val="00877D48"/>
    <w:rsid w:val="00880B83"/>
    <w:rsid w:val="00881C1F"/>
    <w:rsid w:val="0088345B"/>
    <w:rsid w:val="00894F17"/>
    <w:rsid w:val="00895148"/>
    <w:rsid w:val="0089726F"/>
    <w:rsid w:val="008A0DFC"/>
    <w:rsid w:val="008A16A5"/>
    <w:rsid w:val="008A320D"/>
    <w:rsid w:val="008A5B34"/>
    <w:rsid w:val="008A5C57"/>
    <w:rsid w:val="008C0629"/>
    <w:rsid w:val="008C4703"/>
    <w:rsid w:val="008D0CDC"/>
    <w:rsid w:val="008D0EE0"/>
    <w:rsid w:val="008D16F1"/>
    <w:rsid w:val="008D5821"/>
    <w:rsid w:val="008D7A27"/>
    <w:rsid w:val="008E448B"/>
    <w:rsid w:val="008E4702"/>
    <w:rsid w:val="008E69AA"/>
    <w:rsid w:val="008E6A4C"/>
    <w:rsid w:val="008F2EFE"/>
    <w:rsid w:val="008F3579"/>
    <w:rsid w:val="008F407A"/>
    <w:rsid w:val="008F4F1C"/>
    <w:rsid w:val="008F61C1"/>
    <w:rsid w:val="00904A63"/>
    <w:rsid w:val="009069AD"/>
    <w:rsid w:val="00910E64"/>
    <w:rsid w:val="00916D64"/>
    <w:rsid w:val="00920596"/>
    <w:rsid w:val="00920F0E"/>
    <w:rsid w:val="00922764"/>
    <w:rsid w:val="009278C1"/>
    <w:rsid w:val="009309F0"/>
    <w:rsid w:val="00932377"/>
    <w:rsid w:val="009346E3"/>
    <w:rsid w:val="0094523D"/>
    <w:rsid w:val="00971536"/>
    <w:rsid w:val="0097384A"/>
    <w:rsid w:val="00976A63"/>
    <w:rsid w:val="00983374"/>
    <w:rsid w:val="009833CA"/>
    <w:rsid w:val="00984F99"/>
    <w:rsid w:val="00997543"/>
    <w:rsid w:val="009A444E"/>
    <w:rsid w:val="009A4E14"/>
    <w:rsid w:val="009B0980"/>
    <w:rsid w:val="009B0A6C"/>
    <w:rsid w:val="009B214B"/>
    <w:rsid w:val="009B2490"/>
    <w:rsid w:val="009B50E5"/>
    <w:rsid w:val="009C3431"/>
    <w:rsid w:val="009C4C45"/>
    <w:rsid w:val="009C5989"/>
    <w:rsid w:val="009C6A32"/>
    <w:rsid w:val="009D08DA"/>
    <w:rsid w:val="009D3D8B"/>
    <w:rsid w:val="009D3FFB"/>
    <w:rsid w:val="009D525E"/>
    <w:rsid w:val="009E1602"/>
    <w:rsid w:val="009E35B3"/>
    <w:rsid w:val="009E4FE4"/>
    <w:rsid w:val="00A06860"/>
    <w:rsid w:val="00A106AD"/>
    <w:rsid w:val="00A11865"/>
    <w:rsid w:val="00A12F0E"/>
    <w:rsid w:val="00A136F5"/>
    <w:rsid w:val="00A231E2"/>
    <w:rsid w:val="00A2550D"/>
    <w:rsid w:val="00A30314"/>
    <w:rsid w:val="00A32074"/>
    <w:rsid w:val="00A3213E"/>
    <w:rsid w:val="00A3638F"/>
    <w:rsid w:val="00A379BB"/>
    <w:rsid w:val="00A37C6C"/>
    <w:rsid w:val="00A4169B"/>
    <w:rsid w:val="00A46A75"/>
    <w:rsid w:val="00A50D55"/>
    <w:rsid w:val="00A50E10"/>
    <w:rsid w:val="00A51631"/>
    <w:rsid w:val="00A51FFC"/>
    <w:rsid w:val="00A52FDA"/>
    <w:rsid w:val="00A53D33"/>
    <w:rsid w:val="00A62C34"/>
    <w:rsid w:val="00A63EDE"/>
    <w:rsid w:val="00A64912"/>
    <w:rsid w:val="00A658D9"/>
    <w:rsid w:val="00A66A1C"/>
    <w:rsid w:val="00A70308"/>
    <w:rsid w:val="00A70A74"/>
    <w:rsid w:val="00A716F2"/>
    <w:rsid w:val="00A83C55"/>
    <w:rsid w:val="00A90C23"/>
    <w:rsid w:val="00A9231A"/>
    <w:rsid w:val="00A95BC7"/>
    <w:rsid w:val="00AA0343"/>
    <w:rsid w:val="00AA0EE9"/>
    <w:rsid w:val="00AA183B"/>
    <w:rsid w:val="00AA569B"/>
    <w:rsid w:val="00AA78CE"/>
    <w:rsid w:val="00AA7B26"/>
    <w:rsid w:val="00AB30CD"/>
    <w:rsid w:val="00AB7613"/>
    <w:rsid w:val="00AC5C07"/>
    <w:rsid w:val="00AC767C"/>
    <w:rsid w:val="00AD3467"/>
    <w:rsid w:val="00AD5641"/>
    <w:rsid w:val="00AD5A9E"/>
    <w:rsid w:val="00AF0A25"/>
    <w:rsid w:val="00AF33DB"/>
    <w:rsid w:val="00AF6A3C"/>
    <w:rsid w:val="00AF6E5E"/>
    <w:rsid w:val="00B00B29"/>
    <w:rsid w:val="00B032D8"/>
    <w:rsid w:val="00B0560E"/>
    <w:rsid w:val="00B05D72"/>
    <w:rsid w:val="00B06464"/>
    <w:rsid w:val="00B06CEF"/>
    <w:rsid w:val="00B06F70"/>
    <w:rsid w:val="00B13385"/>
    <w:rsid w:val="00B138C4"/>
    <w:rsid w:val="00B16651"/>
    <w:rsid w:val="00B201C4"/>
    <w:rsid w:val="00B20990"/>
    <w:rsid w:val="00B23FAF"/>
    <w:rsid w:val="00B33B3C"/>
    <w:rsid w:val="00B34133"/>
    <w:rsid w:val="00B40D74"/>
    <w:rsid w:val="00B42649"/>
    <w:rsid w:val="00B46467"/>
    <w:rsid w:val="00B52663"/>
    <w:rsid w:val="00B56DCB"/>
    <w:rsid w:val="00B61728"/>
    <w:rsid w:val="00B65C58"/>
    <w:rsid w:val="00B676EF"/>
    <w:rsid w:val="00B74CC5"/>
    <w:rsid w:val="00B7666C"/>
    <w:rsid w:val="00B770D2"/>
    <w:rsid w:val="00B859F8"/>
    <w:rsid w:val="00B93516"/>
    <w:rsid w:val="00B94A36"/>
    <w:rsid w:val="00B96776"/>
    <w:rsid w:val="00B973E5"/>
    <w:rsid w:val="00BA317F"/>
    <w:rsid w:val="00BA47A3"/>
    <w:rsid w:val="00BA5026"/>
    <w:rsid w:val="00BA7B5B"/>
    <w:rsid w:val="00BB1083"/>
    <w:rsid w:val="00BB1C84"/>
    <w:rsid w:val="00BB277D"/>
    <w:rsid w:val="00BB6E79"/>
    <w:rsid w:val="00BC1EB1"/>
    <w:rsid w:val="00BC492A"/>
    <w:rsid w:val="00BD0009"/>
    <w:rsid w:val="00BD1320"/>
    <w:rsid w:val="00BD3F68"/>
    <w:rsid w:val="00BE42C5"/>
    <w:rsid w:val="00BE7133"/>
    <w:rsid w:val="00BE719A"/>
    <w:rsid w:val="00BE720A"/>
    <w:rsid w:val="00BF0723"/>
    <w:rsid w:val="00BF2D52"/>
    <w:rsid w:val="00BF6650"/>
    <w:rsid w:val="00C004B6"/>
    <w:rsid w:val="00C067E5"/>
    <w:rsid w:val="00C07445"/>
    <w:rsid w:val="00C11137"/>
    <w:rsid w:val="00C15353"/>
    <w:rsid w:val="00C164CA"/>
    <w:rsid w:val="00C20A7F"/>
    <w:rsid w:val="00C26051"/>
    <w:rsid w:val="00C276A5"/>
    <w:rsid w:val="00C27B05"/>
    <w:rsid w:val="00C3144C"/>
    <w:rsid w:val="00C32B89"/>
    <w:rsid w:val="00C33EEB"/>
    <w:rsid w:val="00C358B6"/>
    <w:rsid w:val="00C3645C"/>
    <w:rsid w:val="00C4201D"/>
    <w:rsid w:val="00C42BF8"/>
    <w:rsid w:val="00C460AE"/>
    <w:rsid w:val="00C50043"/>
    <w:rsid w:val="00C5015F"/>
    <w:rsid w:val="00C50A0F"/>
    <w:rsid w:val="00C50F4A"/>
    <w:rsid w:val="00C55D60"/>
    <w:rsid w:val="00C575DD"/>
    <w:rsid w:val="00C612B0"/>
    <w:rsid w:val="00C642FB"/>
    <w:rsid w:val="00C65CA5"/>
    <w:rsid w:val="00C72D10"/>
    <w:rsid w:val="00C741D7"/>
    <w:rsid w:val="00C74B5B"/>
    <w:rsid w:val="00C7573B"/>
    <w:rsid w:val="00C75B9C"/>
    <w:rsid w:val="00C76389"/>
    <w:rsid w:val="00C76CF3"/>
    <w:rsid w:val="00C81130"/>
    <w:rsid w:val="00C82FD0"/>
    <w:rsid w:val="00C86A2A"/>
    <w:rsid w:val="00C923C0"/>
    <w:rsid w:val="00C93205"/>
    <w:rsid w:val="00C93F75"/>
    <w:rsid w:val="00C945DC"/>
    <w:rsid w:val="00C96206"/>
    <w:rsid w:val="00CA3818"/>
    <w:rsid w:val="00CA629E"/>
    <w:rsid w:val="00CA7844"/>
    <w:rsid w:val="00CB27C1"/>
    <w:rsid w:val="00CB4A0E"/>
    <w:rsid w:val="00CB58EF"/>
    <w:rsid w:val="00CC12B3"/>
    <w:rsid w:val="00CC2191"/>
    <w:rsid w:val="00CC56F0"/>
    <w:rsid w:val="00CC5C94"/>
    <w:rsid w:val="00CC739A"/>
    <w:rsid w:val="00CC7EC4"/>
    <w:rsid w:val="00CD31A9"/>
    <w:rsid w:val="00CD362C"/>
    <w:rsid w:val="00CD5A5F"/>
    <w:rsid w:val="00CD697E"/>
    <w:rsid w:val="00CD7E3B"/>
    <w:rsid w:val="00CE0A93"/>
    <w:rsid w:val="00CE2549"/>
    <w:rsid w:val="00CE3E1F"/>
    <w:rsid w:val="00CE4887"/>
    <w:rsid w:val="00CF0BB2"/>
    <w:rsid w:val="00CF4568"/>
    <w:rsid w:val="00CF6BAC"/>
    <w:rsid w:val="00D0580C"/>
    <w:rsid w:val="00D10DDA"/>
    <w:rsid w:val="00D117A8"/>
    <w:rsid w:val="00D12B0D"/>
    <w:rsid w:val="00D13441"/>
    <w:rsid w:val="00D2201C"/>
    <w:rsid w:val="00D243A3"/>
    <w:rsid w:val="00D33440"/>
    <w:rsid w:val="00D34648"/>
    <w:rsid w:val="00D40D7D"/>
    <w:rsid w:val="00D41A60"/>
    <w:rsid w:val="00D50353"/>
    <w:rsid w:val="00D52EFE"/>
    <w:rsid w:val="00D55FCE"/>
    <w:rsid w:val="00D56A0D"/>
    <w:rsid w:val="00D60FDA"/>
    <w:rsid w:val="00D61E12"/>
    <w:rsid w:val="00D6330B"/>
    <w:rsid w:val="00D63EF6"/>
    <w:rsid w:val="00D66518"/>
    <w:rsid w:val="00D70B38"/>
    <w:rsid w:val="00D70DFB"/>
    <w:rsid w:val="00D71EEA"/>
    <w:rsid w:val="00D72F34"/>
    <w:rsid w:val="00D735CD"/>
    <w:rsid w:val="00D749CF"/>
    <w:rsid w:val="00D766DF"/>
    <w:rsid w:val="00D80CC7"/>
    <w:rsid w:val="00D84599"/>
    <w:rsid w:val="00D85641"/>
    <w:rsid w:val="00D85D2E"/>
    <w:rsid w:val="00D90841"/>
    <w:rsid w:val="00D96B59"/>
    <w:rsid w:val="00DA2439"/>
    <w:rsid w:val="00DA5F95"/>
    <w:rsid w:val="00DA6F05"/>
    <w:rsid w:val="00DA721E"/>
    <w:rsid w:val="00DB64FC"/>
    <w:rsid w:val="00DC1BC1"/>
    <w:rsid w:val="00DC2D8F"/>
    <w:rsid w:val="00DC33D4"/>
    <w:rsid w:val="00DC387A"/>
    <w:rsid w:val="00DD7901"/>
    <w:rsid w:val="00DD7D5A"/>
    <w:rsid w:val="00DE149E"/>
    <w:rsid w:val="00DF5547"/>
    <w:rsid w:val="00DF7F1E"/>
    <w:rsid w:val="00E034DB"/>
    <w:rsid w:val="00E05704"/>
    <w:rsid w:val="00E060EE"/>
    <w:rsid w:val="00E1241A"/>
    <w:rsid w:val="00E12F1A"/>
    <w:rsid w:val="00E12FFA"/>
    <w:rsid w:val="00E15BDF"/>
    <w:rsid w:val="00E21407"/>
    <w:rsid w:val="00E21C26"/>
    <w:rsid w:val="00E22935"/>
    <w:rsid w:val="00E23F53"/>
    <w:rsid w:val="00E25D06"/>
    <w:rsid w:val="00E27E8C"/>
    <w:rsid w:val="00E307C9"/>
    <w:rsid w:val="00E3115B"/>
    <w:rsid w:val="00E313C1"/>
    <w:rsid w:val="00E3654E"/>
    <w:rsid w:val="00E43B87"/>
    <w:rsid w:val="00E459EC"/>
    <w:rsid w:val="00E529D6"/>
    <w:rsid w:val="00E5310E"/>
    <w:rsid w:val="00E54292"/>
    <w:rsid w:val="00E60191"/>
    <w:rsid w:val="00E64AC7"/>
    <w:rsid w:val="00E67259"/>
    <w:rsid w:val="00E74DC7"/>
    <w:rsid w:val="00E81DDC"/>
    <w:rsid w:val="00E8253B"/>
    <w:rsid w:val="00E8565F"/>
    <w:rsid w:val="00E87699"/>
    <w:rsid w:val="00E92E27"/>
    <w:rsid w:val="00E92F73"/>
    <w:rsid w:val="00E9586B"/>
    <w:rsid w:val="00E96A83"/>
    <w:rsid w:val="00E97334"/>
    <w:rsid w:val="00EA15E3"/>
    <w:rsid w:val="00EA473B"/>
    <w:rsid w:val="00EA4C89"/>
    <w:rsid w:val="00EA5D99"/>
    <w:rsid w:val="00EA6ABF"/>
    <w:rsid w:val="00EB1356"/>
    <w:rsid w:val="00EB3A99"/>
    <w:rsid w:val="00EB65F8"/>
    <w:rsid w:val="00EB6FA2"/>
    <w:rsid w:val="00EC12A6"/>
    <w:rsid w:val="00EC4EE9"/>
    <w:rsid w:val="00ED17CA"/>
    <w:rsid w:val="00ED4928"/>
    <w:rsid w:val="00ED7D46"/>
    <w:rsid w:val="00EE3855"/>
    <w:rsid w:val="00EE3FFE"/>
    <w:rsid w:val="00EE57E8"/>
    <w:rsid w:val="00EE6190"/>
    <w:rsid w:val="00EE74A8"/>
    <w:rsid w:val="00EF0202"/>
    <w:rsid w:val="00EF2E3A"/>
    <w:rsid w:val="00EF6402"/>
    <w:rsid w:val="00EF65CF"/>
    <w:rsid w:val="00F01CC6"/>
    <w:rsid w:val="00F029F4"/>
    <w:rsid w:val="00F047E2"/>
    <w:rsid w:val="00F04D57"/>
    <w:rsid w:val="00F04FD2"/>
    <w:rsid w:val="00F06EFF"/>
    <w:rsid w:val="00F078DC"/>
    <w:rsid w:val="00F13E86"/>
    <w:rsid w:val="00F20B02"/>
    <w:rsid w:val="00F20B52"/>
    <w:rsid w:val="00F2312E"/>
    <w:rsid w:val="00F26622"/>
    <w:rsid w:val="00F2664E"/>
    <w:rsid w:val="00F3068D"/>
    <w:rsid w:val="00F32FCB"/>
    <w:rsid w:val="00F33523"/>
    <w:rsid w:val="00F33E19"/>
    <w:rsid w:val="00F34523"/>
    <w:rsid w:val="00F42CB0"/>
    <w:rsid w:val="00F4549E"/>
    <w:rsid w:val="00F548F1"/>
    <w:rsid w:val="00F60E4B"/>
    <w:rsid w:val="00F677A9"/>
    <w:rsid w:val="00F77D3A"/>
    <w:rsid w:val="00F8121C"/>
    <w:rsid w:val="00F81924"/>
    <w:rsid w:val="00F84CF5"/>
    <w:rsid w:val="00F8612E"/>
    <w:rsid w:val="00F92468"/>
    <w:rsid w:val="00F93B8A"/>
    <w:rsid w:val="00F94583"/>
    <w:rsid w:val="00FA3EEC"/>
    <w:rsid w:val="00FA420B"/>
    <w:rsid w:val="00FA6635"/>
    <w:rsid w:val="00FB6AEE"/>
    <w:rsid w:val="00FC3EAC"/>
    <w:rsid w:val="00FC56ED"/>
    <w:rsid w:val="00FC735E"/>
    <w:rsid w:val="00FC7E8D"/>
    <w:rsid w:val="00FD2A81"/>
    <w:rsid w:val="00FD5817"/>
    <w:rsid w:val="00FD6876"/>
    <w:rsid w:val="00FE0AA1"/>
    <w:rsid w:val="00FE1DFD"/>
    <w:rsid w:val="00FE1E88"/>
    <w:rsid w:val="00FE3D26"/>
    <w:rsid w:val="00FF39DE"/>
    <w:rsid w:val="1CDCC819"/>
    <w:rsid w:val="4630D42D"/>
    <w:rsid w:val="60196EC1"/>
    <w:rsid w:val="66E4073F"/>
    <w:rsid w:val="7BAE8A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1DA4B"/>
  <w15:docId w15:val="{175E4768-7082-44CB-87A0-D5BD41E85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link w:val="ItemHeadChar"/>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unhideWhenUsed/>
    <w:rsid w:val="00B94A36"/>
    <w:rPr>
      <w:sz w:val="16"/>
      <w:szCs w:val="16"/>
    </w:rPr>
  </w:style>
  <w:style w:type="paragraph" w:styleId="CommentText">
    <w:name w:val="annotation text"/>
    <w:basedOn w:val="Normal"/>
    <w:link w:val="CommentTextChar"/>
    <w:uiPriority w:val="99"/>
    <w:unhideWhenUsed/>
    <w:rsid w:val="00B94A36"/>
    <w:pPr>
      <w:spacing w:line="240" w:lineRule="auto"/>
    </w:pPr>
    <w:rPr>
      <w:sz w:val="20"/>
    </w:rPr>
  </w:style>
  <w:style w:type="character" w:customStyle="1" w:styleId="CommentTextChar">
    <w:name w:val="Comment Text Char"/>
    <w:basedOn w:val="DefaultParagraphFont"/>
    <w:link w:val="CommentText"/>
    <w:uiPriority w:val="99"/>
    <w:rsid w:val="00B94A36"/>
  </w:style>
  <w:style w:type="paragraph" w:styleId="CommentSubject">
    <w:name w:val="annotation subject"/>
    <w:basedOn w:val="CommentText"/>
    <w:next w:val="CommentText"/>
    <w:link w:val="CommentSubjectChar"/>
    <w:uiPriority w:val="99"/>
    <w:semiHidden/>
    <w:unhideWhenUsed/>
    <w:rsid w:val="00B94A36"/>
    <w:rPr>
      <w:b/>
      <w:bCs/>
    </w:rPr>
  </w:style>
  <w:style w:type="character" w:customStyle="1" w:styleId="CommentSubjectChar">
    <w:name w:val="Comment Subject Char"/>
    <w:basedOn w:val="CommentTextChar"/>
    <w:link w:val="CommentSubject"/>
    <w:uiPriority w:val="99"/>
    <w:semiHidden/>
    <w:rsid w:val="00B94A36"/>
    <w:rPr>
      <w:b/>
      <w:bCs/>
    </w:rPr>
  </w:style>
  <w:style w:type="paragraph" w:styleId="ListParagraph">
    <w:name w:val="List Paragraph"/>
    <w:basedOn w:val="Normal"/>
    <w:uiPriority w:val="34"/>
    <w:qFormat/>
    <w:rsid w:val="008A5B34"/>
    <w:pPr>
      <w:spacing w:before="100" w:beforeAutospacing="1" w:after="100" w:afterAutospacing="1" w:line="240" w:lineRule="auto"/>
    </w:pPr>
    <w:rPr>
      <w:rFonts w:eastAsia="Times New Roman" w:cs="Times New Roman"/>
      <w:sz w:val="24"/>
      <w:szCs w:val="24"/>
      <w:lang w:eastAsia="en-AU"/>
    </w:rPr>
  </w:style>
  <w:style w:type="paragraph" w:styleId="Revision">
    <w:name w:val="Revision"/>
    <w:hidden/>
    <w:uiPriority w:val="99"/>
    <w:semiHidden/>
    <w:rsid w:val="002F4C76"/>
    <w:rPr>
      <w:sz w:val="22"/>
    </w:rPr>
  </w:style>
  <w:style w:type="character" w:customStyle="1" w:styleId="TabletextChar">
    <w:name w:val="Tabletext Char"/>
    <w:aliases w:val="tt Char"/>
    <w:basedOn w:val="DefaultParagraphFont"/>
    <w:link w:val="Tabletext"/>
    <w:rsid w:val="00790B57"/>
    <w:rPr>
      <w:rFonts w:eastAsia="Times New Roman" w:cs="Times New Roman"/>
      <w:lang w:eastAsia="en-AU"/>
    </w:rPr>
  </w:style>
  <w:style w:type="character" w:customStyle="1" w:styleId="ItemHeadChar">
    <w:name w:val="ItemHead Char"/>
    <w:aliases w:val="ih Char"/>
    <w:link w:val="ItemHead"/>
    <w:rsid w:val="00790B57"/>
    <w:rPr>
      <w:rFonts w:ascii="Arial" w:eastAsia="Times New Roman" w:hAnsi="Arial" w:cs="Times New Roman"/>
      <w:b/>
      <w:kern w:val="28"/>
      <w:sz w:val="24"/>
      <w:lang w:eastAsia="en-AU"/>
    </w:rPr>
  </w:style>
  <w:style w:type="character" w:customStyle="1" w:styleId="paragraphChar">
    <w:name w:val="paragraph Char"/>
    <w:aliases w:val="a Char"/>
    <w:link w:val="paragraph"/>
    <w:locked/>
    <w:rsid w:val="00CF6BAC"/>
    <w:rPr>
      <w:rFonts w:eastAsia="Times New Roman" w:cs="Times New Roman"/>
      <w:sz w:val="22"/>
      <w:lang w:eastAsia="en-AU"/>
    </w:rPr>
  </w:style>
  <w:style w:type="character" w:customStyle="1" w:styleId="charsectno0">
    <w:name w:val="charsectno"/>
    <w:basedOn w:val="DefaultParagraphFont"/>
    <w:rsid w:val="00373930"/>
  </w:style>
  <w:style w:type="paragraph" w:styleId="NormalWeb">
    <w:name w:val="Normal (Web)"/>
    <w:basedOn w:val="Normal"/>
    <w:uiPriority w:val="99"/>
    <w:unhideWhenUsed/>
    <w:rsid w:val="00D85641"/>
    <w:pPr>
      <w:spacing w:before="100" w:beforeAutospacing="1" w:after="100" w:afterAutospacing="1" w:line="240" w:lineRule="auto"/>
    </w:pPr>
    <w:rPr>
      <w:rFonts w:eastAsia="Times New Roman" w:cs="Times New Roman"/>
      <w:sz w:val="24"/>
      <w:szCs w:val="24"/>
      <w:lang w:eastAsia="en-AU"/>
    </w:rPr>
  </w:style>
  <w:style w:type="character" w:customStyle="1" w:styleId="ActHead5Char">
    <w:name w:val="ActHead 5 Char"/>
    <w:aliases w:val="s Char"/>
    <w:link w:val="ActHead5"/>
    <w:rsid w:val="00EB6FA2"/>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1720">
      <w:bodyDiv w:val="1"/>
      <w:marLeft w:val="0"/>
      <w:marRight w:val="0"/>
      <w:marTop w:val="0"/>
      <w:marBottom w:val="0"/>
      <w:divBdr>
        <w:top w:val="none" w:sz="0" w:space="0" w:color="auto"/>
        <w:left w:val="none" w:sz="0" w:space="0" w:color="auto"/>
        <w:bottom w:val="none" w:sz="0" w:space="0" w:color="auto"/>
        <w:right w:val="none" w:sz="0" w:space="0" w:color="auto"/>
      </w:divBdr>
    </w:div>
    <w:div w:id="49765600">
      <w:bodyDiv w:val="1"/>
      <w:marLeft w:val="0"/>
      <w:marRight w:val="0"/>
      <w:marTop w:val="0"/>
      <w:marBottom w:val="0"/>
      <w:divBdr>
        <w:top w:val="none" w:sz="0" w:space="0" w:color="auto"/>
        <w:left w:val="none" w:sz="0" w:space="0" w:color="auto"/>
        <w:bottom w:val="none" w:sz="0" w:space="0" w:color="auto"/>
        <w:right w:val="none" w:sz="0" w:space="0" w:color="auto"/>
      </w:divBdr>
    </w:div>
    <w:div w:id="121004800">
      <w:bodyDiv w:val="1"/>
      <w:marLeft w:val="0"/>
      <w:marRight w:val="0"/>
      <w:marTop w:val="0"/>
      <w:marBottom w:val="0"/>
      <w:divBdr>
        <w:top w:val="none" w:sz="0" w:space="0" w:color="auto"/>
        <w:left w:val="none" w:sz="0" w:space="0" w:color="auto"/>
        <w:bottom w:val="none" w:sz="0" w:space="0" w:color="auto"/>
        <w:right w:val="none" w:sz="0" w:space="0" w:color="auto"/>
      </w:divBdr>
    </w:div>
    <w:div w:id="473566431">
      <w:bodyDiv w:val="1"/>
      <w:marLeft w:val="0"/>
      <w:marRight w:val="0"/>
      <w:marTop w:val="0"/>
      <w:marBottom w:val="0"/>
      <w:divBdr>
        <w:top w:val="none" w:sz="0" w:space="0" w:color="auto"/>
        <w:left w:val="none" w:sz="0" w:space="0" w:color="auto"/>
        <w:bottom w:val="none" w:sz="0" w:space="0" w:color="auto"/>
        <w:right w:val="none" w:sz="0" w:space="0" w:color="auto"/>
      </w:divBdr>
    </w:div>
    <w:div w:id="503083344">
      <w:bodyDiv w:val="1"/>
      <w:marLeft w:val="0"/>
      <w:marRight w:val="0"/>
      <w:marTop w:val="0"/>
      <w:marBottom w:val="0"/>
      <w:divBdr>
        <w:top w:val="none" w:sz="0" w:space="0" w:color="auto"/>
        <w:left w:val="none" w:sz="0" w:space="0" w:color="auto"/>
        <w:bottom w:val="none" w:sz="0" w:space="0" w:color="auto"/>
        <w:right w:val="none" w:sz="0" w:space="0" w:color="auto"/>
      </w:divBdr>
    </w:div>
    <w:div w:id="618225582">
      <w:bodyDiv w:val="1"/>
      <w:marLeft w:val="0"/>
      <w:marRight w:val="0"/>
      <w:marTop w:val="0"/>
      <w:marBottom w:val="0"/>
      <w:divBdr>
        <w:top w:val="none" w:sz="0" w:space="0" w:color="auto"/>
        <w:left w:val="none" w:sz="0" w:space="0" w:color="auto"/>
        <w:bottom w:val="none" w:sz="0" w:space="0" w:color="auto"/>
        <w:right w:val="none" w:sz="0" w:space="0" w:color="auto"/>
      </w:divBdr>
    </w:div>
    <w:div w:id="700210080">
      <w:bodyDiv w:val="1"/>
      <w:marLeft w:val="0"/>
      <w:marRight w:val="0"/>
      <w:marTop w:val="0"/>
      <w:marBottom w:val="0"/>
      <w:divBdr>
        <w:top w:val="none" w:sz="0" w:space="0" w:color="auto"/>
        <w:left w:val="none" w:sz="0" w:space="0" w:color="auto"/>
        <w:bottom w:val="none" w:sz="0" w:space="0" w:color="auto"/>
        <w:right w:val="none" w:sz="0" w:space="0" w:color="auto"/>
      </w:divBdr>
    </w:div>
    <w:div w:id="779103150">
      <w:bodyDiv w:val="1"/>
      <w:marLeft w:val="0"/>
      <w:marRight w:val="0"/>
      <w:marTop w:val="0"/>
      <w:marBottom w:val="0"/>
      <w:divBdr>
        <w:top w:val="none" w:sz="0" w:space="0" w:color="auto"/>
        <w:left w:val="none" w:sz="0" w:space="0" w:color="auto"/>
        <w:bottom w:val="none" w:sz="0" w:space="0" w:color="auto"/>
        <w:right w:val="none" w:sz="0" w:space="0" w:color="auto"/>
      </w:divBdr>
    </w:div>
    <w:div w:id="833689461">
      <w:bodyDiv w:val="1"/>
      <w:marLeft w:val="0"/>
      <w:marRight w:val="0"/>
      <w:marTop w:val="0"/>
      <w:marBottom w:val="0"/>
      <w:divBdr>
        <w:top w:val="none" w:sz="0" w:space="0" w:color="auto"/>
        <w:left w:val="none" w:sz="0" w:space="0" w:color="auto"/>
        <w:bottom w:val="none" w:sz="0" w:space="0" w:color="auto"/>
        <w:right w:val="none" w:sz="0" w:space="0" w:color="auto"/>
      </w:divBdr>
    </w:div>
    <w:div w:id="996762241">
      <w:bodyDiv w:val="1"/>
      <w:marLeft w:val="0"/>
      <w:marRight w:val="0"/>
      <w:marTop w:val="0"/>
      <w:marBottom w:val="0"/>
      <w:divBdr>
        <w:top w:val="none" w:sz="0" w:space="0" w:color="auto"/>
        <w:left w:val="none" w:sz="0" w:space="0" w:color="auto"/>
        <w:bottom w:val="none" w:sz="0" w:space="0" w:color="auto"/>
        <w:right w:val="none" w:sz="0" w:space="0" w:color="auto"/>
      </w:divBdr>
    </w:div>
    <w:div w:id="1590768136">
      <w:bodyDiv w:val="1"/>
      <w:marLeft w:val="0"/>
      <w:marRight w:val="0"/>
      <w:marTop w:val="0"/>
      <w:marBottom w:val="0"/>
      <w:divBdr>
        <w:top w:val="none" w:sz="0" w:space="0" w:color="auto"/>
        <w:left w:val="none" w:sz="0" w:space="0" w:color="auto"/>
        <w:bottom w:val="none" w:sz="0" w:space="0" w:color="auto"/>
        <w:right w:val="none" w:sz="0" w:space="0" w:color="auto"/>
      </w:divBdr>
    </w:div>
    <w:div w:id="1655526330">
      <w:bodyDiv w:val="1"/>
      <w:marLeft w:val="0"/>
      <w:marRight w:val="0"/>
      <w:marTop w:val="0"/>
      <w:marBottom w:val="0"/>
      <w:divBdr>
        <w:top w:val="none" w:sz="0" w:space="0" w:color="auto"/>
        <w:left w:val="none" w:sz="0" w:space="0" w:color="auto"/>
        <w:bottom w:val="none" w:sz="0" w:space="0" w:color="auto"/>
        <w:right w:val="none" w:sz="0" w:space="0" w:color="auto"/>
      </w:divBdr>
      <w:divsChild>
        <w:div w:id="1422797509">
          <w:marLeft w:val="357"/>
          <w:marRight w:val="0"/>
          <w:marTop w:val="120"/>
          <w:marBottom w:val="120"/>
          <w:divBdr>
            <w:top w:val="none" w:sz="0" w:space="0" w:color="auto"/>
            <w:left w:val="none" w:sz="0" w:space="0" w:color="auto"/>
            <w:bottom w:val="none" w:sz="0" w:space="0" w:color="auto"/>
            <w:right w:val="none" w:sz="0" w:space="0" w:color="auto"/>
          </w:divBdr>
        </w:div>
      </w:divsChild>
    </w:div>
    <w:div w:id="185036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UKS\Downloads\template_-_amending_instrument%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7E2B2AF9C1494B97CB7613C9774B86" ma:contentTypeVersion="4" ma:contentTypeDescription="Create a new document." ma:contentTypeScope="" ma:versionID="ca218af1b6a7b2d2554f15b536ac87a3">
  <xsd:schema xmlns:xsd="http://www.w3.org/2001/XMLSchema" xmlns:xs="http://www.w3.org/2001/XMLSchema" xmlns:p="http://schemas.microsoft.com/office/2006/metadata/properties" xmlns:ns2="b65db86d-aea2-4648-9afe-f696b11d6ce9" targetNamespace="http://schemas.microsoft.com/office/2006/metadata/properties" ma:root="true" ma:fieldsID="ea3ad0852cbcc6870cff06f32f5b4e03" ns2:_="">
    <xsd:import namespace="b65db86d-aea2-4648-9afe-f696b11d6c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db86d-aea2-4648-9afe-f696b11d6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3F78C-48A2-47AD-9504-2402BCD112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9F9A94-1B51-4ED5-8381-C21D9221051A}">
  <ds:schemaRefs>
    <ds:schemaRef ds:uri="http://schemas.openxmlformats.org/officeDocument/2006/bibliography"/>
  </ds:schemaRefs>
</ds:datastoreItem>
</file>

<file path=customXml/itemProps3.xml><?xml version="1.0" encoding="utf-8"?>
<ds:datastoreItem xmlns:ds="http://schemas.openxmlformats.org/officeDocument/2006/customXml" ds:itemID="{1325C6E4-7A43-4F61-A24B-0577BA71BF4E}">
  <ds:schemaRefs>
    <ds:schemaRef ds:uri="http://schemas.microsoft.com/sharepoint/v3/contenttype/forms"/>
  </ds:schemaRefs>
</ds:datastoreItem>
</file>

<file path=customXml/itemProps4.xml><?xml version="1.0" encoding="utf-8"?>
<ds:datastoreItem xmlns:ds="http://schemas.openxmlformats.org/officeDocument/2006/customXml" ds:itemID="{C58F1E4D-0AC3-46B6-8EDF-EF1A90C10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db86d-aea2-4648-9afe-f696b11d6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template_-_amending_instrument (3).dotx</Template>
  <TotalTime>1</TotalTime>
  <Pages>13</Pages>
  <Words>2613</Words>
  <Characters>14900</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SHAUKI, Raina</dc:creator>
  <cp:keywords/>
  <cp:lastModifiedBy>VAN STEENSEL VAN DER AA, Annamiek</cp:lastModifiedBy>
  <cp:revision>2</cp:revision>
  <dcterms:created xsi:type="dcterms:W3CDTF">2025-05-27T01:21:00Z</dcterms:created>
  <dcterms:modified xsi:type="dcterms:W3CDTF">2025-05-27T01:21:00Z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0x010100AB7E2B2AF9C1494B97CB7613C9774B86</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