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39CCF055" w:rsidR="005E317F" w:rsidRPr="00DB736D" w:rsidRDefault="005E317F" w:rsidP="005E317F">
      <w:pPr>
        <w:rPr>
          <w:sz w:val="28"/>
        </w:rPr>
      </w:pPr>
      <w:r w:rsidRPr="00DB736D">
        <w:rPr>
          <w:noProof/>
          <w:lang w:eastAsia="en-AU"/>
        </w:rPr>
        <w:drawing>
          <wp:inline distT="0" distB="0" distL="0" distR="0" wp14:anchorId="2D2B6140" wp14:editId="743E98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04C1" w14:textId="77777777" w:rsidR="005E317F" w:rsidRPr="00DB736D" w:rsidRDefault="005E317F" w:rsidP="005E317F">
      <w:pPr>
        <w:rPr>
          <w:sz w:val="19"/>
        </w:rPr>
      </w:pPr>
    </w:p>
    <w:p w14:paraId="11D82666" w14:textId="2ED93266" w:rsidR="005E317F" w:rsidRPr="00DB736D" w:rsidRDefault="00BE4FF0" w:rsidP="005E317F">
      <w:pPr>
        <w:pStyle w:val="ShortT"/>
      </w:pPr>
      <w:bookmarkStart w:id="0" w:name="Determination_Title"/>
      <w:r w:rsidRPr="00DB736D">
        <w:t>Military Rehabilitation and Compensation (</w:t>
      </w:r>
      <w:r w:rsidR="00B54751" w:rsidRPr="00DB736D">
        <w:t>Non-w</w:t>
      </w:r>
      <w:r w:rsidRPr="00DB736D">
        <w:t xml:space="preserve">arlike Service) Amendment </w:t>
      </w:r>
      <w:r w:rsidR="00506A01" w:rsidRPr="00DB736D">
        <w:t>Determination</w:t>
      </w:r>
      <w:r w:rsidR="005E317F" w:rsidRPr="00DB736D">
        <w:t xml:space="preserve"> </w:t>
      </w:r>
      <w:r w:rsidR="00D71482">
        <w:t>(No. 1</w:t>
      </w:r>
      <w:r w:rsidR="00674DD1">
        <w:t xml:space="preserve">) </w:t>
      </w:r>
      <w:r w:rsidR="00506A01" w:rsidRPr="00DB736D">
        <w:t>20</w:t>
      </w:r>
      <w:r w:rsidR="006D6F90" w:rsidRPr="00DB736D">
        <w:t>2</w:t>
      </w:r>
      <w:bookmarkEnd w:id="0"/>
      <w:r w:rsidR="00674DD1">
        <w:t>5</w:t>
      </w:r>
    </w:p>
    <w:p w14:paraId="23104C7C" w14:textId="689A2C0C" w:rsidR="00BE4FF0" w:rsidRPr="00DB736D" w:rsidRDefault="00BE4FF0" w:rsidP="00BE4FF0">
      <w:pPr>
        <w:pStyle w:val="SignCoverPageStart"/>
        <w:spacing w:before="240"/>
        <w:ind w:right="91"/>
        <w:rPr>
          <w:i/>
          <w:szCs w:val="22"/>
        </w:rPr>
      </w:pPr>
      <w:r w:rsidRPr="00DB736D">
        <w:rPr>
          <w:szCs w:val="22"/>
        </w:rPr>
        <w:t xml:space="preserve">I, </w:t>
      </w:r>
      <w:r w:rsidR="00F27412">
        <w:rPr>
          <w:szCs w:val="22"/>
        </w:rPr>
        <w:t>Matt</w:t>
      </w:r>
      <w:r w:rsidR="002B4D12">
        <w:rPr>
          <w:szCs w:val="22"/>
        </w:rPr>
        <w:t>hew</w:t>
      </w:r>
      <w:r w:rsidR="00F27412">
        <w:rPr>
          <w:szCs w:val="22"/>
        </w:rPr>
        <w:t xml:space="preserve"> </w:t>
      </w:r>
      <w:r w:rsidR="007024BA">
        <w:rPr>
          <w:szCs w:val="22"/>
        </w:rPr>
        <w:t xml:space="preserve">James </w:t>
      </w:r>
      <w:r w:rsidR="00F27412">
        <w:rPr>
          <w:szCs w:val="22"/>
        </w:rPr>
        <w:t>Keogh</w:t>
      </w:r>
      <w:r w:rsidRPr="00DB736D">
        <w:rPr>
          <w:szCs w:val="22"/>
        </w:rPr>
        <w:t xml:space="preserve">, </w:t>
      </w:r>
      <w:r w:rsidR="00AC2206">
        <w:t>Minister for Veterans’</w:t>
      </w:r>
      <w:r w:rsidR="00C04CD6" w:rsidRPr="00DB736D">
        <w:t xml:space="preserve"> Affairs and </w:t>
      </w:r>
      <w:r w:rsidR="005A0A53" w:rsidRPr="00DB736D">
        <w:rPr>
          <w:szCs w:val="22"/>
        </w:rPr>
        <w:t>Minister for Defence Personnel</w:t>
      </w:r>
      <w:r w:rsidRPr="00DB736D">
        <w:rPr>
          <w:szCs w:val="22"/>
        </w:rPr>
        <w:t>, make the following determination under paragraph 6(1)(</w:t>
      </w:r>
      <w:r w:rsidR="00F27412">
        <w:rPr>
          <w:szCs w:val="22"/>
        </w:rPr>
        <w:t>b</w:t>
      </w:r>
      <w:r w:rsidRPr="00DB736D">
        <w:rPr>
          <w:szCs w:val="22"/>
        </w:rPr>
        <w:t xml:space="preserve">) of the </w:t>
      </w:r>
      <w:r w:rsidRPr="00DB736D">
        <w:rPr>
          <w:i/>
          <w:szCs w:val="22"/>
        </w:rPr>
        <w:t>Military Rehabilitation and Compensation Act 2004.</w:t>
      </w:r>
    </w:p>
    <w:p w14:paraId="1ACB6747" w14:textId="77777777" w:rsidR="00BE4FF0" w:rsidRPr="00DB736D" w:rsidRDefault="00BE4FF0" w:rsidP="00BE4FF0">
      <w:pPr>
        <w:rPr>
          <w:lang w:eastAsia="en-AU"/>
        </w:rPr>
      </w:pPr>
    </w:p>
    <w:p w14:paraId="0EA53BFE" w14:textId="4FD11EDC" w:rsidR="005E317F" w:rsidRPr="00DB736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B736D">
        <w:rPr>
          <w:szCs w:val="22"/>
        </w:rPr>
        <w:t>Dated</w:t>
      </w:r>
      <w:r w:rsidR="00F85AF9" w:rsidRPr="00DB736D">
        <w:rPr>
          <w:szCs w:val="22"/>
        </w:rPr>
        <w:t xml:space="preserve"> </w:t>
      </w:r>
      <w:r w:rsidR="003F4D78">
        <w:rPr>
          <w:szCs w:val="22"/>
        </w:rPr>
        <w:t xml:space="preserve">15 May </w:t>
      </w:r>
      <w:bookmarkStart w:id="1" w:name="_GoBack"/>
      <w:bookmarkEnd w:id="1"/>
      <w:r w:rsidR="006D6F90" w:rsidRPr="00DB736D">
        <w:rPr>
          <w:szCs w:val="22"/>
        </w:rPr>
        <w:t>202</w:t>
      </w:r>
      <w:r w:rsidR="00674DD1">
        <w:rPr>
          <w:szCs w:val="22"/>
        </w:rPr>
        <w:t>5</w:t>
      </w:r>
    </w:p>
    <w:p w14:paraId="73FB3871" w14:textId="52F2B153" w:rsidR="005E317F" w:rsidRPr="00DB736D" w:rsidRDefault="00F2741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Matt</w:t>
      </w:r>
      <w:r w:rsidR="002B4D12">
        <w:rPr>
          <w:szCs w:val="22"/>
        </w:rPr>
        <w:t>hew</w:t>
      </w:r>
      <w:r>
        <w:rPr>
          <w:szCs w:val="22"/>
        </w:rPr>
        <w:t xml:space="preserve"> </w:t>
      </w:r>
      <w:r w:rsidR="007024BA">
        <w:rPr>
          <w:szCs w:val="22"/>
        </w:rPr>
        <w:t xml:space="preserve">James </w:t>
      </w:r>
      <w:r>
        <w:rPr>
          <w:szCs w:val="22"/>
        </w:rPr>
        <w:t>Keogh</w:t>
      </w:r>
    </w:p>
    <w:p w14:paraId="624DBB66" w14:textId="608E5D4E" w:rsidR="005A0A53" w:rsidRPr="00DB736D" w:rsidRDefault="00AC2206" w:rsidP="005A0A53">
      <w:pPr>
        <w:pStyle w:val="SignCoverPageEnd"/>
        <w:ind w:right="91"/>
      </w:pPr>
      <w:r>
        <w:rPr>
          <w:sz w:val="22"/>
        </w:rPr>
        <w:t>Minister for Veterans’</w:t>
      </w:r>
      <w:r w:rsidR="005A0A53" w:rsidRPr="00DB736D">
        <w:rPr>
          <w:sz w:val="22"/>
        </w:rPr>
        <w:t xml:space="preserve"> Affairs and Minister for Defence Personnel</w:t>
      </w:r>
    </w:p>
    <w:p w14:paraId="34AE9577" w14:textId="77777777" w:rsidR="00B20990" w:rsidRPr="00DB736D" w:rsidRDefault="00B20990" w:rsidP="00B20990"/>
    <w:p w14:paraId="28A8C881" w14:textId="77777777" w:rsidR="00B20990" w:rsidRPr="00DB736D" w:rsidRDefault="00B20990" w:rsidP="00B20990">
      <w:pPr>
        <w:sectPr w:rsidR="00B20990" w:rsidRPr="00DB736D" w:rsidSect="00841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B736D" w:rsidRDefault="00B20990" w:rsidP="00B20990">
      <w:pPr>
        <w:outlineLvl w:val="0"/>
        <w:rPr>
          <w:sz w:val="36"/>
        </w:rPr>
      </w:pPr>
      <w:r w:rsidRPr="00DB736D">
        <w:rPr>
          <w:sz w:val="36"/>
        </w:rPr>
        <w:lastRenderedPageBreak/>
        <w:t>Contents</w:t>
      </w:r>
    </w:p>
    <w:bookmarkStart w:id="2" w:name="BKCheck15B_2"/>
    <w:bookmarkEnd w:id="2"/>
    <w:p w14:paraId="023541A7" w14:textId="0BA8F70E" w:rsidR="00324E87" w:rsidRPr="00DB736D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fldChar w:fldCharType="begin"/>
      </w:r>
      <w:r w:rsidRPr="00DB736D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DB736D">
        <w:fldChar w:fldCharType="separate"/>
      </w:r>
      <w:r w:rsidR="00324E87" w:rsidRPr="00DB736D">
        <w:rPr>
          <w:noProof/>
        </w:rPr>
        <w:t>1  Name</w:t>
      </w:r>
      <w:r w:rsidR="00324E87" w:rsidRPr="00DB736D">
        <w:rPr>
          <w:noProof/>
        </w:rPr>
        <w:tab/>
      </w:r>
      <w:r w:rsidR="00324E87" w:rsidRPr="00DB736D">
        <w:rPr>
          <w:noProof/>
        </w:rPr>
        <w:fldChar w:fldCharType="begin"/>
      </w:r>
      <w:r w:rsidR="00324E87" w:rsidRPr="00DB736D">
        <w:rPr>
          <w:noProof/>
        </w:rPr>
        <w:instrText xml:space="preserve"> PAGEREF _Toc95225093 \h </w:instrText>
      </w:r>
      <w:r w:rsidR="00324E87" w:rsidRPr="00DB736D">
        <w:rPr>
          <w:noProof/>
        </w:rPr>
      </w:r>
      <w:r w:rsidR="00324E87" w:rsidRPr="00DB736D">
        <w:rPr>
          <w:noProof/>
        </w:rPr>
        <w:fldChar w:fldCharType="separate"/>
      </w:r>
      <w:r w:rsidR="00324E87" w:rsidRPr="00DB736D">
        <w:rPr>
          <w:noProof/>
        </w:rPr>
        <w:t>1</w:t>
      </w:r>
      <w:r w:rsidR="00324E87" w:rsidRPr="00DB736D">
        <w:rPr>
          <w:noProof/>
        </w:rPr>
        <w:fldChar w:fldCharType="end"/>
      </w:r>
    </w:p>
    <w:p w14:paraId="5024641B" w14:textId="238EEA18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2  Commencement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_Toc95225094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1F2141BF" w14:textId="5E9F484F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3  Authority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_Toc95225095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59E3F003" w14:textId="2194AB0C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4  Schedules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_Toc95225096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187B82B3" w14:textId="07D572EB" w:rsidR="00324E87" w:rsidRPr="00DB736D" w:rsidRDefault="00324E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736D">
        <w:rPr>
          <w:noProof/>
        </w:rPr>
        <w:t>Schedule 1—Non-warlike Service amendment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_Toc95225097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2</w:t>
      </w:r>
      <w:r w:rsidRPr="00DB736D">
        <w:rPr>
          <w:noProof/>
        </w:rPr>
        <w:fldChar w:fldCharType="end"/>
      </w:r>
    </w:p>
    <w:p w14:paraId="5551DE2C" w14:textId="57BB3D4A" w:rsidR="00324E87" w:rsidRPr="00DB736D" w:rsidRDefault="00324E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736D">
        <w:rPr>
          <w:rFonts w:cs="Arial"/>
          <w:noProof/>
        </w:rPr>
        <w:t>Military Rehabilitation and Compensation (Non-warlike Service) Determination 2019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_Toc95225098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2</w:t>
      </w:r>
      <w:r w:rsidRPr="00DB736D">
        <w:rPr>
          <w:noProof/>
        </w:rPr>
        <w:fldChar w:fldCharType="end"/>
      </w:r>
    </w:p>
    <w:p w14:paraId="44846976" w14:textId="316B735B" w:rsidR="007259D6" w:rsidRPr="00DB736D" w:rsidRDefault="00FA083A" w:rsidP="007259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736D">
        <w:rPr>
          <w:sz w:val="18"/>
        </w:rPr>
        <w:fldChar w:fldCharType="end"/>
      </w:r>
    </w:p>
    <w:p w14:paraId="2E6536A0" w14:textId="32917AC6" w:rsidR="00B20990" w:rsidRPr="00DB736D" w:rsidRDefault="00B20990" w:rsidP="005E317F"/>
    <w:p w14:paraId="7BED752F" w14:textId="77777777" w:rsidR="00B20990" w:rsidRPr="00DB736D" w:rsidRDefault="00B20990" w:rsidP="00B20990"/>
    <w:p w14:paraId="5FB57CD7" w14:textId="77777777" w:rsidR="00B20990" w:rsidRPr="00DB736D" w:rsidRDefault="00B20990" w:rsidP="00B20990">
      <w:pPr>
        <w:sectPr w:rsidR="00B20990" w:rsidRPr="00DB736D" w:rsidSect="00B547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B736D" w:rsidRDefault="005E317F" w:rsidP="005E317F">
      <w:pPr>
        <w:pStyle w:val="ActHead5"/>
      </w:pPr>
      <w:bookmarkStart w:id="3" w:name="_Toc95225093"/>
      <w:proofErr w:type="gramStart"/>
      <w:r w:rsidRPr="00DB736D">
        <w:rPr>
          <w:rStyle w:val="CharSectno"/>
        </w:rPr>
        <w:lastRenderedPageBreak/>
        <w:t>1</w:t>
      </w:r>
      <w:r w:rsidRPr="00DB736D">
        <w:t xml:space="preserve">  Name</w:t>
      </w:r>
      <w:bookmarkEnd w:id="3"/>
      <w:proofErr w:type="gramEnd"/>
    </w:p>
    <w:p w14:paraId="1C3C73F2" w14:textId="32C8FB54" w:rsidR="00AF6E41" w:rsidRPr="00DB736D" w:rsidRDefault="005E317F" w:rsidP="007E3976">
      <w:pPr>
        <w:pStyle w:val="subsection"/>
        <w:ind w:firstLine="0"/>
      </w:pPr>
      <w:r w:rsidRPr="00DB736D">
        <w:t xml:space="preserve">This instrument is the </w:t>
      </w:r>
      <w:r w:rsidR="00BA0F45" w:rsidRPr="00DB736D">
        <w:rPr>
          <w:i/>
        </w:rPr>
        <w:fldChar w:fldCharType="begin"/>
      </w:r>
      <w:r w:rsidR="00BA0F45" w:rsidRPr="00DB736D">
        <w:rPr>
          <w:i/>
        </w:rPr>
        <w:instrText xml:space="preserve"> STYLEREF  ShortT </w:instrText>
      </w:r>
      <w:r w:rsidR="00BA0F45" w:rsidRPr="00DB736D">
        <w:rPr>
          <w:i/>
        </w:rPr>
        <w:fldChar w:fldCharType="separate"/>
      </w:r>
      <w:r w:rsidR="00D71482">
        <w:rPr>
          <w:i/>
          <w:noProof/>
        </w:rPr>
        <w:t>Military Rehabilitation and Compensation (Non-warlike Service) Amendment Determination (No. 1) 2025</w:t>
      </w:r>
      <w:r w:rsidR="00BA0F45" w:rsidRPr="00DB736D">
        <w:rPr>
          <w:i/>
        </w:rPr>
        <w:fldChar w:fldCharType="end"/>
      </w:r>
      <w:r w:rsidR="00BA0F45" w:rsidRPr="00DB736D">
        <w:rPr>
          <w:i/>
        </w:rPr>
        <w:t>.</w:t>
      </w:r>
    </w:p>
    <w:p w14:paraId="43B3511C" w14:textId="4B94CCDD" w:rsidR="005E317F" w:rsidRPr="00DB736D" w:rsidRDefault="005E317F" w:rsidP="001A5B3A">
      <w:pPr>
        <w:pStyle w:val="ActHead5"/>
        <w:spacing w:after="200"/>
      </w:pPr>
      <w:bookmarkStart w:id="4" w:name="_Toc95225094"/>
      <w:proofErr w:type="gramStart"/>
      <w:r w:rsidRPr="00DB736D">
        <w:rPr>
          <w:rStyle w:val="CharSectno"/>
        </w:rPr>
        <w:t>2</w:t>
      </w:r>
      <w:r w:rsidRPr="00DB736D">
        <w:t xml:space="preserve">  Commencement</w:t>
      </w:r>
      <w:bookmarkEnd w:id="4"/>
      <w:proofErr w:type="gramEnd"/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1A5B3A" w:rsidRPr="00DB736D" w14:paraId="5DE4B77A" w14:textId="77777777" w:rsidTr="001A5B3A">
        <w:tc>
          <w:tcPr>
            <w:tcW w:w="992" w:type="dxa"/>
            <w:hideMark/>
          </w:tcPr>
          <w:p w14:paraId="7B39D91D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bookmarkStart w:id="5" w:name="_Toc95225095"/>
            <w:r w:rsidRPr="00DB736D">
              <w:rPr>
                <w:rFonts w:ascii="Times New Roman" w:hAnsi="Times New Roman"/>
                <w:sz w:val="22"/>
                <w:lang w:eastAsia="en-US"/>
              </w:rPr>
              <w:t>1.</w:t>
            </w:r>
          </w:p>
        </w:tc>
        <w:tc>
          <w:tcPr>
            <w:tcW w:w="8367" w:type="dxa"/>
            <w:hideMark/>
          </w:tcPr>
          <w:p w14:paraId="754B1EAD" w14:textId="77777777" w:rsidR="001A5B3A" w:rsidRPr="00DB736D" w:rsidRDefault="001A5B3A">
            <w:pPr>
              <w:pStyle w:val="Sectiontext"/>
              <w:rPr>
                <w:rFonts w:ascii="Times New Roman" w:hAnsi="Times New Roman"/>
                <w:sz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lang w:eastAsia="en-US"/>
              </w:rPr>
              <w:t>Each provision of this instrument specified in column 1 of the table commences, or is taken to have commenced, in accordance with column 2 of the table. Any other statement in column 2 has effect according to its terms.</w:t>
            </w:r>
          </w:p>
        </w:tc>
      </w:tr>
    </w:tbl>
    <w:p w14:paraId="2A5F9B10" w14:textId="77777777" w:rsidR="001A5B3A" w:rsidRPr="00DB736D" w:rsidRDefault="001A5B3A" w:rsidP="001A5B3A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5036"/>
        <w:gridCol w:w="1978"/>
      </w:tblGrid>
      <w:tr w:rsidR="001A5B3A" w:rsidRPr="00DB736D" w14:paraId="30D1A221" w14:textId="77777777" w:rsidTr="001A5B3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CC833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Commencement information</w:t>
            </w:r>
          </w:p>
        </w:tc>
      </w:tr>
      <w:tr w:rsidR="001A5B3A" w:rsidRPr="00DB736D" w14:paraId="5AE58CCB" w14:textId="77777777" w:rsidTr="001A5B3A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458FB8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8A78DD8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F93EA9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3</w:t>
            </w:r>
          </w:p>
        </w:tc>
      </w:tr>
      <w:tr w:rsidR="001A5B3A" w:rsidRPr="00DB736D" w14:paraId="1E293264" w14:textId="77777777" w:rsidTr="000B7D94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35738D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2B6113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F37E3C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Date/Details</w:t>
            </w:r>
          </w:p>
        </w:tc>
      </w:tr>
      <w:tr w:rsidR="001A5B3A" w:rsidRPr="00DB736D" w14:paraId="30073F5B" w14:textId="77777777" w:rsidTr="000B7D94">
        <w:tc>
          <w:tcPr>
            <w:tcW w:w="1166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7EE0B3" w14:textId="38BD4171" w:rsidR="001A5B3A" w:rsidRPr="00DB736D" w:rsidRDefault="001A5B3A" w:rsidP="001A5B3A">
            <w:pPr>
              <w:spacing w:before="60" w:line="240" w:lineRule="atLeast"/>
              <w:rPr>
                <w:szCs w:val="22"/>
              </w:rPr>
            </w:pPr>
            <w:r w:rsidRPr="00DB736D">
              <w:rPr>
                <w:szCs w:val="22"/>
              </w:rPr>
              <w:t>1. The whole of this instrument</w:t>
            </w:r>
          </w:p>
        </w:tc>
        <w:tc>
          <w:tcPr>
            <w:tcW w:w="2753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7EF99B" w14:textId="0A832FC3" w:rsidR="001A5B3A" w:rsidRPr="00DB736D" w:rsidRDefault="001A5B3A">
            <w:pPr>
              <w:spacing w:before="60" w:line="240" w:lineRule="atLeast"/>
              <w:rPr>
                <w:szCs w:val="22"/>
              </w:rPr>
            </w:pPr>
            <w:r w:rsidRPr="00DB736D">
              <w:rPr>
                <w:szCs w:val="22"/>
              </w:rPr>
              <w:t>The day after this instrument is registered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3AB38E" w14:textId="77777777" w:rsidR="001A5B3A" w:rsidRPr="00DB736D" w:rsidRDefault="001A5B3A">
            <w:pPr>
              <w:rPr>
                <w:szCs w:val="22"/>
              </w:rPr>
            </w:pPr>
          </w:p>
        </w:tc>
      </w:tr>
    </w:tbl>
    <w:p w14:paraId="150468EE" w14:textId="77777777" w:rsidR="001A5B3A" w:rsidRPr="00DB736D" w:rsidRDefault="001A5B3A" w:rsidP="001A5B3A">
      <w:pPr>
        <w:pStyle w:val="ActHead5"/>
        <w:spacing w:before="60"/>
        <w:rPr>
          <w:rStyle w:val="CharSectno"/>
        </w:rPr>
      </w:pPr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1A5B3A" w:rsidRPr="00DB736D" w14:paraId="1B215B44" w14:textId="77777777" w:rsidTr="001A5B3A">
        <w:tc>
          <w:tcPr>
            <w:tcW w:w="992" w:type="dxa"/>
          </w:tcPr>
          <w:p w14:paraId="653A23E9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67" w:type="dxa"/>
            <w:hideMark/>
          </w:tcPr>
          <w:p w14:paraId="02809D5B" w14:textId="753F5567" w:rsidR="001A5B3A" w:rsidRPr="00DB736D" w:rsidRDefault="001A5B3A">
            <w:pPr>
              <w:pStyle w:val="Sectiontext"/>
              <w:rPr>
                <w:rFonts w:ascii="Times New Roman" w:hAnsi="Times New Roman"/>
                <w:lang w:eastAsia="en-US"/>
              </w:rPr>
            </w:pPr>
            <w:r w:rsidRPr="00DB736D">
              <w:rPr>
                <w:rFonts w:ascii="Times New Roman" w:hAnsi="Times New Roman"/>
                <w:b/>
                <w:lang w:eastAsia="en-US"/>
              </w:rPr>
              <w:t xml:space="preserve">Note: </w:t>
            </w:r>
            <w:r w:rsidR="00482E48" w:rsidRPr="00DB736D">
              <w:rPr>
                <w:rFonts w:ascii="Times New Roman" w:hAnsi="Times New Roman"/>
                <w:lang w:eastAsia="en-US"/>
              </w:rPr>
              <w:t>T</w:t>
            </w:r>
            <w:r w:rsidRPr="00DB736D">
              <w:rPr>
                <w:rFonts w:ascii="Times New Roman" w:hAnsi="Times New Roman"/>
                <w:lang w:eastAsia="en-US"/>
              </w:rPr>
              <w:t xml:space="preserve">his table relates only to the provisions of this instrument as originally made. It will not be amended to deal with any later amendments of this instrument. </w:t>
            </w:r>
          </w:p>
        </w:tc>
      </w:tr>
      <w:tr w:rsidR="001A5B3A" w:rsidRPr="00DB736D" w14:paraId="61D6BE03" w14:textId="77777777" w:rsidTr="001A5B3A">
        <w:tc>
          <w:tcPr>
            <w:tcW w:w="992" w:type="dxa"/>
            <w:hideMark/>
          </w:tcPr>
          <w:p w14:paraId="69B703D0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7" w:type="dxa"/>
            <w:hideMark/>
          </w:tcPr>
          <w:p w14:paraId="2D1A37AD" w14:textId="77777777" w:rsidR="001A5B3A" w:rsidRPr="00DB736D" w:rsidRDefault="001A5B3A">
            <w:pPr>
              <w:pStyle w:val="Sectiontex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Any information in column 3 of the table is not part of this instrument. Information may be inserted in this column, or information in it may be edited, in any published version of this instrument. </w:t>
            </w:r>
          </w:p>
        </w:tc>
      </w:tr>
    </w:tbl>
    <w:p w14:paraId="4E5B2E5E" w14:textId="7F6BE6F5" w:rsidR="005E317F" w:rsidRPr="00DB736D" w:rsidRDefault="005E317F" w:rsidP="005E317F">
      <w:pPr>
        <w:pStyle w:val="ActHead5"/>
      </w:pPr>
      <w:proofErr w:type="gramStart"/>
      <w:r w:rsidRPr="00DB736D">
        <w:rPr>
          <w:rStyle w:val="CharSectno"/>
        </w:rPr>
        <w:t>3</w:t>
      </w:r>
      <w:r w:rsidRPr="00DB736D">
        <w:t xml:space="preserve">  Authority</w:t>
      </w:r>
      <w:bookmarkEnd w:id="5"/>
      <w:proofErr w:type="gramEnd"/>
    </w:p>
    <w:p w14:paraId="13A84A51" w14:textId="52D0447D" w:rsidR="00153734" w:rsidRPr="00DB736D" w:rsidRDefault="00153734" w:rsidP="00153734">
      <w:pPr>
        <w:pStyle w:val="subsection"/>
      </w:pPr>
      <w:r w:rsidRPr="00DB736D">
        <w:tab/>
      </w:r>
      <w:r w:rsidRPr="00DB736D">
        <w:tab/>
      </w:r>
      <w:r w:rsidR="005E317F" w:rsidRPr="00DB736D">
        <w:t>This instrument is made under</w:t>
      </w:r>
      <w:r w:rsidRPr="00DB736D">
        <w:t xml:space="preserve"> paragraph 6(1)(</w:t>
      </w:r>
      <w:r w:rsidR="00A562DD" w:rsidRPr="00DB736D">
        <w:t>b</w:t>
      </w:r>
      <w:r w:rsidRPr="00DB736D">
        <w:t xml:space="preserve">) of the </w:t>
      </w:r>
      <w:r w:rsidRPr="00DB736D">
        <w:rPr>
          <w:i/>
        </w:rPr>
        <w:t>Military Rehabilitation and Compensation Act 2004</w:t>
      </w:r>
      <w:r w:rsidRPr="00DB736D">
        <w:rPr>
          <w:i/>
          <w:szCs w:val="22"/>
        </w:rPr>
        <w:t>.</w:t>
      </w:r>
    </w:p>
    <w:p w14:paraId="1B7B92AA" w14:textId="4D6DF93C" w:rsidR="005E317F" w:rsidRPr="00DB736D" w:rsidRDefault="005E317F" w:rsidP="005E317F">
      <w:pPr>
        <w:pStyle w:val="ActHead5"/>
      </w:pPr>
      <w:bookmarkStart w:id="6" w:name="_Toc95225096"/>
      <w:proofErr w:type="gramStart"/>
      <w:r w:rsidRPr="00DB736D">
        <w:t>4  Schedules</w:t>
      </w:r>
      <w:bookmarkEnd w:id="6"/>
      <w:proofErr w:type="gramEnd"/>
    </w:p>
    <w:p w14:paraId="4DC10822" w14:textId="3523F89E" w:rsidR="007E3976" w:rsidRPr="00DB736D" w:rsidRDefault="005E317F" w:rsidP="007E3976">
      <w:pPr>
        <w:pStyle w:val="subsection"/>
        <w:ind w:firstLine="0"/>
      </w:pPr>
      <w:r w:rsidRPr="00DB736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86803" w14:textId="52D964D7" w:rsidR="005E317F" w:rsidRPr="00DB736D" w:rsidRDefault="005E317F" w:rsidP="005E317F">
      <w:pPr>
        <w:pStyle w:val="ActHead6"/>
        <w:pageBreakBefore/>
      </w:pPr>
      <w:bookmarkStart w:id="7" w:name="_Toc95225097"/>
      <w:bookmarkStart w:id="8" w:name="Schedule_1"/>
      <w:r w:rsidRPr="00DB736D">
        <w:rPr>
          <w:rStyle w:val="CharAmSchNo"/>
        </w:rPr>
        <w:lastRenderedPageBreak/>
        <w:t>Schedule 1</w:t>
      </w:r>
      <w:r w:rsidRPr="00DB736D">
        <w:t>—</w:t>
      </w:r>
      <w:r w:rsidR="00A562DD" w:rsidRPr="00DB736D">
        <w:t>Non-w</w:t>
      </w:r>
      <w:r w:rsidR="00574AFF" w:rsidRPr="00DB736D">
        <w:t xml:space="preserve">arlike Service </w:t>
      </w:r>
      <w:r w:rsidR="00207299" w:rsidRPr="00DB736D">
        <w:rPr>
          <w:rStyle w:val="CharAmSchText"/>
        </w:rPr>
        <w:t>a</w:t>
      </w:r>
      <w:r w:rsidRPr="00DB736D">
        <w:rPr>
          <w:rStyle w:val="CharAmSchText"/>
        </w:rPr>
        <w:t>mendment</w:t>
      </w:r>
      <w:bookmarkEnd w:id="7"/>
    </w:p>
    <w:p w14:paraId="5AAB12FB" w14:textId="4A12676B" w:rsidR="005E317F" w:rsidRPr="00DB736D" w:rsidRDefault="00574AFF" w:rsidP="00415374">
      <w:pPr>
        <w:pStyle w:val="ActHead9"/>
        <w:ind w:left="0" w:firstLine="0"/>
        <w:rPr>
          <w:rFonts w:ascii="Times New Roman" w:hAnsi="Times New Roman"/>
        </w:rPr>
      </w:pPr>
      <w:bookmarkStart w:id="9" w:name="_Toc95225098"/>
      <w:bookmarkEnd w:id="8"/>
      <w:r w:rsidRPr="00DB736D">
        <w:rPr>
          <w:rFonts w:ascii="Times New Roman" w:hAnsi="Times New Roman"/>
        </w:rPr>
        <w:t>Military Rehabilitation and Compensation (</w:t>
      </w:r>
      <w:r w:rsidR="00E52659" w:rsidRPr="00DB736D">
        <w:rPr>
          <w:rFonts w:ascii="Times New Roman" w:hAnsi="Times New Roman"/>
        </w:rPr>
        <w:t>Non-w</w:t>
      </w:r>
      <w:r w:rsidRPr="00DB736D">
        <w:rPr>
          <w:rFonts w:ascii="Times New Roman" w:hAnsi="Times New Roman"/>
        </w:rPr>
        <w:t>ar</w:t>
      </w:r>
      <w:r w:rsidR="00AA78DC" w:rsidRPr="00DB736D">
        <w:rPr>
          <w:rFonts w:ascii="Times New Roman" w:hAnsi="Times New Roman"/>
        </w:rPr>
        <w:t>like Service) Determination 20</w:t>
      </w:r>
      <w:r w:rsidR="00A226E0" w:rsidRPr="00DB736D">
        <w:rPr>
          <w:rFonts w:ascii="Times New Roman" w:hAnsi="Times New Roman"/>
        </w:rPr>
        <w:t>19</w:t>
      </w:r>
      <w:bookmarkEnd w:id="9"/>
    </w:p>
    <w:p w14:paraId="698753D5" w14:textId="41BF346A" w:rsidR="004C0F2A" w:rsidRPr="00DB736D" w:rsidRDefault="004C0F2A" w:rsidP="00C142F0">
      <w:pPr>
        <w:pStyle w:val="Heading5"/>
        <w:spacing w:before="0"/>
      </w:pPr>
    </w:p>
    <w:tbl>
      <w:tblPr>
        <w:tblW w:w="9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8372"/>
      </w:tblGrid>
      <w:tr w:rsidR="00C37F01" w:rsidRPr="00DB736D" w14:paraId="4EE57882" w14:textId="77777777" w:rsidTr="00111276">
        <w:tc>
          <w:tcPr>
            <w:tcW w:w="992" w:type="dxa"/>
          </w:tcPr>
          <w:p w14:paraId="70BA47DC" w14:textId="33712917" w:rsidR="00C37F01" w:rsidRPr="00DB736D" w:rsidRDefault="00C37F01" w:rsidP="00111276">
            <w:pPr>
              <w:pStyle w:val="BlockText-Plain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72" w:type="dxa"/>
          </w:tcPr>
          <w:p w14:paraId="3563C0BA" w14:textId="77777777" w:rsidR="00C37F01" w:rsidRPr="00DB736D" w:rsidRDefault="00C37F01" w:rsidP="00111276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Section 1 of 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(table item 19C)</w:t>
            </w:r>
          </w:p>
        </w:tc>
      </w:tr>
      <w:tr w:rsidR="00C37F01" w:rsidRPr="00DB736D" w14:paraId="7D79E037" w14:textId="77777777" w:rsidTr="00111276">
        <w:tc>
          <w:tcPr>
            <w:tcW w:w="992" w:type="dxa"/>
          </w:tcPr>
          <w:p w14:paraId="544D045E" w14:textId="77777777" w:rsidR="00C37F01" w:rsidRPr="00DB736D" w:rsidRDefault="00C37F01" w:rsidP="00111276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72" w:type="dxa"/>
          </w:tcPr>
          <w:p w14:paraId="29AD6EA1" w14:textId="4D772C86" w:rsidR="00C37F01" w:rsidRPr="00DB736D" w:rsidRDefault="00C37F01" w:rsidP="00111276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Omit “</w:t>
            </w:r>
            <w:r w:rsidRPr="009F335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On and after </w:t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1</w:t>
            </w:r>
            <w:r w:rsidRPr="009F335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5 November 20</w:t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18</w:t>
            </w:r>
            <w:r w:rsidRPr="009F335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”</w:t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substitute “15 November 2018–3</w:t>
            </w:r>
            <w:r w:rsidRPr="000C549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1</w:t>
            </w:r>
            <w:r w:rsidRPr="009F335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December</w:t>
            </w:r>
            <w:r w:rsidRPr="009F335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2024”.</w:t>
            </w:r>
          </w:p>
        </w:tc>
      </w:tr>
      <w:tr w:rsidR="007024BA" w:rsidRPr="00DB736D" w14:paraId="02508EDA" w14:textId="77777777" w:rsidTr="009F3354">
        <w:tc>
          <w:tcPr>
            <w:tcW w:w="992" w:type="dxa"/>
          </w:tcPr>
          <w:p w14:paraId="7A3834F0" w14:textId="4F43CF1C" w:rsidR="007024BA" w:rsidRPr="00DB736D" w:rsidRDefault="00674DD1" w:rsidP="00AE25F9">
            <w:pPr>
              <w:pStyle w:val="BlockText-Plain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72" w:type="dxa"/>
          </w:tcPr>
          <w:p w14:paraId="5953E3A1" w14:textId="77777777" w:rsidR="007024BA" w:rsidRPr="00DB736D" w:rsidRDefault="007024BA" w:rsidP="007F2C2E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Section 1 of 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(table item 27)</w:t>
            </w:r>
          </w:p>
        </w:tc>
      </w:tr>
      <w:tr w:rsidR="007024BA" w:rsidRPr="00DB736D" w14:paraId="25F89923" w14:textId="77777777" w:rsidTr="009F3354">
        <w:tc>
          <w:tcPr>
            <w:tcW w:w="992" w:type="dxa"/>
          </w:tcPr>
          <w:p w14:paraId="6785023B" w14:textId="77777777" w:rsidR="007024BA" w:rsidRPr="00DB736D" w:rsidRDefault="007024BA" w:rsidP="007F2C2E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72" w:type="dxa"/>
          </w:tcPr>
          <w:p w14:paraId="74B384BF" w14:textId="0D1B5793" w:rsidR="007024BA" w:rsidRPr="00DB736D" w:rsidRDefault="009F3354" w:rsidP="000C549D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Omit “</w:t>
            </w:r>
            <w:r w:rsidRPr="009F335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On and after 25 November 2021”</w:t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substitute “25 November 2021–</w:t>
            </w:r>
            <w:r w:rsidR="000C549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3</w:t>
            </w:r>
            <w:r w:rsidR="000C549D" w:rsidRPr="00AA2C2C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1 </w:t>
            </w:r>
            <w:r w:rsidRPr="009F335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August 2024”.</w:t>
            </w:r>
          </w:p>
        </w:tc>
      </w:tr>
      <w:tr w:rsidR="000C549D" w:rsidRPr="00DB736D" w14:paraId="23E13A3D" w14:textId="77777777" w:rsidTr="00560E7B">
        <w:tc>
          <w:tcPr>
            <w:tcW w:w="992" w:type="dxa"/>
          </w:tcPr>
          <w:p w14:paraId="29342231" w14:textId="0F72F89D" w:rsidR="000C549D" w:rsidRPr="00DB736D" w:rsidRDefault="00674DD1" w:rsidP="00560E7B">
            <w:pPr>
              <w:pStyle w:val="BlockText-Plain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72" w:type="dxa"/>
          </w:tcPr>
          <w:p w14:paraId="50107EE7" w14:textId="468F5C70" w:rsidR="000C549D" w:rsidRPr="00DB736D" w:rsidRDefault="000C549D" w:rsidP="000C549D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Section 1 of 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(table item 28)</w:t>
            </w:r>
          </w:p>
        </w:tc>
      </w:tr>
      <w:tr w:rsidR="000C549D" w:rsidRPr="00DB736D" w14:paraId="65B646DB" w14:textId="77777777" w:rsidTr="00560E7B">
        <w:tc>
          <w:tcPr>
            <w:tcW w:w="992" w:type="dxa"/>
          </w:tcPr>
          <w:p w14:paraId="1283F33B" w14:textId="77777777" w:rsidR="000C549D" w:rsidRPr="00DB736D" w:rsidRDefault="000C549D" w:rsidP="00560E7B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72" w:type="dxa"/>
          </w:tcPr>
          <w:p w14:paraId="6B16D355" w14:textId="6B46A23C" w:rsidR="000C549D" w:rsidRPr="00DB736D" w:rsidRDefault="00C37F01" w:rsidP="00AA2C2C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In the column titled “Name of operation”, i</w:t>
            </w:r>
            <w:r w:rsidR="000C549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nsert “Kudu”.</w:t>
            </w:r>
          </w:p>
        </w:tc>
      </w:tr>
      <w:tr w:rsidR="00AD177A" w:rsidRPr="00DB736D" w14:paraId="4B6D5D56" w14:textId="77777777" w:rsidTr="0001345C">
        <w:tc>
          <w:tcPr>
            <w:tcW w:w="992" w:type="dxa"/>
          </w:tcPr>
          <w:p w14:paraId="1E2A8612" w14:textId="5F8F173A" w:rsidR="00AD177A" w:rsidRPr="00DB736D" w:rsidRDefault="00674DD1" w:rsidP="00AE25F9">
            <w:pPr>
              <w:pStyle w:val="BlockText-Plain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72" w:type="dxa"/>
          </w:tcPr>
          <w:p w14:paraId="606630DC" w14:textId="0FCACD83" w:rsidR="00AD177A" w:rsidRPr="00DB736D" w:rsidRDefault="00AD177A" w:rsidP="00AA2C2C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Section 1 of 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</w:t>
            </w:r>
            <w:r w:rsidR="00C37F01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after item 28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AD177A" w:rsidRPr="00DB736D" w14:paraId="401C2707" w14:textId="77777777" w:rsidTr="0001345C">
        <w:tc>
          <w:tcPr>
            <w:tcW w:w="992" w:type="dxa"/>
          </w:tcPr>
          <w:p w14:paraId="3DA277EC" w14:textId="77777777" w:rsidR="00AD177A" w:rsidRPr="00DB736D" w:rsidRDefault="00AD177A" w:rsidP="004B484C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72" w:type="dxa"/>
          </w:tcPr>
          <w:p w14:paraId="1CDF5DBF" w14:textId="074292CA" w:rsidR="00AD177A" w:rsidRPr="00DB736D" w:rsidRDefault="00AD177A" w:rsidP="004B484C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Insert:</w:t>
            </w:r>
          </w:p>
        </w:tc>
      </w:tr>
    </w:tbl>
    <w:p w14:paraId="5EA9B69D" w14:textId="592C1448" w:rsidR="00AD177A" w:rsidRDefault="00AD177A" w:rsidP="004C0F2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70"/>
        <w:gridCol w:w="1364"/>
        <w:gridCol w:w="2777"/>
        <w:gridCol w:w="2412"/>
        <w:gridCol w:w="2232"/>
      </w:tblGrid>
      <w:tr w:rsidR="00AD177A" w:rsidRPr="0028541C" w14:paraId="46CB5CC7" w14:textId="77777777" w:rsidTr="004B484C">
        <w:trPr>
          <w:trHeight w:val="1601"/>
        </w:trPr>
        <w:tc>
          <w:tcPr>
            <w:tcW w:w="305" w:type="pct"/>
            <w:shd w:val="clear" w:color="auto" w:fill="auto"/>
          </w:tcPr>
          <w:p w14:paraId="63345A6B" w14:textId="57111C0D" w:rsidR="00AD177A" w:rsidRPr="0028541C" w:rsidRDefault="00C37F01" w:rsidP="00ED4B2E">
            <w:pPr>
              <w:pStyle w:val="Tabletext"/>
              <w:jc w:val="center"/>
            </w:pPr>
            <w:r>
              <w:t>28A</w:t>
            </w:r>
          </w:p>
        </w:tc>
        <w:tc>
          <w:tcPr>
            <w:tcW w:w="729" w:type="pct"/>
            <w:shd w:val="clear" w:color="auto" w:fill="auto"/>
          </w:tcPr>
          <w:p w14:paraId="6A7DB680" w14:textId="00748DA6" w:rsidR="00AD177A" w:rsidRPr="0028541C" w:rsidRDefault="000C549D" w:rsidP="004B484C">
            <w:pPr>
              <w:pStyle w:val="Tabletext"/>
            </w:pPr>
            <w:r>
              <w:t>Kudu</w:t>
            </w:r>
          </w:p>
        </w:tc>
        <w:tc>
          <w:tcPr>
            <w:tcW w:w="1484" w:type="pct"/>
            <w:shd w:val="clear" w:color="auto" w:fill="auto"/>
          </w:tcPr>
          <w:p w14:paraId="73CF4176" w14:textId="7927BEAF" w:rsidR="00AD177A" w:rsidRPr="0028541C" w:rsidRDefault="00AD177A" w:rsidP="004B484C">
            <w:pPr>
              <w:pStyle w:val="Tabletext"/>
            </w:pPr>
            <w:r>
              <w:t>Defence Force contribution to the Australian Government’s commitment to support Ukraine’s self-defence</w:t>
            </w:r>
          </w:p>
        </w:tc>
        <w:tc>
          <w:tcPr>
            <w:tcW w:w="1289" w:type="pct"/>
            <w:shd w:val="clear" w:color="auto" w:fill="auto"/>
          </w:tcPr>
          <w:p w14:paraId="710F3A75" w14:textId="2E264F81" w:rsidR="00AD177A" w:rsidRPr="0028541C" w:rsidRDefault="002937BB" w:rsidP="004B484C">
            <w:pPr>
              <w:pStyle w:val="Tabletext"/>
            </w:pPr>
            <w:r>
              <w:t>Ukrainian land and territories continuously controlled by Ukraine</w:t>
            </w:r>
            <w:r w:rsidRPr="00680407">
              <w:t xml:space="preserve"> and superjacent airspace of Ukraine</w:t>
            </w:r>
          </w:p>
        </w:tc>
        <w:tc>
          <w:tcPr>
            <w:tcW w:w="1193" w:type="pct"/>
            <w:shd w:val="clear" w:color="auto" w:fill="auto"/>
          </w:tcPr>
          <w:p w14:paraId="70429E9A" w14:textId="00EAEA6D" w:rsidR="00AD177A" w:rsidRPr="0028541C" w:rsidRDefault="00AD177A" w:rsidP="00AD177A">
            <w:pPr>
              <w:pStyle w:val="Tabletext"/>
            </w:pPr>
            <w:r>
              <w:t>On and after 25 April 2024</w:t>
            </w:r>
          </w:p>
        </w:tc>
      </w:tr>
    </w:tbl>
    <w:p w14:paraId="0B12E2E7" w14:textId="77777777" w:rsidR="00AD177A" w:rsidRDefault="00AD177A" w:rsidP="00AD177A"/>
    <w:sectPr w:rsidR="00AD177A" w:rsidSect="00B54751">
      <w:headerReference w:type="first" r:id="rId19"/>
      <w:footerReference w:type="first" r:id="rId20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F0B51" w14:textId="77777777" w:rsidR="00916BBE" w:rsidRDefault="00916BBE" w:rsidP="0048364F">
      <w:pPr>
        <w:spacing w:line="240" w:lineRule="auto"/>
      </w:pPr>
      <w:r>
        <w:separator/>
      </w:r>
    </w:p>
  </w:endnote>
  <w:endnote w:type="continuationSeparator" w:id="0">
    <w:p w14:paraId="27DBEDC9" w14:textId="77777777" w:rsidR="00916BBE" w:rsidRDefault="00916B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704A2" w14:paraId="5AB2A077" w14:textId="77777777" w:rsidTr="00C704A2">
      <w:tc>
        <w:tcPr>
          <w:tcW w:w="5000" w:type="pct"/>
        </w:tcPr>
        <w:p w14:paraId="4FE3369A" w14:textId="77777777" w:rsidR="00C704A2" w:rsidRDefault="00C704A2" w:rsidP="00C704A2">
          <w:pPr>
            <w:rPr>
              <w:sz w:val="18"/>
            </w:rPr>
          </w:pPr>
        </w:p>
      </w:tc>
    </w:tr>
  </w:tbl>
  <w:p w14:paraId="11C2CC00" w14:textId="77777777" w:rsidR="00C704A2" w:rsidRPr="005F1388" w:rsidRDefault="00C704A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704A2" w14:paraId="5D5E7EA3" w14:textId="77777777" w:rsidTr="00C704A2">
      <w:tc>
        <w:tcPr>
          <w:tcW w:w="5000" w:type="pct"/>
        </w:tcPr>
        <w:p w14:paraId="49D0767D" w14:textId="77777777" w:rsidR="00C704A2" w:rsidRDefault="00C704A2" w:rsidP="00C704A2">
          <w:pPr>
            <w:rPr>
              <w:sz w:val="18"/>
            </w:rPr>
          </w:pPr>
        </w:p>
      </w:tc>
    </w:tr>
  </w:tbl>
  <w:p w14:paraId="0D2D1C45" w14:textId="77777777" w:rsidR="00C704A2" w:rsidRPr="006D3667" w:rsidRDefault="00C704A2" w:rsidP="00C70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C704A2" w:rsidRPr="00E33C1C" w:rsidRDefault="00C704A2" w:rsidP="00C704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704A2" w14:paraId="158704E2" w14:textId="77777777" w:rsidTr="00C704A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C704A2" w:rsidRDefault="00C704A2" w:rsidP="00C704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C704A2" w:rsidRDefault="00C704A2" w:rsidP="00C704A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C704A2" w:rsidRDefault="00C704A2" w:rsidP="00C704A2">
          <w:pPr>
            <w:spacing w:line="0" w:lineRule="atLeast"/>
            <w:jc w:val="right"/>
            <w:rPr>
              <w:sz w:val="18"/>
            </w:rPr>
          </w:pPr>
        </w:p>
      </w:tc>
    </w:tr>
    <w:tr w:rsidR="00C704A2" w14:paraId="78EB0982" w14:textId="77777777" w:rsidTr="00C704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C704A2" w:rsidRDefault="00C704A2" w:rsidP="00C704A2">
          <w:pPr>
            <w:jc w:val="right"/>
            <w:rPr>
              <w:sz w:val="18"/>
            </w:rPr>
          </w:pPr>
        </w:p>
      </w:tc>
    </w:tr>
  </w:tbl>
  <w:p w14:paraId="6BD8B33D" w14:textId="77777777" w:rsidR="00C704A2" w:rsidRPr="00ED79B6" w:rsidRDefault="00C704A2" w:rsidP="00C704A2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C704A2" w:rsidRPr="00E33C1C" w:rsidRDefault="00C704A2" w:rsidP="00C704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704A2" w14:paraId="13D2EC2D" w14:textId="77777777" w:rsidTr="00C704A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C704A2" w:rsidRDefault="00C704A2" w:rsidP="00C704A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35265738" w:rsidR="00C704A2" w:rsidRPr="00B20990" w:rsidRDefault="00C704A2" w:rsidP="00303B40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Military Rehabilitation and Compensation (Non-warlike Service) Amendment Determination </w:t>
          </w:r>
          <w:r w:rsidR="00D71482">
            <w:rPr>
              <w:i/>
              <w:sz w:val="18"/>
            </w:rPr>
            <w:t>(No. 1</w:t>
          </w:r>
          <w:r w:rsidR="00674DD1">
            <w:rPr>
              <w:i/>
              <w:sz w:val="18"/>
            </w:rPr>
            <w:t>) 2025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20B5DA23" w:rsidR="00C704A2" w:rsidRDefault="00C704A2" w:rsidP="00C704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4D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704A2" w14:paraId="3144248A" w14:textId="77777777" w:rsidTr="00C704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C704A2" w:rsidRDefault="00C704A2" w:rsidP="00C704A2">
          <w:pPr>
            <w:rPr>
              <w:sz w:val="18"/>
            </w:rPr>
          </w:pPr>
        </w:p>
      </w:tc>
    </w:tr>
  </w:tbl>
  <w:p w14:paraId="1E3A9C80" w14:textId="77777777" w:rsidR="00C704A2" w:rsidRPr="00ED79B6" w:rsidRDefault="00C704A2" w:rsidP="00C704A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BEBA" w14:textId="77777777" w:rsidR="00C704A2" w:rsidRDefault="00C704A2">
    <w:pPr>
      <w:pStyle w:val="Footer"/>
      <w:jc w:val="right"/>
    </w:pPr>
  </w:p>
  <w:p w14:paraId="1340E720" w14:textId="77777777" w:rsidR="00C704A2" w:rsidRPr="00E33C1C" w:rsidRDefault="00C704A2" w:rsidP="00F85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704A2" w14:paraId="1B1E0445" w14:textId="77777777" w:rsidTr="00C704A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EF6C59" w14:textId="77777777" w:rsidR="00C704A2" w:rsidRDefault="00C704A2" w:rsidP="00F854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1C753C" w14:textId="1AF366B6" w:rsidR="00C704A2" w:rsidRPr="00B20990" w:rsidRDefault="00C704A2" w:rsidP="002B4D1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Military Rehabilitation and Compensation (Non-warlike Service) Ame</w:t>
          </w:r>
          <w:r w:rsidR="00EA36FE">
            <w:rPr>
              <w:i/>
              <w:sz w:val="18"/>
            </w:rPr>
            <w:t>ndment Determination 2024 (No. 3</w:t>
          </w:r>
          <w:r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DCA7602" w14:textId="76B07A9B" w:rsidR="00C704A2" w:rsidRDefault="00C704A2" w:rsidP="00F854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4D7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704A2" w14:paraId="4DDA8829" w14:textId="77777777" w:rsidTr="00C704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99680DD" w14:textId="77777777" w:rsidR="00C704A2" w:rsidRDefault="00C704A2" w:rsidP="00F8545A">
          <w:pPr>
            <w:rPr>
              <w:sz w:val="18"/>
            </w:rPr>
          </w:pPr>
        </w:p>
      </w:tc>
    </w:tr>
  </w:tbl>
  <w:p w14:paraId="53A6599F" w14:textId="77777777" w:rsidR="00C704A2" w:rsidRPr="00486382" w:rsidRDefault="00C704A2" w:rsidP="00927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6D0B" w14:textId="77777777" w:rsidR="00916BBE" w:rsidRDefault="00916BBE" w:rsidP="0048364F">
      <w:pPr>
        <w:spacing w:line="240" w:lineRule="auto"/>
      </w:pPr>
      <w:r>
        <w:separator/>
      </w:r>
    </w:p>
  </w:footnote>
  <w:footnote w:type="continuationSeparator" w:id="0">
    <w:p w14:paraId="6955D662" w14:textId="77777777" w:rsidR="00916BBE" w:rsidRDefault="00916B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C704A2" w:rsidRPr="005F1388" w:rsidRDefault="00C704A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C704A2" w:rsidRPr="005F1388" w:rsidRDefault="00C704A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C704A2" w:rsidRPr="005F1388" w:rsidRDefault="00C704A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C704A2" w:rsidRPr="00ED79B6" w:rsidRDefault="00C704A2" w:rsidP="00C704A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C704A2" w:rsidRPr="002C71AE" w:rsidRDefault="00C704A2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C704A2" w:rsidRPr="00475968" w:rsidRDefault="00C704A2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C704A2" w:rsidRPr="00475968" w:rsidRDefault="00C704A2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45C"/>
    <w:rsid w:val="000136AF"/>
    <w:rsid w:val="000270CD"/>
    <w:rsid w:val="00034420"/>
    <w:rsid w:val="0004044E"/>
    <w:rsid w:val="0005120E"/>
    <w:rsid w:val="00054577"/>
    <w:rsid w:val="000614BF"/>
    <w:rsid w:val="000647C0"/>
    <w:rsid w:val="0007169C"/>
    <w:rsid w:val="00077593"/>
    <w:rsid w:val="00083C67"/>
    <w:rsid w:val="00083F48"/>
    <w:rsid w:val="00084B75"/>
    <w:rsid w:val="00097D5C"/>
    <w:rsid w:val="000A479A"/>
    <w:rsid w:val="000A7DF9"/>
    <w:rsid w:val="000B169B"/>
    <w:rsid w:val="000B7D94"/>
    <w:rsid w:val="000C549D"/>
    <w:rsid w:val="000C696D"/>
    <w:rsid w:val="000D05EF"/>
    <w:rsid w:val="000D3FB9"/>
    <w:rsid w:val="000D5485"/>
    <w:rsid w:val="000E598E"/>
    <w:rsid w:val="000E5A3D"/>
    <w:rsid w:val="000F0ADA"/>
    <w:rsid w:val="000F21C1"/>
    <w:rsid w:val="000F5020"/>
    <w:rsid w:val="000F72BD"/>
    <w:rsid w:val="0010745C"/>
    <w:rsid w:val="001122FF"/>
    <w:rsid w:val="00153734"/>
    <w:rsid w:val="00160BD7"/>
    <w:rsid w:val="001625CE"/>
    <w:rsid w:val="001643C9"/>
    <w:rsid w:val="00164901"/>
    <w:rsid w:val="00165568"/>
    <w:rsid w:val="00166082"/>
    <w:rsid w:val="00166C2F"/>
    <w:rsid w:val="001716C9"/>
    <w:rsid w:val="001814AB"/>
    <w:rsid w:val="00184261"/>
    <w:rsid w:val="00190A87"/>
    <w:rsid w:val="00193461"/>
    <w:rsid w:val="001939E1"/>
    <w:rsid w:val="0019452E"/>
    <w:rsid w:val="00195382"/>
    <w:rsid w:val="001A3B9F"/>
    <w:rsid w:val="001A5520"/>
    <w:rsid w:val="001A5B3A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3592"/>
    <w:rsid w:val="00237614"/>
    <w:rsid w:val="00240749"/>
    <w:rsid w:val="002468D7"/>
    <w:rsid w:val="00247E97"/>
    <w:rsid w:val="00256C81"/>
    <w:rsid w:val="00285CDD"/>
    <w:rsid w:val="00286885"/>
    <w:rsid w:val="00286F15"/>
    <w:rsid w:val="00291167"/>
    <w:rsid w:val="002937BB"/>
    <w:rsid w:val="0029489E"/>
    <w:rsid w:val="00297ECB"/>
    <w:rsid w:val="002A3EC7"/>
    <w:rsid w:val="002B1B7A"/>
    <w:rsid w:val="002B4D12"/>
    <w:rsid w:val="002B7544"/>
    <w:rsid w:val="002C152A"/>
    <w:rsid w:val="002C71AE"/>
    <w:rsid w:val="002D043A"/>
    <w:rsid w:val="002F2F7B"/>
    <w:rsid w:val="00303B40"/>
    <w:rsid w:val="0031713F"/>
    <w:rsid w:val="003222D1"/>
    <w:rsid w:val="00324E87"/>
    <w:rsid w:val="0032750F"/>
    <w:rsid w:val="003415D3"/>
    <w:rsid w:val="003442F6"/>
    <w:rsid w:val="00346335"/>
    <w:rsid w:val="00352B0F"/>
    <w:rsid w:val="003561B0"/>
    <w:rsid w:val="00365D09"/>
    <w:rsid w:val="00397893"/>
    <w:rsid w:val="003A0F5D"/>
    <w:rsid w:val="003A15AC"/>
    <w:rsid w:val="003A2BB0"/>
    <w:rsid w:val="003A2FAC"/>
    <w:rsid w:val="003B0627"/>
    <w:rsid w:val="003C5F2B"/>
    <w:rsid w:val="003C7D35"/>
    <w:rsid w:val="003D0BFE"/>
    <w:rsid w:val="003D5700"/>
    <w:rsid w:val="003F0971"/>
    <w:rsid w:val="003F4D78"/>
    <w:rsid w:val="003F506B"/>
    <w:rsid w:val="003F6F52"/>
    <w:rsid w:val="004022CA"/>
    <w:rsid w:val="004116CD"/>
    <w:rsid w:val="0041476C"/>
    <w:rsid w:val="00414ADE"/>
    <w:rsid w:val="00415374"/>
    <w:rsid w:val="00424CA9"/>
    <w:rsid w:val="004257BB"/>
    <w:rsid w:val="0044291A"/>
    <w:rsid w:val="004600B0"/>
    <w:rsid w:val="00460499"/>
    <w:rsid w:val="00460FBA"/>
    <w:rsid w:val="00471578"/>
    <w:rsid w:val="00474835"/>
    <w:rsid w:val="00475968"/>
    <w:rsid w:val="004819C7"/>
    <w:rsid w:val="00481D42"/>
    <w:rsid w:val="00482E48"/>
    <w:rsid w:val="0048364F"/>
    <w:rsid w:val="004877FC"/>
    <w:rsid w:val="00490F2E"/>
    <w:rsid w:val="00496F97"/>
    <w:rsid w:val="004A53EA"/>
    <w:rsid w:val="004B0256"/>
    <w:rsid w:val="004B22E4"/>
    <w:rsid w:val="004B35E7"/>
    <w:rsid w:val="004C0F2A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2A3"/>
    <w:rsid w:val="00574AFF"/>
    <w:rsid w:val="00581211"/>
    <w:rsid w:val="00583EEE"/>
    <w:rsid w:val="00584811"/>
    <w:rsid w:val="00590C76"/>
    <w:rsid w:val="00593AA6"/>
    <w:rsid w:val="00594161"/>
    <w:rsid w:val="00594749"/>
    <w:rsid w:val="00594956"/>
    <w:rsid w:val="005A0A53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64D6"/>
    <w:rsid w:val="00630CB4"/>
    <w:rsid w:val="00640402"/>
    <w:rsid w:val="00640F78"/>
    <w:rsid w:val="00655D6A"/>
    <w:rsid w:val="00656DA6"/>
    <w:rsid w:val="00656DE9"/>
    <w:rsid w:val="00672876"/>
    <w:rsid w:val="00672D5E"/>
    <w:rsid w:val="00674DD1"/>
    <w:rsid w:val="00677CC2"/>
    <w:rsid w:val="00680407"/>
    <w:rsid w:val="006826EA"/>
    <w:rsid w:val="00685F42"/>
    <w:rsid w:val="0069207B"/>
    <w:rsid w:val="00697CB2"/>
    <w:rsid w:val="006A297B"/>
    <w:rsid w:val="006A304E"/>
    <w:rsid w:val="006B7006"/>
    <w:rsid w:val="006C7F8C"/>
    <w:rsid w:val="006D6F90"/>
    <w:rsid w:val="006D7AB9"/>
    <w:rsid w:val="006F6708"/>
    <w:rsid w:val="00700B2C"/>
    <w:rsid w:val="007024BA"/>
    <w:rsid w:val="007053C4"/>
    <w:rsid w:val="00713084"/>
    <w:rsid w:val="00717463"/>
    <w:rsid w:val="00720FC2"/>
    <w:rsid w:val="00722E89"/>
    <w:rsid w:val="007259D6"/>
    <w:rsid w:val="00731E00"/>
    <w:rsid w:val="007339C7"/>
    <w:rsid w:val="007440B7"/>
    <w:rsid w:val="00747993"/>
    <w:rsid w:val="00747E1B"/>
    <w:rsid w:val="007625A4"/>
    <w:rsid w:val="007634AD"/>
    <w:rsid w:val="007715C9"/>
    <w:rsid w:val="00774EDD"/>
    <w:rsid w:val="007757EC"/>
    <w:rsid w:val="007952E9"/>
    <w:rsid w:val="007A6863"/>
    <w:rsid w:val="007B0D79"/>
    <w:rsid w:val="007B79CD"/>
    <w:rsid w:val="007B7E65"/>
    <w:rsid w:val="007C78B4"/>
    <w:rsid w:val="007E0853"/>
    <w:rsid w:val="007E1911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66C5"/>
    <w:rsid w:val="00846CD5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6BBE"/>
    <w:rsid w:val="00922764"/>
    <w:rsid w:val="009278C1"/>
    <w:rsid w:val="00932377"/>
    <w:rsid w:val="009346E3"/>
    <w:rsid w:val="0094523D"/>
    <w:rsid w:val="00957779"/>
    <w:rsid w:val="00962F6D"/>
    <w:rsid w:val="009733D6"/>
    <w:rsid w:val="009746F1"/>
    <w:rsid w:val="00976A63"/>
    <w:rsid w:val="009779CF"/>
    <w:rsid w:val="00987544"/>
    <w:rsid w:val="00991733"/>
    <w:rsid w:val="00996026"/>
    <w:rsid w:val="009B2490"/>
    <w:rsid w:val="009B50E5"/>
    <w:rsid w:val="009C3431"/>
    <w:rsid w:val="009C5989"/>
    <w:rsid w:val="009C6302"/>
    <w:rsid w:val="009C6A32"/>
    <w:rsid w:val="009D08DA"/>
    <w:rsid w:val="009F1229"/>
    <w:rsid w:val="009F3354"/>
    <w:rsid w:val="00A003BB"/>
    <w:rsid w:val="00A06860"/>
    <w:rsid w:val="00A136F5"/>
    <w:rsid w:val="00A226E0"/>
    <w:rsid w:val="00A231E2"/>
    <w:rsid w:val="00A2550D"/>
    <w:rsid w:val="00A33AB5"/>
    <w:rsid w:val="00A3647A"/>
    <w:rsid w:val="00A379BB"/>
    <w:rsid w:val="00A4169B"/>
    <w:rsid w:val="00A50D55"/>
    <w:rsid w:val="00A52FDA"/>
    <w:rsid w:val="00A562DD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2C2C"/>
    <w:rsid w:val="00AA78CE"/>
    <w:rsid w:val="00AA78DC"/>
    <w:rsid w:val="00AA7B26"/>
    <w:rsid w:val="00AC2206"/>
    <w:rsid w:val="00AC767C"/>
    <w:rsid w:val="00AD177A"/>
    <w:rsid w:val="00AD3467"/>
    <w:rsid w:val="00AD5641"/>
    <w:rsid w:val="00AE25F9"/>
    <w:rsid w:val="00AF0A78"/>
    <w:rsid w:val="00AF33DB"/>
    <w:rsid w:val="00AF675A"/>
    <w:rsid w:val="00AF6E41"/>
    <w:rsid w:val="00B032D8"/>
    <w:rsid w:val="00B039C8"/>
    <w:rsid w:val="00B05D72"/>
    <w:rsid w:val="00B20990"/>
    <w:rsid w:val="00B23FAF"/>
    <w:rsid w:val="00B33B3C"/>
    <w:rsid w:val="00B37C07"/>
    <w:rsid w:val="00B40D74"/>
    <w:rsid w:val="00B42649"/>
    <w:rsid w:val="00B46467"/>
    <w:rsid w:val="00B52663"/>
    <w:rsid w:val="00B54751"/>
    <w:rsid w:val="00B555B2"/>
    <w:rsid w:val="00B56DCB"/>
    <w:rsid w:val="00B61728"/>
    <w:rsid w:val="00B62C7D"/>
    <w:rsid w:val="00B7442B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1AD0"/>
    <w:rsid w:val="00BE42C5"/>
    <w:rsid w:val="00BE4FF0"/>
    <w:rsid w:val="00BE719A"/>
    <w:rsid w:val="00BE720A"/>
    <w:rsid w:val="00BF0723"/>
    <w:rsid w:val="00BF6650"/>
    <w:rsid w:val="00C04CD6"/>
    <w:rsid w:val="00C067E5"/>
    <w:rsid w:val="00C142F0"/>
    <w:rsid w:val="00C164CA"/>
    <w:rsid w:val="00C26051"/>
    <w:rsid w:val="00C37F01"/>
    <w:rsid w:val="00C42BF8"/>
    <w:rsid w:val="00C460AE"/>
    <w:rsid w:val="00C50043"/>
    <w:rsid w:val="00C5015F"/>
    <w:rsid w:val="00C50A0F"/>
    <w:rsid w:val="00C50F4A"/>
    <w:rsid w:val="00C55C91"/>
    <w:rsid w:val="00C704A2"/>
    <w:rsid w:val="00C72D10"/>
    <w:rsid w:val="00C7573B"/>
    <w:rsid w:val="00C76CF3"/>
    <w:rsid w:val="00C93205"/>
    <w:rsid w:val="00C945DC"/>
    <w:rsid w:val="00CA7844"/>
    <w:rsid w:val="00CB58EF"/>
    <w:rsid w:val="00CC3872"/>
    <w:rsid w:val="00CD23D1"/>
    <w:rsid w:val="00CE0A93"/>
    <w:rsid w:val="00CE4A98"/>
    <w:rsid w:val="00CF0BB2"/>
    <w:rsid w:val="00D058A7"/>
    <w:rsid w:val="00D12B0D"/>
    <w:rsid w:val="00D13441"/>
    <w:rsid w:val="00D15A4D"/>
    <w:rsid w:val="00D22DAC"/>
    <w:rsid w:val="00D243A3"/>
    <w:rsid w:val="00D33440"/>
    <w:rsid w:val="00D45B81"/>
    <w:rsid w:val="00D52EFE"/>
    <w:rsid w:val="00D540B9"/>
    <w:rsid w:val="00D55AEE"/>
    <w:rsid w:val="00D567A2"/>
    <w:rsid w:val="00D56A0D"/>
    <w:rsid w:val="00D63EF6"/>
    <w:rsid w:val="00D66518"/>
    <w:rsid w:val="00D66A5A"/>
    <w:rsid w:val="00D70DFB"/>
    <w:rsid w:val="00D71482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B736D"/>
    <w:rsid w:val="00DE149E"/>
    <w:rsid w:val="00E034DB"/>
    <w:rsid w:val="00E05704"/>
    <w:rsid w:val="00E12F1A"/>
    <w:rsid w:val="00E22935"/>
    <w:rsid w:val="00E232C6"/>
    <w:rsid w:val="00E4406D"/>
    <w:rsid w:val="00E52659"/>
    <w:rsid w:val="00E54292"/>
    <w:rsid w:val="00E54D2B"/>
    <w:rsid w:val="00E60191"/>
    <w:rsid w:val="00E74DC7"/>
    <w:rsid w:val="00E8485A"/>
    <w:rsid w:val="00E86DED"/>
    <w:rsid w:val="00E87699"/>
    <w:rsid w:val="00E92E27"/>
    <w:rsid w:val="00E9586B"/>
    <w:rsid w:val="00E97334"/>
    <w:rsid w:val="00EA36FE"/>
    <w:rsid w:val="00EB3A99"/>
    <w:rsid w:val="00EB65F8"/>
    <w:rsid w:val="00EC45EE"/>
    <w:rsid w:val="00EC7B32"/>
    <w:rsid w:val="00ED4928"/>
    <w:rsid w:val="00ED4B2E"/>
    <w:rsid w:val="00EE262D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519A"/>
    <w:rsid w:val="00F27412"/>
    <w:rsid w:val="00F32FCB"/>
    <w:rsid w:val="00F33523"/>
    <w:rsid w:val="00F378A7"/>
    <w:rsid w:val="00F4351E"/>
    <w:rsid w:val="00F63077"/>
    <w:rsid w:val="00F677A9"/>
    <w:rsid w:val="00F8121C"/>
    <w:rsid w:val="00F84CF5"/>
    <w:rsid w:val="00F8545A"/>
    <w:rsid w:val="00F85AF9"/>
    <w:rsid w:val="00F8612E"/>
    <w:rsid w:val="00F94583"/>
    <w:rsid w:val="00FA083A"/>
    <w:rsid w:val="00FA420B"/>
    <w:rsid w:val="00FB6AEE"/>
    <w:rsid w:val="00FC2D08"/>
    <w:rsid w:val="00FC3EAC"/>
    <w:rsid w:val="00FE64A1"/>
    <w:rsid w:val="00FF39DE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customStyle="1" w:styleId="charamschno0">
    <w:name w:val="charamschno"/>
    <w:basedOn w:val="DefaultParagraphFont"/>
    <w:rsid w:val="00471578"/>
  </w:style>
  <w:style w:type="character" w:customStyle="1" w:styleId="charamschtext0">
    <w:name w:val="charamschtext"/>
    <w:basedOn w:val="DefaultParagraphFont"/>
    <w:rsid w:val="00471578"/>
  </w:style>
  <w:style w:type="character" w:styleId="Hyperlink">
    <w:name w:val="Hyperlink"/>
    <w:basedOn w:val="DefaultParagraphFont"/>
    <w:uiPriority w:val="99"/>
    <w:unhideWhenUsed/>
    <w:rsid w:val="000270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6633-961B-4053-9D8E-F72CF1B5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22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9</cp:revision>
  <cp:lastPrinted>2019-05-12T23:26:00Z</cp:lastPrinted>
  <dcterms:created xsi:type="dcterms:W3CDTF">2024-11-13T03:58:00Z</dcterms:created>
  <dcterms:modified xsi:type="dcterms:W3CDTF">2025-05-30T01:01:00Z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BN86136984</vt:lpwstr>
  </property>
  <property fmtid="{D5CDD505-2E9C-101B-9397-08002B2CF9AE}" pid="4" name="Objective-Title">
    <vt:lpwstr>2025/1 MRCA amendment det</vt:lpwstr>
  </property>
  <property fmtid="{D5CDD505-2E9C-101B-9397-08002B2CF9AE}" pid="5" name="Objective-Comment">
    <vt:lpwstr/>
  </property>
  <property fmtid="{D5CDD505-2E9C-101B-9397-08002B2CF9AE}" pid="6" name="Objective-CreationStamp">
    <vt:filetime>2024-07-23T04:51:59Z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2025-02-06T22:22:39Z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15.1</vt:lpwstr>
  </property>
  <property fmtid="{D5CDD505-2E9C-101B-9397-08002B2CF9AE}" pid="16" name="Objective-VersionNumber">
    <vt:i4>27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