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B3424E" w:rsidRDefault="00486185" w:rsidP="00682847">
      <w:pPr>
        <w:pStyle w:val="ActHead6"/>
        <w:jc w:val="center"/>
      </w:pPr>
      <w:r w:rsidRPr="00B3424E">
        <w:t>EXPLANATORY STATEMENT</w:t>
      </w:r>
    </w:p>
    <w:p w14:paraId="6626F329" w14:textId="0C0195CD" w:rsidR="009A6866" w:rsidRPr="00B3424E" w:rsidRDefault="009A6866" w:rsidP="00682847">
      <w:pPr>
        <w:pStyle w:val="Heading6"/>
        <w:jc w:val="center"/>
      </w:pPr>
      <w:r w:rsidRPr="00B3424E">
        <w:t xml:space="preserve">Defence Determination, Conditions of service </w:t>
      </w:r>
      <w:r w:rsidRPr="00F507AB">
        <w:t>(</w:t>
      </w:r>
      <w:r w:rsidR="00C55430" w:rsidRPr="00F507AB">
        <w:t>Living–in accommodation</w:t>
      </w:r>
      <w:r w:rsidR="00F507AB" w:rsidRPr="00F507AB">
        <w:t>,</w:t>
      </w:r>
      <w:r w:rsidR="00C55430" w:rsidRPr="00F507AB">
        <w:t xml:space="preserve"> housing contributions and allowances</w:t>
      </w:r>
      <w:r w:rsidR="00F507AB" w:rsidRPr="00F507AB">
        <w:t>, and disturbance allowances</w:t>
      </w:r>
      <w:r w:rsidR="0008037A" w:rsidRPr="00F507AB">
        <w:t xml:space="preserve">) </w:t>
      </w:r>
      <w:r w:rsidR="0008037A" w:rsidRPr="007C0FE3">
        <w:t xml:space="preserve">Determination </w:t>
      </w:r>
      <w:r w:rsidR="00350C06" w:rsidRPr="007C0FE3">
        <w:t xml:space="preserve">(No. </w:t>
      </w:r>
      <w:r w:rsidR="007C0FE3" w:rsidRPr="007C0FE3">
        <w:t>7</w:t>
      </w:r>
      <w:r w:rsidR="00350C06" w:rsidRPr="007C0FE3">
        <w:t>) 2025</w:t>
      </w:r>
    </w:p>
    <w:p w14:paraId="383649D3" w14:textId="337A16C4" w:rsidR="001E51FE" w:rsidRPr="00B3424E" w:rsidRDefault="001E51FE" w:rsidP="00EC45EE">
      <w:pPr>
        <w:pStyle w:val="Sectiontext"/>
        <w:tabs>
          <w:tab w:val="left" w:pos="7380"/>
        </w:tabs>
      </w:pPr>
      <w:r w:rsidRPr="00B3424E">
        <w:t xml:space="preserve">This Determination amends Defence Determination 2016/19, Conditions of service (the Principal Determination), made under section 58B of the </w:t>
      </w:r>
      <w:r w:rsidRPr="00B3424E">
        <w:rPr>
          <w:i/>
        </w:rPr>
        <w:t>Defence Act 1903</w:t>
      </w:r>
      <w:r w:rsidR="00FA083A" w:rsidRPr="00B3424E">
        <w:t xml:space="preserve"> </w:t>
      </w:r>
      <w:r w:rsidR="00D516AD" w:rsidRPr="00B3424E">
        <w:t xml:space="preserve">(Defence Act) </w:t>
      </w:r>
      <w:r w:rsidRPr="00B3424E">
        <w:t xml:space="preserve">and in accordance with subsection 33(3) of the </w:t>
      </w:r>
      <w:r w:rsidRPr="00B3424E">
        <w:rPr>
          <w:i/>
        </w:rPr>
        <w:t>Acts Interpretation Act 1901</w:t>
      </w:r>
      <w:r w:rsidR="00557413" w:rsidRPr="00B3424E">
        <w:t xml:space="preserve"> (AI</w:t>
      </w:r>
      <w:r w:rsidRPr="00B3424E">
        <w:t xml:space="preserve"> Act). </w:t>
      </w:r>
    </w:p>
    <w:p w14:paraId="15BAF105" w14:textId="1E7F493C" w:rsidR="001E51FE" w:rsidRPr="00B3424E" w:rsidRDefault="001E51FE" w:rsidP="001E51FE">
      <w:pPr>
        <w:pStyle w:val="Sectiontext"/>
        <w:tabs>
          <w:tab w:val="left" w:pos="7380"/>
        </w:tabs>
      </w:pPr>
      <w:r w:rsidRPr="00B3424E">
        <w:t xml:space="preserve">Determinations made under section 58B of the Defence Act are disallowable legislative instruments subject to the </w:t>
      </w:r>
      <w:r w:rsidRPr="00B3424E">
        <w:rPr>
          <w:i/>
        </w:rPr>
        <w:t>Legislation Act 2003</w:t>
      </w:r>
      <w:r w:rsidR="00724541" w:rsidRPr="00B3424E">
        <w:rPr>
          <w:i/>
        </w:rPr>
        <w:t xml:space="preserve"> </w:t>
      </w:r>
      <w:r w:rsidR="00724541" w:rsidRPr="00B3424E">
        <w:rPr>
          <w:iCs/>
        </w:rPr>
        <w:t>(Legislation Act)</w:t>
      </w:r>
      <w:r w:rsidRPr="00B3424E">
        <w:t>. These instruments are also subject to the interpret</w:t>
      </w:r>
      <w:r w:rsidR="00557413" w:rsidRPr="00B3424E">
        <w:t>ation principles in the AI</w:t>
      </w:r>
      <w:r w:rsidRPr="00B3424E">
        <w:t xml:space="preserve"> Act. </w:t>
      </w:r>
    </w:p>
    <w:p w14:paraId="14293F1E" w14:textId="1D04A679" w:rsidR="00682847" w:rsidRPr="00B3424E" w:rsidRDefault="00682847" w:rsidP="001E51FE">
      <w:pPr>
        <w:pStyle w:val="Sectiontext"/>
        <w:tabs>
          <w:tab w:val="left" w:pos="7380"/>
        </w:tabs>
      </w:pPr>
      <w:r w:rsidRPr="00B3424E">
        <w:t>This Determination amends the Principal Determination which provides benefits for members of the Australian Defence Force (ADF) and their families as part of the member’s conditions of service. The Principal Determination provides a range of benefits that recognise the unique nature of military service and the obligation</w:t>
      </w:r>
      <w:r w:rsidR="00E81ECD" w:rsidRPr="00B3424E">
        <w:t>s</w:t>
      </w:r>
      <w:r w:rsidRPr="00B3424E">
        <w:t xml:space="preserve"> and limitations that military service places on members and their families. Members undertake service in both the domestic and overseas environments, including on deployments. Specific benefits are provided for each environment. </w:t>
      </w:r>
    </w:p>
    <w:p w14:paraId="41EF0E3E" w14:textId="28AD15E4" w:rsidR="00682847" w:rsidRPr="00B3424E" w:rsidRDefault="00682847" w:rsidP="00682847">
      <w:pPr>
        <w:pStyle w:val="Sectiontext"/>
        <w:tabs>
          <w:tab w:val="left" w:pos="7380"/>
        </w:tabs>
        <w:jc w:val="center"/>
        <w:rPr>
          <w:b/>
        </w:rPr>
      </w:pPr>
      <w:r w:rsidRPr="00B3424E">
        <w:rPr>
          <w:b/>
        </w:rPr>
        <w:t>Purpose</w:t>
      </w:r>
    </w:p>
    <w:p w14:paraId="36B87A08" w14:textId="77777777" w:rsidR="00926820" w:rsidRPr="00B3424E" w:rsidRDefault="00926820" w:rsidP="00926820">
      <w:pPr>
        <w:pStyle w:val="Sectiontext"/>
        <w:tabs>
          <w:tab w:val="left" w:pos="7380"/>
        </w:tabs>
      </w:pPr>
      <w:r w:rsidRPr="00B3424E">
        <w:t>The purpose of this Determination is to do the following:</w:t>
      </w:r>
    </w:p>
    <w:p w14:paraId="5E2E5381" w14:textId="77777777" w:rsidR="00926820" w:rsidRPr="00B3424E" w:rsidRDefault="00926820" w:rsidP="00926820">
      <w:pPr>
        <w:pStyle w:val="ListParagraph"/>
        <w:numPr>
          <w:ilvl w:val="0"/>
          <w:numId w:val="17"/>
        </w:numPr>
        <w:shd w:val="clear" w:color="auto" w:fill="FFFFFF"/>
        <w:spacing w:after="200" w:line="240" w:lineRule="auto"/>
        <w:contextualSpacing w:val="0"/>
        <w:rPr>
          <w:rFonts w:ascii="Arial" w:eastAsia="Times New Roman" w:hAnsi="Arial" w:cs="Arial"/>
          <w:color w:val="000000"/>
          <w:sz w:val="20"/>
          <w:lang w:eastAsia="en-AU"/>
        </w:rPr>
      </w:pPr>
      <w:r w:rsidRPr="00B3424E">
        <w:rPr>
          <w:rFonts w:ascii="Arial" w:eastAsia="Times New Roman" w:hAnsi="Arial" w:cs="Arial"/>
          <w:color w:val="000000"/>
          <w:sz w:val="20"/>
          <w:lang w:eastAsia="en-AU"/>
        </w:rPr>
        <w:t>Amend the rates of contribution that members must make for their living-in accommodation. Living-in accommodation is a type of military accommodation that is provided for some single members, or members who do not have their families with them.</w:t>
      </w:r>
    </w:p>
    <w:p w14:paraId="1C338979" w14:textId="74461D99" w:rsidR="00926820" w:rsidRDefault="00926820" w:rsidP="00926820">
      <w:pPr>
        <w:pStyle w:val="ListParagraph"/>
        <w:numPr>
          <w:ilvl w:val="0"/>
          <w:numId w:val="17"/>
        </w:numPr>
        <w:shd w:val="clear" w:color="auto" w:fill="FFFFFF"/>
        <w:spacing w:after="200" w:line="240" w:lineRule="auto"/>
        <w:contextualSpacing w:val="0"/>
        <w:rPr>
          <w:rFonts w:ascii="Arial" w:eastAsia="Times New Roman" w:hAnsi="Arial" w:cs="Arial"/>
          <w:color w:val="000000"/>
          <w:sz w:val="20"/>
          <w:lang w:eastAsia="en-AU"/>
        </w:rPr>
      </w:pPr>
      <w:r w:rsidRPr="00B3424E">
        <w:rPr>
          <w:rFonts w:ascii="Arial" w:eastAsia="Times New Roman" w:hAnsi="Arial" w:cs="Arial"/>
          <w:color w:val="000000"/>
          <w:sz w:val="20"/>
          <w:lang w:eastAsia="en-AU"/>
        </w:rPr>
        <w:t>Implement the annual review of allowances that members may receive for, and the contributions they are required to make towards, the cost of their accommodation, meals and utilities.</w:t>
      </w:r>
    </w:p>
    <w:p w14:paraId="40EA73CA" w14:textId="5E5B3E5D" w:rsidR="00F507AB" w:rsidRPr="00015ECD" w:rsidRDefault="00015ECD" w:rsidP="00926820">
      <w:pPr>
        <w:pStyle w:val="ListParagraph"/>
        <w:numPr>
          <w:ilvl w:val="0"/>
          <w:numId w:val="17"/>
        </w:numPr>
        <w:shd w:val="clear" w:color="auto" w:fill="FFFFFF"/>
        <w:spacing w:after="200" w:line="240" w:lineRule="auto"/>
        <w:contextualSpacing w:val="0"/>
        <w:rPr>
          <w:rFonts w:ascii="Arial" w:eastAsia="Times New Roman" w:hAnsi="Arial" w:cs="Arial"/>
          <w:color w:val="000000"/>
          <w:sz w:val="20"/>
          <w:lang w:eastAsia="en-AU"/>
        </w:rPr>
      </w:pPr>
      <w:r w:rsidRPr="00015ECD">
        <w:rPr>
          <w:rFonts w:ascii="Arial" w:hAnsi="Arial" w:cs="Arial"/>
          <w:sz w:val="20"/>
        </w:rPr>
        <w:t xml:space="preserve">Amend the rate of disturbance allowance provided to eligible members and to the additional payment resulting from their child changing schools following a removal. </w:t>
      </w:r>
    </w:p>
    <w:p w14:paraId="604AE69D" w14:textId="52658887" w:rsidR="00682847" w:rsidRPr="00B3424E" w:rsidRDefault="006422B7" w:rsidP="00926820">
      <w:pPr>
        <w:pStyle w:val="Sectiontext"/>
        <w:tabs>
          <w:tab w:val="left" w:pos="7380"/>
        </w:tabs>
        <w:jc w:val="center"/>
        <w:rPr>
          <w:b/>
        </w:rPr>
      </w:pPr>
      <w:r w:rsidRPr="00B3424E">
        <w:rPr>
          <w:b/>
        </w:rPr>
        <w:t>Operational d</w:t>
      </w:r>
      <w:r w:rsidR="00682847" w:rsidRPr="00B3424E">
        <w:rPr>
          <w:b/>
        </w:rPr>
        <w:t>etails</w:t>
      </w:r>
    </w:p>
    <w:p w14:paraId="7EFA54F1" w14:textId="02F02193" w:rsidR="00682847" w:rsidRPr="00B3424E" w:rsidRDefault="00682847" w:rsidP="00682847">
      <w:pPr>
        <w:pStyle w:val="Sectiontext"/>
        <w:tabs>
          <w:tab w:val="left" w:pos="7380"/>
        </w:tabs>
      </w:pPr>
      <w:r w:rsidRPr="00B3424E">
        <w:t>Details of the operation of the Determination are provided at annex A.</w:t>
      </w:r>
    </w:p>
    <w:p w14:paraId="2A7303DD" w14:textId="77777777" w:rsidR="00AA0D47" w:rsidRPr="00B3424E" w:rsidRDefault="00AA0D47" w:rsidP="00AA0D47">
      <w:pPr>
        <w:pStyle w:val="Sectiontext"/>
        <w:jc w:val="center"/>
        <w:rPr>
          <w:b/>
          <w:snapToGrid w:val="0"/>
        </w:rPr>
      </w:pPr>
      <w:r w:rsidRPr="00B3424E">
        <w:rPr>
          <w:b/>
          <w:snapToGrid w:val="0"/>
        </w:rPr>
        <w:t>Human rights compatibility</w:t>
      </w:r>
    </w:p>
    <w:p w14:paraId="19681186" w14:textId="77777777" w:rsidR="00AA0D47" w:rsidRPr="00B3424E" w:rsidRDefault="00AA0D47" w:rsidP="00AA0D47">
      <w:pPr>
        <w:pStyle w:val="Sectiontext"/>
        <w:rPr>
          <w:snapToGrid w:val="0"/>
        </w:rPr>
      </w:pPr>
      <w:r w:rsidRPr="00B3424E">
        <w:rPr>
          <w:snapToGrid w:val="0"/>
        </w:rPr>
        <w:t xml:space="preserve">The statement of compatibility under subsection 9(1) of the </w:t>
      </w:r>
      <w:r w:rsidRPr="00B3424E">
        <w:rPr>
          <w:i/>
          <w:snapToGrid w:val="0"/>
        </w:rPr>
        <w:t>Human Rights (Parliamentary Scrutiny) Act 2011</w:t>
      </w:r>
      <w:r w:rsidRPr="00B3424E">
        <w:rPr>
          <w:snapToGrid w:val="0"/>
        </w:rPr>
        <w:t xml:space="preserve"> for this Determination is at annex B.</w:t>
      </w:r>
    </w:p>
    <w:p w14:paraId="48750C29" w14:textId="77777777" w:rsidR="00AA0D47" w:rsidRPr="00B3424E" w:rsidRDefault="00AA0D47" w:rsidP="00AA0D47">
      <w:pPr>
        <w:pStyle w:val="Sectiontext"/>
        <w:jc w:val="center"/>
        <w:rPr>
          <w:b/>
          <w:snapToGrid w:val="0"/>
        </w:rPr>
      </w:pPr>
      <w:r w:rsidRPr="00B3424E">
        <w:rPr>
          <w:b/>
          <w:snapToGrid w:val="0"/>
        </w:rPr>
        <w:t>Review options</w:t>
      </w:r>
    </w:p>
    <w:p w14:paraId="4D604980" w14:textId="77777777" w:rsidR="00AA0D47" w:rsidRPr="00B3424E" w:rsidRDefault="00AA0D47" w:rsidP="00AA0D47">
      <w:pPr>
        <w:pStyle w:val="Sectiontext"/>
        <w:rPr>
          <w:snapToGrid w:val="0"/>
        </w:rPr>
      </w:pPr>
      <w:r w:rsidRPr="00B3424E">
        <w:rPr>
          <w:snapToGrid w:val="0"/>
        </w:rPr>
        <w:t xml:space="preserve">Decisions that are made under the Principal Determination, as amended by this Determination, may be subject to inquiry under the ADF redress of grievance system provided under Part 7 of the </w:t>
      </w:r>
      <w:r w:rsidRPr="00B3424E">
        <w:rPr>
          <w:i/>
          <w:snapToGrid w:val="0"/>
        </w:rPr>
        <w:t>Defence Regulation 2016</w:t>
      </w:r>
      <w:r w:rsidRPr="00B3424E">
        <w:rPr>
          <w:snapToGrid w:val="0"/>
        </w:rPr>
        <w:t>. Also, a person may make a complaint to the Defence Force Ombudsman.</w:t>
      </w:r>
    </w:p>
    <w:p w14:paraId="7E598E8C" w14:textId="77777777" w:rsidR="00E27C44" w:rsidRDefault="00E27C44">
      <w:pPr>
        <w:spacing w:line="240" w:lineRule="auto"/>
        <w:rPr>
          <w:rFonts w:ascii="Arial" w:eastAsia="Times New Roman" w:hAnsi="Arial" w:cs="Arial"/>
          <w:b/>
          <w:color w:val="000000"/>
          <w:sz w:val="20"/>
          <w:lang w:eastAsia="en-AU"/>
        </w:rPr>
      </w:pPr>
      <w:r>
        <w:rPr>
          <w:rFonts w:cs="Arial"/>
          <w:b/>
          <w:color w:val="000000"/>
        </w:rPr>
        <w:br w:type="page"/>
      </w:r>
    </w:p>
    <w:p w14:paraId="149401F6" w14:textId="12205B41" w:rsidR="00926820" w:rsidRPr="00B3424E" w:rsidRDefault="00926820" w:rsidP="00926820">
      <w:pPr>
        <w:pStyle w:val="Sectiontext"/>
        <w:jc w:val="center"/>
        <w:rPr>
          <w:rFonts w:cs="Arial"/>
          <w:snapToGrid w:val="0"/>
          <w:color w:val="000000"/>
        </w:rPr>
      </w:pPr>
      <w:r w:rsidRPr="00B3424E">
        <w:rPr>
          <w:rFonts w:cs="Arial"/>
          <w:b/>
          <w:color w:val="000000"/>
        </w:rPr>
        <w:lastRenderedPageBreak/>
        <w:t>Consultation</w:t>
      </w:r>
    </w:p>
    <w:p w14:paraId="724C1300" w14:textId="75874F0B" w:rsidR="00926820" w:rsidRPr="00B3424E" w:rsidRDefault="00926820" w:rsidP="00926820">
      <w:pPr>
        <w:pStyle w:val="Sectiontext"/>
        <w:rPr>
          <w:rFonts w:cs="Arial"/>
        </w:rPr>
      </w:pPr>
      <w:r w:rsidRPr="00B3424E">
        <w:rPr>
          <w:snapToGrid w:val="0"/>
        </w:rPr>
        <w:t>Before this Determination was made</w:t>
      </w:r>
      <w:r w:rsidRPr="00B3424E">
        <w:rPr>
          <w:rFonts w:cs="Arial"/>
        </w:rPr>
        <w:t xml:space="preserve"> consultation was undertaken with Defence Finance Group</w:t>
      </w:r>
      <w:r w:rsidR="00C04480">
        <w:rPr>
          <w:rFonts w:cs="Arial"/>
        </w:rPr>
        <w:t>, Security and Estate Group and Defence Housing Australia</w:t>
      </w:r>
      <w:r w:rsidRPr="00B3424E">
        <w:rPr>
          <w:rFonts w:cs="Arial"/>
        </w:rPr>
        <w:t>. Further consultation is not considered necessary in the annual housing</w:t>
      </w:r>
      <w:r w:rsidR="00C04480">
        <w:rPr>
          <w:rFonts w:cs="Arial"/>
        </w:rPr>
        <w:t xml:space="preserve"> and associated</w:t>
      </w:r>
      <w:r w:rsidRPr="00B3424E">
        <w:rPr>
          <w:rFonts w:cs="Arial"/>
        </w:rPr>
        <w:t xml:space="preserve"> rates adjustment. This is a routine change to housing contributions and allowances.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rsidRPr="00B3424E" w14:paraId="70C43414" w14:textId="77777777" w:rsidTr="00E817E9">
        <w:tc>
          <w:tcPr>
            <w:tcW w:w="4672" w:type="dxa"/>
          </w:tcPr>
          <w:p w14:paraId="218C04DB" w14:textId="77777777" w:rsidR="00AA0D47" w:rsidRPr="00B3424E" w:rsidRDefault="00AA0D47" w:rsidP="00E817E9">
            <w:pPr>
              <w:keepNext/>
              <w:jc w:val="right"/>
              <w:rPr>
                <w:rFonts w:ascii="Arial" w:hAnsi="Arial" w:cs="Arial"/>
                <w:b/>
                <w:sz w:val="20"/>
              </w:rPr>
            </w:pPr>
            <w:r w:rsidRPr="00B3424E">
              <w:rPr>
                <w:rFonts w:ascii="Arial" w:hAnsi="Arial" w:cs="Arial"/>
                <w:b/>
                <w:sz w:val="20"/>
              </w:rPr>
              <w:t>Approved by:</w:t>
            </w:r>
          </w:p>
        </w:tc>
        <w:tc>
          <w:tcPr>
            <w:tcW w:w="4673" w:type="dxa"/>
          </w:tcPr>
          <w:p w14:paraId="13A31C67" w14:textId="5B7DAB76" w:rsidR="00AA0D47" w:rsidRPr="00B3424E" w:rsidRDefault="00350C06" w:rsidP="00E817E9">
            <w:pPr>
              <w:keepNext/>
              <w:jc w:val="right"/>
              <w:rPr>
                <w:rFonts w:ascii="Arial" w:hAnsi="Arial" w:cs="Arial"/>
                <w:b/>
                <w:sz w:val="20"/>
              </w:rPr>
            </w:pPr>
            <w:r>
              <w:rPr>
                <w:rFonts w:ascii="Arial" w:hAnsi="Arial" w:cs="Arial"/>
                <w:b/>
                <w:sz w:val="20"/>
              </w:rPr>
              <w:t>Sarah Kate McGregor</w:t>
            </w:r>
          </w:p>
          <w:p w14:paraId="738562E6" w14:textId="35106F79" w:rsidR="00AA0D47" w:rsidRPr="00B3424E" w:rsidRDefault="00C55430" w:rsidP="00E817E9">
            <w:pPr>
              <w:keepNext/>
              <w:jc w:val="right"/>
              <w:rPr>
                <w:rFonts w:ascii="Arial" w:hAnsi="Arial" w:cs="Arial"/>
                <w:sz w:val="20"/>
              </w:rPr>
            </w:pPr>
            <w:r w:rsidRPr="00B3424E">
              <w:rPr>
                <w:rFonts w:ascii="Arial" w:hAnsi="Arial" w:cs="Arial"/>
                <w:sz w:val="20"/>
              </w:rPr>
              <w:t xml:space="preserve">Acting </w:t>
            </w:r>
            <w:r w:rsidR="00350C06">
              <w:rPr>
                <w:rFonts w:ascii="Arial" w:hAnsi="Arial" w:cs="Arial"/>
                <w:sz w:val="20"/>
              </w:rPr>
              <w:t>Director General</w:t>
            </w:r>
          </w:p>
          <w:p w14:paraId="5F2FF655" w14:textId="77777777" w:rsidR="00AA0D47" w:rsidRPr="00B3424E" w:rsidRDefault="00AA0D47" w:rsidP="00E817E9">
            <w:pPr>
              <w:keepNext/>
              <w:jc w:val="right"/>
              <w:rPr>
                <w:rFonts w:ascii="Arial" w:hAnsi="Arial" w:cs="Arial"/>
                <w:sz w:val="20"/>
              </w:rPr>
            </w:pPr>
            <w:r w:rsidRPr="00B3424E">
              <w:rPr>
                <w:rFonts w:ascii="Arial" w:hAnsi="Arial" w:cs="Arial"/>
                <w:sz w:val="20"/>
              </w:rPr>
              <w:t>People Policy and Employment Conditions</w:t>
            </w:r>
          </w:p>
          <w:p w14:paraId="4E0A008E" w14:textId="77777777" w:rsidR="00AA0D47" w:rsidRPr="00B3424E" w:rsidRDefault="00AA0D47" w:rsidP="00E817E9">
            <w:pPr>
              <w:keepNext/>
              <w:jc w:val="right"/>
              <w:rPr>
                <w:rFonts w:ascii="Arial" w:hAnsi="Arial" w:cs="Arial"/>
                <w:b/>
                <w:sz w:val="20"/>
              </w:rPr>
            </w:pPr>
          </w:p>
        </w:tc>
      </w:tr>
      <w:tr w:rsidR="00AA0D47" w:rsidRPr="00B3424E" w14:paraId="2232ED17" w14:textId="77777777" w:rsidTr="00E817E9">
        <w:tc>
          <w:tcPr>
            <w:tcW w:w="4672" w:type="dxa"/>
          </w:tcPr>
          <w:p w14:paraId="320EE412" w14:textId="77777777" w:rsidR="00AA0D47" w:rsidRPr="00B3424E" w:rsidRDefault="00AA0D47" w:rsidP="00E817E9">
            <w:pPr>
              <w:keepNext/>
              <w:jc w:val="right"/>
              <w:rPr>
                <w:rFonts w:ascii="Arial" w:hAnsi="Arial" w:cs="Arial"/>
                <w:b/>
                <w:sz w:val="20"/>
              </w:rPr>
            </w:pPr>
            <w:r w:rsidRPr="00B3424E">
              <w:rPr>
                <w:rFonts w:ascii="Arial" w:hAnsi="Arial" w:cs="Arial"/>
                <w:b/>
                <w:sz w:val="20"/>
              </w:rPr>
              <w:t>Authority:</w:t>
            </w:r>
          </w:p>
        </w:tc>
        <w:tc>
          <w:tcPr>
            <w:tcW w:w="4673" w:type="dxa"/>
          </w:tcPr>
          <w:p w14:paraId="0050434F" w14:textId="77777777" w:rsidR="00AA0D47" w:rsidRPr="00B3424E" w:rsidRDefault="00AA0D47" w:rsidP="00E817E9">
            <w:pPr>
              <w:keepNext/>
              <w:jc w:val="right"/>
              <w:rPr>
                <w:rFonts w:ascii="Arial" w:hAnsi="Arial" w:cs="Arial"/>
                <w:b/>
                <w:sz w:val="20"/>
              </w:rPr>
            </w:pPr>
            <w:r w:rsidRPr="00B3424E">
              <w:rPr>
                <w:rFonts w:ascii="Arial" w:hAnsi="Arial" w:cs="Arial"/>
                <w:sz w:val="20"/>
              </w:rPr>
              <w:t xml:space="preserve">Section 58B of the </w:t>
            </w:r>
            <w:r w:rsidRPr="00B3424E">
              <w:rPr>
                <w:rFonts w:ascii="Arial" w:hAnsi="Arial" w:cs="Arial"/>
                <w:sz w:val="20"/>
              </w:rPr>
              <w:br/>
            </w:r>
            <w:r w:rsidRPr="00B3424E">
              <w:rPr>
                <w:rFonts w:ascii="Arial" w:hAnsi="Arial" w:cs="Arial"/>
                <w:i/>
                <w:sz w:val="20"/>
              </w:rPr>
              <w:t>Defence Act 1903</w:t>
            </w:r>
          </w:p>
        </w:tc>
      </w:tr>
    </w:tbl>
    <w:p w14:paraId="750CC8D9" w14:textId="77777777" w:rsidR="00AA0D47" w:rsidRPr="00B3424E" w:rsidRDefault="00AA0D47">
      <w:pPr>
        <w:spacing w:line="240" w:lineRule="auto"/>
        <w:rPr>
          <w:rFonts w:ascii="Arial" w:eastAsia="Times New Roman" w:hAnsi="Arial" w:cs="Times New Roman"/>
          <w:snapToGrid w:val="0"/>
          <w:sz w:val="20"/>
          <w:lang w:eastAsia="en-AU"/>
        </w:rPr>
      </w:pPr>
      <w:r w:rsidRPr="00B3424E">
        <w:rPr>
          <w:snapToGrid w:val="0"/>
        </w:rPr>
        <w:br w:type="page"/>
      </w:r>
    </w:p>
    <w:p w14:paraId="6DB2C115" w14:textId="5D540EB7" w:rsidR="00AA0D47" w:rsidRPr="00B3424E" w:rsidRDefault="00AA0D47" w:rsidP="00AA0D47">
      <w:pPr>
        <w:pStyle w:val="Sectiontext"/>
        <w:jc w:val="right"/>
        <w:rPr>
          <w:b/>
          <w:snapToGrid w:val="0"/>
        </w:rPr>
      </w:pPr>
      <w:r w:rsidRPr="00B3424E">
        <w:rPr>
          <w:b/>
          <w:snapToGrid w:val="0"/>
        </w:rPr>
        <w:lastRenderedPageBreak/>
        <w:t>Annex A</w:t>
      </w:r>
    </w:p>
    <w:p w14:paraId="43253389" w14:textId="3D8EF5D5" w:rsidR="00417CDA" w:rsidRPr="00B3424E" w:rsidRDefault="00417CDA" w:rsidP="00AA0D47">
      <w:pPr>
        <w:pStyle w:val="Sectiontext"/>
        <w:jc w:val="center"/>
        <w:rPr>
          <w:b/>
          <w:bCs/>
          <w:i/>
          <w:noProof/>
          <w:snapToGrid w:val="0"/>
          <w:lang w:val="en-US"/>
        </w:rPr>
      </w:pPr>
      <w:r w:rsidRPr="00B3424E">
        <w:rPr>
          <w:b/>
          <w:bCs/>
          <w:i/>
          <w:noProof/>
          <w:snapToGrid w:val="0"/>
          <w:lang w:val="en-US"/>
        </w:rPr>
        <w:t>Defence Determination, Conditions of service (</w:t>
      </w:r>
      <w:r w:rsidR="00C55430" w:rsidRPr="00B3424E">
        <w:rPr>
          <w:b/>
          <w:i/>
        </w:rPr>
        <w:t>Living–in accommodation</w:t>
      </w:r>
      <w:r w:rsidR="00B65224">
        <w:rPr>
          <w:b/>
          <w:i/>
        </w:rPr>
        <w:t xml:space="preserve">, </w:t>
      </w:r>
      <w:r w:rsidR="00C55430" w:rsidRPr="00B3424E">
        <w:rPr>
          <w:b/>
          <w:i/>
        </w:rPr>
        <w:t>housing contributions and allowances</w:t>
      </w:r>
      <w:r w:rsidR="00B65224">
        <w:rPr>
          <w:b/>
          <w:i/>
        </w:rPr>
        <w:t>, and disturbance allowances</w:t>
      </w:r>
      <w:r w:rsidRPr="00B3424E">
        <w:rPr>
          <w:b/>
          <w:bCs/>
          <w:i/>
          <w:noProof/>
          <w:snapToGrid w:val="0"/>
          <w:lang w:val="en-US"/>
        </w:rPr>
        <w:t xml:space="preserve">) Determination </w:t>
      </w:r>
      <w:r w:rsidR="00350C06">
        <w:rPr>
          <w:b/>
          <w:bCs/>
          <w:i/>
          <w:noProof/>
          <w:snapToGrid w:val="0"/>
          <w:lang w:val="en-US"/>
        </w:rPr>
        <w:t xml:space="preserve">(No. </w:t>
      </w:r>
      <w:r w:rsidR="007C0FE3">
        <w:rPr>
          <w:b/>
          <w:bCs/>
          <w:i/>
          <w:noProof/>
          <w:snapToGrid w:val="0"/>
          <w:lang w:val="en-US"/>
        </w:rPr>
        <w:t>7</w:t>
      </w:r>
      <w:r w:rsidR="00350C06">
        <w:rPr>
          <w:b/>
          <w:bCs/>
          <w:i/>
          <w:noProof/>
          <w:snapToGrid w:val="0"/>
          <w:lang w:val="en-US"/>
        </w:rPr>
        <w:t>) 2025</w:t>
      </w:r>
    </w:p>
    <w:p w14:paraId="1CBBBDEE" w14:textId="4FA33496" w:rsidR="00AA0D47" w:rsidRPr="00B3424E" w:rsidRDefault="00AA0D47" w:rsidP="00AA0D47">
      <w:pPr>
        <w:pStyle w:val="Sectiontext"/>
        <w:jc w:val="center"/>
        <w:rPr>
          <w:b/>
          <w:bCs/>
          <w:i/>
          <w:noProof/>
          <w:snapToGrid w:val="0"/>
          <w:lang w:val="en-US"/>
        </w:rPr>
      </w:pPr>
      <w:r w:rsidRPr="00B3424E">
        <w:rPr>
          <w:b/>
          <w:bCs/>
          <w:i/>
          <w:noProof/>
          <w:snapToGrid w:val="0"/>
          <w:lang w:val="en-US"/>
        </w:rPr>
        <w:t>Operational details</w:t>
      </w:r>
    </w:p>
    <w:p w14:paraId="02DC0CEE" w14:textId="77777777" w:rsidR="00AA0D47" w:rsidRPr="00B3424E" w:rsidRDefault="00AA0D47" w:rsidP="00AA0D47">
      <w:pPr>
        <w:pStyle w:val="Sectiontext"/>
        <w:rPr>
          <w:snapToGrid w:val="0"/>
        </w:rPr>
      </w:pPr>
      <w:r w:rsidRPr="00B3424E">
        <w:rPr>
          <w:snapToGrid w:val="0"/>
        </w:rPr>
        <w:t>Section 1 of this Determination sets out the manner in which this Determination may be cited.</w:t>
      </w:r>
    </w:p>
    <w:p w14:paraId="4EE8C121" w14:textId="20341D8B" w:rsidR="00AA0D47" w:rsidRPr="00B3424E" w:rsidRDefault="00AA0D47" w:rsidP="00AA0D47">
      <w:pPr>
        <w:pStyle w:val="Sectiontext"/>
        <w:rPr>
          <w:snapToGrid w:val="0"/>
        </w:rPr>
      </w:pPr>
      <w:r w:rsidRPr="00B3424E">
        <w:rPr>
          <w:snapToGrid w:val="0"/>
        </w:rPr>
        <w:t xml:space="preserve">Section 2 provides </w:t>
      </w:r>
      <w:r w:rsidR="00C04480">
        <w:rPr>
          <w:snapToGrid w:val="0"/>
        </w:rPr>
        <w:t xml:space="preserve">that the Determination </w:t>
      </w:r>
      <w:proofErr w:type="gramStart"/>
      <w:r w:rsidR="00C04480">
        <w:rPr>
          <w:snapToGrid w:val="0"/>
        </w:rPr>
        <w:t>commences</w:t>
      </w:r>
      <w:proofErr w:type="gramEnd"/>
      <w:r w:rsidR="00C04480">
        <w:rPr>
          <w:snapToGrid w:val="0"/>
        </w:rPr>
        <w:t xml:space="preserve"> on </w:t>
      </w:r>
      <w:r w:rsidR="00613AEE">
        <w:rPr>
          <w:snapToGrid w:val="0"/>
        </w:rPr>
        <w:t>17</w:t>
      </w:r>
      <w:r w:rsidR="00B65224">
        <w:rPr>
          <w:snapToGrid w:val="0"/>
        </w:rPr>
        <w:t xml:space="preserve"> July 2025.</w:t>
      </w:r>
    </w:p>
    <w:p w14:paraId="66C3A9CC" w14:textId="365D1949" w:rsidR="001E51FE" w:rsidRPr="00B3424E" w:rsidRDefault="001E51FE" w:rsidP="001E51FE">
      <w:pPr>
        <w:pStyle w:val="Sectiontext"/>
        <w:rPr>
          <w:snapToGrid w:val="0"/>
        </w:rPr>
      </w:pPr>
      <w:r w:rsidRPr="00B3424E">
        <w:rPr>
          <w:snapToGrid w:val="0"/>
        </w:rPr>
        <w:t>Section 3 provides that this instrument has authority under section 58B of the Defence Act.</w:t>
      </w:r>
    </w:p>
    <w:p w14:paraId="7B55DD4F" w14:textId="77777777" w:rsidR="001E51FE" w:rsidRPr="00B3424E" w:rsidRDefault="001E51FE" w:rsidP="001E51FE">
      <w:pPr>
        <w:pStyle w:val="Sectiontext"/>
        <w:rPr>
          <w:snapToGrid w:val="0"/>
        </w:rPr>
      </w:pPr>
      <w:r w:rsidRPr="00B3424E">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522AD3C0" w14:textId="101FC31D" w:rsidR="009A6866" w:rsidRPr="00B3424E" w:rsidRDefault="009A6866" w:rsidP="00FA083A">
      <w:pPr>
        <w:pStyle w:val="Sectiontext"/>
        <w:rPr>
          <w:i/>
          <w:snapToGrid w:val="0"/>
          <w:u w:val="single"/>
        </w:rPr>
      </w:pPr>
      <w:r w:rsidRPr="00B3424E">
        <w:rPr>
          <w:i/>
          <w:snapToGrid w:val="0"/>
          <w:u w:val="single"/>
        </w:rPr>
        <w:t>Schedule 1</w:t>
      </w:r>
      <w:r w:rsidRPr="00B3424E">
        <w:rPr>
          <w:rFonts w:cs="Arial"/>
          <w:i/>
          <w:snapToGrid w:val="0"/>
          <w:u w:val="single"/>
        </w:rPr>
        <w:t>—</w:t>
      </w:r>
      <w:r w:rsidR="00861E7B" w:rsidRPr="00B3424E">
        <w:rPr>
          <w:i/>
          <w:snapToGrid w:val="0"/>
          <w:u w:val="single"/>
        </w:rPr>
        <w:t xml:space="preserve">Living-in accommodation – </w:t>
      </w:r>
      <w:r w:rsidRPr="00B3424E">
        <w:rPr>
          <w:i/>
          <w:snapToGrid w:val="0"/>
          <w:u w:val="single"/>
        </w:rPr>
        <w:t>amendments</w:t>
      </w:r>
    </w:p>
    <w:p w14:paraId="5D4956C8" w14:textId="02F6497E" w:rsidR="00861E7B" w:rsidRPr="00B3424E" w:rsidRDefault="00861E7B" w:rsidP="00861E7B">
      <w:pPr>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t xml:space="preserve">Item 1 repeals and substitutes subsection 7.4.27.2 of the Principal Determination which provides the contribution a member must pay towards their living-in accommodation. The contribution rates have been </w:t>
      </w:r>
      <w:r w:rsidRPr="00F507AB">
        <w:rPr>
          <w:rFonts w:ascii="Arial" w:eastAsia="Times New Roman" w:hAnsi="Arial" w:cs="Arial"/>
          <w:sz w:val="20"/>
          <w:lang w:eastAsia="en-AU"/>
        </w:rPr>
        <w:t xml:space="preserve">increased by </w:t>
      </w:r>
      <w:r w:rsidR="00F507AB" w:rsidRPr="00F507AB">
        <w:rPr>
          <w:rFonts w:ascii="Arial" w:eastAsia="Times New Roman" w:hAnsi="Arial" w:cs="Arial"/>
          <w:sz w:val="20"/>
          <w:lang w:eastAsia="en-AU"/>
        </w:rPr>
        <w:t>6.7</w:t>
      </w:r>
      <w:r w:rsidR="00CD35EF" w:rsidRPr="00F507AB">
        <w:rPr>
          <w:rFonts w:ascii="Arial" w:eastAsia="Times New Roman" w:hAnsi="Arial" w:cs="Arial"/>
          <w:sz w:val="20"/>
          <w:lang w:eastAsia="en-AU"/>
        </w:rPr>
        <w:t>% following the increase in the rents sub-component of the Consumer Price Index over the 12</w:t>
      </w:r>
      <w:r w:rsidR="003A5FCE" w:rsidRPr="00F507AB">
        <w:rPr>
          <w:rFonts w:ascii="Arial" w:eastAsia="Times New Roman" w:hAnsi="Arial" w:cs="Arial"/>
          <w:sz w:val="20"/>
          <w:lang w:eastAsia="en-AU"/>
        </w:rPr>
        <w:t>-</w:t>
      </w:r>
      <w:r w:rsidR="00CD35EF" w:rsidRPr="00F507AB">
        <w:rPr>
          <w:rFonts w:ascii="Arial" w:eastAsia="Times New Roman" w:hAnsi="Arial" w:cs="Arial"/>
          <w:sz w:val="20"/>
          <w:lang w:eastAsia="en-AU"/>
        </w:rPr>
        <w:t>month period September 202</w:t>
      </w:r>
      <w:r w:rsidR="00F507AB" w:rsidRPr="00F507AB">
        <w:rPr>
          <w:rFonts w:ascii="Arial" w:eastAsia="Times New Roman" w:hAnsi="Arial" w:cs="Arial"/>
          <w:sz w:val="20"/>
          <w:lang w:eastAsia="en-AU"/>
        </w:rPr>
        <w:t>3</w:t>
      </w:r>
      <w:r w:rsidR="00CD35EF" w:rsidRPr="00F507AB">
        <w:rPr>
          <w:rFonts w:ascii="Arial" w:eastAsia="Times New Roman" w:hAnsi="Arial" w:cs="Arial"/>
          <w:sz w:val="20"/>
          <w:lang w:eastAsia="en-AU"/>
        </w:rPr>
        <w:t xml:space="preserve"> to September 202</w:t>
      </w:r>
      <w:r w:rsidR="00F507AB" w:rsidRPr="00F507AB">
        <w:rPr>
          <w:rFonts w:ascii="Arial" w:eastAsia="Times New Roman" w:hAnsi="Arial" w:cs="Arial"/>
          <w:sz w:val="20"/>
          <w:lang w:eastAsia="en-AU"/>
        </w:rPr>
        <w:t>4</w:t>
      </w:r>
      <w:r w:rsidR="00CD35EF" w:rsidRPr="00F507AB">
        <w:rPr>
          <w:rFonts w:ascii="Arial" w:eastAsia="Times New Roman" w:hAnsi="Arial" w:cs="Arial"/>
          <w:sz w:val="20"/>
          <w:lang w:eastAsia="en-AU"/>
        </w:rPr>
        <w:t>.</w:t>
      </w:r>
    </w:p>
    <w:p w14:paraId="61932F10" w14:textId="14F3002C" w:rsidR="00861E7B" w:rsidRPr="00B3424E" w:rsidRDefault="00861E7B" w:rsidP="00861E7B">
      <w:pPr>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t>Item 2 amends subsection 7.4.29.2 of the Principal Determination which provides the rental contribution a member must make towards</w:t>
      </w:r>
      <w:r w:rsidR="00357B4D">
        <w:rPr>
          <w:rFonts w:ascii="Arial" w:eastAsia="Times New Roman" w:hAnsi="Arial" w:cs="Arial"/>
          <w:sz w:val="20"/>
          <w:lang w:eastAsia="en-AU"/>
        </w:rPr>
        <w:t xml:space="preserve"> a</w:t>
      </w:r>
      <w:r w:rsidRPr="00B3424E">
        <w:rPr>
          <w:rFonts w:ascii="Arial" w:eastAsia="Times New Roman" w:hAnsi="Arial" w:cs="Arial"/>
          <w:sz w:val="20"/>
          <w:lang w:eastAsia="en-AU"/>
        </w:rPr>
        <w:t xml:space="preserve"> single bedroom apartment accommodation in Homebush or North </w:t>
      </w:r>
      <w:r w:rsidRPr="00F507AB">
        <w:rPr>
          <w:rFonts w:ascii="Arial" w:eastAsia="Times New Roman" w:hAnsi="Arial" w:cs="Arial"/>
          <w:sz w:val="20"/>
          <w:lang w:eastAsia="en-AU"/>
        </w:rPr>
        <w:t>Strathfield. The fortnightly contribution is increased from $</w:t>
      </w:r>
      <w:r w:rsidR="00350C06" w:rsidRPr="00F507AB">
        <w:rPr>
          <w:rFonts w:ascii="Arial" w:eastAsia="Times New Roman" w:hAnsi="Arial" w:cs="Arial"/>
          <w:sz w:val="20"/>
          <w:lang w:eastAsia="en-AU"/>
        </w:rPr>
        <w:t>295.33</w:t>
      </w:r>
      <w:r w:rsidRPr="00F507AB">
        <w:rPr>
          <w:rFonts w:ascii="Arial" w:eastAsia="Times New Roman" w:hAnsi="Arial" w:cs="Arial"/>
          <w:sz w:val="20"/>
          <w:lang w:eastAsia="en-AU"/>
        </w:rPr>
        <w:t xml:space="preserve"> to $</w:t>
      </w:r>
      <w:r w:rsidR="00F507AB" w:rsidRPr="00F507AB">
        <w:rPr>
          <w:rFonts w:ascii="Arial" w:eastAsia="Times New Roman" w:hAnsi="Arial" w:cs="Arial"/>
          <w:sz w:val="20"/>
          <w:lang w:eastAsia="en-AU"/>
        </w:rPr>
        <w:t>315.12</w:t>
      </w:r>
      <w:r w:rsidRPr="00F507AB">
        <w:rPr>
          <w:rFonts w:ascii="Arial" w:eastAsia="Times New Roman" w:hAnsi="Arial" w:cs="Arial"/>
          <w:sz w:val="20"/>
          <w:lang w:eastAsia="en-AU"/>
        </w:rPr>
        <w:t xml:space="preserve"> </w:t>
      </w:r>
      <w:r w:rsidR="00771887">
        <w:rPr>
          <w:rFonts w:ascii="Arial" w:eastAsia="Times New Roman" w:hAnsi="Arial" w:cs="Arial"/>
          <w:sz w:val="20"/>
          <w:lang w:eastAsia="en-AU"/>
        </w:rPr>
        <w:t>after a</w:t>
      </w:r>
      <w:r w:rsidRPr="00F507AB">
        <w:rPr>
          <w:rFonts w:ascii="Arial" w:eastAsia="Times New Roman" w:hAnsi="Arial" w:cs="Arial"/>
          <w:sz w:val="20"/>
          <w:lang w:eastAsia="en-AU"/>
        </w:rPr>
        <w:t xml:space="preserve"> </w:t>
      </w:r>
      <w:r w:rsidR="00F507AB" w:rsidRPr="00F507AB">
        <w:rPr>
          <w:rFonts w:ascii="Arial" w:eastAsia="Times New Roman" w:hAnsi="Arial" w:cs="Arial"/>
          <w:sz w:val="20"/>
          <w:lang w:eastAsia="en-AU"/>
        </w:rPr>
        <w:t>6.7</w:t>
      </w:r>
      <w:r w:rsidRPr="00F507AB">
        <w:rPr>
          <w:rFonts w:ascii="Arial" w:eastAsia="Times New Roman" w:hAnsi="Arial" w:cs="Arial"/>
          <w:sz w:val="20"/>
          <w:lang w:eastAsia="en-AU"/>
        </w:rPr>
        <w:t xml:space="preserve">% </w:t>
      </w:r>
      <w:r w:rsidR="00771887">
        <w:rPr>
          <w:rFonts w:ascii="Arial" w:eastAsia="Times New Roman" w:hAnsi="Arial" w:cs="Arial"/>
          <w:sz w:val="20"/>
          <w:lang w:eastAsia="en-AU"/>
        </w:rPr>
        <w:t xml:space="preserve">increase </w:t>
      </w:r>
      <w:r w:rsidRPr="00F507AB">
        <w:rPr>
          <w:rFonts w:ascii="Arial" w:eastAsia="Times New Roman" w:hAnsi="Arial" w:cs="Arial"/>
          <w:sz w:val="20"/>
          <w:lang w:eastAsia="en-AU"/>
        </w:rPr>
        <w:t>in the rents sub-component of the Consumer Price Index over the 12</w:t>
      </w:r>
      <w:r w:rsidR="003A5FCE" w:rsidRPr="00F507AB">
        <w:rPr>
          <w:rFonts w:ascii="Arial" w:eastAsia="Times New Roman" w:hAnsi="Arial" w:cs="Arial"/>
          <w:sz w:val="20"/>
          <w:lang w:eastAsia="en-AU"/>
        </w:rPr>
        <w:t>-</w:t>
      </w:r>
      <w:r w:rsidRPr="00F507AB">
        <w:rPr>
          <w:rFonts w:ascii="Arial" w:eastAsia="Times New Roman" w:hAnsi="Arial" w:cs="Arial"/>
          <w:sz w:val="20"/>
          <w:lang w:eastAsia="en-AU"/>
        </w:rPr>
        <w:t>month period September 202</w:t>
      </w:r>
      <w:r w:rsidR="00F507AB" w:rsidRPr="00F507AB">
        <w:rPr>
          <w:rFonts w:ascii="Arial" w:eastAsia="Times New Roman" w:hAnsi="Arial" w:cs="Arial"/>
          <w:sz w:val="20"/>
          <w:lang w:eastAsia="en-AU"/>
        </w:rPr>
        <w:t>3</w:t>
      </w:r>
      <w:r w:rsidRPr="00F507AB">
        <w:rPr>
          <w:rFonts w:ascii="Arial" w:eastAsia="Times New Roman" w:hAnsi="Arial" w:cs="Arial"/>
          <w:sz w:val="20"/>
          <w:lang w:eastAsia="en-AU"/>
        </w:rPr>
        <w:t xml:space="preserve"> to September 202</w:t>
      </w:r>
      <w:r w:rsidR="00F507AB" w:rsidRPr="00F507AB">
        <w:rPr>
          <w:rFonts w:ascii="Arial" w:eastAsia="Times New Roman" w:hAnsi="Arial" w:cs="Arial"/>
          <w:sz w:val="20"/>
          <w:lang w:eastAsia="en-AU"/>
        </w:rPr>
        <w:t>4</w:t>
      </w:r>
      <w:r w:rsidRPr="00F507AB">
        <w:rPr>
          <w:rFonts w:ascii="Arial" w:eastAsia="Times New Roman" w:hAnsi="Arial" w:cs="Arial"/>
          <w:sz w:val="20"/>
          <w:lang w:eastAsia="en-AU"/>
        </w:rPr>
        <w:t>.</w:t>
      </w:r>
    </w:p>
    <w:p w14:paraId="6681750B" w14:textId="6C720193" w:rsidR="00861E7B" w:rsidRPr="00F507AB" w:rsidRDefault="00861E7B" w:rsidP="00861E7B">
      <w:pPr>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t xml:space="preserve">Items 3 and 4 amend subsection 7.4.48.2 of the Principal Determination which provides food allowance for seagoing members in temporary accommodation ashore. The daily food allowance rates reflect a </w:t>
      </w:r>
      <w:r w:rsidR="00F507AB" w:rsidRPr="00F507AB">
        <w:rPr>
          <w:rFonts w:ascii="Arial" w:eastAsia="Times New Roman" w:hAnsi="Arial" w:cs="Arial"/>
          <w:sz w:val="20"/>
          <w:lang w:eastAsia="en-AU"/>
        </w:rPr>
        <w:t>3.3</w:t>
      </w:r>
      <w:r w:rsidRPr="00F507AB">
        <w:rPr>
          <w:rFonts w:ascii="Arial" w:eastAsia="Times New Roman" w:hAnsi="Arial" w:cs="Arial"/>
          <w:sz w:val="20"/>
          <w:lang w:eastAsia="en-AU"/>
        </w:rPr>
        <w:t>% increase in the food and non-alcoholic beverages component of the Consumer Price Index over the 12</w:t>
      </w:r>
      <w:r w:rsidR="003A5FCE" w:rsidRPr="00F507AB">
        <w:rPr>
          <w:rFonts w:ascii="Arial" w:eastAsia="Times New Roman" w:hAnsi="Arial" w:cs="Arial"/>
          <w:sz w:val="20"/>
          <w:lang w:eastAsia="en-AU"/>
        </w:rPr>
        <w:t>-</w:t>
      </w:r>
      <w:r w:rsidRPr="00F507AB">
        <w:rPr>
          <w:rFonts w:ascii="Arial" w:eastAsia="Times New Roman" w:hAnsi="Arial" w:cs="Arial"/>
          <w:sz w:val="20"/>
          <w:lang w:eastAsia="en-AU"/>
        </w:rPr>
        <w:t>month period September 202</w:t>
      </w:r>
      <w:r w:rsidR="00F507AB" w:rsidRPr="00F507AB">
        <w:rPr>
          <w:rFonts w:ascii="Arial" w:eastAsia="Times New Roman" w:hAnsi="Arial" w:cs="Arial"/>
          <w:sz w:val="20"/>
          <w:lang w:eastAsia="en-AU"/>
        </w:rPr>
        <w:t>3</w:t>
      </w:r>
      <w:r w:rsidRPr="00F507AB">
        <w:rPr>
          <w:rFonts w:ascii="Arial" w:eastAsia="Times New Roman" w:hAnsi="Arial" w:cs="Arial"/>
          <w:sz w:val="20"/>
          <w:lang w:eastAsia="en-AU"/>
        </w:rPr>
        <w:t xml:space="preserve"> to September 202</w:t>
      </w:r>
      <w:r w:rsidR="00F507AB" w:rsidRPr="00F507AB">
        <w:rPr>
          <w:rFonts w:ascii="Arial" w:eastAsia="Times New Roman" w:hAnsi="Arial" w:cs="Arial"/>
          <w:sz w:val="20"/>
          <w:lang w:eastAsia="en-AU"/>
        </w:rPr>
        <w:t>4</w:t>
      </w:r>
      <w:r w:rsidRPr="00F507AB">
        <w:rPr>
          <w:rFonts w:ascii="Arial" w:eastAsia="Times New Roman" w:hAnsi="Arial" w:cs="Arial"/>
          <w:sz w:val="20"/>
          <w:lang w:eastAsia="en-AU"/>
        </w:rPr>
        <w:t>.</w:t>
      </w:r>
    </w:p>
    <w:p w14:paraId="0F7406FC" w14:textId="7AEF32DD" w:rsidR="00861E7B" w:rsidRPr="00B3424E" w:rsidRDefault="00861E7B" w:rsidP="00861E7B">
      <w:pPr>
        <w:shd w:val="clear" w:color="auto" w:fill="FFFFFF"/>
        <w:spacing w:after="200" w:line="240" w:lineRule="auto"/>
        <w:rPr>
          <w:rFonts w:ascii="Arial" w:eastAsia="Times New Roman" w:hAnsi="Arial" w:cs="Arial"/>
          <w:sz w:val="20"/>
          <w:lang w:eastAsia="en-AU"/>
        </w:rPr>
      </w:pPr>
      <w:r w:rsidRPr="00F507AB">
        <w:rPr>
          <w:rFonts w:ascii="Arial" w:eastAsia="Times New Roman" w:hAnsi="Arial" w:cs="Arial"/>
          <w:sz w:val="20"/>
          <w:lang w:eastAsia="en-AU"/>
        </w:rPr>
        <w:t xml:space="preserve">Item </w:t>
      </w:r>
      <w:r w:rsidR="00357B4D" w:rsidRPr="00F507AB">
        <w:rPr>
          <w:rFonts w:ascii="Arial" w:eastAsia="Times New Roman" w:hAnsi="Arial" w:cs="Arial"/>
          <w:sz w:val="20"/>
          <w:lang w:eastAsia="en-AU"/>
        </w:rPr>
        <w:t xml:space="preserve">5 repeals and substitutes Annex </w:t>
      </w:r>
      <w:r w:rsidRPr="00F507AB">
        <w:rPr>
          <w:rFonts w:ascii="Arial" w:eastAsia="Times New Roman" w:hAnsi="Arial" w:cs="Arial"/>
          <w:sz w:val="20"/>
          <w:lang w:eastAsia="en-AU"/>
        </w:rPr>
        <w:t xml:space="preserve">7.4.B of the Principal Determination which sets out a schedule of living-in accommodation contribution rates for members. The contribution rates have increased by </w:t>
      </w:r>
      <w:r w:rsidR="00F507AB" w:rsidRPr="00F507AB">
        <w:rPr>
          <w:rFonts w:ascii="Arial" w:eastAsia="Times New Roman" w:hAnsi="Arial" w:cs="Arial"/>
          <w:sz w:val="20"/>
          <w:lang w:eastAsia="en-AU"/>
        </w:rPr>
        <w:t>6.7</w:t>
      </w:r>
      <w:r w:rsidRPr="00F507AB">
        <w:rPr>
          <w:rFonts w:ascii="Arial" w:eastAsia="Times New Roman" w:hAnsi="Arial" w:cs="Arial"/>
          <w:sz w:val="20"/>
          <w:lang w:eastAsia="en-AU"/>
        </w:rPr>
        <w:t>% following the increase in the rents sub-component of the Consumer Price Index over the 12</w:t>
      </w:r>
      <w:r w:rsidR="003A5FCE" w:rsidRPr="00F507AB">
        <w:rPr>
          <w:rFonts w:ascii="Arial" w:eastAsia="Times New Roman" w:hAnsi="Arial" w:cs="Arial"/>
          <w:sz w:val="20"/>
          <w:lang w:eastAsia="en-AU"/>
        </w:rPr>
        <w:t>-</w:t>
      </w:r>
      <w:r w:rsidRPr="00F507AB">
        <w:rPr>
          <w:rFonts w:ascii="Arial" w:eastAsia="Times New Roman" w:hAnsi="Arial" w:cs="Arial"/>
          <w:sz w:val="20"/>
          <w:lang w:eastAsia="en-AU"/>
        </w:rPr>
        <w:t>month period September 202</w:t>
      </w:r>
      <w:r w:rsidR="00F507AB" w:rsidRPr="00F507AB">
        <w:rPr>
          <w:rFonts w:ascii="Arial" w:eastAsia="Times New Roman" w:hAnsi="Arial" w:cs="Arial"/>
          <w:sz w:val="20"/>
          <w:lang w:eastAsia="en-AU"/>
        </w:rPr>
        <w:t>3</w:t>
      </w:r>
      <w:r w:rsidRPr="00F507AB">
        <w:rPr>
          <w:rFonts w:ascii="Arial" w:eastAsia="Times New Roman" w:hAnsi="Arial" w:cs="Arial"/>
          <w:sz w:val="20"/>
          <w:lang w:eastAsia="en-AU"/>
        </w:rPr>
        <w:t xml:space="preserve"> to September 202</w:t>
      </w:r>
      <w:r w:rsidR="00F507AB" w:rsidRPr="00F507AB">
        <w:rPr>
          <w:rFonts w:ascii="Arial" w:eastAsia="Times New Roman" w:hAnsi="Arial" w:cs="Arial"/>
          <w:sz w:val="20"/>
          <w:lang w:eastAsia="en-AU"/>
        </w:rPr>
        <w:t>4</w:t>
      </w:r>
      <w:r w:rsidRPr="00F507AB">
        <w:rPr>
          <w:rFonts w:ascii="Arial" w:eastAsia="Times New Roman" w:hAnsi="Arial" w:cs="Arial"/>
          <w:sz w:val="20"/>
          <w:lang w:eastAsia="en-AU"/>
        </w:rPr>
        <w:t>.</w:t>
      </w:r>
      <w:r w:rsidRPr="00B3424E">
        <w:rPr>
          <w:rFonts w:ascii="Arial" w:eastAsia="Times New Roman" w:hAnsi="Arial" w:cs="Arial"/>
          <w:sz w:val="20"/>
          <w:lang w:eastAsia="en-AU"/>
        </w:rPr>
        <w:t xml:space="preserve"> </w:t>
      </w:r>
    </w:p>
    <w:p w14:paraId="713C98CE" w14:textId="71249D08" w:rsidR="00861E7B" w:rsidRPr="00B3424E" w:rsidRDefault="00861E7B" w:rsidP="009B7880">
      <w:pPr>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t xml:space="preserve">Item 6 repeals and substitutes </w:t>
      </w:r>
      <w:r w:rsidR="00C04480">
        <w:rPr>
          <w:rFonts w:ascii="Arial" w:eastAsia="Times New Roman" w:hAnsi="Arial" w:cs="Arial"/>
          <w:sz w:val="20"/>
          <w:lang w:eastAsia="en-AU"/>
        </w:rPr>
        <w:t xml:space="preserve">the </w:t>
      </w:r>
      <w:r w:rsidRPr="00B3424E">
        <w:rPr>
          <w:rFonts w:ascii="Arial" w:eastAsia="Times New Roman" w:hAnsi="Arial" w:cs="Arial"/>
          <w:sz w:val="20"/>
          <w:lang w:eastAsia="en-AU"/>
        </w:rPr>
        <w:t xml:space="preserve">table under subsection 7.9.5.3 of the Principal Determination which provides the amount a member who is not on leave without pay must contribute towards breakfast, lunch and dinner </w:t>
      </w:r>
      <w:r w:rsidR="00821CF7">
        <w:rPr>
          <w:rFonts w:ascii="Arial" w:eastAsia="Times New Roman" w:hAnsi="Arial" w:cs="Arial"/>
          <w:sz w:val="20"/>
          <w:lang w:eastAsia="en-AU"/>
        </w:rPr>
        <w:t xml:space="preserve">when they </w:t>
      </w:r>
      <w:r w:rsidRPr="00B3424E">
        <w:rPr>
          <w:rFonts w:ascii="Arial" w:eastAsia="Times New Roman" w:hAnsi="Arial" w:cs="Arial"/>
          <w:sz w:val="20"/>
          <w:lang w:eastAsia="en-AU"/>
        </w:rPr>
        <w:t>eat in a mess on a casual basis</w:t>
      </w:r>
      <w:r w:rsidR="00357B4D">
        <w:rPr>
          <w:rFonts w:ascii="Arial" w:eastAsia="Times New Roman" w:hAnsi="Arial" w:cs="Arial"/>
          <w:sz w:val="20"/>
          <w:lang w:eastAsia="en-AU"/>
        </w:rPr>
        <w:t>,</w:t>
      </w:r>
      <w:r w:rsidRPr="00B3424E">
        <w:rPr>
          <w:rFonts w:ascii="Arial" w:eastAsia="Times New Roman" w:hAnsi="Arial" w:cs="Arial"/>
          <w:sz w:val="20"/>
          <w:lang w:eastAsia="en-AU"/>
        </w:rPr>
        <w:t xml:space="preserve"> </w:t>
      </w:r>
      <w:r w:rsidR="00821CF7">
        <w:rPr>
          <w:rFonts w:ascii="Arial" w:eastAsia="Times New Roman" w:hAnsi="Arial" w:cs="Arial"/>
          <w:sz w:val="20"/>
          <w:lang w:eastAsia="en-AU"/>
        </w:rPr>
        <w:t>and</w:t>
      </w:r>
      <w:r w:rsidRPr="00B3424E">
        <w:rPr>
          <w:rFonts w:ascii="Arial" w:eastAsia="Times New Roman" w:hAnsi="Arial" w:cs="Arial"/>
          <w:sz w:val="20"/>
          <w:lang w:eastAsia="en-AU"/>
        </w:rPr>
        <w:t xml:space="preserve"> do not pay the fortnightly meal contribution. The rates have been </w:t>
      </w:r>
      <w:r w:rsidR="006632D0" w:rsidRPr="00771887">
        <w:rPr>
          <w:rFonts w:ascii="Arial" w:eastAsia="Times New Roman" w:hAnsi="Arial" w:cs="Arial"/>
          <w:sz w:val="20"/>
          <w:lang w:eastAsia="en-AU"/>
        </w:rPr>
        <w:t>increase</w:t>
      </w:r>
      <w:r w:rsidR="00771887">
        <w:rPr>
          <w:rFonts w:ascii="Arial" w:eastAsia="Times New Roman" w:hAnsi="Arial" w:cs="Arial"/>
          <w:sz w:val="20"/>
          <w:lang w:eastAsia="en-AU"/>
        </w:rPr>
        <w:t>d by</w:t>
      </w:r>
      <w:r w:rsidR="006632D0" w:rsidRPr="00771887">
        <w:rPr>
          <w:rFonts w:ascii="Arial" w:eastAsia="Times New Roman" w:hAnsi="Arial" w:cs="Arial"/>
          <w:sz w:val="20"/>
          <w:lang w:eastAsia="en-AU"/>
        </w:rPr>
        <w:t xml:space="preserve"> </w:t>
      </w:r>
      <w:r w:rsidR="00771887" w:rsidRPr="00771887">
        <w:rPr>
          <w:rFonts w:ascii="Arial" w:eastAsia="Times New Roman" w:hAnsi="Arial" w:cs="Arial"/>
          <w:sz w:val="20"/>
          <w:lang w:eastAsia="en-AU"/>
        </w:rPr>
        <w:t>9.5</w:t>
      </w:r>
      <w:r w:rsidR="006632D0" w:rsidRPr="00771887">
        <w:rPr>
          <w:rFonts w:ascii="Arial" w:eastAsia="Times New Roman" w:hAnsi="Arial" w:cs="Arial"/>
          <w:sz w:val="20"/>
          <w:lang w:eastAsia="en-AU"/>
        </w:rPr>
        <w:t>%.</w:t>
      </w:r>
    </w:p>
    <w:p w14:paraId="3CBF1DEF" w14:textId="73D90319" w:rsidR="00861E7B" w:rsidRPr="00B3424E" w:rsidRDefault="00861E7B" w:rsidP="00861E7B">
      <w:pPr>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t xml:space="preserve">Items 7 and 8 amend section 7.9.7 of the Principal Determination which provides the fortnightly meal charge rate when </w:t>
      </w:r>
      <w:r w:rsidR="00821CF7">
        <w:rPr>
          <w:rFonts w:ascii="Arial" w:eastAsia="Times New Roman" w:hAnsi="Arial" w:cs="Arial"/>
          <w:sz w:val="20"/>
          <w:lang w:eastAsia="en-AU"/>
        </w:rPr>
        <w:t>eating</w:t>
      </w:r>
      <w:r w:rsidR="00821CF7" w:rsidRPr="00B3424E">
        <w:rPr>
          <w:rFonts w:ascii="Arial" w:eastAsia="Times New Roman" w:hAnsi="Arial" w:cs="Arial"/>
          <w:sz w:val="20"/>
          <w:lang w:eastAsia="en-AU"/>
        </w:rPr>
        <w:t xml:space="preserve"> </w:t>
      </w:r>
      <w:r w:rsidRPr="00B3424E">
        <w:rPr>
          <w:rFonts w:ascii="Arial" w:eastAsia="Times New Roman" w:hAnsi="Arial" w:cs="Arial"/>
          <w:sz w:val="20"/>
          <w:lang w:eastAsia="en-AU"/>
        </w:rPr>
        <w:t xml:space="preserve">in a mess. The rates </w:t>
      </w:r>
      <w:r w:rsidR="003A5FCE" w:rsidRPr="00B3424E">
        <w:rPr>
          <w:rFonts w:ascii="Arial" w:eastAsia="Times New Roman" w:hAnsi="Arial" w:cs="Arial"/>
          <w:sz w:val="20"/>
          <w:lang w:eastAsia="en-AU"/>
        </w:rPr>
        <w:t xml:space="preserve">for the fortnightly meal charge </w:t>
      </w:r>
      <w:r w:rsidRPr="00B3424E">
        <w:rPr>
          <w:rFonts w:ascii="Arial" w:eastAsia="Times New Roman" w:hAnsi="Arial" w:cs="Arial"/>
          <w:sz w:val="20"/>
          <w:lang w:eastAsia="en-AU"/>
        </w:rPr>
        <w:t>have increased</w:t>
      </w:r>
      <w:r w:rsidR="003A5FCE">
        <w:rPr>
          <w:rFonts w:ascii="Arial" w:eastAsia="Times New Roman" w:hAnsi="Arial" w:cs="Arial"/>
          <w:sz w:val="20"/>
          <w:lang w:eastAsia="en-AU"/>
        </w:rPr>
        <w:t xml:space="preserve"> from $2</w:t>
      </w:r>
      <w:r w:rsidR="00350C06">
        <w:rPr>
          <w:rFonts w:ascii="Arial" w:eastAsia="Times New Roman" w:hAnsi="Arial" w:cs="Arial"/>
          <w:sz w:val="20"/>
          <w:lang w:eastAsia="en-AU"/>
        </w:rPr>
        <w:t>20.50</w:t>
      </w:r>
      <w:r w:rsidR="003A5FCE">
        <w:rPr>
          <w:rFonts w:ascii="Arial" w:eastAsia="Times New Roman" w:hAnsi="Arial" w:cs="Arial"/>
          <w:sz w:val="20"/>
          <w:lang w:eastAsia="en-AU"/>
        </w:rPr>
        <w:t xml:space="preserve"> to $</w:t>
      </w:r>
      <w:r w:rsidR="00771887">
        <w:rPr>
          <w:rFonts w:ascii="Arial" w:eastAsia="Times New Roman" w:hAnsi="Arial" w:cs="Arial"/>
          <w:sz w:val="20"/>
          <w:lang w:eastAsia="en-AU"/>
        </w:rPr>
        <w:t>241.50</w:t>
      </w:r>
      <w:r w:rsidR="003A5FCE">
        <w:rPr>
          <w:rFonts w:ascii="Arial" w:eastAsia="Times New Roman" w:hAnsi="Arial" w:cs="Arial"/>
          <w:sz w:val="20"/>
          <w:lang w:eastAsia="en-AU"/>
        </w:rPr>
        <w:t xml:space="preserve"> </w:t>
      </w:r>
      <w:r w:rsidR="00771887">
        <w:rPr>
          <w:rFonts w:ascii="Arial" w:eastAsia="Times New Roman" w:hAnsi="Arial" w:cs="Arial"/>
          <w:sz w:val="20"/>
          <w:lang w:eastAsia="en-AU"/>
        </w:rPr>
        <w:t>and t</w:t>
      </w:r>
      <w:r w:rsidR="003A5FCE" w:rsidRPr="00B3424E">
        <w:rPr>
          <w:rFonts w:ascii="Arial" w:eastAsia="Times New Roman" w:hAnsi="Arial" w:cs="Arial"/>
          <w:sz w:val="20"/>
          <w:lang w:eastAsia="en-AU"/>
        </w:rPr>
        <w:t xml:space="preserve">he daily reduction of the fortnightly meal charge </w:t>
      </w:r>
      <w:r w:rsidR="003A5FCE">
        <w:rPr>
          <w:rFonts w:ascii="Arial" w:eastAsia="Times New Roman" w:hAnsi="Arial" w:cs="Arial"/>
          <w:sz w:val="20"/>
          <w:lang w:eastAsia="en-AU"/>
        </w:rPr>
        <w:t>has increased from $15.</w:t>
      </w:r>
      <w:r w:rsidR="00350C06">
        <w:rPr>
          <w:rFonts w:ascii="Arial" w:eastAsia="Times New Roman" w:hAnsi="Arial" w:cs="Arial"/>
          <w:sz w:val="20"/>
          <w:lang w:eastAsia="en-AU"/>
        </w:rPr>
        <w:t>75</w:t>
      </w:r>
      <w:r w:rsidR="003A5FCE">
        <w:rPr>
          <w:rFonts w:ascii="Arial" w:eastAsia="Times New Roman" w:hAnsi="Arial" w:cs="Arial"/>
          <w:sz w:val="20"/>
          <w:lang w:eastAsia="en-AU"/>
        </w:rPr>
        <w:t xml:space="preserve"> to </w:t>
      </w:r>
      <w:r w:rsidR="003A5FCE" w:rsidRPr="00771887">
        <w:rPr>
          <w:rFonts w:ascii="Arial" w:eastAsia="Times New Roman" w:hAnsi="Arial" w:cs="Arial"/>
          <w:sz w:val="20"/>
          <w:lang w:eastAsia="en-AU"/>
        </w:rPr>
        <w:t>$</w:t>
      </w:r>
      <w:r w:rsidR="00771887" w:rsidRPr="00771887">
        <w:rPr>
          <w:rFonts w:ascii="Arial" w:eastAsia="Times New Roman" w:hAnsi="Arial" w:cs="Arial"/>
          <w:sz w:val="20"/>
          <w:lang w:eastAsia="en-AU"/>
        </w:rPr>
        <w:t>17.25</w:t>
      </w:r>
      <w:r w:rsidR="003A5FCE" w:rsidRPr="00771887">
        <w:rPr>
          <w:rFonts w:ascii="Arial" w:eastAsia="Times New Roman" w:hAnsi="Arial" w:cs="Arial"/>
          <w:sz w:val="20"/>
          <w:lang w:eastAsia="en-AU"/>
        </w:rPr>
        <w:t xml:space="preserve"> </w:t>
      </w:r>
      <w:r w:rsidR="00771887" w:rsidRPr="00771887">
        <w:rPr>
          <w:rFonts w:ascii="Arial" w:eastAsia="Times New Roman" w:hAnsi="Arial" w:cs="Arial"/>
          <w:sz w:val="20"/>
          <w:lang w:eastAsia="en-AU"/>
        </w:rPr>
        <w:t>after a 9.5</w:t>
      </w:r>
      <w:r w:rsidR="006632D0" w:rsidRPr="00771887">
        <w:rPr>
          <w:rFonts w:ascii="Arial" w:eastAsia="Times New Roman" w:hAnsi="Arial" w:cs="Arial"/>
          <w:sz w:val="20"/>
          <w:lang w:eastAsia="en-AU"/>
        </w:rPr>
        <w:t>%</w:t>
      </w:r>
      <w:r w:rsidR="00771887" w:rsidRPr="00771887">
        <w:rPr>
          <w:rFonts w:ascii="Arial" w:eastAsia="Times New Roman" w:hAnsi="Arial" w:cs="Arial"/>
          <w:sz w:val="20"/>
          <w:lang w:eastAsia="en-AU"/>
        </w:rPr>
        <w:t xml:space="preserve"> increase</w:t>
      </w:r>
      <w:r w:rsidRPr="00771887">
        <w:rPr>
          <w:rFonts w:ascii="Arial" w:eastAsia="Times New Roman" w:hAnsi="Arial" w:cs="Arial"/>
          <w:sz w:val="20"/>
          <w:lang w:eastAsia="en-AU"/>
        </w:rPr>
        <w:t>.</w:t>
      </w:r>
    </w:p>
    <w:p w14:paraId="0AEC207C" w14:textId="6DB325B9" w:rsidR="00861E7B" w:rsidRPr="00B3424E" w:rsidRDefault="00861E7B" w:rsidP="00861E7B">
      <w:pPr>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t xml:space="preserve">Item 9 amends subsection 7.10.9.1 of the Principal Determination which provides the fortnightly contribution a member who </w:t>
      </w:r>
      <w:r w:rsidR="003A5FCE">
        <w:rPr>
          <w:rFonts w:ascii="Arial" w:eastAsia="Times New Roman" w:hAnsi="Arial" w:cs="Arial"/>
          <w:sz w:val="20"/>
          <w:lang w:eastAsia="en-AU"/>
        </w:rPr>
        <w:t xml:space="preserve">occupies </w:t>
      </w:r>
      <w:r w:rsidRPr="00B3424E">
        <w:rPr>
          <w:rFonts w:ascii="Arial" w:eastAsia="Times New Roman" w:hAnsi="Arial" w:cs="Arial"/>
          <w:sz w:val="20"/>
          <w:lang w:eastAsia="en-AU"/>
        </w:rPr>
        <w:t>liv</w:t>
      </w:r>
      <w:r w:rsidR="003A5FCE">
        <w:rPr>
          <w:rFonts w:ascii="Arial" w:eastAsia="Times New Roman" w:hAnsi="Arial" w:cs="Arial"/>
          <w:sz w:val="20"/>
          <w:lang w:eastAsia="en-AU"/>
        </w:rPr>
        <w:t>ing-</w:t>
      </w:r>
      <w:r w:rsidRPr="00B3424E">
        <w:rPr>
          <w:rFonts w:ascii="Arial" w:eastAsia="Times New Roman" w:hAnsi="Arial" w:cs="Arial"/>
          <w:sz w:val="20"/>
          <w:lang w:eastAsia="en-AU"/>
        </w:rPr>
        <w:t>in</w:t>
      </w:r>
      <w:r w:rsidR="003A5FCE">
        <w:rPr>
          <w:rFonts w:ascii="Arial" w:eastAsia="Times New Roman" w:hAnsi="Arial" w:cs="Arial"/>
          <w:sz w:val="20"/>
          <w:lang w:eastAsia="en-AU"/>
        </w:rPr>
        <w:t xml:space="preserve"> accommodation</w:t>
      </w:r>
      <w:r w:rsidRPr="00B3424E">
        <w:rPr>
          <w:rFonts w:ascii="Arial" w:eastAsia="Times New Roman" w:hAnsi="Arial" w:cs="Arial"/>
          <w:sz w:val="20"/>
          <w:lang w:eastAsia="en-AU"/>
        </w:rPr>
        <w:t xml:space="preserve"> must pay towards the cost of utilities. The </w:t>
      </w:r>
      <w:r w:rsidRPr="00F507AB">
        <w:rPr>
          <w:rFonts w:ascii="Arial" w:eastAsia="Times New Roman" w:hAnsi="Arial" w:cs="Arial"/>
          <w:sz w:val="20"/>
          <w:lang w:eastAsia="en-AU"/>
        </w:rPr>
        <w:t xml:space="preserve">fortnightly contribution has </w:t>
      </w:r>
      <w:r w:rsidR="00F507AB" w:rsidRPr="00F507AB">
        <w:rPr>
          <w:rFonts w:ascii="Arial" w:eastAsia="Times New Roman" w:hAnsi="Arial" w:cs="Arial"/>
          <w:sz w:val="20"/>
          <w:lang w:eastAsia="en-AU"/>
        </w:rPr>
        <w:t>decreased</w:t>
      </w:r>
      <w:r w:rsidRPr="00F507AB">
        <w:rPr>
          <w:rFonts w:ascii="Arial" w:eastAsia="Times New Roman" w:hAnsi="Arial" w:cs="Arial"/>
          <w:sz w:val="20"/>
          <w:lang w:eastAsia="en-AU"/>
        </w:rPr>
        <w:t xml:space="preserve"> from $</w:t>
      </w:r>
      <w:r w:rsidR="00350C06" w:rsidRPr="00F507AB">
        <w:rPr>
          <w:rFonts w:ascii="Arial" w:eastAsia="Times New Roman" w:hAnsi="Arial" w:cs="Arial"/>
          <w:sz w:val="20"/>
          <w:lang w:eastAsia="en-AU"/>
        </w:rPr>
        <w:t>53.66</w:t>
      </w:r>
      <w:r w:rsidRPr="00F507AB">
        <w:rPr>
          <w:rFonts w:ascii="Arial" w:eastAsia="Times New Roman" w:hAnsi="Arial" w:cs="Arial"/>
          <w:sz w:val="20"/>
          <w:lang w:eastAsia="en-AU"/>
        </w:rPr>
        <w:t xml:space="preserve"> to $</w:t>
      </w:r>
      <w:r w:rsidR="00F507AB" w:rsidRPr="00F507AB">
        <w:rPr>
          <w:rFonts w:ascii="Arial" w:eastAsia="Times New Roman" w:hAnsi="Arial" w:cs="Arial"/>
          <w:sz w:val="20"/>
          <w:lang w:eastAsia="en-AU"/>
        </w:rPr>
        <w:t>49.58</w:t>
      </w:r>
      <w:r w:rsidRPr="00F507AB">
        <w:rPr>
          <w:rFonts w:ascii="Arial" w:eastAsia="Times New Roman" w:hAnsi="Arial" w:cs="Arial"/>
          <w:sz w:val="20"/>
          <w:lang w:eastAsia="en-AU"/>
        </w:rPr>
        <w:t xml:space="preserve"> </w:t>
      </w:r>
      <w:r w:rsidR="00771887">
        <w:rPr>
          <w:rFonts w:ascii="Arial" w:eastAsia="Times New Roman" w:hAnsi="Arial" w:cs="Arial"/>
          <w:sz w:val="20"/>
          <w:lang w:eastAsia="en-AU"/>
        </w:rPr>
        <w:t>after a</w:t>
      </w:r>
      <w:r w:rsidRPr="00F507AB">
        <w:rPr>
          <w:rFonts w:ascii="Arial" w:eastAsia="Times New Roman" w:hAnsi="Arial" w:cs="Arial"/>
          <w:sz w:val="20"/>
          <w:lang w:eastAsia="en-AU"/>
        </w:rPr>
        <w:t xml:space="preserve"> </w:t>
      </w:r>
      <w:r w:rsidR="00F507AB" w:rsidRPr="00F507AB">
        <w:rPr>
          <w:rFonts w:ascii="Arial" w:eastAsia="Times New Roman" w:hAnsi="Arial" w:cs="Arial"/>
          <w:sz w:val="20"/>
          <w:lang w:eastAsia="en-AU"/>
        </w:rPr>
        <w:t>7</w:t>
      </w:r>
      <w:r w:rsidR="00896D0A" w:rsidRPr="00F507AB">
        <w:rPr>
          <w:rFonts w:ascii="Arial" w:eastAsia="Times New Roman" w:hAnsi="Arial" w:cs="Arial"/>
          <w:sz w:val="20"/>
          <w:lang w:eastAsia="en-AU"/>
        </w:rPr>
        <w:t>.6</w:t>
      </w:r>
      <w:r w:rsidRPr="00F507AB">
        <w:rPr>
          <w:rFonts w:ascii="Arial" w:eastAsia="Times New Roman" w:hAnsi="Arial" w:cs="Arial"/>
          <w:sz w:val="20"/>
          <w:lang w:eastAsia="en-AU"/>
        </w:rPr>
        <w:t>%</w:t>
      </w:r>
      <w:r w:rsidR="00771887">
        <w:rPr>
          <w:rFonts w:ascii="Arial" w:eastAsia="Times New Roman" w:hAnsi="Arial" w:cs="Arial"/>
          <w:sz w:val="20"/>
          <w:lang w:eastAsia="en-AU"/>
        </w:rPr>
        <w:t xml:space="preserve"> decrease</w:t>
      </w:r>
      <w:r w:rsidRPr="00F507AB">
        <w:rPr>
          <w:rFonts w:ascii="Arial" w:eastAsia="Times New Roman" w:hAnsi="Arial" w:cs="Arial"/>
          <w:sz w:val="20"/>
          <w:lang w:eastAsia="en-AU"/>
        </w:rPr>
        <w:t>.</w:t>
      </w:r>
      <w:r w:rsidRPr="00B3424E">
        <w:rPr>
          <w:rFonts w:ascii="Arial" w:eastAsia="Times New Roman" w:hAnsi="Arial" w:cs="Arial"/>
          <w:sz w:val="20"/>
          <w:lang w:eastAsia="en-AU"/>
        </w:rPr>
        <w:t xml:space="preserve"> </w:t>
      </w:r>
    </w:p>
    <w:p w14:paraId="5DB13399" w14:textId="2625170C" w:rsidR="009A6866" w:rsidRPr="00B3424E" w:rsidRDefault="009A6866" w:rsidP="005941EB">
      <w:pPr>
        <w:pStyle w:val="Sectiontext"/>
        <w:keepNext/>
        <w:keepLines/>
        <w:rPr>
          <w:rFonts w:cs="Arial"/>
          <w:i/>
          <w:snapToGrid w:val="0"/>
          <w:u w:val="single"/>
        </w:rPr>
      </w:pPr>
      <w:r w:rsidRPr="00B3424E">
        <w:rPr>
          <w:i/>
          <w:snapToGrid w:val="0"/>
          <w:u w:val="single"/>
        </w:rPr>
        <w:t>Schedule 2</w:t>
      </w:r>
      <w:r w:rsidRPr="00B3424E">
        <w:rPr>
          <w:rFonts w:cs="Arial"/>
          <w:i/>
          <w:snapToGrid w:val="0"/>
          <w:u w:val="single"/>
        </w:rPr>
        <w:t>—</w:t>
      </w:r>
      <w:r w:rsidR="00861E7B" w:rsidRPr="00B3424E">
        <w:rPr>
          <w:rFonts w:cs="Arial"/>
          <w:i/>
          <w:snapToGrid w:val="0"/>
          <w:u w:val="single"/>
        </w:rPr>
        <w:t>Housing contributions and allowances –</w:t>
      </w:r>
      <w:r w:rsidRPr="00B3424E">
        <w:rPr>
          <w:i/>
          <w:snapToGrid w:val="0"/>
          <w:u w:val="single"/>
        </w:rPr>
        <w:t xml:space="preserve"> amendments</w:t>
      </w:r>
    </w:p>
    <w:p w14:paraId="38FD8FEE" w14:textId="653B6FB1" w:rsidR="00861E7B" w:rsidRPr="00B3424E" w:rsidRDefault="00861E7B" w:rsidP="005941EB">
      <w:pPr>
        <w:keepNext/>
        <w:keepLines/>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t xml:space="preserve">Item 1 </w:t>
      </w:r>
      <w:r w:rsidR="00C04480">
        <w:rPr>
          <w:rFonts w:ascii="Arial" w:eastAsia="Times New Roman" w:hAnsi="Arial" w:cs="Arial"/>
          <w:sz w:val="20"/>
          <w:lang w:eastAsia="en-AU"/>
        </w:rPr>
        <w:t>amends table item 1 of</w:t>
      </w:r>
      <w:r w:rsidRPr="00B3424E">
        <w:rPr>
          <w:rFonts w:ascii="Arial" w:eastAsia="Times New Roman" w:hAnsi="Arial" w:cs="Arial"/>
          <w:sz w:val="20"/>
          <w:lang w:eastAsia="en-AU"/>
        </w:rPr>
        <w:t xml:space="preserve"> section 7.5.29 of the Principal Determination which provides the fortnightly contribution for accommodation, meals and utilities made by a member occupying temporary accommodation. The contribution rate for utilities has </w:t>
      </w:r>
      <w:r w:rsidR="004A3778">
        <w:rPr>
          <w:rFonts w:ascii="Arial" w:eastAsia="Times New Roman" w:hAnsi="Arial" w:cs="Arial"/>
          <w:sz w:val="20"/>
          <w:lang w:eastAsia="en-AU"/>
        </w:rPr>
        <w:t>decreased</w:t>
      </w:r>
      <w:r w:rsidRPr="00B3424E">
        <w:rPr>
          <w:rFonts w:ascii="Arial" w:eastAsia="Times New Roman" w:hAnsi="Arial" w:cs="Arial"/>
          <w:sz w:val="20"/>
          <w:lang w:eastAsia="en-AU"/>
        </w:rPr>
        <w:t xml:space="preserve"> from $1</w:t>
      </w:r>
      <w:r w:rsidR="00710F2C">
        <w:rPr>
          <w:rFonts w:ascii="Arial" w:eastAsia="Times New Roman" w:hAnsi="Arial" w:cs="Arial"/>
          <w:sz w:val="20"/>
          <w:lang w:eastAsia="en-AU"/>
        </w:rPr>
        <w:t>24.98</w:t>
      </w:r>
      <w:r w:rsidRPr="00B3424E">
        <w:rPr>
          <w:rFonts w:ascii="Arial" w:eastAsia="Times New Roman" w:hAnsi="Arial" w:cs="Arial"/>
          <w:sz w:val="20"/>
          <w:lang w:eastAsia="en-AU"/>
        </w:rPr>
        <w:t xml:space="preserve"> to $</w:t>
      </w:r>
      <w:r w:rsidR="004A3778">
        <w:rPr>
          <w:rFonts w:ascii="Arial" w:eastAsia="Times New Roman" w:hAnsi="Arial" w:cs="Arial"/>
          <w:sz w:val="20"/>
          <w:lang w:eastAsia="en-AU"/>
        </w:rPr>
        <w:t>115.48</w:t>
      </w:r>
      <w:r w:rsidRPr="00B3424E">
        <w:rPr>
          <w:rFonts w:ascii="Arial" w:eastAsia="Times New Roman" w:hAnsi="Arial" w:cs="Arial"/>
          <w:sz w:val="20"/>
          <w:lang w:eastAsia="en-AU"/>
        </w:rPr>
        <w:t xml:space="preserve"> </w:t>
      </w:r>
      <w:r w:rsidR="004A3778">
        <w:rPr>
          <w:rFonts w:ascii="Arial" w:eastAsia="Times New Roman" w:hAnsi="Arial" w:cs="Arial"/>
          <w:sz w:val="20"/>
          <w:lang w:eastAsia="en-AU"/>
        </w:rPr>
        <w:t>after</w:t>
      </w:r>
      <w:r w:rsidRPr="00B3424E">
        <w:rPr>
          <w:rFonts w:ascii="Arial" w:eastAsia="Times New Roman" w:hAnsi="Arial" w:cs="Arial"/>
          <w:sz w:val="20"/>
          <w:lang w:eastAsia="en-AU"/>
        </w:rPr>
        <w:t xml:space="preserve"> a </w:t>
      </w:r>
      <w:r w:rsidR="004A3778" w:rsidRPr="004A3778">
        <w:rPr>
          <w:rFonts w:ascii="Arial" w:eastAsia="Times New Roman" w:hAnsi="Arial" w:cs="Arial"/>
          <w:sz w:val="20"/>
          <w:lang w:eastAsia="en-AU"/>
        </w:rPr>
        <w:t>7</w:t>
      </w:r>
      <w:r w:rsidR="00B3424E" w:rsidRPr="004A3778">
        <w:rPr>
          <w:rFonts w:ascii="Arial" w:eastAsia="Times New Roman" w:hAnsi="Arial" w:cs="Arial"/>
          <w:sz w:val="20"/>
          <w:lang w:eastAsia="en-AU"/>
        </w:rPr>
        <w:t>.6</w:t>
      </w:r>
      <w:r w:rsidRPr="004A3778">
        <w:rPr>
          <w:rFonts w:ascii="Arial" w:eastAsia="Times New Roman" w:hAnsi="Arial" w:cs="Arial"/>
          <w:sz w:val="20"/>
          <w:lang w:eastAsia="en-AU"/>
        </w:rPr>
        <w:t>%</w:t>
      </w:r>
      <w:r w:rsidRPr="00B3424E">
        <w:rPr>
          <w:rFonts w:ascii="Arial" w:eastAsia="Times New Roman" w:hAnsi="Arial" w:cs="Arial"/>
          <w:sz w:val="20"/>
          <w:lang w:eastAsia="en-AU"/>
        </w:rPr>
        <w:t xml:space="preserve"> </w:t>
      </w:r>
      <w:r w:rsidR="004A3778" w:rsidRPr="004A3778">
        <w:rPr>
          <w:rFonts w:ascii="Arial" w:eastAsia="Times New Roman" w:hAnsi="Arial" w:cs="Arial"/>
          <w:sz w:val="20"/>
          <w:lang w:eastAsia="en-AU"/>
        </w:rPr>
        <w:t>decrease</w:t>
      </w:r>
      <w:r w:rsidR="004A3778">
        <w:rPr>
          <w:rFonts w:ascii="Arial" w:eastAsia="Times New Roman" w:hAnsi="Arial" w:cs="Arial"/>
          <w:sz w:val="20"/>
          <w:lang w:eastAsia="en-AU"/>
        </w:rPr>
        <w:t>.</w:t>
      </w:r>
    </w:p>
    <w:p w14:paraId="72876AB6" w14:textId="411B7F1B" w:rsidR="00861E7B" w:rsidRPr="00B3424E" w:rsidRDefault="00861E7B" w:rsidP="00861E7B">
      <w:pPr>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t xml:space="preserve">Item 2 amends subparagraph 7.10.4.1.b.i of the Principal Determination which provides the fortnightly amount an eligible member may be reimbursed for the cost of utilities. The rate has </w:t>
      </w:r>
      <w:r w:rsidR="004A3778">
        <w:rPr>
          <w:rFonts w:ascii="Arial" w:eastAsia="Times New Roman" w:hAnsi="Arial" w:cs="Arial"/>
          <w:sz w:val="20"/>
          <w:lang w:eastAsia="en-AU"/>
        </w:rPr>
        <w:t>decreased</w:t>
      </w:r>
      <w:r w:rsidRPr="00B3424E">
        <w:rPr>
          <w:rFonts w:ascii="Arial" w:eastAsia="Times New Roman" w:hAnsi="Arial" w:cs="Arial"/>
          <w:sz w:val="20"/>
          <w:lang w:eastAsia="en-AU"/>
        </w:rPr>
        <w:t xml:space="preserve"> from </w:t>
      </w:r>
      <w:r w:rsidRPr="004A3778">
        <w:rPr>
          <w:rFonts w:ascii="Arial" w:eastAsia="Times New Roman" w:hAnsi="Arial" w:cs="Arial"/>
          <w:sz w:val="20"/>
          <w:lang w:eastAsia="en-AU"/>
        </w:rPr>
        <w:t>$</w:t>
      </w:r>
      <w:r w:rsidR="00710F2C" w:rsidRPr="004A3778">
        <w:rPr>
          <w:rFonts w:ascii="Arial" w:eastAsia="Times New Roman" w:hAnsi="Arial" w:cs="Arial"/>
          <w:sz w:val="20"/>
          <w:lang w:eastAsia="en-AU"/>
        </w:rPr>
        <w:t>86.64</w:t>
      </w:r>
      <w:r w:rsidRPr="004A3778">
        <w:rPr>
          <w:rFonts w:ascii="Arial" w:eastAsia="Times New Roman" w:hAnsi="Arial" w:cs="Arial"/>
          <w:sz w:val="20"/>
          <w:lang w:eastAsia="en-AU"/>
        </w:rPr>
        <w:t xml:space="preserve"> to $</w:t>
      </w:r>
      <w:r w:rsidR="004A3778" w:rsidRPr="004A3778">
        <w:rPr>
          <w:rFonts w:ascii="Arial" w:eastAsia="Times New Roman" w:hAnsi="Arial" w:cs="Arial"/>
          <w:sz w:val="20"/>
          <w:lang w:eastAsia="en-AU"/>
        </w:rPr>
        <w:t>80.06</w:t>
      </w:r>
      <w:r w:rsidRPr="004A3778">
        <w:rPr>
          <w:rFonts w:ascii="Arial" w:eastAsia="Times New Roman" w:hAnsi="Arial" w:cs="Arial"/>
          <w:sz w:val="20"/>
          <w:lang w:eastAsia="en-AU"/>
        </w:rPr>
        <w:t xml:space="preserve"> </w:t>
      </w:r>
      <w:r w:rsidR="004A3778">
        <w:rPr>
          <w:rFonts w:ascii="Arial" w:eastAsia="Times New Roman" w:hAnsi="Arial" w:cs="Arial"/>
          <w:sz w:val="20"/>
          <w:lang w:eastAsia="en-AU"/>
        </w:rPr>
        <w:t>after</w:t>
      </w:r>
      <w:r w:rsidRPr="004A3778">
        <w:rPr>
          <w:rFonts w:ascii="Arial" w:eastAsia="Times New Roman" w:hAnsi="Arial" w:cs="Arial"/>
          <w:sz w:val="20"/>
          <w:lang w:eastAsia="en-AU"/>
        </w:rPr>
        <w:t xml:space="preserve"> a </w:t>
      </w:r>
      <w:r w:rsidR="004A3778" w:rsidRPr="004A3778">
        <w:rPr>
          <w:rFonts w:ascii="Arial" w:eastAsia="Times New Roman" w:hAnsi="Arial" w:cs="Arial"/>
          <w:sz w:val="20"/>
          <w:lang w:eastAsia="en-AU"/>
        </w:rPr>
        <w:t>7</w:t>
      </w:r>
      <w:r w:rsidR="00A07C6F" w:rsidRPr="004A3778">
        <w:rPr>
          <w:rFonts w:ascii="Arial" w:eastAsia="Times New Roman" w:hAnsi="Arial" w:cs="Arial"/>
          <w:sz w:val="20"/>
          <w:lang w:eastAsia="en-AU"/>
        </w:rPr>
        <w:t>.6</w:t>
      </w:r>
      <w:r w:rsidRPr="004A3778">
        <w:rPr>
          <w:rFonts w:ascii="Arial" w:eastAsia="Times New Roman" w:hAnsi="Arial" w:cs="Arial"/>
          <w:sz w:val="20"/>
          <w:lang w:eastAsia="en-AU"/>
        </w:rPr>
        <w:t>%</w:t>
      </w:r>
      <w:r w:rsidRPr="00B3424E">
        <w:rPr>
          <w:rFonts w:ascii="Arial" w:eastAsia="Times New Roman" w:hAnsi="Arial" w:cs="Arial"/>
          <w:sz w:val="20"/>
          <w:lang w:eastAsia="en-AU"/>
        </w:rPr>
        <w:t xml:space="preserve"> </w:t>
      </w:r>
      <w:r w:rsidR="004A3778" w:rsidRPr="004A3778">
        <w:rPr>
          <w:rFonts w:ascii="Arial" w:eastAsia="Times New Roman" w:hAnsi="Arial" w:cs="Arial"/>
          <w:sz w:val="20"/>
          <w:lang w:eastAsia="en-AU"/>
        </w:rPr>
        <w:t>decrease</w:t>
      </w:r>
      <w:r w:rsidR="004A3778">
        <w:rPr>
          <w:rFonts w:ascii="Arial" w:eastAsia="Times New Roman" w:hAnsi="Arial" w:cs="Arial"/>
          <w:sz w:val="20"/>
          <w:lang w:eastAsia="en-AU"/>
        </w:rPr>
        <w:t>.</w:t>
      </w:r>
    </w:p>
    <w:p w14:paraId="5015AC5F" w14:textId="0BB88CD6" w:rsidR="00861E7B" w:rsidRPr="00B3424E" w:rsidRDefault="00861E7B" w:rsidP="00861E7B">
      <w:pPr>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lastRenderedPageBreak/>
        <w:t xml:space="preserve">Item 3 amends subsection 7.10.7.2 of the Principal Determination which provides the fortnightly contribution a member living in a Service residence makes towards the cost of water. The rate has </w:t>
      </w:r>
      <w:r w:rsidRPr="004A3778">
        <w:rPr>
          <w:rFonts w:ascii="Arial" w:eastAsia="Times New Roman" w:hAnsi="Arial" w:cs="Arial"/>
          <w:sz w:val="20"/>
          <w:lang w:eastAsia="en-AU"/>
        </w:rPr>
        <w:t>increased from $19.</w:t>
      </w:r>
      <w:r w:rsidR="00710F2C" w:rsidRPr="004A3778">
        <w:rPr>
          <w:rFonts w:ascii="Arial" w:eastAsia="Times New Roman" w:hAnsi="Arial" w:cs="Arial"/>
          <w:sz w:val="20"/>
          <w:lang w:eastAsia="en-AU"/>
        </w:rPr>
        <w:t>74</w:t>
      </w:r>
      <w:r w:rsidRPr="004A3778">
        <w:rPr>
          <w:rFonts w:ascii="Arial" w:eastAsia="Times New Roman" w:hAnsi="Arial" w:cs="Arial"/>
          <w:sz w:val="20"/>
          <w:lang w:eastAsia="en-AU"/>
        </w:rPr>
        <w:t xml:space="preserve"> to $</w:t>
      </w:r>
      <w:r w:rsidR="004A3778" w:rsidRPr="004A3778">
        <w:rPr>
          <w:rFonts w:ascii="Arial" w:eastAsia="Times New Roman" w:hAnsi="Arial" w:cs="Arial"/>
          <w:sz w:val="20"/>
          <w:lang w:eastAsia="en-AU"/>
        </w:rPr>
        <w:t>21.66</w:t>
      </w:r>
      <w:r w:rsidRPr="004A3778">
        <w:rPr>
          <w:rFonts w:ascii="Arial" w:eastAsia="Times New Roman" w:hAnsi="Arial" w:cs="Arial"/>
          <w:sz w:val="20"/>
          <w:lang w:eastAsia="en-AU"/>
        </w:rPr>
        <w:t xml:space="preserve"> </w:t>
      </w:r>
      <w:r w:rsidR="004A3778">
        <w:rPr>
          <w:rFonts w:ascii="Arial" w:eastAsia="Times New Roman" w:hAnsi="Arial" w:cs="Arial"/>
          <w:sz w:val="20"/>
          <w:lang w:eastAsia="en-AU"/>
        </w:rPr>
        <w:t>after a</w:t>
      </w:r>
      <w:r w:rsidR="004A3778" w:rsidRPr="004A3778">
        <w:rPr>
          <w:rFonts w:ascii="Arial" w:eastAsia="Times New Roman" w:hAnsi="Arial" w:cs="Arial"/>
          <w:sz w:val="20"/>
          <w:lang w:eastAsia="en-AU"/>
        </w:rPr>
        <w:t xml:space="preserve"> 9.7</w:t>
      </w:r>
      <w:r w:rsidRPr="004A3778">
        <w:rPr>
          <w:rFonts w:ascii="Arial" w:eastAsia="Times New Roman" w:hAnsi="Arial" w:cs="Arial"/>
          <w:sz w:val="20"/>
          <w:lang w:eastAsia="en-AU"/>
        </w:rPr>
        <w:t>%</w:t>
      </w:r>
      <w:r w:rsidR="004A3778">
        <w:rPr>
          <w:rFonts w:ascii="Arial" w:eastAsia="Times New Roman" w:hAnsi="Arial" w:cs="Arial"/>
          <w:sz w:val="20"/>
          <w:lang w:eastAsia="en-AU"/>
        </w:rPr>
        <w:t xml:space="preserve"> increase</w:t>
      </w:r>
      <w:r w:rsidRPr="004A3778">
        <w:rPr>
          <w:rFonts w:ascii="Arial" w:eastAsia="Times New Roman" w:hAnsi="Arial" w:cs="Arial"/>
          <w:sz w:val="20"/>
          <w:lang w:eastAsia="en-AU"/>
        </w:rPr>
        <w:t>.</w:t>
      </w:r>
      <w:r w:rsidRPr="00B3424E">
        <w:rPr>
          <w:rFonts w:ascii="Arial" w:eastAsia="Times New Roman" w:hAnsi="Arial" w:cs="Arial"/>
          <w:sz w:val="20"/>
          <w:lang w:eastAsia="en-AU"/>
        </w:rPr>
        <w:t xml:space="preserve"> </w:t>
      </w:r>
    </w:p>
    <w:p w14:paraId="6A8293D9" w14:textId="3F5AE912" w:rsidR="00861E7B" w:rsidRPr="00B3424E" w:rsidRDefault="00861E7B" w:rsidP="00861E7B">
      <w:pPr>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t xml:space="preserve">Item 4 amends subsection 7.10.8.2 of the Principal Determination which provides the fortnightly contribution a member must make toward energy costs while they are living in a specified tied (tied to an appointment) or Service residence at Royal Military College, Duntroon and Anglesea Barracks, Hobart. </w:t>
      </w:r>
      <w:r w:rsidRPr="004A3778">
        <w:rPr>
          <w:rFonts w:ascii="Arial" w:eastAsia="Times New Roman" w:hAnsi="Arial" w:cs="Arial"/>
          <w:sz w:val="20"/>
          <w:lang w:eastAsia="en-AU"/>
        </w:rPr>
        <w:t xml:space="preserve">The rate has </w:t>
      </w:r>
      <w:r w:rsidR="004A3778" w:rsidRPr="004A3778">
        <w:rPr>
          <w:rFonts w:ascii="Arial" w:eastAsia="Times New Roman" w:hAnsi="Arial" w:cs="Arial"/>
          <w:sz w:val="20"/>
          <w:lang w:eastAsia="en-AU"/>
        </w:rPr>
        <w:t>decreased</w:t>
      </w:r>
      <w:r w:rsidRPr="004A3778">
        <w:rPr>
          <w:rFonts w:ascii="Arial" w:eastAsia="Times New Roman" w:hAnsi="Arial" w:cs="Arial"/>
          <w:sz w:val="20"/>
          <w:lang w:eastAsia="en-AU"/>
        </w:rPr>
        <w:t xml:space="preserve"> from $1</w:t>
      </w:r>
      <w:r w:rsidR="00710F2C" w:rsidRPr="004A3778">
        <w:rPr>
          <w:rFonts w:ascii="Arial" w:eastAsia="Times New Roman" w:hAnsi="Arial" w:cs="Arial"/>
          <w:sz w:val="20"/>
          <w:lang w:eastAsia="en-AU"/>
        </w:rPr>
        <w:t>66.26</w:t>
      </w:r>
      <w:r w:rsidRPr="004A3778">
        <w:rPr>
          <w:rFonts w:ascii="Arial" w:eastAsia="Times New Roman" w:hAnsi="Arial" w:cs="Arial"/>
          <w:sz w:val="20"/>
          <w:lang w:eastAsia="en-AU"/>
        </w:rPr>
        <w:t xml:space="preserve"> to $</w:t>
      </w:r>
      <w:r w:rsidR="004A3778" w:rsidRPr="004A3778">
        <w:rPr>
          <w:rFonts w:ascii="Arial" w:eastAsia="Times New Roman" w:hAnsi="Arial" w:cs="Arial"/>
          <w:sz w:val="20"/>
          <w:lang w:eastAsia="en-AU"/>
        </w:rPr>
        <w:t>153.62</w:t>
      </w:r>
      <w:r w:rsidR="00C04480" w:rsidRPr="004A3778">
        <w:rPr>
          <w:rFonts w:ascii="Arial" w:eastAsia="Times New Roman" w:hAnsi="Arial" w:cs="Arial"/>
          <w:sz w:val="20"/>
          <w:lang w:eastAsia="en-AU"/>
        </w:rPr>
        <w:t xml:space="preserve"> </w:t>
      </w:r>
      <w:r w:rsidR="004A3778">
        <w:rPr>
          <w:rFonts w:ascii="Arial" w:eastAsia="Times New Roman" w:hAnsi="Arial" w:cs="Arial"/>
          <w:sz w:val="20"/>
          <w:lang w:eastAsia="en-AU"/>
        </w:rPr>
        <w:t xml:space="preserve">after </w:t>
      </w:r>
      <w:r w:rsidR="00C04480" w:rsidRPr="004A3778">
        <w:rPr>
          <w:rFonts w:ascii="Arial" w:eastAsia="Times New Roman" w:hAnsi="Arial" w:cs="Arial"/>
          <w:sz w:val="20"/>
          <w:lang w:eastAsia="en-AU"/>
        </w:rPr>
        <w:t xml:space="preserve">a </w:t>
      </w:r>
      <w:r w:rsidR="004A3778" w:rsidRPr="004A3778">
        <w:rPr>
          <w:rFonts w:ascii="Arial" w:eastAsia="Times New Roman" w:hAnsi="Arial" w:cs="Arial"/>
          <w:sz w:val="20"/>
          <w:lang w:eastAsia="en-AU"/>
        </w:rPr>
        <w:t>7</w:t>
      </w:r>
      <w:r w:rsidR="00C04480" w:rsidRPr="004A3778">
        <w:rPr>
          <w:rFonts w:ascii="Arial" w:eastAsia="Times New Roman" w:hAnsi="Arial" w:cs="Arial"/>
          <w:sz w:val="20"/>
          <w:lang w:eastAsia="en-AU"/>
        </w:rPr>
        <w:t>.6%</w:t>
      </w:r>
      <w:r w:rsidR="004A3778">
        <w:rPr>
          <w:rFonts w:ascii="Arial" w:eastAsia="Times New Roman" w:hAnsi="Arial" w:cs="Arial"/>
          <w:sz w:val="20"/>
          <w:lang w:eastAsia="en-AU"/>
        </w:rPr>
        <w:t xml:space="preserve"> </w:t>
      </w:r>
      <w:r w:rsidR="004A3778" w:rsidRPr="002114E7">
        <w:rPr>
          <w:rFonts w:ascii="Arial" w:eastAsia="Times New Roman" w:hAnsi="Arial" w:cs="Arial"/>
          <w:sz w:val="20"/>
          <w:lang w:eastAsia="en-AU"/>
        </w:rPr>
        <w:t>decrease</w:t>
      </w:r>
      <w:r w:rsidRPr="002114E7">
        <w:rPr>
          <w:rFonts w:ascii="Arial" w:eastAsia="Times New Roman" w:hAnsi="Arial" w:cs="Arial"/>
          <w:sz w:val="20"/>
          <w:lang w:eastAsia="en-AU"/>
        </w:rPr>
        <w:t xml:space="preserve">. </w:t>
      </w:r>
    </w:p>
    <w:p w14:paraId="2E6ED5C8" w14:textId="7D93304C" w:rsidR="00861E7B" w:rsidRPr="00B3424E" w:rsidRDefault="00861E7B" w:rsidP="00861E7B">
      <w:pPr>
        <w:shd w:val="clear" w:color="auto" w:fill="FFFFFF"/>
        <w:spacing w:after="200" w:line="240" w:lineRule="auto"/>
        <w:rPr>
          <w:rFonts w:ascii="Arial" w:eastAsia="Times New Roman" w:hAnsi="Arial" w:cs="Arial"/>
          <w:szCs w:val="22"/>
          <w:lang w:eastAsia="en-AU"/>
        </w:rPr>
      </w:pPr>
      <w:r w:rsidRPr="00B3424E">
        <w:rPr>
          <w:rFonts w:ascii="Arial" w:eastAsia="Times New Roman" w:hAnsi="Arial" w:cs="Arial"/>
          <w:sz w:val="20"/>
          <w:lang w:eastAsia="en-AU"/>
        </w:rPr>
        <w:t>Item 5 repeals and substitutes Annex 7.A of the Principal Determination which provides the contribution a member must make towards the cost of occupying a Service residence or rent band choice accommodation. The contribution</w:t>
      </w:r>
      <w:r w:rsidR="004A3778">
        <w:rPr>
          <w:rFonts w:ascii="Arial" w:eastAsia="Times New Roman" w:hAnsi="Arial" w:cs="Arial"/>
          <w:sz w:val="20"/>
          <w:lang w:eastAsia="en-AU"/>
        </w:rPr>
        <w:t xml:space="preserve"> rates have been increased </w:t>
      </w:r>
      <w:r w:rsidR="004A3778" w:rsidRPr="004A3778">
        <w:rPr>
          <w:rFonts w:ascii="Arial" w:eastAsia="Times New Roman" w:hAnsi="Arial" w:cs="Arial"/>
          <w:sz w:val="20"/>
          <w:lang w:eastAsia="en-AU"/>
        </w:rPr>
        <w:t xml:space="preserve">by </w:t>
      </w:r>
      <w:r w:rsidR="004A3778">
        <w:rPr>
          <w:rFonts w:ascii="Arial" w:eastAsia="Times New Roman" w:hAnsi="Arial" w:cs="Arial"/>
          <w:sz w:val="20"/>
          <w:lang w:eastAsia="en-AU"/>
        </w:rPr>
        <w:t>9</w:t>
      </w:r>
      <w:r w:rsidRPr="004A3778">
        <w:rPr>
          <w:rFonts w:ascii="Arial" w:eastAsia="Times New Roman" w:hAnsi="Arial" w:cs="Arial"/>
          <w:sz w:val="20"/>
          <w:lang w:eastAsia="en-AU"/>
        </w:rPr>
        <w:t>%.</w:t>
      </w:r>
    </w:p>
    <w:p w14:paraId="6D0C2D59" w14:textId="2ECED90F" w:rsidR="00861E7B" w:rsidRPr="00B3424E" w:rsidRDefault="00861E7B" w:rsidP="00861E7B">
      <w:pPr>
        <w:pStyle w:val="ListParagraph"/>
        <w:numPr>
          <w:ilvl w:val="0"/>
          <w:numId w:val="22"/>
        </w:numPr>
        <w:shd w:val="clear" w:color="auto" w:fill="FFFFFF"/>
        <w:spacing w:after="200" w:line="240" w:lineRule="auto"/>
        <w:ind w:left="714" w:hanging="357"/>
        <w:contextualSpacing w:val="0"/>
        <w:rPr>
          <w:rFonts w:ascii="Arial" w:eastAsia="Times New Roman" w:hAnsi="Arial" w:cs="Arial"/>
          <w:szCs w:val="22"/>
          <w:lang w:eastAsia="en-AU"/>
        </w:rPr>
      </w:pPr>
      <w:r w:rsidRPr="00B3424E">
        <w:rPr>
          <w:rFonts w:ascii="Arial" w:eastAsia="Times New Roman" w:hAnsi="Arial" w:cs="Arial"/>
          <w:sz w:val="20"/>
          <w:lang w:eastAsia="en-AU"/>
        </w:rPr>
        <w:t>Part 1 of Annex 7.A sets out the contribution for</w:t>
      </w:r>
      <w:r w:rsidR="003A5FCE">
        <w:rPr>
          <w:rFonts w:ascii="Arial" w:eastAsia="Times New Roman" w:hAnsi="Arial" w:cs="Arial"/>
          <w:sz w:val="20"/>
          <w:lang w:eastAsia="en-AU"/>
        </w:rPr>
        <w:t xml:space="preserve"> a</w:t>
      </w:r>
      <w:r w:rsidRPr="00B3424E">
        <w:rPr>
          <w:rFonts w:ascii="Arial" w:eastAsia="Times New Roman" w:hAnsi="Arial" w:cs="Arial"/>
          <w:sz w:val="20"/>
          <w:lang w:eastAsia="en-AU"/>
        </w:rPr>
        <w:t xml:space="preserve"> member with accompanied resident family and no unaccompanied resident family.</w:t>
      </w:r>
    </w:p>
    <w:p w14:paraId="0734AB6B" w14:textId="49141D9A" w:rsidR="00861E7B" w:rsidRPr="00B3424E" w:rsidRDefault="00861E7B" w:rsidP="00861E7B">
      <w:pPr>
        <w:pStyle w:val="ListParagraph"/>
        <w:numPr>
          <w:ilvl w:val="0"/>
          <w:numId w:val="22"/>
        </w:numPr>
        <w:shd w:val="clear" w:color="auto" w:fill="FFFFFF"/>
        <w:spacing w:after="200" w:line="240" w:lineRule="auto"/>
        <w:ind w:left="714" w:hanging="357"/>
        <w:contextualSpacing w:val="0"/>
        <w:rPr>
          <w:rFonts w:ascii="Arial" w:eastAsia="Times New Roman" w:hAnsi="Arial" w:cs="Arial"/>
          <w:szCs w:val="22"/>
          <w:lang w:eastAsia="en-AU"/>
        </w:rPr>
      </w:pPr>
      <w:r w:rsidRPr="00B3424E">
        <w:rPr>
          <w:rFonts w:ascii="Arial" w:eastAsia="Times New Roman" w:hAnsi="Arial" w:cs="Arial"/>
          <w:sz w:val="20"/>
          <w:lang w:eastAsia="en-AU"/>
        </w:rPr>
        <w:t xml:space="preserve">Part 2 of Annex 7.A sets out the contribution for </w:t>
      </w:r>
      <w:r w:rsidR="003A5FCE">
        <w:rPr>
          <w:rFonts w:ascii="Arial" w:eastAsia="Times New Roman" w:hAnsi="Arial" w:cs="Arial"/>
          <w:sz w:val="20"/>
          <w:lang w:eastAsia="en-AU"/>
        </w:rPr>
        <w:t>a member</w:t>
      </w:r>
      <w:r w:rsidRPr="00B3424E">
        <w:rPr>
          <w:rFonts w:ascii="Arial" w:eastAsia="Times New Roman" w:hAnsi="Arial" w:cs="Arial"/>
          <w:sz w:val="20"/>
          <w:lang w:eastAsia="en-AU"/>
        </w:rPr>
        <w:t xml:space="preserve"> who choose</w:t>
      </w:r>
      <w:r w:rsidR="003A5FCE">
        <w:rPr>
          <w:rFonts w:ascii="Arial" w:eastAsia="Times New Roman" w:hAnsi="Arial" w:cs="Arial"/>
          <w:sz w:val="20"/>
          <w:lang w:eastAsia="en-AU"/>
        </w:rPr>
        <w:t>s</w:t>
      </w:r>
      <w:r w:rsidRPr="00B3424E">
        <w:rPr>
          <w:rFonts w:ascii="Arial" w:eastAsia="Times New Roman" w:hAnsi="Arial" w:cs="Arial"/>
          <w:sz w:val="20"/>
          <w:lang w:eastAsia="en-AU"/>
        </w:rPr>
        <w:t xml:space="preserve"> a property above the standard eligibility provided for members in their rank group.</w:t>
      </w:r>
    </w:p>
    <w:p w14:paraId="0AA0D38F" w14:textId="67EA44D0" w:rsidR="00861E7B" w:rsidRPr="00B3424E" w:rsidRDefault="00861E7B" w:rsidP="00861E7B">
      <w:pPr>
        <w:pStyle w:val="ListParagraph"/>
        <w:numPr>
          <w:ilvl w:val="0"/>
          <w:numId w:val="22"/>
        </w:numPr>
        <w:shd w:val="clear" w:color="auto" w:fill="FFFFFF"/>
        <w:spacing w:after="200" w:line="240" w:lineRule="auto"/>
        <w:ind w:left="714" w:hanging="357"/>
        <w:contextualSpacing w:val="0"/>
        <w:rPr>
          <w:rFonts w:ascii="Arial" w:eastAsia="Times New Roman" w:hAnsi="Arial" w:cs="Arial"/>
          <w:szCs w:val="22"/>
          <w:lang w:eastAsia="en-AU"/>
        </w:rPr>
      </w:pPr>
      <w:r w:rsidRPr="00B3424E">
        <w:rPr>
          <w:rFonts w:ascii="Arial" w:eastAsia="Times New Roman" w:hAnsi="Arial" w:cs="Arial"/>
          <w:sz w:val="20"/>
          <w:lang w:eastAsia="en-AU"/>
        </w:rPr>
        <w:t xml:space="preserve">Part 3 of Annex 7.A sets out the contribution for a member </w:t>
      </w:r>
      <w:r w:rsidR="00C55430" w:rsidRPr="00B3424E">
        <w:rPr>
          <w:rFonts w:ascii="Arial" w:eastAsia="Times New Roman" w:hAnsi="Arial" w:cs="Arial"/>
          <w:sz w:val="20"/>
          <w:lang w:eastAsia="en-AU"/>
        </w:rPr>
        <w:t>with no resident family or recognised other persons</w:t>
      </w:r>
      <w:r w:rsidRPr="00B3424E">
        <w:rPr>
          <w:rFonts w:ascii="Arial" w:eastAsia="Times New Roman" w:hAnsi="Arial" w:cs="Arial"/>
          <w:sz w:val="20"/>
          <w:lang w:eastAsia="en-AU"/>
        </w:rPr>
        <w:t xml:space="preserve"> </w:t>
      </w:r>
      <w:r w:rsidR="00C55430" w:rsidRPr="00B3424E">
        <w:rPr>
          <w:rFonts w:ascii="Arial" w:eastAsia="Times New Roman" w:hAnsi="Arial" w:cs="Arial"/>
          <w:sz w:val="20"/>
          <w:lang w:eastAsia="en-AU"/>
        </w:rPr>
        <w:t>and is not sharing</w:t>
      </w:r>
      <w:r w:rsidRPr="00B3424E">
        <w:rPr>
          <w:rFonts w:ascii="Arial" w:eastAsia="Times New Roman" w:hAnsi="Arial" w:cs="Arial"/>
          <w:sz w:val="20"/>
          <w:lang w:eastAsia="en-AU"/>
        </w:rPr>
        <w:t>.</w:t>
      </w:r>
    </w:p>
    <w:p w14:paraId="56E0C474" w14:textId="4BC189B4" w:rsidR="00861E7B" w:rsidRPr="00B3424E" w:rsidRDefault="00861E7B" w:rsidP="00861E7B">
      <w:pPr>
        <w:pStyle w:val="ListParagraph"/>
        <w:numPr>
          <w:ilvl w:val="0"/>
          <w:numId w:val="22"/>
        </w:numPr>
        <w:shd w:val="clear" w:color="auto" w:fill="FFFFFF"/>
        <w:spacing w:after="200" w:line="240" w:lineRule="auto"/>
        <w:ind w:left="714" w:hanging="357"/>
        <w:contextualSpacing w:val="0"/>
        <w:rPr>
          <w:rFonts w:ascii="Arial" w:eastAsia="Times New Roman" w:hAnsi="Arial" w:cs="Arial"/>
          <w:szCs w:val="22"/>
          <w:lang w:eastAsia="en-AU"/>
        </w:rPr>
      </w:pPr>
      <w:r w:rsidRPr="00B3424E">
        <w:rPr>
          <w:rFonts w:ascii="Arial" w:eastAsia="Times New Roman" w:hAnsi="Arial" w:cs="Arial"/>
          <w:sz w:val="20"/>
          <w:lang w:eastAsia="en-AU"/>
        </w:rPr>
        <w:t xml:space="preserve">Part 4 of Annex 7.A sets out the contribution for a member </w:t>
      </w:r>
      <w:r w:rsidR="00C55430" w:rsidRPr="00B3424E">
        <w:rPr>
          <w:rFonts w:ascii="Arial" w:eastAsia="Times New Roman" w:hAnsi="Arial" w:cs="Arial"/>
          <w:sz w:val="20"/>
          <w:lang w:eastAsia="en-AU"/>
        </w:rPr>
        <w:t>with no resident family or recognised other persons and is sharing</w:t>
      </w:r>
      <w:r w:rsidRPr="00B3424E">
        <w:rPr>
          <w:rFonts w:ascii="Arial" w:eastAsia="Times New Roman" w:hAnsi="Arial" w:cs="Arial"/>
          <w:sz w:val="20"/>
          <w:lang w:eastAsia="en-AU"/>
        </w:rPr>
        <w:t>.</w:t>
      </w:r>
    </w:p>
    <w:p w14:paraId="07DD7621" w14:textId="12A6683D" w:rsidR="00861E7B" w:rsidRPr="00B3424E" w:rsidRDefault="00861E7B" w:rsidP="00861E7B">
      <w:pPr>
        <w:shd w:val="clear" w:color="auto" w:fill="FFFFFF"/>
        <w:spacing w:after="200" w:line="240" w:lineRule="auto"/>
        <w:rPr>
          <w:rFonts w:ascii="Arial" w:eastAsia="Times New Roman" w:hAnsi="Arial" w:cs="Arial"/>
          <w:szCs w:val="22"/>
          <w:lang w:eastAsia="en-AU"/>
        </w:rPr>
      </w:pPr>
      <w:r w:rsidRPr="00B3424E">
        <w:rPr>
          <w:rFonts w:ascii="Arial" w:eastAsia="Times New Roman" w:hAnsi="Arial" w:cs="Arial"/>
          <w:sz w:val="20"/>
          <w:lang w:eastAsia="en-AU"/>
        </w:rPr>
        <w:t>Item 6 repeals and substitutes Annex 7.D of the Principal Determination which provides the contribution a member must make towards the cost of rent if they receive rent allowance.</w:t>
      </w:r>
      <w:r w:rsidRPr="00B3424E">
        <w:rPr>
          <w:rFonts w:ascii="Arial" w:eastAsia="Times New Roman" w:hAnsi="Arial" w:cs="Arial"/>
          <w:szCs w:val="22"/>
          <w:lang w:eastAsia="en-AU"/>
        </w:rPr>
        <w:t> </w:t>
      </w:r>
      <w:r w:rsidRPr="00B3424E">
        <w:rPr>
          <w:rFonts w:ascii="Arial" w:eastAsia="Times New Roman" w:hAnsi="Arial" w:cs="Arial"/>
          <w:sz w:val="20"/>
          <w:lang w:eastAsia="en-AU"/>
        </w:rPr>
        <w:t xml:space="preserve">The contribution rates have </w:t>
      </w:r>
      <w:r w:rsidRPr="004A3778">
        <w:rPr>
          <w:rFonts w:ascii="Arial" w:eastAsia="Times New Roman" w:hAnsi="Arial" w:cs="Arial"/>
          <w:sz w:val="20"/>
          <w:lang w:eastAsia="en-AU"/>
        </w:rPr>
        <w:t xml:space="preserve">been increased by a rate of </w:t>
      </w:r>
      <w:r w:rsidR="004A3778" w:rsidRPr="004A3778">
        <w:rPr>
          <w:rFonts w:ascii="Arial" w:eastAsia="Times New Roman" w:hAnsi="Arial" w:cs="Arial"/>
          <w:sz w:val="20"/>
          <w:lang w:eastAsia="en-AU"/>
        </w:rPr>
        <w:t>9</w:t>
      </w:r>
      <w:r w:rsidRPr="004A3778">
        <w:rPr>
          <w:rFonts w:ascii="Arial" w:eastAsia="Times New Roman" w:hAnsi="Arial" w:cs="Arial"/>
          <w:sz w:val="20"/>
          <w:lang w:eastAsia="en-AU"/>
        </w:rPr>
        <w:t>%.</w:t>
      </w:r>
    </w:p>
    <w:p w14:paraId="56097740" w14:textId="4C65562D" w:rsidR="00861E7B" w:rsidRPr="00B3424E" w:rsidRDefault="00861E7B" w:rsidP="00861E7B">
      <w:pPr>
        <w:pStyle w:val="ListParagraph"/>
        <w:numPr>
          <w:ilvl w:val="0"/>
          <w:numId w:val="22"/>
        </w:numPr>
        <w:shd w:val="clear" w:color="auto" w:fill="FFFFFF"/>
        <w:spacing w:after="200" w:line="240" w:lineRule="auto"/>
        <w:ind w:left="714" w:hanging="357"/>
        <w:contextualSpacing w:val="0"/>
        <w:rPr>
          <w:rFonts w:ascii="Arial" w:eastAsia="Times New Roman" w:hAnsi="Arial" w:cs="Arial"/>
          <w:sz w:val="20"/>
          <w:lang w:eastAsia="en-AU"/>
        </w:rPr>
      </w:pPr>
      <w:r w:rsidRPr="00B3424E">
        <w:rPr>
          <w:rFonts w:ascii="Arial" w:eastAsia="Times New Roman" w:hAnsi="Arial" w:cs="Arial"/>
          <w:sz w:val="20"/>
          <w:lang w:eastAsia="en-AU"/>
        </w:rPr>
        <w:t xml:space="preserve">Part 1 of Annex 7.D sets out the contribution for </w:t>
      </w:r>
      <w:r w:rsidR="003A5FCE">
        <w:rPr>
          <w:rFonts w:ascii="Arial" w:eastAsia="Times New Roman" w:hAnsi="Arial" w:cs="Arial"/>
          <w:sz w:val="20"/>
          <w:lang w:eastAsia="en-AU"/>
        </w:rPr>
        <w:t xml:space="preserve">a </w:t>
      </w:r>
      <w:r w:rsidRPr="00B3424E">
        <w:rPr>
          <w:rFonts w:ascii="Arial" w:eastAsia="Times New Roman" w:hAnsi="Arial" w:cs="Arial"/>
          <w:sz w:val="20"/>
          <w:lang w:eastAsia="en-AU"/>
        </w:rPr>
        <w:t xml:space="preserve">member with </w:t>
      </w:r>
      <w:r w:rsidR="00C55430" w:rsidRPr="00B3424E">
        <w:rPr>
          <w:rFonts w:ascii="Arial" w:eastAsia="Times New Roman" w:hAnsi="Arial" w:cs="Arial"/>
          <w:sz w:val="20"/>
          <w:lang w:eastAsia="en-AU"/>
        </w:rPr>
        <w:t>resident family and recognised other persons</w:t>
      </w:r>
      <w:r w:rsidRPr="00B3424E">
        <w:rPr>
          <w:rFonts w:ascii="Arial" w:eastAsia="Times New Roman" w:hAnsi="Arial" w:cs="Arial"/>
          <w:sz w:val="20"/>
          <w:lang w:eastAsia="en-AU"/>
        </w:rPr>
        <w:t>.</w:t>
      </w:r>
    </w:p>
    <w:p w14:paraId="4430B2FC" w14:textId="1C9B1738" w:rsidR="00861E7B" w:rsidRPr="00B3424E" w:rsidRDefault="00861E7B" w:rsidP="00861E7B">
      <w:pPr>
        <w:pStyle w:val="ListParagraph"/>
        <w:numPr>
          <w:ilvl w:val="0"/>
          <w:numId w:val="22"/>
        </w:numPr>
        <w:shd w:val="clear" w:color="auto" w:fill="FFFFFF"/>
        <w:spacing w:after="200" w:line="240" w:lineRule="auto"/>
        <w:ind w:left="714" w:hanging="357"/>
        <w:contextualSpacing w:val="0"/>
        <w:rPr>
          <w:rFonts w:ascii="Arial" w:eastAsia="Times New Roman" w:hAnsi="Arial" w:cs="Arial"/>
          <w:sz w:val="20"/>
          <w:lang w:eastAsia="en-AU"/>
        </w:rPr>
      </w:pPr>
      <w:r w:rsidRPr="00B3424E">
        <w:rPr>
          <w:rFonts w:ascii="Arial" w:eastAsia="Times New Roman" w:hAnsi="Arial" w:cs="Arial"/>
          <w:sz w:val="20"/>
          <w:lang w:eastAsia="en-AU"/>
        </w:rPr>
        <w:t xml:space="preserve">Part 2 of Annex 7.D sets out the contribution for </w:t>
      </w:r>
      <w:r w:rsidR="003A5FCE">
        <w:rPr>
          <w:rFonts w:ascii="Arial" w:eastAsia="Times New Roman" w:hAnsi="Arial" w:cs="Arial"/>
          <w:sz w:val="20"/>
          <w:lang w:eastAsia="en-AU"/>
        </w:rPr>
        <w:t xml:space="preserve">a </w:t>
      </w:r>
      <w:r w:rsidRPr="00B3424E">
        <w:rPr>
          <w:rFonts w:ascii="Arial" w:eastAsia="Times New Roman" w:hAnsi="Arial" w:cs="Arial"/>
          <w:sz w:val="20"/>
          <w:lang w:eastAsia="en-AU"/>
        </w:rPr>
        <w:t xml:space="preserve">member without </w:t>
      </w:r>
      <w:r w:rsidR="00C55430" w:rsidRPr="00B3424E">
        <w:rPr>
          <w:rFonts w:ascii="Arial" w:eastAsia="Times New Roman" w:hAnsi="Arial" w:cs="Arial"/>
          <w:sz w:val="20"/>
          <w:lang w:eastAsia="en-AU"/>
        </w:rPr>
        <w:t>resident family and recognised other persons</w:t>
      </w:r>
      <w:r w:rsidRPr="00B3424E">
        <w:rPr>
          <w:rFonts w:ascii="Arial" w:eastAsia="Times New Roman" w:hAnsi="Arial" w:cs="Arial"/>
          <w:sz w:val="20"/>
          <w:lang w:eastAsia="en-AU"/>
        </w:rPr>
        <w:t>.</w:t>
      </w:r>
    </w:p>
    <w:p w14:paraId="1B4F3422" w14:textId="77777777" w:rsidR="00861E7B" w:rsidRPr="00B3424E" w:rsidRDefault="00861E7B" w:rsidP="00861E7B">
      <w:pPr>
        <w:shd w:val="clear" w:color="auto" w:fill="FFFFFF"/>
        <w:spacing w:after="200" w:line="240" w:lineRule="auto"/>
        <w:rPr>
          <w:rFonts w:ascii="Arial" w:eastAsia="Times New Roman" w:hAnsi="Arial" w:cs="Arial"/>
          <w:szCs w:val="22"/>
          <w:lang w:eastAsia="en-AU"/>
        </w:rPr>
      </w:pPr>
      <w:r w:rsidRPr="00B3424E">
        <w:rPr>
          <w:rFonts w:ascii="Arial" w:eastAsia="Times New Roman" w:hAnsi="Arial" w:cs="Arial"/>
          <w:sz w:val="20"/>
          <w:lang w:eastAsia="en-AU"/>
        </w:rPr>
        <w:t>Item 7 repeals and substitutes Annex 7.E of the Principal Determination which provides rent ceilings used to calculate rent allowance entitlements for members. The rent ceilings are adjusted in line with the market rent paid by Defence for Service residences in various locations. The Annex consists of the following Parts.</w:t>
      </w:r>
    </w:p>
    <w:p w14:paraId="488FB3E0" w14:textId="4603F5D3" w:rsidR="00861E7B" w:rsidRPr="00B3424E" w:rsidRDefault="00861E7B" w:rsidP="00861E7B">
      <w:pPr>
        <w:pStyle w:val="ListParagraph"/>
        <w:numPr>
          <w:ilvl w:val="0"/>
          <w:numId w:val="23"/>
        </w:numPr>
        <w:shd w:val="clear" w:color="auto" w:fill="FFFFFF"/>
        <w:spacing w:after="200" w:line="240" w:lineRule="auto"/>
        <w:ind w:left="1077" w:hanging="357"/>
        <w:contextualSpacing w:val="0"/>
        <w:rPr>
          <w:rFonts w:ascii="Arial" w:eastAsia="Times New Roman" w:hAnsi="Arial" w:cs="Arial"/>
          <w:szCs w:val="22"/>
          <w:lang w:eastAsia="en-AU"/>
        </w:rPr>
      </w:pPr>
      <w:r w:rsidRPr="00B3424E">
        <w:rPr>
          <w:rFonts w:ascii="Arial" w:eastAsia="Times New Roman" w:hAnsi="Arial" w:cs="Arial"/>
          <w:sz w:val="20"/>
          <w:lang w:eastAsia="en-AU"/>
        </w:rPr>
        <w:t xml:space="preserve">Part 1.1 sets out the rent ceiling rate for a member </w:t>
      </w:r>
      <w:r w:rsidR="00C55430" w:rsidRPr="00B3424E">
        <w:rPr>
          <w:rFonts w:ascii="Arial" w:eastAsia="Times New Roman" w:hAnsi="Arial" w:cs="Arial"/>
          <w:sz w:val="20"/>
          <w:lang w:eastAsia="en-AU"/>
        </w:rPr>
        <w:t xml:space="preserve">who has </w:t>
      </w:r>
      <w:r w:rsidR="00C04480">
        <w:rPr>
          <w:rFonts w:ascii="Arial" w:eastAsia="Times New Roman" w:hAnsi="Arial" w:cs="Arial"/>
          <w:sz w:val="20"/>
          <w:lang w:eastAsia="en-AU"/>
        </w:rPr>
        <w:t>accompanied</w:t>
      </w:r>
      <w:r w:rsidR="00C55430" w:rsidRPr="00B3424E">
        <w:rPr>
          <w:rFonts w:ascii="Arial" w:eastAsia="Times New Roman" w:hAnsi="Arial" w:cs="Arial"/>
          <w:sz w:val="20"/>
          <w:lang w:eastAsia="en-AU"/>
        </w:rPr>
        <w:t xml:space="preserve"> resident family and no unaccompanied resident family in a 3</w:t>
      </w:r>
      <w:r w:rsidR="00E52D33">
        <w:rPr>
          <w:rFonts w:ascii="Arial" w:eastAsia="Times New Roman" w:hAnsi="Arial" w:cs="Arial"/>
          <w:sz w:val="20"/>
          <w:lang w:eastAsia="en-AU"/>
        </w:rPr>
        <w:t>-</w:t>
      </w:r>
      <w:r w:rsidR="00C55430" w:rsidRPr="00B3424E">
        <w:rPr>
          <w:rFonts w:ascii="Arial" w:eastAsia="Times New Roman" w:hAnsi="Arial" w:cs="Arial"/>
          <w:sz w:val="20"/>
          <w:lang w:eastAsia="en-AU"/>
        </w:rPr>
        <w:t>bedroom home</w:t>
      </w:r>
      <w:r w:rsidRPr="00B3424E">
        <w:rPr>
          <w:rFonts w:ascii="Arial" w:eastAsia="Times New Roman" w:hAnsi="Arial" w:cs="Arial"/>
          <w:sz w:val="20"/>
          <w:lang w:eastAsia="en-AU"/>
        </w:rPr>
        <w:t>.</w:t>
      </w:r>
    </w:p>
    <w:p w14:paraId="4BF462B4" w14:textId="649700A0" w:rsidR="00861E7B" w:rsidRPr="00B3424E" w:rsidRDefault="00861E7B" w:rsidP="00861E7B">
      <w:pPr>
        <w:pStyle w:val="ListParagraph"/>
        <w:numPr>
          <w:ilvl w:val="0"/>
          <w:numId w:val="23"/>
        </w:numPr>
        <w:shd w:val="clear" w:color="auto" w:fill="FFFFFF"/>
        <w:spacing w:after="200" w:line="240" w:lineRule="auto"/>
        <w:ind w:left="1077" w:hanging="357"/>
        <w:contextualSpacing w:val="0"/>
        <w:rPr>
          <w:rFonts w:ascii="Arial" w:eastAsia="Times New Roman" w:hAnsi="Arial" w:cs="Arial"/>
          <w:szCs w:val="22"/>
          <w:lang w:eastAsia="en-AU"/>
        </w:rPr>
      </w:pPr>
      <w:r w:rsidRPr="00B3424E">
        <w:rPr>
          <w:rFonts w:ascii="Arial" w:eastAsia="Times New Roman" w:hAnsi="Arial" w:cs="Arial"/>
          <w:sz w:val="20"/>
          <w:lang w:eastAsia="en-AU"/>
        </w:rPr>
        <w:t xml:space="preserve">Part 1.2 sets out the rent ceiling rate for a member </w:t>
      </w:r>
      <w:r w:rsidR="00C55430" w:rsidRPr="00B3424E">
        <w:rPr>
          <w:rFonts w:ascii="Arial" w:eastAsia="Times New Roman" w:hAnsi="Arial" w:cs="Arial"/>
          <w:sz w:val="20"/>
          <w:lang w:eastAsia="en-AU"/>
        </w:rPr>
        <w:t xml:space="preserve">who has </w:t>
      </w:r>
      <w:r w:rsidR="00C04480">
        <w:rPr>
          <w:rFonts w:ascii="Arial" w:eastAsia="Times New Roman" w:hAnsi="Arial" w:cs="Arial"/>
          <w:sz w:val="20"/>
          <w:lang w:eastAsia="en-AU"/>
        </w:rPr>
        <w:t>accompanied</w:t>
      </w:r>
      <w:r w:rsidR="00C55430" w:rsidRPr="00B3424E">
        <w:rPr>
          <w:rFonts w:ascii="Arial" w:eastAsia="Times New Roman" w:hAnsi="Arial" w:cs="Arial"/>
          <w:sz w:val="20"/>
          <w:lang w:eastAsia="en-AU"/>
        </w:rPr>
        <w:t xml:space="preserve"> resident family and no unaccompanied resident family who chooses a 2-bedroom rent ceiling</w:t>
      </w:r>
      <w:r w:rsidRPr="00B3424E">
        <w:rPr>
          <w:rFonts w:ascii="Arial" w:eastAsia="Times New Roman" w:hAnsi="Arial" w:cs="Arial"/>
          <w:sz w:val="20"/>
          <w:lang w:eastAsia="en-AU"/>
        </w:rPr>
        <w:t>.</w:t>
      </w:r>
    </w:p>
    <w:p w14:paraId="797B746B" w14:textId="102D6712" w:rsidR="00861E7B" w:rsidRPr="00B3424E" w:rsidRDefault="00861E7B" w:rsidP="00861E7B">
      <w:pPr>
        <w:pStyle w:val="ListParagraph"/>
        <w:numPr>
          <w:ilvl w:val="0"/>
          <w:numId w:val="23"/>
        </w:numPr>
        <w:shd w:val="clear" w:color="auto" w:fill="FFFFFF"/>
        <w:spacing w:after="200" w:line="240" w:lineRule="auto"/>
        <w:ind w:left="1077" w:hanging="357"/>
        <w:contextualSpacing w:val="0"/>
        <w:rPr>
          <w:rFonts w:ascii="Arial" w:eastAsia="Times New Roman" w:hAnsi="Arial" w:cs="Arial"/>
          <w:szCs w:val="22"/>
          <w:lang w:eastAsia="en-AU"/>
        </w:rPr>
      </w:pPr>
      <w:r w:rsidRPr="00B3424E">
        <w:rPr>
          <w:rFonts w:ascii="Arial" w:eastAsia="Times New Roman" w:hAnsi="Arial" w:cs="Arial"/>
          <w:sz w:val="20"/>
          <w:lang w:eastAsia="en-AU"/>
        </w:rPr>
        <w:t>Part 2.1 sets out the rent ceiling rates for a member who lives alone.</w:t>
      </w:r>
    </w:p>
    <w:p w14:paraId="102E35B2" w14:textId="5C97B671" w:rsidR="00861E7B" w:rsidRPr="00B3424E" w:rsidRDefault="00861E7B" w:rsidP="00861E7B">
      <w:pPr>
        <w:pStyle w:val="ListParagraph"/>
        <w:numPr>
          <w:ilvl w:val="0"/>
          <w:numId w:val="23"/>
        </w:numPr>
        <w:shd w:val="clear" w:color="auto" w:fill="FFFFFF"/>
        <w:spacing w:after="200" w:line="240" w:lineRule="auto"/>
        <w:ind w:left="1077" w:hanging="357"/>
        <w:contextualSpacing w:val="0"/>
        <w:rPr>
          <w:rFonts w:ascii="Arial" w:eastAsia="Times New Roman" w:hAnsi="Arial" w:cs="Arial"/>
          <w:szCs w:val="22"/>
          <w:lang w:eastAsia="en-AU"/>
        </w:rPr>
      </w:pPr>
      <w:r w:rsidRPr="00B3424E">
        <w:rPr>
          <w:rFonts w:ascii="Arial" w:eastAsia="Times New Roman" w:hAnsi="Arial" w:cs="Arial"/>
          <w:sz w:val="20"/>
          <w:lang w:eastAsia="en-AU"/>
        </w:rPr>
        <w:t xml:space="preserve">Part 2.2 sets out the rent ceiling rates for a member who shares with </w:t>
      </w:r>
      <w:r w:rsidR="00C55430" w:rsidRPr="00B3424E">
        <w:rPr>
          <w:rFonts w:ascii="Arial" w:eastAsia="Times New Roman" w:hAnsi="Arial" w:cs="Arial"/>
          <w:sz w:val="20"/>
          <w:lang w:eastAsia="en-AU"/>
        </w:rPr>
        <w:t>1</w:t>
      </w:r>
      <w:r w:rsidRPr="00B3424E">
        <w:rPr>
          <w:rFonts w:ascii="Arial" w:eastAsia="Times New Roman" w:hAnsi="Arial" w:cs="Arial"/>
          <w:sz w:val="20"/>
          <w:lang w:eastAsia="en-AU"/>
        </w:rPr>
        <w:t xml:space="preserve"> other person.</w:t>
      </w:r>
    </w:p>
    <w:p w14:paraId="57CE94DA" w14:textId="28525A8A" w:rsidR="00861E7B" w:rsidRPr="00B3424E" w:rsidRDefault="00861E7B" w:rsidP="00861E7B">
      <w:pPr>
        <w:pStyle w:val="ListParagraph"/>
        <w:numPr>
          <w:ilvl w:val="0"/>
          <w:numId w:val="23"/>
        </w:numPr>
        <w:shd w:val="clear" w:color="auto" w:fill="FFFFFF"/>
        <w:spacing w:after="200" w:line="240" w:lineRule="auto"/>
        <w:ind w:left="1077" w:hanging="357"/>
        <w:contextualSpacing w:val="0"/>
        <w:rPr>
          <w:rFonts w:ascii="Arial" w:eastAsia="Times New Roman" w:hAnsi="Arial" w:cs="Arial"/>
          <w:szCs w:val="22"/>
          <w:lang w:eastAsia="en-AU"/>
        </w:rPr>
      </w:pPr>
      <w:r w:rsidRPr="00B3424E">
        <w:rPr>
          <w:rFonts w:ascii="Arial" w:eastAsia="Times New Roman" w:hAnsi="Arial" w:cs="Arial"/>
          <w:sz w:val="20"/>
          <w:lang w:eastAsia="en-AU"/>
        </w:rPr>
        <w:t xml:space="preserve">Part 2.3 sets out the rent ceiling rates for a member who shares with </w:t>
      </w:r>
      <w:r w:rsidR="00C55430" w:rsidRPr="00B3424E">
        <w:rPr>
          <w:rFonts w:ascii="Arial" w:eastAsia="Times New Roman" w:hAnsi="Arial" w:cs="Arial"/>
          <w:sz w:val="20"/>
          <w:lang w:eastAsia="en-AU"/>
        </w:rPr>
        <w:t>2</w:t>
      </w:r>
      <w:r w:rsidRPr="00B3424E">
        <w:rPr>
          <w:rFonts w:ascii="Arial" w:eastAsia="Times New Roman" w:hAnsi="Arial" w:cs="Arial"/>
          <w:sz w:val="20"/>
          <w:lang w:eastAsia="en-AU"/>
        </w:rPr>
        <w:t xml:space="preserve"> other people.</w:t>
      </w:r>
    </w:p>
    <w:p w14:paraId="2B3148F6" w14:textId="59888F81" w:rsidR="00861E7B" w:rsidRPr="00B3424E" w:rsidRDefault="00861E7B" w:rsidP="00861E7B">
      <w:pPr>
        <w:pStyle w:val="ListParagraph"/>
        <w:numPr>
          <w:ilvl w:val="0"/>
          <w:numId w:val="23"/>
        </w:numPr>
        <w:shd w:val="clear" w:color="auto" w:fill="FFFFFF"/>
        <w:spacing w:after="200" w:line="240" w:lineRule="auto"/>
        <w:ind w:left="1077" w:hanging="357"/>
        <w:contextualSpacing w:val="0"/>
        <w:rPr>
          <w:rFonts w:ascii="Arial" w:eastAsia="Times New Roman" w:hAnsi="Arial" w:cs="Arial"/>
          <w:szCs w:val="22"/>
          <w:lang w:eastAsia="en-AU"/>
        </w:rPr>
      </w:pPr>
      <w:r w:rsidRPr="00B3424E">
        <w:rPr>
          <w:rFonts w:ascii="Arial" w:eastAsia="Times New Roman" w:hAnsi="Arial" w:cs="Arial"/>
          <w:sz w:val="20"/>
          <w:lang w:eastAsia="en-AU"/>
        </w:rPr>
        <w:t xml:space="preserve">Part 2.4 sets out the rent ceiling rates for a member who shares with </w:t>
      </w:r>
      <w:r w:rsidR="00C55430" w:rsidRPr="00B3424E">
        <w:rPr>
          <w:rFonts w:ascii="Arial" w:eastAsia="Times New Roman" w:hAnsi="Arial" w:cs="Arial"/>
          <w:sz w:val="20"/>
          <w:lang w:eastAsia="en-AU"/>
        </w:rPr>
        <w:t>3</w:t>
      </w:r>
      <w:r w:rsidRPr="00B3424E">
        <w:rPr>
          <w:rFonts w:ascii="Arial" w:eastAsia="Times New Roman" w:hAnsi="Arial" w:cs="Arial"/>
          <w:sz w:val="20"/>
          <w:lang w:eastAsia="en-AU"/>
        </w:rPr>
        <w:t xml:space="preserve"> other people.</w:t>
      </w:r>
    </w:p>
    <w:p w14:paraId="1CC8D013" w14:textId="0944CE3B" w:rsidR="00861E7B" w:rsidRDefault="00861E7B" w:rsidP="00861E7B">
      <w:pPr>
        <w:shd w:val="clear" w:color="auto" w:fill="FFFFFF"/>
        <w:spacing w:after="200" w:line="240" w:lineRule="auto"/>
        <w:rPr>
          <w:rFonts w:ascii="Arial" w:eastAsia="Times New Roman" w:hAnsi="Arial" w:cs="Arial"/>
          <w:sz w:val="20"/>
          <w:lang w:eastAsia="en-AU"/>
        </w:rPr>
      </w:pPr>
      <w:r w:rsidRPr="00B3424E">
        <w:rPr>
          <w:rFonts w:ascii="Arial" w:eastAsia="Times New Roman" w:hAnsi="Arial" w:cs="Arial"/>
          <w:sz w:val="20"/>
          <w:lang w:eastAsia="en-AU"/>
        </w:rPr>
        <w:t xml:space="preserve">Item 8 repeals and substitutes Annex 7.F of the Principal Determination which provides the fortnightly rate of contribution a member must make toward their food costs when they are receiving temporary accommodation allowance. The rates have been increased by a rate </w:t>
      </w:r>
      <w:r w:rsidRPr="004A3778">
        <w:rPr>
          <w:rFonts w:ascii="Arial" w:eastAsia="Times New Roman" w:hAnsi="Arial" w:cs="Arial"/>
          <w:sz w:val="20"/>
          <w:lang w:eastAsia="en-AU"/>
        </w:rPr>
        <w:t xml:space="preserve">of </w:t>
      </w:r>
      <w:r w:rsidR="004A3778" w:rsidRPr="004A3778">
        <w:rPr>
          <w:rFonts w:ascii="Arial" w:eastAsia="Times New Roman" w:hAnsi="Arial" w:cs="Arial"/>
          <w:sz w:val="20"/>
          <w:lang w:eastAsia="en-AU"/>
        </w:rPr>
        <w:t>3.3</w:t>
      </w:r>
      <w:r w:rsidRPr="004A3778">
        <w:rPr>
          <w:rFonts w:ascii="Arial" w:eastAsia="Times New Roman" w:hAnsi="Arial" w:cs="Arial"/>
          <w:sz w:val="20"/>
          <w:lang w:eastAsia="en-AU"/>
        </w:rPr>
        <w:t>%.</w:t>
      </w:r>
      <w:r w:rsidRPr="00B3424E">
        <w:rPr>
          <w:rFonts w:ascii="Arial" w:eastAsia="Times New Roman" w:hAnsi="Arial" w:cs="Arial"/>
          <w:sz w:val="20"/>
          <w:lang w:eastAsia="en-AU"/>
        </w:rPr>
        <w:t> </w:t>
      </w:r>
      <w:r w:rsidR="004A3778">
        <w:rPr>
          <w:rFonts w:ascii="Arial" w:eastAsia="Times New Roman" w:hAnsi="Arial" w:cs="Arial"/>
          <w:sz w:val="20"/>
          <w:lang w:eastAsia="en-AU"/>
        </w:rPr>
        <w:t>The Annex has also been amended to remove</w:t>
      </w:r>
      <w:r w:rsidR="00015ECD">
        <w:rPr>
          <w:rFonts w:ascii="Arial" w:eastAsia="Times New Roman" w:hAnsi="Arial" w:cs="Arial"/>
          <w:sz w:val="20"/>
          <w:lang w:eastAsia="en-AU"/>
        </w:rPr>
        <w:t xml:space="preserve"> salary levels that were below 50,000 per year</w:t>
      </w:r>
      <w:r w:rsidR="0031370A">
        <w:rPr>
          <w:rFonts w:ascii="Arial" w:eastAsia="Times New Roman" w:hAnsi="Arial" w:cs="Arial"/>
          <w:sz w:val="20"/>
          <w:lang w:eastAsia="en-AU"/>
        </w:rPr>
        <w:t>, which are below the minimum salary payable to a member,</w:t>
      </w:r>
      <w:r w:rsidR="00015ECD">
        <w:rPr>
          <w:rFonts w:ascii="Arial" w:eastAsia="Times New Roman" w:hAnsi="Arial" w:cs="Arial"/>
          <w:sz w:val="20"/>
          <w:lang w:eastAsia="en-AU"/>
        </w:rPr>
        <w:t xml:space="preserve"> to contemporise the rates provided in the Annex.</w:t>
      </w:r>
    </w:p>
    <w:p w14:paraId="655AA608" w14:textId="7E47E0FF" w:rsidR="00015ECD" w:rsidRPr="00B3424E" w:rsidRDefault="00015ECD" w:rsidP="00015ECD">
      <w:pPr>
        <w:pStyle w:val="Sectiontext"/>
        <w:keepNext/>
        <w:keepLines/>
        <w:rPr>
          <w:rFonts w:cs="Arial"/>
          <w:i/>
          <w:snapToGrid w:val="0"/>
          <w:u w:val="single"/>
        </w:rPr>
      </w:pPr>
      <w:r w:rsidRPr="00B3424E">
        <w:rPr>
          <w:i/>
          <w:snapToGrid w:val="0"/>
          <w:u w:val="single"/>
        </w:rPr>
        <w:lastRenderedPageBreak/>
        <w:t xml:space="preserve">Schedule </w:t>
      </w:r>
      <w:r>
        <w:rPr>
          <w:i/>
          <w:snapToGrid w:val="0"/>
          <w:u w:val="single"/>
        </w:rPr>
        <w:t>3</w:t>
      </w:r>
      <w:r w:rsidRPr="00B3424E">
        <w:rPr>
          <w:rFonts w:cs="Arial"/>
          <w:i/>
          <w:snapToGrid w:val="0"/>
          <w:u w:val="single"/>
        </w:rPr>
        <w:t>—</w:t>
      </w:r>
      <w:r>
        <w:rPr>
          <w:rFonts w:cs="Arial"/>
          <w:i/>
          <w:snapToGrid w:val="0"/>
          <w:u w:val="single"/>
        </w:rPr>
        <w:t>Disturbance</w:t>
      </w:r>
      <w:r w:rsidRPr="00B3424E">
        <w:rPr>
          <w:rFonts w:cs="Arial"/>
          <w:i/>
          <w:snapToGrid w:val="0"/>
          <w:u w:val="single"/>
        </w:rPr>
        <w:t xml:space="preserve"> allowances –</w:t>
      </w:r>
      <w:r w:rsidRPr="00B3424E">
        <w:rPr>
          <w:i/>
          <w:snapToGrid w:val="0"/>
          <w:u w:val="single"/>
        </w:rPr>
        <w:t xml:space="preserve"> amendments</w:t>
      </w:r>
    </w:p>
    <w:p w14:paraId="3A1EA105" w14:textId="5C17380A" w:rsidR="00015ECD" w:rsidRPr="008D50EB" w:rsidRDefault="00015ECD" w:rsidP="00015ECD">
      <w:pPr>
        <w:pStyle w:val="Sectiontext"/>
        <w:spacing w:before="240"/>
      </w:pPr>
      <w:r w:rsidRPr="008D50EB">
        <w:rPr>
          <w:snapToGrid w:val="0"/>
        </w:rPr>
        <w:t>Item</w:t>
      </w:r>
      <w:r w:rsidR="00B65224">
        <w:rPr>
          <w:snapToGrid w:val="0"/>
        </w:rPr>
        <w:t>s</w:t>
      </w:r>
      <w:r w:rsidRPr="008D50EB">
        <w:rPr>
          <w:snapToGrid w:val="0"/>
        </w:rPr>
        <w:t xml:space="preserve"> 1</w:t>
      </w:r>
      <w:r w:rsidR="00B65224">
        <w:rPr>
          <w:snapToGrid w:val="0"/>
        </w:rPr>
        <w:t xml:space="preserve"> and 2 repeal</w:t>
      </w:r>
      <w:r w:rsidRPr="008D50EB">
        <w:rPr>
          <w:snapToGrid w:val="0"/>
        </w:rPr>
        <w:t xml:space="preserve"> and substitute </w:t>
      </w:r>
      <w:r>
        <w:rPr>
          <w:snapToGrid w:val="0"/>
        </w:rPr>
        <w:t>the table</w:t>
      </w:r>
      <w:r w:rsidR="00B65224">
        <w:rPr>
          <w:snapToGrid w:val="0"/>
        </w:rPr>
        <w:t>s</w:t>
      </w:r>
      <w:r>
        <w:rPr>
          <w:snapToGrid w:val="0"/>
        </w:rPr>
        <w:t xml:space="preserve"> under sub</w:t>
      </w:r>
      <w:r w:rsidRPr="008D50EB">
        <w:rPr>
          <w:snapToGrid w:val="0"/>
        </w:rPr>
        <w:t xml:space="preserve">section 6.1.6 of the Principal Determination which sets out the rates of disturbance allowance that may be payable to members. The rates of disturbance allowance have been increased </w:t>
      </w:r>
      <w:r w:rsidRPr="008D50EB">
        <w:t>in line with the annual movement in the Consumer Price Index group to the end of the September 202</w:t>
      </w:r>
      <w:r w:rsidR="00B65224">
        <w:t>4</w:t>
      </w:r>
      <w:r w:rsidRPr="008D50EB">
        <w:t xml:space="preserve"> quarter.</w:t>
      </w:r>
      <w:r w:rsidRPr="008D50EB">
        <w:rPr>
          <w:snapToGrid w:val="0"/>
        </w:rPr>
        <w:t xml:space="preserve"> </w:t>
      </w:r>
    </w:p>
    <w:p w14:paraId="52F50E59" w14:textId="173CA0CC" w:rsidR="00015ECD" w:rsidRPr="008D50EB" w:rsidRDefault="00015ECD" w:rsidP="00015ECD">
      <w:pPr>
        <w:pStyle w:val="Sectiontext"/>
        <w:rPr>
          <w:snapToGrid w:val="0"/>
        </w:rPr>
      </w:pPr>
      <w:r w:rsidRPr="008D50EB">
        <w:rPr>
          <w:snapToGrid w:val="0"/>
        </w:rPr>
        <w:t xml:space="preserve">Item </w:t>
      </w:r>
      <w:r w:rsidR="00B65224">
        <w:rPr>
          <w:snapToGrid w:val="0"/>
        </w:rPr>
        <w:t>3</w:t>
      </w:r>
      <w:r w:rsidRPr="008D50EB">
        <w:rPr>
          <w:snapToGrid w:val="0"/>
        </w:rPr>
        <w:t xml:space="preserve"> amends section 6.1.12 of the Principal Determination which provides a payment of an amount to a member when their child is a full</w:t>
      </w:r>
      <w:r w:rsidRPr="008D50EB">
        <w:rPr>
          <w:snapToGrid w:val="0"/>
        </w:rPr>
        <w:noBreakHyphen/>
        <w:t xml:space="preserve">time primary or secondary student and is required to change schools because of a removal. </w:t>
      </w:r>
      <w:r w:rsidR="00B65224">
        <w:rPr>
          <w:snapToGrid w:val="0"/>
        </w:rPr>
        <w:t>S</w:t>
      </w:r>
      <w:r w:rsidRPr="008D50EB">
        <w:rPr>
          <w:snapToGrid w:val="0"/>
        </w:rPr>
        <w:t>ubsection 6.1.12.1</w:t>
      </w:r>
      <w:r w:rsidR="00B65224">
        <w:rPr>
          <w:snapToGrid w:val="0"/>
        </w:rPr>
        <w:t xml:space="preserve"> has been amended</w:t>
      </w:r>
      <w:r w:rsidRPr="008D50EB">
        <w:rPr>
          <w:snapToGrid w:val="0"/>
        </w:rPr>
        <w:t xml:space="preserve"> to increase the rate of </w:t>
      </w:r>
      <w:r w:rsidR="00B65224">
        <w:rPr>
          <w:snapToGrid w:val="0"/>
        </w:rPr>
        <w:t xml:space="preserve">the </w:t>
      </w:r>
      <w:r w:rsidRPr="008D50EB">
        <w:rPr>
          <w:snapToGrid w:val="0"/>
        </w:rPr>
        <w:t>payment to the member from $2</w:t>
      </w:r>
      <w:r w:rsidR="00B65224">
        <w:rPr>
          <w:snapToGrid w:val="0"/>
        </w:rPr>
        <w:t>80</w:t>
      </w:r>
      <w:r w:rsidRPr="008D50EB">
        <w:rPr>
          <w:snapToGrid w:val="0"/>
        </w:rPr>
        <w:t xml:space="preserve"> for each child to $28</w:t>
      </w:r>
      <w:r w:rsidR="00B65224">
        <w:rPr>
          <w:snapToGrid w:val="0"/>
        </w:rPr>
        <w:t>8</w:t>
      </w:r>
      <w:r w:rsidRPr="008D50EB">
        <w:rPr>
          <w:snapToGrid w:val="0"/>
        </w:rPr>
        <w:t>.</w:t>
      </w:r>
      <w:r w:rsidR="00B65224">
        <w:rPr>
          <w:snapToGrid w:val="0"/>
        </w:rPr>
        <w:t xml:space="preserve"> </w:t>
      </w:r>
      <w:r w:rsidR="00B65224" w:rsidRPr="00015ECD">
        <w:rPr>
          <w:rFonts w:cs="Arial"/>
        </w:rPr>
        <w:t>This adjustment reflects the annual movement in the relevant Consumer Price Index group to the end of the September 202</w:t>
      </w:r>
      <w:r w:rsidR="00B65224">
        <w:rPr>
          <w:rFonts w:cs="Arial"/>
        </w:rPr>
        <w:t>4</w:t>
      </w:r>
      <w:r w:rsidR="00B65224" w:rsidRPr="00015ECD">
        <w:rPr>
          <w:rFonts w:cs="Arial"/>
        </w:rPr>
        <w:t xml:space="preserve"> quarter.</w:t>
      </w:r>
    </w:p>
    <w:p w14:paraId="7B7CB0E8" w14:textId="77777777" w:rsidR="001E51FE" w:rsidRPr="00B3424E" w:rsidRDefault="001E51FE" w:rsidP="001E51FE">
      <w:pPr>
        <w:autoSpaceDE w:val="0"/>
        <w:autoSpaceDN w:val="0"/>
        <w:adjustRightInd w:val="0"/>
        <w:rPr>
          <w:snapToGrid w:val="0"/>
          <w:sz w:val="20"/>
        </w:rPr>
      </w:pPr>
    </w:p>
    <w:p w14:paraId="2831585B" w14:textId="77777777" w:rsidR="001E51FE" w:rsidRPr="00B3424E" w:rsidRDefault="001E51FE" w:rsidP="001E51FE">
      <w:pPr>
        <w:pStyle w:val="Sectiontext"/>
        <w:jc w:val="center"/>
        <w:rPr>
          <w:b/>
        </w:rPr>
        <w:sectPr w:rsidR="001E51FE" w:rsidRPr="00B3424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B3424E" w:rsidRDefault="00737505" w:rsidP="00737505">
      <w:pPr>
        <w:pStyle w:val="Sectiontext"/>
        <w:jc w:val="right"/>
        <w:rPr>
          <w:b/>
          <w:snapToGrid w:val="0"/>
        </w:rPr>
      </w:pPr>
      <w:r w:rsidRPr="00B3424E">
        <w:rPr>
          <w:b/>
          <w:snapToGrid w:val="0"/>
        </w:rPr>
        <w:lastRenderedPageBreak/>
        <w:t>Annex B</w:t>
      </w:r>
    </w:p>
    <w:p w14:paraId="12E2468D" w14:textId="57238B64" w:rsidR="00417CDA" w:rsidRPr="00B3424E" w:rsidRDefault="00417CDA" w:rsidP="00486185">
      <w:pPr>
        <w:pStyle w:val="BlockText-Plain"/>
        <w:jc w:val="center"/>
        <w:rPr>
          <w:b/>
          <w:i/>
          <w:snapToGrid w:val="0"/>
        </w:rPr>
      </w:pPr>
      <w:r w:rsidRPr="00B3424E">
        <w:rPr>
          <w:b/>
          <w:bCs/>
          <w:i/>
          <w:noProof/>
          <w:snapToGrid w:val="0"/>
          <w:lang w:val="en-US"/>
        </w:rPr>
        <w:t xml:space="preserve">Defence Determination, Conditions of service </w:t>
      </w:r>
      <w:bookmarkStart w:id="0" w:name="_GoBack"/>
      <w:bookmarkEnd w:id="0"/>
      <w:r w:rsidRPr="00B3424E">
        <w:rPr>
          <w:b/>
          <w:bCs/>
          <w:i/>
          <w:noProof/>
          <w:snapToGrid w:val="0"/>
          <w:lang w:val="en-US"/>
        </w:rPr>
        <w:t>(</w:t>
      </w:r>
      <w:r w:rsidR="00B65224" w:rsidRPr="00B3424E">
        <w:rPr>
          <w:b/>
          <w:i/>
        </w:rPr>
        <w:t>Living–in accommodation</w:t>
      </w:r>
      <w:r w:rsidR="00B65224">
        <w:rPr>
          <w:b/>
          <w:i/>
        </w:rPr>
        <w:t xml:space="preserve">, </w:t>
      </w:r>
      <w:r w:rsidR="00B65224" w:rsidRPr="00B3424E">
        <w:rPr>
          <w:b/>
          <w:i/>
        </w:rPr>
        <w:t>housing contributions and allowances</w:t>
      </w:r>
      <w:r w:rsidR="00B65224">
        <w:rPr>
          <w:b/>
          <w:i/>
        </w:rPr>
        <w:t>, and disturbance allowances</w:t>
      </w:r>
      <w:r w:rsidR="0008037A" w:rsidRPr="00B3424E">
        <w:rPr>
          <w:b/>
          <w:bCs/>
          <w:i/>
          <w:noProof/>
          <w:snapToGrid w:val="0"/>
          <w:lang w:val="en-US"/>
        </w:rPr>
        <w:t>) Determination</w:t>
      </w:r>
      <w:r w:rsidR="00710F2C">
        <w:rPr>
          <w:b/>
          <w:bCs/>
          <w:i/>
          <w:noProof/>
          <w:snapToGrid w:val="0"/>
          <w:lang w:val="en-US"/>
        </w:rPr>
        <w:t xml:space="preserve"> (No.</w:t>
      </w:r>
      <w:r w:rsidR="00B65224">
        <w:rPr>
          <w:b/>
          <w:bCs/>
          <w:i/>
          <w:noProof/>
          <w:snapToGrid w:val="0"/>
          <w:lang w:val="en-US"/>
        </w:rPr>
        <w:t xml:space="preserve"> </w:t>
      </w:r>
      <w:r w:rsidR="007C0FE3">
        <w:rPr>
          <w:b/>
          <w:bCs/>
          <w:i/>
          <w:noProof/>
          <w:snapToGrid w:val="0"/>
          <w:lang w:val="en-US"/>
        </w:rPr>
        <w:t>7</w:t>
      </w:r>
      <w:r w:rsidR="00710F2C">
        <w:rPr>
          <w:b/>
          <w:bCs/>
          <w:i/>
          <w:noProof/>
          <w:snapToGrid w:val="0"/>
          <w:lang w:val="en-US"/>
        </w:rPr>
        <w:t>)</w:t>
      </w:r>
      <w:r w:rsidR="0008037A" w:rsidRPr="00B3424E">
        <w:rPr>
          <w:b/>
          <w:bCs/>
          <w:i/>
          <w:noProof/>
          <w:snapToGrid w:val="0"/>
          <w:lang w:val="en-US"/>
        </w:rPr>
        <w:t xml:space="preserve"> 202</w:t>
      </w:r>
      <w:r w:rsidR="00710F2C">
        <w:rPr>
          <w:b/>
          <w:bCs/>
          <w:i/>
          <w:noProof/>
          <w:snapToGrid w:val="0"/>
          <w:lang w:val="en-US"/>
        </w:rPr>
        <w:t>5</w:t>
      </w:r>
    </w:p>
    <w:p w14:paraId="0C64CA0C" w14:textId="3774B220" w:rsidR="00737505" w:rsidRPr="00B3424E" w:rsidRDefault="00737505" w:rsidP="00486185">
      <w:pPr>
        <w:pStyle w:val="BlockText-Plain"/>
        <w:jc w:val="center"/>
        <w:rPr>
          <w:b/>
          <w:i/>
          <w:snapToGrid w:val="0"/>
        </w:rPr>
      </w:pPr>
      <w:r w:rsidRPr="00B3424E">
        <w:rPr>
          <w:b/>
          <w:i/>
          <w:snapToGrid w:val="0"/>
        </w:rPr>
        <w:t>Statement of Compatibility with Human Rights</w:t>
      </w:r>
    </w:p>
    <w:p w14:paraId="72AD4000" w14:textId="77777777" w:rsidR="00737505" w:rsidRPr="00B3424E" w:rsidRDefault="00737505" w:rsidP="00737505">
      <w:pPr>
        <w:pStyle w:val="Sectiontext"/>
        <w:jc w:val="center"/>
        <w:rPr>
          <w:i/>
          <w:snapToGrid w:val="0"/>
        </w:rPr>
      </w:pPr>
      <w:r w:rsidRPr="00B3424E">
        <w:rPr>
          <w:i/>
          <w:snapToGrid w:val="0"/>
        </w:rPr>
        <w:t>Prepared in accordance with Part 3 of the Human Rights (Parliamentary Scrutiny) Act 2011</w:t>
      </w:r>
    </w:p>
    <w:p w14:paraId="06067794" w14:textId="77777777" w:rsidR="001E51FE" w:rsidRPr="00B3424E" w:rsidRDefault="001E51FE" w:rsidP="007753AD">
      <w:pPr>
        <w:spacing w:after="200" w:line="240" w:lineRule="auto"/>
        <w:rPr>
          <w:rFonts w:ascii="Arial" w:hAnsi="Arial" w:cs="Arial"/>
          <w:b/>
          <w:sz w:val="20"/>
        </w:rPr>
      </w:pPr>
      <w:r w:rsidRPr="00B3424E">
        <w:rPr>
          <w:rFonts w:ascii="Arial" w:hAnsi="Arial" w:cs="Arial"/>
          <w:b/>
          <w:sz w:val="20"/>
        </w:rPr>
        <w:t>Overview of the Determination</w:t>
      </w:r>
    </w:p>
    <w:p w14:paraId="09E9A29A" w14:textId="77777777" w:rsidR="00B65224" w:rsidRPr="00B3424E" w:rsidRDefault="00B65224" w:rsidP="00B65224">
      <w:pPr>
        <w:pStyle w:val="Sectiontext"/>
        <w:tabs>
          <w:tab w:val="left" w:pos="7380"/>
        </w:tabs>
      </w:pPr>
      <w:r w:rsidRPr="00B3424E">
        <w:t>The purpose of this Determination is to do the following:</w:t>
      </w:r>
    </w:p>
    <w:p w14:paraId="630FA6D0" w14:textId="77777777" w:rsidR="00B65224" w:rsidRPr="00B3424E" w:rsidRDefault="00B65224" w:rsidP="00B65224">
      <w:pPr>
        <w:pStyle w:val="ListParagraph"/>
        <w:numPr>
          <w:ilvl w:val="0"/>
          <w:numId w:val="17"/>
        </w:numPr>
        <w:shd w:val="clear" w:color="auto" w:fill="FFFFFF"/>
        <w:spacing w:after="200" w:line="240" w:lineRule="auto"/>
        <w:contextualSpacing w:val="0"/>
        <w:rPr>
          <w:rFonts w:ascii="Arial" w:eastAsia="Times New Roman" w:hAnsi="Arial" w:cs="Arial"/>
          <w:color w:val="000000"/>
          <w:sz w:val="20"/>
          <w:lang w:eastAsia="en-AU"/>
        </w:rPr>
      </w:pPr>
      <w:r w:rsidRPr="00B3424E">
        <w:rPr>
          <w:rFonts w:ascii="Arial" w:eastAsia="Times New Roman" w:hAnsi="Arial" w:cs="Arial"/>
          <w:color w:val="000000"/>
          <w:sz w:val="20"/>
          <w:lang w:eastAsia="en-AU"/>
        </w:rPr>
        <w:t>Amend the rates of contribution that members must make for their living-in accommodation. Living-in accommodation is a type of military accommodation that is provided for some single members, or members who do not have their families with them.</w:t>
      </w:r>
    </w:p>
    <w:p w14:paraId="6A7F7498" w14:textId="77777777" w:rsidR="00B65224" w:rsidRDefault="00B65224" w:rsidP="00B65224">
      <w:pPr>
        <w:pStyle w:val="ListParagraph"/>
        <w:numPr>
          <w:ilvl w:val="0"/>
          <w:numId w:val="17"/>
        </w:numPr>
        <w:shd w:val="clear" w:color="auto" w:fill="FFFFFF"/>
        <w:spacing w:after="200" w:line="240" w:lineRule="auto"/>
        <w:contextualSpacing w:val="0"/>
        <w:rPr>
          <w:rFonts w:ascii="Arial" w:eastAsia="Times New Roman" w:hAnsi="Arial" w:cs="Arial"/>
          <w:color w:val="000000"/>
          <w:sz w:val="20"/>
          <w:lang w:eastAsia="en-AU"/>
        </w:rPr>
      </w:pPr>
      <w:r w:rsidRPr="00B3424E">
        <w:rPr>
          <w:rFonts w:ascii="Arial" w:eastAsia="Times New Roman" w:hAnsi="Arial" w:cs="Arial"/>
          <w:color w:val="000000"/>
          <w:sz w:val="20"/>
          <w:lang w:eastAsia="en-AU"/>
        </w:rPr>
        <w:t>Implement the annual review of allowances that members may receive for, and the contributions they are required to make towards, the cost of their accommodation, meals and utilities.</w:t>
      </w:r>
    </w:p>
    <w:p w14:paraId="36A8CECD" w14:textId="77777777" w:rsidR="00B65224" w:rsidRPr="00015ECD" w:rsidRDefault="00B65224" w:rsidP="00B65224">
      <w:pPr>
        <w:pStyle w:val="ListParagraph"/>
        <w:numPr>
          <w:ilvl w:val="0"/>
          <w:numId w:val="17"/>
        </w:numPr>
        <w:shd w:val="clear" w:color="auto" w:fill="FFFFFF"/>
        <w:spacing w:after="200" w:line="240" w:lineRule="auto"/>
        <w:contextualSpacing w:val="0"/>
        <w:rPr>
          <w:rFonts w:ascii="Arial" w:eastAsia="Times New Roman" w:hAnsi="Arial" w:cs="Arial"/>
          <w:color w:val="000000"/>
          <w:sz w:val="20"/>
          <w:lang w:eastAsia="en-AU"/>
        </w:rPr>
      </w:pPr>
      <w:r w:rsidRPr="00015ECD">
        <w:rPr>
          <w:rFonts w:ascii="Arial" w:hAnsi="Arial" w:cs="Arial"/>
          <w:sz w:val="20"/>
        </w:rPr>
        <w:t xml:space="preserve">Amend the rate of disturbance allowance provided to eligible members and to the additional payment resulting from their child changing schools following a removal. </w:t>
      </w:r>
    </w:p>
    <w:p w14:paraId="38FFFAF4" w14:textId="2FF8AB9A" w:rsidR="001E51FE" w:rsidRPr="00B3424E" w:rsidRDefault="001E51FE" w:rsidP="007753AD">
      <w:pPr>
        <w:spacing w:after="200" w:line="240" w:lineRule="auto"/>
        <w:rPr>
          <w:rFonts w:ascii="Arial" w:hAnsi="Arial" w:cs="Arial"/>
          <w:b/>
          <w:sz w:val="20"/>
        </w:rPr>
      </w:pPr>
      <w:r w:rsidRPr="00B3424E">
        <w:rPr>
          <w:rFonts w:ascii="Arial" w:hAnsi="Arial" w:cs="Arial"/>
          <w:b/>
          <w:sz w:val="20"/>
        </w:rPr>
        <w:t>Human rights implications</w:t>
      </w:r>
    </w:p>
    <w:p w14:paraId="6FE8C13D" w14:textId="77777777" w:rsidR="002A3EC7" w:rsidRPr="00B3424E" w:rsidRDefault="002A3EC7" w:rsidP="007753AD">
      <w:pPr>
        <w:spacing w:after="200" w:line="240" w:lineRule="auto"/>
        <w:rPr>
          <w:rFonts w:ascii="Arial" w:hAnsi="Arial" w:cs="Arial"/>
          <w:sz w:val="24"/>
          <w:szCs w:val="24"/>
        </w:rPr>
      </w:pPr>
      <w:r w:rsidRPr="00B3424E">
        <w:rPr>
          <w:rFonts w:ascii="Arial" w:hAnsi="Arial" w:cs="Arial"/>
          <w:i/>
          <w:sz w:val="20"/>
        </w:rPr>
        <w:t>Right to an adequate standard of living</w:t>
      </w:r>
    </w:p>
    <w:p w14:paraId="4F4A3E37" w14:textId="58E4F1C4" w:rsidR="002A3EC7" w:rsidRDefault="002A3EC7" w:rsidP="007753AD">
      <w:pPr>
        <w:pStyle w:val="Sectiontext"/>
        <w:rPr>
          <w:snapToGrid w:val="0"/>
        </w:rPr>
      </w:pPr>
      <w:r w:rsidRPr="00B3424E">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51AAFAB4" w14:textId="77777777" w:rsidR="0031370A" w:rsidRPr="008D50EB" w:rsidRDefault="0031370A" w:rsidP="0031370A">
      <w:pPr>
        <w:pStyle w:val="Sectiontext"/>
        <w:rPr>
          <w:i/>
          <w:snapToGrid w:val="0"/>
        </w:rPr>
      </w:pPr>
      <w:r w:rsidRPr="008D50EB">
        <w:rPr>
          <w:i/>
          <w:snapToGrid w:val="0"/>
        </w:rPr>
        <w:t>Right of a child to an adequate standard of living</w:t>
      </w:r>
    </w:p>
    <w:p w14:paraId="27609EF0" w14:textId="77777777" w:rsidR="0031370A" w:rsidRDefault="0031370A" w:rsidP="0031370A">
      <w:pPr>
        <w:pStyle w:val="Sectiontext"/>
        <w:rPr>
          <w:snapToGrid w:val="0"/>
        </w:rPr>
      </w:pPr>
      <w:r>
        <w:rPr>
          <w:snapToGrid w:val="0"/>
        </w:rPr>
        <w:t>The recognition of</w:t>
      </w:r>
      <w:r w:rsidRPr="008D50EB">
        <w:rPr>
          <w:snapToGrid w:val="0"/>
        </w:rPr>
        <w:t xml:space="preserve"> the right of every child to a standard of living adequate for the child's physical, mental, spiritual, moral and social development</w:t>
      </w:r>
      <w:r>
        <w:rPr>
          <w:snapToGrid w:val="0"/>
        </w:rPr>
        <w:t xml:space="preserve"> engages Article 27 of </w:t>
      </w:r>
      <w:r w:rsidRPr="008D50EB">
        <w:rPr>
          <w:snapToGrid w:val="0"/>
        </w:rPr>
        <w:t>the Convention on the Rights of a Child. Article 27 states Parties shall take appropriate action to assist parents and others responsible for a child, to implement this right and shall in case of need provide material assistance and support programmes, particularly with regard to nutrition, clothing and housing.</w:t>
      </w:r>
    </w:p>
    <w:p w14:paraId="40BE24F8" w14:textId="77777777" w:rsidR="0031370A" w:rsidRDefault="0031370A" w:rsidP="0031370A">
      <w:pPr>
        <w:pStyle w:val="Sectiontext"/>
        <w:rPr>
          <w:snapToGrid w:val="0"/>
        </w:rPr>
      </w:pPr>
      <w:r w:rsidRPr="008D50EB">
        <w:rPr>
          <w:rFonts w:cs="Arial"/>
          <w:i/>
        </w:rPr>
        <w:t>Right of the child to education</w:t>
      </w:r>
    </w:p>
    <w:p w14:paraId="621BD669" w14:textId="3E1B051A" w:rsidR="0031370A" w:rsidRPr="00B3424E" w:rsidRDefault="0031370A" w:rsidP="007753AD">
      <w:pPr>
        <w:pStyle w:val="Sectiontext"/>
        <w:rPr>
          <w:snapToGrid w:val="0"/>
        </w:rPr>
      </w:pPr>
      <w:r w:rsidRPr="008D50EB">
        <w:rPr>
          <w:snapToGrid w:val="0"/>
        </w:rPr>
        <w:t xml:space="preserve">The protection of a child’s right to education engages Article 28 of the Convention on the Rights of a Child. Article 28 requires States to provide access to different types of education. </w:t>
      </w:r>
    </w:p>
    <w:p w14:paraId="08EBD08E" w14:textId="0CC6187C" w:rsidR="00BC00AA" w:rsidRPr="00B3424E" w:rsidRDefault="00737505" w:rsidP="007753AD">
      <w:pPr>
        <w:shd w:val="clear" w:color="auto" w:fill="FFFFFF"/>
        <w:spacing w:before="100" w:beforeAutospacing="1" w:after="200" w:line="240" w:lineRule="auto"/>
        <w:rPr>
          <w:rFonts w:ascii="Arial" w:hAnsi="Arial" w:cs="Arial"/>
          <w:b/>
          <w:i/>
          <w:iCs/>
          <w:sz w:val="20"/>
        </w:rPr>
      </w:pPr>
      <w:r w:rsidRPr="00B3424E">
        <w:rPr>
          <w:rFonts w:ascii="Arial" w:hAnsi="Arial" w:cs="Arial"/>
          <w:b/>
          <w:i/>
          <w:iCs/>
          <w:sz w:val="20"/>
        </w:rPr>
        <w:t>Assessment of compatibility</w:t>
      </w:r>
    </w:p>
    <w:p w14:paraId="04B7A50A" w14:textId="6AF8E8A9" w:rsidR="00C55430" w:rsidRDefault="0031370A" w:rsidP="00C55430">
      <w:pPr>
        <w:spacing w:after="200" w:line="240" w:lineRule="auto"/>
        <w:rPr>
          <w:rFonts w:ascii="Arial" w:hAnsi="Arial" w:cs="Arial"/>
          <w:iCs/>
          <w:sz w:val="20"/>
        </w:rPr>
      </w:pPr>
      <w:r>
        <w:rPr>
          <w:rFonts w:ascii="Arial" w:hAnsi="Arial" w:cs="Arial"/>
          <w:iCs/>
          <w:sz w:val="20"/>
        </w:rPr>
        <w:t>Schedules 1 and 2 of t</w:t>
      </w:r>
      <w:r w:rsidR="00C55430" w:rsidRPr="00B3424E">
        <w:rPr>
          <w:rFonts w:ascii="Arial" w:hAnsi="Arial" w:cs="Arial"/>
          <w:iCs/>
          <w:sz w:val="20"/>
        </w:rPr>
        <w:t xml:space="preserve">his Determination </w:t>
      </w:r>
      <w:r w:rsidR="007C0FE3">
        <w:rPr>
          <w:rFonts w:ascii="Arial" w:hAnsi="Arial" w:cs="Arial"/>
          <w:iCs/>
          <w:sz w:val="20"/>
        </w:rPr>
        <w:t>are</w:t>
      </w:r>
      <w:r w:rsidR="00C55430" w:rsidRPr="00B3424E">
        <w:rPr>
          <w:rFonts w:ascii="Arial" w:hAnsi="Arial" w:cs="Arial"/>
          <w:iCs/>
          <w:sz w:val="20"/>
        </w:rPr>
        <w:t xml:space="preserve"> co</w:t>
      </w:r>
      <w:r w:rsidR="007C0FE3">
        <w:rPr>
          <w:rFonts w:ascii="Arial" w:hAnsi="Arial" w:cs="Arial"/>
          <w:iCs/>
          <w:sz w:val="20"/>
        </w:rPr>
        <w:t>mpatible with human rights as they</w:t>
      </w:r>
      <w:r w:rsidR="00C55430" w:rsidRPr="00B3424E">
        <w:rPr>
          <w:rFonts w:ascii="Arial" w:hAnsi="Arial" w:cs="Arial"/>
          <w:iCs/>
          <w:sz w:val="20"/>
        </w:rPr>
        <w:t xml:space="preserve"> provide assistance with the cost of housing and housing related allowances for members and their </w:t>
      </w:r>
      <w:r w:rsidR="003A5FCE">
        <w:rPr>
          <w:rFonts w:ascii="Arial" w:hAnsi="Arial" w:cs="Arial"/>
          <w:iCs/>
          <w:sz w:val="20"/>
        </w:rPr>
        <w:t>family</w:t>
      </w:r>
      <w:r w:rsidR="00C55430" w:rsidRPr="00B3424E">
        <w:rPr>
          <w:rFonts w:ascii="Arial" w:hAnsi="Arial" w:cs="Arial"/>
          <w:iCs/>
          <w:sz w:val="20"/>
        </w:rPr>
        <w:t xml:space="preserve">. The increase in contribution rates payable by members for accommodation </w:t>
      </w:r>
      <w:r w:rsidR="00B3424E" w:rsidRPr="00B3424E">
        <w:rPr>
          <w:rFonts w:ascii="Arial" w:hAnsi="Arial" w:cs="Arial"/>
          <w:iCs/>
          <w:sz w:val="20"/>
        </w:rPr>
        <w:t>is in line with increases in the national rental market and average rent for Defence Housing Australia managed properties.</w:t>
      </w:r>
      <w:r w:rsidR="00C55430" w:rsidRPr="00B3424E">
        <w:rPr>
          <w:rFonts w:ascii="Arial" w:hAnsi="Arial" w:cs="Arial"/>
          <w:iCs/>
          <w:sz w:val="20"/>
        </w:rPr>
        <w:t xml:space="preserve"> </w:t>
      </w:r>
    </w:p>
    <w:p w14:paraId="66826696" w14:textId="602BD956" w:rsidR="0031370A" w:rsidRPr="0031370A" w:rsidRDefault="0031370A" w:rsidP="00C55430">
      <w:pPr>
        <w:spacing w:after="200" w:line="240" w:lineRule="auto"/>
        <w:rPr>
          <w:rFonts w:ascii="Arial" w:hAnsi="Arial" w:cs="Arial"/>
          <w:iCs/>
          <w:sz w:val="20"/>
        </w:rPr>
      </w:pPr>
      <w:r>
        <w:rPr>
          <w:rFonts w:ascii="Arial" w:hAnsi="Arial" w:cs="Arial"/>
          <w:iCs/>
          <w:sz w:val="20"/>
        </w:rPr>
        <w:t xml:space="preserve">Schedule 3 of this Determination is </w:t>
      </w:r>
      <w:r w:rsidRPr="008D50EB">
        <w:rPr>
          <w:rFonts w:ascii="Arial" w:hAnsi="Arial" w:cs="Arial"/>
          <w:iCs/>
          <w:sz w:val="20"/>
        </w:rPr>
        <w:t xml:space="preserve">compatible with human rights as </w:t>
      </w:r>
      <w:r>
        <w:rPr>
          <w:rFonts w:ascii="Arial" w:hAnsi="Arial" w:cs="Arial"/>
          <w:iCs/>
          <w:sz w:val="20"/>
        </w:rPr>
        <w:t>it increases</w:t>
      </w:r>
      <w:r w:rsidRPr="008D50EB">
        <w:rPr>
          <w:rFonts w:ascii="Arial" w:hAnsi="Arial" w:cs="Arial"/>
          <w:iCs/>
          <w:sz w:val="20"/>
        </w:rPr>
        <w:t xml:space="preserve"> rate</w:t>
      </w:r>
      <w:r>
        <w:rPr>
          <w:rFonts w:ascii="Arial" w:hAnsi="Arial" w:cs="Arial"/>
          <w:iCs/>
          <w:sz w:val="20"/>
        </w:rPr>
        <w:t>s</w:t>
      </w:r>
      <w:r w:rsidRPr="008D50EB">
        <w:rPr>
          <w:rFonts w:ascii="Arial" w:hAnsi="Arial" w:cs="Arial"/>
          <w:iCs/>
          <w:sz w:val="20"/>
        </w:rPr>
        <w:t xml:space="preserve"> of disturbance allowance</w:t>
      </w:r>
      <w:r>
        <w:rPr>
          <w:rFonts w:ascii="Arial" w:hAnsi="Arial" w:cs="Arial"/>
          <w:iCs/>
          <w:sz w:val="20"/>
        </w:rPr>
        <w:t xml:space="preserve"> payable to members as a result of a removal</w:t>
      </w:r>
      <w:r w:rsidRPr="008D50EB">
        <w:rPr>
          <w:rFonts w:ascii="Arial" w:hAnsi="Arial" w:cs="Arial"/>
          <w:sz w:val="20"/>
        </w:rPr>
        <w:t>.</w:t>
      </w:r>
      <w:r>
        <w:rPr>
          <w:rFonts w:ascii="Arial" w:hAnsi="Arial" w:cs="Arial"/>
          <w:sz w:val="20"/>
        </w:rPr>
        <w:t xml:space="preserve"> T</w:t>
      </w:r>
      <w:r w:rsidRPr="008D50EB">
        <w:rPr>
          <w:rFonts w:ascii="Arial" w:hAnsi="Arial" w:cs="Arial"/>
          <w:iCs/>
          <w:sz w:val="20"/>
        </w:rPr>
        <w:t xml:space="preserve">he rate of </w:t>
      </w:r>
      <w:r>
        <w:rPr>
          <w:rFonts w:ascii="Arial" w:hAnsi="Arial" w:cs="Arial"/>
          <w:iCs/>
          <w:sz w:val="20"/>
        </w:rPr>
        <w:t xml:space="preserve">an additional payment that is provided as a result of a child changing schools following a removal has also been increased. </w:t>
      </w:r>
      <w:r w:rsidRPr="008D50EB">
        <w:rPr>
          <w:rFonts w:ascii="Arial" w:hAnsi="Arial" w:cs="Arial"/>
          <w:sz w:val="20"/>
        </w:rPr>
        <w:t>The annual adjustment</w:t>
      </w:r>
      <w:r>
        <w:rPr>
          <w:rFonts w:ascii="Arial" w:hAnsi="Arial" w:cs="Arial"/>
          <w:sz w:val="20"/>
        </w:rPr>
        <w:t>s are</w:t>
      </w:r>
      <w:r w:rsidRPr="008D50EB">
        <w:rPr>
          <w:rFonts w:ascii="Arial" w:hAnsi="Arial" w:cs="Arial"/>
          <w:sz w:val="20"/>
        </w:rPr>
        <w:t xml:space="preserve"> made </w:t>
      </w:r>
      <w:r>
        <w:rPr>
          <w:rFonts w:ascii="Arial" w:hAnsi="Arial" w:cs="Arial"/>
          <w:sz w:val="20"/>
        </w:rPr>
        <w:t>to</w:t>
      </w:r>
      <w:r w:rsidRPr="008D50EB">
        <w:rPr>
          <w:rFonts w:ascii="Arial" w:eastAsia="Times New Roman" w:hAnsi="Arial" w:cs="Arial"/>
          <w:color w:val="000000" w:themeColor="text1"/>
          <w:sz w:val="20"/>
          <w:lang w:eastAsia="en-AU"/>
        </w:rPr>
        <w:t xml:space="preserve"> </w:t>
      </w:r>
      <w:r>
        <w:rPr>
          <w:rFonts w:ascii="Arial" w:hAnsi="Arial" w:cs="Arial"/>
          <w:sz w:val="20"/>
        </w:rPr>
        <w:t>ensure</w:t>
      </w:r>
      <w:r w:rsidRPr="008D50EB">
        <w:rPr>
          <w:rFonts w:ascii="Arial" w:hAnsi="Arial" w:cs="Arial"/>
          <w:sz w:val="20"/>
        </w:rPr>
        <w:t xml:space="preserve"> that the rates of allowances remain current.</w:t>
      </w:r>
    </w:p>
    <w:p w14:paraId="494DEA52" w14:textId="77777777" w:rsidR="001E51FE" w:rsidRPr="00B3424E" w:rsidRDefault="001E51FE" w:rsidP="007753AD">
      <w:pPr>
        <w:spacing w:after="200" w:line="240" w:lineRule="auto"/>
        <w:rPr>
          <w:rFonts w:ascii="Arial" w:hAnsi="Arial" w:cs="Arial"/>
          <w:b/>
          <w:sz w:val="20"/>
        </w:rPr>
      </w:pPr>
      <w:r w:rsidRPr="00B3424E">
        <w:rPr>
          <w:rFonts w:ascii="Arial" w:hAnsi="Arial" w:cs="Arial"/>
          <w:b/>
          <w:sz w:val="20"/>
        </w:rPr>
        <w:t>Conclusion</w:t>
      </w:r>
    </w:p>
    <w:p w14:paraId="4D231897" w14:textId="1F8A86B3" w:rsidR="001E51FE" w:rsidRPr="00A575F1" w:rsidRDefault="001E51FE" w:rsidP="007753AD">
      <w:pPr>
        <w:pStyle w:val="Sectiontext"/>
        <w:rPr>
          <w:snapToGrid w:val="0"/>
        </w:rPr>
      </w:pPr>
      <w:r w:rsidRPr="00B3424E">
        <w:rPr>
          <w:snapToGrid w:val="0"/>
        </w:rPr>
        <w:t>This Determination is compa</w:t>
      </w:r>
      <w:r w:rsidR="00737505" w:rsidRPr="00B3424E">
        <w:rPr>
          <w:snapToGrid w:val="0"/>
        </w:rPr>
        <w:t xml:space="preserve">tible with human rights and freedoms recognised or declared in the international instruments listed in section 3 of the </w:t>
      </w:r>
      <w:r w:rsidR="00737505" w:rsidRPr="00B3424E">
        <w:rPr>
          <w:i/>
          <w:snapToGrid w:val="0"/>
        </w:rPr>
        <w:t>Human Rights (Parliamentary Scrutiny) Act 2011</w:t>
      </w:r>
      <w:r w:rsidRPr="00B3424E">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C9D83" w14:textId="77777777" w:rsidR="00215943" w:rsidRDefault="00215943" w:rsidP="0048364F">
      <w:pPr>
        <w:spacing w:line="240" w:lineRule="auto"/>
      </w:pPr>
      <w:r>
        <w:separator/>
      </w:r>
    </w:p>
  </w:endnote>
  <w:endnote w:type="continuationSeparator" w:id="0">
    <w:p w14:paraId="2A50BDE6" w14:textId="77777777" w:rsidR="00215943" w:rsidRDefault="0021594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07208A5B" w:rsidR="00FA083A" w:rsidRDefault="00FA083A">
        <w:pPr>
          <w:pStyle w:val="Footer"/>
          <w:jc w:val="right"/>
        </w:pPr>
        <w:r>
          <w:fldChar w:fldCharType="begin"/>
        </w:r>
        <w:r>
          <w:instrText xml:space="preserve"> PAGE   \* MERGEFORMAT </w:instrText>
        </w:r>
        <w:r>
          <w:fldChar w:fldCharType="separate"/>
        </w:r>
        <w:r w:rsidR="00BD7629">
          <w:rPr>
            <w:noProof/>
          </w:rPr>
          <w:t>5</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54B3A99E"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BD7629">
          <w:rPr>
            <w:noProof/>
            <w:sz w:val="18"/>
            <w:szCs w:val="18"/>
          </w:rPr>
          <w:t>6</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893C1" w14:textId="77777777" w:rsidR="00215943" w:rsidRDefault="00215943" w:rsidP="0048364F">
      <w:pPr>
        <w:spacing w:line="240" w:lineRule="auto"/>
      </w:pPr>
      <w:r>
        <w:separator/>
      </w:r>
    </w:p>
  </w:footnote>
  <w:footnote w:type="continuationSeparator" w:id="0">
    <w:p w14:paraId="5E034667" w14:textId="77777777" w:rsidR="00215943" w:rsidRDefault="0021594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C6D5E"/>
    <w:multiLevelType w:val="hybridMultilevel"/>
    <w:tmpl w:val="1E10B59A"/>
    <w:lvl w:ilvl="0" w:tplc="0C090001">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9920B5"/>
    <w:multiLevelType w:val="hybridMultilevel"/>
    <w:tmpl w:val="10CA6B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5"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4"/>
  </w:num>
  <w:num w:numId="14">
    <w:abstractNumId w:val="19"/>
  </w:num>
  <w:num w:numId="15">
    <w:abstractNumId w:val="22"/>
  </w:num>
  <w:num w:numId="16">
    <w:abstractNumId w:val="20"/>
  </w:num>
  <w:num w:numId="17">
    <w:abstractNumId w:val="12"/>
  </w:num>
  <w:num w:numId="18">
    <w:abstractNumId w:val="18"/>
  </w:num>
  <w:num w:numId="19">
    <w:abstractNumId w:val="16"/>
  </w:num>
  <w:num w:numId="20">
    <w:abstractNumId w:val="15"/>
  </w:num>
  <w:num w:numId="21">
    <w:abstractNumId w:val="21"/>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15ECD"/>
    <w:rsid w:val="00034420"/>
    <w:rsid w:val="0004044E"/>
    <w:rsid w:val="00050390"/>
    <w:rsid w:val="0005120E"/>
    <w:rsid w:val="00054577"/>
    <w:rsid w:val="000614BF"/>
    <w:rsid w:val="0007169C"/>
    <w:rsid w:val="00077593"/>
    <w:rsid w:val="0008037A"/>
    <w:rsid w:val="00083F48"/>
    <w:rsid w:val="000A479A"/>
    <w:rsid w:val="000A7DF9"/>
    <w:rsid w:val="000C3AA3"/>
    <w:rsid w:val="000C696D"/>
    <w:rsid w:val="000D05EF"/>
    <w:rsid w:val="000D3FB9"/>
    <w:rsid w:val="000D5485"/>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4E7"/>
    <w:rsid w:val="0021153A"/>
    <w:rsid w:val="0021243D"/>
    <w:rsid w:val="00215943"/>
    <w:rsid w:val="0022229F"/>
    <w:rsid w:val="002245A6"/>
    <w:rsid w:val="002302EA"/>
    <w:rsid w:val="00237614"/>
    <w:rsid w:val="00240749"/>
    <w:rsid w:val="002468D7"/>
    <w:rsid w:val="00247E97"/>
    <w:rsid w:val="00256C81"/>
    <w:rsid w:val="002829C1"/>
    <w:rsid w:val="00285CDD"/>
    <w:rsid w:val="00290F1C"/>
    <w:rsid w:val="00291167"/>
    <w:rsid w:val="0029489E"/>
    <w:rsid w:val="00297ECB"/>
    <w:rsid w:val="002A3EC7"/>
    <w:rsid w:val="002B1B7A"/>
    <w:rsid w:val="002C136A"/>
    <w:rsid w:val="002C152A"/>
    <w:rsid w:val="002C71AE"/>
    <w:rsid w:val="002D043A"/>
    <w:rsid w:val="0031370A"/>
    <w:rsid w:val="0031713F"/>
    <w:rsid w:val="003222D1"/>
    <w:rsid w:val="0032750F"/>
    <w:rsid w:val="003415D3"/>
    <w:rsid w:val="003442F6"/>
    <w:rsid w:val="00346335"/>
    <w:rsid w:val="00350C06"/>
    <w:rsid w:val="00352B0F"/>
    <w:rsid w:val="003561B0"/>
    <w:rsid w:val="00357B4D"/>
    <w:rsid w:val="00372E78"/>
    <w:rsid w:val="00397893"/>
    <w:rsid w:val="003A15AC"/>
    <w:rsid w:val="003A5FCE"/>
    <w:rsid w:val="003B0627"/>
    <w:rsid w:val="003C5F2B"/>
    <w:rsid w:val="003C7D35"/>
    <w:rsid w:val="003D0BFE"/>
    <w:rsid w:val="003D5700"/>
    <w:rsid w:val="003F506B"/>
    <w:rsid w:val="003F6F52"/>
    <w:rsid w:val="004022CA"/>
    <w:rsid w:val="004116CD"/>
    <w:rsid w:val="00414ADE"/>
    <w:rsid w:val="00417CDA"/>
    <w:rsid w:val="00424CA9"/>
    <w:rsid w:val="004257BB"/>
    <w:rsid w:val="0044291A"/>
    <w:rsid w:val="0044750D"/>
    <w:rsid w:val="004600B0"/>
    <w:rsid w:val="00460499"/>
    <w:rsid w:val="00460FBA"/>
    <w:rsid w:val="00474835"/>
    <w:rsid w:val="004819C7"/>
    <w:rsid w:val="0048364F"/>
    <w:rsid w:val="00486185"/>
    <w:rsid w:val="004877FC"/>
    <w:rsid w:val="00490F2E"/>
    <w:rsid w:val="00496F97"/>
    <w:rsid w:val="004A3778"/>
    <w:rsid w:val="004A53EA"/>
    <w:rsid w:val="004B35E7"/>
    <w:rsid w:val="004C5A5D"/>
    <w:rsid w:val="004F1FAC"/>
    <w:rsid w:val="004F676E"/>
    <w:rsid w:val="004F71C0"/>
    <w:rsid w:val="00506A01"/>
    <w:rsid w:val="00516B8D"/>
    <w:rsid w:val="00516D3D"/>
    <w:rsid w:val="0052756C"/>
    <w:rsid w:val="00530230"/>
    <w:rsid w:val="00530CC9"/>
    <w:rsid w:val="00531B46"/>
    <w:rsid w:val="005320C4"/>
    <w:rsid w:val="00537FBC"/>
    <w:rsid w:val="00541D73"/>
    <w:rsid w:val="00543469"/>
    <w:rsid w:val="00546FA3"/>
    <w:rsid w:val="00557413"/>
    <w:rsid w:val="00557C7A"/>
    <w:rsid w:val="00562A58"/>
    <w:rsid w:val="0056541A"/>
    <w:rsid w:val="005803CD"/>
    <w:rsid w:val="00581211"/>
    <w:rsid w:val="00584811"/>
    <w:rsid w:val="00593AA6"/>
    <w:rsid w:val="00594161"/>
    <w:rsid w:val="005941EB"/>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1058B"/>
    <w:rsid w:val="00613AEE"/>
    <w:rsid w:val="006252AD"/>
    <w:rsid w:val="00640402"/>
    <w:rsid w:val="00640F78"/>
    <w:rsid w:val="006422B7"/>
    <w:rsid w:val="00642427"/>
    <w:rsid w:val="00655D6A"/>
    <w:rsid w:val="00656DE9"/>
    <w:rsid w:val="006632D0"/>
    <w:rsid w:val="00672876"/>
    <w:rsid w:val="00677CC2"/>
    <w:rsid w:val="00682847"/>
    <w:rsid w:val="00685F42"/>
    <w:rsid w:val="0069207B"/>
    <w:rsid w:val="00697CB2"/>
    <w:rsid w:val="006A297B"/>
    <w:rsid w:val="006A304E"/>
    <w:rsid w:val="006B7006"/>
    <w:rsid w:val="006C7F8C"/>
    <w:rsid w:val="006D7AB9"/>
    <w:rsid w:val="00700B2C"/>
    <w:rsid w:val="00710F2C"/>
    <w:rsid w:val="00713084"/>
    <w:rsid w:val="00717463"/>
    <w:rsid w:val="00720FC2"/>
    <w:rsid w:val="00722E89"/>
    <w:rsid w:val="00724541"/>
    <w:rsid w:val="00731E00"/>
    <w:rsid w:val="007339C7"/>
    <w:rsid w:val="00737505"/>
    <w:rsid w:val="007440B7"/>
    <w:rsid w:val="00747993"/>
    <w:rsid w:val="007551C1"/>
    <w:rsid w:val="00761675"/>
    <w:rsid w:val="007634AD"/>
    <w:rsid w:val="007715C9"/>
    <w:rsid w:val="00771887"/>
    <w:rsid w:val="00774EDD"/>
    <w:rsid w:val="007753AD"/>
    <w:rsid w:val="007757EC"/>
    <w:rsid w:val="007952E9"/>
    <w:rsid w:val="007A6863"/>
    <w:rsid w:val="007B51E4"/>
    <w:rsid w:val="007B7E65"/>
    <w:rsid w:val="007C0FE3"/>
    <w:rsid w:val="007C78B4"/>
    <w:rsid w:val="007E0853"/>
    <w:rsid w:val="007E32B6"/>
    <w:rsid w:val="007E3976"/>
    <w:rsid w:val="007E486B"/>
    <w:rsid w:val="007E7D4A"/>
    <w:rsid w:val="007F48ED"/>
    <w:rsid w:val="007F5E3F"/>
    <w:rsid w:val="00812F45"/>
    <w:rsid w:val="00821CF7"/>
    <w:rsid w:val="008278DA"/>
    <w:rsid w:val="00836FE9"/>
    <w:rsid w:val="0084172C"/>
    <w:rsid w:val="008417DF"/>
    <w:rsid w:val="0085175E"/>
    <w:rsid w:val="00856A31"/>
    <w:rsid w:val="00861E7B"/>
    <w:rsid w:val="00864A66"/>
    <w:rsid w:val="008754D0"/>
    <w:rsid w:val="00876705"/>
    <w:rsid w:val="00877C69"/>
    <w:rsid w:val="00877D48"/>
    <w:rsid w:val="0088345B"/>
    <w:rsid w:val="00890133"/>
    <w:rsid w:val="00891074"/>
    <w:rsid w:val="00896D0A"/>
    <w:rsid w:val="008A16A5"/>
    <w:rsid w:val="008A5C57"/>
    <w:rsid w:val="008C0629"/>
    <w:rsid w:val="008C6FF0"/>
    <w:rsid w:val="008D0EE0"/>
    <w:rsid w:val="008D7A27"/>
    <w:rsid w:val="008E4702"/>
    <w:rsid w:val="008E69AA"/>
    <w:rsid w:val="008F4F1C"/>
    <w:rsid w:val="009069AD"/>
    <w:rsid w:val="00910E64"/>
    <w:rsid w:val="00922764"/>
    <w:rsid w:val="00926820"/>
    <w:rsid w:val="009278C1"/>
    <w:rsid w:val="00932377"/>
    <w:rsid w:val="009346E3"/>
    <w:rsid w:val="0094523D"/>
    <w:rsid w:val="00976A63"/>
    <w:rsid w:val="00991733"/>
    <w:rsid w:val="009A6866"/>
    <w:rsid w:val="009B2490"/>
    <w:rsid w:val="009B50E5"/>
    <w:rsid w:val="009B7880"/>
    <w:rsid w:val="009C3431"/>
    <w:rsid w:val="009C5989"/>
    <w:rsid w:val="009C6A32"/>
    <w:rsid w:val="009D08DA"/>
    <w:rsid w:val="009F1229"/>
    <w:rsid w:val="00A003BB"/>
    <w:rsid w:val="00A06860"/>
    <w:rsid w:val="00A07C6F"/>
    <w:rsid w:val="00A07DDE"/>
    <w:rsid w:val="00A136F5"/>
    <w:rsid w:val="00A2047D"/>
    <w:rsid w:val="00A231E2"/>
    <w:rsid w:val="00A2550D"/>
    <w:rsid w:val="00A36CD7"/>
    <w:rsid w:val="00A379BB"/>
    <w:rsid w:val="00A4169B"/>
    <w:rsid w:val="00A50D55"/>
    <w:rsid w:val="00A52FDA"/>
    <w:rsid w:val="00A575F1"/>
    <w:rsid w:val="00A6282F"/>
    <w:rsid w:val="00A6327D"/>
    <w:rsid w:val="00A64912"/>
    <w:rsid w:val="00A70A74"/>
    <w:rsid w:val="00A9231A"/>
    <w:rsid w:val="00A93CFA"/>
    <w:rsid w:val="00A95BC7"/>
    <w:rsid w:val="00AA0343"/>
    <w:rsid w:val="00AA0D47"/>
    <w:rsid w:val="00AA78CE"/>
    <w:rsid w:val="00AA7B26"/>
    <w:rsid w:val="00AB2B71"/>
    <w:rsid w:val="00AC767C"/>
    <w:rsid w:val="00AD3467"/>
    <w:rsid w:val="00AD5641"/>
    <w:rsid w:val="00AF33DB"/>
    <w:rsid w:val="00AF6E41"/>
    <w:rsid w:val="00B032D8"/>
    <w:rsid w:val="00B039C8"/>
    <w:rsid w:val="00B04DAA"/>
    <w:rsid w:val="00B05D72"/>
    <w:rsid w:val="00B20990"/>
    <w:rsid w:val="00B23770"/>
    <w:rsid w:val="00B23FAF"/>
    <w:rsid w:val="00B26ED7"/>
    <w:rsid w:val="00B33B3C"/>
    <w:rsid w:val="00B3424E"/>
    <w:rsid w:val="00B40D74"/>
    <w:rsid w:val="00B42649"/>
    <w:rsid w:val="00B46467"/>
    <w:rsid w:val="00B516C8"/>
    <w:rsid w:val="00B52663"/>
    <w:rsid w:val="00B56DCB"/>
    <w:rsid w:val="00B61728"/>
    <w:rsid w:val="00B65224"/>
    <w:rsid w:val="00B770D2"/>
    <w:rsid w:val="00B908E1"/>
    <w:rsid w:val="00B93516"/>
    <w:rsid w:val="00B96776"/>
    <w:rsid w:val="00B973E5"/>
    <w:rsid w:val="00BA0F45"/>
    <w:rsid w:val="00BA47A3"/>
    <w:rsid w:val="00BA5026"/>
    <w:rsid w:val="00BA7B5B"/>
    <w:rsid w:val="00BB6E79"/>
    <w:rsid w:val="00BC00AA"/>
    <w:rsid w:val="00BD7629"/>
    <w:rsid w:val="00BE42C5"/>
    <w:rsid w:val="00BE719A"/>
    <w:rsid w:val="00BE720A"/>
    <w:rsid w:val="00BF0723"/>
    <w:rsid w:val="00BF6650"/>
    <w:rsid w:val="00C04480"/>
    <w:rsid w:val="00C067E5"/>
    <w:rsid w:val="00C164CA"/>
    <w:rsid w:val="00C26051"/>
    <w:rsid w:val="00C40348"/>
    <w:rsid w:val="00C42BF8"/>
    <w:rsid w:val="00C460AE"/>
    <w:rsid w:val="00C50043"/>
    <w:rsid w:val="00C5015F"/>
    <w:rsid w:val="00C50A0F"/>
    <w:rsid w:val="00C50F4A"/>
    <w:rsid w:val="00C55430"/>
    <w:rsid w:val="00C72AFD"/>
    <w:rsid w:val="00C72D10"/>
    <w:rsid w:val="00C7573B"/>
    <w:rsid w:val="00C76CF3"/>
    <w:rsid w:val="00C83555"/>
    <w:rsid w:val="00C93205"/>
    <w:rsid w:val="00C945DC"/>
    <w:rsid w:val="00CA0761"/>
    <w:rsid w:val="00CA7844"/>
    <w:rsid w:val="00CB5822"/>
    <w:rsid w:val="00CB58EF"/>
    <w:rsid w:val="00CC193D"/>
    <w:rsid w:val="00CC3872"/>
    <w:rsid w:val="00CD35EF"/>
    <w:rsid w:val="00CE0A93"/>
    <w:rsid w:val="00CF0BB2"/>
    <w:rsid w:val="00D12B0D"/>
    <w:rsid w:val="00D13441"/>
    <w:rsid w:val="00D15A4D"/>
    <w:rsid w:val="00D243A3"/>
    <w:rsid w:val="00D33440"/>
    <w:rsid w:val="00D516AD"/>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5704"/>
    <w:rsid w:val="00E12F1A"/>
    <w:rsid w:val="00E14113"/>
    <w:rsid w:val="00E22935"/>
    <w:rsid w:val="00E232C6"/>
    <w:rsid w:val="00E26604"/>
    <w:rsid w:val="00E27C44"/>
    <w:rsid w:val="00E52D33"/>
    <w:rsid w:val="00E54292"/>
    <w:rsid w:val="00E54D2B"/>
    <w:rsid w:val="00E60191"/>
    <w:rsid w:val="00E6637B"/>
    <w:rsid w:val="00E74DC7"/>
    <w:rsid w:val="00E81ECD"/>
    <w:rsid w:val="00E86DED"/>
    <w:rsid w:val="00E87699"/>
    <w:rsid w:val="00E92E27"/>
    <w:rsid w:val="00E9586B"/>
    <w:rsid w:val="00E97334"/>
    <w:rsid w:val="00EB3A99"/>
    <w:rsid w:val="00EB65F8"/>
    <w:rsid w:val="00EC45EE"/>
    <w:rsid w:val="00ED4928"/>
    <w:rsid w:val="00EE3FFE"/>
    <w:rsid w:val="00EE57E8"/>
    <w:rsid w:val="00EE6190"/>
    <w:rsid w:val="00EF2E3A"/>
    <w:rsid w:val="00EF6402"/>
    <w:rsid w:val="00F047E2"/>
    <w:rsid w:val="00F04D57"/>
    <w:rsid w:val="00F078DC"/>
    <w:rsid w:val="00F13E86"/>
    <w:rsid w:val="00F20B52"/>
    <w:rsid w:val="00F32FCB"/>
    <w:rsid w:val="00F33523"/>
    <w:rsid w:val="00F507AB"/>
    <w:rsid w:val="00F677A9"/>
    <w:rsid w:val="00F8121C"/>
    <w:rsid w:val="00F84CF5"/>
    <w:rsid w:val="00F8612E"/>
    <w:rsid w:val="00F94583"/>
    <w:rsid w:val="00FA083A"/>
    <w:rsid w:val="00FA420B"/>
    <w:rsid w:val="00FB6AEE"/>
    <w:rsid w:val="00FC3EAC"/>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ListParagraph">
    <w:name w:val="List Paragraph"/>
    <w:basedOn w:val="Normal"/>
    <w:uiPriority w:val="34"/>
    <w:qFormat/>
    <w:rsid w:val="0092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2.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4.xml><?xml version="1.0" encoding="utf-8"?>
<ds:datastoreItem xmlns:ds="http://schemas.openxmlformats.org/officeDocument/2006/customXml" ds:itemID="{367476FC-C50A-40CD-A839-A3519A2B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0</TotalTime>
  <Pages>6</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Urbani, Karen MS</cp:lastModifiedBy>
  <cp:revision>2</cp:revision>
  <cp:lastPrinted>2019-05-12T23:26:00Z</cp:lastPrinted>
  <dcterms:created xsi:type="dcterms:W3CDTF">2025-05-30T00:19:00Z</dcterms:created>
  <dcterms:modified xsi:type="dcterms:W3CDTF">2025-05-30T00:19:00Z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BN101249510</vt:lpwstr>
  </property>
  <property fmtid="{D5CDD505-2E9C-101B-9397-08002B2CF9AE}" pid="4" name="Objective-Title">
    <vt:lpwstr>58B - 2025/7 - GRS ES</vt:lpwstr>
  </property>
  <property fmtid="{D5CDD505-2E9C-101B-9397-08002B2CF9AE}" pid="5" name="Objective-Comment">
    <vt:lpwstr/>
  </property>
  <property fmtid="{D5CDD505-2E9C-101B-9397-08002B2CF9AE}" pid="6" name="Objective-CreationStamp">
    <vt:filetime>2025-05-05T23:37:42Z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2025-05-29T04:21:59Z</vt:filetime>
  </property>
  <property fmtid="{D5CDD505-2E9C-101B-9397-08002B2CF9AE}" pid="10" name="Objective-ModificationStamp">
    <vt:filetime>2025-05-29T04:21:59Z</vt:filetime>
  </property>
  <property fmtid="{D5CDD505-2E9C-101B-9397-08002B2CF9AE}" pid="11" name="Objective-Owner">
    <vt:lpwstr>Urbani, Karen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02. Determination</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7</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