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D8FE" w14:textId="1EFE30A7" w:rsidR="003B26C8" w:rsidRPr="000919C0" w:rsidRDefault="003119DD" w:rsidP="003F0476">
      <w:pPr>
        <w:pStyle w:val="Title"/>
      </w:pPr>
      <w:bookmarkStart w:id="0" w:name="_Toc425761608"/>
      <w:bookmarkStart w:id="1" w:name="_Toc425866783"/>
      <w:r w:rsidRPr="000919C0">
        <w:t xml:space="preserve">REPLACEMENT </w:t>
      </w:r>
      <w:r w:rsidR="003B26C8" w:rsidRPr="000919C0">
        <w:t>EXPLANATORY STATEMENT</w:t>
      </w:r>
      <w:bookmarkEnd w:id="0"/>
      <w:bookmarkEnd w:id="1"/>
    </w:p>
    <w:p w14:paraId="3F9569E8" w14:textId="0BBAA435" w:rsidR="003B26C8" w:rsidRPr="000919C0" w:rsidRDefault="003B26C8" w:rsidP="003B26C8">
      <w:pPr>
        <w:spacing w:before="140" w:after="140" w:line="280" w:lineRule="atLeast"/>
        <w:jc w:val="center"/>
        <w:rPr>
          <w:rFonts w:cs="Arial"/>
          <w:color w:val="000000" w:themeColor="text1"/>
        </w:rPr>
      </w:pPr>
      <w:r w:rsidRPr="000919C0">
        <w:rPr>
          <w:rFonts w:cs="Arial"/>
          <w:color w:val="000000" w:themeColor="text1"/>
        </w:rPr>
        <w:t xml:space="preserve">Issued by the authority of the </w:t>
      </w:r>
      <w:r w:rsidR="00E50C45" w:rsidRPr="000919C0">
        <w:rPr>
          <w:rFonts w:cs="Arial"/>
          <w:color w:val="000000" w:themeColor="text1"/>
        </w:rPr>
        <w:t>Minister for Home Affairs</w:t>
      </w:r>
    </w:p>
    <w:p w14:paraId="620CB6C1" w14:textId="33F28468" w:rsidR="003B26C8" w:rsidRPr="000919C0" w:rsidRDefault="003B26C8" w:rsidP="003B26C8">
      <w:pPr>
        <w:spacing w:before="140" w:after="140" w:line="280" w:lineRule="atLeast"/>
        <w:jc w:val="center"/>
        <w:rPr>
          <w:rFonts w:cs="Arial"/>
          <w:i/>
          <w:color w:val="000000" w:themeColor="text1"/>
        </w:rPr>
      </w:pPr>
      <w:r w:rsidRPr="000919C0">
        <w:rPr>
          <w:rFonts w:cs="Arial"/>
          <w:i/>
          <w:color w:val="000000" w:themeColor="text1"/>
        </w:rPr>
        <w:t>Australian Transaction Reports and Analysis Centre Industry Contribution Act 2011</w:t>
      </w:r>
      <w:r w:rsidRPr="000919C0">
        <w:rPr>
          <w:rFonts w:cs="Arial"/>
          <w:i/>
          <w:color w:val="000000" w:themeColor="text1"/>
        </w:rPr>
        <w:br/>
        <w:t xml:space="preserve">Australian Transaction Reports and Analysis Centre Industry Contribution Determination </w:t>
      </w:r>
      <w:r w:rsidR="006934D1" w:rsidRPr="000919C0">
        <w:rPr>
          <w:rFonts w:cs="Arial"/>
          <w:i/>
          <w:color w:val="000000" w:themeColor="text1"/>
        </w:rPr>
        <w:t xml:space="preserve">2025 </w:t>
      </w:r>
      <w:r w:rsidRPr="000919C0">
        <w:rPr>
          <w:rFonts w:cs="Arial"/>
          <w:i/>
          <w:color w:val="000000" w:themeColor="text1"/>
        </w:rPr>
        <w:t>(No. 1)</w:t>
      </w:r>
    </w:p>
    <w:p w14:paraId="628026ED" w14:textId="71B79141" w:rsidR="003119DD" w:rsidRPr="00B808A3" w:rsidRDefault="003119DD" w:rsidP="00B808A3">
      <w:pPr>
        <w:spacing w:before="140" w:after="140" w:line="280" w:lineRule="atLeast"/>
        <w:rPr>
          <w:rFonts w:cs="Arial"/>
          <w:i/>
          <w:color w:val="000000" w:themeColor="text1"/>
          <w:sz w:val="20"/>
        </w:rPr>
      </w:pPr>
      <w:r w:rsidRPr="000919C0">
        <w:rPr>
          <w:rFonts w:cs="Arial"/>
          <w:i/>
          <w:color w:val="000000" w:themeColor="text1"/>
          <w:sz w:val="20"/>
        </w:rPr>
        <w:t xml:space="preserve">This Replacement Explanatory Statement replaces the </w:t>
      </w:r>
      <w:r w:rsidR="00EF6225" w:rsidRPr="000919C0">
        <w:rPr>
          <w:rFonts w:cs="Arial"/>
          <w:i/>
          <w:color w:val="000000" w:themeColor="text1"/>
          <w:sz w:val="20"/>
        </w:rPr>
        <w:t xml:space="preserve">initial </w:t>
      </w:r>
      <w:r w:rsidRPr="000919C0">
        <w:rPr>
          <w:rFonts w:cs="Arial"/>
          <w:i/>
          <w:color w:val="000000" w:themeColor="text1"/>
          <w:sz w:val="20"/>
        </w:rPr>
        <w:t>Explanatory Statement</w:t>
      </w:r>
      <w:r w:rsidR="00B808A3" w:rsidRPr="000919C0">
        <w:rPr>
          <w:rFonts w:cs="Arial"/>
          <w:i/>
          <w:color w:val="000000" w:themeColor="text1"/>
          <w:sz w:val="20"/>
        </w:rPr>
        <w:t xml:space="preserve"> registered 23 May 2025</w:t>
      </w:r>
      <w:r w:rsidRPr="000919C0">
        <w:rPr>
          <w:rFonts w:cs="Arial"/>
          <w:i/>
          <w:color w:val="000000" w:themeColor="text1"/>
          <w:sz w:val="20"/>
        </w:rPr>
        <w:t xml:space="preserve"> for </w:t>
      </w:r>
      <w:r w:rsidR="00EF6225" w:rsidRPr="000919C0">
        <w:rPr>
          <w:rFonts w:cs="Arial"/>
          <w:i/>
          <w:color w:val="000000" w:themeColor="text1"/>
          <w:sz w:val="20"/>
        </w:rPr>
        <w:t>the Australian Transaction Reports and Analysis Centre Industry Contribution Determination 2025 (No. 1)</w:t>
      </w:r>
      <w:r w:rsidR="00B808A3" w:rsidRPr="000919C0">
        <w:rPr>
          <w:rFonts w:cs="Arial"/>
          <w:i/>
          <w:color w:val="000000" w:themeColor="text1"/>
          <w:sz w:val="20"/>
        </w:rPr>
        <w:t>,</w:t>
      </w:r>
      <w:r w:rsidRPr="000919C0">
        <w:rPr>
          <w:rFonts w:cs="Arial"/>
          <w:i/>
          <w:color w:val="000000" w:themeColor="text1"/>
          <w:sz w:val="20"/>
        </w:rPr>
        <w:t xml:space="preserve"> in accordance with paragraph 15J(1)(b) of the Legislation Act 2003.</w:t>
      </w:r>
    </w:p>
    <w:p w14:paraId="1CCC0346" w14:textId="77777777" w:rsidR="003B26C8" w:rsidRPr="003F0476" w:rsidRDefault="003B26C8" w:rsidP="003F0476">
      <w:pPr>
        <w:pStyle w:val="Heading1"/>
      </w:pPr>
      <w:bookmarkStart w:id="2" w:name="_Toc425761609"/>
      <w:bookmarkStart w:id="3" w:name="_Toc425866784"/>
      <w:r w:rsidRPr="003F0476">
        <w:t>OUTLINE</w:t>
      </w:r>
      <w:bookmarkEnd w:id="2"/>
      <w:bookmarkEnd w:id="3"/>
    </w:p>
    <w:p w14:paraId="59A66341" w14:textId="4E8A9C21" w:rsidR="003B26C8" w:rsidRPr="00BE4FB8" w:rsidRDefault="003B26C8" w:rsidP="003B26C8">
      <w:pPr>
        <w:spacing w:before="140" w:after="140" w:line="280" w:lineRule="atLeast"/>
        <w:rPr>
          <w:rFonts w:cs="Arial"/>
          <w:color w:val="000000" w:themeColor="text1"/>
        </w:rPr>
      </w:pPr>
      <w:r w:rsidRPr="00BE4FB8">
        <w:rPr>
          <w:rFonts w:cs="Arial"/>
          <w:color w:val="000000" w:themeColor="text1"/>
        </w:rPr>
        <w:t xml:space="preserve">The </w:t>
      </w:r>
      <w:r>
        <w:rPr>
          <w:rFonts w:cs="Arial"/>
          <w:color w:val="000000" w:themeColor="text1"/>
        </w:rPr>
        <w:t>d</w:t>
      </w:r>
      <w:r w:rsidRPr="00BE4FB8">
        <w:rPr>
          <w:rFonts w:cs="Arial"/>
          <w:color w:val="000000" w:themeColor="text1"/>
        </w:rPr>
        <w:t xml:space="preserve">etermination is made by the </w:t>
      </w:r>
      <w:r w:rsidR="00E50C45">
        <w:rPr>
          <w:rFonts w:cs="Arial"/>
          <w:color w:val="000000" w:themeColor="text1"/>
        </w:rPr>
        <w:t>Minister for Home Affairs</w:t>
      </w:r>
      <w:r w:rsidRPr="00BE4FB8">
        <w:rPr>
          <w:rFonts w:cs="Arial"/>
          <w:color w:val="000000" w:themeColor="text1"/>
        </w:rPr>
        <w:t xml:space="preserve"> under subsection 9(1) of the </w:t>
      </w:r>
      <w:r w:rsidRPr="00BE4FB8">
        <w:rPr>
          <w:rFonts w:cs="Arial"/>
          <w:i/>
          <w:color w:val="000000" w:themeColor="text1"/>
        </w:rPr>
        <w:t xml:space="preserve">Australian Transaction Reports and Analysis Centre Industry Contribution Act 2011 </w:t>
      </w:r>
      <w:r w:rsidRPr="00BE4FB8">
        <w:rPr>
          <w:rFonts w:cs="Arial"/>
          <w:color w:val="000000" w:themeColor="text1"/>
        </w:rPr>
        <w:t xml:space="preserve">(Industry Contribution Act) for the financial year 1 July </w:t>
      </w:r>
      <w:r w:rsidR="006934D1" w:rsidRPr="00BE4FB8">
        <w:rPr>
          <w:rFonts w:cs="Arial"/>
          <w:color w:val="000000" w:themeColor="text1"/>
        </w:rPr>
        <w:t>202</w:t>
      </w:r>
      <w:r w:rsidR="006934D1">
        <w:rPr>
          <w:rFonts w:cs="Arial"/>
          <w:color w:val="000000" w:themeColor="text1"/>
        </w:rPr>
        <w:t>4</w:t>
      </w:r>
      <w:r w:rsidR="006934D1" w:rsidRPr="00BE4FB8">
        <w:rPr>
          <w:rFonts w:cs="Arial"/>
          <w:color w:val="000000" w:themeColor="text1"/>
        </w:rPr>
        <w:t xml:space="preserve"> </w:t>
      </w:r>
      <w:r w:rsidRPr="00BE4FB8">
        <w:rPr>
          <w:rFonts w:cs="Arial"/>
          <w:color w:val="000000" w:themeColor="text1"/>
        </w:rPr>
        <w:t xml:space="preserve">to 30 June </w:t>
      </w:r>
      <w:r w:rsidR="006934D1" w:rsidRPr="00BE4FB8">
        <w:rPr>
          <w:rFonts w:cs="Arial"/>
          <w:color w:val="000000" w:themeColor="text1"/>
        </w:rPr>
        <w:t>202</w:t>
      </w:r>
      <w:r w:rsidR="006934D1">
        <w:rPr>
          <w:rFonts w:cs="Arial"/>
          <w:color w:val="000000" w:themeColor="text1"/>
        </w:rPr>
        <w:t>5</w:t>
      </w:r>
      <w:r w:rsidR="006934D1" w:rsidRPr="00BE4FB8">
        <w:rPr>
          <w:rFonts w:cs="Arial"/>
          <w:color w:val="000000" w:themeColor="text1"/>
        </w:rPr>
        <w:t xml:space="preserve"> </w:t>
      </w:r>
      <w:r w:rsidRPr="00BE4FB8">
        <w:rPr>
          <w:rFonts w:cs="Arial"/>
          <w:color w:val="000000" w:themeColor="text1"/>
        </w:rPr>
        <w:t>(</w:t>
      </w:r>
      <w:r w:rsidR="006934D1" w:rsidRPr="00BE4FB8">
        <w:rPr>
          <w:rFonts w:cs="Arial"/>
          <w:color w:val="000000" w:themeColor="text1"/>
        </w:rPr>
        <w:t>202</w:t>
      </w:r>
      <w:r w:rsidR="006934D1">
        <w:rPr>
          <w:rFonts w:cs="Arial"/>
          <w:color w:val="000000" w:themeColor="text1"/>
        </w:rPr>
        <w:t>4</w:t>
      </w:r>
      <w:r w:rsidRPr="00BE4FB8">
        <w:rPr>
          <w:rFonts w:cs="Arial"/>
          <w:color w:val="000000" w:themeColor="text1"/>
        </w:rPr>
        <w:t>-</w:t>
      </w:r>
      <w:r w:rsidR="006934D1" w:rsidRPr="00BE4FB8">
        <w:rPr>
          <w:rFonts w:cs="Arial"/>
          <w:color w:val="000000" w:themeColor="text1"/>
        </w:rPr>
        <w:t>2</w:t>
      </w:r>
      <w:r w:rsidR="006934D1">
        <w:rPr>
          <w:rFonts w:cs="Arial"/>
          <w:color w:val="000000" w:themeColor="text1"/>
        </w:rPr>
        <w:t>5</w:t>
      </w:r>
      <w:r w:rsidRPr="00BE4FB8">
        <w:rPr>
          <w:rFonts w:cs="Arial"/>
          <w:color w:val="000000" w:themeColor="text1"/>
        </w:rPr>
        <w:t>).</w:t>
      </w:r>
    </w:p>
    <w:p w14:paraId="5F3A91BF" w14:textId="0D6330AB" w:rsidR="003B26C8" w:rsidRPr="00BE4FB8" w:rsidRDefault="003B26C8" w:rsidP="003B26C8">
      <w:pPr>
        <w:spacing w:before="140" w:after="140" w:line="280" w:lineRule="atLeast"/>
        <w:rPr>
          <w:rFonts w:cs="Arial"/>
          <w:color w:val="000000" w:themeColor="text1"/>
        </w:rPr>
      </w:pPr>
      <w:r w:rsidRPr="00BE4FB8">
        <w:rPr>
          <w:rFonts w:cs="Arial"/>
          <w:color w:val="000000" w:themeColor="text1"/>
        </w:rPr>
        <w:t>Section 8 of the Industry Contribution Act imposes a levy on certain entities (‘leviable entities’) regulated and supervised by the Australian Transaction Reports and Analysis Centre (AUSTRAC). The purpose of the levy is to recover the costs of the performance of AUSTRAC’s regulatory and intelligence functions. It is intended that the levy will recover 100</w:t>
      </w:r>
      <w:r w:rsidR="005A3C6C">
        <w:rPr>
          <w:rFonts w:cs="Arial"/>
          <w:color w:val="000000" w:themeColor="text1"/>
        </w:rPr>
        <w:t> </w:t>
      </w:r>
      <w:r>
        <w:rPr>
          <w:rFonts w:cs="Arial"/>
          <w:color w:val="000000" w:themeColor="text1"/>
        </w:rPr>
        <w:t>per cent</w:t>
      </w:r>
      <w:r w:rsidRPr="00BE4FB8">
        <w:rPr>
          <w:rFonts w:cs="Arial"/>
          <w:color w:val="000000" w:themeColor="text1"/>
        </w:rPr>
        <w:t xml:space="preserve"> of those costs (including depreciation) in </w:t>
      </w:r>
      <w:r w:rsidR="006934D1" w:rsidRPr="00BE4FB8">
        <w:rPr>
          <w:rFonts w:cs="Arial"/>
          <w:color w:val="000000" w:themeColor="text1"/>
        </w:rPr>
        <w:t>202</w:t>
      </w:r>
      <w:r w:rsidR="006934D1">
        <w:rPr>
          <w:rFonts w:cs="Arial"/>
          <w:color w:val="000000" w:themeColor="text1"/>
        </w:rPr>
        <w:t>4</w:t>
      </w:r>
      <w:r w:rsidRPr="00BE4FB8">
        <w:rPr>
          <w:rFonts w:cs="Arial"/>
          <w:color w:val="000000" w:themeColor="text1"/>
        </w:rPr>
        <w:t>-</w:t>
      </w:r>
      <w:r w:rsidR="006934D1" w:rsidRPr="00BE4FB8">
        <w:rPr>
          <w:rFonts w:cs="Arial"/>
          <w:color w:val="000000" w:themeColor="text1"/>
        </w:rPr>
        <w:t>2</w:t>
      </w:r>
      <w:r w:rsidR="006934D1">
        <w:rPr>
          <w:rFonts w:cs="Arial"/>
          <w:color w:val="000000" w:themeColor="text1"/>
        </w:rPr>
        <w:t>5</w:t>
      </w:r>
      <w:r w:rsidRPr="00BE4FB8">
        <w:rPr>
          <w:rFonts w:cs="Arial"/>
          <w:color w:val="000000" w:themeColor="text1"/>
        </w:rPr>
        <w:t>, with some exclusions.</w:t>
      </w:r>
    </w:p>
    <w:p w14:paraId="64F6441F" w14:textId="08B56E38" w:rsidR="003B26C8" w:rsidRPr="000C4B51" w:rsidRDefault="003B26C8" w:rsidP="003B26C8">
      <w:pPr>
        <w:spacing w:before="140" w:after="140" w:line="280" w:lineRule="atLeast"/>
        <w:rPr>
          <w:rFonts w:cs="Arial"/>
          <w:color w:val="000000" w:themeColor="text1"/>
        </w:rPr>
      </w:pPr>
      <w:r w:rsidRPr="00BE4FB8">
        <w:rPr>
          <w:rFonts w:cs="Arial"/>
          <w:color w:val="000000" w:themeColor="text1"/>
        </w:rPr>
        <w:t xml:space="preserve">Section 7 of the </w:t>
      </w:r>
      <w:r w:rsidRPr="00BE4FB8">
        <w:rPr>
          <w:rFonts w:cs="Arial"/>
          <w:i/>
          <w:color w:val="000000" w:themeColor="text1"/>
        </w:rPr>
        <w:t>Australian Transaction Reports and Analysis Centre Industry Contribution (Collection) Act 2011</w:t>
      </w:r>
      <w:r w:rsidRPr="00BE4FB8">
        <w:rPr>
          <w:rFonts w:cs="Arial"/>
          <w:color w:val="000000" w:themeColor="text1"/>
        </w:rPr>
        <w:t xml:space="preserve"> provides that the levy is payable in one or more instalments. The amount of each instalment is dealt with in </w:t>
      </w:r>
      <w:r w:rsidR="005A3C6C">
        <w:rPr>
          <w:rFonts w:cs="Arial"/>
          <w:color w:val="000000" w:themeColor="text1"/>
        </w:rPr>
        <w:t>s</w:t>
      </w:r>
      <w:r w:rsidRPr="00BE4FB8">
        <w:rPr>
          <w:rFonts w:cs="Arial"/>
          <w:color w:val="000000" w:themeColor="text1"/>
        </w:rPr>
        <w:t>ection 9 of the Industry Contribution Act. The purpose of making the levy payable in instalments is to enable more than one instalment to be made payable in a single financial year, if this is necessa</w:t>
      </w:r>
      <w:r w:rsidR="005A3C6C">
        <w:rPr>
          <w:rFonts w:cs="Arial"/>
          <w:color w:val="000000" w:themeColor="text1"/>
        </w:rPr>
        <w:t xml:space="preserve">ry to recover AUSTRAC’s costs. </w:t>
      </w:r>
      <w:r w:rsidRPr="00BE4FB8">
        <w:rPr>
          <w:rFonts w:cs="Arial"/>
          <w:color w:val="000000" w:themeColor="text1"/>
        </w:rPr>
        <w:t>For the 202</w:t>
      </w:r>
      <w:r w:rsidR="006934D1">
        <w:rPr>
          <w:rFonts w:cs="Arial"/>
          <w:color w:val="000000" w:themeColor="text1"/>
        </w:rPr>
        <w:t>4</w:t>
      </w:r>
      <w:r w:rsidRPr="00BE4FB8">
        <w:rPr>
          <w:rFonts w:cs="Arial"/>
          <w:color w:val="000000" w:themeColor="text1"/>
        </w:rPr>
        <w:t>-</w:t>
      </w:r>
      <w:r w:rsidR="006934D1" w:rsidRPr="00BE4FB8">
        <w:rPr>
          <w:rFonts w:cs="Arial"/>
          <w:color w:val="000000" w:themeColor="text1"/>
        </w:rPr>
        <w:t>2</w:t>
      </w:r>
      <w:r w:rsidR="006934D1">
        <w:rPr>
          <w:rFonts w:cs="Arial"/>
          <w:color w:val="000000" w:themeColor="text1"/>
        </w:rPr>
        <w:t>5</w:t>
      </w:r>
      <w:r w:rsidR="006934D1" w:rsidRPr="00BE4FB8">
        <w:rPr>
          <w:rFonts w:cs="Arial"/>
          <w:color w:val="000000" w:themeColor="text1"/>
        </w:rPr>
        <w:t xml:space="preserve"> </w:t>
      </w:r>
      <w:r w:rsidRPr="00BE4FB8">
        <w:rPr>
          <w:rFonts w:cs="Arial"/>
          <w:color w:val="000000" w:themeColor="text1"/>
        </w:rPr>
        <w:t>financial year, only one instalment of levy will be payable.</w:t>
      </w:r>
    </w:p>
    <w:p w14:paraId="56A03D24" w14:textId="77777777"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Subsection 9(1) of the Industry Contribution Act provides for the Minister, by legislative instrument, to determine the amount of an instalment of levy payable by a leviable entity for a financial year. Paragraph 9(2)(a) requires the Minister to make at least one determination under subsection (1) for each financial year. Paragraph 9(2)(b) puts a cap, called the ‘statutory limit’, on the sum of all amounts of all instalments of levy payable by all leviable entities for a financial year. The term ‘statutory limit’ is defined by subsection 7(1) of the Industry Contribution Act to mean</w:t>
      </w:r>
      <w:r>
        <w:rPr>
          <w:rFonts w:cs="Arial"/>
          <w:color w:val="000000" w:themeColor="text1"/>
        </w:rPr>
        <w:t>,</w:t>
      </w:r>
      <w:r w:rsidRPr="000C4B51">
        <w:rPr>
          <w:rFonts w:cs="Arial"/>
          <w:color w:val="000000" w:themeColor="text1"/>
        </w:rPr>
        <w:t xml:space="preserve"> </w:t>
      </w:r>
      <w:r>
        <w:rPr>
          <w:rFonts w:cs="Arial"/>
          <w:color w:val="000000" w:themeColor="text1"/>
        </w:rPr>
        <w:t xml:space="preserve">in relation to a financial year, </w:t>
      </w:r>
      <w:r w:rsidRPr="000C4B51">
        <w:rPr>
          <w:rFonts w:cs="Arial"/>
          <w:color w:val="000000" w:themeColor="text1"/>
        </w:rPr>
        <w:t xml:space="preserve">‘the amount that is </w:t>
      </w:r>
      <w:r>
        <w:rPr>
          <w:rFonts w:cs="Arial"/>
          <w:color w:val="000000" w:themeColor="text1"/>
        </w:rPr>
        <w:t>two</w:t>
      </w:r>
      <w:r w:rsidRPr="000C4B51">
        <w:rPr>
          <w:rFonts w:cs="Arial"/>
          <w:color w:val="000000" w:themeColor="text1"/>
        </w:rPr>
        <w:t xml:space="preserve"> times the sum of all amounts appropriated by the Parliament for the purposes of AUSTRAC for the financial year’.</w:t>
      </w:r>
    </w:p>
    <w:p w14:paraId="5C566CC9" w14:textId="25E232DA" w:rsidR="003B26C8" w:rsidRPr="00E30CC4" w:rsidRDefault="003B26C8" w:rsidP="003B26C8">
      <w:pPr>
        <w:spacing w:before="140" w:after="140" w:line="280" w:lineRule="atLeast"/>
        <w:rPr>
          <w:rFonts w:cs="Arial"/>
          <w:color w:val="000000" w:themeColor="text1"/>
          <w:highlight w:val="yellow"/>
        </w:rPr>
      </w:pPr>
      <w:r w:rsidRPr="000C4B51">
        <w:rPr>
          <w:rFonts w:cs="Arial"/>
          <w:color w:val="000000" w:themeColor="text1"/>
        </w:rPr>
        <w:t xml:space="preserve">The </w:t>
      </w:r>
      <w:r>
        <w:rPr>
          <w:rFonts w:cs="Arial"/>
          <w:color w:val="000000" w:themeColor="text1"/>
        </w:rPr>
        <w:t>d</w:t>
      </w:r>
      <w:r w:rsidRPr="000C4B51">
        <w:rPr>
          <w:rFonts w:cs="Arial"/>
          <w:color w:val="000000" w:themeColor="text1"/>
        </w:rPr>
        <w:t xml:space="preserve">etermination determines the amount of the instalment of levy </w:t>
      </w:r>
      <w:r w:rsidRPr="00FB0563">
        <w:rPr>
          <w:rFonts w:cs="Arial"/>
          <w:color w:val="000000" w:themeColor="text1"/>
        </w:rPr>
        <w:t xml:space="preserve">for </w:t>
      </w:r>
      <w:r w:rsidR="006934D1" w:rsidRPr="00FB0563">
        <w:rPr>
          <w:rFonts w:cs="Arial"/>
          <w:color w:val="000000" w:themeColor="text1"/>
        </w:rPr>
        <w:t>20</w:t>
      </w:r>
      <w:r w:rsidR="006934D1">
        <w:rPr>
          <w:rFonts w:cs="Arial"/>
          <w:color w:val="000000" w:themeColor="text1"/>
        </w:rPr>
        <w:t>24</w:t>
      </w:r>
      <w:r>
        <w:rPr>
          <w:rFonts w:cs="Arial"/>
          <w:color w:val="000000" w:themeColor="text1"/>
        </w:rPr>
        <w:t>–</w:t>
      </w:r>
      <w:r w:rsidR="006934D1">
        <w:rPr>
          <w:rFonts w:cs="Arial"/>
          <w:color w:val="000000" w:themeColor="text1"/>
        </w:rPr>
        <w:t>25</w:t>
      </w:r>
      <w:r>
        <w:rPr>
          <w:rFonts w:cs="Arial"/>
          <w:color w:val="000000" w:themeColor="text1"/>
        </w:rPr>
        <w:t>.</w:t>
      </w:r>
    </w:p>
    <w:p w14:paraId="7A984BA2" w14:textId="77777777"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Subsection 9(3) of the Industry Contribution Act provides that a determination made for the purposes of subsection 9(1) may do one or more of the following:</w:t>
      </w:r>
    </w:p>
    <w:p w14:paraId="3F9A8647" w14:textId="77777777" w:rsidR="003B26C8" w:rsidRPr="000C4B51" w:rsidRDefault="003B26C8" w:rsidP="003B26C8">
      <w:pPr>
        <w:pStyle w:val="ListParagraph"/>
        <w:numPr>
          <w:ilvl w:val="0"/>
          <w:numId w:val="3"/>
        </w:numPr>
        <w:tabs>
          <w:tab w:val="num" w:pos="425"/>
        </w:tabs>
        <w:spacing w:before="0" w:line="280" w:lineRule="atLeast"/>
        <w:ind w:left="714" w:hanging="357"/>
        <w:contextualSpacing w:val="0"/>
        <w:rPr>
          <w:rFonts w:cs="Arial"/>
          <w:color w:val="000000" w:themeColor="text1"/>
        </w:rPr>
      </w:pPr>
      <w:r w:rsidRPr="000C4B51">
        <w:rPr>
          <w:rFonts w:cs="Arial"/>
          <w:color w:val="000000" w:themeColor="text1"/>
        </w:rPr>
        <w:t>specify an amount or a method for determining an amount</w:t>
      </w:r>
    </w:p>
    <w:p w14:paraId="261E3886" w14:textId="77777777" w:rsidR="003B26C8" w:rsidRPr="000C4B51" w:rsidRDefault="003B26C8" w:rsidP="003B26C8">
      <w:pPr>
        <w:pStyle w:val="ListParagraph"/>
        <w:numPr>
          <w:ilvl w:val="0"/>
          <w:numId w:val="3"/>
        </w:numPr>
        <w:tabs>
          <w:tab w:val="num" w:pos="425"/>
        </w:tabs>
        <w:spacing w:before="0" w:line="280" w:lineRule="atLeast"/>
        <w:ind w:left="714" w:hanging="357"/>
        <w:contextualSpacing w:val="0"/>
        <w:rPr>
          <w:rFonts w:cs="Arial"/>
          <w:color w:val="000000" w:themeColor="text1"/>
        </w:rPr>
      </w:pPr>
      <w:r w:rsidRPr="000C4B51">
        <w:rPr>
          <w:rFonts w:cs="Arial"/>
          <w:color w:val="000000" w:themeColor="text1"/>
        </w:rPr>
        <w:t>specify different amounts or methods for different classes of leviable entities</w:t>
      </w:r>
    </w:p>
    <w:p w14:paraId="706B2147" w14:textId="77777777" w:rsidR="003B26C8" w:rsidRPr="000C4B51" w:rsidRDefault="003B26C8" w:rsidP="003B26C8">
      <w:pPr>
        <w:pStyle w:val="ListParagraph"/>
        <w:numPr>
          <w:ilvl w:val="0"/>
          <w:numId w:val="3"/>
        </w:numPr>
        <w:tabs>
          <w:tab w:val="num" w:pos="425"/>
        </w:tabs>
        <w:spacing w:before="0" w:line="280" w:lineRule="atLeast"/>
        <w:ind w:left="714" w:hanging="357"/>
        <w:contextualSpacing w:val="0"/>
        <w:rPr>
          <w:rFonts w:cs="Arial"/>
          <w:color w:val="000000" w:themeColor="text1"/>
        </w:rPr>
      </w:pPr>
      <w:r w:rsidRPr="000C4B51">
        <w:rPr>
          <w:rFonts w:cs="Arial"/>
          <w:color w:val="000000" w:themeColor="text1"/>
        </w:rPr>
        <w:t>specify a nil amount or a method resulting in a nil amount</w:t>
      </w:r>
    </w:p>
    <w:p w14:paraId="58E88E43" w14:textId="77777777" w:rsidR="003B26C8" w:rsidRPr="000C4B51" w:rsidRDefault="003B26C8" w:rsidP="003B26C8">
      <w:pPr>
        <w:pStyle w:val="ListParagraph"/>
        <w:numPr>
          <w:ilvl w:val="0"/>
          <w:numId w:val="3"/>
        </w:numPr>
        <w:tabs>
          <w:tab w:val="num" w:pos="425"/>
        </w:tabs>
        <w:spacing w:before="0" w:line="280" w:lineRule="atLeast"/>
        <w:ind w:left="714" w:hanging="357"/>
        <w:contextualSpacing w:val="0"/>
        <w:rPr>
          <w:rFonts w:cs="Arial"/>
          <w:color w:val="000000" w:themeColor="text1"/>
        </w:rPr>
      </w:pPr>
      <w:r w:rsidRPr="000C4B51">
        <w:rPr>
          <w:rFonts w:cs="Arial"/>
          <w:color w:val="000000" w:themeColor="text1"/>
        </w:rPr>
        <w:lastRenderedPageBreak/>
        <w:t>specify methods that refer to acts done or circumstances existing before either the commencement of the determination or the commencement of the Industry Contribution Act, or both.</w:t>
      </w:r>
    </w:p>
    <w:p w14:paraId="6CA688B6" w14:textId="7F532D5B"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 xml:space="preserve">Subsection 9(4) of the Industry Contribution Act provides that a determination made for the purposes of subsection 9(1) for a financial year may, despite subsection 12(2) of the </w:t>
      </w:r>
      <w:r w:rsidRPr="000C4B51">
        <w:rPr>
          <w:rFonts w:cs="Arial"/>
          <w:i/>
          <w:color w:val="000000" w:themeColor="text1"/>
        </w:rPr>
        <w:t>Legislati</w:t>
      </w:r>
      <w:r>
        <w:rPr>
          <w:rFonts w:cs="Arial"/>
          <w:i/>
          <w:color w:val="000000" w:themeColor="text1"/>
        </w:rPr>
        <w:t>on</w:t>
      </w:r>
      <w:r w:rsidRPr="000C4B51">
        <w:rPr>
          <w:rFonts w:cs="Arial"/>
          <w:i/>
          <w:color w:val="000000" w:themeColor="text1"/>
        </w:rPr>
        <w:t xml:space="preserve"> Act 2003</w:t>
      </w:r>
      <w:r w:rsidR="005A3C6C">
        <w:rPr>
          <w:rFonts w:cs="Arial"/>
          <w:i/>
          <w:color w:val="000000" w:themeColor="text1"/>
        </w:rPr>
        <w:t xml:space="preserve"> </w:t>
      </w:r>
      <w:r w:rsidR="005A3C6C">
        <w:rPr>
          <w:rFonts w:cs="Arial"/>
          <w:color w:val="000000" w:themeColor="text1"/>
        </w:rPr>
        <w:t>(Legislation Act),</w:t>
      </w:r>
      <w:r w:rsidRPr="000C4B51">
        <w:rPr>
          <w:rFonts w:cs="Arial"/>
          <w:color w:val="000000" w:themeColor="text1"/>
        </w:rPr>
        <w:t xml:space="preserve"> be made after the beginning of that financial year.</w:t>
      </w:r>
    </w:p>
    <w:p w14:paraId="4BD7AF4B" w14:textId="585ABD6C"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 xml:space="preserve">Details of the </w:t>
      </w:r>
      <w:r>
        <w:rPr>
          <w:rFonts w:cs="Arial"/>
          <w:color w:val="000000" w:themeColor="text1"/>
        </w:rPr>
        <w:t>d</w:t>
      </w:r>
      <w:r w:rsidRPr="000C4B51">
        <w:rPr>
          <w:rFonts w:cs="Arial"/>
          <w:color w:val="000000" w:themeColor="text1"/>
        </w:rPr>
        <w:t>etermination are set out below.</w:t>
      </w:r>
      <w:r>
        <w:rPr>
          <w:rFonts w:cs="Arial"/>
          <w:color w:val="000000" w:themeColor="text1"/>
        </w:rPr>
        <w:t xml:space="preserve"> </w:t>
      </w:r>
      <w:r w:rsidRPr="000C4B51">
        <w:rPr>
          <w:rFonts w:cs="Arial"/>
          <w:color w:val="000000" w:themeColor="text1"/>
        </w:rPr>
        <w:t xml:space="preserve">The </w:t>
      </w:r>
      <w:r>
        <w:rPr>
          <w:rFonts w:cs="Arial"/>
          <w:color w:val="000000" w:themeColor="text1"/>
        </w:rPr>
        <w:t>d</w:t>
      </w:r>
      <w:r w:rsidRPr="000C4B51">
        <w:rPr>
          <w:rFonts w:cs="Arial"/>
          <w:color w:val="000000" w:themeColor="text1"/>
        </w:rPr>
        <w:t>etermination is a legislative instrument for the purposes of the</w:t>
      </w:r>
      <w:r w:rsidR="005A3C6C">
        <w:rPr>
          <w:rFonts w:cs="Arial"/>
          <w:color w:val="000000" w:themeColor="text1"/>
        </w:rPr>
        <w:t xml:space="preserve"> Legislation Act.</w:t>
      </w:r>
    </w:p>
    <w:p w14:paraId="2C6CAFC8" w14:textId="463AD090" w:rsidR="003B26C8" w:rsidRPr="000C4B51" w:rsidRDefault="002F1118" w:rsidP="003F0476">
      <w:pPr>
        <w:pStyle w:val="Heading1"/>
      </w:pPr>
      <w:r>
        <w:t>LEVY STRUCTURE</w:t>
      </w:r>
    </w:p>
    <w:p w14:paraId="60A055D5" w14:textId="45D70AD0" w:rsidR="003B26C8" w:rsidRPr="000C4B51" w:rsidRDefault="003B26C8" w:rsidP="00650394">
      <w:pPr>
        <w:spacing w:before="140" w:after="140" w:line="280" w:lineRule="atLeast"/>
        <w:rPr>
          <w:rFonts w:cs="Arial"/>
          <w:color w:val="000000" w:themeColor="text1"/>
        </w:rPr>
      </w:pPr>
      <w:r w:rsidRPr="000C4B51">
        <w:rPr>
          <w:rFonts w:cs="Arial"/>
          <w:color w:val="000000" w:themeColor="text1"/>
        </w:rPr>
        <w:t xml:space="preserve">The development and refinement of the structure of the industry contribution charging model was undertaken during the 2014–15 financial year, following the </w:t>
      </w:r>
      <w:r>
        <w:rPr>
          <w:rFonts w:cs="Arial"/>
          <w:color w:val="000000" w:themeColor="text1"/>
        </w:rPr>
        <w:t xml:space="preserve">Federal </w:t>
      </w:r>
      <w:r w:rsidRPr="000C4B51">
        <w:rPr>
          <w:rFonts w:cs="Arial"/>
          <w:color w:val="000000" w:themeColor="text1"/>
        </w:rPr>
        <w:t xml:space="preserve">Government’s budget announcement on 13 May 2014 that it was replacing the cost recovery arrangements administered by AUSTRAC (known as the AUSTRAC supervisory levy) with an industry contribution levy to fund </w:t>
      </w:r>
      <w:r>
        <w:rPr>
          <w:rFonts w:cs="Arial"/>
          <w:color w:val="000000" w:themeColor="text1"/>
        </w:rPr>
        <w:t xml:space="preserve">its </w:t>
      </w:r>
      <w:r w:rsidRPr="000C4B51">
        <w:rPr>
          <w:rFonts w:cs="Arial"/>
          <w:color w:val="000000" w:themeColor="text1"/>
        </w:rPr>
        <w:t>regulatory and financial intelligence functions.</w:t>
      </w:r>
    </w:p>
    <w:p w14:paraId="0209C5D7" w14:textId="0BDFFA80" w:rsidR="003B26C8" w:rsidRDefault="003B26C8" w:rsidP="00650394">
      <w:pPr>
        <w:spacing w:before="140" w:after="140" w:line="280" w:lineRule="atLeast"/>
        <w:rPr>
          <w:rFonts w:cs="Arial"/>
          <w:color w:val="000000" w:themeColor="text1"/>
        </w:rPr>
      </w:pPr>
      <w:r w:rsidRPr="000C4B51">
        <w:rPr>
          <w:rFonts w:cs="Arial"/>
          <w:color w:val="000000" w:themeColor="text1"/>
        </w:rPr>
        <w:t xml:space="preserve">The underlying structure of the charging model for </w:t>
      </w:r>
      <w:r w:rsidRPr="00BE4FB8">
        <w:rPr>
          <w:rFonts w:cs="Arial"/>
          <w:color w:val="000000" w:themeColor="text1"/>
        </w:rPr>
        <w:t xml:space="preserve">the </w:t>
      </w:r>
      <w:r w:rsidR="006934D1" w:rsidRPr="00BE4FB8">
        <w:rPr>
          <w:rFonts w:cs="Arial"/>
          <w:color w:val="000000" w:themeColor="text1"/>
        </w:rPr>
        <w:t>202</w:t>
      </w:r>
      <w:r w:rsidR="006934D1">
        <w:rPr>
          <w:rFonts w:cs="Arial"/>
          <w:color w:val="000000" w:themeColor="text1"/>
        </w:rPr>
        <w:t>4</w:t>
      </w:r>
      <w:r w:rsidRPr="00BE4FB8">
        <w:rPr>
          <w:rFonts w:cs="Arial"/>
          <w:color w:val="000000" w:themeColor="text1"/>
        </w:rPr>
        <w:t>-</w:t>
      </w:r>
      <w:r w:rsidR="006934D1" w:rsidRPr="00BE4FB8">
        <w:rPr>
          <w:rFonts w:cs="Arial"/>
          <w:color w:val="000000" w:themeColor="text1"/>
        </w:rPr>
        <w:t>2</w:t>
      </w:r>
      <w:r w:rsidR="006934D1">
        <w:rPr>
          <w:rFonts w:cs="Arial"/>
          <w:color w:val="000000" w:themeColor="text1"/>
        </w:rPr>
        <w:t>5</w:t>
      </w:r>
      <w:r w:rsidR="006934D1" w:rsidRPr="00BE4FB8">
        <w:rPr>
          <w:rFonts w:cs="Arial"/>
          <w:color w:val="000000" w:themeColor="text1"/>
        </w:rPr>
        <w:t xml:space="preserve"> </w:t>
      </w:r>
      <w:r w:rsidRPr="00BE4FB8">
        <w:rPr>
          <w:rFonts w:cs="Arial"/>
          <w:color w:val="000000" w:themeColor="text1"/>
        </w:rPr>
        <w:t>financial year</w:t>
      </w:r>
      <w:r w:rsidRPr="000C4B51">
        <w:rPr>
          <w:rFonts w:cs="Arial"/>
          <w:color w:val="000000" w:themeColor="text1"/>
        </w:rPr>
        <w:t xml:space="preserve"> is unchanged from the model that was used for 2014–15</w:t>
      </w:r>
      <w:r>
        <w:rPr>
          <w:rFonts w:cs="Arial"/>
          <w:color w:val="000000" w:themeColor="text1"/>
        </w:rPr>
        <w:t xml:space="preserve"> and subsequent years</w:t>
      </w:r>
      <w:r w:rsidRPr="00FB0563">
        <w:rPr>
          <w:rFonts w:cs="Arial"/>
          <w:color w:val="000000" w:themeColor="text1"/>
        </w:rPr>
        <w:t>.</w:t>
      </w:r>
      <w:r w:rsidRPr="000C4B51">
        <w:rPr>
          <w:rFonts w:cs="Arial"/>
          <w:color w:val="000000" w:themeColor="text1"/>
        </w:rPr>
        <w:t xml:space="preserve"> There have been some changes to the factors for individual components</w:t>
      </w:r>
      <w:r>
        <w:rPr>
          <w:rFonts w:cs="Arial"/>
          <w:color w:val="000000" w:themeColor="text1"/>
        </w:rPr>
        <w:t xml:space="preserve"> and caps</w:t>
      </w:r>
      <w:r w:rsidRPr="000C4B51">
        <w:rPr>
          <w:rFonts w:cs="Arial"/>
          <w:color w:val="000000" w:themeColor="text1"/>
        </w:rPr>
        <w:t xml:space="preserve">, to reflect </w:t>
      </w:r>
      <w:r w:rsidR="00C76C27">
        <w:rPr>
          <w:rFonts w:cs="Arial"/>
          <w:color w:val="000000" w:themeColor="text1"/>
        </w:rPr>
        <w:t xml:space="preserve">the change </w:t>
      </w:r>
      <w:r>
        <w:rPr>
          <w:rFonts w:cs="Arial"/>
          <w:color w:val="000000" w:themeColor="text1"/>
        </w:rPr>
        <w:t xml:space="preserve">in </w:t>
      </w:r>
      <w:r w:rsidRPr="000C4B51">
        <w:rPr>
          <w:rFonts w:cs="Arial"/>
          <w:color w:val="000000" w:themeColor="text1"/>
        </w:rPr>
        <w:t xml:space="preserve">the </w:t>
      </w:r>
      <w:r w:rsidR="00C76C27">
        <w:rPr>
          <w:rFonts w:cs="Arial"/>
          <w:color w:val="000000" w:themeColor="text1"/>
        </w:rPr>
        <w:t xml:space="preserve">total </w:t>
      </w:r>
      <w:r w:rsidRPr="000C4B51">
        <w:rPr>
          <w:rFonts w:cs="Arial"/>
          <w:color w:val="000000" w:themeColor="text1"/>
        </w:rPr>
        <w:t>amount to be recovered</w:t>
      </w:r>
      <w:r w:rsidR="005A3C6C">
        <w:rPr>
          <w:rFonts w:cs="Arial"/>
          <w:color w:val="000000" w:themeColor="text1"/>
        </w:rPr>
        <w:t>.</w:t>
      </w:r>
    </w:p>
    <w:p w14:paraId="4BF78D71" w14:textId="7569365D" w:rsidR="003B26C8" w:rsidRPr="00B03412" w:rsidRDefault="003B26C8" w:rsidP="00650394">
      <w:pPr>
        <w:spacing w:before="140" w:after="140" w:line="280" w:lineRule="atLeast"/>
        <w:rPr>
          <w:rFonts w:cs="Arial"/>
          <w:color w:val="000000" w:themeColor="text1"/>
        </w:rPr>
      </w:pPr>
      <w:r w:rsidRPr="00B03412">
        <w:rPr>
          <w:rFonts w:cs="Arial"/>
          <w:color w:val="000000" w:themeColor="text1"/>
        </w:rPr>
        <w:t xml:space="preserve">The industry contribution levy is </w:t>
      </w:r>
      <w:r w:rsidR="00921DA0">
        <w:rPr>
          <w:rFonts w:cs="Arial"/>
          <w:color w:val="000000" w:themeColor="text1"/>
        </w:rPr>
        <w:t>considered a general taxation item.</w:t>
      </w:r>
    </w:p>
    <w:p w14:paraId="72F9F4B4" w14:textId="77777777" w:rsidR="003B26C8" w:rsidRPr="000C4B51" w:rsidRDefault="003B26C8" w:rsidP="003F0476">
      <w:pPr>
        <w:pStyle w:val="Heading1"/>
      </w:pPr>
      <w:bookmarkStart w:id="4" w:name="_Toc425761611"/>
      <w:bookmarkStart w:id="5" w:name="_Toc425866786"/>
      <w:r w:rsidRPr="000C4B51">
        <w:t>REGULATORY IMPACT STATEMENT</w:t>
      </w:r>
      <w:bookmarkEnd w:id="4"/>
      <w:bookmarkEnd w:id="5"/>
    </w:p>
    <w:p w14:paraId="7A2D8743" w14:textId="77777777"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AUSTRAC has been advised that a Regulatory Impact Statement (RIS) is not required. The industry contribution arrangements are a revenue measure, and as such fall outside the requirement to prepare a RIS.</w:t>
      </w:r>
    </w:p>
    <w:p w14:paraId="69624E7A" w14:textId="77777777" w:rsidR="00166626" w:rsidRPr="000919C0" w:rsidRDefault="00166626" w:rsidP="00B808A3">
      <w:pPr>
        <w:pStyle w:val="Heading1"/>
      </w:pPr>
      <w:r w:rsidRPr="000919C0">
        <w:t>CONSULTATION</w:t>
      </w:r>
    </w:p>
    <w:p w14:paraId="7B698C3D" w14:textId="77777777" w:rsidR="00BE5663" w:rsidRPr="000919C0" w:rsidRDefault="00166626" w:rsidP="003B26C8">
      <w:pPr>
        <w:spacing w:before="140" w:after="140" w:line="280" w:lineRule="atLeast"/>
        <w:rPr>
          <w:rFonts w:cs="Arial"/>
          <w:color w:val="000000" w:themeColor="text1"/>
        </w:rPr>
      </w:pPr>
      <w:r w:rsidRPr="000919C0">
        <w:rPr>
          <w:rFonts w:cs="Arial"/>
          <w:color w:val="000000" w:themeColor="text1"/>
        </w:rPr>
        <w:t xml:space="preserve">Consultation </w:t>
      </w:r>
      <w:r w:rsidR="00D548A3" w:rsidRPr="000919C0">
        <w:rPr>
          <w:rFonts w:cs="Arial"/>
          <w:color w:val="000000" w:themeColor="text1"/>
        </w:rPr>
        <w:t xml:space="preserve">was not undertaken </w:t>
      </w:r>
      <w:r w:rsidR="003C4440" w:rsidRPr="000919C0">
        <w:rPr>
          <w:rFonts w:cs="Arial"/>
          <w:color w:val="000000" w:themeColor="text1"/>
        </w:rPr>
        <w:t>in relation to the determination</w:t>
      </w:r>
      <w:r w:rsidR="00BE5663" w:rsidRPr="000919C0">
        <w:rPr>
          <w:rFonts w:cs="Arial"/>
          <w:color w:val="000000" w:themeColor="text1"/>
        </w:rPr>
        <w:t xml:space="preserve"> for the 2024-25 year</w:t>
      </w:r>
      <w:r w:rsidR="003C4440" w:rsidRPr="000919C0">
        <w:rPr>
          <w:rFonts w:cs="Arial"/>
          <w:color w:val="000000" w:themeColor="text1"/>
        </w:rPr>
        <w:t xml:space="preserve"> </w:t>
      </w:r>
      <w:r w:rsidR="00D548A3" w:rsidRPr="000919C0">
        <w:rPr>
          <w:rFonts w:cs="Arial"/>
          <w:color w:val="000000" w:themeColor="text1"/>
        </w:rPr>
        <w:t xml:space="preserve">as </w:t>
      </w:r>
      <w:r w:rsidRPr="000919C0">
        <w:rPr>
          <w:rFonts w:cs="Arial"/>
          <w:color w:val="000000" w:themeColor="text1"/>
        </w:rPr>
        <w:t>the underlying structure and principles of the</w:t>
      </w:r>
      <w:r w:rsidR="003C4440" w:rsidRPr="000919C0">
        <w:rPr>
          <w:rFonts w:cs="Arial"/>
          <w:color w:val="000000" w:themeColor="text1"/>
        </w:rPr>
        <w:t xml:space="preserve"> industry contribution</w:t>
      </w:r>
      <w:r w:rsidRPr="000919C0">
        <w:rPr>
          <w:rFonts w:cs="Arial"/>
          <w:color w:val="000000" w:themeColor="text1"/>
        </w:rPr>
        <w:t xml:space="preserve"> charging model remained materially unchanged from </w:t>
      </w:r>
      <w:r w:rsidR="003C4440" w:rsidRPr="000919C0">
        <w:rPr>
          <w:rFonts w:cs="Arial"/>
          <w:color w:val="000000" w:themeColor="text1"/>
        </w:rPr>
        <w:t xml:space="preserve">the model that was used for 2014–15 and subsequent years, including </w:t>
      </w:r>
      <w:r w:rsidRPr="000919C0">
        <w:rPr>
          <w:rFonts w:cs="Arial"/>
          <w:color w:val="000000" w:themeColor="text1"/>
        </w:rPr>
        <w:t xml:space="preserve">the preceding </w:t>
      </w:r>
      <w:r w:rsidR="00D548A3" w:rsidRPr="000919C0">
        <w:rPr>
          <w:rFonts w:cs="Arial"/>
          <w:color w:val="000000" w:themeColor="text1"/>
        </w:rPr>
        <w:t>20</w:t>
      </w:r>
      <w:r w:rsidR="003C4440" w:rsidRPr="000919C0">
        <w:rPr>
          <w:rFonts w:cs="Arial"/>
          <w:color w:val="000000" w:themeColor="text1"/>
        </w:rPr>
        <w:t>23-</w:t>
      </w:r>
      <w:r w:rsidR="00D548A3" w:rsidRPr="000919C0">
        <w:rPr>
          <w:rFonts w:cs="Arial"/>
          <w:color w:val="000000" w:themeColor="text1"/>
        </w:rPr>
        <w:t xml:space="preserve">24 </w:t>
      </w:r>
      <w:r w:rsidR="003C4440" w:rsidRPr="000919C0">
        <w:rPr>
          <w:rFonts w:cs="Arial"/>
          <w:color w:val="000000" w:themeColor="text1"/>
        </w:rPr>
        <w:t>year</w:t>
      </w:r>
      <w:r w:rsidRPr="000919C0">
        <w:rPr>
          <w:rFonts w:cs="Arial"/>
          <w:color w:val="000000" w:themeColor="text1"/>
        </w:rPr>
        <w:t xml:space="preserve">. </w:t>
      </w:r>
    </w:p>
    <w:p w14:paraId="1B35EBE9" w14:textId="77777777" w:rsidR="00166626" w:rsidRPr="000C4B51" w:rsidRDefault="003C4440" w:rsidP="003B26C8">
      <w:pPr>
        <w:spacing w:before="140" w:after="140" w:line="280" w:lineRule="atLeast"/>
        <w:rPr>
          <w:rFonts w:cs="Arial"/>
          <w:color w:val="000000" w:themeColor="text1"/>
        </w:rPr>
      </w:pPr>
      <w:r w:rsidRPr="000919C0">
        <w:rPr>
          <w:rFonts w:cs="Arial"/>
          <w:color w:val="000000" w:themeColor="text1"/>
        </w:rPr>
        <w:t xml:space="preserve">Extensive consultation was undertaken in relation to the </w:t>
      </w:r>
      <w:r w:rsidR="00BE5663" w:rsidRPr="000919C0">
        <w:rPr>
          <w:rFonts w:cs="Arial"/>
          <w:color w:val="000000" w:themeColor="text1"/>
        </w:rPr>
        <w:t xml:space="preserve">industry contribution charging model used for the </w:t>
      </w:r>
      <w:r w:rsidRPr="000919C0">
        <w:rPr>
          <w:rFonts w:cs="Arial"/>
          <w:color w:val="000000" w:themeColor="text1"/>
        </w:rPr>
        <w:t xml:space="preserve">2023-24 </w:t>
      </w:r>
      <w:r w:rsidR="00BE5663" w:rsidRPr="000919C0">
        <w:rPr>
          <w:rFonts w:cs="Arial"/>
          <w:color w:val="000000" w:themeColor="text1"/>
        </w:rPr>
        <w:t>year, such that it was not considered necessary by AUSTRAC to undertake additional consultation in relation to the determination for the 2024-25 year.</w:t>
      </w:r>
      <w:r w:rsidR="00D548A3" w:rsidRPr="000919C0">
        <w:rPr>
          <w:rFonts w:cs="Arial"/>
          <w:color w:val="000000" w:themeColor="text1"/>
        </w:rPr>
        <w:t xml:space="preserve"> In addition</w:t>
      </w:r>
      <w:r w:rsidR="00A15795" w:rsidRPr="000919C0">
        <w:rPr>
          <w:rFonts w:cs="Arial"/>
          <w:color w:val="auto"/>
        </w:rPr>
        <w:t xml:space="preserve">, </w:t>
      </w:r>
      <w:r w:rsidR="00886499" w:rsidRPr="000919C0">
        <w:rPr>
          <w:rFonts w:asciiTheme="minorHAnsi" w:hAnsiTheme="minorHAnsi" w:cstheme="minorHAnsi"/>
          <w:color w:val="auto"/>
        </w:rPr>
        <w:t xml:space="preserve">following legislative reforms passed by Parliament in late 2024, </w:t>
      </w:r>
      <w:r w:rsidR="00A15795" w:rsidRPr="000919C0">
        <w:rPr>
          <w:rFonts w:cs="Arial"/>
          <w:color w:val="auto"/>
        </w:rPr>
        <w:t>AUSTRAC</w:t>
      </w:r>
      <w:r w:rsidR="00D548A3" w:rsidRPr="000919C0">
        <w:rPr>
          <w:rFonts w:cs="Arial"/>
          <w:color w:val="auto"/>
        </w:rPr>
        <w:t xml:space="preserve"> </w:t>
      </w:r>
      <w:r w:rsidR="00166626" w:rsidRPr="000919C0">
        <w:rPr>
          <w:rFonts w:cs="Arial"/>
          <w:color w:val="auto"/>
        </w:rPr>
        <w:t>is currently undertaking a review of its funding model and levy options</w:t>
      </w:r>
      <w:r w:rsidR="00886499" w:rsidRPr="000919C0">
        <w:rPr>
          <w:rFonts w:cs="Arial"/>
          <w:color w:val="auto"/>
        </w:rPr>
        <w:t xml:space="preserve"> in conjunction with the commencement</w:t>
      </w:r>
      <w:r w:rsidR="00886499" w:rsidRPr="000919C0">
        <w:rPr>
          <w:rFonts w:asciiTheme="minorHAnsi" w:hAnsiTheme="minorHAnsi" w:cstheme="minorHAnsi"/>
          <w:color w:val="auto"/>
        </w:rPr>
        <w:t xml:space="preserve"> of the </w:t>
      </w:r>
      <w:r w:rsidR="00886499" w:rsidRPr="000919C0">
        <w:rPr>
          <w:rFonts w:asciiTheme="minorHAnsi" w:hAnsiTheme="minorHAnsi" w:cstheme="minorHAnsi"/>
          <w:i/>
          <w:color w:val="auto"/>
        </w:rPr>
        <w:t>Anti-Money Laundering and Counter-Terrorism Financing Amendment Act 2024</w:t>
      </w:r>
      <w:r w:rsidR="00886499" w:rsidRPr="000919C0">
        <w:rPr>
          <w:rFonts w:cs="Arial"/>
          <w:color w:val="auto"/>
        </w:rPr>
        <w:t xml:space="preserve"> </w:t>
      </w:r>
      <w:r w:rsidR="00D548A3" w:rsidRPr="000919C0">
        <w:rPr>
          <w:rFonts w:cs="Arial"/>
          <w:color w:val="auto"/>
        </w:rPr>
        <w:t xml:space="preserve">and </w:t>
      </w:r>
      <w:r w:rsidR="00886499" w:rsidRPr="000919C0">
        <w:rPr>
          <w:rFonts w:cs="Arial"/>
          <w:color w:val="auto"/>
        </w:rPr>
        <w:t xml:space="preserve">will be </w:t>
      </w:r>
      <w:r w:rsidR="00886499" w:rsidRPr="000919C0">
        <w:rPr>
          <w:rFonts w:cs="Arial"/>
          <w:color w:val="000000" w:themeColor="text1"/>
        </w:rPr>
        <w:t xml:space="preserve">conducting detailed </w:t>
      </w:r>
      <w:r w:rsidR="00D548A3" w:rsidRPr="000919C0">
        <w:rPr>
          <w:rFonts w:cs="Arial"/>
          <w:color w:val="000000" w:themeColor="text1"/>
        </w:rPr>
        <w:t xml:space="preserve">consultation </w:t>
      </w:r>
      <w:r w:rsidR="00BE5663" w:rsidRPr="000919C0">
        <w:rPr>
          <w:rFonts w:cs="Arial"/>
          <w:color w:val="000000" w:themeColor="text1"/>
        </w:rPr>
        <w:t xml:space="preserve">with experts and persons likely to be affected </w:t>
      </w:r>
      <w:r w:rsidR="00D548A3" w:rsidRPr="000919C0">
        <w:rPr>
          <w:rFonts w:cs="Arial"/>
          <w:color w:val="000000" w:themeColor="text1"/>
        </w:rPr>
        <w:t>in that context.</w:t>
      </w:r>
    </w:p>
    <w:p w14:paraId="3FAB0881" w14:textId="77777777" w:rsidR="003B26C8" w:rsidRPr="000C4B51" w:rsidRDefault="003B26C8" w:rsidP="003F0476">
      <w:pPr>
        <w:pStyle w:val="Heading1"/>
      </w:pPr>
      <w:bookmarkStart w:id="6" w:name="_Toc425761612"/>
      <w:bookmarkStart w:id="7" w:name="_Toc425866787"/>
      <w:r w:rsidRPr="000C4B51">
        <w:lastRenderedPageBreak/>
        <w:t>DETAILS OF THE DETERMINATION</w:t>
      </w:r>
      <w:bookmarkEnd w:id="6"/>
      <w:bookmarkEnd w:id="7"/>
    </w:p>
    <w:p w14:paraId="1F721DBF" w14:textId="77777777" w:rsidR="003B26C8" w:rsidRPr="000C4B51" w:rsidRDefault="003B26C8" w:rsidP="003B26C8">
      <w:pPr>
        <w:keepNext/>
        <w:keepLines/>
        <w:spacing w:before="200" w:after="0" w:line="280" w:lineRule="atLeast"/>
        <w:outlineLvl w:val="2"/>
        <w:rPr>
          <w:rFonts w:cs="Arial"/>
          <w:b/>
          <w:i/>
          <w:color w:val="000000" w:themeColor="text1"/>
        </w:rPr>
      </w:pPr>
      <w:bookmarkStart w:id="8" w:name="_Toc425761613"/>
      <w:bookmarkStart w:id="9" w:name="_Toc425866788"/>
      <w:r w:rsidRPr="000C4B51">
        <w:rPr>
          <w:rFonts w:cs="Arial"/>
          <w:b/>
          <w:i/>
          <w:color w:val="000000" w:themeColor="text1"/>
        </w:rPr>
        <w:t>Item 1 – Name of Determination</w:t>
      </w:r>
      <w:bookmarkEnd w:id="8"/>
      <w:bookmarkEnd w:id="9"/>
    </w:p>
    <w:p w14:paraId="77EBFCE7" w14:textId="154D3F95"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 xml:space="preserve">This item sets out the name of the </w:t>
      </w:r>
      <w:r>
        <w:rPr>
          <w:rFonts w:cs="Arial"/>
          <w:color w:val="000000" w:themeColor="text1"/>
        </w:rPr>
        <w:t>d</w:t>
      </w:r>
      <w:r w:rsidRPr="000C4B51">
        <w:rPr>
          <w:rFonts w:cs="Arial"/>
          <w:color w:val="000000" w:themeColor="text1"/>
        </w:rPr>
        <w:t xml:space="preserve">etermination as the </w:t>
      </w:r>
      <w:r w:rsidRPr="000C4B51">
        <w:rPr>
          <w:rFonts w:cs="Arial"/>
          <w:i/>
          <w:color w:val="000000" w:themeColor="text1"/>
        </w:rPr>
        <w:t xml:space="preserve">Australian Transaction Reports and Analysis Centre Industry Contribution Determination </w:t>
      </w:r>
      <w:r w:rsidR="006934D1" w:rsidRPr="000C4B51">
        <w:rPr>
          <w:rFonts w:cs="Arial"/>
          <w:i/>
          <w:color w:val="000000" w:themeColor="text1"/>
        </w:rPr>
        <w:t>20</w:t>
      </w:r>
      <w:r w:rsidR="006934D1">
        <w:rPr>
          <w:rFonts w:cs="Arial"/>
          <w:i/>
          <w:color w:val="000000" w:themeColor="text1"/>
        </w:rPr>
        <w:t xml:space="preserve">25 </w:t>
      </w:r>
      <w:r w:rsidRPr="000C4B51">
        <w:rPr>
          <w:rFonts w:cs="Arial"/>
          <w:i/>
          <w:color w:val="000000" w:themeColor="text1"/>
        </w:rPr>
        <w:t>(No. 1)</w:t>
      </w:r>
      <w:r w:rsidRPr="000C4B51">
        <w:rPr>
          <w:rFonts w:cs="Arial"/>
          <w:color w:val="000000" w:themeColor="text1"/>
        </w:rPr>
        <w:t>.</w:t>
      </w:r>
    </w:p>
    <w:p w14:paraId="335225ED" w14:textId="77777777" w:rsidR="003B26C8" w:rsidRPr="000C4B51" w:rsidRDefault="003B26C8" w:rsidP="003B26C8">
      <w:pPr>
        <w:keepNext/>
        <w:keepLines/>
        <w:spacing w:before="200" w:after="0" w:line="280" w:lineRule="atLeast"/>
        <w:outlineLvl w:val="2"/>
        <w:rPr>
          <w:rFonts w:cs="Arial"/>
          <w:b/>
          <w:i/>
          <w:color w:val="000000" w:themeColor="text1"/>
        </w:rPr>
      </w:pPr>
      <w:bookmarkStart w:id="10" w:name="_Toc425761614"/>
      <w:bookmarkStart w:id="11" w:name="_Toc425866789"/>
      <w:r w:rsidRPr="000C4B51">
        <w:rPr>
          <w:rFonts w:cs="Arial"/>
          <w:b/>
          <w:i/>
          <w:color w:val="000000" w:themeColor="text1"/>
        </w:rPr>
        <w:t>Item 2 – Commencement</w:t>
      </w:r>
      <w:bookmarkEnd w:id="10"/>
      <w:bookmarkEnd w:id="11"/>
    </w:p>
    <w:p w14:paraId="7185C03F" w14:textId="77777777"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 xml:space="preserve">This item provides that the </w:t>
      </w:r>
      <w:r>
        <w:rPr>
          <w:rFonts w:cs="Arial"/>
          <w:color w:val="000000" w:themeColor="text1"/>
        </w:rPr>
        <w:t>d</w:t>
      </w:r>
      <w:r w:rsidRPr="000C4B51">
        <w:rPr>
          <w:rFonts w:cs="Arial"/>
          <w:color w:val="000000" w:themeColor="text1"/>
        </w:rPr>
        <w:t>etermination will commence the day after it is registered as a legislative instrument.</w:t>
      </w:r>
    </w:p>
    <w:p w14:paraId="332D3835" w14:textId="77777777" w:rsidR="003B26C8" w:rsidRPr="000C4B51" w:rsidRDefault="003B26C8" w:rsidP="003B26C8">
      <w:pPr>
        <w:keepNext/>
        <w:keepLines/>
        <w:spacing w:before="200" w:after="0" w:line="280" w:lineRule="atLeast"/>
        <w:outlineLvl w:val="2"/>
        <w:rPr>
          <w:rFonts w:cs="Arial"/>
          <w:b/>
          <w:i/>
          <w:color w:val="000000" w:themeColor="text1"/>
        </w:rPr>
      </w:pPr>
      <w:bookmarkStart w:id="12" w:name="_Toc425761615"/>
      <w:bookmarkStart w:id="13" w:name="_Toc425866790"/>
      <w:r w:rsidRPr="000C4B51">
        <w:rPr>
          <w:rFonts w:cs="Arial"/>
          <w:b/>
          <w:i/>
          <w:color w:val="000000" w:themeColor="text1"/>
        </w:rPr>
        <w:t>Item 3 – Definitions</w:t>
      </w:r>
      <w:bookmarkEnd w:id="12"/>
      <w:bookmarkEnd w:id="13"/>
    </w:p>
    <w:p w14:paraId="68D224E4" w14:textId="77777777"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 xml:space="preserve">Subitem 3(1) defines terms used in the </w:t>
      </w:r>
      <w:r>
        <w:rPr>
          <w:rFonts w:cs="Arial"/>
          <w:color w:val="000000" w:themeColor="text1"/>
        </w:rPr>
        <w:t>d</w:t>
      </w:r>
      <w:r w:rsidRPr="000C4B51">
        <w:rPr>
          <w:rFonts w:cs="Arial"/>
          <w:color w:val="000000" w:themeColor="text1"/>
        </w:rPr>
        <w:t>etermination, the more significant of which are:</w:t>
      </w:r>
    </w:p>
    <w:p w14:paraId="60DE1E49" w14:textId="469FEB73" w:rsidR="003B26C8" w:rsidRPr="00A82AC9" w:rsidRDefault="003B26C8" w:rsidP="003B26C8">
      <w:pPr>
        <w:pStyle w:val="ListParagraph"/>
        <w:numPr>
          <w:ilvl w:val="0"/>
          <w:numId w:val="1"/>
        </w:numPr>
        <w:spacing w:before="0" w:after="140" w:line="280" w:lineRule="atLeast"/>
        <w:contextualSpacing w:val="0"/>
        <w:rPr>
          <w:rFonts w:cs="Arial"/>
          <w:color w:val="000000" w:themeColor="text1"/>
        </w:rPr>
      </w:pPr>
      <w:r w:rsidRPr="00A82AC9">
        <w:rPr>
          <w:rFonts w:cs="Arial"/>
          <w:color w:val="000000" w:themeColor="text1"/>
        </w:rPr>
        <w:t xml:space="preserve">‘census day’. This term is defined, in relation to </w:t>
      </w:r>
      <w:r w:rsidR="006934D1" w:rsidRPr="00E47DC0">
        <w:rPr>
          <w:rFonts w:cs="Arial"/>
          <w:color w:val="000000" w:themeColor="text1"/>
        </w:rPr>
        <w:t>202</w:t>
      </w:r>
      <w:r w:rsidR="006934D1">
        <w:rPr>
          <w:rFonts w:cs="Arial"/>
          <w:color w:val="000000" w:themeColor="text1"/>
        </w:rPr>
        <w:t>4</w:t>
      </w:r>
      <w:r w:rsidRPr="00E47DC0">
        <w:rPr>
          <w:rFonts w:cs="Arial"/>
          <w:color w:val="000000" w:themeColor="text1"/>
        </w:rPr>
        <w:t>–</w:t>
      </w:r>
      <w:r w:rsidR="006934D1" w:rsidRPr="00E47DC0">
        <w:rPr>
          <w:rFonts w:cs="Arial"/>
          <w:color w:val="000000" w:themeColor="text1"/>
        </w:rPr>
        <w:t>2</w:t>
      </w:r>
      <w:r w:rsidR="006934D1">
        <w:rPr>
          <w:rFonts w:cs="Arial"/>
          <w:color w:val="000000" w:themeColor="text1"/>
        </w:rPr>
        <w:t>5</w:t>
      </w:r>
      <w:r w:rsidRPr="00A82AC9">
        <w:rPr>
          <w:rFonts w:cs="Arial"/>
          <w:color w:val="000000" w:themeColor="text1"/>
        </w:rPr>
        <w:t xml:space="preserve">, to have the same meaning as in </w:t>
      </w:r>
      <w:r w:rsidR="005A3C6C">
        <w:rPr>
          <w:rFonts w:cs="Arial"/>
          <w:color w:val="000000" w:themeColor="text1"/>
        </w:rPr>
        <w:t xml:space="preserve">the Industry Contribution Act. </w:t>
      </w:r>
      <w:r w:rsidRPr="00A82AC9">
        <w:rPr>
          <w:rFonts w:cs="Arial"/>
          <w:color w:val="000000" w:themeColor="text1"/>
        </w:rPr>
        <w:t xml:space="preserve">The census day for the </w:t>
      </w:r>
      <w:r w:rsidR="006934D1" w:rsidRPr="00E47DC0">
        <w:rPr>
          <w:rFonts w:cs="Arial"/>
          <w:color w:val="000000" w:themeColor="text1"/>
        </w:rPr>
        <w:t>202</w:t>
      </w:r>
      <w:r w:rsidR="006934D1">
        <w:rPr>
          <w:rFonts w:cs="Arial"/>
          <w:color w:val="000000" w:themeColor="text1"/>
        </w:rPr>
        <w:t>4</w:t>
      </w:r>
      <w:r w:rsidRPr="00E47DC0">
        <w:rPr>
          <w:rFonts w:cs="Arial"/>
          <w:color w:val="000000" w:themeColor="text1"/>
        </w:rPr>
        <w:t>–</w:t>
      </w:r>
      <w:r w:rsidR="006934D1" w:rsidRPr="00E47DC0">
        <w:rPr>
          <w:rFonts w:cs="Arial"/>
          <w:color w:val="000000" w:themeColor="text1"/>
        </w:rPr>
        <w:t>2</w:t>
      </w:r>
      <w:r w:rsidR="006934D1">
        <w:rPr>
          <w:rFonts w:cs="Arial"/>
          <w:color w:val="000000" w:themeColor="text1"/>
        </w:rPr>
        <w:t>5</w:t>
      </w:r>
      <w:r w:rsidR="006934D1" w:rsidRPr="00A82AC9">
        <w:rPr>
          <w:rFonts w:cs="Arial"/>
          <w:color w:val="000000" w:themeColor="text1"/>
        </w:rPr>
        <w:t xml:space="preserve"> </w:t>
      </w:r>
      <w:r w:rsidRPr="00A82AC9">
        <w:rPr>
          <w:rFonts w:cs="Arial"/>
          <w:color w:val="000000" w:themeColor="text1"/>
        </w:rPr>
        <w:t xml:space="preserve">financial year is </w:t>
      </w:r>
      <w:r w:rsidR="005A3C6C">
        <w:rPr>
          <w:rFonts w:cs="Arial"/>
          <w:color w:val="000000" w:themeColor="text1"/>
        </w:rPr>
        <w:t>1 </w:t>
      </w:r>
      <w:r w:rsidRPr="00E47DC0">
        <w:rPr>
          <w:rFonts w:cs="Arial"/>
          <w:color w:val="000000" w:themeColor="text1"/>
        </w:rPr>
        <w:t xml:space="preserve">July </w:t>
      </w:r>
      <w:r w:rsidR="006934D1" w:rsidRPr="00E47DC0">
        <w:rPr>
          <w:rFonts w:cs="Arial"/>
          <w:color w:val="000000" w:themeColor="text1"/>
        </w:rPr>
        <w:t>202</w:t>
      </w:r>
      <w:r w:rsidR="006934D1">
        <w:rPr>
          <w:rFonts w:cs="Arial"/>
          <w:color w:val="000000" w:themeColor="text1"/>
        </w:rPr>
        <w:t>4</w:t>
      </w:r>
      <w:r w:rsidRPr="00A82AC9">
        <w:rPr>
          <w:rFonts w:cs="Arial"/>
          <w:color w:val="000000" w:themeColor="text1"/>
        </w:rPr>
        <w:t>.</w:t>
      </w:r>
    </w:p>
    <w:p w14:paraId="443CC018" w14:textId="1470400E" w:rsidR="003B26C8" w:rsidRPr="00E47DC0" w:rsidRDefault="003B26C8" w:rsidP="003B26C8">
      <w:pPr>
        <w:pStyle w:val="ListParagraph"/>
        <w:numPr>
          <w:ilvl w:val="0"/>
          <w:numId w:val="1"/>
        </w:numPr>
        <w:spacing w:before="0" w:after="140" w:line="280" w:lineRule="atLeast"/>
        <w:contextualSpacing w:val="0"/>
        <w:rPr>
          <w:rFonts w:cs="Arial"/>
          <w:color w:val="000000" w:themeColor="text1"/>
        </w:rPr>
      </w:pPr>
      <w:r w:rsidRPr="00E47DC0">
        <w:rPr>
          <w:rFonts w:cs="Arial"/>
          <w:color w:val="000000" w:themeColor="text1"/>
        </w:rPr>
        <w:t xml:space="preserve">‘earnings’. The amount of a leviable entity’s ‘earnings’, as defined, is used </w:t>
      </w:r>
      <w:r>
        <w:rPr>
          <w:rFonts w:cs="Arial"/>
          <w:color w:val="000000" w:themeColor="text1"/>
        </w:rPr>
        <w:t xml:space="preserve">to calculate the earnings component of the instalment of levy, under item 5 or the determination. </w:t>
      </w:r>
      <w:r w:rsidRPr="00E47DC0">
        <w:rPr>
          <w:rFonts w:cs="Arial"/>
          <w:color w:val="000000" w:themeColor="text1"/>
        </w:rPr>
        <w:t>For a leviable entity that is an authorised deposit-taking institution or a registered financial corporation, or is part of a group of leviable entities that includes such an entity, ‘earnings’ means total profit before tax, depreciation and amortisation (PBTDA). For all other entities the measure is total earnings before interest, tax, depreciat</w:t>
      </w:r>
      <w:r w:rsidR="005A3C6C">
        <w:rPr>
          <w:rFonts w:cs="Arial"/>
          <w:color w:val="000000" w:themeColor="text1"/>
        </w:rPr>
        <w:t xml:space="preserve">ion and amortisation (EBITDA). </w:t>
      </w:r>
      <w:r w:rsidRPr="00E47DC0">
        <w:rPr>
          <w:rFonts w:cs="Arial"/>
          <w:color w:val="000000" w:themeColor="text1"/>
        </w:rPr>
        <w:t>Neither PBTDA nor EBITDA is to be adjusted for significant items.</w:t>
      </w:r>
    </w:p>
    <w:p w14:paraId="69A22FEF" w14:textId="78FC30D2" w:rsidR="003B26C8" w:rsidRPr="00A82AC9" w:rsidRDefault="003B26C8" w:rsidP="003B26C8">
      <w:pPr>
        <w:pStyle w:val="ListParagraph"/>
        <w:keepNext/>
        <w:numPr>
          <w:ilvl w:val="0"/>
          <w:numId w:val="1"/>
        </w:numPr>
        <w:spacing w:before="0" w:after="140" w:line="280" w:lineRule="atLeast"/>
        <w:contextualSpacing w:val="0"/>
        <w:rPr>
          <w:rFonts w:cs="Arial"/>
          <w:color w:val="000000" w:themeColor="text1"/>
        </w:rPr>
      </w:pPr>
      <w:r w:rsidRPr="00E47DC0">
        <w:rPr>
          <w:rFonts w:cs="Arial"/>
          <w:color w:val="000000" w:themeColor="text1"/>
        </w:rPr>
        <w:t xml:space="preserve">‘leviable entity’. This term is defined, in relation to </w:t>
      </w:r>
      <w:r w:rsidR="006934D1" w:rsidRPr="00E47DC0">
        <w:rPr>
          <w:rFonts w:cs="Arial"/>
          <w:color w:val="000000" w:themeColor="text1"/>
        </w:rPr>
        <w:t>202</w:t>
      </w:r>
      <w:r w:rsidR="006934D1">
        <w:rPr>
          <w:rFonts w:cs="Arial"/>
          <w:color w:val="000000" w:themeColor="text1"/>
        </w:rPr>
        <w:t>4</w:t>
      </w:r>
      <w:r w:rsidRPr="00E47DC0">
        <w:rPr>
          <w:rFonts w:cs="Arial"/>
          <w:color w:val="000000" w:themeColor="text1"/>
        </w:rPr>
        <w:t>–</w:t>
      </w:r>
      <w:r w:rsidR="006934D1" w:rsidRPr="00E47DC0">
        <w:rPr>
          <w:rFonts w:cs="Arial"/>
          <w:color w:val="000000" w:themeColor="text1"/>
        </w:rPr>
        <w:t>2</w:t>
      </w:r>
      <w:r w:rsidR="006934D1">
        <w:rPr>
          <w:rFonts w:cs="Arial"/>
          <w:color w:val="000000" w:themeColor="text1"/>
        </w:rPr>
        <w:t>5</w:t>
      </w:r>
      <w:r w:rsidRPr="00A82AC9">
        <w:rPr>
          <w:rFonts w:cs="Arial"/>
          <w:color w:val="000000" w:themeColor="text1"/>
        </w:rPr>
        <w:t>, to have the same meaning as in the Industry Contribution Act.</w:t>
      </w:r>
    </w:p>
    <w:p w14:paraId="0E15CE27" w14:textId="7DADA583" w:rsidR="003B26C8" w:rsidRPr="000C4B51" w:rsidRDefault="003B26C8" w:rsidP="003B26C8">
      <w:pPr>
        <w:pStyle w:val="ListParagraph"/>
        <w:numPr>
          <w:ilvl w:val="0"/>
          <w:numId w:val="1"/>
        </w:numPr>
        <w:spacing w:before="0" w:after="140" w:line="280" w:lineRule="atLeast"/>
        <w:contextualSpacing w:val="0"/>
        <w:rPr>
          <w:rFonts w:cs="Arial"/>
          <w:color w:val="000000" w:themeColor="text1"/>
        </w:rPr>
      </w:pPr>
      <w:r w:rsidRPr="000C4B51">
        <w:rPr>
          <w:rFonts w:cs="Arial"/>
          <w:color w:val="000000" w:themeColor="text1"/>
        </w:rPr>
        <w:t xml:space="preserve">‘leviable report’. This means, in relation to a leviable entity, a report given to the AUSTRAC </w:t>
      </w:r>
      <w:r w:rsidRPr="00CE3C01">
        <w:rPr>
          <w:rFonts w:cs="Arial"/>
          <w:color w:val="000000" w:themeColor="text1"/>
        </w:rPr>
        <w:t xml:space="preserve">CEO in </w:t>
      </w:r>
      <w:r w:rsidRPr="00BE4FB8">
        <w:rPr>
          <w:rFonts w:cs="Arial"/>
          <w:color w:val="000000" w:themeColor="text1"/>
        </w:rPr>
        <w:t>the 202</w:t>
      </w:r>
      <w:r w:rsidR="00736DFE">
        <w:rPr>
          <w:rFonts w:cs="Arial"/>
          <w:color w:val="000000" w:themeColor="text1"/>
        </w:rPr>
        <w:t>3</w:t>
      </w:r>
      <w:r w:rsidRPr="00BE4FB8">
        <w:rPr>
          <w:rFonts w:cs="Arial"/>
          <w:color w:val="FF0000"/>
        </w:rPr>
        <w:t xml:space="preserve"> </w:t>
      </w:r>
      <w:r w:rsidRPr="00BE4FB8">
        <w:rPr>
          <w:rFonts w:cs="Arial"/>
          <w:color w:val="000000" w:themeColor="text1"/>
        </w:rPr>
        <w:t>calendar</w:t>
      </w:r>
      <w:r w:rsidRPr="000C4B51">
        <w:rPr>
          <w:rFonts w:cs="Arial"/>
          <w:color w:val="000000" w:themeColor="text1"/>
        </w:rPr>
        <w:t xml:space="preserve"> year under subsection 43(2) or 45(2) of the </w:t>
      </w:r>
      <w:r w:rsidRPr="000C4B51">
        <w:rPr>
          <w:rFonts w:cs="Arial"/>
          <w:i/>
          <w:color w:val="000000" w:themeColor="text1"/>
        </w:rPr>
        <w:t xml:space="preserve">Anti-Money Laundering and Counter-Terrorism Financing Act 2006 </w:t>
      </w:r>
      <w:r w:rsidRPr="000C4B51">
        <w:rPr>
          <w:rFonts w:cs="Arial"/>
          <w:color w:val="000000" w:themeColor="text1"/>
        </w:rPr>
        <w:t>(AML/CTF Act) (or in the form required for subsection 43(2) or 45(2), whether or not such a report was required to be given under either subsection), being:</w:t>
      </w:r>
    </w:p>
    <w:p w14:paraId="759257FA" w14:textId="77777777" w:rsidR="003B26C8" w:rsidRPr="000C4B51" w:rsidRDefault="003B26C8" w:rsidP="003B26C8">
      <w:pPr>
        <w:numPr>
          <w:ilvl w:val="3"/>
          <w:numId w:val="2"/>
        </w:numPr>
        <w:spacing w:before="0" w:after="140" w:line="280" w:lineRule="atLeast"/>
        <w:rPr>
          <w:rFonts w:cs="Arial"/>
          <w:color w:val="000000" w:themeColor="text1"/>
        </w:rPr>
      </w:pPr>
      <w:r w:rsidRPr="000C4B51">
        <w:rPr>
          <w:rFonts w:cs="Arial"/>
          <w:color w:val="000000" w:themeColor="text1"/>
        </w:rPr>
        <w:t>a report given by the leviable entity; or</w:t>
      </w:r>
    </w:p>
    <w:p w14:paraId="0A45F94D" w14:textId="77777777" w:rsidR="003B26C8" w:rsidRPr="000C4B51" w:rsidRDefault="003B26C8" w:rsidP="003B26C8">
      <w:pPr>
        <w:numPr>
          <w:ilvl w:val="3"/>
          <w:numId w:val="2"/>
        </w:numPr>
        <w:spacing w:before="0" w:after="140" w:line="280" w:lineRule="atLeast"/>
        <w:rPr>
          <w:rFonts w:cs="Arial"/>
          <w:color w:val="000000" w:themeColor="text1"/>
        </w:rPr>
      </w:pPr>
      <w:r w:rsidRPr="000C4B51">
        <w:rPr>
          <w:rFonts w:cs="Arial"/>
          <w:color w:val="000000" w:themeColor="text1"/>
        </w:rPr>
        <w:t>a report given by a remittance affiliate of the leviable entity; or</w:t>
      </w:r>
    </w:p>
    <w:p w14:paraId="3979AC9B" w14:textId="77777777" w:rsidR="003B26C8" w:rsidRPr="000C4B51" w:rsidRDefault="003B26C8" w:rsidP="003B26C8">
      <w:pPr>
        <w:numPr>
          <w:ilvl w:val="3"/>
          <w:numId w:val="2"/>
        </w:numPr>
        <w:spacing w:before="0" w:after="140" w:line="280" w:lineRule="atLeast"/>
        <w:rPr>
          <w:rFonts w:cs="Arial"/>
          <w:color w:val="000000" w:themeColor="text1"/>
        </w:rPr>
      </w:pPr>
      <w:r w:rsidRPr="000C4B51">
        <w:rPr>
          <w:rFonts w:cs="Arial"/>
          <w:color w:val="000000" w:themeColor="text1"/>
        </w:rPr>
        <w:t>a report given by another leviable entity that was acquired by the leviable entity prior to the census day.</w:t>
      </w:r>
    </w:p>
    <w:p w14:paraId="2A99A7E2" w14:textId="7A198E60" w:rsidR="00736DFE" w:rsidRDefault="00736DFE" w:rsidP="00736DFE">
      <w:pPr>
        <w:spacing w:before="0" w:after="140" w:line="280" w:lineRule="atLeast"/>
        <w:ind w:left="709"/>
        <w:rPr>
          <w:rFonts w:cs="Arial"/>
          <w:color w:val="000000" w:themeColor="text1"/>
        </w:rPr>
      </w:pPr>
      <w:r>
        <w:rPr>
          <w:rFonts w:cs="Arial"/>
          <w:color w:val="000000" w:themeColor="text1"/>
        </w:rPr>
        <w:t>However, the definition of ‘leviable report’ excludes any reports that individually have a</w:t>
      </w:r>
      <w:r w:rsidRPr="00736DFE">
        <w:rPr>
          <w:rFonts w:cs="Arial"/>
          <w:color w:val="000000" w:themeColor="text1"/>
        </w:rPr>
        <w:t xml:space="preserve"> value of $1,000,000,000 or more where the transaction to which the report relates was not completed and was marked as such in the report.</w:t>
      </w:r>
    </w:p>
    <w:p w14:paraId="0BDF818A" w14:textId="4330080C" w:rsidR="003B26C8" w:rsidRPr="000C4B51" w:rsidRDefault="003B26C8" w:rsidP="00736DFE">
      <w:pPr>
        <w:spacing w:before="0" w:after="140" w:line="280" w:lineRule="atLeast"/>
        <w:ind w:left="709"/>
        <w:rPr>
          <w:rFonts w:cs="Arial"/>
          <w:color w:val="000000" w:themeColor="text1"/>
        </w:rPr>
      </w:pPr>
      <w:r w:rsidRPr="000C4B51">
        <w:rPr>
          <w:rFonts w:cs="Arial"/>
          <w:color w:val="000000" w:themeColor="text1"/>
        </w:rPr>
        <w:t>Sections 43 and 45 of the AML/CTF Act respectively deal with threshold transaction reports (TTRs) and internati</w:t>
      </w:r>
      <w:r w:rsidR="005A3C6C">
        <w:rPr>
          <w:rFonts w:cs="Arial"/>
          <w:color w:val="000000" w:themeColor="text1"/>
        </w:rPr>
        <w:t>onal funds transfer instruction (IFTI) reports</w:t>
      </w:r>
      <w:r>
        <w:rPr>
          <w:rFonts w:cs="Arial"/>
          <w:color w:val="000000" w:themeColor="text1"/>
        </w:rPr>
        <w:t>.</w:t>
      </w:r>
    </w:p>
    <w:p w14:paraId="18794CB3" w14:textId="77777777" w:rsidR="003B26C8" w:rsidRPr="000C4B51" w:rsidRDefault="003B26C8" w:rsidP="003B26C8">
      <w:pPr>
        <w:pStyle w:val="ListParagraph"/>
        <w:numPr>
          <w:ilvl w:val="0"/>
          <w:numId w:val="1"/>
        </w:numPr>
        <w:spacing w:before="0" w:after="140" w:line="280" w:lineRule="atLeast"/>
        <w:contextualSpacing w:val="0"/>
        <w:rPr>
          <w:rFonts w:cs="Arial"/>
          <w:color w:val="000000" w:themeColor="text1"/>
        </w:rPr>
      </w:pPr>
      <w:r w:rsidRPr="000C4B51">
        <w:rPr>
          <w:rFonts w:cs="Arial"/>
          <w:color w:val="000000" w:themeColor="text1"/>
        </w:rPr>
        <w:t xml:space="preserve">‘National Electricity Rules’. This means the Rules made under the </w:t>
      </w:r>
      <w:r w:rsidRPr="000C4B51">
        <w:rPr>
          <w:rFonts w:cs="Arial"/>
          <w:i/>
          <w:color w:val="000000" w:themeColor="text1"/>
        </w:rPr>
        <w:t>National Electricity Law</w:t>
      </w:r>
      <w:r w:rsidRPr="000C4B51">
        <w:rPr>
          <w:rFonts w:cs="Arial"/>
          <w:color w:val="000000" w:themeColor="text1"/>
        </w:rPr>
        <w:t xml:space="preserve"> set out in the </w:t>
      </w:r>
      <w:r>
        <w:rPr>
          <w:rFonts w:cs="Arial"/>
          <w:color w:val="000000" w:themeColor="text1"/>
        </w:rPr>
        <w:t>s</w:t>
      </w:r>
      <w:r w:rsidRPr="000C4B51">
        <w:rPr>
          <w:rFonts w:cs="Arial"/>
          <w:color w:val="000000" w:themeColor="text1"/>
        </w:rPr>
        <w:t>chedule</w:t>
      </w:r>
      <w:r>
        <w:rPr>
          <w:rFonts w:cs="Arial"/>
          <w:color w:val="000000" w:themeColor="text1"/>
        </w:rPr>
        <w:t xml:space="preserve"> titled ‘Schedule – National Electricity Law’</w:t>
      </w:r>
      <w:r w:rsidRPr="000C4B51">
        <w:rPr>
          <w:rFonts w:cs="Arial"/>
          <w:color w:val="000000" w:themeColor="text1"/>
        </w:rPr>
        <w:t xml:space="preserve"> to the </w:t>
      </w:r>
      <w:r w:rsidRPr="000C4B51">
        <w:rPr>
          <w:rFonts w:cs="Arial"/>
          <w:i/>
          <w:color w:val="000000" w:themeColor="text1"/>
        </w:rPr>
        <w:t>National Electricity (South Australia) Act 1996</w:t>
      </w:r>
      <w:r w:rsidRPr="000C4B51">
        <w:rPr>
          <w:rFonts w:cs="Arial"/>
          <w:color w:val="000000" w:themeColor="text1"/>
        </w:rPr>
        <w:t xml:space="preserve"> (SA).</w:t>
      </w:r>
    </w:p>
    <w:p w14:paraId="00802009" w14:textId="77777777" w:rsidR="003B26C8" w:rsidRPr="000C4B51" w:rsidRDefault="003B26C8" w:rsidP="003B26C8">
      <w:pPr>
        <w:pStyle w:val="ListParagraph"/>
        <w:numPr>
          <w:ilvl w:val="0"/>
          <w:numId w:val="1"/>
        </w:numPr>
        <w:spacing w:before="0" w:after="140" w:line="280" w:lineRule="atLeast"/>
        <w:contextualSpacing w:val="0"/>
        <w:rPr>
          <w:rFonts w:cs="Arial"/>
          <w:color w:val="000000" w:themeColor="text1"/>
        </w:rPr>
      </w:pPr>
      <w:r w:rsidRPr="000C4B51">
        <w:rPr>
          <w:rFonts w:cs="Arial"/>
          <w:color w:val="000000" w:themeColor="text1"/>
        </w:rPr>
        <w:lastRenderedPageBreak/>
        <w:t>‘remittance affiliate’. This means a leviable entity that provides a designated service covered by item 31 or 32 of table 1 in section 6 of the AML/CTF Act as part of a network of persons of a kind referred to in item 32A of that table operated by another leviable entity.</w:t>
      </w:r>
    </w:p>
    <w:p w14:paraId="4E59A4CD" w14:textId="77777777" w:rsidR="003B26C8" w:rsidRPr="000C4B51" w:rsidRDefault="003B26C8" w:rsidP="003B26C8">
      <w:pPr>
        <w:pStyle w:val="ListParagraph"/>
        <w:numPr>
          <w:ilvl w:val="0"/>
          <w:numId w:val="1"/>
        </w:numPr>
        <w:spacing w:before="0" w:after="140" w:line="280" w:lineRule="atLeast"/>
        <w:contextualSpacing w:val="0"/>
        <w:rPr>
          <w:rFonts w:cs="Arial"/>
          <w:color w:val="000000" w:themeColor="text1"/>
        </w:rPr>
      </w:pPr>
      <w:r w:rsidRPr="000C4B51">
        <w:rPr>
          <w:rFonts w:cs="Arial"/>
          <w:color w:val="000000" w:themeColor="text1"/>
        </w:rPr>
        <w:t xml:space="preserve">‘registered financial corporation’. This term is defined to have the same meaning as the term ‘registered entity’ in the </w:t>
      </w:r>
      <w:r w:rsidRPr="000C4B51">
        <w:rPr>
          <w:rFonts w:cs="Arial"/>
          <w:i/>
          <w:color w:val="000000" w:themeColor="text1"/>
        </w:rPr>
        <w:t>Financial Sector (Collection of Data) Act 2001</w:t>
      </w:r>
      <w:r w:rsidRPr="000C4B51">
        <w:rPr>
          <w:rFonts w:cs="Arial"/>
          <w:color w:val="000000" w:themeColor="text1"/>
        </w:rPr>
        <w:t>.</w:t>
      </w:r>
    </w:p>
    <w:p w14:paraId="60143AC4" w14:textId="22131D31" w:rsidR="003B26C8" w:rsidRPr="000C4B51" w:rsidRDefault="003B26C8" w:rsidP="003B26C8">
      <w:pPr>
        <w:spacing w:before="0" w:after="140" w:line="280" w:lineRule="atLeast"/>
        <w:rPr>
          <w:rFonts w:cs="Arial"/>
          <w:color w:val="000000" w:themeColor="text1"/>
        </w:rPr>
      </w:pPr>
      <w:r w:rsidRPr="000C4B51">
        <w:rPr>
          <w:rFonts w:cs="Arial"/>
          <w:color w:val="000000" w:themeColor="text1"/>
        </w:rPr>
        <w:t xml:space="preserve">Subitem 3(2) limits references in the </w:t>
      </w:r>
      <w:r>
        <w:rPr>
          <w:rFonts w:cs="Arial"/>
          <w:color w:val="000000" w:themeColor="text1"/>
        </w:rPr>
        <w:t>d</w:t>
      </w:r>
      <w:r w:rsidRPr="000C4B51">
        <w:rPr>
          <w:rFonts w:cs="Arial"/>
          <w:color w:val="000000" w:themeColor="text1"/>
        </w:rPr>
        <w:t xml:space="preserve">etermination to the total profit or total earnings of a leviable entity that is a foreign corporation or a subsidiary of a foreign corporation to the total profit or total earnings of the leviable entity </w:t>
      </w:r>
      <w:r>
        <w:rPr>
          <w:rFonts w:cs="Arial"/>
          <w:color w:val="000000" w:themeColor="text1"/>
        </w:rPr>
        <w:t>that</w:t>
      </w:r>
      <w:r w:rsidRPr="000C4B51">
        <w:rPr>
          <w:rFonts w:cs="Arial"/>
          <w:color w:val="000000" w:themeColor="text1"/>
        </w:rPr>
        <w:t xml:space="preserve"> are derive</w:t>
      </w:r>
      <w:r w:rsidR="005A3C6C">
        <w:rPr>
          <w:rFonts w:cs="Arial"/>
          <w:color w:val="000000" w:themeColor="text1"/>
        </w:rPr>
        <w:t>d from operations in Australia.</w:t>
      </w:r>
      <w:r>
        <w:rPr>
          <w:rFonts w:cs="Arial"/>
          <w:color w:val="000000" w:themeColor="text1"/>
        </w:rPr>
        <w:t xml:space="preserve"> </w:t>
      </w:r>
      <w:r w:rsidRPr="000C4B51">
        <w:rPr>
          <w:rFonts w:cs="Arial"/>
          <w:color w:val="000000" w:themeColor="text1"/>
        </w:rPr>
        <w:t xml:space="preserve">This affects the operation of the definition of the term ‘earnings’ in subitem 3(1) of the </w:t>
      </w:r>
      <w:r>
        <w:rPr>
          <w:rFonts w:cs="Arial"/>
          <w:color w:val="000000" w:themeColor="text1"/>
        </w:rPr>
        <w:t>d</w:t>
      </w:r>
      <w:r w:rsidRPr="000C4B51">
        <w:rPr>
          <w:rFonts w:cs="Arial"/>
          <w:color w:val="000000" w:themeColor="text1"/>
        </w:rPr>
        <w:t>etermination.</w:t>
      </w:r>
    </w:p>
    <w:p w14:paraId="031F64E5" w14:textId="77777777" w:rsidR="003B26C8" w:rsidRPr="000C4B51" w:rsidRDefault="003B26C8" w:rsidP="003B26C8">
      <w:pPr>
        <w:keepNext/>
        <w:keepLines/>
        <w:spacing w:before="200" w:after="0" w:line="280" w:lineRule="atLeast"/>
        <w:outlineLvl w:val="2"/>
        <w:rPr>
          <w:rFonts w:cs="Arial"/>
          <w:b/>
          <w:i/>
          <w:color w:val="000000" w:themeColor="text1"/>
        </w:rPr>
      </w:pPr>
      <w:bookmarkStart w:id="14" w:name="_Toc425761616"/>
      <w:bookmarkStart w:id="15" w:name="_Toc425866791"/>
      <w:r w:rsidRPr="000C4B51">
        <w:rPr>
          <w:rFonts w:cs="Arial"/>
          <w:b/>
          <w:i/>
          <w:color w:val="000000" w:themeColor="text1"/>
        </w:rPr>
        <w:t>Item 4 – Amount of instalment of levy</w:t>
      </w:r>
      <w:bookmarkEnd w:id="14"/>
      <w:bookmarkEnd w:id="15"/>
    </w:p>
    <w:p w14:paraId="666E6A0C" w14:textId="02814D10"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 xml:space="preserve">Item 4 sets out a general method for determining the amount of the instalment of levy payable by a leviable </w:t>
      </w:r>
      <w:r w:rsidRPr="00CE3C01">
        <w:rPr>
          <w:rFonts w:cs="Arial"/>
          <w:color w:val="000000" w:themeColor="text1"/>
        </w:rPr>
        <w:t xml:space="preserve">entity </w:t>
      </w:r>
      <w:r w:rsidRPr="00E47DC0">
        <w:rPr>
          <w:rFonts w:cs="Arial"/>
          <w:color w:val="000000" w:themeColor="text1"/>
        </w:rPr>
        <w:t xml:space="preserve">for </w:t>
      </w:r>
      <w:r w:rsidR="006934D1" w:rsidRPr="00E47DC0">
        <w:rPr>
          <w:rFonts w:cs="Arial"/>
          <w:color w:val="000000" w:themeColor="text1"/>
        </w:rPr>
        <w:t>202</w:t>
      </w:r>
      <w:r w:rsidR="006934D1">
        <w:rPr>
          <w:rFonts w:cs="Arial"/>
          <w:color w:val="000000" w:themeColor="text1"/>
        </w:rPr>
        <w:t>4</w:t>
      </w:r>
      <w:r w:rsidRPr="00E47DC0">
        <w:rPr>
          <w:rFonts w:cs="Arial"/>
          <w:color w:val="000000" w:themeColor="text1"/>
        </w:rPr>
        <w:t>-</w:t>
      </w:r>
      <w:r w:rsidR="006934D1" w:rsidRPr="00E47DC0">
        <w:rPr>
          <w:rFonts w:cs="Arial"/>
          <w:color w:val="000000" w:themeColor="text1"/>
        </w:rPr>
        <w:t>2</w:t>
      </w:r>
      <w:r w:rsidR="006934D1">
        <w:rPr>
          <w:rFonts w:cs="Arial"/>
          <w:color w:val="000000" w:themeColor="text1"/>
        </w:rPr>
        <w:t>5</w:t>
      </w:r>
      <w:r w:rsidRPr="00E47DC0">
        <w:rPr>
          <w:rFonts w:cs="Arial"/>
          <w:color w:val="000000" w:themeColor="text1"/>
        </w:rPr>
        <w:t>,</w:t>
      </w:r>
      <w:r w:rsidRPr="00CE3C01">
        <w:rPr>
          <w:rFonts w:cs="Arial"/>
          <w:color w:val="000000" w:themeColor="text1"/>
        </w:rPr>
        <w:t xml:space="preserve"> which</w:t>
      </w:r>
      <w:r w:rsidRPr="000C4B51">
        <w:rPr>
          <w:rFonts w:cs="Arial"/>
          <w:color w:val="000000" w:themeColor="text1"/>
        </w:rPr>
        <w:t xml:space="preserve"> is subject to five exceptions.</w:t>
      </w:r>
    </w:p>
    <w:p w14:paraId="34E74BCB" w14:textId="77777777"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 xml:space="preserve">The general method is specified in subitem 4(2). It involves adding together the ‘earnings component’ for the leviable entity, dealt with in item 5 of the </w:t>
      </w:r>
      <w:r>
        <w:rPr>
          <w:rFonts w:cs="Arial"/>
          <w:color w:val="000000" w:themeColor="text1"/>
        </w:rPr>
        <w:t>d</w:t>
      </w:r>
      <w:r w:rsidRPr="000C4B51">
        <w:rPr>
          <w:rFonts w:cs="Arial"/>
          <w:color w:val="000000" w:themeColor="text1"/>
        </w:rPr>
        <w:t xml:space="preserve">etermination, and the ‘transaction reporting component’ for the leviable entity, dealt with in item 6 of the </w:t>
      </w:r>
      <w:r>
        <w:rPr>
          <w:rFonts w:cs="Arial"/>
          <w:color w:val="000000" w:themeColor="text1"/>
        </w:rPr>
        <w:t>d</w:t>
      </w:r>
      <w:r w:rsidRPr="000C4B51">
        <w:rPr>
          <w:rFonts w:cs="Arial"/>
          <w:color w:val="000000" w:themeColor="text1"/>
        </w:rPr>
        <w:t>etermination.</w:t>
      </w:r>
    </w:p>
    <w:p w14:paraId="285377C6" w14:textId="77777777"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The exceptions to the general method are specified in subitems 4(3), (4), (5), (6) and (7).</w:t>
      </w:r>
    </w:p>
    <w:p w14:paraId="2526B648" w14:textId="7A719399"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 xml:space="preserve">Subitem 4(3) provides a </w:t>
      </w:r>
      <w:r>
        <w:rPr>
          <w:rFonts w:cs="Arial"/>
          <w:color w:val="000000" w:themeColor="text1"/>
        </w:rPr>
        <w:t xml:space="preserve">minimum </w:t>
      </w:r>
      <w:r w:rsidRPr="000C4B51">
        <w:rPr>
          <w:rFonts w:cs="Arial"/>
          <w:color w:val="000000" w:themeColor="text1"/>
        </w:rPr>
        <w:t>payment threshold of $1,</w:t>
      </w:r>
      <w:r>
        <w:rPr>
          <w:rFonts w:cs="Arial"/>
          <w:color w:val="000000" w:themeColor="text1"/>
        </w:rPr>
        <w:t>1</w:t>
      </w:r>
      <w:r w:rsidRPr="000C4B51">
        <w:rPr>
          <w:rFonts w:cs="Arial"/>
          <w:color w:val="000000" w:themeColor="text1"/>
        </w:rPr>
        <w:t>00 for the levy instalment. If the amount calculated in relation to a leviable entity under subitem (2) is less than $1,</w:t>
      </w:r>
      <w:r>
        <w:rPr>
          <w:rFonts w:cs="Arial"/>
          <w:color w:val="000000" w:themeColor="text1"/>
        </w:rPr>
        <w:t>1</w:t>
      </w:r>
      <w:r w:rsidRPr="000C4B51">
        <w:rPr>
          <w:rFonts w:cs="Arial"/>
          <w:color w:val="000000" w:themeColor="text1"/>
        </w:rPr>
        <w:t>00, then the amount payable by that entity is nil.</w:t>
      </w:r>
    </w:p>
    <w:p w14:paraId="592BA958" w14:textId="403319DD" w:rsidR="003B26C8" w:rsidRPr="00962FE1" w:rsidRDefault="003B26C8" w:rsidP="003B26C8">
      <w:pPr>
        <w:spacing w:before="140" w:after="140" w:line="280" w:lineRule="atLeast"/>
        <w:rPr>
          <w:rFonts w:cs="Arial"/>
          <w:color w:val="000000" w:themeColor="text1"/>
        </w:rPr>
      </w:pPr>
      <w:r w:rsidRPr="002F34E4">
        <w:rPr>
          <w:rFonts w:cs="Arial"/>
          <w:color w:val="000000" w:themeColor="text1"/>
        </w:rPr>
        <w:t>Subitem 4(4) provides a maximum payment amount for the levy instalment</w:t>
      </w:r>
      <w:r w:rsidR="005032FA">
        <w:rPr>
          <w:rFonts w:cs="Arial"/>
          <w:color w:val="000000" w:themeColor="text1"/>
        </w:rPr>
        <w:t>s</w:t>
      </w:r>
      <w:r>
        <w:rPr>
          <w:rFonts w:cs="Arial"/>
          <w:color w:val="000000" w:themeColor="text1"/>
        </w:rPr>
        <w:t xml:space="preserve">. </w:t>
      </w:r>
      <w:r w:rsidRPr="002F34E4">
        <w:rPr>
          <w:rFonts w:cs="Arial"/>
          <w:color w:val="000000" w:themeColor="text1"/>
        </w:rPr>
        <w:t>The</w:t>
      </w:r>
      <w:r w:rsidR="005032FA">
        <w:rPr>
          <w:rFonts w:cs="Arial"/>
          <w:color w:val="000000" w:themeColor="text1"/>
        </w:rPr>
        <w:t xml:space="preserve"> maximum</w:t>
      </w:r>
      <w:r w:rsidRPr="002F34E4">
        <w:rPr>
          <w:rFonts w:cs="Arial"/>
          <w:color w:val="000000" w:themeColor="text1"/>
        </w:rPr>
        <w:t xml:space="preserve"> amount payable by a leviable entity that is </w:t>
      </w:r>
      <w:r w:rsidRPr="00CB1542">
        <w:rPr>
          <w:rFonts w:cs="Arial"/>
          <w:color w:val="000000" w:themeColor="text1"/>
          <w:u w:val="single"/>
        </w:rPr>
        <w:t>not</w:t>
      </w:r>
      <w:r w:rsidRPr="002F34E4">
        <w:rPr>
          <w:rFonts w:cs="Arial"/>
          <w:color w:val="000000" w:themeColor="text1"/>
        </w:rPr>
        <w:t xml:space="preserve"> part of a group of leviable entities and has </w:t>
      </w:r>
      <w:r>
        <w:rPr>
          <w:rFonts w:cs="Arial"/>
          <w:color w:val="000000" w:themeColor="text1"/>
        </w:rPr>
        <w:t>met both the earnings component cap at item 5(4) and the transaction repo</w:t>
      </w:r>
      <w:r w:rsidR="000E74AF">
        <w:rPr>
          <w:rFonts w:cs="Arial"/>
          <w:color w:val="000000" w:themeColor="text1"/>
        </w:rPr>
        <w:t xml:space="preserve">rting component at 6(5) is </w:t>
      </w:r>
      <w:r w:rsidR="000E74AF" w:rsidRPr="0077498B">
        <w:rPr>
          <w:rFonts w:cs="Arial"/>
          <w:color w:val="000000" w:themeColor="text1"/>
        </w:rPr>
        <w:t>$</w:t>
      </w:r>
      <w:r w:rsidR="0077498B" w:rsidRPr="00B3479A">
        <w:rPr>
          <w:rFonts w:cs="Arial"/>
          <w:color w:val="000000" w:themeColor="text1"/>
        </w:rPr>
        <w:t>13</w:t>
      </w:r>
      <w:r w:rsidR="000E74AF" w:rsidRPr="0077498B">
        <w:rPr>
          <w:rFonts w:cs="Arial"/>
          <w:color w:val="000000" w:themeColor="text1"/>
        </w:rPr>
        <w:t>,</w:t>
      </w:r>
      <w:r w:rsidR="0077498B" w:rsidRPr="00B3479A">
        <w:rPr>
          <w:rFonts w:cs="Arial"/>
          <w:color w:val="000000" w:themeColor="text1"/>
        </w:rPr>
        <w:t>997</w:t>
      </w:r>
      <w:r w:rsidRPr="0077498B">
        <w:rPr>
          <w:rFonts w:cs="Arial"/>
          <w:color w:val="000000" w:themeColor="text1"/>
        </w:rPr>
        <w:t>,</w:t>
      </w:r>
      <w:r w:rsidR="0077498B" w:rsidRPr="0077498B">
        <w:rPr>
          <w:rFonts w:cs="Arial"/>
          <w:color w:val="000000" w:themeColor="text1"/>
        </w:rPr>
        <w:t>41</w:t>
      </w:r>
      <w:r w:rsidR="0077498B" w:rsidRPr="00B3479A">
        <w:rPr>
          <w:rFonts w:cs="Arial"/>
          <w:color w:val="000000" w:themeColor="text1"/>
        </w:rPr>
        <w:t>9</w:t>
      </w:r>
      <w:r w:rsidR="000E74AF" w:rsidRPr="0077498B">
        <w:rPr>
          <w:rFonts w:cs="Arial"/>
          <w:color w:val="000000" w:themeColor="text1"/>
        </w:rPr>
        <w:t>.</w:t>
      </w:r>
      <w:r w:rsidR="0077498B" w:rsidRPr="0077498B">
        <w:rPr>
          <w:rFonts w:cs="Arial"/>
          <w:color w:val="000000" w:themeColor="text1"/>
        </w:rPr>
        <w:t>57</w:t>
      </w:r>
      <w:r>
        <w:rPr>
          <w:rFonts w:cs="Arial"/>
          <w:color w:val="000000" w:themeColor="text1"/>
        </w:rPr>
        <w:t>.</w:t>
      </w:r>
      <w:r w:rsidR="005032FA" w:rsidRPr="005032FA">
        <w:rPr>
          <w:rFonts w:cs="Arial"/>
          <w:color w:val="000000" w:themeColor="text1"/>
        </w:rPr>
        <w:t xml:space="preserve"> </w:t>
      </w:r>
      <w:r w:rsidR="005032FA">
        <w:rPr>
          <w:rFonts w:cs="Arial"/>
          <w:color w:val="000000" w:themeColor="text1"/>
        </w:rPr>
        <w:t>Where several leviable entities are part of a group of leviable entities, subitem 4(4) caps the maximum amount payable by all leviable entities in that group to $13,997,419.57.</w:t>
      </w:r>
    </w:p>
    <w:p w14:paraId="7B0C6FDA" w14:textId="251A3086" w:rsidR="003B26C8" w:rsidRPr="000B7A84" w:rsidRDefault="003B26C8" w:rsidP="003B26C8">
      <w:pPr>
        <w:spacing w:before="140" w:after="140" w:line="280" w:lineRule="atLeast"/>
        <w:rPr>
          <w:rFonts w:cs="Arial"/>
          <w:color w:val="000000" w:themeColor="text1"/>
        </w:rPr>
      </w:pPr>
      <w:r w:rsidRPr="00962FE1">
        <w:rPr>
          <w:rFonts w:cs="Arial"/>
          <w:color w:val="000000" w:themeColor="text1"/>
        </w:rPr>
        <w:t>Subitem 4(5) sets the levy instalment at nil for a leviable entity that, in the financial year</w:t>
      </w:r>
      <w:r w:rsidRPr="000B7A84">
        <w:rPr>
          <w:rFonts w:cs="Arial"/>
          <w:color w:val="000000" w:themeColor="text1"/>
        </w:rPr>
        <w:t xml:space="preserve"> </w:t>
      </w:r>
      <w:r w:rsidRPr="00E47DC0">
        <w:rPr>
          <w:rFonts w:cs="Arial"/>
          <w:color w:val="000000" w:themeColor="text1"/>
        </w:rPr>
        <w:t xml:space="preserve">1 July </w:t>
      </w:r>
      <w:r w:rsidR="006934D1" w:rsidRPr="00E47DC0">
        <w:rPr>
          <w:rFonts w:cs="Arial"/>
          <w:color w:val="000000" w:themeColor="text1"/>
        </w:rPr>
        <w:t>202</w:t>
      </w:r>
      <w:r w:rsidR="006934D1">
        <w:rPr>
          <w:rFonts w:cs="Arial"/>
          <w:color w:val="000000" w:themeColor="text1"/>
        </w:rPr>
        <w:t>3</w:t>
      </w:r>
      <w:r w:rsidR="006934D1" w:rsidRPr="00E47DC0">
        <w:rPr>
          <w:rFonts w:cs="Arial"/>
          <w:color w:val="000000" w:themeColor="text1"/>
        </w:rPr>
        <w:t xml:space="preserve"> </w:t>
      </w:r>
      <w:r w:rsidRPr="00E47DC0">
        <w:rPr>
          <w:rFonts w:cs="Arial"/>
          <w:color w:val="000000" w:themeColor="text1"/>
        </w:rPr>
        <w:t xml:space="preserve">to 30 June </w:t>
      </w:r>
      <w:r w:rsidR="006934D1" w:rsidRPr="00E47DC0">
        <w:rPr>
          <w:rFonts w:cs="Arial"/>
          <w:color w:val="000000" w:themeColor="text1"/>
        </w:rPr>
        <w:t>202</w:t>
      </w:r>
      <w:r w:rsidR="006934D1">
        <w:rPr>
          <w:rFonts w:cs="Arial"/>
          <w:color w:val="000000" w:themeColor="text1"/>
        </w:rPr>
        <w:t>4</w:t>
      </w:r>
      <w:r>
        <w:rPr>
          <w:rFonts w:cs="Arial"/>
          <w:color w:val="000000" w:themeColor="text1"/>
        </w:rPr>
        <w:t>,</w:t>
      </w:r>
      <w:r w:rsidRPr="00E47DC0">
        <w:rPr>
          <w:rFonts w:cs="Arial"/>
          <w:color w:val="000000" w:themeColor="text1"/>
        </w:rPr>
        <w:t xml:space="preserve"> provided designated services only in the capacity of a</w:t>
      </w:r>
      <w:r w:rsidRPr="000B7A84">
        <w:rPr>
          <w:rFonts w:cs="Arial"/>
          <w:color w:val="000000" w:themeColor="text1"/>
        </w:rPr>
        <w:t xml:space="preserve"> remittance affiliate. Entities to which subitem 4(5) applies have no amount payable on the basis that AUSTRAC’s primary regulatory relationship will be with remittance network providers rather than remittance affiliates.</w:t>
      </w:r>
    </w:p>
    <w:p w14:paraId="272C0B10" w14:textId="04EFDA7E" w:rsidR="008F4864" w:rsidRPr="000B7A84" w:rsidRDefault="008F4864" w:rsidP="008F4864">
      <w:pPr>
        <w:spacing w:before="140" w:after="0" w:line="280" w:lineRule="atLeast"/>
        <w:rPr>
          <w:rFonts w:cs="Arial"/>
          <w:color w:val="000000" w:themeColor="text1"/>
        </w:rPr>
      </w:pPr>
      <w:r w:rsidRPr="000B7A84">
        <w:rPr>
          <w:rFonts w:cs="Arial"/>
          <w:color w:val="000000" w:themeColor="text1"/>
        </w:rPr>
        <w:t>Subitem</w:t>
      </w:r>
      <w:r>
        <w:rPr>
          <w:rFonts w:cs="Arial"/>
          <w:color w:val="000000" w:themeColor="text1"/>
        </w:rPr>
        <w:t>s</w:t>
      </w:r>
      <w:r w:rsidRPr="000B7A84">
        <w:rPr>
          <w:rFonts w:cs="Arial"/>
          <w:color w:val="000000" w:themeColor="text1"/>
        </w:rPr>
        <w:t xml:space="preserve"> 4(6) </w:t>
      </w:r>
      <w:r>
        <w:rPr>
          <w:rFonts w:cs="Arial"/>
          <w:color w:val="000000" w:themeColor="text1"/>
        </w:rPr>
        <w:t>and 4(6A) set</w:t>
      </w:r>
      <w:r w:rsidRPr="000B7A84">
        <w:rPr>
          <w:rFonts w:cs="Arial"/>
          <w:color w:val="000000" w:themeColor="text1"/>
        </w:rPr>
        <w:t xml:space="preserve"> the levy instalment at nil for a leviable entity that, on the census day, was a ‘Market Generator’ within the meaning of the National Electricity Rules.</w:t>
      </w:r>
      <w:r>
        <w:rPr>
          <w:rFonts w:cs="Arial"/>
          <w:color w:val="000000" w:themeColor="text1"/>
        </w:rPr>
        <w:t xml:space="preserve"> Where entities to which subitems 4(6) and 4(6A) apply are part of a group of leviable entities, their earnings should not be included in the </w:t>
      </w:r>
      <w:r w:rsidR="00F03BCB">
        <w:rPr>
          <w:rFonts w:cs="Arial"/>
          <w:color w:val="000000" w:themeColor="text1"/>
        </w:rPr>
        <w:t>group</w:t>
      </w:r>
      <w:r w:rsidR="005032FA">
        <w:rPr>
          <w:rFonts w:cs="Arial"/>
          <w:color w:val="000000" w:themeColor="text1"/>
        </w:rPr>
        <w:t>’</w:t>
      </w:r>
      <w:r w:rsidR="00F03BCB">
        <w:rPr>
          <w:rFonts w:cs="Arial"/>
          <w:color w:val="000000" w:themeColor="text1"/>
        </w:rPr>
        <w:t>s</w:t>
      </w:r>
      <w:r>
        <w:rPr>
          <w:rFonts w:cs="Arial"/>
          <w:color w:val="000000" w:themeColor="text1"/>
        </w:rPr>
        <w:t xml:space="preserve"> total earnings nor should they be included in the number of leviable entities within the group for the purpose of calculating the levy payable</w:t>
      </w:r>
      <w:r w:rsidR="00BE0FA4">
        <w:rPr>
          <w:rFonts w:cs="Arial"/>
          <w:color w:val="000000" w:themeColor="text1"/>
        </w:rPr>
        <w:t>.</w:t>
      </w:r>
    </w:p>
    <w:p w14:paraId="5FB12ADE" w14:textId="77777777" w:rsidR="003B26C8" w:rsidRPr="000B7A84" w:rsidRDefault="003B26C8" w:rsidP="003B26C8">
      <w:pPr>
        <w:spacing w:before="140" w:after="140" w:line="280" w:lineRule="atLeast"/>
        <w:rPr>
          <w:rFonts w:cs="Arial"/>
          <w:color w:val="000000" w:themeColor="text1"/>
        </w:rPr>
      </w:pPr>
      <w:r w:rsidRPr="000B7A84">
        <w:rPr>
          <w:rFonts w:cs="Arial"/>
          <w:color w:val="000000" w:themeColor="text1"/>
        </w:rPr>
        <w:t>Subitem 4(7) sets the levy instalment at nil for a leviable entity that is a body corporate established for a public purpose by an Act passed by the Commonwealth Parliament.</w:t>
      </w:r>
    </w:p>
    <w:p w14:paraId="2AC6807C" w14:textId="77777777" w:rsidR="003B26C8" w:rsidRPr="000B7A84" w:rsidRDefault="003B26C8" w:rsidP="003B26C8">
      <w:pPr>
        <w:keepNext/>
        <w:keepLines/>
        <w:spacing w:before="200" w:after="0" w:line="280" w:lineRule="atLeast"/>
        <w:outlineLvl w:val="2"/>
        <w:rPr>
          <w:rFonts w:cs="Arial"/>
          <w:b/>
          <w:bCs/>
          <w:i/>
          <w:color w:val="000000" w:themeColor="text1"/>
          <w:szCs w:val="26"/>
        </w:rPr>
      </w:pPr>
      <w:bookmarkStart w:id="16" w:name="_Toc425761617"/>
      <w:bookmarkStart w:id="17" w:name="_Toc425866792"/>
      <w:r w:rsidRPr="000B7A84">
        <w:rPr>
          <w:rFonts w:cs="Arial"/>
          <w:b/>
          <w:i/>
          <w:color w:val="000000" w:themeColor="text1"/>
        </w:rPr>
        <w:lastRenderedPageBreak/>
        <w:t>Item 5 – Earnings component</w:t>
      </w:r>
      <w:bookmarkEnd w:id="16"/>
      <w:bookmarkEnd w:id="17"/>
    </w:p>
    <w:p w14:paraId="1C3BD5DD" w14:textId="77777777" w:rsidR="003B26C8" w:rsidRPr="000B7A84" w:rsidRDefault="003B26C8" w:rsidP="003B26C8">
      <w:pPr>
        <w:spacing w:before="140" w:after="140" w:line="280" w:lineRule="atLeast"/>
        <w:rPr>
          <w:rFonts w:cs="Arial"/>
          <w:color w:val="000000" w:themeColor="text1"/>
        </w:rPr>
      </w:pPr>
      <w:r w:rsidRPr="000B7A84">
        <w:rPr>
          <w:rFonts w:cs="Arial"/>
          <w:color w:val="000000" w:themeColor="text1"/>
        </w:rPr>
        <w:t>Item 5 sets out a general method for determining the earnings component for a leviable entity, which is subject to two exceptions.</w:t>
      </w:r>
    </w:p>
    <w:p w14:paraId="3E883755" w14:textId="5C32598E" w:rsidR="003B26C8" w:rsidRPr="00E47DC0" w:rsidRDefault="003B26C8" w:rsidP="003B26C8">
      <w:pPr>
        <w:spacing w:before="140" w:after="140" w:line="280" w:lineRule="atLeast"/>
        <w:rPr>
          <w:rFonts w:cs="Arial"/>
          <w:color w:val="000000" w:themeColor="text1"/>
        </w:rPr>
      </w:pPr>
      <w:r w:rsidRPr="00E47DC0">
        <w:rPr>
          <w:rFonts w:cs="Arial"/>
          <w:color w:val="000000" w:themeColor="text1"/>
        </w:rPr>
        <w:t>The general method is specified in subitem 5(2). For a leviable entity that is not part of a group of leviable entities, the general method involves multiplying the earnings for the leviable entity by 0.15</w:t>
      </w:r>
      <w:r>
        <w:rPr>
          <w:rFonts w:cs="Arial"/>
          <w:color w:val="000000" w:themeColor="text1"/>
        </w:rPr>
        <w:t xml:space="preserve"> per cent</w:t>
      </w:r>
      <w:r w:rsidRPr="00E47DC0">
        <w:rPr>
          <w:rFonts w:cs="Arial"/>
          <w:color w:val="000000" w:themeColor="text1"/>
        </w:rPr>
        <w:t>. For a leviable entity that is part of a group of leviable entities, the general method involves multiplying the total earnings for the group by 0.</w:t>
      </w:r>
      <w:r w:rsidRPr="005A3C6C">
        <w:t>15</w:t>
      </w:r>
      <w:r w:rsidR="005A3C6C">
        <w:t> </w:t>
      </w:r>
      <w:r w:rsidRPr="005A3C6C">
        <w:t>per</w:t>
      </w:r>
      <w:r>
        <w:rPr>
          <w:rFonts w:cs="Arial"/>
          <w:color w:val="000000" w:themeColor="text1"/>
        </w:rPr>
        <w:t xml:space="preserve"> cent</w:t>
      </w:r>
      <w:r w:rsidRPr="00E47DC0">
        <w:rPr>
          <w:rFonts w:cs="Arial"/>
          <w:color w:val="000000" w:themeColor="text1"/>
        </w:rPr>
        <w:t xml:space="preserve"> and dividing the result by the number of leviable entities in the group</w:t>
      </w:r>
      <w:r w:rsidR="005032FA">
        <w:rPr>
          <w:rFonts w:cs="Arial"/>
          <w:color w:val="000000" w:themeColor="text1"/>
        </w:rPr>
        <w:t>.</w:t>
      </w:r>
    </w:p>
    <w:p w14:paraId="0ABF8CA0" w14:textId="77777777" w:rsidR="003B26C8" w:rsidRPr="00E47DC0" w:rsidRDefault="003B26C8" w:rsidP="003B26C8">
      <w:pPr>
        <w:spacing w:before="140" w:after="140" w:line="280" w:lineRule="atLeast"/>
        <w:rPr>
          <w:rFonts w:cs="Arial"/>
          <w:color w:val="000000" w:themeColor="text1"/>
        </w:rPr>
      </w:pPr>
      <w:r w:rsidRPr="00E47DC0">
        <w:rPr>
          <w:rFonts w:cs="Arial"/>
          <w:color w:val="000000" w:themeColor="text1"/>
        </w:rPr>
        <w:t>The exceptions to the general method are specified in subitems 5(3) and (4).</w:t>
      </w:r>
    </w:p>
    <w:p w14:paraId="71829A4F" w14:textId="0CC0A234" w:rsidR="003B26C8" w:rsidRPr="00E47DC0" w:rsidRDefault="003B26C8" w:rsidP="003B26C8">
      <w:pPr>
        <w:spacing w:before="140" w:after="140" w:line="280" w:lineRule="atLeast"/>
        <w:rPr>
          <w:rFonts w:cs="Arial"/>
          <w:color w:val="000000" w:themeColor="text1"/>
        </w:rPr>
      </w:pPr>
      <w:r w:rsidRPr="00E47DC0">
        <w:rPr>
          <w:rFonts w:cs="Arial"/>
          <w:color w:val="000000" w:themeColor="text1"/>
        </w:rPr>
        <w:t>Subitem 5(3) provides a payment thresho</w:t>
      </w:r>
      <w:r w:rsidR="005A3C6C">
        <w:rPr>
          <w:rFonts w:cs="Arial"/>
          <w:color w:val="000000" w:themeColor="text1"/>
        </w:rPr>
        <w:t xml:space="preserve">ld for the earnings component. </w:t>
      </w:r>
      <w:r w:rsidRPr="00E47DC0">
        <w:rPr>
          <w:rFonts w:cs="Arial"/>
          <w:color w:val="000000" w:themeColor="text1"/>
        </w:rPr>
        <w:t>It does so by setting the earning component at nil for a leviable entity that is not part of a group of leviable entities and has earnings of less than $100,000,000, or a leviable entity that is part of a group of leviable entities the total earnings for which are less than $100,000,000.</w:t>
      </w:r>
    </w:p>
    <w:p w14:paraId="3A66ADC7" w14:textId="71110D4B" w:rsidR="003B26C8" w:rsidRPr="000C4B51" w:rsidRDefault="003B26C8" w:rsidP="003B26C8">
      <w:pPr>
        <w:spacing w:before="140" w:after="140" w:line="280" w:lineRule="atLeast"/>
        <w:rPr>
          <w:rFonts w:cs="Arial"/>
          <w:color w:val="000000" w:themeColor="text1"/>
        </w:rPr>
      </w:pPr>
      <w:r w:rsidRPr="00E47DC0">
        <w:rPr>
          <w:rFonts w:cs="Arial"/>
          <w:color w:val="000000" w:themeColor="text1"/>
        </w:rPr>
        <w:t>Subitem 5(4) provides a payment cap for the earnings component for a leviable entity if the amount calculate</w:t>
      </w:r>
      <w:r w:rsidR="005A3C6C">
        <w:rPr>
          <w:rFonts w:cs="Arial"/>
          <w:color w:val="000000" w:themeColor="text1"/>
        </w:rPr>
        <w:t xml:space="preserve">d for that entity under subitem </w:t>
      </w:r>
      <w:r w:rsidRPr="00E47DC0">
        <w:rPr>
          <w:rFonts w:cs="Arial"/>
          <w:color w:val="000000" w:themeColor="text1"/>
        </w:rPr>
        <w:t xml:space="preserve">(2) is greater than </w:t>
      </w:r>
      <w:r w:rsidRPr="0077498B">
        <w:rPr>
          <w:rFonts w:cs="Arial"/>
          <w:color w:val="000000" w:themeColor="text1"/>
        </w:rPr>
        <w:t>$</w:t>
      </w:r>
      <w:r w:rsidR="0077498B" w:rsidRPr="00B3479A">
        <w:rPr>
          <w:rFonts w:cs="Arial"/>
          <w:color w:val="000000" w:themeColor="text1"/>
        </w:rPr>
        <w:t>6</w:t>
      </w:r>
      <w:r w:rsidRPr="0077498B">
        <w:rPr>
          <w:rFonts w:cs="Arial"/>
          <w:color w:val="000000" w:themeColor="text1"/>
        </w:rPr>
        <w:t>,000,000</w:t>
      </w:r>
      <w:r w:rsidR="005A3C6C">
        <w:rPr>
          <w:rFonts w:cs="Arial"/>
          <w:color w:val="000000" w:themeColor="text1"/>
        </w:rPr>
        <w:t xml:space="preserve">. </w:t>
      </w:r>
      <w:r w:rsidRPr="00E47DC0">
        <w:rPr>
          <w:rFonts w:cs="Arial"/>
          <w:color w:val="000000" w:themeColor="text1"/>
        </w:rPr>
        <w:t>For a leviable entity to which subitem 5(4) applies that is not part of a group of leviable entities,</w:t>
      </w:r>
      <w:r w:rsidRPr="000C4B51">
        <w:rPr>
          <w:rFonts w:cs="Arial"/>
          <w:color w:val="000000" w:themeColor="text1"/>
        </w:rPr>
        <w:t xml:space="preserve"> the e</w:t>
      </w:r>
      <w:r>
        <w:rPr>
          <w:rFonts w:cs="Arial"/>
          <w:color w:val="000000" w:themeColor="text1"/>
        </w:rPr>
        <w:t xml:space="preserve">arnings component is set </w:t>
      </w:r>
      <w:r w:rsidRPr="0077498B">
        <w:rPr>
          <w:rFonts w:cs="Arial"/>
          <w:color w:val="000000" w:themeColor="text1"/>
        </w:rPr>
        <w:t>at $</w:t>
      </w:r>
      <w:r w:rsidR="0077498B" w:rsidRPr="00B3479A">
        <w:rPr>
          <w:rFonts w:cs="Arial"/>
          <w:color w:val="000000" w:themeColor="text1"/>
        </w:rPr>
        <w:t>6</w:t>
      </w:r>
      <w:r w:rsidRPr="0077498B">
        <w:rPr>
          <w:rFonts w:cs="Arial"/>
          <w:color w:val="000000" w:themeColor="text1"/>
        </w:rPr>
        <w:t>,000,000</w:t>
      </w:r>
      <w:r w:rsidRPr="000C4B51">
        <w:rPr>
          <w:rFonts w:cs="Arial"/>
          <w:color w:val="000000" w:themeColor="text1"/>
        </w:rPr>
        <w:t xml:space="preserve">. For a leviable entity to which subitem 5(4) applies that is part of a group of leviable entities, the earnings component is set at </w:t>
      </w:r>
      <w:r w:rsidRPr="0077498B">
        <w:rPr>
          <w:rFonts w:cs="Arial"/>
          <w:color w:val="000000" w:themeColor="text1"/>
        </w:rPr>
        <w:t>$</w:t>
      </w:r>
      <w:r w:rsidR="0077498B" w:rsidRPr="00B3479A">
        <w:rPr>
          <w:rFonts w:cs="Arial"/>
          <w:color w:val="000000" w:themeColor="text1"/>
        </w:rPr>
        <w:t>6</w:t>
      </w:r>
      <w:r w:rsidRPr="0077498B">
        <w:rPr>
          <w:rFonts w:cs="Arial"/>
          <w:color w:val="000000" w:themeColor="text1"/>
        </w:rPr>
        <w:t>,000,000</w:t>
      </w:r>
      <w:r w:rsidRPr="000C4B51">
        <w:rPr>
          <w:rFonts w:cs="Arial"/>
          <w:color w:val="000000" w:themeColor="text1"/>
        </w:rPr>
        <w:t xml:space="preserve"> divided by the number of leviable entities in the group</w:t>
      </w:r>
      <w:r w:rsidR="005032FA">
        <w:rPr>
          <w:rFonts w:cs="Arial"/>
          <w:color w:val="000000" w:themeColor="text1"/>
        </w:rPr>
        <w:t>.</w:t>
      </w:r>
    </w:p>
    <w:p w14:paraId="1025867C" w14:textId="77777777" w:rsidR="003B26C8" w:rsidRPr="000C4B51" w:rsidRDefault="003B26C8" w:rsidP="003B26C8">
      <w:pPr>
        <w:keepNext/>
        <w:keepLines/>
        <w:spacing w:before="200" w:after="0" w:line="280" w:lineRule="atLeast"/>
        <w:outlineLvl w:val="2"/>
        <w:rPr>
          <w:rFonts w:cs="Arial"/>
          <w:b/>
          <w:i/>
          <w:color w:val="000000" w:themeColor="text1"/>
        </w:rPr>
      </w:pPr>
      <w:bookmarkStart w:id="18" w:name="_Toc425761618"/>
      <w:bookmarkStart w:id="19" w:name="_Toc425866793"/>
      <w:r w:rsidRPr="000C4B51">
        <w:rPr>
          <w:rFonts w:cs="Arial"/>
          <w:b/>
          <w:i/>
          <w:color w:val="000000" w:themeColor="text1"/>
        </w:rPr>
        <w:t>Item 6 – Transaction</w:t>
      </w:r>
      <w:r>
        <w:rPr>
          <w:rFonts w:cs="Arial"/>
          <w:b/>
          <w:i/>
          <w:color w:val="000000" w:themeColor="text1"/>
        </w:rPr>
        <w:t>-</w:t>
      </w:r>
      <w:r w:rsidRPr="000C4B51">
        <w:rPr>
          <w:rFonts w:cs="Arial"/>
          <w:b/>
          <w:i/>
          <w:color w:val="000000" w:themeColor="text1"/>
        </w:rPr>
        <w:t>reporting component</w:t>
      </w:r>
      <w:bookmarkEnd w:id="18"/>
      <w:bookmarkEnd w:id="19"/>
    </w:p>
    <w:p w14:paraId="0AA4F8B3" w14:textId="5FE4F138" w:rsidR="003B26C8" w:rsidRPr="000C4B51" w:rsidRDefault="003B26C8" w:rsidP="003B26C8">
      <w:pPr>
        <w:spacing w:before="140" w:after="140" w:line="280" w:lineRule="atLeast"/>
        <w:rPr>
          <w:rFonts w:cs="Arial"/>
          <w:color w:val="000000" w:themeColor="text1"/>
        </w:rPr>
      </w:pPr>
      <w:r w:rsidRPr="000C4B51">
        <w:rPr>
          <w:rFonts w:cs="Arial"/>
          <w:color w:val="000000" w:themeColor="text1"/>
        </w:rPr>
        <w:t>The transaction</w:t>
      </w:r>
      <w:r>
        <w:rPr>
          <w:rFonts w:cs="Arial"/>
          <w:color w:val="000000" w:themeColor="text1"/>
        </w:rPr>
        <w:t>-</w:t>
      </w:r>
      <w:r w:rsidRPr="000C4B51">
        <w:rPr>
          <w:rFonts w:cs="Arial"/>
          <w:color w:val="000000" w:themeColor="text1"/>
        </w:rPr>
        <w:t xml:space="preserve">reporting component is calculated by reference to the TTRs and IFTIs that </w:t>
      </w:r>
      <w:r w:rsidRPr="00E47DC0">
        <w:rPr>
          <w:rFonts w:cs="Arial"/>
          <w:color w:val="000000" w:themeColor="text1"/>
        </w:rPr>
        <w:t xml:space="preserve">were lodged with AUSTRAC during the </w:t>
      </w:r>
      <w:r w:rsidR="006934D1" w:rsidRPr="00E47DC0">
        <w:rPr>
          <w:rFonts w:cs="Arial"/>
          <w:color w:val="000000" w:themeColor="text1"/>
        </w:rPr>
        <w:t>202</w:t>
      </w:r>
      <w:r w:rsidR="006934D1">
        <w:rPr>
          <w:rFonts w:cs="Arial"/>
          <w:color w:val="000000" w:themeColor="text1"/>
        </w:rPr>
        <w:t>3</w:t>
      </w:r>
      <w:r w:rsidR="006934D1" w:rsidRPr="00E47DC0">
        <w:rPr>
          <w:rFonts w:cs="Arial"/>
          <w:color w:val="000000" w:themeColor="text1"/>
        </w:rPr>
        <w:t xml:space="preserve"> </w:t>
      </w:r>
      <w:r w:rsidRPr="00E47DC0">
        <w:rPr>
          <w:rFonts w:cs="Arial"/>
          <w:color w:val="000000" w:themeColor="text1"/>
        </w:rPr>
        <w:t>calendar year.</w:t>
      </w:r>
    </w:p>
    <w:p w14:paraId="75E5A099" w14:textId="6D06CA5B" w:rsidR="003B26C8" w:rsidRDefault="003B26C8" w:rsidP="003B26C8">
      <w:pPr>
        <w:spacing w:before="140" w:after="140" w:line="280" w:lineRule="atLeast"/>
        <w:rPr>
          <w:rFonts w:cs="Arial"/>
          <w:color w:val="000000" w:themeColor="text1"/>
        </w:rPr>
      </w:pPr>
      <w:r w:rsidRPr="000C4B51">
        <w:rPr>
          <w:rFonts w:cs="Arial"/>
          <w:color w:val="000000" w:themeColor="text1"/>
        </w:rPr>
        <w:t xml:space="preserve">Subitem 6(2) contains a formula for working out a leviable entity’s transaction reporting component. The formula is made up of two </w:t>
      </w:r>
      <w:r>
        <w:rPr>
          <w:rFonts w:cs="Arial"/>
          <w:color w:val="000000" w:themeColor="text1"/>
        </w:rPr>
        <w:t xml:space="preserve">elements, one for report volume and one for report value. The report value element that is to be applied is dependent on the total value of reports lodged with AUSTRAC during </w:t>
      </w:r>
      <w:r w:rsidRPr="00E47DC0">
        <w:rPr>
          <w:rFonts w:cs="Arial"/>
          <w:color w:val="000000" w:themeColor="text1"/>
        </w:rPr>
        <w:t xml:space="preserve">the </w:t>
      </w:r>
      <w:r w:rsidR="006934D1" w:rsidRPr="00E47DC0">
        <w:rPr>
          <w:rFonts w:cs="Arial"/>
          <w:color w:val="000000" w:themeColor="text1"/>
        </w:rPr>
        <w:t>202</w:t>
      </w:r>
      <w:r w:rsidR="006934D1">
        <w:rPr>
          <w:rFonts w:cs="Arial"/>
          <w:color w:val="000000" w:themeColor="text1"/>
        </w:rPr>
        <w:t>3</w:t>
      </w:r>
      <w:r w:rsidR="006934D1" w:rsidRPr="00E47DC0">
        <w:rPr>
          <w:rFonts w:cs="Arial"/>
          <w:color w:val="000000" w:themeColor="text1"/>
        </w:rPr>
        <w:t xml:space="preserve"> </w:t>
      </w:r>
      <w:r w:rsidRPr="00E47DC0">
        <w:rPr>
          <w:rFonts w:cs="Arial"/>
          <w:color w:val="000000" w:themeColor="text1"/>
        </w:rPr>
        <w:t>calendar year</w:t>
      </w:r>
      <w:r>
        <w:rPr>
          <w:rFonts w:cs="Arial"/>
          <w:color w:val="000000" w:themeColor="text1"/>
        </w:rPr>
        <w:t>.</w:t>
      </w:r>
    </w:p>
    <w:p w14:paraId="054F08EB" w14:textId="495F51C6" w:rsidR="003B26C8" w:rsidRPr="00962FE1" w:rsidRDefault="003B26C8" w:rsidP="003B26C8">
      <w:pPr>
        <w:spacing w:before="140" w:after="140" w:line="280" w:lineRule="atLeast"/>
        <w:rPr>
          <w:rFonts w:cs="Arial"/>
          <w:color w:val="000000" w:themeColor="text1"/>
        </w:rPr>
      </w:pPr>
      <w:r>
        <w:rPr>
          <w:rFonts w:cs="Arial"/>
          <w:color w:val="000000" w:themeColor="text1"/>
        </w:rPr>
        <w:t xml:space="preserve">A higher report value element applies to entities that lodged reports with a total annual </w:t>
      </w:r>
      <w:r w:rsidRPr="00962FE1">
        <w:rPr>
          <w:rFonts w:cs="Arial"/>
          <w:color w:val="000000" w:themeColor="text1"/>
        </w:rPr>
        <w:t xml:space="preserve">value of </w:t>
      </w:r>
      <w:r w:rsidRPr="002F34E4">
        <w:rPr>
          <w:rFonts w:cs="Arial"/>
          <w:color w:val="000000" w:themeColor="text1"/>
        </w:rPr>
        <w:t>$15 billion</w:t>
      </w:r>
      <w:r w:rsidR="005A3C6C">
        <w:rPr>
          <w:rFonts w:cs="Arial"/>
          <w:color w:val="000000" w:themeColor="text1"/>
        </w:rPr>
        <w:t xml:space="preserve"> or more.</w:t>
      </w:r>
    </w:p>
    <w:p w14:paraId="4415D23F" w14:textId="77777777" w:rsidR="003B26C8" w:rsidRPr="00962FE1" w:rsidRDefault="003B26C8" w:rsidP="003B26C8">
      <w:pPr>
        <w:spacing w:before="140" w:after="140" w:line="280" w:lineRule="atLeast"/>
        <w:rPr>
          <w:rFonts w:cs="Arial"/>
          <w:color w:val="000000" w:themeColor="text1"/>
        </w:rPr>
      </w:pPr>
      <w:r w:rsidRPr="00962FE1">
        <w:rPr>
          <w:rFonts w:cs="Arial"/>
          <w:color w:val="000000" w:themeColor="text1"/>
        </w:rPr>
        <w:t>The transaction reporting component is calculated as follows:</w:t>
      </w:r>
    </w:p>
    <w:p w14:paraId="142FA18B" w14:textId="77777777" w:rsidR="003B26C8" w:rsidRPr="00962FE1" w:rsidRDefault="003B26C8" w:rsidP="003B26C8">
      <w:pPr>
        <w:pStyle w:val="ListParagraph"/>
        <w:numPr>
          <w:ilvl w:val="0"/>
          <w:numId w:val="4"/>
        </w:numPr>
        <w:spacing w:before="140" w:after="140" w:line="280" w:lineRule="atLeast"/>
        <w:contextualSpacing w:val="0"/>
        <w:rPr>
          <w:rFonts w:cs="Arial"/>
          <w:color w:val="000000" w:themeColor="text1"/>
        </w:rPr>
      </w:pPr>
      <w:r w:rsidRPr="00962FE1">
        <w:rPr>
          <w:rFonts w:cs="Arial"/>
          <w:color w:val="000000" w:themeColor="text1"/>
        </w:rPr>
        <w:t>For entities with a total annual report value of less than $</w:t>
      </w:r>
      <w:r w:rsidRPr="002F34E4">
        <w:rPr>
          <w:rFonts w:cs="Arial"/>
          <w:color w:val="000000" w:themeColor="text1"/>
        </w:rPr>
        <w:t>15 billion:</w:t>
      </w:r>
    </w:p>
    <w:p w14:paraId="0254FF22" w14:textId="388DFD2B" w:rsidR="003B26C8" w:rsidRPr="00E47DC0" w:rsidRDefault="003B26C8" w:rsidP="003B26C8">
      <w:pPr>
        <w:pStyle w:val="ListParagraph"/>
        <w:numPr>
          <w:ilvl w:val="0"/>
          <w:numId w:val="5"/>
        </w:numPr>
        <w:spacing w:before="0" w:after="140" w:line="280" w:lineRule="atLeast"/>
        <w:ind w:left="1134"/>
        <w:contextualSpacing w:val="0"/>
        <w:rPr>
          <w:rFonts w:cs="Arial"/>
          <w:color w:val="000000" w:themeColor="text1"/>
        </w:rPr>
      </w:pPr>
      <w:r w:rsidRPr="00E47DC0">
        <w:rPr>
          <w:rFonts w:cs="Arial"/>
          <w:color w:val="000000" w:themeColor="text1"/>
        </w:rPr>
        <w:t xml:space="preserve">1.4 cents for each leviable report made by a leviable entity in the </w:t>
      </w:r>
      <w:r w:rsidR="006934D1" w:rsidRPr="00E47DC0">
        <w:rPr>
          <w:rFonts w:cs="Arial"/>
          <w:color w:val="000000" w:themeColor="text1"/>
        </w:rPr>
        <w:t>202</w:t>
      </w:r>
      <w:r w:rsidR="006934D1">
        <w:rPr>
          <w:rFonts w:cs="Arial"/>
          <w:color w:val="000000" w:themeColor="text1"/>
        </w:rPr>
        <w:t>3</w:t>
      </w:r>
      <w:r w:rsidR="006934D1" w:rsidRPr="00E47DC0">
        <w:rPr>
          <w:rFonts w:cs="Arial"/>
          <w:color w:val="000000" w:themeColor="text1"/>
        </w:rPr>
        <w:t xml:space="preserve"> </w:t>
      </w:r>
      <w:r w:rsidRPr="00E47DC0">
        <w:rPr>
          <w:rFonts w:cs="Arial"/>
          <w:color w:val="000000" w:themeColor="text1"/>
        </w:rPr>
        <w:t>calendar year; and</w:t>
      </w:r>
    </w:p>
    <w:p w14:paraId="11CC6038" w14:textId="4D845928" w:rsidR="003B26C8" w:rsidRPr="0077498B" w:rsidRDefault="000E74AF" w:rsidP="003B26C8">
      <w:pPr>
        <w:pStyle w:val="ListParagraph"/>
        <w:numPr>
          <w:ilvl w:val="0"/>
          <w:numId w:val="5"/>
        </w:numPr>
        <w:spacing w:before="0" w:after="140" w:line="280" w:lineRule="atLeast"/>
        <w:ind w:left="1134"/>
        <w:contextualSpacing w:val="0"/>
        <w:rPr>
          <w:rFonts w:cs="Arial"/>
          <w:color w:val="000000" w:themeColor="text1"/>
        </w:rPr>
      </w:pPr>
      <w:r>
        <w:rPr>
          <w:rFonts w:cs="Arial"/>
          <w:color w:val="000000" w:themeColor="text1"/>
        </w:rPr>
        <w:t>0</w:t>
      </w:r>
      <w:r w:rsidRPr="0077498B">
        <w:rPr>
          <w:rFonts w:cs="Arial"/>
          <w:color w:val="000000" w:themeColor="text1"/>
        </w:rPr>
        <w:t>.</w:t>
      </w:r>
      <w:r w:rsidR="0077498B" w:rsidRPr="0077498B">
        <w:rPr>
          <w:rFonts w:cs="Arial"/>
          <w:color w:val="000000" w:themeColor="text1"/>
        </w:rPr>
        <w:t xml:space="preserve">00038089 </w:t>
      </w:r>
      <w:r w:rsidR="003B26C8" w:rsidRPr="0077498B">
        <w:rPr>
          <w:rFonts w:cs="Arial"/>
          <w:color w:val="000000" w:themeColor="text1"/>
        </w:rPr>
        <w:t>per cent of the value of the transaction to which the leviable report relates.</w:t>
      </w:r>
    </w:p>
    <w:p w14:paraId="689405E8" w14:textId="77777777" w:rsidR="003B26C8" w:rsidRPr="0077498B" w:rsidRDefault="003B26C8" w:rsidP="003B26C8">
      <w:pPr>
        <w:pStyle w:val="ListParagraph"/>
        <w:numPr>
          <w:ilvl w:val="0"/>
          <w:numId w:val="4"/>
        </w:numPr>
        <w:spacing w:before="140" w:after="140" w:line="280" w:lineRule="atLeast"/>
        <w:contextualSpacing w:val="0"/>
        <w:rPr>
          <w:rFonts w:cs="Arial"/>
          <w:color w:val="000000" w:themeColor="text1"/>
        </w:rPr>
      </w:pPr>
      <w:r w:rsidRPr="0077498B">
        <w:rPr>
          <w:rFonts w:cs="Arial"/>
          <w:color w:val="000000" w:themeColor="text1"/>
        </w:rPr>
        <w:t>For entities with a total annual report value of $15 billion or more:</w:t>
      </w:r>
    </w:p>
    <w:p w14:paraId="11B383A7" w14:textId="695D41E6" w:rsidR="003B26C8" w:rsidRPr="0077498B" w:rsidRDefault="003B26C8" w:rsidP="003B26C8">
      <w:pPr>
        <w:pStyle w:val="ListParagraph"/>
        <w:numPr>
          <w:ilvl w:val="0"/>
          <w:numId w:val="5"/>
        </w:numPr>
        <w:spacing w:before="0" w:after="140" w:line="280" w:lineRule="atLeast"/>
        <w:ind w:left="1134"/>
        <w:contextualSpacing w:val="0"/>
        <w:rPr>
          <w:rFonts w:cs="Arial"/>
          <w:color w:val="000000" w:themeColor="text1"/>
        </w:rPr>
      </w:pPr>
      <w:r w:rsidRPr="0077498B">
        <w:rPr>
          <w:rFonts w:cs="Arial"/>
          <w:color w:val="000000" w:themeColor="text1"/>
        </w:rPr>
        <w:t xml:space="preserve">1.4 cents for each leviable report made by a leviable entity in the </w:t>
      </w:r>
      <w:r w:rsidR="006934D1" w:rsidRPr="0077498B">
        <w:rPr>
          <w:rFonts w:cs="Arial"/>
          <w:color w:val="000000" w:themeColor="text1"/>
        </w:rPr>
        <w:t xml:space="preserve">2023 </w:t>
      </w:r>
      <w:r w:rsidRPr="0077498B">
        <w:rPr>
          <w:rFonts w:cs="Arial"/>
          <w:color w:val="000000" w:themeColor="text1"/>
        </w:rPr>
        <w:t>calendar year; and</w:t>
      </w:r>
    </w:p>
    <w:p w14:paraId="2ECE6680" w14:textId="224C9C01" w:rsidR="003B26C8" w:rsidRDefault="003B26C8" w:rsidP="003B26C8">
      <w:pPr>
        <w:pStyle w:val="ListParagraph"/>
        <w:numPr>
          <w:ilvl w:val="0"/>
          <w:numId w:val="5"/>
        </w:numPr>
        <w:spacing w:before="0" w:after="140" w:line="280" w:lineRule="atLeast"/>
        <w:ind w:left="1134"/>
        <w:contextualSpacing w:val="0"/>
        <w:rPr>
          <w:rFonts w:cs="Arial"/>
          <w:color w:val="000000" w:themeColor="text1"/>
        </w:rPr>
      </w:pPr>
      <w:r w:rsidRPr="0077498B">
        <w:rPr>
          <w:rFonts w:eastAsia="Times New Roman" w:cs="Calibri"/>
          <w:color w:val="auto"/>
          <w:szCs w:val="24"/>
          <w:lang w:eastAsia="en-AU"/>
        </w:rPr>
        <w:t>0.</w:t>
      </w:r>
      <w:r w:rsidR="0077498B" w:rsidRPr="0077498B">
        <w:rPr>
          <w:rFonts w:eastAsia="Times New Roman" w:cs="Calibri"/>
          <w:color w:val="auto"/>
          <w:szCs w:val="24"/>
          <w:lang w:eastAsia="en-AU"/>
        </w:rPr>
        <w:t>00070412</w:t>
      </w:r>
      <w:r w:rsidR="0077498B" w:rsidRPr="000E74AF">
        <w:rPr>
          <w:rFonts w:eastAsia="Times New Roman" w:cs="Calibri"/>
          <w:color w:val="auto"/>
          <w:szCs w:val="24"/>
          <w:lang w:eastAsia="en-AU"/>
        </w:rPr>
        <w:t xml:space="preserve"> </w:t>
      </w:r>
      <w:r w:rsidRPr="00E47DC0">
        <w:rPr>
          <w:rFonts w:cs="Arial"/>
          <w:color w:val="000000" w:themeColor="text1"/>
        </w:rPr>
        <w:t>per cent of the value of the transaction to which the leviable report relates.</w:t>
      </w:r>
    </w:p>
    <w:p w14:paraId="6FB976C3" w14:textId="52081136" w:rsidR="003B26C8" w:rsidRPr="000B7A84" w:rsidRDefault="003B26C8" w:rsidP="003B26C8">
      <w:pPr>
        <w:spacing w:before="140" w:after="140" w:line="280" w:lineRule="atLeast"/>
        <w:rPr>
          <w:rFonts w:cs="Arial"/>
          <w:color w:val="000000" w:themeColor="text1"/>
        </w:rPr>
      </w:pPr>
      <w:r w:rsidRPr="000B7A84">
        <w:rPr>
          <w:rFonts w:cs="Arial"/>
          <w:color w:val="000000" w:themeColor="text1"/>
        </w:rPr>
        <w:lastRenderedPageBreak/>
        <w:t>Subitem 6(3) prevents ‘double-counting’ of leviable reports in the application of the formula in subitem (2) to different leviable entities.</w:t>
      </w:r>
    </w:p>
    <w:p w14:paraId="390E031D" w14:textId="77777777" w:rsidR="003B26C8" w:rsidRPr="00E47DC0" w:rsidRDefault="003B26C8" w:rsidP="003B26C8">
      <w:pPr>
        <w:spacing w:before="140" w:after="140" w:line="280" w:lineRule="atLeast"/>
        <w:rPr>
          <w:rFonts w:cs="Arial"/>
          <w:color w:val="000000" w:themeColor="text1"/>
        </w:rPr>
      </w:pPr>
      <w:r w:rsidRPr="00E47DC0">
        <w:rPr>
          <w:rFonts w:cs="Arial"/>
          <w:color w:val="000000" w:themeColor="text1"/>
        </w:rPr>
        <w:t>Subitem 6(4) is included to avoid doubt as to what is meant by the ‘value of a leviable report’ in subitem (2).</w:t>
      </w:r>
    </w:p>
    <w:p w14:paraId="699A3524" w14:textId="51AC84B8" w:rsidR="003B26C8" w:rsidRPr="000C4B51" w:rsidRDefault="003B26C8" w:rsidP="003B26C8">
      <w:pPr>
        <w:spacing w:before="140" w:after="140" w:line="280" w:lineRule="atLeast"/>
        <w:rPr>
          <w:rFonts w:cs="Arial"/>
          <w:color w:val="000000" w:themeColor="text1"/>
        </w:rPr>
      </w:pPr>
      <w:r w:rsidRPr="00E47DC0">
        <w:rPr>
          <w:rFonts w:cs="Arial"/>
          <w:color w:val="000000" w:themeColor="text1"/>
        </w:rPr>
        <w:t xml:space="preserve">Subitem 6(5) provides a payment cap for the transaction component for a leviable entity if the amount calculated for that entity under subitem (2)(a) is greater than </w:t>
      </w:r>
      <w:r w:rsidRPr="0077498B">
        <w:rPr>
          <w:rFonts w:cs="Arial"/>
          <w:color w:val="000000" w:themeColor="text1"/>
        </w:rPr>
        <w:t>$7,</w:t>
      </w:r>
      <w:r w:rsidR="0077498B" w:rsidRPr="0077498B">
        <w:rPr>
          <w:rFonts w:cs="Arial"/>
          <w:color w:val="000000" w:themeColor="text1"/>
        </w:rPr>
        <w:t xml:space="preserve"> 997,419.57</w:t>
      </w:r>
      <w:r w:rsidR="005A3C6C">
        <w:rPr>
          <w:rFonts w:cs="Arial"/>
          <w:color w:val="000000" w:themeColor="text1"/>
        </w:rPr>
        <w:t xml:space="preserve">. </w:t>
      </w:r>
      <w:r w:rsidRPr="00E47DC0">
        <w:rPr>
          <w:rFonts w:cs="Arial"/>
          <w:color w:val="000000" w:themeColor="text1"/>
        </w:rPr>
        <w:t>If the total of the transaction</w:t>
      </w:r>
      <w:r>
        <w:rPr>
          <w:rFonts w:cs="Arial"/>
          <w:color w:val="000000" w:themeColor="text1"/>
        </w:rPr>
        <w:t>-</w:t>
      </w:r>
      <w:r w:rsidRPr="00E47DC0">
        <w:rPr>
          <w:rFonts w:cs="Arial"/>
          <w:color w:val="000000" w:themeColor="text1"/>
        </w:rPr>
        <w:t xml:space="preserve">reporting component calculated for a leviable entity under subitem (2)(b) is greater than </w:t>
      </w:r>
      <w:r w:rsidRPr="0077498B">
        <w:rPr>
          <w:rFonts w:cs="Arial"/>
          <w:color w:val="000000" w:themeColor="text1"/>
        </w:rPr>
        <w:t>$7,</w:t>
      </w:r>
      <w:r w:rsidR="0077498B" w:rsidRPr="00B3479A">
        <w:rPr>
          <w:rFonts w:cs="Arial"/>
          <w:color w:val="000000" w:themeColor="text1"/>
        </w:rPr>
        <w:t>997</w:t>
      </w:r>
      <w:r w:rsidRPr="0077498B">
        <w:rPr>
          <w:rFonts w:cs="Arial"/>
          <w:color w:val="000000" w:themeColor="text1"/>
        </w:rPr>
        <w:t>,</w:t>
      </w:r>
      <w:r w:rsidR="0077498B" w:rsidRPr="0077498B">
        <w:rPr>
          <w:rFonts w:cs="Arial"/>
          <w:color w:val="000000" w:themeColor="text1"/>
        </w:rPr>
        <w:t>419</w:t>
      </w:r>
      <w:r w:rsidR="0077498B">
        <w:rPr>
          <w:rFonts w:cs="Arial"/>
          <w:color w:val="000000" w:themeColor="text1"/>
        </w:rPr>
        <w:t>.57</w:t>
      </w:r>
      <w:r w:rsidRPr="00E47DC0">
        <w:rPr>
          <w:rFonts w:cs="Arial"/>
          <w:color w:val="000000" w:themeColor="text1"/>
        </w:rPr>
        <w:t>, then the total transaction</w:t>
      </w:r>
      <w:r>
        <w:rPr>
          <w:rFonts w:cs="Arial"/>
          <w:color w:val="000000" w:themeColor="text1"/>
        </w:rPr>
        <w:t>-</w:t>
      </w:r>
      <w:r w:rsidRPr="00E47DC0">
        <w:rPr>
          <w:rFonts w:cs="Arial"/>
          <w:color w:val="000000" w:themeColor="text1"/>
        </w:rPr>
        <w:t xml:space="preserve">reporting component for the entity is </w:t>
      </w:r>
      <w:r w:rsidRPr="0077498B">
        <w:rPr>
          <w:rFonts w:cs="Arial"/>
          <w:color w:val="000000" w:themeColor="text1"/>
        </w:rPr>
        <w:t>$7,</w:t>
      </w:r>
      <w:r w:rsidR="0077498B">
        <w:rPr>
          <w:rFonts w:cs="Arial"/>
          <w:color w:val="000000" w:themeColor="text1"/>
        </w:rPr>
        <w:t>997,419.57</w:t>
      </w:r>
      <w:r w:rsidRPr="00E47DC0">
        <w:rPr>
          <w:rFonts w:cs="Arial"/>
          <w:color w:val="000000" w:themeColor="text1"/>
        </w:rPr>
        <w:t>.</w:t>
      </w:r>
      <w:r w:rsidRPr="00FF2275">
        <w:rPr>
          <w:rFonts w:cs="Arial"/>
          <w:b/>
          <w:bCs/>
          <w:caps/>
          <w:kern w:val="32"/>
          <w:szCs w:val="32"/>
        </w:rPr>
        <w:br w:type="page"/>
      </w:r>
    </w:p>
    <w:p w14:paraId="5BF59C77" w14:textId="77777777" w:rsidR="003B26C8" w:rsidRPr="002F34E4" w:rsidRDefault="003B26C8" w:rsidP="003B26C8">
      <w:pPr>
        <w:pBdr>
          <w:top w:val="double" w:sz="4" w:space="0" w:color="auto"/>
          <w:left w:val="double" w:sz="4" w:space="4" w:color="auto"/>
          <w:bottom w:val="double" w:sz="4" w:space="1" w:color="auto"/>
          <w:right w:val="double" w:sz="4" w:space="4" w:color="auto"/>
        </w:pBdr>
        <w:spacing w:before="140" w:after="140" w:line="280" w:lineRule="atLeast"/>
        <w:jc w:val="center"/>
        <w:rPr>
          <w:rFonts w:cs="Arial"/>
          <w:color w:val="000000" w:themeColor="text1"/>
          <w:sz w:val="28"/>
          <w:szCs w:val="28"/>
        </w:rPr>
      </w:pPr>
      <w:r w:rsidRPr="002F34E4">
        <w:rPr>
          <w:rFonts w:cs="Arial"/>
          <w:color w:val="000000" w:themeColor="text1"/>
          <w:sz w:val="28"/>
          <w:szCs w:val="28"/>
        </w:rPr>
        <w:lastRenderedPageBreak/>
        <w:t>Statement of Compatibility with Human Rights</w:t>
      </w:r>
    </w:p>
    <w:p w14:paraId="78805AC4" w14:textId="77777777" w:rsidR="003B26C8" w:rsidRPr="000C4B51" w:rsidRDefault="003B26C8" w:rsidP="003B26C8">
      <w:pPr>
        <w:pBdr>
          <w:top w:val="double" w:sz="4" w:space="0" w:color="auto"/>
          <w:left w:val="double" w:sz="4" w:space="4" w:color="auto"/>
          <w:bottom w:val="double" w:sz="4" w:space="1" w:color="auto"/>
          <w:right w:val="double" w:sz="4" w:space="4" w:color="auto"/>
        </w:pBdr>
        <w:spacing w:before="140" w:after="140" w:line="280" w:lineRule="atLeast"/>
        <w:jc w:val="center"/>
        <w:rPr>
          <w:rFonts w:cs="Arial"/>
          <w:i/>
          <w:color w:val="000000" w:themeColor="text1"/>
        </w:rPr>
      </w:pPr>
      <w:r w:rsidRPr="000C4B51">
        <w:rPr>
          <w:rFonts w:cs="Arial"/>
          <w:i/>
          <w:color w:val="000000" w:themeColor="text1"/>
        </w:rPr>
        <w:t>Prepared in accordance with Part 3 of the</w:t>
      </w:r>
      <w:r w:rsidRPr="000C4B51">
        <w:rPr>
          <w:rFonts w:cs="Arial"/>
          <w:i/>
          <w:color w:val="000000" w:themeColor="text1"/>
        </w:rPr>
        <w:br/>
        <w:t>Human Rights (Parliamentary Scrutiny) Act 2011</w:t>
      </w:r>
    </w:p>
    <w:p w14:paraId="6F2713BA" w14:textId="41A99B01" w:rsidR="003B26C8" w:rsidRPr="000C4B51" w:rsidRDefault="003B26C8" w:rsidP="003B26C8">
      <w:pPr>
        <w:pBdr>
          <w:top w:val="double" w:sz="4" w:space="0" w:color="auto"/>
          <w:left w:val="double" w:sz="4" w:space="4" w:color="auto"/>
          <w:bottom w:val="double" w:sz="4" w:space="1" w:color="auto"/>
          <w:right w:val="double" w:sz="4" w:space="4" w:color="auto"/>
        </w:pBdr>
        <w:spacing w:before="140" w:after="140" w:line="280" w:lineRule="atLeast"/>
        <w:jc w:val="center"/>
        <w:rPr>
          <w:rFonts w:cs="Arial"/>
          <w:b/>
          <w:i/>
          <w:color w:val="000000" w:themeColor="text1"/>
        </w:rPr>
      </w:pPr>
      <w:r w:rsidRPr="000C4B51">
        <w:rPr>
          <w:rFonts w:cs="Arial"/>
          <w:b/>
          <w:i/>
          <w:color w:val="000000" w:themeColor="text1"/>
        </w:rPr>
        <w:t xml:space="preserve">Australian Transaction Reports and Analysis Centre Industry Contribution Determination </w:t>
      </w:r>
      <w:r w:rsidR="006934D1" w:rsidRPr="00CE3C01">
        <w:rPr>
          <w:rFonts w:cs="Arial"/>
          <w:b/>
          <w:i/>
          <w:color w:val="000000" w:themeColor="text1"/>
        </w:rPr>
        <w:t>20</w:t>
      </w:r>
      <w:r w:rsidR="006934D1">
        <w:rPr>
          <w:rFonts w:cs="Arial"/>
          <w:b/>
          <w:i/>
          <w:color w:val="000000" w:themeColor="text1"/>
        </w:rPr>
        <w:t>25</w:t>
      </w:r>
      <w:r w:rsidR="006934D1" w:rsidRPr="000C4B51">
        <w:rPr>
          <w:rFonts w:cs="Arial"/>
          <w:b/>
          <w:i/>
          <w:color w:val="000000" w:themeColor="text1"/>
        </w:rPr>
        <w:t xml:space="preserve"> </w:t>
      </w:r>
      <w:r w:rsidRPr="000C4B51">
        <w:rPr>
          <w:rFonts w:cs="Arial"/>
          <w:b/>
          <w:i/>
          <w:color w:val="000000" w:themeColor="text1"/>
        </w:rPr>
        <w:t>(No. 1)</w:t>
      </w:r>
    </w:p>
    <w:p w14:paraId="492CB098" w14:textId="77777777" w:rsidR="003B26C8" w:rsidRPr="000C4B51" w:rsidRDefault="003B26C8" w:rsidP="003B26C8">
      <w:pPr>
        <w:pBdr>
          <w:top w:val="double" w:sz="4" w:space="0" w:color="auto"/>
          <w:left w:val="double" w:sz="4" w:space="4" w:color="auto"/>
          <w:bottom w:val="double" w:sz="4" w:space="1" w:color="auto"/>
          <w:right w:val="double" w:sz="4" w:space="4" w:color="auto"/>
        </w:pBdr>
        <w:spacing w:before="140" w:after="140" w:line="280" w:lineRule="atLeast"/>
        <w:jc w:val="center"/>
        <w:rPr>
          <w:rFonts w:cs="Arial"/>
          <w:color w:val="000000" w:themeColor="text1"/>
        </w:rPr>
      </w:pPr>
      <w:r w:rsidRPr="000C4B51">
        <w:rPr>
          <w:rFonts w:cs="Arial"/>
          <w:color w:val="000000" w:themeColor="text1"/>
        </w:rPr>
        <w:t xml:space="preserve">This Determination is compatible with the human rights and freedoms recognised or declared in the international instruments listed in section 3 of the </w:t>
      </w:r>
      <w:r w:rsidRPr="000C4B51">
        <w:rPr>
          <w:rFonts w:cs="Arial"/>
          <w:i/>
          <w:color w:val="000000" w:themeColor="text1"/>
        </w:rPr>
        <w:t>Human Rights (Parliamentary Scrutiny) Act 2011</w:t>
      </w:r>
      <w:r w:rsidRPr="000C4B51">
        <w:rPr>
          <w:rFonts w:cs="Arial"/>
          <w:color w:val="000000" w:themeColor="text1"/>
        </w:rPr>
        <w:t>.</w:t>
      </w:r>
    </w:p>
    <w:p w14:paraId="527F91F5" w14:textId="77777777" w:rsidR="003B26C8" w:rsidRPr="000C4B51" w:rsidRDefault="003B26C8" w:rsidP="003B26C8">
      <w:pPr>
        <w:pBdr>
          <w:top w:val="double" w:sz="4" w:space="0" w:color="auto"/>
          <w:left w:val="double" w:sz="4" w:space="4" w:color="auto"/>
          <w:bottom w:val="double" w:sz="4" w:space="1" w:color="auto"/>
          <w:right w:val="double" w:sz="4" w:space="4" w:color="auto"/>
        </w:pBdr>
        <w:spacing w:before="140" w:after="140" w:line="280" w:lineRule="atLeast"/>
        <w:rPr>
          <w:rFonts w:cs="Arial"/>
          <w:b/>
          <w:color w:val="000000" w:themeColor="text1"/>
        </w:rPr>
      </w:pPr>
      <w:r w:rsidRPr="000C4B51">
        <w:rPr>
          <w:rFonts w:cs="Arial"/>
          <w:b/>
          <w:color w:val="000000" w:themeColor="text1"/>
        </w:rPr>
        <w:t>Overview of the legislative instrument</w:t>
      </w:r>
    </w:p>
    <w:p w14:paraId="030F3C93" w14:textId="59381738" w:rsidR="003B26C8" w:rsidRPr="000C4B51" w:rsidRDefault="003B26C8" w:rsidP="003B26C8">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r w:rsidRPr="000C4B51">
        <w:rPr>
          <w:rFonts w:cs="Arial"/>
          <w:color w:val="000000" w:themeColor="text1"/>
        </w:rPr>
        <w:t xml:space="preserve">The </w:t>
      </w:r>
      <w:r w:rsidRPr="000C4B51">
        <w:rPr>
          <w:rFonts w:cs="Arial"/>
          <w:i/>
          <w:color w:val="000000" w:themeColor="text1"/>
        </w:rPr>
        <w:t>Australian Transaction Reports and Analysis Centre Industry Contribution Act 2011</w:t>
      </w:r>
      <w:r w:rsidRPr="000C4B51">
        <w:rPr>
          <w:rFonts w:cs="Arial"/>
          <w:color w:val="000000" w:themeColor="text1"/>
        </w:rPr>
        <w:t xml:space="preserve"> (Industry Contribution Act) imposes a levy on certain entities (‘leviable entities’) which are regulated under the </w:t>
      </w:r>
      <w:r w:rsidRPr="000C4B51">
        <w:rPr>
          <w:rFonts w:cs="Arial"/>
          <w:i/>
          <w:color w:val="000000" w:themeColor="text1"/>
        </w:rPr>
        <w:t xml:space="preserve">Anti-Money Laundering and Counter-Terrorism Financing Act 2006 </w:t>
      </w:r>
      <w:r w:rsidRPr="000C4B51">
        <w:rPr>
          <w:rFonts w:cs="Arial"/>
          <w:color w:val="000000" w:themeColor="text1"/>
        </w:rPr>
        <w:t>and supervised by the Australian Transaction Reports and Analysis Centre. Subsection 9(1) of the Industry Contribution Act provides for the Minister, by legislative instrument, to determine the amount of an instalment of levy payable by a leviable entity for a financial year.</w:t>
      </w:r>
    </w:p>
    <w:p w14:paraId="7A937B56" w14:textId="4EEE6F36" w:rsidR="003B26C8" w:rsidRPr="00E50C45" w:rsidRDefault="003B26C8" w:rsidP="003B26C8">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r w:rsidRPr="00E50C45">
        <w:rPr>
          <w:rFonts w:cs="Arial"/>
          <w:color w:val="000000" w:themeColor="text1"/>
        </w:rPr>
        <w:t xml:space="preserve">This determination is made by the </w:t>
      </w:r>
      <w:r w:rsidR="00E50C45" w:rsidRPr="00E50C45">
        <w:rPr>
          <w:rFonts w:cs="Arial"/>
          <w:color w:val="000000" w:themeColor="text1"/>
        </w:rPr>
        <w:t>Minister for Home Affairs</w:t>
      </w:r>
      <w:r w:rsidRPr="00E50C45">
        <w:rPr>
          <w:rFonts w:cs="Arial"/>
          <w:color w:val="000000" w:themeColor="text1"/>
        </w:rPr>
        <w:t xml:space="preserve"> under subsection 9(1) of the Industry Contribution Act for the financial year 1 July </w:t>
      </w:r>
      <w:r w:rsidR="006934D1" w:rsidRPr="00E50C45">
        <w:rPr>
          <w:rFonts w:cs="Arial"/>
          <w:color w:val="000000" w:themeColor="text1"/>
        </w:rPr>
        <w:t xml:space="preserve">2024 </w:t>
      </w:r>
      <w:r w:rsidRPr="00E50C45">
        <w:rPr>
          <w:rFonts w:cs="Arial"/>
          <w:color w:val="000000" w:themeColor="text1"/>
        </w:rPr>
        <w:t xml:space="preserve">to 30 June </w:t>
      </w:r>
      <w:r w:rsidR="006934D1" w:rsidRPr="00E50C45">
        <w:rPr>
          <w:rFonts w:cs="Arial"/>
          <w:color w:val="000000" w:themeColor="text1"/>
        </w:rPr>
        <w:t>2025</w:t>
      </w:r>
      <w:r w:rsidR="003F0476">
        <w:rPr>
          <w:rFonts w:cs="Arial"/>
          <w:color w:val="000000" w:themeColor="text1"/>
        </w:rPr>
        <w:t xml:space="preserve">. </w:t>
      </w:r>
      <w:r w:rsidRPr="00E50C45">
        <w:rPr>
          <w:rFonts w:cs="Arial"/>
          <w:color w:val="000000" w:themeColor="text1"/>
        </w:rPr>
        <w:t xml:space="preserve">It specifies the amount, or the method for determining the amount, of the first instalment of levy payable by each leviable </w:t>
      </w:r>
      <w:r w:rsidR="003F0476">
        <w:rPr>
          <w:rFonts w:cs="Arial"/>
          <w:color w:val="000000" w:themeColor="text1"/>
        </w:rPr>
        <w:t xml:space="preserve">entity for the financial year. </w:t>
      </w:r>
      <w:r w:rsidRPr="00E50C45">
        <w:rPr>
          <w:rFonts w:cs="Arial"/>
          <w:color w:val="000000" w:themeColor="text1"/>
        </w:rPr>
        <w:t>Different amounts and methods are specified for different classes of leviable entities.</w:t>
      </w:r>
    </w:p>
    <w:p w14:paraId="06EF8B55" w14:textId="77777777" w:rsidR="003B26C8" w:rsidRPr="00E50C45" w:rsidRDefault="003B26C8" w:rsidP="003B26C8">
      <w:pPr>
        <w:pBdr>
          <w:top w:val="double" w:sz="4" w:space="0" w:color="auto"/>
          <w:left w:val="double" w:sz="4" w:space="4" w:color="auto"/>
          <w:bottom w:val="double" w:sz="4" w:space="1" w:color="auto"/>
          <w:right w:val="double" w:sz="4" w:space="4" w:color="auto"/>
        </w:pBdr>
        <w:spacing w:before="140" w:after="140" w:line="280" w:lineRule="atLeast"/>
        <w:rPr>
          <w:rFonts w:cs="Arial"/>
          <w:b/>
          <w:color w:val="000000" w:themeColor="text1"/>
        </w:rPr>
      </w:pPr>
      <w:r w:rsidRPr="00E50C45">
        <w:rPr>
          <w:rFonts w:cs="Arial"/>
          <w:b/>
          <w:color w:val="000000" w:themeColor="text1"/>
        </w:rPr>
        <w:t>Human rights implications</w:t>
      </w:r>
    </w:p>
    <w:p w14:paraId="2EC0F473" w14:textId="77777777" w:rsidR="003B26C8" w:rsidRPr="00E50C45" w:rsidRDefault="003B26C8" w:rsidP="003B26C8">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r w:rsidRPr="00E50C45">
        <w:rPr>
          <w:rFonts w:cs="Arial"/>
          <w:color w:val="000000" w:themeColor="text1"/>
        </w:rPr>
        <w:t>This determination does not engage any of the applicable rights or freedoms.</w:t>
      </w:r>
    </w:p>
    <w:p w14:paraId="3B6EBEF0" w14:textId="77777777" w:rsidR="003B26C8" w:rsidRPr="00E50C45" w:rsidRDefault="003B26C8" w:rsidP="003B26C8">
      <w:pPr>
        <w:pBdr>
          <w:top w:val="double" w:sz="4" w:space="0" w:color="auto"/>
          <w:left w:val="double" w:sz="4" w:space="4" w:color="auto"/>
          <w:bottom w:val="double" w:sz="4" w:space="1" w:color="auto"/>
          <w:right w:val="double" w:sz="4" w:space="4" w:color="auto"/>
        </w:pBdr>
        <w:spacing w:before="140" w:after="140" w:line="280" w:lineRule="atLeast"/>
        <w:rPr>
          <w:rFonts w:cs="Arial"/>
          <w:b/>
          <w:color w:val="000000" w:themeColor="text1"/>
        </w:rPr>
      </w:pPr>
      <w:r w:rsidRPr="00E50C45">
        <w:rPr>
          <w:rFonts w:cs="Arial"/>
          <w:b/>
          <w:color w:val="000000" w:themeColor="text1"/>
        </w:rPr>
        <w:t>Conclusion</w:t>
      </w:r>
    </w:p>
    <w:p w14:paraId="229FCAE4" w14:textId="77777777" w:rsidR="003B26C8" w:rsidRPr="00E50C45" w:rsidRDefault="003B26C8" w:rsidP="003B26C8">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r w:rsidRPr="00E50C45">
        <w:rPr>
          <w:rFonts w:cs="Arial"/>
          <w:color w:val="000000" w:themeColor="text1"/>
        </w:rPr>
        <w:t>This determination is compatible with human rights as it does not raise any human rights issues.</w:t>
      </w:r>
    </w:p>
    <w:p w14:paraId="67374E2A" w14:textId="77777777" w:rsidR="00203269" w:rsidRPr="00E50C45" w:rsidRDefault="00203269" w:rsidP="003B26C8">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p>
    <w:p w14:paraId="4FBE8A15" w14:textId="72A26DD2" w:rsidR="00203269" w:rsidRDefault="00203269" w:rsidP="003B26C8">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p>
    <w:p w14:paraId="5C5C1144" w14:textId="77777777" w:rsidR="007B393B" w:rsidRDefault="007B393B" w:rsidP="003B26C8">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p>
    <w:p w14:paraId="72CF2E36" w14:textId="4C554304" w:rsidR="003F0476" w:rsidRPr="00E50C45" w:rsidRDefault="00816A31" w:rsidP="003B26C8">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r>
        <w:rPr>
          <w:rFonts w:cs="Arial"/>
          <w:color w:val="000000" w:themeColor="text1"/>
        </w:rPr>
        <w:t>[Signed]</w:t>
      </w:r>
    </w:p>
    <w:p w14:paraId="4E5D6A7E" w14:textId="25FBCC9B" w:rsidR="007B393B" w:rsidRPr="00816A31" w:rsidRDefault="00E50C45" w:rsidP="003B26C8">
      <w:pPr>
        <w:pBdr>
          <w:top w:val="double" w:sz="4" w:space="0" w:color="auto"/>
          <w:left w:val="double" w:sz="4" w:space="4" w:color="auto"/>
          <w:bottom w:val="double" w:sz="4" w:space="1" w:color="auto"/>
          <w:right w:val="double" w:sz="4" w:space="4" w:color="auto"/>
        </w:pBdr>
        <w:spacing w:before="0" w:after="0" w:line="280" w:lineRule="atLeast"/>
        <w:rPr>
          <w:rFonts w:cs="Arial"/>
          <w:color w:val="000000" w:themeColor="text1"/>
        </w:rPr>
      </w:pPr>
      <w:r w:rsidRPr="00E50C45">
        <w:rPr>
          <w:rFonts w:cs="Arial"/>
          <w:color w:val="000000" w:themeColor="text1"/>
        </w:rPr>
        <w:t>Minister for Home Affairs</w:t>
      </w:r>
      <w:r w:rsidR="00816A31">
        <w:rPr>
          <w:rFonts w:cs="Arial"/>
          <w:color w:val="000000" w:themeColor="text1"/>
        </w:rPr>
        <w:t xml:space="preserve"> </w:t>
      </w:r>
      <w:r w:rsidR="00816A31">
        <w:rPr>
          <w:rFonts w:cs="Arial"/>
          <w:color w:val="000000" w:themeColor="text1"/>
        </w:rPr>
        <w:tab/>
      </w:r>
      <w:r w:rsidR="00816A31" w:rsidRPr="00816A31">
        <w:rPr>
          <w:rFonts w:cs="Arial"/>
          <w:color w:val="000000" w:themeColor="text1"/>
        </w:rPr>
        <w:t>27 August 2025</w:t>
      </w:r>
    </w:p>
    <w:sectPr w:rsidR="007B393B" w:rsidRPr="00816A31" w:rsidSect="005E200B">
      <w:headerReference w:type="default" r:id="rId8"/>
      <w:footerReference w:type="default" r:id="rId9"/>
      <w:footerReference w:type="first" r:id="rId10"/>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552A" w14:textId="77777777" w:rsidR="006654F1" w:rsidRDefault="006654F1" w:rsidP="00E1460C">
      <w:pPr>
        <w:spacing w:before="0" w:after="0" w:line="240" w:lineRule="auto"/>
      </w:pPr>
      <w:r>
        <w:separator/>
      </w:r>
    </w:p>
  </w:endnote>
  <w:endnote w:type="continuationSeparator" w:id="0">
    <w:p w14:paraId="5D1B7E70" w14:textId="77777777" w:rsidR="006654F1" w:rsidRDefault="006654F1" w:rsidP="00E146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E2A0" w14:textId="78997631" w:rsidR="00E1460C" w:rsidRPr="003C2DBE" w:rsidRDefault="00E1460C" w:rsidP="005E200B">
    <w:pPr>
      <w:pStyle w:val="Footer"/>
      <w:jc w:val="right"/>
      <w:rPr>
        <w:sz w:val="16"/>
        <w:szCs w:val="16"/>
      </w:rPr>
    </w:pPr>
    <w:r w:rsidRPr="003C2DBE">
      <w:rPr>
        <w:i/>
        <w:sz w:val="16"/>
        <w:szCs w:val="16"/>
      </w:rPr>
      <w:t xml:space="preserve">Explanatory Statement – Australian Transaction Reports and Analysis Centre Industry Contribution Determination </w:t>
    </w:r>
    <w:r w:rsidR="00736DFE">
      <w:rPr>
        <w:i/>
        <w:sz w:val="16"/>
        <w:szCs w:val="16"/>
      </w:rPr>
      <w:t>2025</w:t>
    </w:r>
    <w:r w:rsidRPr="003C2DBE">
      <w:rPr>
        <w:i/>
        <w:sz w:val="16"/>
        <w:szCs w:val="16"/>
      </w:rPr>
      <w:t xml:space="preserve"> (No. 1)</w:t>
    </w:r>
    <w:r>
      <w:rPr>
        <w:i/>
      </w:rPr>
      <w:tab/>
    </w:r>
    <w:r>
      <w:tab/>
    </w:r>
    <w:r w:rsidRPr="003C2DBE">
      <w:rPr>
        <w:sz w:val="16"/>
        <w:szCs w:val="16"/>
      </w:rPr>
      <w:fldChar w:fldCharType="begin"/>
    </w:r>
    <w:r w:rsidRPr="003C2DBE">
      <w:rPr>
        <w:sz w:val="16"/>
        <w:szCs w:val="16"/>
      </w:rPr>
      <w:instrText xml:space="preserve"> PAGE   \* MERGEFORMAT </w:instrText>
    </w:r>
    <w:r w:rsidRPr="003C2DBE">
      <w:rPr>
        <w:sz w:val="16"/>
        <w:szCs w:val="16"/>
      </w:rPr>
      <w:fldChar w:fldCharType="separate"/>
    </w:r>
    <w:r w:rsidR="007B393B">
      <w:rPr>
        <w:noProof/>
        <w:sz w:val="16"/>
        <w:szCs w:val="16"/>
      </w:rPr>
      <w:t>6</w:t>
    </w:r>
    <w:r w:rsidRPr="003C2DBE">
      <w:rPr>
        <w:sz w:val="16"/>
        <w:szCs w:val="16"/>
      </w:rPr>
      <w:fldChar w:fldCharType="end"/>
    </w:r>
  </w:p>
  <w:p w14:paraId="57D6ED37" w14:textId="77777777" w:rsidR="00E1460C" w:rsidRDefault="00E14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9BE8" w14:textId="77777777" w:rsidR="00E1460C" w:rsidRPr="003C2DBE" w:rsidRDefault="00E1460C" w:rsidP="00E1460C">
    <w:pPr>
      <w:pStyle w:val="Footer"/>
      <w:rPr>
        <w:sz w:val="16"/>
        <w:szCs w:val="16"/>
      </w:rPr>
    </w:pPr>
    <w:r w:rsidRPr="003C2DBE">
      <w:rPr>
        <w:i/>
        <w:sz w:val="16"/>
        <w:szCs w:val="16"/>
      </w:rPr>
      <w:t>Explanatory Statement – Australian Transaction Reports and Analysis Centre Industry Contribution Determination 20</w:t>
    </w:r>
    <w:r>
      <w:rPr>
        <w:i/>
        <w:sz w:val="16"/>
        <w:szCs w:val="16"/>
      </w:rPr>
      <w:t>24</w:t>
    </w:r>
    <w:r w:rsidRPr="003C2DBE">
      <w:rPr>
        <w:i/>
        <w:sz w:val="16"/>
        <w:szCs w:val="16"/>
      </w:rPr>
      <w:t xml:space="preserve"> (No. 1)</w:t>
    </w:r>
    <w:r>
      <w:rPr>
        <w:i/>
      </w:rPr>
      <w:tab/>
    </w:r>
    <w:r>
      <w:tab/>
    </w:r>
    <w:r w:rsidRPr="003C2DBE">
      <w:rPr>
        <w:sz w:val="16"/>
        <w:szCs w:val="16"/>
      </w:rPr>
      <w:fldChar w:fldCharType="begin"/>
    </w:r>
    <w:r w:rsidRPr="003C2DBE">
      <w:rPr>
        <w:sz w:val="16"/>
        <w:szCs w:val="16"/>
      </w:rPr>
      <w:instrText xml:space="preserve"> PAGE   \* MERGEFORMAT </w:instrText>
    </w:r>
    <w:r w:rsidRPr="003C2DBE">
      <w:rPr>
        <w:sz w:val="16"/>
        <w:szCs w:val="16"/>
      </w:rPr>
      <w:fldChar w:fldCharType="separate"/>
    </w:r>
    <w:r>
      <w:rPr>
        <w:noProof/>
        <w:sz w:val="16"/>
        <w:szCs w:val="16"/>
      </w:rPr>
      <w:t>1</w:t>
    </w:r>
    <w:r w:rsidRPr="003C2DBE">
      <w:rPr>
        <w:sz w:val="16"/>
        <w:szCs w:val="16"/>
      </w:rPr>
      <w:fldChar w:fldCharType="end"/>
    </w:r>
  </w:p>
  <w:p w14:paraId="0CE2B77A" w14:textId="77777777" w:rsidR="00E1460C" w:rsidRDefault="00E14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8043" w14:textId="77777777" w:rsidR="006654F1" w:rsidRDefault="006654F1" w:rsidP="00E1460C">
      <w:pPr>
        <w:spacing w:before="0" w:after="0" w:line="240" w:lineRule="auto"/>
      </w:pPr>
      <w:r>
        <w:separator/>
      </w:r>
    </w:p>
  </w:footnote>
  <w:footnote w:type="continuationSeparator" w:id="0">
    <w:p w14:paraId="681F2768" w14:textId="77777777" w:rsidR="006654F1" w:rsidRDefault="006654F1" w:rsidP="00E146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527D" w14:textId="77777777" w:rsidR="000919C0" w:rsidRDefault="00091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0D3"/>
    <w:multiLevelType w:val="hybridMultilevel"/>
    <w:tmpl w:val="8D0A1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825BF"/>
    <w:multiLevelType w:val="hybridMultilevel"/>
    <w:tmpl w:val="9CBA0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0C47F4"/>
    <w:multiLevelType w:val="hybridMultilevel"/>
    <w:tmpl w:val="EC806EA6"/>
    <w:lvl w:ilvl="0" w:tplc="4C9462AC">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042EF5"/>
    <w:multiLevelType w:val="multilevel"/>
    <w:tmpl w:val="4718BE0C"/>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o"/>
      <w:lvlJc w:val="left"/>
      <w:pPr>
        <w:tabs>
          <w:tab w:val="num" w:pos="850"/>
        </w:tabs>
        <w:ind w:left="850" w:hanging="425"/>
      </w:pPr>
      <w:rPr>
        <w:rFonts w:ascii="Courier New" w:hAnsi="Courier New" w:cs="Courier New" w:hint="default"/>
        <w:b w:val="0"/>
        <w:i w:val="0"/>
      </w:rPr>
    </w:lvl>
    <w:lvl w:ilvl="3">
      <w:start w:val="1"/>
      <w:numFmt w:val="bullet"/>
      <w:lvlText w:val="o"/>
      <w:lvlJc w:val="left"/>
      <w:pPr>
        <w:tabs>
          <w:tab w:val="num" w:pos="1276"/>
        </w:tabs>
        <w:ind w:left="1276" w:hanging="426"/>
      </w:pPr>
      <w:rPr>
        <w:rFonts w:ascii="Courier New" w:hAnsi="Courier New" w:cs="Courier New" w:hint="default"/>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4" w15:restartNumberingAfterBreak="0">
    <w:nsid w:val="41993A99"/>
    <w:multiLevelType w:val="hybridMultilevel"/>
    <w:tmpl w:val="67CC97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6E527B"/>
    <w:multiLevelType w:val="hybridMultilevel"/>
    <w:tmpl w:val="444E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7354795">
    <w:abstractNumId w:val="0"/>
  </w:num>
  <w:num w:numId="2" w16cid:durableId="295599413">
    <w:abstractNumId w:val="3"/>
  </w:num>
  <w:num w:numId="3" w16cid:durableId="1493254722">
    <w:abstractNumId w:val="1"/>
  </w:num>
  <w:num w:numId="4" w16cid:durableId="2056929754">
    <w:abstractNumId w:val="5"/>
  </w:num>
  <w:num w:numId="5" w16cid:durableId="1270548018">
    <w:abstractNumId w:val="4"/>
  </w:num>
  <w:num w:numId="6" w16cid:durableId="58504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C8"/>
    <w:rsid w:val="00006529"/>
    <w:rsid w:val="00011466"/>
    <w:rsid w:val="000919C0"/>
    <w:rsid w:val="000A0CBD"/>
    <w:rsid w:val="000B3322"/>
    <w:rsid w:val="000D69B3"/>
    <w:rsid w:val="000E40C9"/>
    <w:rsid w:val="000E74AF"/>
    <w:rsid w:val="001248CB"/>
    <w:rsid w:val="001551EB"/>
    <w:rsid w:val="00166626"/>
    <w:rsid w:val="00203269"/>
    <w:rsid w:val="00215FDC"/>
    <w:rsid w:val="0024771E"/>
    <w:rsid w:val="002528EB"/>
    <w:rsid w:val="00264973"/>
    <w:rsid w:val="002A6711"/>
    <w:rsid w:val="002B51CB"/>
    <w:rsid w:val="002C1911"/>
    <w:rsid w:val="002F1118"/>
    <w:rsid w:val="002F1C84"/>
    <w:rsid w:val="003119DD"/>
    <w:rsid w:val="00332EBF"/>
    <w:rsid w:val="00370200"/>
    <w:rsid w:val="003754B6"/>
    <w:rsid w:val="0038519E"/>
    <w:rsid w:val="003A1673"/>
    <w:rsid w:val="003B26C8"/>
    <w:rsid w:val="003C4440"/>
    <w:rsid w:val="003E35D6"/>
    <w:rsid w:val="003F0476"/>
    <w:rsid w:val="004031F1"/>
    <w:rsid w:val="00462D58"/>
    <w:rsid w:val="005032FA"/>
    <w:rsid w:val="005A3C6C"/>
    <w:rsid w:val="005A5EF2"/>
    <w:rsid w:val="005C2134"/>
    <w:rsid w:val="005E200B"/>
    <w:rsid w:val="0061459B"/>
    <w:rsid w:val="00650394"/>
    <w:rsid w:val="00656E38"/>
    <w:rsid w:val="00663B7A"/>
    <w:rsid w:val="006654F1"/>
    <w:rsid w:val="0068462C"/>
    <w:rsid w:val="00690890"/>
    <w:rsid w:val="006934D1"/>
    <w:rsid w:val="006E607E"/>
    <w:rsid w:val="006F4F52"/>
    <w:rsid w:val="00736DFE"/>
    <w:rsid w:val="0077498B"/>
    <w:rsid w:val="0077755F"/>
    <w:rsid w:val="007B393B"/>
    <w:rsid w:val="007F4CAF"/>
    <w:rsid w:val="00816A31"/>
    <w:rsid w:val="00886499"/>
    <w:rsid w:val="008B24F1"/>
    <w:rsid w:val="008B2822"/>
    <w:rsid w:val="008F4864"/>
    <w:rsid w:val="00921DA0"/>
    <w:rsid w:val="00932D83"/>
    <w:rsid w:val="0094151F"/>
    <w:rsid w:val="00946BCF"/>
    <w:rsid w:val="0097692E"/>
    <w:rsid w:val="009956BA"/>
    <w:rsid w:val="009E1B5A"/>
    <w:rsid w:val="009F1A1E"/>
    <w:rsid w:val="00A15795"/>
    <w:rsid w:val="00AF22A4"/>
    <w:rsid w:val="00B0758C"/>
    <w:rsid w:val="00B3479A"/>
    <w:rsid w:val="00B479E9"/>
    <w:rsid w:val="00B70955"/>
    <w:rsid w:val="00B808A3"/>
    <w:rsid w:val="00BE0FA4"/>
    <w:rsid w:val="00BE5663"/>
    <w:rsid w:val="00C26403"/>
    <w:rsid w:val="00C76C27"/>
    <w:rsid w:val="00CD6E8F"/>
    <w:rsid w:val="00CD7F4A"/>
    <w:rsid w:val="00CE49FE"/>
    <w:rsid w:val="00CE5F1D"/>
    <w:rsid w:val="00D14684"/>
    <w:rsid w:val="00D31208"/>
    <w:rsid w:val="00D33F04"/>
    <w:rsid w:val="00D548A3"/>
    <w:rsid w:val="00D565B8"/>
    <w:rsid w:val="00D81ED0"/>
    <w:rsid w:val="00DD697A"/>
    <w:rsid w:val="00E1460C"/>
    <w:rsid w:val="00E50C45"/>
    <w:rsid w:val="00E65F86"/>
    <w:rsid w:val="00E739C5"/>
    <w:rsid w:val="00ED3F0A"/>
    <w:rsid w:val="00ED74C6"/>
    <w:rsid w:val="00EF6225"/>
    <w:rsid w:val="00F03BCB"/>
    <w:rsid w:val="00F04CF0"/>
    <w:rsid w:val="00F262FE"/>
    <w:rsid w:val="00F47B9B"/>
    <w:rsid w:val="00F604DC"/>
    <w:rsid w:val="00FF56F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7E1AE"/>
  <w15:chartTrackingRefBased/>
  <w15:docId w15:val="{72BAD0C4-BEF2-45F8-A085-7F81BC1F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C8"/>
    <w:pPr>
      <w:spacing w:before="120" w:after="120" w:line="276" w:lineRule="auto"/>
    </w:pPr>
    <w:rPr>
      <w:rFonts w:ascii="Calibri" w:hAnsi="Calibri"/>
      <w:color w:val="5F5F5F"/>
      <w:sz w:val="24"/>
    </w:rPr>
  </w:style>
  <w:style w:type="paragraph" w:styleId="Heading1">
    <w:name w:val="heading 1"/>
    <w:basedOn w:val="Normal"/>
    <w:next w:val="Normal"/>
    <w:link w:val="Heading1Char"/>
    <w:uiPriority w:val="9"/>
    <w:qFormat/>
    <w:rsid w:val="003F0476"/>
    <w:pPr>
      <w:keepNext/>
      <w:keepLines/>
      <w:spacing w:before="200" w:after="0" w:line="280" w:lineRule="atLeast"/>
      <w:outlineLvl w:val="0"/>
    </w:pPr>
    <w:rPr>
      <w:rFonts w:cs="Arial"/>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76"/>
    <w:rPr>
      <w:rFonts w:ascii="Calibri" w:hAnsi="Calibri" w:cs="Arial"/>
      <w:b/>
      <w:color w:val="000000" w:themeColor="text1"/>
      <w:sz w:val="24"/>
    </w:rPr>
  </w:style>
  <w:style w:type="paragraph" w:styleId="ListParagraph">
    <w:name w:val="List Paragraph"/>
    <w:aliases w:val="Recommendation,List Paragraph1,List Paragraph11,List Paragraph111,L,F5 List Paragraph,Dot pt,CV text,Medium Grid 1 - Accent 21,Numbered Paragraph,No Spacing1,List Paragraph Char Char Char,Indicator Text,Numbered Para 1,Bullet Points,列出段落"/>
    <w:basedOn w:val="Normal"/>
    <w:link w:val="ListParagraphChar"/>
    <w:uiPriority w:val="34"/>
    <w:qFormat/>
    <w:rsid w:val="003B26C8"/>
    <w:pPr>
      <w:ind w:left="720"/>
      <w:contextualSpacing/>
    </w:pPr>
  </w:style>
  <w:style w:type="character" w:customStyle="1" w:styleId="ListParagraphChar">
    <w:name w:val="List Paragraph Char"/>
    <w:aliases w:val="Recommendation Char,List Paragraph1 Char,List Paragraph11 Char,List Paragraph111 Char,L Char,F5 List Paragraph Char,Dot pt Char,CV text Char,Medium Grid 1 - Accent 21 Char,Numbered Paragraph Char,No Spacing1 Char,Indicator Text Char"/>
    <w:basedOn w:val="DefaultParagraphFont"/>
    <w:link w:val="ListParagraph"/>
    <w:uiPriority w:val="34"/>
    <w:locked/>
    <w:rsid w:val="003B26C8"/>
    <w:rPr>
      <w:rFonts w:ascii="Calibri" w:hAnsi="Calibri"/>
      <w:color w:val="5F5F5F"/>
      <w:sz w:val="24"/>
    </w:rPr>
  </w:style>
  <w:style w:type="paragraph" w:styleId="Header">
    <w:name w:val="header"/>
    <w:basedOn w:val="Normal"/>
    <w:link w:val="HeaderChar"/>
    <w:uiPriority w:val="99"/>
    <w:unhideWhenUsed/>
    <w:rsid w:val="00E1460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1460C"/>
    <w:rPr>
      <w:rFonts w:ascii="Calibri" w:hAnsi="Calibri"/>
      <w:color w:val="5F5F5F"/>
      <w:sz w:val="24"/>
    </w:rPr>
  </w:style>
  <w:style w:type="paragraph" w:styleId="Footer">
    <w:name w:val="footer"/>
    <w:basedOn w:val="Normal"/>
    <w:link w:val="FooterChar"/>
    <w:unhideWhenUsed/>
    <w:rsid w:val="00E1460C"/>
    <w:pPr>
      <w:tabs>
        <w:tab w:val="center" w:pos="4513"/>
        <w:tab w:val="right" w:pos="9026"/>
      </w:tabs>
      <w:spacing w:before="0" w:after="0" w:line="240" w:lineRule="auto"/>
    </w:pPr>
  </w:style>
  <w:style w:type="character" w:customStyle="1" w:styleId="FooterChar">
    <w:name w:val="Footer Char"/>
    <w:basedOn w:val="DefaultParagraphFont"/>
    <w:link w:val="Footer"/>
    <w:rsid w:val="00E1460C"/>
    <w:rPr>
      <w:rFonts w:ascii="Calibri" w:hAnsi="Calibri"/>
      <w:color w:val="5F5F5F"/>
      <w:sz w:val="24"/>
    </w:rPr>
  </w:style>
  <w:style w:type="paragraph" w:styleId="BalloonText">
    <w:name w:val="Balloon Text"/>
    <w:basedOn w:val="Normal"/>
    <w:link w:val="BalloonTextChar"/>
    <w:uiPriority w:val="99"/>
    <w:semiHidden/>
    <w:unhideWhenUsed/>
    <w:rsid w:val="006934D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4D1"/>
    <w:rPr>
      <w:rFonts w:ascii="Segoe UI" w:hAnsi="Segoe UI" w:cs="Segoe UI"/>
      <w:color w:val="5F5F5F"/>
      <w:sz w:val="18"/>
      <w:szCs w:val="18"/>
    </w:rPr>
  </w:style>
  <w:style w:type="character" w:styleId="CommentReference">
    <w:name w:val="annotation reference"/>
    <w:basedOn w:val="DefaultParagraphFont"/>
    <w:uiPriority w:val="99"/>
    <w:semiHidden/>
    <w:unhideWhenUsed/>
    <w:rsid w:val="00F04CF0"/>
    <w:rPr>
      <w:sz w:val="16"/>
      <w:szCs w:val="16"/>
    </w:rPr>
  </w:style>
  <w:style w:type="paragraph" w:styleId="CommentText">
    <w:name w:val="annotation text"/>
    <w:basedOn w:val="Normal"/>
    <w:link w:val="CommentTextChar"/>
    <w:uiPriority w:val="99"/>
    <w:semiHidden/>
    <w:unhideWhenUsed/>
    <w:rsid w:val="00F04CF0"/>
    <w:pPr>
      <w:spacing w:line="240" w:lineRule="auto"/>
    </w:pPr>
    <w:rPr>
      <w:sz w:val="20"/>
      <w:szCs w:val="20"/>
    </w:rPr>
  </w:style>
  <w:style w:type="character" w:customStyle="1" w:styleId="CommentTextChar">
    <w:name w:val="Comment Text Char"/>
    <w:basedOn w:val="DefaultParagraphFont"/>
    <w:link w:val="CommentText"/>
    <w:uiPriority w:val="99"/>
    <w:semiHidden/>
    <w:rsid w:val="00F04CF0"/>
    <w:rPr>
      <w:rFonts w:ascii="Calibri" w:hAnsi="Calibri"/>
      <w:color w:val="5F5F5F"/>
      <w:sz w:val="20"/>
      <w:szCs w:val="20"/>
    </w:rPr>
  </w:style>
  <w:style w:type="paragraph" w:styleId="CommentSubject">
    <w:name w:val="annotation subject"/>
    <w:basedOn w:val="CommentText"/>
    <w:next w:val="CommentText"/>
    <w:link w:val="CommentSubjectChar"/>
    <w:uiPriority w:val="99"/>
    <w:semiHidden/>
    <w:unhideWhenUsed/>
    <w:rsid w:val="00F04CF0"/>
    <w:rPr>
      <w:b/>
      <w:bCs/>
    </w:rPr>
  </w:style>
  <w:style w:type="character" w:customStyle="1" w:styleId="CommentSubjectChar">
    <w:name w:val="Comment Subject Char"/>
    <w:basedOn w:val="CommentTextChar"/>
    <w:link w:val="CommentSubject"/>
    <w:uiPriority w:val="99"/>
    <w:semiHidden/>
    <w:rsid w:val="00F04CF0"/>
    <w:rPr>
      <w:rFonts w:ascii="Calibri" w:hAnsi="Calibri"/>
      <w:b/>
      <w:bCs/>
      <w:color w:val="5F5F5F"/>
      <w:sz w:val="20"/>
      <w:szCs w:val="20"/>
    </w:rPr>
  </w:style>
  <w:style w:type="paragraph" w:styleId="Revision">
    <w:name w:val="Revision"/>
    <w:hidden/>
    <w:uiPriority w:val="99"/>
    <w:semiHidden/>
    <w:rsid w:val="00006529"/>
    <w:pPr>
      <w:spacing w:after="0" w:line="240" w:lineRule="auto"/>
    </w:pPr>
    <w:rPr>
      <w:rFonts w:ascii="Calibri" w:hAnsi="Calibri"/>
      <w:color w:val="5F5F5F"/>
      <w:sz w:val="24"/>
    </w:rPr>
  </w:style>
  <w:style w:type="character" w:styleId="Hyperlink">
    <w:name w:val="Hyperlink"/>
    <w:basedOn w:val="DefaultParagraphFont"/>
    <w:uiPriority w:val="99"/>
    <w:semiHidden/>
    <w:unhideWhenUsed/>
    <w:rsid w:val="005032FA"/>
    <w:rPr>
      <w:color w:val="0000FF"/>
      <w:u w:val="single"/>
    </w:rPr>
  </w:style>
  <w:style w:type="paragraph" w:styleId="Title">
    <w:name w:val="Title"/>
    <w:basedOn w:val="Normal"/>
    <w:next w:val="Normal"/>
    <w:link w:val="TitleChar"/>
    <w:uiPriority w:val="10"/>
    <w:qFormat/>
    <w:rsid w:val="003F0476"/>
    <w:pPr>
      <w:keepNext/>
      <w:keepLines/>
      <w:spacing w:before="200" w:after="0" w:line="280" w:lineRule="atLeast"/>
      <w:jc w:val="center"/>
      <w:outlineLvl w:val="2"/>
    </w:pPr>
    <w:rPr>
      <w:rFonts w:cs="Arial"/>
      <w:b/>
      <w:color w:val="000000" w:themeColor="text1"/>
    </w:rPr>
  </w:style>
  <w:style w:type="character" w:customStyle="1" w:styleId="TitleChar">
    <w:name w:val="Title Char"/>
    <w:basedOn w:val="DefaultParagraphFont"/>
    <w:link w:val="Title"/>
    <w:uiPriority w:val="10"/>
    <w:rsid w:val="003F0476"/>
    <w:rPr>
      <w:rFonts w:ascii="Calibri" w:hAnsi="Calibri" w:cs="Arial"/>
      <w:b/>
      <w:color w:val="000000" w:themeColor="text1"/>
      <w:sz w:val="24"/>
    </w:rPr>
  </w:style>
  <w:style w:type="paragraph" w:styleId="NormalWeb">
    <w:name w:val="Normal (Web)"/>
    <w:basedOn w:val="Normal"/>
    <w:uiPriority w:val="99"/>
    <w:semiHidden/>
    <w:unhideWhenUsed/>
    <w:rsid w:val="000919C0"/>
    <w:pPr>
      <w:spacing w:before="100" w:beforeAutospacing="1" w:after="100" w:afterAutospacing="1" w:line="240" w:lineRule="auto"/>
    </w:pPr>
    <w:rPr>
      <w:rFonts w:ascii="Times New Roman" w:hAnsi="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4337">
      <w:bodyDiv w:val="1"/>
      <w:marLeft w:val="0"/>
      <w:marRight w:val="0"/>
      <w:marTop w:val="0"/>
      <w:marBottom w:val="0"/>
      <w:divBdr>
        <w:top w:val="none" w:sz="0" w:space="0" w:color="auto"/>
        <w:left w:val="none" w:sz="0" w:space="0" w:color="auto"/>
        <w:bottom w:val="none" w:sz="0" w:space="0" w:color="auto"/>
        <w:right w:val="none" w:sz="0" w:space="0" w:color="auto"/>
      </w:divBdr>
    </w:div>
    <w:div w:id="877593427">
      <w:bodyDiv w:val="1"/>
      <w:marLeft w:val="0"/>
      <w:marRight w:val="0"/>
      <w:marTop w:val="0"/>
      <w:marBottom w:val="0"/>
      <w:divBdr>
        <w:top w:val="none" w:sz="0" w:space="0" w:color="auto"/>
        <w:left w:val="none" w:sz="0" w:space="0" w:color="auto"/>
        <w:bottom w:val="none" w:sz="0" w:space="0" w:color="auto"/>
        <w:right w:val="none" w:sz="0" w:space="0" w:color="auto"/>
      </w:divBdr>
    </w:div>
    <w:div w:id="19708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E12D6-F897-4B82-82B5-2181D929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McDowell</dc:creator>
  <cp:keywords/>
  <dc:description/>
  <cp:lastModifiedBy>Christine Dunne</cp:lastModifiedBy>
  <cp:revision>2</cp:revision>
  <cp:lastPrinted>2025-04-16T02:23:00Z</cp:lastPrinted>
  <dcterms:created xsi:type="dcterms:W3CDTF">2025-09-02T01:19:00Z</dcterms:created>
  <dcterms:modified xsi:type="dcterms:W3CDTF">2025-09-02T01:19:00Z</dcterms:modified>
</cp:coreProperties>
</file>