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5A9E03F5" w:rsidR="009A6866" w:rsidRPr="009A6866" w:rsidRDefault="00C76C39" w:rsidP="00682847">
      <w:pPr>
        <w:pStyle w:val="Heading6"/>
        <w:jc w:val="center"/>
      </w:pPr>
      <w:r w:rsidRPr="00C76C39">
        <w:t>Defence (Individual benefits) Determination (No. 5) 2025</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41EF0E3E" w14:textId="28AD15E4" w:rsidR="00682847" w:rsidRDefault="00682847" w:rsidP="00682847">
      <w:pPr>
        <w:pStyle w:val="Sectiontext"/>
        <w:tabs>
          <w:tab w:val="left" w:pos="7380"/>
        </w:tabs>
        <w:jc w:val="center"/>
        <w:rPr>
          <w:b/>
        </w:rPr>
      </w:pPr>
      <w:r>
        <w:rPr>
          <w:b/>
        </w:rPr>
        <w:t>Purpose</w:t>
      </w:r>
    </w:p>
    <w:p w14:paraId="2A644980" w14:textId="194E55DC" w:rsidR="00682847" w:rsidRDefault="00D92501" w:rsidP="00D92501">
      <w:pPr>
        <w:pStyle w:val="Sectiontext"/>
        <w:tabs>
          <w:tab w:val="left" w:pos="7380"/>
        </w:tabs>
      </w:pPr>
      <w:r>
        <w:t>The purpose of this Determination is to provide a member on long-term posting</w:t>
      </w:r>
      <w:r w:rsidR="0096313F">
        <w:t xml:space="preserve"> overseas</w:t>
      </w:r>
      <w:r>
        <w:t xml:space="preserve"> with an accommodation benefit in Australia before and after the birth of their child.</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Details of the operation of the Determination are provided at annex A.</w:t>
      </w:r>
    </w:p>
    <w:p w14:paraId="52EE3159" w14:textId="60568D2C" w:rsidR="00682847" w:rsidRPr="00D92501" w:rsidRDefault="00682847" w:rsidP="00682847">
      <w:pPr>
        <w:pStyle w:val="Sectiontext"/>
        <w:tabs>
          <w:tab w:val="left" w:pos="7380"/>
        </w:tabs>
        <w:jc w:val="center"/>
        <w:rPr>
          <w:b/>
        </w:rPr>
      </w:pPr>
      <w:r w:rsidRPr="00D92501">
        <w:rPr>
          <w:b/>
        </w:rPr>
        <w:t>Incorporation by reference</w:t>
      </w:r>
    </w:p>
    <w:p w14:paraId="7372C8A4" w14:textId="77220254" w:rsidR="00AB2B71" w:rsidRPr="00D92501" w:rsidRDefault="00AB2B71" w:rsidP="00AB2B71">
      <w:pPr>
        <w:pStyle w:val="Sectiontext"/>
        <w:tabs>
          <w:tab w:val="left" w:pos="7380"/>
        </w:tabs>
        <w:rPr>
          <w:b/>
        </w:rPr>
      </w:pPr>
      <w:r w:rsidRPr="00D92501">
        <w:t xml:space="preserve">The Determination makes references to sections of the </w:t>
      </w:r>
      <w:r w:rsidRPr="00D92501">
        <w:rPr>
          <w:i/>
        </w:rPr>
        <w:t>Defence Determination 2016/19, Conditions of service</w:t>
      </w:r>
      <w:r w:rsidRPr="00D92501">
        <w:t xml:space="preserve">. This Instrument is incorporated into this Determination as in force from time to time. </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345293F2" w:rsidR="00AA0D47" w:rsidRDefault="00AA0D47" w:rsidP="00AA0D47">
      <w:pPr>
        <w:pStyle w:val="Sectiontext"/>
        <w:rPr>
          <w:snapToGrid w:val="0"/>
        </w:rPr>
      </w:pPr>
      <w:r w:rsidRPr="00F46ABF">
        <w:rPr>
          <w:snapToGrid w:val="0"/>
        </w:rPr>
        <w:t xml:space="preserve">Decisions that are made under </w:t>
      </w:r>
      <w:r w:rsidR="00ED258D">
        <w:rPr>
          <w:snapToGrid w:val="0"/>
        </w:rPr>
        <w:t>this Determination</w:t>
      </w:r>
      <w:r w:rsidRPr="00F46ABF">
        <w:rPr>
          <w:snapToGrid w:val="0"/>
        </w:rPr>
        <w:t xml:space="preserve"> may be subject to inquiry under the ADF redress of grievance system provided under Part 7 of </w:t>
      </w:r>
      <w:r w:rsidRPr="00255473">
        <w:rPr>
          <w:snapToGrid w:val="0"/>
        </w:rPr>
        <w:t xml:space="preserve">the Defence Regulation. Also,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3E30BDC2" w14:textId="46AF6B57" w:rsidR="00AA0D47" w:rsidRDefault="00AA0D47" w:rsidP="00AA0D47">
      <w:pPr>
        <w:pStyle w:val="Sectiontext"/>
        <w:rPr>
          <w:snapToGrid w:val="0"/>
        </w:rPr>
      </w:pPr>
      <w:r>
        <w:rPr>
          <w:snapToGrid w:val="0"/>
        </w:rPr>
        <w:t>Bef</w:t>
      </w:r>
      <w:r w:rsidR="00C40348">
        <w:rPr>
          <w:snapToGrid w:val="0"/>
        </w:rPr>
        <w:t>ore this Determination was made</w:t>
      </w:r>
      <w:r>
        <w:rPr>
          <w:snapToGrid w:val="0"/>
        </w:rPr>
        <w:t>, the consultation was undertaken</w:t>
      </w:r>
      <w:r w:rsidR="00E81ECD">
        <w:rPr>
          <w:snapToGrid w:val="0"/>
        </w:rPr>
        <w:t xml:space="preserve"> with</w:t>
      </w:r>
      <w:r w:rsidR="00D92501">
        <w:rPr>
          <w:snapToGrid w:val="0"/>
        </w:rPr>
        <w:t xml:space="preserve"> Military Personnel Branch.</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40FEFAA5" w:rsidR="00AA0D47" w:rsidRPr="00BE28F0" w:rsidRDefault="00D92501" w:rsidP="00E817E9">
            <w:pPr>
              <w:keepNext/>
              <w:jc w:val="right"/>
              <w:rPr>
                <w:rFonts w:ascii="Arial" w:hAnsi="Arial" w:cs="Arial"/>
                <w:b/>
                <w:sz w:val="20"/>
              </w:rPr>
            </w:pPr>
            <w:r>
              <w:rPr>
                <w:rFonts w:ascii="Arial" w:hAnsi="Arial" w:cs="Arial"/>
                <w:b/>
                <w:sz w:val="20"/>
              </w:rPr>
              <w:t>Sarah Kate McGregor</w:t>
            </w:r>
          </w:p>
          <w:p w14:paraId="738562E6" w14:textId="2DD611E1" w:rsidR="00AA0D47" w:rsidRDefault="00D92501" w:rsidP="00E817E9">
            <w:pPr>
              <w:keepNext/>
              <w:jc w:val="right"/>
              <w:rPr>
                <w:rFonts w:ascii="Arial" w:hAnsi="Arial" w:cs="Arial"/>
                <w:sz w:val="20"/>
              </w:rPr>
            </w:pPr>
            <w:r>
              <w:rPr>
                <w:rFonts w:ascii="Arial" w:hAnsi="Arial" w:cs="Arial"/>
                <w:sz w:val="20"/>
              </w:rPr>
              <w:t xml:space="preserve">Acting </w:t>
            </w:r>
            <w:r w:rsidR="00255473">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11A2290E" w:rsidR="00417CDA" w:rsidRDefault="00D92501" w:rsidP="00AA0D47">
      <w:pPr>
        <w:pStyle w:val="Sectiontext"/>
        <w:jc w:val="center"/>
        <w:rPr>
          <w:b/>
          <w:bCs/>
          <w:i/>
          <w:noProof/>
          <w:snapToGrid w:val="0"/>
          <w:lang w:val="en-US"/>
        </w:rPr>
      </w:pPr>
      <w:r w:rsidRPr="00D92501">
        <w:rPr>
          <w:b/>
          <w:bCs/>
          <w:i/>
          <w:noProof/>
          <w:snapToGrid w:val="0"/>
          <w:lang w:val="en-US"/>
        </w:rPr>
        <w:t>Defence (Individual benefits) Determination (No. 5) 2025</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Section 1 of this Determination sets out the manner in which this Determination may be cited.</w:t>
      </w:r>
    </w:p>
    <w:p w14:paraId="4EE8C121" w14:textId="11D6BD52" w:rsidR="00AA0D47" w:rsidRDefault="00D92501" w:rsidP="00AA0D47">
      <w:pPr>
        <w:pStyle w:val="Sectiontext"/>
        <w:rPr>
          <w:snapToGrid w:val="0"/>
        </w:rPr>
      </w:pPr>
      <w:r>
        <w:rPr>
          <w:snapToGrid w:val="0"/>
        </w:rPr>
        <w:t>Section 2 provides the Determination</w:t>
      </w:r>
      <w:r w:rsidRPr="00F46ABF">
        <w:rPr>
          <w:snapToGrid w:val="0"/>
        </w:rPr>
        <w:t xml:space="preserve"> commences on the day </w:t>
      </w:r>
      <w:r>
        <w:rPr>
          <w:snapToGrid w:val="0"/>
        </w:rPr>
        <w:t>the instrument is registered.</w:t>
      </w:r>
    </w:p>
    <w:p w14:paraId="66C3A9CC" w14:textId="365D1949"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7B55DD4F" w14:textId="6120B57C" w:rsidR="001E51FE" w:rsidRDefault="001E51FE" w:rsidP="001E51FE">
      <w:pPr>
        <w:pStyle w:val="Sectiontext"/>
        <w:rPr>
          <w:snapToGrid w:val="0"/>
        </w:rPr>
      </w:pPr>
      <w:r w:rsidRPr="00194BD6">
        <w:rPr>
          <w:snapToGrid w:val="0"/>
        </w:rPr>
        <w:t xml:space="preserve">Section 4 </w:t>
      </w:r>
      <w:r w:rsidR="00D92501">
        <w:rPr>
          <w:snapToGrid w:val="0"/>
        </w:rPr>
        <w:t xml:space="preserve">provides the purpose of the Determination, which is to </w:t>
      </w:r>
      <w:r w:rsidR="00D92501" w:rsidRPr="00D92501">
        <w:rPr>
          <w:snapToGrid w:val="0"/>
        </w:rPr>
        <w:t>provid</w:t>
      </w:r>
      <w:r w:rsidR="0096313F">
        <w:rPr>
          <w:snapToGrid w:val="0"/>
        </w:rPr>
        <w:t>e a member on long-term</w:t>
      </w:r>
      <w:r w:rsidR="00D92501" w:rsidRPr="00D92501">
        <w:rPr>
          <w:snapToGrid w:val="0"/>
        </w:rPr>
        <w:t xml:space="preserve"> posting</w:t>
      </w:r>
      <w:r w:rsidR="0096313F">
        <w:rPr>
          <w:snapToGrid w:val="0"/>
        </w:rPr>
        <w:t xml:space="preserve"> overseas</w:t>
      </w:r>
      <w:r w:rsidR="00D92501" w:rsidRPr="00D92501">
        <w:rPr>
          <w:snapToGrid w:val="0"/>
        </w:rPr>
        <w:t xml:space="preserve"> with an accommodation benefit in Australia before and after the birth of their child.</w:t>
      </w:r>
    </w:p>
    <w:p w14:paraId="214D920E" w14:textId="1C06BE0E" w:rsidR="00D92501" w:rsidRDefault="00D92501" w:rsidP="001E51FE">
      <w:pPr>
        <w:pStyle w:val="Sectiontext"/>
        <w:rPr>
          <w:snapToGrid w:val="0"/>
        </w:rPr>
      </w:pPr>
      <w:r>
        <w:rPr>
          <w:snapToGrid w:val="0"/>
        </w:rPr>
        <w:t>Section 5 provides that the Determination applies to the member holding employee identification number 8573589.</w:t>
      </w:r>
    </w:p>
    <w:p w14:paraId="49B5EEF6" w14:textId="49D96199" w:rsidR="00D92501" w:rsidRDefault="00D92501" w:rsidP="001E51FE">
      <w:pPr>
        <w:pStyle w:val="Sectiontext"/>
        <w:rPr>
          <w:snapToGrid w:val="0"/>
        </w:rPr>
      </w:pPr>
      <w:r>
        <w:rPr>
          <w:snapToGrid w:val="0"/>
        </w:rPr>
        <w:t xml:space="preserve">Section 6 provides the following definitions, which apply to the Determination. </w:t>
      </w:r>
    </w:p>
    <w:p w14:paraId="33820E9D" w14:textId="32F14057" w:rsidR="00D92501" w:rsidRDefault="00D92501" w:rsidP="00D92501">
      <w:pPr>
        <w:pStyle w:val="Sectiontext"/>
        <w:numPr>
          <w:ilvl w:val="0"/>
          <w:numId w:val="22"/>
        </w:numPr>
        <w:rPr>
          <w:snapToGrid w:val="0"/>
        </w:rPr>
      </w:pPr>
      <w:r w:rsidRPr="00D92501">
        <w:rPr>
          <w:snapToGrid w:val="0"/>
        </w:rPr>
        <w:t>Accommodation period,</w:t>
      </w:r>
      <w:r>
        <w:rPr>
          <w:b/>
          <w:snapToGrid w:val="0"/>
        </w:rPr>
        <w:t xml:space="preserve"> </w:t>
      </w:r>
      <w:r w:rsidRPr="00D92501">
        <w:rPr>
          <w:snapToGrid w:val="0"/>
        </w:rPr>
        <w:t>which means the period starting 31 May 2025 and ending 1 August 2025.</w:t>
      </w:r>
    </w:p>
    <w:p w14:paraId="6C3E0E50" w14:textId="4C89B87C" w:rsidR="00D92501" w:rsidRDefault="00D92501" w:rsidP="00D92501">
      <w:pPr>
        <w:pStyle w:val="Sectiontext"/>
        <w:numPr>
          <w:ilvl w:val="0"/>
          <w:numId w:val="22"/>
        </w:numPr>
        <w:rPr>
          <w:snapToGrid w:val="0"/>
        </w:rPr>
      </w:pPr>
      <w:r w:rsidRPr="00D92501">
        <w:rPr>
          <w:snapToGrid w:val="0"/>
        </w:rPr>
        <w:t>Defence Determination</w:t>
      </w:r>
      <w:r>
        <w:rPr>
          <w:snapToGrid w:val="0"/>
        </w:rPr>
        <w:t xml:space="preserve">, which means </w:t>
      </w:r>
      <w:r w:rsidRPr="00D92501">
        <w:rPr>
          <w:i/>
          <w:snapToGrid w:val="0"/>
        </w:rPr>
        <w:t>Defence Determination 2016/19, Conditions of service</w:t>
      </w:r>
      <w:r w:rsidRPr="00D92501">
        <w:rPr>
          <w:snapToGrid w:val="0"/>
        </w:rPr>
        <w:t>, as in force from time to time.</w:t>
      </w:r>
    </w:p>
    <w:p w14:paraId="67E16B95" w14:textId="03687103" w:rsidR="00ED258D" w:rsidRDefault="00D92501" w:rsidP="00ED258D">
      <w:pPr>
        <w:pStyle w:val="Sectiontext"/>
        <w:rPr>
          <w:snapToGrid w:val="0"/>
        </w:rPr>
      </w:pPr>
      <w:r>
        <w:rPr>
          <w:snapToGrid w:val="0"/>
        </w:rPr>
        <w:t xml:space="preserve">Section 7 provides that the member is eligible for </w:t>
      </w:r>
      <w:r w:rsidR="008B7AEF">
        <w:rPr>
          <w:snapToGrid w:val="0"/>
        </w:rPr>
        <w:t>the cost of</w:t>
      </w:r>
      <w:r>
        <w:rPr>
          <w:snapToGrid w:val="0"/>
        </w:rPr>
        <w:t xml:space="preserve"> accommodation during the accommodation period, which is the lesser of the amount the member pays </w:t>
      </w:r>
      <w:r w:rsidR="008B7AEF">
        <w:rPr>
          <w:snapToGrid w:val="0"/>
        </w:rPr>
        <w:t>for accommodation or AUD 323.90</w:t>
      </w:r>
      <w:r>
        <w:rPr>
          <w:snapToGrid w:val="0"/>
        </w:rPr>
        <w:t xml:space="preserve"> per day. </w:t>
      </w:r>
      <w:r w:rsidR="00ED258D">
        <w:rPr>
          <w:snapToGrid w:val="0"/>
        </w:rPr>
        <w:t>The benefit may be provided to the member or the accommodation provider, allowing flexibility as to how the benefit is taken.</w:t>
      </w:r>
    </w:p>
    <w:p w14:paraId="4F3B6E59" w14:textId="5C764D2A" w:rsidR="00D92501" w:rsidRDefault="00D92501" w:rsidP="00D92501">
      <w:pPr>
        <w:pStyle w:val="Sectiontext"/>
        <w:rPr>
          <w:snapToGrid w:val="0"/>
        </w:rPr>
      </w:pPr>
      <w:r>
        <w:rPr>
          <w:snapToGrid w:val="0"/>
        </w:rPr>
        <w:t xml:space="preserve">The section further provides that during the accommodation period the member </w:t>
      </w:r>
      <w:proofErr w:type="gramStart"/>
      <w:r>
        <w:rPr>
          <w:snapToGrid w:val="0"/>
        </w:rPr>
        <w:t>ceases</w:t>
      </w:r>
      <w:proofErr w:type="gramEnd"/>
      <w:r>
        <w:rPr>
          <w:snapToGrid w:val="0"/>
        </w:rPr>
        <w:t xml:space="preserve"> to be eligible for any other accommodation benefits in Australia that would otherwise apply </w:t>
      </w:r>
      <w:r w:rsidR="008B7AEF">
        <w:rPr>
          <w:snapToGrid w:val="0"/>
        </w:rPr>
        <w:t xml:space="preserve">during the accommodation period under the </w:t>
      </w:r>
      <w:r w:rsidR="008B7AEF" w:rsidRPr="0096313F">
        <w:rPr>
          <w:i/>
          <w:snapToGrid w:val="0"/>
        </w:rPr>
        <w:t>Defence Determination 2016/19, Conditions of Service</w:t>
      </w:r>
      <w:r w:rsidR="0096313F">
        <w:rPr>
          <w:i/>
          <w:snapToGrid w:val="0"/>
        </w:rPr>
        <w:t>.</w:t>
      </w:r>
    </w:p>
    <w:p w14:paraId="0432C25A" w14:textId="70B945CC" w:rsidR="008B7AEF" w:rsidRDefault="008B7AEF" w:rsidP="00D92501">
      <w:pPr>
        <w:pStyle w:val="Sectiontext"/>
        <w:rPr>
          <w:snapToGrid w:val="0"/>
        </w:rPr>
      </w:pPr>
      <w:r>
        <w:rPr>
          <w:snapToGrid w:val="0"/>
        </w:rPr>
        <w:t>Section 8 provides that the accommodation period may be extended for up to 28 days if there are medical complications for the member’s partner or their child as a consequence of the birth of the child that require the member’s par</w:t>
      </w:r>
      <w:r w:rsidR="0096313F">
        <w:rPr>
          <w:snapToGrid w:val="0"/>
        </w:rPr>
        <w:t>tner or their child to remain in</w:t>
      </w:r>
      <w:r>
        <w:rPr>
          <w:snapToGrid w:val="0"/>
        </w:rPr>
        <w:t xml:space="preserve"> Australia. </w:t>
      </w:r>
    </w:p>
    <w:p w14:paraId="1B833703" w14:textId="4C24B5D8" w:rsidR="00D92501" w:rsidRDefault="00D92501" w:rsidP="00D92501">
      <w:pPr>
        <w:pStyle w:val="Sectiontext"/>
        <w:rPr>
          <w:snapToGrid w:val="0"/>
        </w:rPr>
      </w:pPr>
      <w:r>
        <w:rPr>
          <w:snapToGrid w:val="0"/>
        </w:rPr>
        <w:t xml:space="preserve">Section </w:t>
      </w:r>
      <w:r w:rsidR="008B7AEF">
        <w:rPr>
          <w:snapToGrid w:val="0"/>
        </w:rPr>
        <w:t>9</w:t>
      </w:r>
      <w:r>
        <w:rPr>
          <w:snapToGrid w:val="0"/>
        </w:rPr>
        <w:t xml:space="preserve"> provides that if the member and their partner cease to occupy the accommodation for which benefits under the Determination relate before the end of the accommodation period, eligibility to benefits under the Determination cease from the day the member and their partner no longer occupy the accommodation.</w:t>
      </w:r>
    </w:p>
    <w:p w14:paraId="28CBDC2E" w14:textId="10872EF5" w:rsidR="008B7AEF" w:rsidRDefault="008B7AEF" w:rsidP="00D92501">
      <w:pPr>
        <w:pStyle w:val="Sectiontext"/>
        <w:rPr>
          <w:snapToGrid w:val="0"/>
        </w:rPr>
      </w:pPr>
      <w:r>
        <w:rPr>
          <w:snapToGrid w:val="0"/>
        </w:rPr>
        <w:t xml:space="preserve">Section 10 </w:t>
      </w:r>
      <w:proofErr w:type="gramStart"/>
      <w:r>
        <w:rPr>
          <w:snapToGrid w:val="0"/>
        </w:rPr>
        <w:t>is provided</w:t>
      </w:r>
      <w:proofErr w:type="gramEnd"/>
      <w:r>
        <w:rPr>
          <w:snapToGrid w:val="0"/>
        </w:rPr>
        <w:t xml:space="preserve"> to clarify that the </w:t>
      </w:r>
      <w:r w:rsidR="0096313F">
        <w:rPr>
          <w:snapToGrid w:val="0"/>
        </w:rPr>
        <w:t>m</w:t>
      </w:r>
      <w:r>
        <w:rPr>
          <w:snapToGrid w:val="0"/>
        </w:rPr>
        <w:t>ember is not eligible for any other travel benefits under this Determination.</w:t>
      </w:r>
    </w:p>
    <w:p w14:paraId="2A4722EE" w14:textId="66EB3632" w:rsidR="00D92501" w:rsidRDefault="00D92501" w:rsidP="00D92501">
      <w:pPr>
        <w:pStyle w:val="Sectiontext"/>
        <w:rPr>
          <w:snapToGrid w:val="0"/>
        </w:rPr>
      </w:pPr>
      <w:r>
        <w:rPr>
          <w:snapToGrid w:val="0"/>
        </w:rPr>
        <w:t xml:space="preserve">Section </w:t>
      </w:r>
      <w:r w:rsidR="008B7AEF">
        <w:rPr>
          <w:snapToGrid w:val="0"/>
        </w:rPr>
        <w:t>11</w:t>
      </w:r>
      <w:r>
        <w:rPr>
          <w:snapToGrid w:val="0"/>
        </w:rPr>
        <w:t xml:space="preserve"> provides that the Determination is revoked on 3</w:t>
      </w:r>
      <w:r w:rsidR="006244F9">
        <w:rPr>
          <w:snapToGrid w:val="0"/>
        </w:rPr>
        <w:t>0</w:t>
      </w:r>
      <w:r>
        <w:rPr>
          <w:snapToGrid w:val="0"/>
        </w:rPr>
        <w:t xml:space="preserve"> </w:t>
      </w:r>
      <w:r w:rsidR="006244F9">
        <w:rPr>
          <w:snapToGrid w:val="0"/>
        </w:rPr>
        <w:t>September</w:t>
      </w:r>
      <w:r>
        <w:rPr>
          <w:snapToGrid w:val="0"/>
        </w:rPr>
        <w:t xml:space="preserve"> 2025.</w:t>
      </w: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2EB193BB" w14:textId="77777777" w:rsidR="00C76C39" w:rsidRDefault="00C76C39" w:rsidP="00C76C39">
      <w:pPr>
        <w:pStyle w:val="Sectiontext"/>
        <w:jc w:val="center"/>
        <w:rPr>
          <w:b/>
          <w:bCs/>
          <w:i/>
          <w:noProof/>
          <w:snapToGrid w:val="0"/>
          <w:lang w:val="en-US"/>
        </w:rPr>
      </w:pPr>
      <w:r w:rsidRPr="00D92501">
        <w:rPr>
          <w:b/>
          <w:bCs/>
          <w:i/>
          <w:noProof/>
          <w:snapToGrid w:val="0"/>
          <w:lang w:val="en-US"/>
        </w:rPr>
        <w:t>Defence (Individual benefits) Determination (No. 5) 2025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7F56D9BE" w14:textId="7E2B20AA" w:rsidR="00737505" w:rsidRDefault="00C76C39" w:rsidP="007753AD">
      <w:pPr>
        <w:pStyle w:val="Sectiontext"/>
      </w:pPr>
      <w:r>
        <w:t>The</w:t>
      </w:r>
      <w:r w:rsidRPr="00C76C39">
        <w:t xml:space="preserve"> purpose of the Determination, which is to provid</w:t>
      </w:r>
      <w:r w:rsidR="002A7187">
        <w:t>e a member on long-term</w:t>
      </w:r>
      <w:r w:rsidRPr="00C76C39">
        <w:t xml:space="preserve"> posting</w:t>
      </w:r>
      <w:r w:rsidR="002A7187">
        <w:t xml:space="preserve"> overseas</w:t>
      </w:r>
      <w:r w:rsidRPr="00C76C39">
        <w:t xml:space="preserve"> with an accommodation benefit in Australia before and after the birth of their child.</w:t>
      </w:r>
    </w:p>
    <w:p w14:paraId="38FFFAF4" w14:textId="2FF8AB9A"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4F4B2D7E" w14:textId="77777777" w:rsidR="001E51FE" w:rsidRPr="0021243D" w:rsidRDefault="001E51FE" w:rsidP="007753AD">
      <w:pPr>
        <w:spacing w:after="200" w:line="240" w:lineRule="auto"/>
        <w:rPr>
          <w:rFonts w:ascii="Arial" w:hAnsi="Arial" w:cs="Arial"/>
          <w:sz w:val="24"/>
          <w:szCs w:val="24"/>
        </w:rPr>
      </w:pPr>
      <w:r w:rsidRPr="0021243D">
        <w:rPr>
          <w:rFonts w:ascii="Arial" w:hAnsi="Arial" w:cs="Arial"/>
          <w:i/>
          <w:sz w:val="20"/>
        </w:rPr>
        <w:t>Right to the enjoyment of just and favourable conditions of work</w:t>
      </w:r>
    </w:p>
    <w:p w14:paraId="121D2639" w14:textId="1BF1CD1F" w:rsidR="001E51FE" w:rsidRPr="00A575F1" w:rsidRDefault="001E51FE" w:rsidP="007753AD">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sidR="006B7FE3">
        <w:rPr>
          <w:snapToGrid w:val="0"/>
        </w:rPr>
        <w:t>ensures</w:t>
      </w:r>
      <w:r w:rsidRPr="00A575F1">
        <w:rPr>
          <w:snapToGrid w:val="0"/>
        </w:rPr>
        <w:t xml:space="preserve"> just and favourable conditions of work, including remuneration, safe and healthy conditions, equal opportunity and reasonable limitations.</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26A607A5" w14:textId="6AD8C721" w:rsidR="00737505" w:rsidRPr="00737505" w:rsidRDefault="00737505" w:rsidP="007753AD">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1 </w:t>
      </w:r>
      <w:r w:rsidR="00C76C39">
        <w:rPr>
          <w:rFonts w:ascii="Arial" w:hAnsi="Arial" w:cs="Arial"/>
          <w:iCs/>
          <w:sz w:val="20"/>
        </w:rPr>
        <w:t xml:space="preserve">promotes a member’s right to the enjoyment of just and favourable conditions of work by providing a </w:t>
      </w:r>
      <w:r w:rsidR="002A7187">
        <w:rPr>
          <w:rFonts w:ascii="Arial" w:hAnsi="Arial" w:cs="Arial"/>
          <w:iCs/>
          <w:sz w:val="20"/>
        </w:rPr>
        <w:t>member on a long-term</w:t>
      </w:r>
      <w:r w:rsidR="00C76C39" w:rsidRPr="00170AFF">
        <w:rPr>
          <w:rFonts w:ascii="Arial" w:hAnsi="Arial" w:cs="Arial"/>
          <w:iCs/>
          <w:sz w:val="20"/>
        </w:rPr>
        <w:t xml:space="preserve"> posting</w:t>
      </w:r>
      <w:r w:rsidR="002A7187">
        <w:rPr>
          <w:rFonts w:ascii="Arial" w:hAnsi="Arial" w:cs="Arial"/>
          <w:iCs/>
          <w:sz w:val="20"/>
        </w:rPr>
        <w:t xml:space="preserve"> overseas</w:t>
      </w:r>
      <w:bookmarkStart w:id="0" w:name="_GoBack"/>
      <w:bookmarkEnd w:id="0"/>
      <w:r w:rsidR="00C76C39" w:rsidRPr="00170AFF">
        <w:rPr>
          <w:rFonts w:ascii="Arial" w:hAnsi="Arial" w:cs="Arial"/>
          <w:iCs/>
          <w:sz w:val="20"/>
        </w:rPr>
        <w:t xml:space="preserve"> with accommodation in Australia prior to and after the birth of their children</w:t>
      </w:r>
      <w:r w:rsidR="00C76C39">
        <w:rPr>
          <w:rFonts w:ascii="Arial" w:hAnsi="Arial" w:cs="Arial"/>
          <w:iCs/>
          <w:sz w:val="20"/>
        </w:rPr>
        <w:t xml:space="preserve"> as a part of their conditions of service package</w:t>
      </w:r>
      <w:r w:rsidR="00C76C39" w:rsidRPr="00170AFF">
        <w:rPr>
          <w:rFonts w:ascii="Arial" w:hAnsi="Arial" w:cs="Arial"/>
          <w:iCs/>
          <w:sz w:val="20"/>
        </w:rPr>
        <w:t xml:space="preserve">. </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D4496" w14:textId="77777777" w:rsidR="00530823" w:rsidRDefault="00530823" w:rsidP="0048364F">
      <w:pPr>
        <w:spacing w:line="240" w:lineRule="auto"/>
      </w:pPr>
      <w:r>
        <w:separator/>
      </w:r>
    </w:p>
  </w:endnote>
  <w:endnote w:type="continuationSeparator" w:id="0">
    <w:p w14:paraId="37406F41" w14:textId="77777777" w:rsidR="00530823" w:rsidRDefault="0053082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1C148BB0" w:rsidR="00FA083A" w:rsidRDefault="00FA083A">
        <w:pPr>
          <w:pStyle w:val="Footer"/>
          <w:jc w:val="right"/>
        </w:pPr>
        <w:r>
          <w:fldChar w:fldCharType="begin"/>
        </w:r>
        <w:r>
          <w:instrText xml:space="preserve"> PAGE   \* MERGEFORMAT </w:instrText>
        </w:r>
        <w:r>
          <w:fldChar w:fldCharType="separate"/>
        </w:r>
        <w:r w:rsidR="002A7187">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000F7D68"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2A7187">
          <w:rPr>
            <w:noProof/>
            <w:sz w:val="18"/>
            <w:szCs w:val="18"/>
          </w:rPr>
          <w:t>1</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9D97F" w14:textId="77777777" w:rsidR="00530823" w:rsidRDefault="00530823" w:rsidP="0048364F">
      <w:pPr>
        <w:spacing w:line="240" w:lineRule="auto"/>
      </w:pPr>
      <w:r>
        <w:separator/>
      </w:r>
    </w:p>
  </w:footnote>
  <w:footnote w:type="continuationSeparator" w:id="0">
    <w:p w14:paraId="3706B866" w14:textId="77777777" w:rsidR="00530823" w:rsidRDefault="0053082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3"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B87F8E"/>
    <w:multiLevelType w:val="hybridMultilevel"/>
    <w:tmpl w:val="9CC0F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7"/>
  </w:num>
  <w:num w:numId="15">
    <w:abstractNumId w:val="21"/>
  </w:num>
  <w:num w:numId="16">
    <w:abstractNumId w:val="19"/>
  </w:num>
  <w:num w:numId="17">
    <w:abstractNumId w:val="11"/>
  </w:num>
  <w:num w:numId="18">
    <w:abstractNumId w:val="16"/>
  </w:num>
  <w:num w:numId="19">
    <w:abstractNumId w:val="14"/>
  </w:num>
  <w:num w:numId="20">
    <w:abstractNumId w:val="13"/>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0390"/>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5473"/>
    <w:rsid w:val="00256C81"/>
    <w:rsid w:val="00285CDD"/>
    <w:rsid w:val="00290F1C"/>
    <w:rsid w:val="00291167"/>
    <w:rsid w:val="0029489E"/>
    <w:rsid w:val="00297ECB"/>
    <w:rsid w:val="002A3EC7"/>
    <w:rsid w:val="002A7187"/>
    <w:rsid w:val="002B1B7A"/>
    <w:rsid w:val="002C152A"/>
    <w:rsid w:val="002C71AE"/>
    <w:rsid w:val="002D043A"/>
    <w:rsid w:val="0031713F"/>
    <w:rsid w:val="003222D1"/>
    <w:rsid w:val="0032750F"/>
    <w:rsid w:val="003415D3"/>
    <w:rsid w:val="003442F6"/>
    <w:rsid w:val="00346335"/>
    <w:rsid w:val="00352B0F"/>
    <w:rsid w:val="003561B0"/>
    <w:rsid w:val="00372E78"/>
    <w:rsid w:val="00397893"/>
    <w:rsid w:val="003A15AC"/>
    <w:rsid w:val="003B0627"/>
    <w:rsid w:val="003C5F2B"/>
    <w:rsid w:val="003C7D35"/>
    <w:rsid w:val="003D0BFE"/>
    <w:rsid w:val="003D5700"/>
    <w:rsid w:val="003F506B"/>
    <w:rsid w:val="003F6F52"/>
    <w:rsid w:val="004022CA"/>
    <w:rsid w:val="004116CD"/>
    <w:rsid w:val="00414ADE"/>
    <w:rsid w:val="00417CDA"/>
    <w:rsid w:val="00424CA9"/>
    <w:rsid w:val="004257BB"/>
    <w:rsid w:val="0044291A"/>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823"/>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44F9"/>
    <w:rsid w:val="006252AD"/>
    <w:rsid w:val="00640402"/>
    <w:rsid w:val="00640F78"/>
    <w:rsid w:val="006422B7"/>
    <w:rsid w:val="00655D6A"/>
    <w:rsid w:val="00656DE9"/>
    <w:rsid w:val="00672876"/>
    <w:rsid w:val="00677CC2"/>
    <w:rsid w:val="00682847"/>
    <w:rsid w:val="00685F42"/>
    <w:rsid w:val="0069207B"/>
    <w:rsid w:val="00697CB2"/>
    <w:rsid w:val="006A297B"/>
    <w:rsid w:val="006A304E"/>
    <w:rsid w:val="006B7006"/>
    <w:rsid w:val="006B7FE3"/>
    <w:rsid w:val="006C7F8C"/>
    <w:rsid w:val="006D7AB9"/>
    <w:rsid w:val="00700B2C"/>
    <w:rsid w:val="00713084"/>
    <w:rsid w:val="00717463"/>
    <w:rsid w:val="00720FC2"/>
    <w:rsid w:val="00722E89"/>
    <w:rsid w:val="00724541"/>
    <w:rsid w:val="00731E00"/>
    <w:rsid w:val="007339C7"/>
    <w:rsid w:val="00737505"/>
    <w:rsid w:val="007440B7"/>
    <w:rsid w:val="00747993"/>
    <w:rsid w:val="007551C1"/>
    <w:rsid w:val="007634AD"/>
    <w:rsid w:val="007715C9"/>
    <w:rsid w:val="00774EDD"/>
    <w:rsid w:val="007753AD"/>
    <w:rsid w:val="007757EC"/>
    <w:rsid w:val="007952E9"/>
    <w:rsid w:val="007A6863"/>
    <w:rsid w:val="007B51E4"/>
    <w:rsid w:val="007B7E65"/>
    <w:rsid w:val="007C78B4"/>
    <w:rsid w:val="007E0853"/>
    <w:rsid w:val="007E32B6"/>
    <w:rsid w:val="007E3976"/>
    <w:rsid w:val="007E486B"/>
    <w:rsid w:val="007E7D4A"/>
    <w:rsid w:val="007F48ED"/>
    <w:rsid w:val="007F5E3F"/>
    <w:rsid w:val="00812F45"/>
    <w:rsid w:val="008278DA"/>
    <w:rsid w:val="00836FE9"/>
    <w:rsid w:val="0084172C"/>
    <w:rsid w:val="008417DF"/>
    <w:rsid w:val="0085175E"/>
    <w:rsid w:val="00856A31"/>
    <w:rsid w:val="00864A66"/>
    <w:rsid w:val="008754D0"/>
    <w:rsid w:val="00877C69"/>
    <w:rsid w:val="00877D48"/>
    <w:rsid w:val="0088345B"/>
    <w:rsid w:val="008A16A5"/>
    <w:rsid w:val="008A5C57"/>
    <w:rsid w:val="008B7AEF"/>
    <w:rsid w:val="008C0629"/>
    <w:rsid w:val="008C6FF0"/>
    <w:rsid w:val="008D0EE0"/>
    <w:rsid w:val="008D7A27"/>
    <w:rsid w:val="008E4702"/>
    <w:rsid w:val="008E69AA"/>
    <w:rsid w:val="008F4F1C"/>
    <w:rsid w:val="009069AD"/>
    <w:rsid w:val="00910E64"/>
    <w:rsid w:val="00922764"/>
    <w:rsid w:val="009243C8"/>
    <w:rsid w:val="009278C1"/>
    <w:rsid w:val="00932377"/>
    <w:rsid w:val="009346E3"/>
    <w:rsid w:val="0094523D"/>
    <w:rsid w:val="0096313F"/>
    <w:rsid w:val="00976A63"/>
    <w:rsid w:val="00991733"/>
    <w:rsid w:val="009A6866"/>
    <w:rsid w:val="009B2490"/>
    <w:rsid w:val="009B50E5"/>
    <w:rsid w:val="009C3431"/>
    <w:rsid w:val="009C5989"/>
    <w:rsid w:val="009C6A32"/>
    <w:rsid w:val="009D08DA"/>
    <w:rsid w:val="009F1229"/>
    <w:rsid w:val="00A003BB"/>
    <w:rsid w:val="00A06860"/>
    <w:rsid w:val="00A07DDE"/>
    <w:rsid w:val="00A136F5"/>
    <w:rsid w:val="00A2047D"/>
    <w:rsid w:val="00A231E2"/>
    <w:rsid w:val="00A2550D"/>
    <w:rsid w:val="00A36CD7"/>
    <w:rsid w:val="00A379BB"/>
    <w:rsid w:val="00A4169B"/>
    <w:rsid w:val="00A44F44"/>
    <w:rsid w:val="00A50D55"/>
    <w:rsid w:val="00A52FDA"/>
    <w:rsid w:val="00A575F1"/>
    <w:rsid w:val="00A6282F"/>
    <w:rsid w:val="00A6327D"/>
    <w:rsid w:val="00A64912"/>
    <w:rsid w:val="00A70A74"/>
    <w:rsid w:val="00A905DB"/>
    <w:rsid w:val="00A9231A"/>
    <w:rsid w:val="00A93CFA"/>
    <w:rsid w:val="00A95BC7"/>
    <w:rsid w:val="00AA0343"/>
    <w:rsid w:val="00AA0D47"/>
    <w:rsid w:val="00AA78CE"/>
    <w:rsid w:val="00AA7B26"/>
    <w:rsid w:val="00AB2B71"/>
    <w:rsid w:val="00AC767C"/>
    <w:rsid w:val="00AD3467"/>
    <w:rsid w:val="00AD5641"/>
    <w:rsid w:val="00AF33DB"/>
    <w:rsid w:val="00AF6E41"/>
    <w:rsid w:val="00B032D8"/>
    <w:rsid w:val="00B039C8"/>
    <w:rsid w:val="00B05D72"/>
    <w:rsid w:val="00B20990"/>
    <w:rsid w:val="00B23770"/>
    <w:rsid w:val="00B23FAF"/>
    <w:rsid w:val="00B26ED7"/>
    <w:rsid w:val="00B33B3C"/>
    <w:rsid w:val="00B40D74"/>
    <w:rsid w:val="00B42649"/>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72AFD"/>
    <w:rsid w:val="00C72D10"/>
    <w:rsid w:val="00C7573B"/>
    <w:rsid w:val="00C76C39"/>
    <w:rsid w:val="00C76CF3"/>
    <w:rsid w:val="00C93205"/>
    <w:rsid w:val="00C945DC"/>
    <w:rsid w:val="00CA7844"/>
    <w:rsid w:val="00CB5822"/>
    <w:rsid w:val="00CB58EF"/>
    <w:rsid w:val="00CC3872"/>
    <w:rsid w:val="00CE0A93"/>
    <w:rsid w:val="00CF0BB2"/>
    <w:rsid w:val="00CF7C4E"/>
    <w:rsid w:val="00D12B0D"/>
    <w:rsid w:val="00D13441"/>
    <w:rsid w:val="00D15A4D"/>
    <w:rsid w:val="00D211E0"/>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90841"/>
    <w:rsid w:val="00D92501"/>
    <w:rsid w:val="00D94896"/>
    <w:rsid w:val="00D954D8"/>
    <w:rsid w:val="00DA2439"/>
    <w:rsid w:val="00DA6F05"/>
    <w:rsid w:val="00DB64FC"/>
    <w:rsid w:val="00DE149E"/>
    <w:rsid w:val="00E034DB"/>
    <w:rsid w:val="00E05704"/>
    <w:rsid w:val="00E12F1A"/>
    <w:rsid w:val="00E14113"/>
    <w:rsid w:val="00E22935"/>
    <w:rsid w:val="00E232C6"/>
    <w:rsid w:val="00E26604"/>
    <w:rsid w:val="00E54292"/>
    <w:rsid w:val="00E54D2B"/>
    <w:rsid w:val="00E60191"/>
    <w:rsid w:val="00E74DC7"/>
    <w:rsid w:val="00E81ECD"/>
    <w:rsid w:val="00E86DED"/>
    <w:rsid w:val="00E87699"/>
    <w:rsid w:val="00E92E27"/>
    <w:rsid w:val="00E9586B"/>
    <w:rsid w:val="00E97334"/>
    <w:rsid w:val="00EB3A99"/>
    <w:rsid w:val="00EB65F8"/>
    <w:rsid w:val="00EC45EE"/>
    <w:rsid w:val="00EC7475"/>
    <w:rsid w:val="00ED258D"/>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774DD"/>
    <w:rsid w:val="00F8121C"/>
    <w:rsid w:val="00F84735"/>
    <w:rsid w:val="00F84CF5"/>
    <w:rsid w:val="00F8612E"/>
    <w:rsid w:val="00F94583"/>
    <w:rsid w:val="00FA083A"/>
    <w:rsid w:val="00FA420B"/>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3.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4.xml><?xml version="1.0" encoding="utf-8"?>
<ds:datastoreItem xmlns:ds="http://schemas.openxmlformats.org/officeDocument/2006/customXml" ds:itemID="{742AB787-8E0B-4FA4-80F7-D4D09EC6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106</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Bellew, Leah MS</cp:lastModifiedBy>
  <cp:revision>42</cp:revision>
  <cp:lastPrinted>2019-05-12T23:26:00Z</cp:lastPrinted>
  <dcterms:created xsi:type="dcterms:W3CDTF">2020-02-12T02:58:00Z</dcterms:created>
  <dcterms:modified xsi:type="dcterms:W3CDTF">2025-05-14T04:00:00Z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BN101426148</vt:lpwstr>
  </property>
  <property fmtid="{D5CDD505-2E9C-101B-9397-08002B2CF9AE}" pid="4" name="Objective-Title">
    <vt:lpwstr>Individual det ES - MAJ Nohreiter</vt:lpwstr>
  </property>
  <property fmtid="{D5CDD505-2E9C-101B-9397-08002B2CF9AE}" pid="5" name="Objective-Comment">
    <vt:lpwstr/>
  </property>
  <property fmtid="{D5CDD505-2E9C-101B-9397-08002B2CF9AE}" pid="6" name="Objective-CreationStamp">
    <vt:filetime>2025-05-08T03:11:47Z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2025-05-14T04:00:28Z</vt:filetime>
  </property>
  <property fmtid="{D5CDD505-2E9C-101B-9397-08002B2CF9AE}" pid="10" name="Objective-ModificationStamp">
    <vt:filetime>2025-05-14T04:00:28Z</vt:filetime>
  </property>
  <property fmtid="{D5CDD505-2E9C-101B-9397-08002B2CF9AE}" pid="11" name="Objective-Owner">
    <vt:lpwstr>Bellew, Leah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Instruments:02. Determinations and Instruments:Defence Act 1903:s58B Defence Act 1903:02. 2025 Individual Determinations 58B:58B - 2025/5 - Individual Determination - 8573589 MAJ Nohreiter - accommodation in AUS for birth of child:02. Determination:</vt:lpwstr>
  </property>
  <property fmtid="{D5CDD505-2E9C-101B-9397-08002B2CF9AE}" pid="13" name="Objective-Parent">
    <vt:lpwstr>02. Determination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8</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