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831E" w14:textId="77777777" w:rsidR="00302262" w:rsidRPr="00AA459B" w:rsidRDefault="00591342" w:rsidP="00FA0A85">
      <w:pPr>
        <w:keepLines w:val="0"/>
        <w:jc w:val="center"/>
        <w:rPr>
          <w:b/>
          <w:sz w:val="22"/>
          <w:szCs w:val="22"/>
        </w:rPr>
      </w:pPr>
      <w:r w:rsidRPr="00AA459B">
        <w:rPr>
          <w:b/>
          <w:sz w:val="22"/>
          <w:szCs w:val="22"/>
        </w:rPr>
        <w:t>E</w:t>
      </w:r>
      <w:r w:rsidR="00302262" w:rsidRPr="00AA459B">
        <w:rPr>
          <w:b/>
          <w:sz w:val="22"/>
          <w:szCs w:val="22"/>
        </w:rPr>
        <w:t>XPLANATORY STATEMENT</w:t>
      </w:r>
    </w:p>
    <w:p w14:paraId="099AEDF1" w14:textId="77777777" w:rsidR="00302262" w:rsidRPr="00AA459B" w:rsidRDefault="00302262" w:rsidP="00702E76">
      <w:pPr>
        <w:keepLines w:val="0"/>
        <w:spacing w:before="240" w:after="0"/>
        <w:jc w:val="center"/>
        <w:rPr>
          <w:b/>
          <w:i/>
          <w:sz w:val="22"/>
          <w:szCs w:val="22"/>
        </w:rPr>
      </w:pPr>
      <w:r w:rsidRPr="00AA459B">
        <w:rPr>
          <w:b/>
          <w:i/>
          <w:sz w:val="22"/>
          <w:szCs w:val="22"/>
        </w:rPr>
        <w:t>NATIONAL HEALTH ACT 1953</w:t>
      </w:r>
    </w:p>
    <w:p w14:paraId="17A6FA70" w14:textId="301FBCBC" w:rsidR="00302262" w:rsidRPr="00AA459B" w:rsidRDefault="00302262" w:rsidP="00702E76">
      <w:pPr>
        <w:keepLines w:val="0"/>
        <w:spacing w:before="240"/>
        <w:jc w:val="center"/>
        <w:rPr>
          <w:b/>
          <w:i/>
          <w:sz w:val="22"/>
          <w:szCs w:val="22"/>
        </w:rPr>
      </w:pPr>
      <w:r w:rsidRPr="00AA459B">
        <w:rPr>
          <w:b/>
          <w:i/>
          <w:sz w:val="22"/>
          <w:szCs w:val="22"/>
        </w:rPr>
        <w:t>NATIONAL HEALTH (</w:t>
      </w:r>
      <w:r w:rsidR="002E744A" w:rsidRPr="00AA459B">
        <w:rPr>
          <w:b/>
          <w:i/>
          <w:sz w:val="22"/>
          <w:szCs w:val="22"/>
        </w:rPr>
        <w:t>HIGHLY SPECIALISED DRUGS P</w:t>
      </w:r>
      <w:r w:rsidR="0052565C" w:rsidRPr="00AA459B">
        <w:rPr>
          <w:b/>
          <w:i/>
          <w:sz w:val="22"/>
          <w:szCs w:val="22"/>
        </w:rPr>
        <w:t>ROGRAM</w:t>
      </w:r>
      <w:r w:rsidRPr="00AA459B">
        <w:rPr>
          <w:b/>
          <w:i/>
          <w:sz w:val="22"/>
          <w:szCs w:val="22"/>
        </w:rPr>
        <w:t>)</w:t>
      </w:r>
      <w:r w:rsidR="00573361" w:rsidRPr="00AA459B">
        <w:rPr>
          <w:b/>
          <w:i/>
          <w:sz w:val="22"/>
          <w:szCs w:val="22"/>
        </w:rPr>
        <w:br/>
      </w:r>
      <w:r w:rsidRPr="00AA459B">
        <w:rPr>
          <w:b/>
          <w:i/>
          <w:sz w:val="22"/>
          <w:szCs w:val="22"/>
        </w:rPr>
        <w:t>SPECIAL</w:t>
      </w:r>
      <w:r w:rsidR="00573361" w:rsidRPr="00AA459B">
        <w:rPr>
          <w:b/>
          <w:i/>
          <w:sz w:val="22"/>
          <w:szCs w:val="22"/>
        </w:rPr>
        <w:t xml:space="preserve"> </w:t>
      </w:r>
      <w:r w:rsidRPr="00AA459B">
        <w:rPr>
          <w:b/>
          <w:i/>
          <w:sz w:val="22"/>
          <w:szCs w:val="22"/>
        </w:rPr>
        <w:t>ARRA</w:t>
      </w:r>
      <w:r w:rsidR="005E6D84" w:rsidRPr="00AA459B">
        <w:rPr>
          <w:b/>
          <w:i/>
          <w:sz w:val="22"/>
          <w:szCs w:val="22"/>
        </w:rPr>
        <w:t xml:space="preserve">NGEMENT AMENDMENT </w:t>
      </w:r>
      <w:r w:rsidR="0014117B" w:rsidRPr="00AA459B">
        <w:rPr>
          <w:b/>
          <w:i/>
          <w:sz w:val="22"/>
          <w:szCs w:val="22"/>
        </w:rPr>
        <w:t>(</w:t>
      </w:r>
      <w:r w:rsidR="0070574A" w:rsidRPr="00AA459B">
        <w:rPr>
          <w:b/>
          <w:i/>
          <w:sz w:val="22"/>
          <w:szCs w:val="22"/>
        </w:rPr>
        <w:t>MAY</w:t>
      </w:r>
      <w:r w:rsidR="00376C64" w:rsidRPr="00AA459B">
        <w:rPr>
          <w:b/>
          <w:i/>
          <w:sz w:val="22"/>
          <w:szCs w:val="22"/>
        </w:rPr>
        <w:t xml:space="preserve"> </w:t>
      </w:r>
      <w:r w:rsidR="00AA01F5" w:rsidRPr="00AA459B">
        <w:rPr>
          <w:b/>
          <w:i/>
          <w:sz w:val="22"/>
          <w:szCs w:val="22"/>
        </w:rPr>
        <w:t>UPDATE</w:t>
      </w:r>
      <w:r w:rsidR="00826166" w:rsidRPr="00AA459B">
        <w:rPr>
          <w:b/>
          <w:i/>
          <w:sz w:val="22"/>
          <w:szCs w:val="22"/>
        </w:rPr>
        <w:t xml:space="preserve">) </w:t>
      </w:r>
      <w:r w:rsidR="005E6D84" w:rsidRPr="00AA459B">
        <w:rPr>
          <w:b/>
          <w:i/>
          <w:sz w:val="22"/>
          <w:szCs w:val="22"/>
        </w:rPr>
        <w:t>INSTRUMENT 20</w:t>
      </w:r>
      <w:r w:rsidR="00376C64" w:rsidRPr="00AA459B">
        <w:rPr>
          <w:b/>
          <w:i/>
          <w:sz w:val="22"/>
          <w:szCs w:val="22"/>
        </w:rPr>
        <w:t>2</w:t>
      </w:r>
      <w:r w:rsidR="00882222" w:rsidRPr="00AA459B">
        <w:rPr>
          <w:b/>
          <w:i/>
          <w:sz w:val="22"/>
          <w:szCs w:val="22"/>
        </w:rPr>
        <w:t>5</w:t>
      </w:r>
    </w:p>
    <w:p w14:paraId="7BE263E4" w14:textId="4E667763" w:rsidR="00302262" w:rsidRPr="00AA459B" w:rsidRDefault="001B3F1C" w:rsidP="00702E76">
      <w:pPr>
        <w:keepLines w:val="0"/>
        <w:spacing w:before="120"/>
        <w:jc w:val="center"/>
        <w:rPr>
          <w:b/>
          <w:sz w:val="22"/>
          <w:szCs w:val="22"/>
        </w:rPr>
      </w:pPr>
      <w:r w:rsidRPr="00AA459B">
        <w:rPr>
          <w:b/>
          <w:sz w:val="22"/>
          <w:szCs w:val="22"/>
        </w:rPr>
        <w:t>PB 44</w:t>
      </w:r>
      <w:r w:rsidR="00506411" w:rsidRPr="00AA459B">
        <w:rPr>
          <w:b/>
          <w:sz w:val="22"/>
          <w:szCs w:val="22"/>
        </w:rPr>
        <w:t xml:space="preserve"> </w:t>
      </w:r>
      <w:r w:rsidR="00557A6F" w:rsidRPr="00AA459B">
        <w:rPr>
          <w:b/>
          <w:sz w:val="22"/>
          <w:szCs w:val="22"/>
        </w:rPr>
        <w:t>of 20</w:t>
      </w:r>
      <w:r w:rsidR="00376C64" w:rsidRPr="00AA459B">
        <w:rPr>
          <w:b/>
          <w:sz w:val="22"/>
          <w:szCs w:val="22"/>
        </w:rPr>
        <w:t>2</w:t>
      </w:r>
      <w:r w:rsidR="00882222" w:rsidRPr="00AA459B">
        <w:rPr>
          <w:b/>
          <w:sz w:val="22"/>
          <w:szCs w:val="22"/>
        </w:rPr>
        <w:t>5</w:t>
      </w:r>
    </w:p>
    <w:p w14:paraId="371F0D6D" w14:textId="554DAB63" w:rsidR="004D4CAB" w:rsidRPr="00AA459B" w:rsidRDefault="004D4CAB" w:rsidP="00702E76">
      <w:pPr>
        <w:keepLines w:val="0"/>
        <w:spacing w:before="120" w:after="0"/>
        <w:rPr>
          <w:sz w:val="22"/>
          <w:szCs w:val="22"/>
        </w:rPr>
      </w:pPr>
    </w:p>
    <w:p w14:paraId="25C27724" w14:textId="77777777" w:rsidR="0072261F" w:rsidRPr="00AA459B" w:rsidRDefault="0072261F" w:rsidP="000018A4">
      <w:pPr>
        <w:keepLines w:val="0"/>
        <w:spacing w:before="120" w:after="0"/>
        <w:rPr>
          <w:b/>
          <w:sz w:val="22"/>
          <w:szCs w:val="22"/>
        </w:rPr>
      </w:pPr>
      <w:r w:rsidRPr="00AA459B">
        <w:rPr>
          <w:b/>
          <w:sz w:val="22"/>
          <w:szCs w:val="22"/>
        </w:rPr>
        <w:t>Purpose</w:t>
      </w:r>
    </w:p>
    <w:p w14:paraId="3061708D" w14:textId="0EF861B3" w:rsidR="0072261F" w:rsidRPr="00AA459B" w:rsidRDefault="0099423F" w:rsidP="00B01EF4">
      <w:pPr>
        <w:keepLines w:val="0"/>
        <w:spacing w:before="120" w:after="0"/>
      </w:pPr>
      <w:r w:rsidRPr="00AA459B">
        <w:rPr>
          <w:sz w:val="22"/>
          <w:szCs w:val="22"/>
        </w:rPr>
        <w:t>This is the</w:t>
      </w:r>
      <w:r w:rsidRPr="00AA459B">
        <w:rPr>
          <w:i/>
          <w:sz w:val="24"/>
          <w:szCs w:val="22"/>
        </w:rPr>
        <w:t xml:space="preserve"> </w:t>
      </w:r>
      <w:r w:rsidR="00826166" w:rsidRPr="00AA459B">
        <w:rPr>
          <w:i/>
          <w:sz w:val="22"/>
        </w:rPr>
        <w:t>National Health (Highly Specialised Drugs Program) Special Arrangement Amendment (</w:t>
      </w:r>
      <w:r w:rsidR="0070574A" w:rsidRPr="00AA459B">
        <w:rPr>
          <w:i/>
          <w:sz w:val="22"/>
        </w:rPr>
        <w:t>May</w:t>
      </w:r>
      <w:r w:rsidR="00B81572" w:rsidRPr="00AA459B">
        <w:rPr>
          <w:i/>
          <w:sz w:val="22"/>
        </w:rPr>
        <w:t xml:space="preserve"> </w:t>
      </w:r>
      <w:r w:rsidR="00AA01F5" w:rsidRPr="00AA459B">
        <w:rPr>
          <w:i/>
          <w:sz w:val="22"/>
        </w:rPr>
        <w:t>Update</w:t>
      </w:r>
      <w:r w:rsidR="00826166" w:rsidRPr="00AA459B">
        <w:rPr>
          <w:i/>
          <w:sz w:val="22"/>
        </w:rPr>
        <w:t>) Instrument 202</w:t>
      </w:r>
      <w:r w:rsidR="00882222" w:rsidRPr="00AA459B">
        <w:rPr>
          <w:i/>
          <w:sz w:val="22"/>
        </w:rPr>
        <w:t>5</w:t>
      </w:r>
      <w:r w:rsidR="003E7848" w:rsidRPr="00AA459B">
        <w:rPr>
          <w:sz w:val="22"/>
          <w:szCs w:val="22"/>
        </w:rPr>
        <w:t xml:space="preserve"> (</w:t>
      </w:r>
      <w:r w:rsidR="001B3F1C" w:rsidRPr="00AA459B">
        <w:rPr>
          <w:sz w:val="22"/>
          <w:szCs w:val="22"/>
        </w:rPr>
        <w:t>PB 44</w:t>
      </w:r>
      <w:r w:rsidR="00BF0C35" w:rsidRPr="00AA459B">
        <w:rPr>
          <w:sz w:val="22"/>
          <w:szCs w:val="22"/>
        </w:rPr>
        <w:t xml:space="preserve"> </w:t>
      </w:r>
      <w:r w:rsidR="003E7848" w:rsidRPr="00AA459B">
        <w:rPr>
          <w:sz w:val="22"/>
          <w:szCs w:val="22"/>
        </w:rPr>
        <w:t>of 202</w:t>
      </w:r>
      <w:r w:rsidR="00882222" w:rsidRPr="00AA459B">
        <w:rPr>
          <w:sz w:val="22"/>
          <w:szCs w:val="22"/>
        </w:rPr>
        <w:t>5</w:t>
      </w:r>
      <w:r w:rsidR="003E7848" w:rsidRPr="00AA459B">
        <w:rPr>
          <w:sz w:val="22"/>
          <w:szCs w:val="22"/>
        </w:rPr>
        <w:t>)</w:t>
      </w:r>
      <w:r w:rsidRPr="00AA459B">
        <w:rPr>
          <w:sz w:val="22"/>
          <w:szCs w:val="22"/>
        </w:rPr>
        <w:t xml:space="preserve"> </w:t>
      </w:r>
      <w:r w:rsidR="00B958E6" w:rsidRPr="00AA459B">
        <w:rPr>
          <w:sz w:val="22"/>
          <w:szCs w:val="22"/>
        </w:rPr>
        <w:t>(this</w:t>
      </w:r>
      <w:r w:rsidR="007D5716" w:rsidRPr="00AA459B">
        <w:rPr>
          <w:sz w:val="22"/>
          <w:szCs w:val="22"/>
        </w:rPr>
        <w:t xml:space="preserve"> </w:t>
      </w:r>
      <w:r w:rsidRPr="00AA459B">
        <w:rPr>
          <w:sz w:val="22"/>
          <w:szCs w:val="22"/>
        </w:rPr>
        <w:t>Instrument). The purpose of th</w:t>
      </w:r>
      <w:r w:rsidR="009138BB" w:rsidRPr="00AA459B">
        <w:rPr>
          <w:sz w:val="22"/>
          <w:szCs w:val="22"/>
        </w:rPr>
        <w:t>is</w:t>
      </w:r>
      <w:r w:rsidR="0014278F" w:rsidRPr="00AA459B">
        <w:rPr>
          <w:sz w:val="22"/>
          <w:szCs w:val="22"/>
        </w:rPr>
        <w:t xml:space="preserve"> </w:t>
      </w:r>
      <w:r w:rsidRPr="00AA459B">
        <w:rPr>
          <w:sz w:val="22"/>
          <w:szCs w:val="22"/>
        </w:rPr>
        <w:t>Instrument</w:t>
      </w:r>
      <w:r w:rsidR="00FA7269" w:rsidRPr="00AA459B">
        <w:rPr>
          <w:sz w:val="22"/>
          <w:szCs w:val="22"/>
        </w:rPr>
        <w:t xml:space="preserve">, made under subsection 100(2) of the </w:t>
      </w:r>
      <w:r w:rsidR="007B66F8" w:rsidRPr="00AA459B">
        <w:rPr>
          <w:i/>
          <w:iCs/>
          <w:sz w:val="22"/>
          <w:szCs w:val="22"/>
        </w:rPr>
        <w:t xml:space="preserve">National Health </w:t>
      </w:r>
      <w:r w:rsidR="00FA7269" w:rsidRPr="00AA459B">
        <w:rPr>
          <w:i/>
          <w:iCs/>
          <w:sz w:val="22"/>
          <w:szCs w:val="22"/>
        </w:rPr>
        <w:t>Act</w:t>
      </w:r>
      <w:r w:rsidR="007B66F8" w:rsidRPr="00AA459B">
        <w:rPr>
          <w:i/>
          <w:iCs/>
          <w:sz w:val="22"/>
          <w:szCs w:val="22"/>
        </w:rPr>
        <w:t xml:space="preserve"> 1953 </w:t>
      </w:r>
      <w:r w:rsidR="007B66F8" w:rsidRPr="00AA459B">
        <w:rPr>
          <w:sz w:val="22"/>
          <w:szCs w:val="22"/>
        </w:rPr>
        <w:t>(the Act)</w:t>
      </w:r>
      <w:r w:rsidR="00FA7269" w:rsidRPr="00AA459B">
        <w:rPr>
          <w:sz w:val="22"/>
          <w:szCs w:val="22"/>
        </w:rPr>
        <w:t xml:space="preserve">, </w:t>
      </w:r>
      <w:r w:rsidRPr="00AA459B">
        <w:rPr>
          <w:sz w:val="22"/>
          <w:szCs w:val="22"/>
        </w:rPr>
        <w:t xml:space="preserve">is to amend the </w:t>
      </w:r>
      <w:r w:rsidR="008A4A82" w:rsidRPr="00AA459B">
        <w:rPr>
          <w:i/>
          <w:sz w:val="22"/>
          <w:szCs w:val="22"/>
        </w:rPr>
        <w:t>National Health (Highly Specialised Drugs P</w:t>
      </w:r>
      <w:r w:rsidRPr="00AA459B">
        <w:rPr>
          <w:i/>
          <w:sz w:val="22"/>
          <w:szCs w:val="22"/>
        </w:rPr>
        <w:t>rogram) Special Arrangement 20</w:t>
      </w:r>
      <w:r w:rsidR="008A4A82" w:rsidRPr="00AA459B">
        <w:rPr>
          <w:i/>
          <w:sz w:val="22"/>
          <w:szCs w:val="22"/>
        </w:rPr>
        <w:t>21</w:t>
      </w:r>
      <w:r w:rsidRPr="00AA459B">
        <w:rPr>
          <w:sz w:val="22"/>
          <w:szCs w:val="22"/>
        </w:rPr>
        <w:t xml:space="preserve"> (PB </w:t>
      </w:r>
      <w:r w:rsidR="008A4A82" w:rsidRPr="00AA459B">
        <w:rPr>
          <w:sz w:val="22"/>
          <w:szCs w:val="22"/>
        </w:rPr>
        <w:t>27</w:t>
      </w:r>
      <w:r w:rsidRPr="00AA459B">
        <w:rPr>
          <w:sz w:val="22"/>
          <w:szCs w:val="22"/>
        </w:rPr>
        <w:t xml:space="preserve"> of 20</w:t>
      </w:r>
      <w:r w:rsidR="008A4A82" w:rsidRPr="00AA459B">
        <w:rPr>
          <w:sz w:val="22"/>
          <w:szCs w:val="22"/>
        </w:rPr>
        <w:t>2</w:t>
      </w:r>
      <w:r w:rsidRPr="00AA459B">
        <w:rPr>
          <w:sz w:val="22"/>
          <w:szCs w:val="22"/>
        </w:rPr>
        <w:t>1) (the Special Arrangement), to make changes to the Special Arrangement relating to th</w:t>
      </w:r>
      <w:r w:rsidR="00702E76" w:rsidRPr="00AA459B">
        <w:rPr>
          <w:sz w:val="22"/>
          <w:szCs w:val="22"/>
        </w:rPr>
        <w:t>e Highly Specialised Drugs</w:t>
      </w:r>
      <w:r w:rsidR="008262B4" w:rsidRPr="00AA459B">
        <w:rPr>
          <w:sz w:val="22"/>
          <w:szCs w:val="22"/>
        </w:rPr>
        <w:t xml:space="preserve"> </w:t>
      </w:r>
      <w:r w:rsidR="007B66F8" w:rsidRPr="00AA459B">
        <w:rPr>
          <w:sz w:val="22"/>
          <w:szCs w:val="22"/>
        </w:rPr>
        <w:t xml:space="preserve">(HSD) </w:t>
      </w:r>
      <w:r w:rsidR="008262B4" w:rsidRPr="00AA459B">
        <w:rPr>
          <w:sz w:val="22"/>
          <w:szCs w:val="22"/>
        </w:rPr>
        <w:t>P</w:t>
      </w:r>
      <w:r w:rsidRPr="00AA459B">
        <w:rPr>
          <w:sz w:val="22"/>
          <w:szCs w:val="22"/>
        </w:rPr>
        <w:t>rogram.</w:t>
      </w:r>
    </w:p>
    <w:p w14:paraId="55145694" w14:textId="7F9CF730" w:rsidR="00B06218" w:rsidRPr="00AA459B" w:rsidRDefault="00FE1E54" w:rsidP="009947DF">
      <w:pPr>
        <w:keepLines w:val="0"/>
        <w:spacing w:before="120" w:after="0"/>
        <w:rPr>
          <w:sz w:val="22"/>
          <w:szCs w:val="22"/>
        </w:rPr>
      </w:pPr>
      <w:r w:rsidRPr="00AA459B">
        <w:rPr>
          <w:sz w:val="22"/>
          <w:szCs w:val="22"/>
        </w:rPr>
        <w:t xml:space="preserve">The amendments made by this Instrument reflect amendments to the </w:t>
      </w:r>
      <w:r w:rsidRPr="00AA459B">
        <w:rPr>
          <w:i/>
          <w:iCs/>
          <w:sz w:val="22"/>
          <w:szCs w:val="22"/>
        </w:rPr>
        <w:t xml:space="preserve">National Health (Listing of Pharmaceutical Benefits) Instrument </w:t>
      </w:r>
      <w:r w:rsidR="00CC0724" w:rsidRPr="00AA459B">
        <w:rPr>
          <w:i/>
          <w:iCs/>
          <w:sz w:val="22"/>
          <w:szCs w:val="22"/>
        </w:rPr>
        <w:t>2024</w:t>
      </w:r>
      <w:r w:rsidRPr="00AA459B">
        <w:rPr>
          <w:sz w:val="22"/>
          <w:szCs w:val="22"/>
        </w:rPr>
        <w:t xml:space="preserve"> (PB </w:t>
      </w:r>
      <w:r w:rsidR="00CC0724" w:rsidRPr="00AA459B">
        <w:rPr>
          <w:sz w:val="22"/>
          <w:szCs w:val="22"/>
        </w:rPr>
        <w:t>26</w:t>
      </w:r>
      <w:r w:rsidRPr="00AA459B">
        <w:rPr>
          <w:sz w:val="22"/>
          <w:szCs w:val="22"/>
        </w:rPr>
        <w:t xml:space="preserve"> of </w:t>
      </w:r>
      <w:r w:rsidR="00CC0724" w:rsidRPr="00AA459B">
        <w:rPr>
          <w:sz w:val="22"/>
          <w:szCs w:val="22"/>
        </w:rPr>
        <w:t>2024</w:t>
      </w:r>
      <w:r w:rsidRPr="00AA459B">
        <w:rPr>
          <w:sz w:val="22"/>
          <w:szCs w:val="22"/>
        </w:rPr>
        <w:t xml:space="preserve">), which commence on the same day. The </w:t>
      </w:r>
      <w:r w:rsidRPr="00AA459B">
        <w:rPr>
          <w:i/>
          <w:iCs/>
          <w:sz w:val="22"/>
          <w:szCs w:val="22"/>
        </w:rPr>
        <w:t xml:space="preserve">National Health (Listing of Pharmaceutical Benefits) Instrument </w:t>
      </w:r>
      <w:r w:rsidR="00CC0724" w:rsidRPr="00AA459B">
        <w:rPr>
          <w:i/>
          <w:iCs/>
          <w:sz w:val="22"/>
          <w:szCs w:val="22"/>
        </w:rPr>
        <w:t>2024</w:t>
      </w:r>
      <w:r w:rsidRPr="00AA459B">
        <w:rPr>
          <w:sz w:val="22"/>
          <w:szCs w:val="22"/>
        </w:rPr>
        <w:t xml:space="preserve"> (PB </w:t>
      </w:r>
      <w:r w:rsidR="00CC0724" w:rsidRPr="00AA459B">
        <w:rPr>
          <w:sz w:val="22"/>
          <w:szCs w:val="22"/>
        </w:rPr>
        <w:t>26</w:t>
      </w:r>
      <w:r w:rsidRPr="00AA459B">
        <w:rPr>
          <w:sz w:val="22"/>
          <w:szCs w:val="22"/>
        </w:rPr>
        <w:t xml:space="preserve"> of </w:t>
      </w:r>
      <w:r w:rsidR="00CC0724" w:rsidRPr="00AA459B">
        <w:rPr>
          <w:sz w:val="22"/>
          <w:szCs w:val="22"/>
        </w:rPr>
        <w:t>2024</w:t>
      </w:r>
      <w:r w:rsidRPr="00AA459B">
        <w:rPr>
          <w:sz w:val="22"/>
          <w:szCs w:val="22"/>
        </w:rPr>
        <w:t>)</w:t>
      </w:r>
      <w:r w:rsidR="00271A42" w:rsidRPr="00AA459B">
        <w:rPr>
          <w:sz w:val="22"/>
          <w:szCs w:val="22"/>
        </w:rPr>
        <w:t>,</w:t>
      </w:r>
      <w:r w:rsidRPr="00AA459B">
        <w:rPr>
          <w:sz w:val="22"/>
          <w:szCs w:val="22"/>
        </w:rPr>
        <w:t xml:space="preserve"> </w:t>
      </w:r>
      <w:r w:rsidR="00271A42" w:rsidRPr="00AA459B">
        <w:rPr>
          <w:sz w:val="22"/>
          <w:szCs w:val="22"/>
        </w:rPr>
        <w:t xml:space="preserve">and amendments to that instrument, are </w:t>
      </w:r>
      <w:r w:rsidRPr="00AA459B">
        <w:rPr>
          <w:sz w:val="22"/>
          <w:szCs w:val="22"/>
        </w:rPr>
        <w:t>made under sections 84AF, 84AK, 85, 85A, 88 and 101 of the Act.</w:t>
      </w:r>
    </w:p>
    <w:p w14:paraId="2A00728B" w14:textId="5020A748" w:rsidR="006B44F9" w:rsidRPr="00AA459B" w:rsidRDefault="001F485F" w:rsidP="000F7232">
      <w:pPr>
        <w:keepLines w:val="0"/>
        <w:spacing w:before="120" w:after="0"/>
        <w:rPr>
          <w:sz w:val="22"/>
          <w:szCs w:val="22"/>
        </w:rPr>
      </w:pPr>
      <w:bookmarkStart w:id="0" w:name="_Hlk177048963"/>
      <w:r w:rsidRPr="00AA459B">
        <w:rPr>
          <w:sz w:val="22"/>
          <w:szCs w:val="22"/>
        </w:rPr>
        <w:t xml:space="preserve">Schedule 1 to this Instrument provides for the addition of </w:t>
      </w:r>
      <w:r w:rsidR="00AB28A7" w:rsidRPr="00AA459B">
        <w:rPr>
          <w:sz w:val="22"/>
          <w:szCs w:val="22"/>
        </w:rPr>
        <w:t xml:space="preserve">the drugs </w:t>
      </w:r>
      <w:proofErr w:type="spellStart"/>
      <w:r w:rsidR="00AB28A7" w:rsidRPr="00AA459B">
        <w:rPr>
          <w:sz w:val="22"/>
          <w:szCs w:val="22"/>
        </w:rPr>
        <w:t>edaravone</w:t>
      </w:r>
      <w:proofErr w:type="spellEnd"/>
      <w:r w:rsidR="00AB28A7" w:rsidRPr="00AA459B">
        <w:rPr>
          <w:sz w:val="22"/>
          <w:szCs w:val="22"/>
        </w:rPr>
        <w:t xml:space="preserve">, </w:t>
      </w:r>
      <w:proofErr w:type="spellStart"/>
      <w:r w:rsidR="00AB28A7" w:rsidRPr="00AA459B">
        <w:rPr>
          <w:sz w:val="22"/>
          <w:szCs w:val="22"/>
        </w:rPr>
        <w:t>esketamine</w:t>
      </w:r>
      <w:proofErr w:type="spellEnd"/>
      <w:r w:rsidR="00AB28A7" w:rsidRPr="00AA459B">
        <w:rPr>
          <w:sz w:val="22"/>
          <w:szCs w:val="22"/>
        </w:rPr>
        <w:t xml:space="preserve">, </w:t>
      </w:r>
      <w:proofErr w:type="spellStart"/>
      <w:r w:rsidR="00AB28A7" w:rsidRPr="00AA459B">
        <w:rPr>
          <w:sz w:val="22"/>
          <w:szCs w:val="22"/>
        </w:rPr>
        <w:t>macitentan</w:t>
      </w:r>
      <w:proofErr w:type="spellEnd"/>
      <w:r w:rsidR="00AB28A7" w:rsidRPr="00AA459B">
        <w:rPr>
          <w:sz w:val="22"/>
          <w:szCs w:val="22"/>
        </w:rPr>
        <w:t xml:space="preserve"> with tadalafil</w:t>
      </w:r>
      <w:r w:rsidR="00094B81" w:rsidRPr="00AA459B">
        <w:rPr>
          <w:sz w:val="22"/>
          <w:szCs w:val="22"/>
        </w:rPr>
        <w:t>,</w:t>
      </w:r>
      <w:r w:rsidR="00AB28A7" w:rsidRPr="00AA459B">
        <w:rPr>
          <w:sz w:val="22"/>
          <w:szCs w:val="22"/>
        </w:rPr>
        <w:t xml:space="preserve"> and </w:t>
      </w:r>
      <w:proofErr w:type="spellStart"/>
      <w:r w:rsidR="00AB28A7" w:rsidRPr="00AA459B">
        <w:rPr>
          <w:sz w:val="22"/>
          <w:szCs w:val="22"/>
        </w:rPr>
        <w:t>vutrisiran</w:t>
      </w:r>
      <w:proofErr w:type="spellEnd"/>
      <w:r w:rsidR="00AB28A7" w:rsidRPr="00AA459B">
        <w:rPr>
          <w:sz w:val="22"/>
          <w:szCs w:val="22"/>
        </w:rPr>
        <w:t xml:space="preserve">, the addition of brands of the listed drugs azacitidine, </w:t>
      </w:r>
      <w:proofErr w:type="spellStart"/>
      <w:r w:rsidR="00AB28A7" w:rsidRPr="00AA459B">
        <w:rPr>
          <w:sz w:val="22"/>
          <w:szCs w:val="22"/>
        </w:rPr>
        <w:t>bosentan</w:t>
      </w:r>
      <w:proofErr w:type="spellEnd"/>
      <w:r w:rsidR="00AB28A7" w:rsidRPr="00AA459B">
        <w:rPr>
          <w:sz w:val="22"/>
          <w:szCs w:val="22"/>
        </w:rPr>
        <w:t xml:space="preserve">, and tenofovir with emtricitabine, </w:t>
      </w:r>
      <w:r w:rsidRPr="00AA459B">
        <w:rPr>
          <w:sz w:val="22"/>
          <w:szCs w:val="22"/>
        </w:rPr>
        <w:t>the deletion of</w:t>
      </w:r>
      <w:r w:rsidR="00A10706" w:rsidRPr="00AA459B">
        <w:rPr>
          <w:sz w:val="22"/>
          <w:szCs w:val="22"/>
        </w:rPr>
        <w:t xml:space="preserve"> </w:t>
      </w:r>
      <w:r w:rsidR="00AB28A7" w:rsidRPr="00AA459B">
        <w:rPr>
          <w:sz w:val="22"/>
          <w:szCs w:val="22"/>
        </w:rPr>
        <w:t>a form of the</w:t>
      </w:r>
      <w:r w:rsidRPr="00AA459B">
        <w:rPr>
          <w:sz w:val="22"/>
          <w:szCs w:val="22"/>
        </w:rPr>
        <w:t xml:space="preserve"> listed drug </w:t>
      </w:r>
      <w:r w:rsidR="00AB28A7" w:rsidRPr="00AA459B">
        <w:rPr>
          <w:sz w:val="22"/>
          <w:szCs w:val="22"/>
        </w:rPr>
        <w:t>adefovir</w:t>
      </w:r>
      <w:r w:rsidR="00AA19AC" w:rsidRPr="00AA459B">
        <w:rPr>
          <w:sz w:val="22"/>
          <w:szCs w:val="22"/>
        </w:rPr>
        <w:t>, and the alteration of circumstances in which a prescription may be written for the listed drug</w:t>
      </w:r>
      <w:r w:rsidR="00AB28A7" w:rsidRPr="00AA459B">
        <w:rPr>
          <w:sz w:val="22"/>
          <w:szCs w:val="22"/>
        </w:rPr>
        <w:t>s</w:t>
      </w:r>
      <w:r w:rsidR="00AA19AC" w:rsidRPr="00AA459B">
        <w:rPr>
          <w:sz w:val="22"/>
          <w:szCs w:val="22"/>
        </w:rPr>
        <w:t xml:space="preserve"> </w:t>
      </w:r>
      <w:proofErr w:type="spellStart"/>
      <w:r w:rsidR="00AB28A7" w:rsidRPr="00AA459B">
        <w:rPr>
          <w:sz w:val="22"/>
          <w:szCs w:val="22"/>
        </w:rPr>
        <w:t>difelikefalin</w:t>
      </w:r>
      <w:proofErr w:type="spellEnd"/>
      <w:r w:rsidR="00094B81" w:rsidRPr="00AA459B">
        <w:rPr>
          <w:sz w:val="22"/>
          <w:szCs w:val="22"/>
        </w:rPr>
        <w:t xml:space="preserve">, </w:t>
      </w:r>
      <w:proofErr w:type="spellStart"/>
      <w:r w:rsidR="00AB28A7" w:rsidRPr="00AA459B">
        <w:rPr>
          <w:sz w:val="22"/>
          <w:szCs w:val="22"/>
        </w:rPr>
        <w:t>eltrombopag</w:t>
      </w:r>
      <w:proofErr w:type="spellEnd"/>
      <w:r w:rsidR="00094B81" w:rsidRPr="00AA459B">
        <w:rPr>
          <w:sz w:val="22"/>
          <w:szCs w:val="22"/>
        </w:rPr>
        <w:t>, infliximab, and vedolizumab</w:t>
      </w:r>
      <w:r w:rsidR="00AA19AC" w:rsidRPr="00AA459B">
        <w:rPr>
          <w:sz w:val="22"/>
          <w:szCs w:val="22"/>
        </w:rPr>
        <w:t xml:space="preserve"> </w:t>
      </w:r>
      <w:r w:rsidRPr="00AA459B">
        <w:rPr>
          <w:sz w:val="22"/>
          <w:szCs w:val="22"/>
        </w:rPr>
        <w:t>under the Special Arrangement.</w:t>
      </w:r>
      <w:r w:rsidR="00A10706" w:rsidRPr="00AA459B">
        <w:rPr>
          <w:sz w:val="22"/>
          <w:szCs w:val="22"/>
        </w:rPr>
        <w:t xml:space="preserve"> </w:t>
      </w:r>
      <w:bookmarkEnd w:id="0"/>
      <w:r w:rsidR="00D51587" w:rsidRPr="00AA459B">
        <w:rPr>
          <w:sz w:val="22"/>
          <w:szCs w:val="22"/>
        </w:rPr>
        <w:t>These</w:t>
      </w:r>
      <w:r w:rsidR="00AC5ACB" w:rsidRPr="00AA459B">
        <w:rPr>
          <w:sz w:val="22"/>
          <w:szCs w:val="22"/>
        </w:rPr>
        <w:t xml:space="preserve"> </w:t>
      </w:r>
      <w:r w:rsidR="00E643A3" w:rsidRPr="00AA459B">
        <w:rPr>
          <w:sz w:val="22"/>
          <w:szCs w:val="22"/>
        </w:rPr>
        <w:t>change</w:t>
      </w:r>
      <w:r w:rsidR="00D51587" w:rsidRPr="00AA459B">
        <w:rPr>
          <w:sz w:val="22"/>
          <w:szCs w:val="22"/>
        </w:rPr>
        <w:t xml:space="preserve">s are </w:t>
      </w:r>
      <w:r w:rsidR="00E643A3" w:rsidRPr="00AA459B">
        <w:rPr>
          <w:sz w:val="22"/>
          <w:szCs w:val="22"/>
        </w:rPr>
        <w:t>summarised, by subject matter, in the Attachment.</w:t>
      </w:r>
    </w:p>
    <w:p w14:paraId="60606F59" w14:textId="77777777" w:rsidR="000A5033" w:rsidRPr="00AA459B" w:rsidRDefault="000A5033" w:rsidP="000018A4">
      <w:pPr>
        <w:keepLines w:val="0"/>
        <w:spacing w:before="120" w:after="0"/>
        <w:rPr>
          <w:b/>
          <w:sz w:val="22"/>
          <w:szCs w:val="22"/>
        </w:rPr>
      </w:pPr>
      <w:r w:rsidRPr="00AA459B">
        <w:rPr>
          <w:b/>
          <w:sz w:val="22"/>
          <w:szCs w:val="22"/>
        </w:rPr>
        <w:t>Authority</w:t>
      </w:r>
    </w:p>
    <w:p w14:paraId="6E9C90CE" w14:textId="0A1D0F87" w:rsidR="000A5033" w:rsidRPr="00AA459B" w:rsidRDefault="000A5033" w:rsidP="000A5033">
      <w:pPr>
        <w:keepLines w:val="0"/>
        <w:spacing w:before="120" w:after="0"/>
        <w:rPr>
          <w:sz w:val="22"/>
          <w:szCs w:val="22"/>
        </w:rPr>
      </w:pPr>
      <w:r w:rsidRPr="00AA459B">
        <w:rPr>
          <w:sz w:val="22"/>
          <w:szCs w:val="22"/>
        </w:rPr>
        <w:t>Subsection 100(1) of the Act enables the Minister</w:t>
      </w:r>
      <w:r w:rsidR="00271A42" w:rsidRPr="00AA459B">
        <w:rPr>
          <w:sz w:val="22"/>
          <w:szCs w:val="22"/>
        </w:rPr>
        <w:t>, by legislative instrument,</w:t>
      </w:r>
      <w:r w:rsidRPr="00AA459B">
        <w:rPr>
          <w:sz w:val="22"/>
          <w:szCs w:val="22"/>
        </w:rPr>
        <w:t xml:space="preserve"> to make special arrangements for the supply of pharmaceutical benefits.</w:t>
      </w:r>
    </w:p>
    <w:p w14:paraId="076C291F" w14:textId="72571A11" w:rsidR="000A5033" w:rsidRPr="00AA459B" w:rsidRDefault="000A5033" w:rsidP="000A5033">
      <w:pPr>
        <w:keepLines w:val="0"/>
        <w:spacing w:before="120" w:after="0"/>
        <w:rPr>
          <w:sz w:val="22"/>
          <w:szCs w:val="22"/>
        </w:rPr>
      </w:pPr>
      <w:r w:rsidRPr="00AA459B">
        <w:rPr>
          <w:sz w:val="22"/>
          <w:szCs w:val="22"/>
        </w:rPr>
        <w:t>Subsection 100(2) of the Act provides that the Minister may</w:t>
      </w:r>
      <w:r w:rsidR="00271A42" w:rsidRPr="00AA459B">
        <w:rPr>
          <w:sz w:val="22"/>
          <w:szCs w:val="22"/>
        </w:rPr>
        <w:t>, by legislative instrument,</w:t>
      </w:r>
      <w:r w:rsidRPr="00AA459B">
        <w:rPr>
          <w:sz w:val="22"/>
          <w:szCs w:val="22"/>
        </w:rPr>
        <w:t xml:space="preserve"> vary or revoke a special arrangement made under subsection 100(1).</w:t>
      </w:r>
    </w:p>
    <w:p w14:paraId="5B724E85" w14:textId="77777777" w:rsidR="000A5033" w:rsidRPr="00AA459B" w:rsidRDefault="000A5033" w:rsidP="000A5033">
      <w:pPr>
        <w:keepLines w:val="0"/>
        <w:spacing w:before="120" w:after="0"/>
        <w:rPr>
          <w:sz w:val="22"/>
          <w:szCs w:val="22"/>
        </w:rPr>
      </w:pPr>
      <w:r w:rsidRPr="00AA459B">
        <w:rPr>
          <w:sz w:val="22"/>
          <w:szCs w:val="22"/>
        </w:rPr>
        <w:t>Subsection 100(3) of the Act provides that Part VII of the Act, and instruments made for the purposes of Part VII have effect subject to a special arrangement made under subsection 100(1).</w:t>
      </w:r>
    </w:p>
    <w:p w14:paraId="2EA3A356" w14:textId="0DAAE98B" w:rsidR="00271A42" w:rsidRPr="00AA459B" w:rsidRDefault="00271A42" w:rsidP="00271A42">
      <w:pPr>
        <w:keepLines w:val="0"/>
        <w:spacing w:before="120" w:after="0"/>
        <w:rPr>
          <w:b/>
          <w:sz w:val="22"/>
          <w:szCs w:val="22"/>
        </w:rPr>
      </w:pPr>
      <w:r w:rsidRPr="00AA459B">
        <w:rPr>
          <w:b/>
          <w:sz w:val="22"/>
          <w:szCs w:val="22"/>
        </w:rPr>
        <w:t xml:space="preserve">Background for </w:t>
      </w:r>
      <w:proofErr w:type="spellStart"/>
      <w:r w:rsidRPr="00AA459B">
        <w:rPr>
          <w:b/>
          <w:sz w:val="22"/>
          <w:szCs w:val="22"/>
        </w:rPr>
        <w:t>edaravone</w:t>
      </w:r>
      <w:proofErr w:type="spellEnd"/>
      <w:r w:rsidRPr="00AA459B">
        <w:rPr>
          <w:b/>
          <w:sz w:val="22"/>
          <w:szCs w:val="22"/>
        </w:rPr>
        <w:t xml:space="preserve"> amendment</w:t>
      </w:r>
    </w:p>
    <w:p w14:paraId="612830C8" w14:textId="5920E4B4" w:rsidR="00271A42" w:rsidRPr="00AA459B" w:rsidRDefault="00271A42" w:rsidP="00271A42">
      <w:pPr>
        <w:keepLines w:val="0"/>
        <w:spacing w:before="120" w:after="0"/>
        <w:rPr>
          <w:sz w:val="22"/>
          <w:szCs w:val="22"/>
        </w:rPr>
      </w:pPr>
      <w:r w:rsidRPr="00AA459B">
        <w:rPr>
          <w:sz w:val="22"/>
          <w:szCs w:val="22"/>
        </w:rPr>
        <w:t xml:space="preserve">The HSD Program is being amended upon a recommendation by the Pharmaceutical Benefits Advisory Committee (PBAC) to include </w:t>
      </w:r>
      <w:proofErr w:type="spellStart"/>
      <w:r w:rsidRPr="00AA459B">
        <w:rPr>
          <w:sz w:val="22"/>
          <w:szCs w:val="22"/>
        </w:rPr>
        <w:t>edaravone</w:t>
      </w:r>
      <w:proofErr w:type="spellEnd"/>
      <w:r w:rsidRPr="00AA459B">
        <w:rPr>
          <w:sz w:val="22"/>
          <w:szCs w:val="22"/>
        </w:rPr>
        <w:t xml:space="preserve"> for the treatment of amyotrophic lateral sclerosis (ALS). Access to initial treatment with </w:t>
      </w:r>
      <w:proofErr w:type="spellStart"/>
      <w:r w:rsidRPr="00AA459B">
        <w:rPr>
          <w:sz w:val="22"/>
          <w:szCs w:val="22"/>
        </w:rPr>
        <w:t>edaravone</w:t>
      </w:r>
      <w:proofErr w:type="spellEnd"/>
      <w:r w:rsidRPr="00AA459B">
        <w:rPr>
          <w:sz w:val="22"/>
          <w:szCs w:val="22"/>
        </w:rPr>
        <w:t xml:space="preserve"> will occur through prescriptions written by a specialist affiliated with a public or private hospital under the HSD Program. </w:t>
      </w:r>
      <w:proofErr w:type="spellStart"/>
      <w:r w:rsidRPr="00AA459B">
        <w:rPr>
          <w:sz w:val="22"/>
          <w:szCs w:val="22"/>
        </w:rPr>
        <w:t>Edaravone</w:t>
      </w:r>
      <w:proofErr w:type="spellEnd"/>
      <w:r w:rsidRPr="00AA459B">
        <w:rPr>
          <w:sz w:val="22"/>
          <w:szCs w:val="22"/>
        </w:rPr>
        <w:t xml:space="preserve"> will be available via the HSD Program Community Access arrangements for continuing treatment. Enabling access to </w:t>
      </w:r>
      <w:proofErr w:type="spellStart"/>
      <w:r w:rsidRPr="00AA459B">
        <w:rPr>
          <w:sz w:val="22"/>
          <w:szCs w:val="22"/>
        </w:rPr>
        <w:t>edaravone</w:t>
      </w:r>
      <w:proofErr w:type="spellEnd"/>
      <w:r w:rsidRPr="00AA459B">
        <w:rPr>
          <w:sz w:val="22"/>
          <w:szCs w:val="22"/>
        </w:rPr>
        <w:t xml:space="preserve"> for continuing treatment through the HSD Program Community Access arrangements means that any medical practitioner may prescribe </w:t>
      </w:r>
      <w:proofErr w:type="spellStart"/>
      <w:r w:rsidRPr="00AA459B">
        <w:rPr>
          <w:sz w:val="22"/>
          <w:szCs w:val="22"/>
        </w:rPr>
        <w:t>edaravone</w:t>
      </w:r>
      <w:proofErr w:type="spellEnd"/>
      <w:r w:rsidRPr="00AA459B">
        <w:rPr>
          <w:sz w:val="22"/>
          <w:szCs w:val="22"/>
        </w:rPr>
        <w:t xml:space="preserve"> for continuing treatment, including for patients receiving treatment in a community setting. Additionally, Community Access prescriptions written by medical practitioners for the continuing treatment of patients receiving treatment in, at, or from a public or private hospital can be dispensed from any Pharmaceutical Benefits Scheme (PBS) Approved Supplier, including community pharmacies. As well as providing subsidised access to a new treatment for ALS, this amendment will enable patients receiving continuing treatment with </w:t>
      </w:r>
      <w:proofErr w:type="spellStart"/>
      <w:r w:rsidRPr="00AA459B">
        <w:rPr>
          <w:sz w:val="22"/>
          <w:szCs w:val="22"/>
        </w:rPr>
        <w:t>edaravone</w:t>
      </w:r>
      <w:proofErr w:type="spellEnd"/>
      <w:r w:rsidRPr="00AA459B">
        <w:rPr>
          <w:sz w:val="22"/>
          <w:szCs w:val="22"/>
        </w:rPr>
        <w:t xml:space="preserve"> to have a greater choice as to where they access their treatment, particularly those in rural and remote areas.</w:t>
      </w:r>
    </w:p>
    <w:p w14:paraId="564D3B81" w14:textId="26FD5EBD" w:rsidR="005C58D3" w:rsidRPr="00AA459B" w:rsidRDefault="005C58D3" w:rsidP="00271A42">
      <w:pPr>
        <w:keepLines w:val="0"/>
        <w:spacing w:before="120" w:after="0"/>
        <w:rPr>
          <w:b/>
          <w:sz w:val="22"/>
          <w:szCs w:val="22"/>
        </w:rPr>
      </w:pPr>
      <w:r w:rsidRPr="00AA459B">
        <w:rPr>
          <w:b/>
          <w:sz w:val="22"/>
          <w:szCs w:val="22"/>
        </w:rPr>
        <w:t>Consultation</w:t>
      </w:r>
    </w:p>
    <w:p w14:paraId="65F30E32" w14:textId="211264DD" w:rsidR="002D5A84" w:rsidRPr="00AA459B" w:rsidRDefault="002D5A84" w:rsidP="002D5A84">
      <w:pPr>
        <w:keepLines w:val="0"/>
        <w:spacing w:before="120" w:after="0"/>
        <w:rPr>
          <w:sz w:val="22"/>
          <w:szCs w:val="22"/>
        </w:rPr>
      </w:pPr>
      <w:r w:rsidRPr="00AA459B">
        <w:rPr>
          <w:sz w:val="22"/>
          <w:szCs w:val="22"/>
        </w:rPr>
        <w:t>The amendments made by this Instrument accord with recommendations made by the PBAC.</w:t>
      </w:r>
    </w:p>
    <w:p w14:paraId="08A276C8" w14:textId="77777777" w:rsidR="005C58D3" w:rsidRPr="00AA459B" w:rsidRDefault="005C58D3" w:rsidP="00702E76">
      <w:pPr>
        <w:keepLines w:val="0"/>
        <w:spacing w:before="120" w:after="0"/>
        <w:rPr>
          <w:sz w:val="22"/>
          <w:szCs w:val="22"/>
        </w:rPr>
      </w:pPr>
      <w:r w:rsidRPr="00AA459B">
        <w:rPr>
          <w:sz w:val="22"/>
          <w:szCs w:val="22"/>
        </w:rPr>
        <w:lastRenderedPageBreak/>
        <w:t>An ongoing and formal process of consultation in relation to matters relevant to the Special Arrangement includes the involvement of interested parties throu</w:t>
      </w:r>
      <w:r w:rsidR="00D46558" w:rsidRPr="00AA459B">
        <w:rPr>
          <w:sz w:val="22"/>
          <w:szCs w:val="22"/>
        </w:rPr>
        <w:t>gh the membership of the PBAC.</w:t>
      </w:r>
    </w:p>
    <w:p w14:paraId="5BB39392" w14:textId="2AC21FFE" w:rsidR="00302262" w:rsidRPr="00AA459B" w:rsidRDefault="00302262" w:rsidP="00702E76">
      <w:pPr>
        <w:keepLines w:val="0"/>
        <w:spacing w:before="120" w:after="0"/>
        <w:rPr>
          <w:sz w:val="22"/>
          <w:szCs w:val="22"/>
        </w:rPr>
      </w:pPr>
      <w:r w:rsidRPr="00AA459B">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AA459B">
        <w:rPr>
          <w:sz w:val="22"/>
          <w:szCs w:val="22"/>
        </w:rPr>
        <w:t xml:space="preserve"> </w:t>
      </w:r>
      <w:r w:rsidRPr="00AA459B">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AA459B">
        <w:rPr>
          <w:sz w:val="22"/>
          <w:szCs w:val="22"/>
        </w:rPr>
        <w:t xml:space="preserve"> </w:t>
      </w:r>
      <w:r w:rsidR="00D872FC" w:rsidRPr="00AA459B">
        <w:rPr>
          <w:sz w:val="22"/>
          <w:szCs w:val="22"/>
        </w:rPr>
        <w:t>In addition, an industry nominee has been appointed to the PBAC membership.</w:t>
      </w:r>
      <w:r w:rsidR="004A2713" w:rsidRPr="00AA459B">
        <w:rPr>
          <w:sz w:val="22"/>
          <w:szCs w:val="22"/>
        </w:rPr>
        <w:t xml:space="preserve"> </w:t>
      </w:r>
      <w:r w:rsidRPr="00AA459B">
        <w:rPr>
          <w:sz w:val="22"/>
          <w:szCs w:val="22"/>
        </w:rPr>
        <w:t xml:space="preserve">When recommending the listing of a medicine on the PBS, PBAC </w:t>
      </w:r>
      <w:proofErr w:type="gramStart"/>
      <w:r w:rsidRPr="00AA459B">
        <w:rPr>
          <w:sz w:val="22"/>
          <w:szCs w:val="22"/>
        </w:rPr>
        <w:t>takes into account</w:t>
      </w:r>
      <w:proofErr w:type="gramEnd"/>
      <w:r w:rsidRPr="00AA459B">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AA459B" w:rsidRDefault="00302262" w:rsidP="00702E76">
      <w:pPr>
        <w:keepLines w:val="0"/>
        <w:spacing w:before="120" w:after="0"/>
        <w:rPr>
          <w:sz w:val="22"/>
          <w:szCs w:val="22"/>
        </w:rPr>
      </w:pPr>
      <w:r w:rsidRPr="00AA459B">
        <w:rPr>
          <w:sz w:val="22"/>
          <w:szCs w:val="22"/>
        </w:rPr>
        <w:t>Pharmaceutical companies were consulted throughout the process of changes to the listings on the PBS.</w:t>
      </w:r>
      <w:r w:rsidR="004E7F32" w:rsidRPr="00AA459B">
        <w:rPr>
          <w:sz w:val="22"/>
          <w:szCs w:val="22"/>
        </w:rPr>
        <w:t xml:space="preserve"> </w:t>
      </w:r>
      <w:r w:rsidRPr="00AA459B">
        <w:rPr>
          <w:sz w:val="22"/>
          <w:szCs w:val="22"/>
        </w:rPr>
        <w:t>This includes consultation through the PBAC process</w:t>
      </w:r>
      <w:r w:rsidR="000F1FB7" w:rsidRPr="00AA459B">
        <w:rPr>
          <w:sz w:val="22"/>
          <w:szCs w:val="22"/>
        </w:rPr>
        <w:t>.</w:t>
      </w:r>
    </w:p>
    <w:p w14:paraId="62CD39CA" w14:textId="798F6D10" w:rsidR="00A46F3B" w:rsidRPr="00AA459B" w:rsidRDefault="005138A2" w:rsidP="00702E76">
      <w:pPr>
        <w:keepLines w:val="0"/>
        <w:spacing w:before="120" w:after="0"/>
        <w:rPr>
          <w:sz w:val="22"/>
          <w:szCs w:val="22"/>
        </w:rPr>
      </w:pPr>
      <w:bookmarkStart w:id="1" w:name="_Hlk96588746"/>
      <w:r w:rsidRPr="00AA459B">
        <w:rPr>
          <w:sz w:val="22"/>
          <w:szCs w:val="22"/>
        </w:rPr>
        <w:t>Further consultation for this Instrument was considered unnecessary due to the nature of the consultation that has already taken place in the decision to list the medication</w:t>
      </w:r>
      <w:bookmarkEnd w:id="1"/>
      <w:r w:rsidRPr="00AA459B">
        <w:rPr>
          <w:sz w:val="22"/>
          <w:szCs w:val="22"/>
        </w:rPr>
        <w:t xml:space="preserve">s outlined </w:t>
      </w:r>
      <w:r w:rsidR="00483A13" w:rsidRPr="00AA459B">
        <w:rPr>
          <w:sz w:val="22"/>
          <w:szCs w:val="22"/>
        </w:rPr>
        <w:t>under ‘Purpose’.</w:t>
      </w:r>
    </w:p>
    <w:p w14:paraId="762EF7CF" w14:textId="77777777" w:rsidR="00AF05D6" w:rsidRPr="00AA459B" w:rsidRDefault="003503AF" w:rsidP="00702E76">
      <w:pPr>
        <w:keepLines w:val="0"/>
        <w:spacing w:before="120" w:after="0"/>
        <w:rPr>
          <w:sz w:val="22"/>
          <w:szCs w:val="22"/>
        </w:rPr>
      </w:pPr>
      <w:r w:rsidRPr="00AA459B">
        <w:rPr>
          <w:sz w:val="22"/>
          <w:szCs w:val="22"/>
        </w:rPr>
        <w:t>Details of th</w:t>
      </w:r>
      <w:r w:rsidR="00B61F3B" w:rsidRPr="00AA459B">
        <w:rPr>
          <w:sz w:val="22"/>
          <w:szCs w:val="22"/>
        </w:rPr>
        <w:t>is</w:t>
      </w:r>
      <w:r w:rsidRPr="00AA459B">
        <w:rPr>
          <w:sz w:val="22"/>
          <w:szCs w:val="22"/>
        </w:rPr>
        <w:t xml:space="preserve"> </w:t>
      </w:r>
      <w:r w:rsidR="00B61F3B" w:rsidRPr="00AA459B">
        <w:rPr>
          <w:sz w:val="22"/>
          <w:szCs w:val="22"/>
        </w:rPr>
        <w:t>I</w:t>
      </w:r>
      <w:r w:rsidRPr="00AA459B">
        <w:rPr>
          <w:sz w:val="22"/>
          <w:szCs w:val="22"/>
        </w:rPr>
        <w:t>nstrument are set out in the Attachment.</w:t>
      </w:r>
    </w:p>
    <w:p w14:paraId="02E5C2F4" w14:textId="490521D3" w:rsidR="00302262" w:rsidRPr="00AA459B" w:rsidRDefault="006C256A" w:rsidP="00702E76">
      <w:pPr>
        <w:keepLines w:val="0"/>
        <w:spacing w:before="120" w:after="0"/>
        <w:rPr>
          <w:sz w:val="22"/>
          <w:szCs w:val="22"/>
        </w:rPr>
      </w:pPr>
      <w:r w:rsidRPr="00AA459B">
        <w:rPr>
          <w:sz w:val="22"/>
          <w:szCs w:val="22"/>
        </w:rPr>
        <w:t xml:space="preserve">This Instrument commences on </w:t>
      </w:r>
      <w:r w:rsidR="00AA01F5" w:rsidRPr="00AA459B">
        <w:rPr>
          <w:sz w:val="22"/>
          <w:szCs w:val="22"/>
        </w:rPr>
        <w:t xml:space="preserve">1 </w:t>
      </w:r>
      <w:r w:rsidR="0070574A" w:rsidRPr="00AA459B">
        <w:rPr>
          <w:sz w:val="22"/>
          <w:szCs w:val="22"/>
        </w:rPr>
        <w:t>May</w:t>
      </w:r>
      <w:r w:rsidR="00B81572" w:rsidRPr="00AA459B">
        <w:rPr>
          <w:sz w:val="22"/>
          <w:szCs w:val="22"/>
        </w:rPr>
        <w:t xml:space="preserve"> </w:t>
      </w:r>
      <w:r w:rsidR="00AA01F5" w:rsidRPr="00AA459B">
        <w:rPr>
          <w:sz w:val="22"/>
          <w:szCs w:val="22"/>
        </w:rPr>
        <w:t>202</w:t>
      </w:r>
      <w:r w:rsidR="00B81572" w:rsidRPr="00AA459B">
        <w:rPr>
          <w:sz w:val="22"/>
          <w:szCs w:val="22"/>
        </w:rPr>
        <w:t>5</w:t>
      </w:r>
      <w:r w:rsidR="00302262" w:rsidRPr="00AA459B">
        <w:rPr>
          <w:sz w:val="22"/>
          <w:szCs w:val="22"/>
        </w:rPr>
        <w:t>.</w:t>
      </w:r>
    </w:p>
    <w:p w14:paraId="5006F56E" w14:textId="51D6489A" w:rsidR="00AC48B6" w:rsidRPr="00AA459B" w:rsidRDefault="00302262" w:rsidP="00702E76">
      <w:pPr>
        <w:keepLines w:val="0"/>
        <w:spacing w:before="120" w:after="0"/>
        <w:rPr>
          <w:sz w:val="22"/>
          <w:szCs w:val="22"/>
        </w:rPr>
      </w:pPr>
      <w:r w:rsidRPr="00AA459B">
        <w:rPr>
          <w:sz w:val="22"/>
          <w:szCs w:val="22"/>
        </w:rPr>
        <w:t xml:space="preserve">This Instrument is a legislative instrument for the purposes of the </w:t>
      </w:r>
      <w:r w:rsidR="00D205CF" w:rsidRPr="00AA459B">
        <w:rPr>
          <w:i/>
          <w:sz w:val="22"/>
          <w:szCs w:val="22"/>
        </w:rPr>
        <w:t>Legislation</w:t>
      </w:r>
      <w:r w:rsidRPr="00AA459B">
        <w:rPr>
          <w:i/>
          <w:sz w:val="22"/>
          <w:szCs w:val="22"/>
        </w:rPr>
        <w:t xml:space="preserve"> Act</w:t>
      </w:r>
      <w:r w:rsidR="001C3893" w:rsidRPr="00AA459B">
        <w:rPr>
          <w:i/>
          <w:sz w:val="22"/>
          <w:szCs w:val="22"/>
        </w:rPr>
        <w:t xml:space="preserve"> </w:t>
      </w:r>
      <w:r w:rsidRPr="00AA459B">
        <w:rPr>
          <w:i/>
          <w:sz w:val="22"/>
          <w:szCs w:val="22"/>
        </w:rPr>
        <w:t>2003</w:t>
      </w:r>
      <w:r w:rsidRPr="00AA459B">
        <w:rPr>
          <w:sz w:val="22"/>
          <w:szCs w:val="22"/>
        </w:rPr>
        <w:t>.</w:t>
      </w:r>
    </w:p>
    <w:p w14:paraId="707A98E6" w14:textId="77777777" w:rsidR="000A4B91" w:rsidRPr="00AA459B" w:rsidRDefault="000A4B91" w:rsidP="00456324">
      <w:pPr>
        <w:keepLines w:val="0"/>
        <w:jc w:val="right"/>
        <w:rPr>
          <w:b/>
          <w:sz w:val="22"/>
          <w:szCs w:val="22"/>
        </w:rPr>
      </w:pPr>
      <w:r w:rsidRPr="00AA459B">
        <w:rPr>
          <w:sz w:val="22"/>
          <w:szCs w:val="22"/>
        </w:rPr>
        <w:br w:type="page"/>
      </w:r>
      <w:r w:rsidRPr="00AA459B">
        <w:rPr>
          <w:b/>
          <w:sz w:val="22"/>
          <w:szCs w:val="22"/>
        </w:rPr>
        <w:lastRenderedPageBreak/>
        <w:t>ATTACHMENT</w:t>
      </w:r>
    </w:p>
    <w:p w14:paraId="2A489D67" w14:textId="55A28774" w:rsidR="00B54A5B" w:rsidRPr="00AA459B" w:rsidRDefault="00560EC6" w:rsidP="00633959">
      <w:pPr>
        <w:keepLines w:val="0"/>
        <w:spacing w:before="360"/>
        <w:rPr>
          <w:b/>
          <w:sz w:val="22"/>
          <w:szCs w:val="22"/>
        </w:rPr>
      </w:pPr>
      <w:r w:rsidRPr="00AA459B">
        <w:rPr>
          <w:b/>
          <w:sz w:val="22"/>
          <w:szCs w:val="22"/>
        </w:rPr>
        <w:t>DETAILS</w:t>
      </w:r>
      <w:r w:rsidR="00456324" w:rsidRPr="00AA459B">
        <w:rPr>
          <w:b/>
          <w:sz w:val="22"/>
          <w:szCs w:val="22"/>
        </w:rPr>
        <w:t xml:space="preserve"> OF </w:t>
      </w:r>
      <w:r w:rsidRPr="00AA459B">
        <w:rPr>
          <w:b/>
          <w:sz w:val="22"/>
          <w:szCs w:val="22"/>
        </w:rPr>
        <w:t xml:space="preserve">THE </w:t>
      </w:r>
      <w:r w:rsidR="00456324" w:rsidRPr="00AA459B">
        <w:rPr>
          <w:b/>
          <w:i/>
          <w:sz w:val="22"/>
          <w:szCs w:val="22"/>
        </w:rPr>
        <w:t>NATIONAL HEALTH</w:t>
      </w:r>
      <w:r w:rsidR="0044792C" w:rsidRPr="00AA459B">
        <w:rPr>
          <w:b/>
          <w:i/>
          <w:sz w:val="22"/>
          <w:szCs w:val="22"/>
        </w:rPr>
        <w:t xml:space="preserve"> (</w:t>
      </w:r>
      <w:r w:rsidR="00456324" w:rsidRPr="00AA459B">
        <w:rPr>
          <w:b/>
          <w:i/>
          <w:sz w:val="22"/>
          <w:szCs w:val="22"/>
        </w:rPr>
        <w:t>HIGHLY</w:t>
      </w:r>
      <w:r w:rsidR="0044792C" w:rsidRPr="00AA459B">
        <w:rPr>
          <w:b/>
          <w:i/>
          <w:sz w:val="22"/>
          <w:szCs w:val="22"/>
        </w:rPr>
        <w:t xml:space="preserve"> </w:t>
      </w:r>
      <w:r w:rsidR="00456324" w:rsidRPr="00AA459B">
        <w:rPr>
          <w:b/>
          <w:i/>
          <w:sz w:val="22"/>
          <w:szCs w:val="22"/>
        </w:rPr>
        <w:t>SPECIALISED</w:t>
      </w:r>
      <w:r w:rsidR="00B54A5B" w:rsidRPr="00AA459B">
        <w:rPr>
          <w:b/>
          <w:i/>
          <w:sz w:val="22"/>
          <w:szCs w:val="22"/>
        </w:rPr>
        <w:t xml:space="preserve"> </w:t>
      </w:r>
      <w:r w:rsidR="00456324" w:rsidRPr="00AA459B">
        <w:rPr>
          <w:b/>
          <w:i/>
          <w:sz w:val="22"/>
          <w:szCs w:val="22"/>
        </w:rPr>
        <w:t>DRUGS PROGRAM</w:t>
      </w:r>
      <w:r w:rsidR="00B54A5B" w:rsidRPr="00AA459B">
        <w:rPr>
          <w:b/>
          <w:i/>
          <w:sz w:val="22"/>
          <w:szCs w:val="22"/>
        </w:rPr>
        <w:t xml:space="preserve">) </w:t>
      </w:r>
      <w:r w:rsidR="00826166" w:rsidRPr="00AA459B">
        <w:rPr>
          <w:b/>
          <w:i/>
          <w:sz w:val="22"/>
          <w:szCs w:val="22"/>
        </w:rPr>
        <w:t>SPECIAL ARRANGEMENT AMENDMENT (</w:t>
      </w:r>
      <w:r w:rsidR="0070574A" w:rsidRPr="00AA459B">
        <w:rPr>
          <w:b/>
          <w:i/>
          <w:sz w:val="22"/>
          <w:szCs w:val="22"/>
        </w:rPr>
        <w:t>MAY</w:t>
      </w:r>
      <w:r w:rsidR="00281399" w:rsidRPr="00AA459B">
        <w:rPr>
          <w:b/>
          <w:i/>
          <w:sz w:val="22"/>
          <w:szCs w:val="22"/>
        </w:rPr>
        <w:t xml:space="preserve"> </w:t>
      </w:r>
      <w:r w:rsidR="00AA01F5" w:rsidRPr="00AA459B">
        <w:rPr>
          <w:b/>
          <w:i/>
          <w:sz w:val="22"/>
          <w:szCs w:val="22"/>
        </w:rPr>
        <w:t>UPDATE</w:t>
      </w:r>
      <w:r w:rsidR="00826166" w:rsidRPr="00AA459B">
        <w:rPr>
          <w:b/>
          <w:i/>
          <w:sz w:val="22"/>
          <w:szCs w:val="22"/>
        </w:rPr>
        <w:t xml:space="preserve">) </w:t>
      </w:r>
      <w:r w:rsidR="00456324" w:rsidRPr="00AA459B">
        <w:rPr>
          <w:b/>
          <w:i/>
          <w:sz w:val="22"/>
          <w:szCs w:val="22"/>
        </w:rPr>
        <w:t xml:space="preserve">INSTRUMENT </w:t>
      </w:r>
      <w:r w:rsidR="00557A6F" w:rsidRPr="00AA459B">
        <w:rPr>
          <w:b/>
          <w:i/>
          <w:sz w:val="22"/>
          <w:szCs w:val="22"/>
        </w:rPr>
        <w:t>202</w:t>
      </w:r>
      <w:r w:rsidR="00796EBD" w:rsidRPr="00AA459B">
        <w:rPr>
          <w:b/>
          <w:i/>
          <w:sz w:val="22"/>
          <w:szCs w:val="22"/>
        </w:rPr>
        <w:t>5</w:t>
      </w:r>
    </w:p>
    <w:p w14:paraId="3ECB36FC" w14:textId="77777777" w:rsidR="006A613A" w:rsidRPr="00AA459B" w:rsidRDefault="000A4B91" w:rsidP="00192841">
      <w:pPr>
        <w:keepLines w:val="0"/>
        <w:tabs>
          <w:tab w:val="left" w:pos="1418"/>
        </w:tabs>
        <w:spacing w:before="240" w:after="0"/>
        <w:rPr>
          <w:b/>
          <w:sz w:val="22"/>
          <w:szCs w:val="22"/>
        </w:rPr>
      </w:pPr>
      <w:r w:rsidRPr="00AA459B">
        <w:rPr>
          <w:b/>
          <w:sz w:val="22"/>
          <w:szCs w:val="22"/>
        </w:rPr>
        <w:t>Section 1</w:t>
      </w:r>
      <w:r w:rsidRPr="00AA459B">
        <w:rPr>
          <w:b/>
          <w:sz w:val="22"/>
          <w:szCs w:val="22"/>
        </w:rPr>
        <w:tab/>
        <w:t>Name of Instrument</w:t>
      </w:r>
    </w:p>
    <w:p w14:paraId="15092EBA" w14:textId="56237BFB" w:rsidR="000A4B91" w:rsidRPr="00AA459B" w:rsidRDefault="000A4B91" w:rsidP="00C974B7">
      <w:pPr>
        <w:keepLines w:val="0"/>
        <w:spacing w:before="120" w:after="0"/>
        <w:rPr>
          <w:sz w:val="22"/>
          <w:szCs w:val="22"/>
        </w:rPr>
      </w:pPr>
      <w:r w:rsidRPr="00AA459B">
        <w:rPr>
          <w:sz w:val="22"/>
          <w:szCs w:val="22"/>
        </w:rPr>
        <w:t>This sec</w:t>
      </w:r>
      <w:r w:rsidR="005D7DC1" w:rsidRPr="00AA459B">
        <w:rPr>
          <w:sz w:val="22"/>
          <w:szCs w:val="22"/>
        </w:rPr>
        <w:t xml:space="preserve">tion provides </w:t>
      </w:r>
      <w:r w:rsidR="00152B53" w:rsidRPr="00AA459B">
        <w:rPr>
          <w:sz w:val="22"/>
          <w:szCs w:val="22"/>
        </w:rPr>
        <w:t xml:space="preserve">that the </w:t>
      </w:r>
      <w:r w:rsidR="00E076D9" w:rsidRPr="00AA459B">
        <w:rPr>
          <w:sz w:val="22"/>
          <w:szCs w:val="22"/>
        </w:rPr>
        <w:t xml:space="preserve">name of the </w:t>
      </w:r>
      <w:r w:rsidR="005D7DC1" w:rsidRPr="00AA459B">
        <w:rPr>
          <w:sz w:val="22"/>
          <w:szCs w:val="22"/>
        </w:rPr>
        <w:t>I</w:t>
      </w:r>
      <w:r w:rsidRPr="00AA459B">
        <w:rPr>
          <w:sz w:val="22"/>
          <w:szCs w:val="22"/>
        </w:rPr>
        <w:t xml:space="preserve">nstrument </w:t>
      </w:r>
      <w:r w:rsidR="00152B53" w:rsidRPr="00AA459B">
        <w:rPr>
          <w:sz w:val="22"/>
          <w:szCs w:val="22"/>
        </w:rPr>
        <w:t xml:space="preserve">is </w:t>
      </w:r>
      <w:r w:rsidRPr="00AA459B">
        <w:rPr>
          <w:sz w:val="22"/>
          <w:szCs w:val="22"/>
        </w:rPr>
        <w:t xml:space="preserve">the </w:t>
      </w:r>
      <w:r w:rsidR="008A4A82" w:rsidRPr="00AA459B">
        <w:rPr>
          <w:i/>
          <w:sz w:val="22"/>
          <w:szCs w:val="22"/>
        </w:rPr>
        <w:t>National Health (Highly S</w:t>
      </w:r>
      <w:r w:rsidRPr="00AA459B">
        <w:rPr>
          <w:i/>
          <w:sz w:val="22"/>
          <w:szCs w:val="22"/>
        </w:rPr>
        <w:t xml:space="preserve">pecialised </w:t>
      </w:r>
      <w:r w:rsidR="008A4A82" w:rsidRPr="00AA459B">
        <w:rPr>
          <w:i/>
          <w:sz w:val="22"/>
          <w:szCs w:val="22"/>
        </w:rPr>
        <w:t>D</w:t>
      </w:r>
      <w:r w:rsidRPr="00AA459B">
        <w:rPr>
          <w:i/>
          <w:sz w:val="22"/>
          <w:szCs w:val="22"/>
        </w:rPr>
        <w:t xml:space="preserve">rugs </w:t>
      </w:r>
      <w:r w:rsidR="008A4A82" w:rsidRPr="00AA459B">
        <w:rPr>
          <w:i/>
          <w:sz w:val="22"/>
          <w:szCs w:val="22"/>
        </w:rPr>
        <w:t>P</w:t>
      </w:r>
      <w:r w:rsidRPr="00AA459B">
        <w:rPr>
          <w:i/>
          <w:sz w:val="22"/>
          <w:szCs w:val="22"/>
        </w:rPr>
        <w:t>rogram) Special A</w:t>
      </w:r>
      <w:r w:rsidR="006036A7" w:rsidRPr="00AA459B">
        <w:rPr>
          <w:i/>
          <w:sz w:val="22"/>
          <w:szCs w:val="22"/>
        </w:rPr>
        <w:t xml:space="preserve">rrangement Amendment </w:t>
      </w:r>
      <w:r w:rsidR="00826166" w:rsidRPr="00AA459B">
        <w:rPr>
          <w:i/>
          <w:sz w:val="22"/>
          <w:szCs w:val="22"/>
        </w:rPr>
        <w:t>(</w:t>
      </w:r>
      <w:r w:rsidR="00F940F3" w:rsidRPr="00AA459B">
        <w:rPr>
          <w:i/>
          <w:sz w:val="22"/>
          <w:szCs w:val="22"/>
        </w:rPr>
        <w:t>May</w:t>
      </w:r>
      <w:r w:rsidR="00B81572" w:rsidRPr="00AA459B">
        <w:rPr>
          <w:i/>
          <w:sz w:val="22"/>
          <w:szCs w:val="22"/>
        </w:rPr>
        <w:t xml:space="preserve"> </w:t>
      </w:r>
      <w:r w:rsidR="00AA01F5" w:rsidRPr="00AA459B">
        <w:rPr>
          <w:i/>
          <w:sz w:val="22"/>
          <w:szCs w:val="22"/>
        </w:rPr>
        <w:t>Update</w:t>
      </w:r>
      <w:r w:rsidR="00826166" w:rsidRPr="00AA459B">
        <w:rPr>
          <w:i/>
          <w:sz w:val="22"/>
          <w:szCs w:val="22"/>
        </w:rPr>
        <w:t xml:space="preserve">) </w:t>
      </w:r>
      <w:r w:rsidR="006036A7" w:rsidRPr="00AA459B">
        <w:rPr>
          <w:i/>
          <w:sz w:val="22"/>
          <w:szCs w:val="22"/>
        </w:rPr>
        <w:t xml:space="preserve">Instrument </w:t>
      </w:r>
      <w:r w:rsidR="008F2270" w:rsidRPr="00AA459B">
        <w:rPr>
          <w:i/>
          <w:sz w:val="22"/>
          <w:szCs w:val="22"/>
        </w:rPr>
        <w:t>202</w:t>
      </w:r>
      <w:r w:rsidR="00796EBD" w:rsidRPr="00AA459B">
        <w:rPr>
          <w:i/>
          <w:sz w:val="22"/>
          <w:szCs w:val="22"/>
        </w:rPr>
        <w:t>5</w:t>
      </w:r>
      <w:r w:rsidR="008E5300" w:rsidRPr="00AA459B">
        <w:rPr>
          <w:sz w:val="22"/>
          <w:szCs w:val="22"/>
        </w:rPr>
        <w:t xml:space="preserve"> and may </w:t>
      </w:r>
      <w:r w:rsidR="00833424" w:rsidRPr="00AA459B">
        <w:rPr>
          <w:sz w:val="22"/>
          <w:szCs w:val="22"/>
        </w:rPr>
        <w:t xml:space="preserve">also </w:t>
      </w:r>
      <w:r w:rsidR="00825F76" w:rsidRPr="00AA459B">
        <w:rPr>
          <w:sz w:val="22"/>
          <w:szCs w:val="22"/>
        </w:rPr>
        <w:t>be cit</w:t>
      </w:r>
      <w:r w:rsidR="004E7F32" w:rsidRPr="00AA459B">
        <w:rPr>
          <w:sz w:val="22"/>
          <w:szCs w:val="22"/>
        </w:rPr>
        <w:t xml:space="preserve">ed as </w:t>
      </w:r>
      <w:r w:rsidR="001B3F1C" w:rsidRPr="00AA459B">
        <w:rPr>
          <w:sz w:val="22"/>
          <w:szCs w:val="22"/>
        </w:rPr>
        <w:t>PB 44</w:t>
      </w:r>
      <w:r w:rsidR="006A6438" w:rsidRPr="00AA459B">
        <w:rPr>
          <w:sz w:val="22"/>
          <w:szCs w:val="22"/>
        </w:rPr>
        <w:t xml:space="preserve"> </w:t>
      </w:r>
      <w:r w:rsidRPr="00AA459B">
        <w:rPr>
          <w:sz w:val="22"/>
          <w:szCs w:val="22"/>
        </w:rPr>
        <w:t>of</w:t>
      </w:r>
      <w:r w:rsidR="006036A7" w:rsidRPr="00AA459B">
        <w:rPr>
          <w:sz w:val="22"/>
          <w:szCs w:val="22"/>
        </w:rPr>
        <w:t> </w:t>
      </w:r>
      <w:r w:rsidR="007D7545" w:rsidRPr="00AA459B">
        <w:rPr>
          <w:sz w:val="22"/>
          <w:szCs w:val="22"/>
        </w:rPr>
        <w:t>20</w:t>
      </w:r>
      <w:r w:rsidR="00376C64" w:rsidRPr="00AA459B">
        <w:rPr>
          <w:sz w:val="22"/>
          <w:szCs w:val="22"/>
        </w:rPr>
        <w:t>2</w:t>
      </w:r>
      <w:r w:rsidR="00796EBD" w:rsidRPr="00AA459B">
        <w:rPr>
          <w:sz w:val="22"/>
          <w:szCs w:val="22"/>
        </w:rPr>
        <w:t>5</w:t>
      </w:r>
      <w:r w:rsidRPr="00AA459B">
        <w:rPr>
          <w:sz w:val="22"/>
          <w:szCs w:val="22"/>
        </w:rPr>
        <w:t>.</w:t>
      </w:r>
    </w:p>
    <w:p w14:paraId="1C524C7F" w14:textId="75F5BAF4" w:rsidR="006A613A" w:rsidRPr="00AA459B" w:rsidRDefault="000A4B91" w:rsidP="00630B65">
      <w:pPr>
        <w:keepLines w:val="0"/>
        <w:tabs>
          <w:tab w:val="left" w:pos="1418"/>
        </w:tabs>
        <w:spacing w:before="240" w:after="0"/>
        <w:rPr>
          <w:b/>
          <w:sz w:val="22"/>
          <w:szCs w:val="22"/>
        </w:rPr>
      </w:pPr>
      <w:r w:rsidRPr="00AA459B">
        <w:rPr>
          <w:b/>
          <w:sz w:val="22"/>
          <w:szCs w:val="22"/>
        </w:rPr>
        <w:t>Section 2</w:t>
      </w:r>
      <w:r w:rsidR="00AD7C60" w:rsidRPr="00AA459B">
        <w:rPr>
          <w:b/>
          <w:sz w:val="22"/>
          <w:szCs w:val="22"/>
        </w:rPr>
        <w:tab/>
      </w:r>
      <w:r w:rsidRPr="00AA459B">
        <w:rPr>
          <w:b/>
          <w:sz w:val="22"/>
          <w:szCs w:val="22"/>
        </w:rPr>
        <w:t>Commencement</w:t>
      </w:r>
    </w:p>
    <w:p w14:paraId="1CA996BD" w14:textId="068B2776" w:rsidR="00CD443C" w:rsidRPr="00AA459B" w:rsidRDefault="000A4B91" w:rsidP="00931768">
      <w:pPr>
        <w:keepLines w:val="0"/>
        <w:spacing w:before="120" w:after="0"/>
        <w:rPr>
          <w:sz w:val="22"/>
          <w:szCs w:val="22"/>
        </w:rPr>
      </w:pPr>
      <w:r w:rsidRPr="00AA459B">
        <w:rPr>
          <w:sz w:val="22"/>
          <w:szCs w:val="22"/>
        </w:rPr>
        <w:t xml:space="preserve">This section provides that this </w:t>
      </w:r>
      <w:r w:rsidR="005D7DC1" w:rsidRPr="00AA459B">
        <w:rPr>
          <w:sz w:val="22"/>
          <w:szCs w:val="22"/>
        </w:rPr>
        <w:t>I</w:t>
      </w:r>
      <w:r w:rsidRPr="00AA459B">
        <w:rPr>
          <w:sz w:val="22"/>
          <w:szCs w:val="22"/>
        </w:rPr>
        <w:t xml:space="preserve">nstrument </w:t>
      </w:r>
      <w:r w:rsidR="00CD443C" w:rsidRPr="00AA459B">
        <w:rPr>
          <w:sz w:val="22"/>
          <w:szCs w:val="22"/>
        </w:rPr>
        <w:t xml:space="preserve">commences on </w:t>
      </w:r>
      <w:r w:rsidR="00F81FAD" w:rsidRPr="00AA459B">
        <w:rPr>
          <w:sz w:val="22"/>
          <w:szCs w:val="22"/>
        </w:rPr>
        <w:t xml:space="preserve">1 </w:t>
      </w:r>
      <w:r w:rsidR="0070574A" w:rsidRPr="00AA459B">
        <w:rPr>
          <w:sz w:val="22"/>
          <w:szCs w:val="22"/>
        </w:rPr>
        <w:t>May</w:t>
      </w:r>
      <w:r w:rsidR="00F81FAD" w:rsidRPr="00AA459B">
        <w:rPr>
          <w:sz w:val="22"/>
          <w:szCs w:val="22"/>
        </w:rPr>
        <w:t xml:space="preserve"> 202</w:t>
      </w:r>
      <w:r w:rsidR="00B81572" w:rsidRPr="00AA459B">
        <w:rPr>
          <w:sz w:val="22"/>
          <w:szCs w:val="22"/>
        </w:rPr>
        <w:t>5</w:t>
      </w:r>
      <w:r w:rsidR="004E4493" w:rsidRPr="00AA459B">
        <w:rPr>
          <w:sz w:val="22"/>
          <w:szCs w:val="22"/>
        </w:rPr>
        <w:t>.</w:t>
      </w:r>
    </w:p>
    <w:p w14:paraId="1EE5077C" w14:textId="69FE29B8" w:rsidR="00AD7C60" w:rsidRPr="00AA459B" w:rsidRDefault="00AD7C60" w:rsidP="00D33516">
      <w:pPr>
        <w:keepLines w:val="0"/>
        <w:spacing w:before="240" w:after="0"/>
        <w:ind w:left="1418" w:hanging="1418"/>
        <w:rPr>
          <w:b/>
          <w:sz w:val="22"/>
          <w:szCs w:val="22"/>
        </w:rPr>
      </w:pPr>
      <w:r w:rsidRPr="00AA459B">
        <w:rPr>
          <w:b/>
          <w:sz w:val="22"/>
          <w:szCs w:val="22"/>
        </w:rPr>
        <w:t>Section 3</w:t>
      </w:r>
      <w:r w:rsidRPr="00AA459B">
        <w:rPr>
          <w:b/>
          <w:sz w:val="22"/>
          <w:szCs w:val="22"/>
        </w:rPr>
        <w:tab/>
        <w:t>Authority</w:t>
      </w:r>
    </w:p>
    <w:p w14:paraId="0D87659C" w14:textId="78100E73" w:rsidR="00AD7C60" w:rsidRPr="00AA459B" w:rsidRDefault="00AD7C60" w:rsidP="00B01EF4">
      <w:pPr>
        <w:pStyle w:val="NormalWeb"/>
        <w:spacing w:before="120" w:beforeAutospacing="0" w:after="120" w:afterAutospacing="0"/>
        <w:jc w:val="both"/>
        <w:rPr>
          <w:b/>
          <w:sz w:val="22"/>
          <w:szCs w:val="22"/>
        </w:rPr>
      </w:pPr>
      <w:bookmarkStart w:id="2" w:name="_Hlk79566839"/>
      <w:r w:rsidRPr="00AA459B">
        <w:rPr>
          <w:color w:val="000000"/>
          <w:sz w:val="22"/>
          <w:szCs w:val="19"/>
        </w:rPr>
        <w:t xml:space="preserve">This section states that this </w:t>
      </w:r>
      <w:r w:rsidR="006062C5" w:rsidRPr="00AA459B">
        <w:rPr>
          <w:color w:val="000000"/>
          <w:sz w:val="22"/>
          <w:szCs w:val="19"/>
        </w:rPr>
        <w:t>I</w:t>
      </w:r>
      <w:r w:rsidRPr="00AA459B">
        <w:rPr>
          <w:color w:val="000000"/>
          <w:sz w:val="22"/>
          <w:szCs w:val="19"/>
        </w:rPr>
        <w:t xml:space="preserve">nstrument is made under </w:t>
      </w:r>
      <w:r w:rsidRPr="00AA459B">
        <w:rPr>
          <w:sz w:val="22"/>
          <w:szCs w:val="22"/>
        </w:rPr>
        <w:t xml:space="preserve">subsection 100(2) </w:t>
      </w:r>
      <w:r w:rsidRPr="00AA459B">
        <w:rPr>
          <w:color w:val="000000"/>
          <w:sz w:val="22"/>
          <w:szCs w:val="19"/>
        </w:rPr>
        <w:t xml:space="preserve">of the </w:t>
      </w:r>
      <w:r w:rsidRPr="00AA459B">
        <w:rPr>
          <w:i/>
          <w:iCs/>
          <w:color w:val="000000"/>
          <w:sz w:val="22"/>
          <w:szCs w:val="19"/>
        </w:rPr>
        <w:t>National Health Act 1953</w:t>
      </w:r>
      <w:r w:rsidRPr="00AA459B">
        <w:rPr>
          <w:color w:val="000000"/>
          <w:sz w:val="22"/>
          <w:szCs w:val="19"/>
        </w:rPr>
        <w:t>.</w:t>
      </w:r>
      <w:bookmarkEnd w:id="2"/>
    </w:p>
    <w:p w14:paraId="0974722A" w14:textId="1056A6B6" w:rsidR="003308F2" w:rsidRPr="00AA459B" w:rsidRDefault="000A4B91" w:rsidP="00AD7C60">
      <w:pPr>
        <w:keepLines w:val="0"/>
        <w:tabs>
          <w:tab w:val="left" w:pos="1418"/>
        </w:tabs>
        <w:spacing w:before="240" w:after="0"/>
        <w:ind w:left="1418" w:hanging="1418"/>
        <w:rPr>
          <w:b/>
          <w:sz w:val="22"/>
          <w:szCs w:val="22"/>
        </w:rPr>
      </w:pPr>
      <w:r w:rsidRPr="00AA459B">
        <w:rPr>
          <w:b/>
          <w:sz w:val="22"/>
          <w:szCs w:val="22"/>
        </w:rPr>
        <w:t xml:space="preserve">Section </w:t>
      </w:r>
      <w:r w:rsidR="00AD7C60" w:rsidRPr="00AA459B">
        <w:rPr>
          <w:b/>
          <w:sz w:val="22"/>
          <w:szCs w:val="22"/>
        </w:rPr>
        <w:t>4</w:t>
      </w:r>
      <w:r w:rsidRPr="00AA459B">
        <w:rPr>
          <w:b/>
          <w:sz w:val="22"/>
          <w:szCs w:val="22"/>
        </w:rPr>
        <w:tab/>
      </w:r>
      <w:r w:rsidR="00AD7C60" w:rsidRPr="00AA459B">
        <w:rPr>
          <w:b/>
          <w:bCs/>
          <w:sz w:val="22"/>
          <w:szCs w:val="22"/>
        </w:rPr>
        <w:t>Schedules</w:t>
      </w:r>
    </w:p>
    <w:p w14:paraId="3C1E99D7" w14:textId="0801FF57" w:rsidR="00AD7C60" w:rsidRPr="00AA459B" w:rsidRDefault="00355481" w:rsidP="00B01EF4">
      <w:pPr>
        <w:pStyle w:val="NormalWeb"/>
        <w:spacing w:before="120" w:beforeAutospacing="0" w:after="120" w:afterAutospacing="0"/>
        <w:jc w:val="both"/>
        <w:rPr>
          <w:sz w:val="22"/>
          <w:szCs w:val="22"/>
        </w:rPr>
      </w:pPr>
      <w:r w:rsidRPr="00AA459B">
        <w:rPr>
          <w:sz w:val="22"/>
          <w:szCs w:val="22"/>
        </w:rPr>
        <w:t>This section</w:t>
      </w:r>
      <w:r w:rsidR="00AD7C60" w:rsidRPr="00AA459B">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AA459B" w:rsidRDefault="00EA6689" w:rsidP="00B13219">
      <w:pPr>
        <w:keepLines w:val="0"/>
        <w:tabs>
          <w:tab w:val="left" w:pos="1418"/>
        </w:tabs>
        <w:spacing w:before="240"/>
        <w:rPr>
          <w:b/>
          <w:sz w:val="22"/>
          <w:szCs w:val="22"/>
        </w:rPr>
      </w:pPr>
      <w:r w:rsidRPr="00AA459B">
        <w:rPr>
          <w:b/>
          <w:sz w:val="22"/>
          <w:szCs w:val="22"/>
        </w:rPr>
        <w:t>Schedule 1</w:t>
      </w:r>
      <w:r w:rsidRPr="00AA459B">
        <w:rPr>
          <w:b/>
          <w:sz w:val="22"/>
          <w:szCs w:val="22"/>
        </w:rPr>
        <w:tab/>
        <w:t>Amendments</w:t>
      </w:r>
    </w:p>
    <w:p w14:paraId="697CACE3" w14:textId="1C7584D7" w:rsidR="00071A12" w:rsidRPr="00AA459B" w:rsidRDefault="00071A12" w:rsidP="00071A12">
      <w:pPr>
        <w:keepLines w:val="0"/>
        <w:tabs>
          <w:tab w:val="left" w:pos="1418"/>
        </w:tabs>
        <w:spacing w:before="120"/>
        <w:rPr>
          <w:b/>
          <w:sz w:val="22"/>
          <w:szCs w:val="22"/>
        </w:rPr>
      </w:pPr>
      <w:r w:rsidRPr="00AA459B">
        <w:rPr>
          <w:i/>
          <w:sz w:val="22"/>
          <w:szCs w:val="22"/>
        </w:rPr>
        <w:t>National Health (Highly Specialised Drugs Program) Special Arrangement 2021</w:t>
      </w:r>
      <w:r w:rsidRPr="00AA459B">
        <w:rPr>
          <w:sz w:val="22"/>
          <w:szCs w:val="22"/>
        </w:rPr>
        <w:t xml:space="preserve"> (PB 27 of 2021)</w:t>
      </w:r>
    </w:p>
    <w:p w14:paraId="4DE338D1" w14:textId="257DD3D8" w:rsidR="003259D1" w:rsidRPr="00AA459B" w:rsidRDefault="003259D1" w:rsidP="003259D1">
      <w:pPr>
        <w:pStyle w:val="NormalWeb"/>
        <w:tabs>
          <w:tab w:val="left" w:pos="1418"/>
        </w:tabs>
        <w:spacing w:before="120" w:beforeAutospacing="0" w:after="120" w:afterAutospacing="0"/>
        <w:jc w:val="both"/>
        <w:rPr>
          <w:b/>
          <w:bCs/>
          <w:i/>
          <w:iCs/>
          <w:sz w:val="22"/>
          <w:szCs w:val="22"/>
        </w:rPr>
      </w:pPr>
      <w:bookmarkStart w:id="3" w:name="_Hlk161660382"/>
      <w:r w:rsidRPr="00AA459B">
        <w:rPr>
          <w:b/>
          <w:bCs/>
          <w:sz w:val="22"/>
          <w:szCs w:val="22"/>
        </w:rPr>
        <w:t>Item 1</w:t>
      </w:r>
      <w:r w:rsidRPr="00AA459B">
        <w:rPr>
          <w:b/>
          <w:bCs/>
          <w:sz w:val="22"/>
          <w:szCs w:val="22"/>
        </w:rPr>
        <w:tab/>
        <w:t xml:space="preserve">Definition of </w:t>
      </w:r>
      <w:r w:rsidRPr="00AA459B">
        <w:rPr>
          <w:b/>
          <w:bCs/>
          <w:i/>
          <w:iCs/>
          <w:sz w:val="22"/>
          <w:szCs w:val="22"/>
        </w:rPr>
        <w:t>CAR drug</w:t>
      </w:r>
    </w:p>
    <w:p w14:paraId="37C1A491" w14:textId="3860675D" w:rsidR="003259D1" w:rsidRPr="00AA459B" w:rsidRDefault="003259D1" w:rsidP="003259D1">
      <w:pPr>
        <w:keepLines w:val="0"/>
        <w:tabs>
          <w:tab w:val="left" w:pos="0"/>
        </w:tabs>
        <w:spacing w:before="240" w:after="0"/>
        <w:rPr>
          <w:sz w:val="22"/>
          <w:szCs w:val="22"/>
        </w:rPr>
      </w:pPr>
      <w:r w:rsidRPr="00AA459B">
        <w:rPr>
          <w:sz w:val="22"/>
          <w:szCs w:val="22"/>
        </w:rPr>
        <w:t xml:space="preserve">This item amends the definition of </w:t>
      </w:r>
      <w:r w:rsidRPr="00AA459B">
        <w:rPr>
          <w:i/>
          <w:iCs/>
          <w:sz w:val="22"/>
          <w:szCs w:val="22"/>
        </w:rPr>
        <w:t>CAR drug</w:t>
      </w:r>
      <w:r w:rsidRPr="00AA459B">
        <w:rPr>
          <w:sz w:val="22"/>
          <w:szCs w:val="22"/>
        </w:rPr>
        <w:t xml:space="preserve"> in section 6 of the Special Arrangement to include the drugs </w:t>
      </w:r>
      <w:proofErr w:type="spellStart"/>
      <w:r w:rsidRPr="00AA459B">
        <w:rPr>
          <w:sz w:val="22"/>
          <w:szCs w:val="22"/>
        </w:rPr>
        <w:t>macitentan</w:t>
      </w:r>
      <w:proofErr w:type="spellEnd"/>
      <w:r w:rsidRPr="00AA459B">
        <w:rPr>
          <w:sz w:val="22"/>
          <w:szCs w:val="22"/>
        </w:rPr>
        <w:t xml:space="preserve"> with tadalafil, and </w:t>
      </w:r>
      <w:proofErr w:type="spellStart"/>
      <w:r w:rsidRPr="00AA459B">
        <w:rPr>
          <w:sz w:val="22"/>
          <w:szCs w:val="22"/>
        </w:rPr>
        <w:t>vutrisiran</w:t>
      </w:r>
      <w:proofErr w:type="spellEnd"/>
      <w:r w:rsidRPr="00AA459B">
        <w:rPr>
          <w:sz w:val="22"/>
          <w:szCs w:val="22"/>
        </w:rPr>
        <w:t xml:space="preserve"> in the list of drugs which are CAR drugs.</w:t>
      </w:r>
    </w:p>
    <w:p w14:paraId="1D6C3B37" w14:textId="76EBC4A1" w:rsidR="003259D1" w:rsidRPr="00AA459B" w:rsidRDefault="003259D1" w:rsidP="003259D1">
      <w:pPr>
        <w:pStyle w:val="NormalWeb"/>
        <w:tabs>
          <w:tab w:val="left" w:pos="1418"/>
        </w:tabs>
        <w:spacing w:before="120" w:beforeAutospacing="0" w:after="120" w:afterAutospacing="0"/>
        <w:jc w:val="both"/>
        <w:rPr>
          <w:b/>
          <w:bCs/>
          <w:sz w:val="22"/>
          <w:szCs w:val="22"/>
        </w:rPr>
      </w:pPr>
      <w:r w:rsidRPr="00AA459B">
        <w:rPr>
          <w:b/>
          <w:bCs/>
          <w:sz w:val="22"/>
          <w:szCs w:val="22"/>
        </w:rPr>
        <w:t>Item 2</w:t>
      </w:r>
      <w:r w:rsidRPr="00AA459B">
        <w:rPr>
          <w:b/>
          <w:bCs/>
          <w:sz w:val="22"/>
          <w:szCs w:val="22"/>
        </w:rPr>
        <w:tab/>
        <w:t xml:space="preserve">Definition of </w:t>
      </w:r>
      <w:r w:rsidRPr="00AA459B">
        <w:rPr>
          <w:b/>
          <w:bCs/>
          <w:i/>
          <w:iCs/>
          <w:sz w:val="22"/>
          <w:szCs w:val="22"/>
        </w:rPr>
        <w:t>community access medication</w:t>
      </w:r>
    </w:p>
    <w:p w14:paraId="5C286E04" w14:textId="77777777" w:rsidR="003259D1" w:rsidRPr="00AA459B" w:rsidRDefault="003259D1" w:rsidP="003259D1">
      <w:pPr>
        <w:keepLines w:val="0"/>
        <w:tabs>
          <w:tab w:val="left" w:pos="0"/>
        </w:tabs>
        <w:spacing w:before="240" w:after="0"/>
        <w:rPr>
          <w:sz w:val="22"/>
          <w:szCs w:val="22"/>
        </w:rPr>
      </w:pPr>
      <w:r w:rsidRPr="00AA459B">
        <w:rPr>
          <w:sz w:val="22"/>
          <w:szCs w:val="22"/>
        </w:rPr>
        <w:t xml:space="preserve">This item amends the definition of </w:t>
      </w:r>
      <w:r w:rsidRPr="00AA459B">
        <w:rPr>
          <w:i/>
          <w:iCs/>
          <w:sz w:val="22"/>
          <w:szCs w:val="22"/>
        </w:rPr>
        <w:t>community access medication</w:t>
      </w:r>
      <w:r w:rsidRPr="00AA459B">
        <w:rPr>
          <w:sz w:val="22"/>
          <w:szCs w:val="22"/>
        </w:rPr>
        <w:t xml:space="preserve"> in section 6 of the Special Arrangement to include the drug </w:t>
      </w:r>
      <w:proofErr w:type="spellStart"/>
      <w:r w:rsidRPr="00AA459B">
        <w:rPr>
          <w:sz w:val="22"/>
          <w:szCs w:val="22"/>
        </w:rPr>
        <w:t>edaravone</w:t>
      </w:r>
      <w:proofErr w:type="spellEnd"/>
      <w:r w:rsidRPr="00AA459B">
        <w:rPr>
          <w:sz w:val="22"/>
          <w:szCs w:val="22"/>
        </w:rPr>
        <w:t xml:space="preserve"> limited to where the use is for continuing treatment.</w:t>
      </w:r>
    </w:p>
    <w:p w14:paraId="161182C5" w14:textId="6A5C6DC3" w:rsidR="003259D1" w:rsidRPr="00AA459B" w:rsidRDefault="003259D1" w:rsidP="003259D1">
      <w:pPr>
        <w:keepLines w:val="0"/>
        <w:tabs>
          <w:tab w:val="left" w:pos="1418"/>
        </w:tabs>
        <w:spacing w:before="240" w:after="0"/>
        <w:ind w:left="1418" w:hanging="1418"/>
        <w:rPr>
          <w:b/>
          <w:sz w:val="22"/>
          <w:szCs w:val="22"/>
        </w:rPr>
      </w:pPr>
      <w:r w:rsidRPr="00AA459B">
        <w:rPr>
          <w:b/>
          <w:sz w:val="22"/>
          <w:szCs w:val="22"/>
        </w:rPr>
        <w:t>Item 3</w:t>
      </w:r>
      <w:r w:rsidRPr="00AA459B">
        <w:rPr>
          <w:b/>
          <w:sz w:val="22"/>
          <w:szCs w:val="22"/>
        </w:rPr>
        <w:tab/>
        <w:t xml:space="preserve">Definition of </w:t>
      </w:r>
      <w:r w:rsidRPr="00AA459B">
        <w:rPr>
          <w:b/>
          <w:i/>
          <w:iCs/>
          <w:sz w:val="22"/>
          <w:szCs w:val="22"/>
        </w:rPr>
        <w:t>authorised prescriber</w:t>
      </w:r>
    </w:p>
    <w:p w14:paraId="38D287F3" w14:textId="77777777" w:rsidR="003259D1" w:rsidRPr="00AA459B" w:rsidRDefault="003259D1" w:rsidP="003259D1">
      <w:pPr>
        <w:keepLines w:val="0"/>
        <w:spacing w:before="120"/>
        <w:rPr>
          <w:sz w:val="22"/>
          <w:szCs w:val="22"/>
        </w:rPr>
      </w:pPr>
      <w:r w:rsidRPr="00AA459B">
        <w:rPr>
          <w:sz w:val="22"/>
          <w:szCs w:val="22"/>
        </w:rPr>
        <w:t xml:space="preserve">This item amends the definition of </w:t>
      </w:r>
      <w:r w:rsidRPr="00AA459B">
        <w:rPr>
          <w:i/>
          <w:iCs/>
          <w:sz w:val="22"/>
          <w:szCs w:val="22"/>
        </w:rPr>
        <w:t>authorised prescriber</w:t>
      </w:r>
      <w:r w:rsidRPr="00AA459B">
        <w:rPr>
          <w:sz w:val="22"/>
          <w:szCs w:val="22"/>
        </w:rPr>
        <w:t xml:space="preserve"> in subsection 7(4) of the Special Arrangement. The effect of this amendment is to make a medical practitioner an </w:t>
      </w:r>
      <w:r w:rsidRPr="00AA459B">
        <w:rPr>
          <w:i/>
          <w:iCs/>
          <w:sz w:val="22"/>
          <w:szCs w:val="22"/>
        </w:rPr>
        <w:t>authorised prescriber</w:t>
      </w:r>
      <w:r w:rsidRPr="00AA459B">
        <w:rPr>
          <w:sz w:val="22"/>
          <w:szCs w:val="22"/>
        </w:rPr>
        <w:t xml:space="preserve"> for HSD pharmaceutical benefits that have the drug </w:t>
      </w:r>
      <w:proofErr w:type="spellStart"/>
      <w:r w:rsidRPr="00AA459B">
        <w:rPr>
          <w:sz w:val="22"/>
          <w:szCs w:val="22"/>
        </w:rPr>
        <w:t>edaravone</w:t>
      </w:r>
      <w:proofErr w:type="spellEnd"/>
      <w:r w:rsidRPr="00AA459B">
        <w:rPr>
          <w:sz w:val="22"/>
          <w:szCs w:val="22"/>
        </w:rPr>
        <w:t>, regardless of the form of the drug, for the continuing phase of the patient’s treatment.</w:t>
      </w:r>
    </w:p>
    <w:p w14:paraId="7FB63A95" w14:textId="77777777" w:rsidR="003259D1" w:rsidRPr="00AA459B" w:rsidRDefault="003259D1" w:rsidP="003259D1">
      <w:pPr>
        <w:keepLines w:val="0"/>
        <w:spacing w:before="120"/>
        <w:rPr>
          <w:sz w:val="22"/>
          <w:szCs w:val="22"/>
        </w:rPr>
      </w:pPr>
      <w:r w:rsidRPr="00AA459B">
        <w:rPr>
          <w:sz w:val="22"/>
          <w:szCs w:val="22"/>
        </w:rPr>
        <w:t xml:space="preserve">The reference to “continuing treatment” in the amended definition of </w:t>
      </w:r>
      <w:r w:rsidRPr="00AA459B">
        <w:rPr>
          <w:i/>
          <w:iCs/>
          <w:sz w:val="22"/>
          <w:szCs w:val="22"/>
        </w:rPr>
        <w:t>community access medication</w:t>
      </w:r>
      <w:r w:rsidRPr="00AA459B">
        <w:rPr>
          <w:sz w:val="22"/>
          <w:szCs w:val="22"/>
        </w:rPr>
        <w:t xml:space="preserve"> as it relates to </w:t>
      </w:r>
      <w:proofErr w:type="spellStart"/>
      <w:r w:rsidRPr="00AA459B">
        <w:rPr>
          <w:sz w:val="22"/>
          <w:szCs w:val="22"/>
        </w:rPr>
        <w:t>edaravone</w:t>
      </w:r>
      <w:proofErr w:type="spellEnd"/>
      <w:r w:rsidRPr="00AA459B">
        <w:rPr>
          <w:sz w:val="22"/>
          <w:szCs w:val="22"/>
        </w:rPr>
        <w:t xml:space="preserve">, and in subsection 7(4) (as amended), limits community access </w:t>
      </w:r>
      <w:proofErr w:type="spellStart"/>
      <w:r w:rsidRPr="00AA459B">
        <w:rPr>
          <w:sz w:val="22"/>
          <w:szCs w:val="22"/>
        </w:rPr>
        <w:t>edaravone</w:t>
      </w:r>
      <w:proofErr w:type="spellEnd"/>
      <w:r w:rsidRPr="00AA459B">
        <w:rPr>
          <w:sz w:val="22"/>
          <w:szCs w:val="22"/>
        </w:rPr>
        <w:t xml:space="preserve"> to a patient’s continuing treatment phase.</w:t>
      </w:r>
    </w:p>
    <w:p w14:paraId="77788AA0" w14:textId="537BE868" w:rsidR="003259D1" w:rsidRPr="00AA459B" w:rsidRDefault="003259D1" w:rsidP="003259D1">
      <w:pPr>
        <w:pStyle w:val="NormalWeb"/>
        <w:spacing w:before="120" w:beforeAutospacing="0" w:after="0" w:afterAutospacing="0"/>
        <w:jc w:val="both"/>
        <w:rPr>
          <w:sz w:val="22"/>
          <w:szCs w:val="22"/>
        </w:rPr>
      </w:pPr>
      <w:r w:rsidRPr="00AA459B">
        <w:rPr>
          <w:sz w:val="22"/>
          <w:szCs w:val="22"/>
        </w:rPr>
        <w:t xml:space="preserve">The prescription circumstances for </w:t>
      </w:r>
      <w:proofErr w:type="spellStart"/>
      <w:r w:rsidRPr="00AA459B">
        <w:rPr>
          <w:sz w:val="22"/>
          <w:szCs w:val="22"/>
        </w:rPr>
        <w:t>edaravone</w:t>
      </w:r>
      <w:proofErr w:type="spellEnd"/>
      <w:r w:rsidRPr="00AA459B">
        <w:rPr>
          <w:sz w:val="22"/>
          <w:szCs w:val="22"/>
        </w:rPr>
        <w:t xml:space="preserve"> in Schedule 3 to the Special Arrangement (as amended by this Instrument) clarify that, for a patient’s initial treatment phase, the patient’s condition must be or have been diagnosed by a neurologist. Under existing subsection 7(1) of the Special Arrangement, a specialist affiliated with the hospital in, at, or from which the patient is receiving treatment is an authorised prescriber for </w:t>
      </w:r>
      <w:proofErr w:type="spellStart"/>
      <w:r w:rsidRPr="00AA459B">
        <w:rPr>
          <w:sz w:val="22"/>
          <w:szCs w:val="22"/>
        </w:rPr>
        <w:t>edaravone</w:t>
      </w:r>
      <w:proofErr w:type="spellEnd"/>
      <w:r w:rsidRPr="00AA459B">
        <w:rPr>
          <w:sz w:val="22"/>
          <w:szCs w:val="22"/>
        </w:rPr>
        <w:t xml:space="preserve"> for initial treatment. The effect of existing subsection 7(1), operating in conjunction with the prescription circumstances for </w:t>
      </w:r>
      <w:proofErr w:type="spellStart"/>
      <w:r w:rsidRPr="00AA459B">
        <w:rPr>
          <w:sz w:val="22"/>
          <w:szCs w:val="22"/>
        </w:rPr>
        <w:t>edaravone</w:t>
      </w:r>
      <w:proofErr w:type="spellEnd"/>
      <w:r w:rsidRPr="00AA459B">
        <w:rPr>
          <w:sz w:val="22"/>
          <w:szCs w:val="22"/>
        </w:rPr>
        <w:t xml:space="preserve"> in Schedule 3 to the Special Arrangement (as amended by this Instrument), is that any specialist affiliated with the hospital in, at, or from which the patient is receiving treatment is authorised to prescribe </w:t>
      </w:r>
      <w:proofErr w:type="spellStart"/>
      <w:r w:rsidRPr="00AA459B">
        <w:rPr>
          <w:sz w:val="22"/>
          <w:szCs w:val="22"/>
        </w:rPr>
        <w:t>edaravone</w:t>
      </w:r>
      <w:proofErr w:type="spellEnd"/>
      <w:r w:rsidRPr="00AA459B">
        <w:rPr>
          <w:sz w:val="22"/>
          <w:szCs w:val="22"/>
        </w:rPr>
        <w:t xml:space="preserve"> for the initial treatment of ALS, as long as the condition is or has been diagnosed by a neurologist.</w:t>
      </w:r>
    </w:p>
    <w:p w14:paraId="0E8706D7" w14:textId="1408CF3C" w:rsidR="003259D1" w:rsidRPr="00AA459B" w:rsidRDefault="003259D1" w:rsidP="003259D1">
      <w:pPr>
        <w:pStyle w:val="NormalWeb"/>
        <w:keepNext/>
        <w:keepLines/>
        <w:spacing w:before="120" w:beforeAutospacing="0" w:after="0" w:afterAutospacing="0"/>
        <w:jc w:val="both"/>
        <w:rPr>
          <w:sz w:val="22"/>
          <w:szCs w:val="22"/>
        </w:rPr>
      </w:pPr>
      <w:r w:rsidRPr="00AA459B">
        <w:rPr>
          <w:b/>
          <w:sz w:val="22"/>
          <w:szCs w:val="22"/>
        </w:rPr>
        <w:lastRenderedPageBreak/>
        <w:t>Items 4 to 25</w:t>
      </w:r>
      <w:r w:rsidRPr="00AA459B">
        <w:rPr>
          <w:b/>
          <w:sz w:val="22"/>
          <w:szCs w:val="22"/>
        </w:rPr>
        <w:tab/>
        <w:t>Amendments to Schedules 1, 2</w:t>
      </w:r>
      <w:r w:rsidR="00094B81" w:rsidRPr="00AA459B">
        <w:rPr>
          <w:b/>
          <w:sz w:val="22"/>
          <w:szCs w:val="22"/>
        </w:rPr>
        <w:t>,</w:t>
      </w:r>
      <w:r w:rsidRPr="00AA459B">
        <w:rPr>
          <w:b/>
          <w:sz w:val="22"/>
          <w:szCs w:val="22"/>
        </w:rPr>
        <w:t xml:space="preserve"> and 3</w:t>
      </w:r>
    </w:p>
    <w:p w14:paraId="58DD74C2" w14:textId="4450A392" w:rsidR="009B2A9E" w:rsidRPr="00AA459B" w:rsidRDefault="003259D1" w:rsidP="009B2A9E">
      <w:pPr>
        <w:pStyle w:val="NormalWeb"/>
        <w:spacing w:before="120" w:beforeAutospacing="0" w:after="0" w:afterAutospacing="0"/>
        <w:jc w:val="both"/>
        <w:rPr>
          <w:sz w:val="22"/>
          <w:szCs w:val="22"/>
        </w:rPr>
      </w:pPr>
      <w:r w:rsidRPr="00AA459B">
        <w:rPr>
          <w:sz w:val="22"/>
          <w:szCs w:val="22"/>
        </w:rPr>
        <w:t>Items 4 to 25 in</w:t>
      </w:r>
      <w:r w:rsidR="00D344A1" w:rsidRPr="00AA459B">
        <w:rPr>
          <w:sz w:val="22"/>
          <w:szCs w:val="22"/>
        </w:rPr>
        <w:t xml:space="preserve"> Schedule 1 involve the addition </w:t>
      </w:r>
      <w:r w:rsidR="00EF5B65" w:rsidRPr="00AA459B">
        <w:rPr>
          <w:sz w:val="22"/>
          <w:szCs w:val="22"/>
        </w:rPr>
        <w:t>of drugs, the addition</w:t>
      </w:r>
      <w:r w:rsidR="00D344A1" w:rsidRPr="00AA459B">
        <w:rPr>
          <w:sz w:val="22"/>
          <w:szCs w:val="22"/>
        </w:rPr>
        <w:t xml:space="preserve"> of brands</w:t>
      </w:r>
      <w:r w:rsidR="00EF5B65" w:rsidRPr="00AA459B">
        <w:rPr>
          <w:sz w:val="22"/>
          <w:szCs w:val="22"/>
        </w:rPr>
        <w:t xml:space="preserve"> of listed drugs</w:t>
      </w:r>
      <w:r w:rsidR="003D5ACA" w:rsidRPr="00AA459B">
        <w:rPr>
          <w:sz w:val="22"/>
          <w:szCs w:val="22"/>
        </w:rPr>
        <w:t>,</w:t>
      </w:r>
      <w:r w:rsidR="00D344A1" w:rsidRPr="00AA459B">
        <w:rPr>
          <w:sz w:val="22"/>
          <w:szCs w:val="22"/>
        </w:rPr>
        <w:t xml:space="preserve"> </w:t>
      </w:r>
      <w:r w:rsidR="00094B81" w:rsidRPr="00AA459B">
        <w:rPr>
          <w:sz w:val="22"/>
          <w:szCs w:val="22"/>
        </w:rPr>
        <w:t xml:space="preserve">the deletion of a form of a listed drug, </w:t>
      </w:r>
      <w:r w:rsidR="00D857B3" w:rsidRPr="00AA459B">
        <w:rPr>
          <w:sz w:val="22"/>
          <w:szCs w:val="22"/>
        </w:rPr>
        <w:t>and the alteration of circumstances in which a prescription may be written for listed drug</w:t>
      </w:r>
      <w:r w:rsidR="00EF5B65" w:rsidRPr="00AA459B">
        <w:rPr>
          <w:sz w:val="22"/>
          <w:szCs w:val="22"/>
        </w:rPr>
        <w:t>s</w:t>
      </w:r>
      <w:r w:rsidR="00D857B3" w:rsidRPr="00AA459B">
        <w:rPr>
          <w:sz w:val="22"/>
          <w:szCs w:val="22"/>
        </w:rPr>
        <w:t xml:space="preserve"> available under the Special Arrangement</w:t>
      </w:r>
      <w:r w:rsidR="00D344A1" w:rsidRPr="00AA459B">
        <w:rPr>
          <w:sz w:val="22"/>
          <w:szCs w:val="22"/>
        </w:rPr>
        <w:t>. These changes are summarised below.</w:t>
      </w:r>
    </w:p>
    <w:p w14:paraId="3816330B" w14:textId="3BE809DA" w:rsidR="00C16D99" w:rsidRPr="00AA459B" w:rsidRDefault="006F23F5" w:rsidP="0077663D">
      <w:pPr>
        <w:keepLines w:val="0"/>
        <w:spacing w:before="240" w:after="0"/>
        <w:jc w:val="center"/>
        <w:rPr>
          <w:b/>
          <w:sz w:val="22"/>
          <w:szCs w:val="22"/>
        </w:rPr>
      </w:pPr>
      <w:r w:rsidRPr="00AA459B">
        <w:rPr>
          <w:b/>
          <w:sz w:val="22"/>
          <w:szCs w:val="22"/>
        </w:rPr>
        <w:t xml:space="preserve">SUMMARY OF CHANGES TO THE </w:t>
      </w:r>
      <w:r w:rsidRPr="00AA459B">
        <w:rPr>
          <w:b/>
          <w:i/>
          <w:sz w:val="22"/>
          <w:szCs w:val="22"/>
        </w:rPr>
        <w:t>H</w:t>
      </w:r>
      <w:r w:rsidR="00782042" w:rsidRPr="00AA459B">
        <w:rPr>
          <w:b/>
          <w:i/>
          <w:sz w:val="22"/>
          <w:szCs w:val="22"/>
        </w:rPr>
        <w:t>IGHLY SPECIALISED</w:t>
      </w:r>
      <w:r w:rsidR="00782042" w:rsidRPr="00AA459B">
        <w:rPr>
          <w:b/>
          <w:i/>
          <w:sz w:val="22"/>
          <w:szCs w:val="22"/>
        </w:rPr>
        <w:br/>
        <w:t xml:space="preserve">DRUGS PROGRAM </w:t>
      </w:r>
      <w:r w:rsidRPr="00AA459B">
        <w:rPr>
          <w:b/>
          <w:sz w:val="22"/>
          <w:szCs w:val="22"/>
        </w:rPr>
        <w:t>MADE BY THIS INSTRUMENT</w:t>
      </w:r>
    </w:p>
    <w:p w14:paraId="2A1B687A" w14:textId="77777777" w:rsidR="00EF5B65" w:rsidRPr="00AA459B" w:rsidRDefault="00EF5B65" w:rsidP="00EF5B65">
      <w:pPr>
        <w:pStyle w:val="HeadingUnnum2"/>
        <w:rPr>
          <w:rFonts w:ascii="Times New Roman" w:hAnsi="Times New Roman" w:cs="Times New Roman"/>
        </w:rPr>
      </w:pPr>
      <w:bookmarkStart w:id="4" w:name="h-1356321-add-drug"/>
      <w:bookmarkStart w:id="5" w:name="h-1356321-del-form"/>
      <w:r w:rsidRPr="00AA459B">
        <w:rPr>
          <w:rFonts w:ascii="Times New Roman" w:hAnsi="Times New Roman" w:cs="Times New Roman"/>
        </w:rPr>
        <w:t>Drug Addition</w:t>
      </w:r>
      <w:bookmarkEnd w:id="4"/>
    </w:p>
    <w:tbl>
      <w:tblPr>
        <w:tblStyle w:val="PSTable"/>
        <w:tblW w:w="5193" w:type="pct"/>
        <w:tblInd w:w="-10" w:type="dxa"/>
        <w:tblLayout w:type="fixed"/>
        <w:tblCellMar>
          <w:left w:w="57" w:type="dxa"/>
          <w:right w:w="57" w:type="dxa"/>
        </w:tblCellMar>
        <w:tblLook w:val="0620" w:firstRow="1" w:lastRow="0" w:firstColumn="0" w:lastColumn="0" w:noHBand="1" w:noVBand="1"/>
      </w:tblPr>
      <w:tblGrid>
        <w:gridCol w:w="9354"/>
      </w:tblGrid>
      <w:tr w:rsidR="00EF5B65" w:rsidRPr="00AA459B" w14:paraId="758791E9" w14:textId="77777777" w:rsidTr="001423DD">
        <w:trPr>
          <w:cnfStyle w:val="100000000000" w:firstRow="1" w:lastRow="0" w:firstColumn="0" w:lastColumn="0" w:oddVBand="0" w:evenVBand="0" w:oddHBand="0" w:evenHBand="0" w:firstRowFirstColumn="0" w:firstRowLastColumn="0" w:lastRowFirstColumn="0" w:lastRowLastColumn="0"/>
          <w:tblHeader/>
        </w:trPr>
        <w:tc>
          <w:tcPr>
            <w:tcW w:w="9354" w:type="dxa"/>
          </w:tcPr>
          <w:p w14:paraId="7883DB78" w14:textId="77777777" w:rsidR="00EF5B65" w:rsidRPr="00AA459B" w:rsidRDefault="00EF5B65" w:rsidP="00EF5B65">
            <w:pPr>
              <w:pStyle w:val="PSTableHeader"/>
            </w:pPr>
            <w:r w:rsidRPr="00AA459B">
              <w:rPr>
                <w:b/>
              </w:rPr>
              <w:t>Listed Drug</w:t>
            </w:r>
          </w:p>
        </w:tc>
      </w:tr>
      <w:tr w:rsidR="00EF5B65" w:rsidRPr="00AA459B" w14:paraId="25142E7A" w14:textId="77777777" w:rsidTr="001423DD">
        <w:trPr>
          <w:cantSplit w:val="0"/>
        </w:trPr>
        <w:tc>
          <w:tcPr>
            <w:tcW w:w="9354" w:type="dxa"/>
          </w:tcPr>
          <w:p w14:paraId="6CF599A5" w14:textId="1459BC30" w:rsidR="00EF5B65" w:rsidRPr="00AA459B" w:rsidRDefault="00EF5B65" w:rsidP="00EF5B65">
            <w:pPr>
              <w:pStyle w:val="PSTableBody"/>
              <w:ind w:left="-62"/>
              <w:rPr>
                <w:sz w:val="20"/>
                <w:szCs w:val="20"/>
              </w:rPr>
            </w:pPr>
            <w:proofErr w:type="spellStart"/>
            <w:r w:rsidRPr="00AA459B">
              <w:rPr>
                <w:sz w:val="20"/>
                <w:szCs w:val="20"/>
                <w:lang w:val="en-AU"/>
              </w:rPr>
              <w:t>Edaravone</w:t>
            </w:r>
            <w:proofErr w:type="spellEnd"/>
          </w:p>
        </w:tc>
      </w:tr>
      <w:tr w:rsidR="00EF5B65" w:rsidRPr="00AA459B" w14:paraId="3E8979DB" w14:textId="77777777" w:rsidTr="001423DD">
        <w:trPr>
          <w:cantSplit w:val="0"/>
        </w:trPr>
        <w:tc>
          <w:tcPr>
            <w:tcW w:w="9354" w:type="dxa"/>
          </w:tcPr>
          <w:p w14:paraId="2BBE4C7F" w14:textId="50F0C655" w:rsidR="00EF5B65" w:rsidRPr="00AA459B" w:rsidRDefault="00EF5B65" w:rsidP="00EF5B65">
            <w:pPr>
              <w:pStyle w:val="PSTableBody"/>
              <w:ind w:left="-62"/>
              <w:rPr>
                <w:sz w:val="20"/>
                <w:szCs w:val="20"/>
                <w:lang w:val="en-AU"/>
              </w:rPr>
            </w:pPr>
            <w:proofErr w:type="spellStart"/>
            <w:r w:rsidRPr="00AA459B">
              <w:rPr>
                <w:sz w:val="20"/>
                <w:szCs w:val="20"/>
                <w:lang w:val="en-AU"/>
              </w:rPr>
              <w:t>Esketamine</w:t>
            </w:r>
            <w:proofErr w:type="spellEnd"/>
          </w:p>
        </w:tc>
      </w:tr>
      <w:tr w:rsidR="00EF5B65" w:rsidRPr="00AA459B" w14:paraId="6E7A8AF3" w14:textId="77777777" w:rsidTr="001423DD">
        <w:trPr>
          <w:cantSplit w:val="0"/>
        </w:trPr>
        <w:tc>
          <w:tcPr>
            <w:tcW w:w="9354" w:type="dxa"/>
          </w:tcPr>
          <w:p w14:paraId="75663E8D" w14:textId="7538E583" w:rsidR="00EF5B65" w:rsidRPr="00AA459B" w:rsidRDefault="00EF5B65" w:rsidP="00EF5B65">
            <w:pPr>
              <w:pStyle w:val="PSTableBody"/>
              <w:ind w:left="-62"/>
              <w:rPr>
                <w:sz w:val="20"/>
                <w:szCs w:val="20"/>
                <w:lang w:val="en-AU"/>
              </w:rPr>
            </w:pPr>
            <w:r w:rsidRPr="00AA459B">
              <w:rPr>
                <w:sz w:val="20"/>
                <w:szCs w:val="20"/>
                <w:lang w:val="en-AU"/>
              </w:rPr>
              <w:t>Macitentan with tadalafil</w:t>
            </w:r>
          </w:p>
        </w:tc>
      </w:tr>
      <w:tr w:rsidR="00EF5B65" w:rsidRPr="00AA459B" w14:paraId="0FEF38C3" w14:textId="77777777" w:rsidTr="001423DD">
        <w:trPr>
          <w:cantSplit w:val="0"/>
        </w:trPr>
        <w:tc>
          <w:tcPr>
            <w:tcW w:w="9354" w:type="dxa"/>
          </w:tcPr>
          <w:p w14:paraId="374C94A4" w14:textId="0B2C828F" w:rsidR="00EF5B65" w:rsidRPr="00AA459B" w:rsidRDefault="00EF5B65" w:rsidP="00EF5B65">
            <w:pPr>
              <w:pStyle w:val="PSTableBody"/>
              <w:ind w:left="-62"/>
              <w:rPr>
                <w:sz w:val="20"/>
                <w:szCs w:val="20"/>
                <w:lang w:val="en-AU"/>
              </w:rPr>
            </w:pPr>
            <w:proofErr w:type="spellStart"/>
            <w:r w:rsidRPr="00AA459B">
              <w:rPr>
                <w:sz w:val="20"/>
                <w:szCs w:val="20"/>
                <w:lang w:val="en-AU"/>
              </w:rPr>
              <w:t>Vutrisiran</w:t>
            </w:r>
            <w:proofErr w:type="spellEnd"/>
          </w:p>
        </w:tc>
      </w:tr>
    </w:tbl>
    <w:p w14:paraId="56CD2266" w14:textId="77777777" w:rsidR="00EF5B65" w:rsidRPr="00AA459B" w:rsidRDefault="00EF5B65" w:rsidP="00EF5B65">
      <w:pPr>
        <w:pStyle w:val="HeadingUnnum2"/>
        <w:rPr>
          <w:rFonts w:ascii="Times New Roman" w:hAnsi="Times New Roman" w:cs="Times New Roman"/>
        </w:rPr>
      </w:pPr>
      <w:proofErr w:type="gramStart"/>
      <w:r w:rsidRPr="00AA459B">
        <w:rPr>
          <w:rFonts w:ascii="Times New Roman" w:hAnsi="Times New Roman" w:cs="Times New Roman"/>
        </w:rPr>
        <w:t>Form</w:t>
      </w:r>
      <w:proofErr w:type="gramEnd"/>
      <w:r w:rsidRPr="00AA459B">
        <w:rPr>
          <w:rFonts w:ascii="Times New Roman" w:hAnsi="Times New Roman" w:cs="Times New Roman"/>
        </w:rPr>
        <w:t xml:space="preserve"> Deletion</w:t>
      </w:r>
      <w:bookmarkEnd w:id="5"/>
    </w:p>
    <w:tbl>
      <w:tblPr>
        <w:tblStyle w:val="PSTable"/>
        <w:tblW w:w="5192" w:type="pct"/>
        <w:tblInd w:w="-10" w:type="dxa"/>
        <w:tblLayout w:type="fixed"/>
        <w:tblCellMar>
          <w:left w:w="57" w:type="dxa"/>
          <w:right w:w="57" w:type="dxa"/>
        </w:tblCellMar>
        <w:tblLook w:val="0620" w:firstRow="1" w:lastRow="0" w:firstColumn="0" w:lastColumn="0" w:noHBand="1" w:noVBand="1"/>
      </w:tblPr>
      <w:tblGrid>
        <w:gridCol w:w="1981"/>
        <w:gridCol w:w="7371"/>
      </w:tblGrid>
      <w:tr w:rsidR="001423DD" w:rsidRPr="00AA459B" w14:paraId="393F27CB" w14:textId="77777777" w:rsidTr="001423DD">
        <w:trPr>
          <w:cnfStyle w:val="100000000000" w:firstRow="1" w:lastRow="0" w:firstColumn="0" w:lastColumn="0" w:oddVBand="0" w:evenVBand="0" w:oddHBand="0" w:evenHBand="0" w:firstRowFirstColumn="0" w:firstRowLastColumn="0" w:lastRowFirstColumn="0" w:lastRowLastColumn="0"/>
        </w:trPr>
        <w:tc>
          <w:tcPr>
            <w:tcW w:w="1059" w:type="pct"/>
          </w:tcPr>
          <w:p w14:paraId="16AD9001" w14:textId="77777777" w:rsidR="00EF5B65" w:rsidRPr="00AA459B" w:rsidRDefault="00EF5B65" w:rsidP="00EF5B65">
            <w:pPr>
              <w:pStyle w:val="PSTableHeader"/>
            </w:pPr>
            <w:r w:rsidRPr="00AA459B">
              <w:rPr>
                <w:b/>
              </w:rPr>
              <w:t>Listed Drug</w:t>
            </w:r>
          </w:p>
        </w:tc>
        <w:tc>
          <w:tcPr>
            <w:tcW w:w="3941" w:type="pct"/>
          </w:tcPr>
          <w:p w14:paraId="1B7A2DE3" w14:textId="77777777" w:rsidR="00EF5B65" w:rsidRPr="00AA459B" w:rsidRDefault="00EF5B65" w:rsidP="00EF5B65">
            <w:pPr>
              <w:pStyle w:val="PSTableHeader"/>
            </w:pPr>
            <w:r w:rsidRPr="00AA459B">
              <w:rPr>
                <w:b/>
              </w:rPr>
              <w:t>Form</w:t>
            </w:r>
          </w:p>
        </w:tc>
      </w:tr>
      <w:tr w:rsidR="001423DD" w:rsidRPr="00AA459B" w14:paraId="6A336626" w14:textId="77777777" w:rsidTr="001423DD">
        <w:tc>
          <w:tcPr>
            <w:tcW w:w="1059" w:type="pct"/>
          </w:tcPr>
          <w:p w14:paraId="46E677C7" w14:textId="501A706E" w:rsidR="00EF5B65" w:rsidRPr="00AA459B" w:rsidRDefault="00EF5B65" w:rsidP="00EF5B65">
            <w:pPr>
              <w:pStyle w:val="PSTableBody"/>
              <w:ind w:left="-62"/>
              <w:rPr>
                <w:sz w:val="20"/>
                <w:szCs w:val="20"/>
              </w:rPr>
            </w:pPr>
            <w:r w:rsidRPr="00AA459B">
              <w:rPr>
                <w:sz w:val="20"/>
                <w:szCs w:val="20"/>
                <w:lang w:val="en-AU"/>
              </w:rPr>
              <w:t>Adefovir</w:t>
            </w:r>
          </w:p>
        </w:tc>
        <w:tc>
          <w:tcPr>
            <w:tcW w:w="3941" w:type="pct"/>
          </w:tcPr>
          <w:p w14:paraId="128DEFC0" w14:textId="6CD9351F" w:rsidR="00EF5B65" w:rsidRPr="00AA459B" w:rsidRDefault="00EF5B65" w:rsidP="00EF5B65">
            <w:pPr>
              <w:pStyle w:val="PSTableBody"/>
              <w:ind w:left="-62"/>
              <w:rPr>
                <w:sz w:val="20"/>
                <w:szCs w:val="20"/>
              </w:rPr>
            </w:pPr>
            <w:r w:rsidRPr="00AA459B">
              <w:rPr>
                <w:sz w:val="20"/>
                <w:szCs w:val="20"/>
                <w:lang w:val="en-AU"/>
              </w:rPr>
              <w:t xml:space="preserve">Tablet containing adefovir </w:t>
            </w:r>
            <w:proofErr w:type="spellStart"/>
            <w:r w:rsidRPr="00AA459B">
              <w:rPr>
                <w:sz w:val="20"/>
                <w:szCs w:val="20"/>
                <w:lang w:val="en-AU"/>
              </w:rPr>
              <w:t>dipivoxil</w:t>
            </w:r>
            <w:proofErr w:type="spellEnd"/>
            <w:r w:rsidRPr="00AA459B">
              <w:rPr>
                <w:sz w:val="20"/>
                <w:szCs w:val="20"/>
                <w:lang w:val="en-AU"/>
              </w:rPr>
              <w:t xml:space="preserve"> 10 mg (S19A)</w:t>
            </w:r>
          </w:p>
        </w:tc>
      </w:tr>
    </w:tbl>
    <w:p w14:paraId="5F611720" w14:textId="0862C3B4" w:rsidR="00A04EEA" w:rsidRPr="00AA459B" w:rsidRDefault="00A04EEA" w:rsidP="00F844E0">
      <w:pPr>
        <w:keepLines w:val="0"/>
        <w:spacing w:before="240" w:after="0"/>
        <w:jc w:val="left"/>
        <w:rPr>
          <w:b/>
          <w:sz w:val="24"/>
          <w:szCs w:val="24"/>
        </w:rPr>
      </w:pPr>
      <w:r w:rsidRPr="00AA459B">
        <w:rPr>
          <w:b/>
          <w:sz w:val="24"/>
          <w:szCs w:val="24"/>
        </w:rPr>
        <w:t>Brand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6E052D" w:rsidRPr="00AA459B" w14:paraId="0C2DFF1F" w14:textId="77777777" w:rsidTr="0070574A">
        <w:trPr>
          <w:trHeight w:val="369"/>
        </w:trPr>
        <w:tc>
          <w:tcPr>
            <w:tcW w:w="1984" w:type="dxa"/>
            <w:tcBorders>
              <w:bottom w:val="single" w:sz="4" w:space="0" w:color="auto"/>
            </w:tcBorders>
            <w:shd w:val="clear" w:color="auto" w:fill="auto"/>
          </w:tcPr>
          <w:p w14:paraId="319C017F" w14:textId="61A16C30" w:rsidR="006E052D" w:rsidRPr="00AA459B" w:rsidRDefault="006E052D" w:rsidP="003E562A">
            <w:pPr>
              <w:keepLines w:val="0"/>
              <w:spacing w:before="60" w:after="0"/>
              <w:ind w:left="-62"/>
              <w:jc w:val="left"/>
              <w:rPr>
                <w:sz w:val="22"/>
                <w:szCs w:val="22"/>
              </w:rPr>
            </w:pPr>
            <w:r w:rsidRPr="00AA459B">
              <w:rPr>
                <w:b/>
                <w:i/>
                <w:sz w:val="22"/>
                <w:szCs w:val="22"/>
              </w:rPr>
              <w:t>Listed Drug</w:t>
            </w:r>
          </w:p>
        </w:tc>
        <w:tc>
          <w:tcPr>
            <w:tcW w:w="7370" w:type="dxa"/>
            <w:tcBorders>
              <w:bottom w:val="single" w:sz="4" w:space="0" w:color="auto"/>
            </w:tcBorders>
            <w:shd w:val="clear" w:color="auto" w:fill="auto"/>
          </w:tcPr>
          <w:p w14:paraId="48F222CD" w14:textId="08C0658D" w:rsidR="006E052D" w:rsidRPr="00AA459B" w:rsidRDefault="006E052D" w:rsidP="003E562A">
            <w:pPr>
              <w:keepLines w:val="0"/>
              <w:widowControl w:val="0"/>
              <w:spacing w:before="60" w:after="0"/>
              <w:ind w:left="-62"/>
              <w:jc w:val="left"/>
              <w:rPr>
                <w:i/>
                <w:iCs/>
                <w:sz w:val="22"/>
                <w:szCs w:val="22"/>
              </w:rPr>
            </w:pPr>
            <w:r w:rsidRPr="00AA459B">
              <w:rPr>
                <w:b/>
                <w:i/>
                <w:sz w:val="22"/>
                <w:szCs w:val="22"/>
              </w:rPr>
              <w:t>Form and Brand</w:t>
            </w:r>
          </w:p>
        </w:tc>
      </w:tr>
      <w:tr w:rsidR="00CE0712" w:rsidRPr="00AA459B" w14:paraId="32F5E1A0" w14:textId="77777777" w:rsidTr="003D5ACA">
        <w:trPr>
          <w:trHeight w:val="369"/>
        </w:trPr>
        <w:tc>
          <w:tcPr>
            <w:tcW w:w="1984" w:type="dxa"/>
            <w:tcBorders>
              <w:top w:val="single" w:sz="4" w:space="0" w:color="auto"/>
              <w:bottom w:val="single" w:sz="4" w:space="0" w:color="auto"/>
            </w:tcBorders>
          </w:tcPr>
          <w:p w14:paraId="75E34838" w14:textId="125FFAC2" w:rsidR="00CE0712" w:rsidRPr="00AA459B" w:rsidRDefault="00EF5B65" w:rsidP="00CE0712">
            <w:pPr>
              <w:keepLines w:val="0"/>
              <w:spacing w:before="60" w:after="60"/>
              <w:ind w:left="-62"/>
              <w:jc w:val="left"/>
            </w:pPr>
            <w:r w:rsidRPr="00AA459B">
              <w:t>Azacitidine</w:t>
            </w:r>
          </w:p>
        </w:tc>
        <w:tc>
          <w:tcPr>
            <w:tcW w:w="7370" w:type="dxa"/>
            <w:tcBorders>
              <w:top w:val="single" w:sz="4" w:space="0" w:color="auto"/>
              <w:bottom w:val="single" w:sz="4" w:space="0" w:color="auto"/>
            </w:tcBorders>
          </w:tcPr>
          <w:p w14:paraId="2B569098" w14:textId="5F0907CE" w:rsidR="00CE0712" w:rsidRPr="00AA459B" w:rsidRDefault="00EF5B65" w:rsidP="00CE0712">
            <w:pPr>
              <w:keepLines w:val="0"/>
              <w:spacing w:before="60" w:after="60"/>
              <w:ind w:left="-62"/>
              <w:jc w:val="left"/>
            </w:pPr>
            <w:r w:rsidRPr="00AA459B">
              <w:t xml:space="preserve">Powder for injection 100 mg </w:t>
            </w:r>
            <w:r w:rsidRPr="00AA459B">
              <w:rPr>
                <w:i/>
                <w:iCs/>
              </w:rPr>
              <w:t>(Azacitidine SXP)</w:t>
            </w:r>
          </w:p>
        </w:tc>
      </w:tr>
      <w:tr w:rsidR="00EF5B65" w:rsidRPr="00AA459B" w14:paraId="632B7338" w14:textId="77777777" w:rsidTr="003D5ACA">
        <w:trPr>
          <w:trHeight w:val="369"/>
        </w:trPr>
        <w:tc>
          <w:tcPr>
            <w:tcW w:w="1984" w:type="dxa"/>
            <w:tcBorders>
              <w:top w:val="single" w:sz="4" w:space="0" w:color="auto"/>
              <w:bottom w:val="single" w:sz="4" w:space="0" w:color="auto"/>
            </w:tcBorders>
          </w:tcPr>
          <w:p w14:paraId="2077E26D" w14:textId="21884F69" w:rsidR="00EF5B65" w:rsidRPr="00AA459B" w:rsidRDefault="00EF5B65" w:rsidP="00CE0712">
            <w:pPr>
              <w:keepLines w:val="0"/>
              <w:spacing w:before="60" w:after="60"/>
              <w:ind w:left="-62"/>
              <w:jc w:val="left"/>
            </w:pPr>
            <w:proofErr w:type="spellStart"/>
            <w:r w:rsidRPr="00AA459B">
              <w:t>Bosentan</w:t>
            </w:r>
            <w:proofErr w:type="spellEnd"/>
          </w:p>
        </w:tc>
        <w:tc>
          <w:tcPr>
            <w:tcW w:w="7370" w:type="dxa"/>
            <w:tcBorders>
              <w:top w:val="single" w:sz="4" w:space="0" w:color="auto"/>
              <w:bottom w:val="single" w:sz="4" w:space="0" w:color="auto"/>
            </w:tcBorders>
          </w:tcPr>
          <w:p w14:paraId="32362B64" w14:textId="5D0E1767" w:rsidR="00EF5B65" w:rsidRPr="00AA459B" w:rsidRDefault="00EF5B65" w:rsidP="00CE0712">
            <w:pPr>
              <w:keepLines w:val="0"/>
              <w:spacing w:before="60" w:after="60"/>
              <w:ind w:left="-62"/>
              <w:jc w:val="left"/>
            </w:pPr>
            <w:r w:rsidRPr="00AA459B">
              <w:t xml:space="preserve">Tablet 125 mg (as monohydrate) </w:t>
            </w:r>
            <w:r w:rsidRPr="00AA459B">
              <w:rPr>
                <w:i/>
                <w:iCs/>
              </w:rPr>
              <w:t>(</w:t>
            </w:r>
            <w:proofErr w:type="spellStart"/>
            <w:r w:rsidRPr="00AA459B">
              <w:rPr>
                <w:i/>
                <w:iCs/>
              </w:rPr>
              <w:t>Bosentan</w:t>
            </w:r>
            <w:proofErr w:type="spellEnd"/>
            <w:r w:rsidRPr="00AA459B">
              <w:rPr>
                <w:i/>
                <w:iCs/>
              </w:rPr>
              <w:t xml:space="preserve"> </w:t>
            </w:r>
            <w:proofErr w:type="spellStart"/>
            <w:r w:rsidRPr="00AA459B">
              <w:rPr>
                <w:i/>
                <w:iCs/>
              </w:rPr>
              <w:t>Viatris</w:t>
            </w:r>
            <w:proofErr w:type="spellEnd"/>
            <w:r w:rsidRPr="00AA459B">
              <w:rPr>
                <w:i/>
                <w:iCs/>
              </w:rPr>
              <w:t>)</w:t>
            </w:r>
          </w:p>
        </w:tc>
      </w:tr>
      <w:tr w:rsidR="00EF5B65" w:rsidRPr="00AA459B" w14:paraId="4ABF81B8" w14:textId="77777777" w:rsidTr="003D5ACA">
        <w:trPr>
          <w:trHeight w:val="369"/>
        </w:trPr>
        <w:tc>
          <w:tcPr>
            <w:tcW w:w="1984" w:type="dxa"/>
            <w:tcBorders>
              <w:top w:val="single" w:sz="4" w:space="0" w:color="auto"/>
              <w:bottom w:val="single" w:sz="4" w:space="0" w:color="auto"/>
            </w:tcBorders>
          </w:tcPr>
          <w:p w14:paraId="296D8195" w14:textId="2AFE2A96" w:rsidR="00EF5B65" w:rsidRPr="00AA459B" w:rsidRDefault="00EF5B65" w:rsidP="00CE0712">
            <w:pPr>
              <w:keepLines w:val="0"/>
              <w:spacing w:before="60" w:after="60"/>
              <w:ind w:left="-62"/>
              <w:jc w:val="left"/>
            </w:pPr>
            <w:r w:rsidRPr="00AA459B">
              <w:t>Tenofovir with emtricitabine</w:t>
            </w:r>
          </w:p>
        </w:tc>
        <w:tc>
          <w:tcPr>
            <w:tcW w:w="7370" w:type="dxa"/>
            <w:tcBorders>
              <w:top w:val="single" w:sz="4" w:space="0" w:color="auto"/>
              <w:bottom w:val="single" w:sz="4" w:space="0" w:color="auto"/>
            </w:tcBorders>
          </w:tcPr>
          <w:p w14:paraId="6910F623" w14:textId="60CB9C07" w:rsidR="00EF5B65" w:rsidRPr="00AA459B" w:rsidRDefault="00EF5B65" w:rsidP="00CE0712">
            <w:pPr>
              <w:keepLines w:val="0"/>
              <w:spacing w:before="60" w:after="60"/>
              <w:ind w:left="-62"/>
              <w:jc w:val="left"/>
            </w:pPr>
            <w:r w:rsidRPr="00AA459B">
              <w:t xml:space="preserve">Tablet containing tenofovir disoproxil fumarate 300 mg with emtricitabine 200 mg </w:t>
            </w:r>
            <w:r w:rsidRPr="00AA459B">
              <w:rPr>
                <w:i/>
                <w:iCs/>
              </w:rPr>
              <w:t>(TENOFOVIR/EMTRICITABINE 300/200 APX)</w:t>
            </w:r>
          </w:p>
        </w:tc>
      </w:tr>
    </w:tbl>
    <w:p w14:paraId="22D45E83" w14:textId="7860A420" w:rsidR="00D344A1" w:rsidRPr="00AA459B" w:rsidRDefault="00D344A1" w:rsidP="00D344A1">
      <w:pPr>
        <w:keepLines w:val="0"/>
        <w:spacing w:before="240" w:after="0"/>
        <w:jc w:val="left"/>
        <w:rPr>
          <w:b/>
          <w:sz w:val="24"/>
          <w:szCs w:val="24"/>
        </w:rPr>
      </w:pPr>
      <w:r w:rsidRPr="00AA459B">
        <w:rPr>
          <w:b/>
          <w:sz w:val="24"/>
          <w:szCs w:val="24"/>
        </w:rPr>
        <w:t>Alteration of Circumstances in Which a Prescription May be Written</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9354"/>
      </w:tblGrid>
      <w:tr w:rsidR="00D344A1" w:rsidRPr="00AA459B" w14:paraId="0C9CB215" w14:textId="77777777" w:rsidTr="00980F58">
        <w:trPr>
          <w:trHeight w:val="369"/>
        </w:trPr>
        <w:tc>
          <w:tcPr>
            <w:tcW w:w="9354" w:type="dxa"/>
            <w:tcBorders>
              <w:bottom w:val="single" w:sz="4" w:space="0" w:color="auto"/>
            </w:tcBorders>
          </w:tcPr>
          <w:p w14:paraId="065F2F0D" w14:textId="5CFA3199" w:rsidR="00D344A1" w:rsidRPr="00AA459B" w:rsidRDefault="00D344A1" w:rsidP="00982CC9">
            <w:pPr>
              <w:keepLines w:val="0"/>
              <w:widowControl w:val="0"/>
              <w:spacing w:before="60" w:after="0"/>
              <w:ind w:left="-62"/>
              <w:jc w:val="left"/>
              <w:rPr>
                <w:i/>
                <w:iCs/>
                <w:sz w:val="22"/>
                <w:szCs w:val="22"/>
              </w:rPr>
            </w:pPr>
            <w:r w:rsidRPr="00AA459B">
              <w:rPr>
                <w:b/>
                <w:i/>
                <w:sz w:val="22"/>
                <w:szCs w:val="22"/>
              </w:rPr>
              <w:t>Listed Drug</w:t>
            </w:r>
          </w:p>
        </w:tc>
      </w:tr>
      <w:tr w:rsidR="00D344A1" w:rsidRPr="00AA459B" w14:paraId="55A3EE7B" w14:textId="77777777" w:rsidTr="00AA7190">
        <w:trPr>
          <w:trHeight w:val="369"/>
        </w:trPr>
        <w:tc>
          <w:tcPr>
            <w:tcW w:w="9354" w:type="dxa"/>
            <w:tcBorders>
              <w:top w:val="single" w:sz="4" w:space="0" w:color="auto"/>
              <w:bottom w:val="single" w:sz="4" w:space="0" w:color="auto"/>
            </w:tcBorders>
          </w:tcPr>
          <w:p w14:paraId="3188514E" w14:textId="0F225649" w:rsidR="00D344A1" w:rsidRPr="00AA459B" w:rsidRDefault="00EF5B65" w:rsidP="00982CC9">
            <w:pPr>
              <w:keepLines w:val="0"/>
              <w:widowControl w:val="0"/>
              <w:spacing w:before="60" w:after="60"/>
              <w:ind w:left="-62"/>
              <w:jc w:val="left"/>
            </w:pPr>
            <w:proofErr w:type="spellStart"/>
            <w:r w:rsidRPr="00AA459B">
              <w:t>Difelikefalin</w:t>
            </w:r>
            <w:proofErr w:type="spellEnd"/>
          </w:p>
        </w:tc>
      </w:tr>
      <w:tr w:rsidR="00EF5B65" w:rsidRPr="00AA459B" w14:paraId="0A6EDE47" w14:textId="77777777" w:rsidTr="00AA7190">
        <w:trPr>
          <w:trHeight w:val="369"/>
        </w:trPr>
        <w:tc>
          <w:tcPr>
            <w:tcW w:w="9354" w:type="dxa"/>
            <w:tcBorders>
              <w:top w:val="single" w:sz="4" w:space="0" w:color="auto"/>
              <w:bottom w:val="single" w:sz="4" w:space="0" w:color="auto"/>
            </w:tcBorders>
          </w:tcPr>
          <w:p w14:paraId="1FE0B43A" w14:textId="5A520F07" w:rsidR="00EF5B65" w:rsidRPr="00AA459B" w:rsidRDefault="00EF5B65" w:rsidP="00982CC9">
            <w:pPr>
              <w:keepLines w:val="0"/>
              <w:widowControl w:val="0"/>
              <w:spacing w:before="60" w:after="60"/>
              <w:ind w:left="-62"/>
              <w:jc w:val="left"/>
            </w:pPr>
            <w:proofErr w:type="spellStart"/>
            <w:r w:rsidRPr="00AA459B">
              <w:t>Eltrombopag</w:t>
            </w:r>
            <w:proofErr w:type="spellEnd"/>
          </w:p>
        </w:tc>
      </w:tr>
      <w:tr w:rsidR="000158D4" w:rsidRPr="00AA459B" w14:paraId="6EFFD6E3" w14:textId="77777777" w:rsidTr="00AA7190">
        <w:trPr>
          <w:trHeight w:val="369"/>
        </w:trPr>
        <w:tc>
          <w:tcPr>
            <w:tcW w:w="9354" w:type="dxa"/>
            <w:tcBorders>
              <w:top w:val="single" w:sz="4" w:space="0" w:color="auto"/>
              <w:bottom w:val="single" w:sz="4" w:space="0" w:color="auto"/>
            </w:tcBorders>
          </w:tcPr>
          <w:p w14:paraId="27A13876" w14:textId="53E4CBE2" w:rsidR="000158D4" w:rsidRPr="00AA459B" w:rsidRDefault="000158D4" w:rsidP="00982CC9">
            <w:pPr>
              <w:keepLines w:val="0"/>
              <w:widowControl w:val="0"/>
              <w:spacing w:before="60" w:after="60"/>
              <w:ind w:left="-62"/>
              <w:jc w:val="left"/>
            </w:pPr>
            <w:r w:rsidRPr="00AA459B">
              <w:t>Infliximab</w:t>
            </w:r>
          </w:p>
        </w:tc>
      </w:tr>
      <w:tr w:rsidR="000158D4" w:rsidRPr="00AA459B" w14:paraId="69DEDC71" w14:textId="77777777" w:rsidTr="00AA7190">
        <w:trPr>
          <w:trHeight w:val="369"/>
        </w:trPr>
        <w:tc>
          <w:tcPr>
            <w:tcW w:w="9354" w:type="dxa"/>
            <w:tcBorders>
              <w:top w:val="single" w:sz="4" w:space="0" w:color="auto"/>
              <w:bottom w:val="single" w:sz="4" w:space="0" w:color="auto"/>
            </w:tcBorders>
          </w:tcPr>
          <w:p w14:paraId="27A46C63" w14:textId="537DA8D5" w:rsidR="000158D4" w:rsidRPr="00AA459B" w:rsidRDefault="000158D4" w:rsidP="00982CC9">
            <w:pPr>
              <w:keepLines w:val="0"/>
              <w:widowControl w:val="0"/>
              <w:spacing w:before="60" w:after="60"/>
              <w:ind w:left="-62"/>
              <w:jc w:val="left"/>
            </w:pPr>
            <w:r w:rsidRPr="00AA459B">
              <w:t>Vedolizumab</w:t>
            </w:r>
          </w:p>
        </w:tc>
      </w:tr>
    </w:tbl>
    <w:p w14:paraId="65CED823" w14:textId="77777777" w:rsidR="00467A59" w:rsidRPr="00AA459B" w:rsidRDefault="00467A59" w:rsidP="00467A59">
      <w:pPr>
        <w:pStyle w:val="HeadingUnnum2"/>
        <w:rPr>
          <w:rFonts w:ascii="Times New Roman" w:hAnsi="Times New Roman" w:cs="Times New Roman"/>
        </w:rPr>
      </w:pPr>
      <w:bookmarkStart w:id="6" w:name="h-1342556-dibr"/>
      <w:bookmarkStart w:id="7" w:name="f-1342556-dibr"/>
      <w:r w:rsidRPr="00AA459B">
        <w:rPr>
          <w:rFonts w:ascii="Times New Roman" w:hAnsi="Times New Roman" w:cs="Times New Roman"/>
        </w:rPr>
        <w:t>Documents Incorporated by Reference</w:t>
      </w:r>
      <w:bookmarkEnd w:id="6"/>
    </w:p>
    <w:tbl>
      <w:tblPr>
        <w:tblStyle w:val="DIBR-Table"/>
        <w:tblW w:w="5182" w:type="pct"/>
        <w:tblLayout w:type="fixed"/>
        <w:tblCellMar>
          <w:left w:w="0" w:type="dxa"/>
          <w:right w:w="0" w:type="dxa"/>
        </w:tblCellMar>
        <w:tblLook w:val="0620" w:firstRow="1" w:lastRow="0" w:firstColumn="0" w:lastColumn="0" w:noHBand="1" w:noVBand="1"/>
      </w:tblPr>
      <w:tblGrid>
        <w:gridCol w:w="1985"/>
        <w:gridCol w:w="4535"/>
        <w:gridCol w:w="2835"/>
      </w:tblGrid>
      <w:tr w:rsidR="00467A59" w:rsidRPr="00AA459B" w14:paraId="5A7F96DA" w14:textId="77777777" w:rsidTr="0077663D">
        <w:tc>
          <w:tcPr>
            <w:tcW w:w="1061" w:type="pct"/>
            <w:tcBorders>
              <w:top w:val="single" w:sz="4" w:space="0" w:color="auto"/>
            </w:tcBorders>
          </w:tcPr>
          <w:p w14:paraId="4B46B139" w14:textId="77777777" w:rsidR="00467A59" w:rsidRPr="00AA459B" w:rsidRDefault="00467A59" w:rsidP="00851FCD">
            <w:pPr>
              <w:pStyle w:val="DIBR-Text"/>
              <w:rPr>
                <w:b/>
                <w:bCs/>
                <w:i/>
                <w:iCs/>
              </w:rPr>
            </w:pPr>
            <w:r w:rsidRPr="00AA459B">
              <w:rPr>
                <w:b/>
                <w:bCs/>
                <w:i/>
                <w:iCs/>
              </w:rPr>
              <w:t>Listed Drug</w:t>
            </w:r>
          </w:p>
        </w:tc>
        <w:tc>
          <w:tcPr>
            <w:tcW w:w="2424" w:type="pct"/>
            <w:tcBorders>
              <w:top w:val="single" w:sz="4" w:space="0" w:color="auto"/>
            </w:tcBorders>
          </w:tcPr>
          <w:p w14:paraId="7209B0DE" w14:textId="77777777" w:rsidR="00467A59" w:rsidRPr="00AA459B" w:rsidRDefault="00467A59" w:rsidP="00851FCD">
            <w:pPr>
              <w:pStyle w:val="DIBR-Text"/>
              <w:ind w:left="57"/>
              <w:rPr>
                <w:b/>
                <w:bCs/>
                <w:i/>
                <w:iCs/>
              </w:rPr>
            </w:pPr>
            <w:r w:rsidRPr="00AA459B">
              <w:rPr>
                <w:b/>
                <w:bCs/>
                <w:i/>
                <w:iCs/>
              </w:rPr>
              <w:t>Document Incorporated</w:t>
            </w:r>
          </w:p>
        </w:tc>
        <w:tc>
          <w:tcPr>
            <w:tcW w:w="1515" w:type="pct"/>
            <w:tcBorders>
              <w:top w:val="single" w:sz="4" w:space="0" w:color="auto"/>
            </w:tcBorders>
          </w:tcPr>
          <w:p w14:paraId="78D33AB1" w14:textId="77777777" w:rsidR="00467A59" w:rsidRPr="00AA459B" w:rsidRDefault="00467A59" w:rsidP="00851FCD">
            <w:pPr>
              <w:pStyle w:val="DIBR-Text"/>
              <w:ind w:left="57"/>
              <w:rPr>
                <w:b/>
                <w:bCs/>
                <w:i/>
                <w:iCs/>
              </w:rPr>
            </w:pPr>
            <w:r w:rsidRPr="00AA459B">
              <w:rPr>
                <w:b/>
                <w:bCs/>
                <w:i/>
                <w:iCs/>
              </w:rPr>
              <w:t>Document access</w:t>
            </w:r>
          </w:p>
        </w:tc>
      </w:tr>
      <w:tr w:rsidR="006B012B" w:rsidRPr="00AA459B" w14:paraId="7B309AEE" w14:textId="77777777" w:rsidTr="0077663D">
        <w:tc>
          <w:tcPr>
            <w:tcW w:w="1061" w:type="pct"/>
          </w:tcPr>
          <w:p w14:paraId="66F89C31" w14:textId="7A789EF2" w:rsidR="006B012B" w:rsidRPr="00AA459B" w:rsidRDefault="006B012B" w:rsidP="00E10A3A">
            <w:pPr>
              <w:pStyle w:val="DIBR-Text"/>
              <w:rPr>
                <w:sz w:val="20"/>
                <w:szCs w:val="20"/>
              </w:rPr>
            </w:pPr>
            <w:proofErr w:type="spellStart"/>
            <w:r w:rsidRPr="00AA459B">
              <w:rPr>
                <w:sz w:val="20"/>
                <w:szCs w:val="20"/>
                <w:lang w:val="en-AU"/>
              </w:rPr>
              <w:t>Edaravone</w:t>
            </w:r>
            <w:proofErr w:type="spellEnd"/>
          </w:p>
        </w:tc>
        <w:tc>
          <w:tcPr>
            <w:tcW w:w="2424" w:type="pct"/>
          </w:tcPr>
          <w:p w14:paraId="4825FE5F" w14:textId="03D62D19" w:rsidR="006B012B" w:rsidRPr="00AA459B" w:rsidRDefault="006B012B" w:rsidP="00246026">
            <w:pPr>
              <w:pStyle w:val="DIBR-Text"/>
              <w:ind w:left="57"/>
              <w:rPr>
                <w:b/>
                <w:sz w:val="20"/>
                <w:szCs w:val="20"/>
              </w:rPr>
            </w:pPr>
            <w:r w:rsidRPr="00AA459B">
              <w:rPr>
                <w:b/>
                <w:sz w:val="20"/>
                <w:szCs w:val="20"/>
              </w:rPr>
              <w:t>ALS Functional Rating Scale – Revised (ALSFRS</w:t>
            </w:r>
            <w:r w:rsidR="00CF4CF2" w:rsidRPr="00AA459B">
              <w:rPr>
                <w:b/>
                <w:sz w:val="20"/>
                <w:szCs w:val="20"/>
              </w:rPr>
              <w:noBreakHyphen/>
            </w:r>
            <w:r w:rsidRPr="00AA459B">
              <w:rPr>
                <w:b/>
                <w:sz w:val="20"/>
                <w:szCs w:val="20"/>
              </w:rPr>
              <w:t>R) score.</w:t>
            </w:r>
          </w:p>
          <w:p w14:paraId="749C6C9B" w14:textId="77777777" w:rsidR="006B012B" w:rsidRPr="00AA459B" w:rsidRDefault="006B012B" w:rsidP="006B012B">
            <w:pPr>
              <w:pStyle w:val="DIBR-Text"/>
              <w:ind w:left="57"/>
              <w:rPr>
                <w:bCs/>
                <w:sz w:val="20"/>
                <w:szCs w:val="20"/>
              </w:rPr>
            </w:pPr>
            <w:r w:rsidRPr="00AA459B">
              <w:rPr>
                <w:bCs/>
                <w:sz w:val="20"/>
                <w:szCs w:val="20"/>
              </w:rPr>
              <w:t xml:space="preserve">The document is incorporated as in force on the day this Instrument takes effect, pursuant to paragraph 14(1)(b) of the </w:t>
            </w:r>
            <w:r w:rsidRPr="00AA459B">
              <w:rPr>
                <w:bCs/>
                <w:i/>
                <w:iCs/>
                <w:sz w:val="20"/>
                <w:szCs w:val="20"/>
              </w:rPr>
              <w:t>Legislation Act 2003</w:t>
            </w:r>
            <w:r w:rsidRPr="00AA459B">
              <w:rPr>
                <w:bCs/>
                <w:sz w:val="20"/>
                <w:szCs w:val="20"/>
              </w:rPr>
              <w:t>.</w:t>
            </w:r>
          </w:p>
          <w:p w14:paraId="6A8CF35E" w14:textId="779D43E2" w:rsidR="006B012B" w:rsidRPr="00AA459B" w:rsidRDefault="006B012B" w:rsidP="006B012B">
            <w:pPr>
              <w:pStyle w:val="DIBR-Text"/>
              <w:ind w:left="57"/>
              <w:rPr>
                <w:b/>
                <w:sz w:val="20"/>
                <w:szCs w:val="20"/>
              </w:rPr>
            </w:pPr>
            <w:r w:rsidRPr="00AA459B">
              <w:rPr>
                <w:bCs/>
                <w:sz w:val="20"/>
                <w:szCs w:val="20"/>
              </w:rPr>
              <w:lastRenderedPageBreak/>
              <w:t xml:space="preserve">The ALSFRS-R questionnaire is routinely administered to patients with ALS by neurologists at every clinic visit, typically 3 </w:t>
            </w:r>
            <w:proofErr w:type="gramStart"/>
            <w:r w:rsidRPr="00AA459B">
              <w:rPr>
                <w:bCs/>
                <w:sz w:val="20"/>
                <w:szCs w:val="20"/>
              </w:rPr>
              <w:t>monthly</w:t>
            </w:r>
            <w:proofErr w:type="gramEnd"/>
            <w:r w:rsidRPr="00AA459B">
              <w:rPr>
                <w:bCs/>
                <w:sz w:val="20"/>
                <w:szCs w:val="20"/>
              </w:rPr>
              <w:t>. It is not proprietary and can be accessed online, being reproduced on multiple medical websites (e.g. https://www.mdcalc.com/calc/10166/revised-amyotrophic-lateral-sclerosis-functional-rating-scale-alsfrs-r). There are also websites that allow the neurologist to input a patient’s ratings to obtain a printable or digital copy of their score (https://neurotoolkit.com/alsfrs-r/).</w:t>
            </w:r>
          </w:p>
        </w:tc>
        <w:tc>
          <w:tcPr>
            <w:tcW w:w="1515" w:type="pct"/>
          </w:tcPr>
          <w:p w14:paraId="3C6148BF" w14:textId="14719565" w:rsidR="006B012B" w:rsidRPr="00AA459B" w:rsidRDefault="006B012B" w:rsidP="00E10A3A">
            <w:pPr>
              <w:pStyle w:val="DIBR-Text"/>
              <w:ind w:left="57"/>
              <w:rPr>
                <w:sz w:val="20"/>
                <w:szCs w:val="20"/>
              </w:rPr>
            </w:pPr>
            <w:r w:rsidRPr="00AA459B">
              <w:rPr>
                <w:sz w:val="20"/>
                <w:szCs w:val="20"/>
              </w:rPr>
              <w:lastRenderedPageBreak/>
              <w:t xml:space="preserve">An ALSFRS-R calculator is available via the </w:t>
            </w:r>
            <w:proofErr w:type="spellStart"/>
            <w:r w:rsidRPr="00AA459B">
              <w:rPr>
                <w:sz w:val="20"/>
                <w:szCs w:val="20"/>
              </w:rPr>
              <w:t>MiNDAUS</w:t>
            </w:r>
            <w:proofErr w:type="spellEnd"/>
            <w:r w:rsidRPr="00AA459B">
              <w:rPr>
                <w:sz w:val="20"/>
                <w:szCs w:val="20"/>
              </w:rPr>
              <w:t xml:space="preserve"> ALS registry</w:t>
            </w:r>
            <w:r w:rsidR="00CF4CF2" w:rsidRPr="00AA459B">
              <w:rPr>
                <w:sz w:val="20"/>
                <w:szCs w:val="20"/>
              </w:rPr>
              <w:t>:</w:t>
            </w:r>
            <w:r w:rsidRPr="00AA459B">
              <w:rPr>
                <w:sz w:val="20"/>
                <w:szCs w:val="20"/>
              </w:rPr>
              <w:t xml:space="preserve"> https://www.mindaus.org/wp-content/uploads/2023/09/2209454</w:t>
            </w:r>
            <w:r w:rsidRPr="00AA459B">
              <w:rPr>
                <w:sz w:val="20"/>
                <w:szCs w:val="20"/>
              </w:rPr>
              <w:lastRenderedPageBreak/>
              <w:t>6/DataDictionaryPROMMindausHansenJuly2023V01.1.pdf</w:t>
            </w:r>
          </w:p>
        </w:tc>
      </w:tr>
      <w:tr w:rsidR="00C30F3D" w:rsidRPr="00AA459B" w14:paraId="0F84BEEE" w14:textId="77777777" w:rsidTr="0077663D">
        <w:tc>
          <w:tcPr>
            <w:tcW w:w="1061" w:type="pct"/>
          </w:tcPr>
          <w:p w14:paraId="238F85ED" w14:textId="31E8A51C" w:rsidR="00C30F3D" w:rsidRPr="00AA459B" w:rsidRDefault="00C30F3D" w:rsidP="00C30F3D">
            <w:pPr>
              <w:pStyle w:val="DIBR-Text"/>
              <w:rPr>
                <w:sz w:val="20"/>
                <w:szCs w:val="20"/>
                <w:lang w:val="en-AU"/>
              </w:rPr>
            </w:pPr>
            <w:proofErr w:type="spellStart"/>
            <w:r w:rsidRPr="00AA459B">
              <w:rPr>
                <w:sz w:val="20"/>
                <w:szCs w:val="20"/>
                <w:lang w:val="en-AU"/>
              </w:rPr>
              <w:lastRenderedPageBreak/>
              <w:t>Vutrisiran</w:t>
            </w:r>
            <w:proofErr w:type="spellEnd"/>
          </w:p>
        </w:tc>
        <w:tc>
          <w:tcPr>
            <w:tcW w:w="2424" w:type="pct"/>
          </w:tcPr>
          <w:p w14:paraId="4512EABA" w14:textId="2DC8AE1A" w:rsidR="00C30F3D" w:rsidRPr="00AA459B" w:rsidRDefault="00C30F3D" w:rsidP="00C30F3D">
            <w:pPr>
              <w:pStyle w:val="DIBR-Text"/>
              <w:ind w:left="57"/>
              <w:rPr>
                <w:b/>
                <w:bCs/>
                <w:sz w:val="20"/>
                <w:szCs w:val="20"/>
              </w:rPr>
            </w:pPr>
            <w:r w:rsidRPr="00AA459B">
              <w:rPr>
                <w:b/>
                <w:bCs/>
                <w:sz w:val="20"/>
                <w:szCs w:val="20"/>
                <w:lang w:val="en-AU"/>
              </w:rPr>
              <w:t>Familial Amyloid Polyneuropathy (FAP) stage</w:t>
            </w:r>
            <w:r w:rsidR="003259D1" w:rsidRPr="00AA459B">
              <w:rPr>
                <w:b/>
                <w:bCs/>
                <w:sz w:val="20"/>
                <w:szCs w:val="20"/>
                <w:lang w:val="en-AU"/>
              </w:rPr>
              <w:t>s</w:t>
            </w:r>
            <w:r w:rsidR="00CF4CF2" w:rsidRPr="00AA459B">
              <w:rPr>
                <w:b/>
                <w:bCs/>
                <w:sz w:val="20"/>
                <w:szCs w:val="20"/>
                <w:lang w:val="en-AU"/>
              </w:rPr>
              <w:t>.</w:t>
            </w:r>
          </w:p>
          <w:p w14:paraId="01C3CD52" w14:textId="77777777" w:rsidR="00C30F3D" w:rsidRPr="00AA459B" w:rsidRDefault="00C30F3D" w:rsidP="00C30F3D">
            <w:pPr>
              <w:pStyle w:val="DIBR-Text"/>
              <w:ind w:left="57"/>
              <w:rPr>
                <w:bCs/>
                <w:sz w:val="20"/>
                <w:szCs w:val="20"/>
              </w:rPr>
            </w:pPr>
            <w:r w:rsidRPr="00AA459B">
              <w:rPr>
                <w:bCs/>
                <w:sz w:val="20"/>
                <w:szCs w:val="20"/>
              </w:rPr>
              <w:t xml:space="preserve">The document is incorporated as in force on the day this Instrument takes effect, pursuant to paragraph 14(1)(b) of the </w:t>
            </w:r>
            <w:r w:rsidRPr="00AA459B">
              <w:rPr>
                <w:bCs/>
                <w:i/>
                <w:iCs/>
                <w:sz w:val="20"/>
                <w:szCs w:val="20"/>
              </w:rPr>
              <w:t>Legislation Act 2003</w:t>
            </w:r>
            <w:r w:rsidRPr="00AA459B">
              <w:rPr>
                <w:bCs/>
                <w:sz w:val="20"/>
                <w:szCs w:val="20"/>
              </w:rPr>
              <w:t>.</w:t>
            </w:r>
          </w:p>
          <w:p w14:paraId="6F4F5375" w14:textId="159921C9" w:rsidR="003259D1" w:rsidRPr="00AA459B" w:rsidRDefault="003259D1" w:rsidP="003259D1">
            <w:pPr>
              <w:pStyle w:val="DIBR-Text"/>
              <w:ind w:left="57"/>
              <w:rPr>
                <w:bCs/>
                <w:sz w:val="20"/>
                <w:szCs w:val="20"/>
                <w:lang w:val="en-AU"/>
              </w:rPr>
            </w:pPr>
            <w:r w:rsidRPr="00AA459B">
              <w:rPr>
                <w:bCs/>
                <w:sz w:val="20"/>
                <w:szCs w:val="20"/>
              </w:rPr>
              <w:t xml:space="preserve">FAP stages are used </w:t>
            </w:r>
            <w:r w:rsidRPr="00AA459B">
              <w:rPr>
                <w:bCs/>
                <w:sz w:val="20"/>
                <w:szCs w:val="20"/>
                <w:lang w:val="en-AU"/>
              </w:rPr>
              <w:t xml:space="preserve">to determine the severity of hereditary transthyretin amyloidosis and thus patient eligibility for PBS subsidised </w:t>
            </w:r>
            <w:proofErr w:type="spellStart"/>
            <w:r w:rsidRPr="00AA459B">
              <w:rPr>
                <w:bCs/>
                <w:sz w:val="20"/>
                <w:szCs w:val="20"/>
                <w:lang w:val="en-AU"/>
              </w:rPr>
              <w:t>vutrisiran</w:t>
            </w:r>
            <w:proofErr w:type="spellEnd"/>
            <w:r w:rsidRPr="00AA459B">
              <w:rPr>
                <w:bCs/>
                <w:sz w:val="20"/>
                <w:szCs w:val="20"/>
                <w:lang w:val="en-AU"/>
              </w:rPr>
              <w:t>. The stages are described below:</w:t>
            </w:r>
          </w:p>
          <w:p w14:paraId="368BCB7E" w14:textId="4E04AA7B" w:rsidR="003259D1" w:rsidRPr="00AA459B" w:rsidRDefault="003259D1" w:rsidP="003259D1">
            <w:pPr>
              <w:pStyle w:val="DIBR-Text"/>
              <w:spacing w:before="0"/>
              <w:ind w:left="57"/>
              <w:rPr>
                <w:bCs/>
                <w:i/>
                <w:iCs/>
                <w:sz w:val="20"/>
                <w:szCs w:val="20"/>
                <w:lang w:val="en-AU"/>
              </w:rPr>
            </w:pPr>
            <w:r w:rsidRPr="00AA459B">
              <w:rPr>
                <w:bCs/>
                <w:i/>
                <w:iCs/>
                <w:sz w:val="20"/>
                <w:szCs w:val="20"/>
                <w:lang w:val="en-AU"/>
              </w:rPr>
              <w:t>Familial Amyloid Polyneuropathy (FAP) stages</w:t>
            </w:r>
          </w:p>
          <w:p w14:paraId="2C0A7DC3" w14:textId="135D646D" w:rsidR="003259D1" w:rsidRPr="00AA459B" w:rsidRDefault="003259D1" w:rsidP="003259D1">
            <w:pPr>
              <w:pStyle w:val="DIBR-Text"/>
              <w:spacing w:afterLines="60" w:after="144"/>
              <w:ind w:left="57"/>
              <w:rPr>
                <w:bCs/>
                <w:sz w:val="20"/>
                <w:szCs w:val="20"/>
                <w:lang w:val="en-AU"/>
              </w:rPr>
            </w:pPr>
            <w:r w:rsidRPr="00AA459B">
              <w:rPr>
                <w:bCs/>
                <w:sz w:val="20"/>
                <w:szCs w:val="20"/>
                <w:lang w:val="en-AU"/>
              </w:rPr>
              <w:t>Stage 0 - No symptoms.</w:t>
            </w:r>
          </w:p>
          <w:p w14:paraId="29876547" w14:textId="00E2725B" w:rsidR="003259D1" w:rsidRPr="00AA459B" w:rsidRDefault="003259D1" w:rsidP="003259D1">
            <w:pPr>
              <w:pStyle w:val="DIBR-Text"/>
              <w:spacing w:afterLines="60" w:after="144"/>
              <w:ind w:left="57"/>
              <w:rPr>
                <w:bCs/>
                <w:sz w:val="20"/>
                <w:szCs w:val="20"/>
                <w:lang w:val="en-AU"/>
              </w:rPr>
            </w:pPr>
            <w:r w:rsidRPr="00AA459B">
              <w:rPr>
                <w:bCs/>
                <w:sz w:val="20"/>
                <w:szCs w:val="20"/>
                <w:lang w:val="en-AU"/>
              </w:rPr>
              <w:t>Stage 1 - Unimpaired ambulation.</w:t>
            </w:r>
          </w:p>
          <w:p w14:paraId="4A451A8D" w14:textId="0A49CED9" w:rsidR="003259D1" w:rsidRPr="00AA459B" w:rsidRDefault="003259D1" w:rsidP="003259D1">
            <w:pPr>
              <w:pStyle w:val="DIBR-Text"/>
              <w:spacing w:afterLines="60" w:after="144"/>
              <w:ind w:left="57"/>
              <w:rPr>
                <w:bCs/>
                <w:sz w:val="20"/>
                <w:szCs w:val="20"/>
                <w:lang w:val="en-AU"/>
              </w:rPr>
            </w:pPr>
            <w:r w:rsidRPr="00AA459B">
              <w:rPr>
                <w:bCs/>
                <w:sz w:val="20"/>
                <w:szCs w:val="20"/>
                <w:lang w:val="en-AU"/>
              </w:rPr>
              <w:t>Stage 2 - Assistance with ambulation required.</w:t>
            </w:r>
          </w:p>
          <w:p w14:paraId="54119EC0" w14:textId="5B417020" w:rsidR="003259D1" w:rsidRPr="00AA459B" w:rsidRDefault="003259D1" w:rsidP="003259D1">
            <w:pPr>
              <w:pStyle w:val="DIBR-Text"/>
              <w:spacing w:afterLines="60" w:after="144"/>
              <w:ind w:left="57"/>
              <w:rPr>
                <w:bCs/>
                <w:sz w:val="20"/>
                <w:szCs w:val="20"/>
              </w:rPr>
            </w:pPr>
            <w:r w:rsidRPr="00AA459B">
              <w:rPr>
                <w:bCs/>
                <w:sz w:val="20"/>
                <w:szCs w:val="20"/>
                <w:lang w:val="en-AU"/>
              </w:rPr>
              <w:t>Stage 3 - Wheelchair-bound or bedridden.</w:t>
            </w:r>
          </w:p>
        </w:tc>
        <w:tc>
          <w:tcPr>
            <w:tcW w:w="1515" w:type="pct"/>
          </w:tcPr>
          <w:p w14:paraId="43041ACB" w14:textId="12876A61" w:rsidR="00C30F3D" w:rsidRPr="00AA459B" w:rsidRDefault="003259D1" w:rsidP="00C30F3D">
            <w:pPr>
              <w:pStyle w:val="DIBR-Text"/>
              <w:ind w:left="57"/>
              <w:rPr>
                <w:sz w:val="20"/>
                <w:szCs w:val="20"/>
              </w:rPr>
            </w:pPr>
            <w:r w:rsidRPr="00AA459B">
              <w:rPr>
                <w:sz w:val="20"/>
                <w:szCs w:val="20"/>
              </w:rPr>
              <w:t xml:space="preserve">The FAP stages can be accessed free of charge at the </w:t>
            </w:r>
            <w:proofErr w:type="spellStart"/>
            <w:r w:rsidRPr="00AA459B">
              <w:rPr>
                <w:sz w:val="20"/>
                <w:szCs w:val="20"/>
              </w:rPr>
              <w:t>Orphanet</w:t>
            </w:r>
            <w:proofErr w:type="spellEnd"/>
            <w:r w:rsidRPr="00AA459B">
              <w:rPr>
                <w:sz w:val="20"/>
                <w:szCs w:val="20"/>
              </w:rPr>
              <w:t xml:space="preserve"> Journal of Rare Diseases website: https://ojrd.biomedcentral.com/articles/10.1186/1750-1172-8-31</w:t>
            </w:r>
          </w:p>
        </w:tc>
      </w:tr>
      <w:tr w:rsidR="00C30F3D" w:rsidRPr="00AA459B" w14:paraId="4E9DA39B" w14:textId="77777777" w:rsidTr="0077663D">
        <w:tc>
          <w:tcPr>
            <w:tcW w:w="1061" w:type="pct"/>
          </w:tcPr>
          <w:p w14:paraId="2C95DC9A" w14:textId="6A8AC290" w:rsidR="00C30F3D" w:rsidRPr="00AA459B" w:rsidRDefault="00C30F3D" w:rsidP="00C30F3D">
            <w:pPr>
              <w:pStyle w:val="DIBR-Text"/>
              <w:rPr>
                <w:sz w:val="20"/>
                <w:szCs w:val="20"/>
              </w:rPr>
            </w:pPr>
            <w:proofErr w:type="spellStart"/>
            <w:r w:rsidRPr="00AA459B">
              <w:rPr>
                <w:sz w:val="20"/>
                <w:szCs w:val="20"/>
                <w:lang w:val="en-AU"/>
              </w:rPr>
              <w:t>Vutrisiran</w:t>
            </w:r>
            <w:proofErr w:type="spellEnd"/>
          </w:p>
        </w:tc>
        <w:tc>
          <w:tcPr>
            <w:tcW w:w="2424" w:type="pct"/>
          </w:tcPr>
          <w:p w14:paraId="010D5D5D" w14:textId="77777777" w:rsidR="00C30F3D" w:rsidRPr="00AA459B" w:rsidRDefault="00C30F3D" w:rsidP="00C30F3D">
            <w:pPr>
              <w:pStyle w:val="DIBR-Text"/>
              <w:ind w:left="57"/>
              <w:rPr>
                <w:b/>
                <w:sz w:val="20"/>
                <w:szCs w:val="20"/>
              </w:rPr>
            </w:pPr>
            <w:r w:rsidRPr="00AA459B">
              <w:rPr>
                <w:b/>
                <w:sz w:val="20"/>
                <w:szCs w:val="20"/>
              </w:rPr>
              <w:t xml:space="preserve">New York Heart Association (NYHA) classification. </w:t>
            </w:r>
          </w:p>
          <w:p w14:paraId="78C35D7F" w14:textId="77777777" w:rsidR="00C30F3D" w:rsidRPr="00AA459B" w:rsidRDefault="00C30F3D" w:rsidP="00C30F3D">
            <w:pPr>
              <w:pStyle w:val="DIBR-Text"/>
              <w:ind w:left="57"/>
              <w:rPr>
                <w:bCs/>
                <w:sz w:val="20"/>
                <w:szCs w:val="20"/>
              </w:rPr>
            </w:pPr>
            <w:r w:rsidRPr="00AA459B">
              <w:rPr>
                <w:bCs/>
                <w:sz w:val="20"/>
                <w:szCs w:val="20"/>
              </w:rPr>
              <w:t xml:space="preserve">The document is incorporated as in force on the day this Instrument takes effect, pursuant to paragraph 14(1)(b) of the </w:t>
            </w:r>
            <w:r w:rsidRPr="00AA459B">
              <w:rPr>
                <w:bCs/>
                <w:i/>
                <w:iCs/>
                <w:sz w:val="20"/>
                <w:szCs w:val="20"/>
              </w:rPr>
              <w:t>Legislation Act 2003</w:t>
            </w:r>
            <w:r w:rsidRPr="00AA459B">
              <w:rPr>
                <w:bCs/>
                <w:sz w:val="20"/>
                <w:szCs w:val="20"/>
              </w:rPr>
              <w:t>.</w:t>
            </w:r>
          </w:p>
          <w:p w14:paraId="48E608A8" w14:textId="7EAE4CF3" w:rsidR="00C30F3D" w:rsidRPr="00AA459B" w:rsidRDefault="00C30F3D" w:rsidP="00C30F3D">
            <w:pPr>
              <w:pStyle w:val="DIBR-Text"/>
              <w:ind w:left="57"/>
              <w:rPr>
                <w:bCs/>
                <w:sz w:val="20"/>
                <w:szCs w:val="20"/>
                <w:lang w:val="en-AU"/>
              </w:rPr>
            </w:pPr>
            <w:r w:rsidRPr="00AA459B">
              <w:rPr>
                <w:bCs/>
                <w:sz w:val="20"/>
                <w:szCs w:val="20"/>
              </w:rPr>
              <w:t xml:space="preserve">The NYHA classification system is used to define the degree of heart failure. </w:t>
            </w:r>
            <w:r w:rsidRPr="00AA459B">
              <w:rPr>
                <w:bCs/>
                <w:sz w:val="20"/>
                <w:szCs w:val="20"/>
                <w:lang w:val="en-AU"/>
              </w:rPr>
              <w:t xml:space="preserve">The different classes in the NYHA Functional Classification for heart failure are described below: </w:t>
            </w:r>
          </w:p>
          <w:p w14:paraId="3BE6FA8F" w14:textId="77777777" w:rsidR="00C30F3D" w:rsidRPr="00AA459B" w:rsidRDefault="00C30F3D" w:rsidP="00C30F3D">
            <w:pPr>
              <w:pStyle w:val="DIBR-Text"/>
              <w:ind w:left="57"/>
              <w:rPr>
                <w:bCs/>
                <w:i/>
                <w:iCs/>
                <w:sz w:val="20"/>
                <w:szCs w:val="20"/>
                <w:lang w:val="en-AU"/>
              </w:rPr>
            </w:pPr>
            <w:r w:rsidRPr="00AA459B">
              <w:rPr>
                <w:bCs/>
                <w:i/>
                <w:iCs/>
                <w:sz w:val="20"/>
                <w:szCs w:val="20"/>
                <w:lang w:val="en-AU"/>
              </w:rPr>
              <w:t>Class/Patient Symptoms</w:t>
            </w:r>
          </w:p>
          <w:p w14:paraId="27271E83" w14:textId="5208B8B7" w:rsidR="00C30F3D" w:rsidRPr="00AA459B" w:rsidRDefault="00C30F3D" w:rsidP="00C30F3D">
            <w:pPr>
              <w:pStyle w:val="DIBR-Text"/>
              <w:ind w:left="57"/>
              <w:rPr>
                <w:bCs/>
                <w:sz w:val="20"/>
                <w:szCs w:val="20"/>
                <w:lang w:val="en-AU"/>
              </w:rPr>
            </w:pPr>
            <w:r w:rsidRPr="00AA459B">
              <w:rPr>
                <w:bCs/>
                <w:sz w:val="20"/>
                <w:szCs w:val="20"/>
                <w:lang w:val="en-AU"/>
              </w:rPr>
              <w:t>Class I: No limitation of physical activity. Ordinary physical activity does not cause undue fatigue, palpitation or shortness of breath.</w:t>
            </w:r>
          </w:p>
          <w:p w14:paraId="22CA43E9" w14:textId="02A029AD" w:rsidR="00C30F3D" w:rsidRPr="00AA459B" w:rsidRDefault="00C30F3D" w:rsidP="00C30F3D">
            <w:pPr>
              <w:pStyle w:val="DIBR-Text"/>
              <w:ind w:left="57"/>
              <w:rPr>
                <w:bCs/>
                <w:sz w:val="20"/>
                <w:szCs w:val="20"/>
                <w:lang w:val="en-AU"/>
              </w:rPr>
            </w:pPr>
            <w:r w:rsidRPr="00AA459B">
              <w:rPr>
                <w:bCs/>
                <w:sz w:val="20"/>
                <w:szCs w:val="20"/>
                <w:lang w:val="en-AU"/>
              </w:rPr>
              <w:t>Class II: Slight limitation of physical activity. Comfortable at rest. Ordinary physical activity results in fatigue, palpitation, shortness of breath or chest pain.</w:t>
            </w:r>
          </w:p>
          <w:p w14:paraId="449BFD96" w14:textId="1898F652" w:rsidR="00C30F3D" w:rsidRPr="00AA459B" w:rsidRDefault="00C30F3D" w:rsidP="00C30F3D">
            <w:pPr>
              <w:pStyle w:val="DIBR-Text"/>
              <w:ind w:left="57"/>
              <w:rPr>
                <w:bCs/>
                <w:sz w:val="20"/>
                <w:szCs w:val="20"/>
                <w:lang w:val="en-AU"/>
              </w:rPr>
            </w:pPr>
            <w:r w:rsidRPr="00AA459B">
              <w:rPr>
                <w:bCs/>
                <w:sz w:val="20"/>
                <w:szCs w:val="20"/>
                <w:lang w:val="en-AU"/>
              </w:rPr>
              <w:t>Class III: Marked limitation of physical activity. Comfortable at rest. Less than ordinary activity causes fatigue, palpitation, shortness of breath or chest pain.</w:t>
            </w:r>
          </w:p>
          <w:p w14:paraId="0C3CC1F6" w14:textId="733EB10A" w:rsidR="00C30F3D" w:rsidRPr="00AA459B" w:rsidRDefault="00C30F3D" w:rsidP="00C30F3D">
            <w:pPr>
              <w:pStyle w:val="DIBR-Text"/>
              <w:ind w:left="57"/>
              <w:rPr>
                <w:b/>
                <w:sz w:val="20"/>
                <w:szCs w:val="20"/>
              </w:rPr>
            </w:pPr>
            <w:r w:rsidRPr="00AA459B">
              <w:rPr>
                <w:bCs/>
                <w:sz w:val="20"/>
                <w:szCs w:val="20"/>
                <w:lang w:val="en-AU"/>
              </w:rPr>
              <w:t>Class IV: Symptoms of heart failure at rest. Any physical activity causes further discomfort.</w:t>
            </w:r>
          </w:p>
        </w:tc>
        <w:tc>
          <w:tcPr>
            <w:tcW w:w="1515" w:type="pct"/>
          </w:tcPr>
          <w:p w14:paraId="11E9BA52" w14:textId="0D642FEA" w:rsidR="00C30F3D" w:rsidRPr="00AA459B" w:rsidRDefault="00C30F3D" w:rsidP="00C30F3D">
            <w:pPr>
              <w:pStyle w:val="DIBR-Text"/>
              <w:ind w:left="57"/>
              <w:rPr>
                <w:sz w:val="20"/>
                <w:szCs w:val="20"/>
              </w:rPr>
            </w:pPr>
            <w:r w:rsidRPr="00AA459B">
              <w:rPr>
                <w:sz w:val="20"/>
                <w:szCs w:val="20"/>
              </w:rPr>
              <w:t>The NYHA classification system is available for download for free from the Heart Foundation website (contained within the heart failure clinical guidelines): https://www.heartfoundation.org.au/Conditions/Heart-failure-clinical-guidelines</w:t>
            </w:r>
          </w:p>
        </w:tc>
      </w:tr>
      <w:tr w:rsidR="00C30F3D" w:rsidRPr="00AA459B" w14:paraId="14896B3B" w14:textId="77777777" w:rsidTr="0077663D">
        <w:tc>
          <w:tcPr>
            <w:tcW w:w="1061" w:type="pct"/>
          </w:tcPr>
          <w:p w14:paraId="6A556073" w14:textId="351F0EFF" w:rsidR="00C30F3D" w:rsidRPr="00AA459B" w:rsidRDefault="00C30F3D" w:rsidP="00C30F3D">
            <w:pPr>
              <w:pStyle w:val="DIBR-Text"/>
              <w:rPr>
                <w:sz w:val="20"/>
                <w:szCs w:val="20"/>
              </w:rPr>
            </w:pPr>
            <w:proofErr w:type="spellStart"/>
            <w:r w:rsidRPr="00AA459B">
              <w:rPr>
                <w:sz w:val="20"/>
                <w:szCs w:val="20"/>
                <w:lang w:val="en-AU"/>
              </w:rPr>
              <w:t>Vutrisiran</w:t>
            </w:r>
            <w:proofErr w:type="spellEnd"/>
          </w:p>
        </w:tc>
        <w:tc>
          <w:tcPr>
            <w:tcW w:w="2424" w:type="pct"/>
          </w:tcPr>
          <w:p w14:paraId="07D9DA83" w14:textId="60F097E1" w:rsidR="00C30F3D" w:rsidRPr="00AA459B" w:rsidRDefault="00C30F3D" w:rsidP="00C30F3D">
            <w:pPr>
              <w:pStyle w:val="DIBR-Text"/>
              <w:ind w:left="57"/>
              <w:rPr>
                <w:b/>
                <w:bCs/>
                <w:sz w:val="20"/>
                <w:szCs w:val="20"/>
              </w:rPr>
            </w:pPr>
            <w:r w:rsidRPr="00AA459B">
              <w:rPr>
                <w:b/>
                <w:bCs/>
                <w:sz w:val="20"/>
                <w:szCs w:val="20"/>
              </w:rPr>
              <w:t>Polyneuropathy Disability (PND) score</w:t>
            </w:r>
            <w:r w:rsidR="003259D1" w:rsidRPr="00AA459B">
              <w:rPr>
                <w:b/>
                <w:bCs/>
                <w:sz w:val="20"/>
                <w:szCs w:val="20"/>
              </w:rPr>
              <w:t>/stages</w:t>
            </w:r>
            <w:r w:rsidRPr="00AA459B">
              <w:rPr>
                <w:b/>
                <w:bCs/>
                <w:sz w:val="20"/>
                <w:szCs w:val="20"/>
              </w:rPr>
              <w:t>.</w:t>
            </w:r>
          </w:p>
          <w:p w14:paraId="4BA08844" w14:textId="77777777" w:rsidR="00C30F3D" w:rsidRPr="00AA459B" w:rsidRDefault="00C30F3D" w:rsidP="00C30F3D">
            <w:pPr>
              <w:pStyle w:val="DIBR-Text"/>
              <w:ind w:left="57"/>
              <w:rPr>
                <w:bCs/>
                <w:sz w:val="20"/>
                <w:szCs w:val="20"/>
              </w:rPr>
            </w:pPr>
            <w:r w:rsidRPr="00AA459B">
              <w:rPr>
                <w:bCs/>
                <w:sz w:val="20"/>
                <w:szCs w:val="20"/>
              </w:rPr>
              <w:t xml:space="preserve">The document is incorporated as in force on the day this Instrument takes effect, pursuant to paragraph 14(1)(b) of the </w:t>
            </w:r>
            <w:r w:rsidRPr="00AA459B">
              <w:rPr>
                <w:bCs/>
                <w:i/>
                <w:iCs/>
                <w:sz w:val="20"/>
                <w:szCs w:val="20"/>
              </w:rPr>
              <w:t>Legislation Act 2003</w:t>
            </w:r>
            <w:r w:rsidRPr="00AA459B">
              <w:rPr>
                <w:bCs/>
                <w:sz w:val="20"/>
                <w:szCs w:val="20"/>
              </w:rPr>
              <w:t>.</w:t>
            </w:r>
          </w:p>
          <w:p w14:paraId="63A19DDE" w14:textId="4413E5CB" w:rsidR="003259D1" w:rsidRPr="00AA459B" w:rsidRDefault="003259D1" w:rsidP="003259D1">
            <w:pPr>
              <w:pStyle w:val="DIBR-Text"/>
              <w:ind w:left="57"/>
              <w:rPr>
                <w:bCs/>
                <w:sz w:val="20"/>
                <w:szCs w:val="20"/>
                <w:lang w:val="en-AU"/>
              </w:rPr>
            </w:pPr>
            <w:r w:rsidRPr="00AA459B">
              <w:rPr>
                <w:bCs/>
                <w:sz w:val="20"/>
                <w:szCs w:val="20"/>
              </w:rPr>
              <w:t xml:space="preserve">PND stages are used </w:t>
            </w:r>
            <w:r w:rsidRPr="00AA459B">
              <w:rPr>
                <w:bCs/>
                <w:sz w:val="20"/>
                <w:szCs w:val="20"/>
                <w:lang w:val="en-AU"/>
              </w:rPr>
              <w:t xml:space="preserve">to determine the severity of hereditary transthyretin amyloidosis and thus patient eligibility for PBS subsidised </w:t>
            </w:r>
            <w:proofErr w:type="spellStart"/>
            <w:r w:rsidRPr="00AA459B">
              <w:rPr>
                <w:bCs/>
                <w:sz w:val="20"/>
                <w:szCs w:val="20"/>
                <w:lang w:val="en-AU"/>
              </w:rPr>
              <w:t>vutrisiran</w:t>
            </w:r>
            <w:proofErr w:type="spellEnd"/>
            <w:r w:rsidRPr="00AA459B">
              <w:rPr>
                <w:bCs/>
                <w:sz w:val="20"/>
                <w:szCs w:val="20"/>
                <w:lang w:val="en-AU"/>
              </w:rPr>
              <w:t>. The stages are described below:</w:t>
            </w:r>
          </w:p>
          <w:p w14:paraId="395FFA38" w14:textId="4D3437F7" w:rsidR="003259D1" w:rsidRPr="00AA459B" w:rsidRDefault="003259D1" w:rsidP="003259D1">
            <w:pPr>
              <w:pStyle w:val="DIBR-Text"/>
              <w:ind w:left="57"/>
              <w:rPr>
                <w:bCs/>
                <w:i/>
                <w:iCs/>
                <w:sz w:val="20"/>
                <w:szCs w:val="20"/>
                <w:lang w:val="en-AU"/>
              </w:rPr>
            </w:pPr>
            <w:r w:rsidRPr="00AA459B">
              <w:rPr>
                <w:bCs/>
                <w:i/>
                <w:iCs/>
                <w:sz w:val="20"/>
                <w:szCs w:val="20"/>
                <w:lang w:val="en-AU"/>
              </w:rPr>
              <w:t>Polyneuropathy Disability (PND) stages</w:t>
            </w:r>
          </w:p>
          <w:p w14:paraId="320F04B8" w14:textId="76A1EA0E" w:rsidR="003259D1" w:rsidRPr="00AA459B" w:rsidRDefault="003259D1" w:rsidP="003259D1">
            <w:pPr>
              <w:pStyle w:val="DIBR-Text"/>
              <w:ind w:left="57"/>
              <w:rPr>
                <w:bCs/>
                <w:sz w:val="20"/>
                <w:szCs w:val="20"/>
                <w:lang w:val="en-AU"/>
              </w:rPr>
            </w:pPr>
            <w:r w:rsidRPr="00AA459B">
              <w:rPr>
                <w:bCs/>
                <w:sz w:val="20"/>
                <w:szCs w:val="20"/>
                <w:lang w:val="en-AU"/>
              </w:rPr>
              <w:t>Stage 0 - No symptoms.</w:t>
            </w:r>
          </w:p>
          <w:p w14:paraId="0534E089" w14:textId="71D95B74" w:rsidR="003259D1" w:rsidRPr="00AA459B" w:rsidRDefault="003259D1" w:rsidP="003259D1">
            <w:pPr>
              <w:pStyle w:val="DIBR-Text"/>
              <w:ind w:left="57"/>
              <w:rPr>
                <w:bCs/>
                <w:sz w:val="20"/>
                <w:szCs w:val="20"/>
                <w:lang w:val="en-AU"/>
              </w:rPr>
            </w:pPr>
            <w:r w:rsidRPr="00AA459B">
              <w:rPr>
                <w:bCs/>
                <w:sz w:val="20"/>
                <w:szCs w:val="20"/>
                <w:lang w:val="en-AU"/>
              </w:rPr>
              <w:lastRenderedPageBreak/>
              <w:t>Stage I - Sensory disturbances but preserved walking capability.</w:t>
            </w:r>
          </w:p>
          <w:p w14:paraId="5896AB81" w14:textId="35765219" w:rsidR="003259D1" w:rsidRPr="00AA459B" w:rsidRDefault="003259D1" w:rsidP="003259D1">
            <w:pPr>
              <w:pStyle w:val="DIBR-Text"/>
              <w:ind w:left="57"/>
              <w:rPr>
                <w:bCs/>
                <w:sz w:val="20"/>
                <w:szCs w:val="20"/>
                <w:lang w:val="en-AU"/>
              </w:rPr>
            </w:pPr>
            <w:r w:rsidRPr="00AA459B">
              <w:rPr>
                <w:bCs/>
                <w:sz w:val="20"/>
                <w:szCs w:val="20"/>
                <w:lang w:val="en-AU"/>
              </w:rPr>
              <w:t>Stage II - Impaired walking capacity but able to walk without stick or crutches.</w:t>
            </w:r>
          </w:p>
          <w:p w14:paraId="273E557F" w14:textId="675D7EBE" w:rsidR="003259D1" w:rsidRPr="00AA459B" w:rsidRDefault="003259D1" w:rsidP="003259D1">
            <w:pPr>
              <w:pStyle w:val="DIBR-Text"/>
              <w:ind w:left="57"/>
              <w:rPr>
                <w:bCs/>
                <w:sz w:val="20"/>
                <w:szCs w:val="20"/>
                <w:lang w:val="en-AU"/>
              </w:rPr>
            </w:pPr>
            <w:r w:rsidRPr="00AA459B">
              <w:rPr>
                <w:bCs/>
                <w:sz w:val="20"/>
                <w:szCs w:val="20"/>
                <w:lang w:val="en-AU"/>
              </w:rPr>
              <w:t>Stage IIIA - Walking with help of one stick or crutch.</w:t>
            </w:r>
          </w:p>
          <w:p w14:paraId="1D62B69D" w14:textId="4FE3D8C1" w:rsidR="003259D1" w:rsidRPr="00AA459B" w:rsidRDefault="003259D1" w:rsidP="003259D1">
            <w:pPr>
              <w:pStyle w:val="DIBR-Text"/>
              <w:ind w:left="57"/>
              <w:rPr>
                <w:bCs/>
                <w:sz w:val="20"/>
                <w:szCs w:val="20"/>
                <w:lang w:val="en-AU"/>
              </w:rPr>
            </w:pPr>
            <w:r w:rsidRPr="00AA459B">
              <w:rPr>
                <w:bCs/>
                <w:sz w:val="20"/>
                <w:szCs w:val="20"/>
                <w:lang w:val="en-AU"/>
              </w:rPr>
              <w:t>Stage IIIB - Walking with help of two sticks or crutches.</w:t>
            </w:r>
          </w:p>
          <w:p w14:paraId="686219BB" w14:textId="6F0477D4" w:rsidR="00C30F3D" w:rsidRPr="00AA459B" w:rsidRDefault="003259D1" w:rsidP="003259D1">
            <w:pPr>
              <w:pStyle w:val="DIBR-Text"/>
              <w:ind w:left="57"/>
              <w:rPr>
                <w:b/>
                <w:sz w:val="20"/>
                <w:szCs w:val="20"/>
              </w:rPr>
            </w:pPr>
            <w:r w:rsidRPr="00AA459B">
              <w:rPr>
                <w:bCs/>
                <w:sz w:val="20"/>
                <w:szCs w:val="20"/>
                <w:lang w:val="en-AU"/>
              </w:rPr>
              <w:t>Stage IV - Confined to wheelchair or bedridden.</w:t>
            </w:r>
          </w:p>
        </w:tc>
        <w:tc>
          <w:tcPr>
            <w:tcW w:w="1515" w:type="pct"/>
          </w:tcPr>
          <w:p w14:paraId="168201BD" w14:textId="0DD50AFC" w:rsidR="00C30F3D" w:rsidRPr="00AA459B" w:rsidRDefault="003259D1" w:rsidP="00C30F3D">
            <w:pPr>
              <w:pStyle w:val="DIBR-Text"/>
              <w:ind w:left="57"/>
              <w:rPr>
                <w:sz w:val="20"/>
                <w:szCs w:val="20"/>
              </w:rPr>
            </w:pPr>
            <w:r w:rsidRPr="00AA459B">
              <w:rPr>
                <w:sz w:val="20"/>
                <w:szCs w:val="20"/>
              </w:rPr>
              <w:lastRenderedPageBreak/>
              <w:t xml:space="preserve">The PND stages can be accessed free of charge at the </w:t>
            </w:r>
            <w:proofErr w:type="spellStart"/>
            <w:r w:rsidRPr="00AA459B">
              <w:rPr>
                <w:sz w:val="20"/>
                <w:szCs w:val="20"/>
              </w:rPr>
              <w:t>Orphanet</w:t>
            </w:r>
            <w:proofErr w:type="spellEnd"/>
            <w:r w:rsidRPr="00AA459B">
              <w:rPr>
                <w:sz w:val="20"/>
                <w:szCs w:val="20"/>
              </w:rPr>
              <w:t xml:space="preserve"> Journal of Rare Diseases website: https://ojrd.biomedcentral.com/articles/10.1186/1750-1172-8-31</w:t>
            </w:r>
          </w:p>
        </w:tc>
      </w:tr>
      <w:bookmarkEnd w:id="7"/>
    </w:tbl>
    <w:p w14:paraId="742C321F" w14:textId="77674E93" w:rsidR="00522FAC" w:rsidRPr="00AA459B" w:rsidRDefault="00522FAC">
      <w:pPr>
        <w:keepLines w:val="0"/>
        <w:spacing w:after="0"/>
        <w:jc w:val="left"/>
      </w:pPr>
      <w:r w:rsidRPr="00AA459B">
        <w:br w:type="page"/>
      </w:r>
    </w:p>
    <w:bookmarkEnd w:id="3"/>
    <w:p w14:paraId="152525F2" w14:textId="03EE5051" w:rsidR="000C6A04" w:rsidRPr="00AA459B" w:rsidRDefault="000C6A04" w:rsidP="00CF4CF2">
      <w:pPr>
        <w:keepLines w:val="0"/>
        <w:spacing w:before="480" w:after="200"/>
        <w:ind w:left="1701" w:firstLine="567"/>
        <w:jc w:val="left"/>
        <w:rPr>
          <w:b/>
          <w:sz w:val="24"/>
          <w:szCs w:val="24"/>
        </w:rPr>
      </w:pPr>
      <w:r w:rsidRPr="00AA459B">
        <w:rPr>
          <w:b/>
          <w:sz w:val="26"/>
          <w:szCs w:val="26"/>
        </w:rPr>
        <w:lastRenderedPageBreak/>
        <w:t>Statement of Compatibility with Human Rights</w:t>
      </w:r>
    </w:p>
    <w:p w14:paraId="4D2D6099" w14:textId="77777777" w:rsidR="000C6A04" w:rsidRPr="00AA459B" w:rsidRDefault="000C6A04" w:rsidP="000B45B3">
      <w:pPr>
        <w:keepLines w:val="0"/>
        <w:spacing w:before="120" w:after="0"/>
        <w:jc w:val="center"/>
        <w:rPr>
          <w:i/>
          <w:sz w:val="22"/>
          <w:szCs w:val="22"/>
        </w:rPr>
      </w:pPr>
      <w:r w:rsidRPr="00AA459B">
        <w:rPr>
          <w:i/>
          <w:sz w:val="22"/>
          <w:szCs w:val="22"/>
        </w:rPr>
        <w:t>Prepared in accordance with Part 3 of the Human Rights (Parliamentary Scrutiny) Act 2011</w:t>
      </w:r>
    </w:p>
    <w:p w14:paraId="60DFA373" w14:textId="127E8033" w:rsidR="000C6A04" w:rsidRPr="00AA459B" w:rsidRDefault="000C6A04" w:rsidP="00CF4CF2">
      <w:pPr>
        <w:keepLines w:val="0"/>
        <w:spacing w:before="240" w:after="0"/>
        <w:jc w:val="center"/>
        <w:rPr>
          <w:b/>
          <w:i/>
          <w:sz w:val="22"/>
          <w:szCs w:val="22"/>
        </w:rPr>
      </w:pPr>
      <w:r w:rsidRPr="00AA459B">
        <w:rPr>
          <w:b/>
          <w:i/>
          <w:sz w:val="22"/>
          <w:szCs w:val="22"/>
        </w:rPr>
        <w:t>National Health (Hi</w:t>
      </w:r>
      <w:r w:rsidR="008A4A82" w:rsidRPr="00AA459B">
        <w:rPr>
          <w:b/>
          <w:i/>
          <w:sz w:val="22"/>
          <w:szCs w:val="22"/>
        </w:rPr>
        <w:t>ghly Specialised Drugs P</w:t>
      </w:r>
      <w:r w:rsidR="00F405CF" w:rsidRPr="00AA459B">
        <w:rPr>
          <w:b/>
          <w:i/>
          <w:sz w:val="22"/>
          <w:szCs w:val="22"/>
        </w:rPr>
        <w:t>rogram)</w:t>
      </w:r>
      <w:r w:rsidR="001A0B2B" w:rsidRPr="00AA459B">
        <w:rPr>
          <w:b/>
          <w:i/>
          <w:sz w:val="22"/>
          <w:szCs w:val="22"/>
        </w:rPr>
        <w:t xml:space="preserve"> </w:t>
      </w:r>
      <w:r w:rsidRPr="00AA459B">
        <w:rPr>
          <w:b/>
          <w:i/>
          <w:sz w:val="22"/>
          <w:szCs w:val="22"/>
        </w:rPr>
        <w:t>Special</w:t>
      </w:r>
      <w:r w:rsidR="00F405CF" w:rsidRPr="00AA459B">
        <w:rPr>
          <w:b/>
          <w:i/>
          <w:sz w:val="22"/>
          <w:szCs w:val="22"/>
        </w:rPr>
        <w:t xml:space="preserve"> </w:t>
      </w:r>
      <w:r w:rsidRPr="00AA459B">
        <w:rPr>
          <w:b/>
          <w:i/>
          <w:sz w:val="22"/>
          <w:szCs w:val="22"/>
        </w:rPr>
        <w:t>Arrangement</w:t>
      </w:r>
      <w:r w:rsidR="001A0B2B" w:rsidRPr="00AA459B">
        <w:rPr>
          <w:b/>
          <w:i/>
          <w:sz w:val="22"/>
          <w:szCs w:val="22"/>
        </w:rPr>
        <w:br/>
      </w:r>
      <w:r w:rsidRPr="00AA459B">
        <w:rPr>
          <w:b/>
          <w:i/>
          <w:sz w:val="22"/>
          <w:szCs w:val="22"/>
        </w:rPr>
        <w:t>Amendment</w:t>
      </w:r>
      <w:r w:rsidR="00826166" w:rsidRPr="00AA459B">
        <w:rPr>
          <w:b/>
          <w:i/>
          <w:sz w:val="22"/>
          <w:szCs w:val="22"/>
        </w:rPr>
        <w:t xml:space="preserve"> (</w:t>
      </w:r>
      <w:r w:rsidR="00D2609F" w:rsidRPr="00AA459B">
        <w:rPr>
          <w:b/>
          <w:i/>
          <w:sz w:val="22"/>
          <w:szCs w:val="22"/>
        </w:rPr>
        <w:t>May</w:t>
      </w:r>
      <w:r w:rsidR="00AF2DDA" w:rsidRPr="00AA459B">
        <w:rPr>
          <w:b/>
          <w:i/>
          <w:sz w:val="22"/>
          <w:szCs w:val="22"/>
        </w:rPr>
        <w:t xml:space="preserve"> </w:t>
      </w:r>
      <w:r w:rsidR="00AA01F5" w:rsidRPr="00AA459B">
        <w:rPr>
          <w:b/>
          <w:i/>
          <w:sz w:val="22"/>
          <w:szCs w:val="22"/>
        </w:rPr>
        <w:t>Update</w:t>
      </w:r>
      <w:r w:rsidR="00826166" w:rsidRPr="00AA459B">
        <w:rPr>
          <w:b/>
          <w:i/>
          <w:sz w:val="22"/>
          <w:szCs w:val="22"/>
        </w:rPr>
        <w:t>)</w:t>
      </w:r>
      <w:r w:rsidR="00F405CF" w:rsidRPr="00AA459B">
        <w:rPr>
          <w:b/>
          <w:i/>
          <w:sz w:val="22"/>
          <w:szCs w:val="22"/>
        </w:rPr>
        <w:t xml:space="preserve"> </w:t>
      </w:r>
      <w:r w:rsidRPr="00AA459B">
        <w:rPr>
          <w:b/>
          <w:i/>
          <w:sz w:val="22"/>
          <w:szCs w:val="22"/>
        </w:rPr>
        <w:t>Instrument</w:t>
      </w:r>
      <w:r w:rsidR="00F405CF" w:rsidRPr="00AA459B">
        <w:rPr>
          <w:b/>
          <w:i/>
          <w:sz w:val="22"/>
          <w:szCs w:val="22"/>
        </w:rPr>
        <w:t xml:space="preserve"> </w:t>
      </w:r>
      <w:r w:rsidR="00557A6F" w:rsidRPr="00AA459B">
        <w:rPr>
          <w:b/>
          <w:i/>
          <w:sz w:val="22"/>
          <w:szCs w:val="22"/>
        </w:rPr>
        <w:t>202</w:t>
      </w:r>
      <w:r w:rsidR="00C769F7" w:rsidRPr="00AA459B">
        <w:rPr>
          <w:b/>
          <w:i/>
          <w:sz w:val="22"/>
          <w:szCs w:val="22"/>
        </w:rPr>
        <w:t>5</w:t>
      </w:r>
    </w:p>
    <w:p w14:paraId="7E8E52C2" w14:textId="16BC978E" w:rsidR="000C6A04" w:rsidRPr="00AA459B" w:rsidRDefault="000C6A04" w:rsidP="00441D04">
      <w:pPr>
        <w:keepLines w:val="0"/>
        <w:spacing w:before="120" w:after="0"/>
        <w:jc w:val="center"/>
        <w:rPr>
          <w:b/>
          <w:sz w:val="22"/>
          <w:szCs w:val="22"/>
        </w:rPr>
      </w:pPr>
      <w:r w:rsidRPr="00AA459B">
        <w:rPr>
          <w:b/>
          <w:sz w:val="22"/>
          <w:szCs w:val="22"/>
        </w:rPr>
        <w:t>(</w:t>
      </w:r>
      <w:r w:rsidR="001B3F1C" w:rsidRPr="00AA459B">
        <w:rPr>
          <w:b/>
          <w:sz w:val="22"/>
          <w:szCs w:val="22"/>
        </w:rPr>
        <w:t>PB 44</w:t>
      </w:r>
      <w:r w:rsidR="006C5FBB" w:rsidRPr="00AA459B">
        <w:rPr>
          <w:b/>
          <w:sz w:val="22"/>
          <w:szCs w:val="22"/>
        </w:rPr>
        <w:t xml:space="preserve"> </w:t>
      </w:r>
      <w:r w:rsidR="005E6D84" w:rsidRPr="00AA459B">
        <w:rPr>
          <w:b/>
          <w:sz w:val="22"/>
          <w:szCs w:val="22"/>
        </w:rPr>
        <w:t xml:space="preserve">of </w:t>
      </w:r>
      <w:r w:rsidR="00557A6F" w:rsidRPr="00AA459B">
        <w:rPr>
          <w:b/>
          <w:sz w:val="22"/>
          <w:szCs w:val="22"/>
        </w:rPr>
        <w:t>202</w:t>
      </w:r>
      <w:r w:rsidR="00C769F7" w:rsidRPr="00AA459B">
        <w:rPr>
          <w:b/>
          <w:sz w:val="22"/>
          <w:szCs w:val="22"/>
        </w:rPr>
        <w:t>5</w:t>
      </w:r>
      <w:r w:rsidRPr="00AA459B">
        <w:rPr>
          <w:b/>
          <w:sz w:val="22"/>
          <w:szCs w:val="22"/>
        </w:rPr>
        <w:t>)</w:t>
      </w:r>
    </w:p>
    <w:p w14:paraId="3509D077" w14:textId="77777777" w:rsidR="000C6A04" w:rsidRPr="00AA459B" w:rsidRDefault="000C6A04" w:rsidP="00B97869">
      <w:pPr>
        <w:keepLines w:val="0"/>
        <w:spacing w:before="240" w:after="0"/>
        <w:rPr>
          <w:sz w:val="22"/>
          <w:szCs w:val="22"/>
        </w:rPr>
      </w:pPr>
      <w:r w:rsidRPr="00AA459B">
        <w:rPr>
          <w:sz w:val="22"/>
          <w:szCs w:val="22"/>
        </w:rPr>
        <w:t xml:space="preserve">This Instrument is compatible with the human rights and freedoms recognised or declared in the international instruments listed in section 3 of the </w:t>
      </w:r>
      <w:r w:rsidRPr="00AA459B">
        <w:rPr>
          <w:i/>
          <w:sz w:val="22"/>
          <w:szCs w:val="22"/>
        </w:rPr>
        <w:t>Human Rights (Parliamentary Scrutiny) Act 2011</w:t>
      </w:r>
      <w:r w:rsidRPr="00AA459B">
        <w:rPr>
          <w:sz w:val="22"/>
          <w:szCs w:val="22"/>
        </w:rPr>
        <w:t>.</w:t>
      </w:r>
    </w:p>
    <w:p w14:paraId="548F45F6" w14:textId="77777777" w:rsidR="000C6A04" w:rsidRPr="00AA459B" w:rsidRDefault="000C6A04" w:rsidP="00B111E7">
      <w:pPr>
        <w:keepLines w:val="0"/>
        <w:spacing w:before="120" w:after="0"/>
        <w:rPr>
          <w:b/>
          <w:sz w:val="22"/>
          <w:szCs w:val="22"/>
        </w:rPr>
      </w:pPr>
      <w:r w:rsidRPr="00AA459B">
        <w:rPr>
          <w:b/>
          <w:sz w:val="22"/>
          <w:szCs w:val="22"/>
        </w:rPr>
        <w:t>Overview of the Instrument</w:t>
      </w:r>
    </w:p>
    <w:p w14:paraId="177BDB51" w14:textId="0972D9C2" w:rsidR="000C6A04" w:rsidRPr="00AA459B" w:rsidRDefault="006F2CEF" w:rsidP="00CF4CF2">
      <w:pPr>
        <w:keepLines w:val="0"/>
        <w:spacing w:before="120" w:after="0"/>
        <w:rPr>
          <w:sz w:val="22"/>
          <w:szCs w:val="22"/>
        </w:rPr>
      </w:pPr>
      <w:r w:rsidRPr="00AA459B">
        <w:rPr>
          <w:sz w:val="22"/>
          <w:szCs w:val="22"/>
        </w:rPr>
        <w:t>The purpose of this I</w:t>
      </w:r>
      <w:r w:rsidR="000C6A04" w:rsidRPr="00AA459B">
        <w:rPr>
          <w:sz w:val="22"/>
          <w:szCs w:val="22"/>
        </w:rPr>
        <w:t xml:space="preserve">nstrument, made under subsection 100(2) of the </w:t>
      </w:r>
      <w:r w:rsidR="000C6A04" w:rsidRPr="00AA459B">
        <w:rPr>
          <w:i/>
          <w:iCs/>
          <w:sz w:val="22"/>
          <w:szCs w:val="22"/>
        </w:rPr>
        <w:t>National Health Act</w:t>
      </w:r>
      <w:r w:rsidR="00F405CF" w:rsidRPr="00AA459B">
        <w:rPr>
          <w:i/>
          <w:iCs/>
          <w:sz w:val="22"/>
          <w:szCs w:val="22"/>
        </w:rPr>
        <w:t xml:space="preserve"> </w:t>
      </w:r>
      <w:r w:rsidR="000C6A04" w:rsidRPr="00AA459B">
        <w:rPr>
          <w:i/>
          <w:iCs/>
          <w:sz w:val="22"/>
          <w:szCs w:val="22"/>
        </w:rPr>
        <w:t>19</w:t>
      </w:r>
      <w:r w:rsidR="00D76B16" w:rsidRPr="00AA459B">
        <w:rPr>
          <w:i/>
          <w:iCs/>
          <w:sz w:val="22"/>
          <w:szCs w:val="22"/>
        </w:rPr>
        <w:t>5</w:t>
      </w:r>
      <w:r w:rsidR="000C6A04" w:rsidRPr="00AA459B">
        <w:rPr>
          <w:i/>
          <w:iCs/>
          <w:sz w:val="22"/>
          <w:szCs w:val="22"/>
        </w:rPr>
        <w:t>3</w:t>
      </w:r>
      <w:r w:rsidR="000C6A04" w:rsidRPr="00AA459B">
        <w:rPr>
          <w:sz w:val="22"/>
          <w:szCs w:val="22"/>
        </w:rPr>
        <w:t xml:space="preserve"> (the Act), is to amend the </w:t>
      </w:r>
      <w:r w:rsidR="000C6A04" w:rsidRPr="00AA459B">
        <w:rPr>
          <w:i/>
          <w:iCs/>
          <w:sz w:val="22"/>
          <w:szCs w:val="22"/>
        </w:rPr>
        <w:t xml:space="preserve">National Health (Highly </w:t>
      </w:r>
      <w:r w:rsidR="008A4A82" w:rsidRPr="00AA459B">
        <w:rPr>
          <w:i/>
          <w:iCs/>
          <w:sz w:val="22"/>
          <w:szCs w:val="22"/>
        </w:rPr>
        <w:t>Specialised D</w:t>
      </w:r>
      <w:r w:rsidR="000C6A04" w:rsidRPr="00AA459B">
        <w:rPr>
          <w:i/>
          <w:iCs/>
          <w:sz w:val="22"/>
          <w:szCs w:val="22"/>
        </w:rPr>
        <w:t xml:space="preserve">rugs </w:t>
      </w:r>
      <w:r w:rsidR="008A4A82" w:rsidRPr="00AA459B">
        <w:rPr>
          <w:i/>
          <w:iCs/>
          <w:sz w:val="22"/>
          <w:szCs w:val="22"/>
        </w:rPr>
        <w:t>P</w:t>
      </w:r>
      <w:r w:rsidR="000C6A04" w:rsidRPr="00AA459B">
        <w:rPr>
          <w:i/>
          <w:iCs/>
          <w:sz w:val="22"/>
          <w:szCs w:val="22"/>
        </w:rPr>
        <w:t>rogram) Special Arrangement 20</w:t>
      </w:r>
      <w:r w:rsidR="008A4A82" w:rsidRPr="00AA459B">
        <w:rPr>
          <w:i/>
          <w:iCs/>
          <w:sz w:val="22"/>
          <w:szCs w:val="22"/>
        </w:rPr>
        <w:t>2</w:t>
      </w:r>
      <w:r w:rsidR="000C6A04" w:rsidRPr="00AA459B">
        <w:rPr>
          <w:i/>
          <w:iCs/>
          <w:sz w:val="22"/>
          <w:szCs w:val="22"/>
        </w:rPr>
        <w:t>1</w:t>
      </w:r>
      <w:r w:rsidR="000C6A04" w:rsidRPr="00AA459B">
        <w:rPr>
          <w:sz w:val="22"/>
          <w:szCs w:val="22"/>
        </w:rPr>
        <w:t xml:space="preserve"> (PB </w:t>
      </w:r>
      <w:r w:rsidR="008A4A82" w:rsidRPr="00AA459B">
        <w:rPr>
          <w:sz w:val="22"/>
          <w:szCs w:val="22"/>
        </w:rPr>
        <w:t>27</w:t>
      </w:r>
      <w:r w:rsidR="000C6A04" w:rsidRPr="00AA459B">
        <w:rPr>
          <w:sz w:val="22"/>
          <w:szCs w:val="22"/>
        </w:rPr>
        <w:t xml:space="preserve"> of 20</w:t>
      </w:r>
      <w:r w:rsidR="008A4A82" w:rsidRPr="00AA459B">
        <w:rPr>
          <w:sz w:val="22"/>
          <w:szCs w:val="22"/>
        </w:rPr>
        <w:t>2</w:t>
      </w:r>
      <w:r w:rsidR="000C6A04" w:rsidRPr="00AA459B">
        <w:rPr>
          <w:sz w:val="22"/>
          <w:szCs w:val="22"/>
        </w:rPr>
        <w:t xml:space="preserve">1) (the Special Arrangement), to make changes to the Special Arrangement relating to the </w:t>
      </w:r>
      <w:r w:rsidR="00DB0632" w:rsidRPr="00AA459B">
        <w:rPr>
          <w:sz w:val="22"/>
          <w:szCs w:val="22"/>
        </w:rPr>
        <w:t>Highly Specialised D</w:t>
      </w:r>
      <w:r w:rsidR="000C6A04" w:rsidRPr="00AA459B">
        <w:rPr>
          <w:sz w:val="22"/>
          <w:szCs w:val="22"/>
        </w:rPr>
        <w:t xml:space="preserve">rugs </w:t>
      </w:r>
      <w:r w:rsidR="006F53A9" w:rsidRPr="00AA459B">
        <w:rPr>
          <w:sz w:val="22"/>
          <w:szCs w:val="22"/>
        </w:rPr>
        <w:t>P</w:t>
      </w:r>
      <w:r w:rsidR="000C6A04" w:rsidRPr="00AA459B">
        <w:rPr>
          <w:sz w:val="22"/>
          <w:szCs w:val="22"/>
        </w:rPr>
        <w:t>rogram.</w:t>
      </w:r>
    </w:p>
    <w:p w14:paraId="059969F4" w14:textId="5AA6F0E0" w:rsidR="000C6A04" w:rsidRPr="00AA459B" w:rsidRDefault="000C6A04" w:rsidP="00B2617C">
      <w:pPr>
        <w:keepLines w:val="0"/>
        <w:spacing w:before="120" w:after="0"/>
        <w:rPr>
          <w:sz w:val="22"/>
          <w:szCs w:val="22"/>
        </w:rPr>
      </w:pPr>
      <w:r w:rsidRPr="00AA459B">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6982599B" w14:textId="6ED6FFAA" w:rsidR="000C6A04" w:rsidRPr="00AA459B" w:rsidRDefault="000C6A04" w:rsidP="00B111E7">
      <w:pPr>
        <w:keepLines w:val="0"/>
        <w:spacing w:before="120" w:after="0"/>
        <w:rPr>
          <w:b/>
          <w:sz w:val="22"/>
          <w:szCs w:val="22"/>
        </w:rPr>
      </w:pPr>
      <w:r w:rsidRPr="00AA459B">
        <w:rPr>
          <w:b/>
          <w:sz w:val="22"/>
          <w:szCs w:val="22"/>
        </w:rPr>
        <w:t xml:space="preserve">Human </w:t>
      </w:r>
      <w:r w:rsidR="00F63405" w:rsidRPr="00AA459B">
        <w:rPr>
          <w:b/>
          <w:sz w:val="22"/>
          <w:szCs w:val="22"/>
        </w:rPr>
        <w:t>R</w:t>
      </w:r>
      <w:r w:rsidRPr="00AA459B">
        <w:rPr>
          <w:b/>
          <w:sz w:val="22"/>
          <w:szCs w:val="22"/>
        </w:rPr>
        <w:t xml:space="preserve">ights </w:t>
      </w:r>
      <w:r w:rsidR="00F63405" w:rsidRPr="00AA459B">
        <w:rPr>
          <w:b/>
          <w:sz w:val="22"/>
          <w:szCs w:val="22"/>
        </w:rPr>
        <w:t>I</w:t>
      </w:r>
      <w:r w:rsidRPr="00AA459B">
        <w:rPr>
          <w:b/>
          <w:sz w:val="22"/>
          <w:szCs w:val="22"/>
        </w:rPr>
        <w:t>mplications</w:t>
      </w:r>
    </w:p>
    <w:p w14:paraId="46C8C1F3" w14:textId="4E7CAE29" w:rsidR="003C526C" w:rsidRPr="00AA459B" w:rsidRDefault="003C526C" w:rsidP="00CF4CF2">
      <w:pPr>
        <w:keepLines w:val="0"/>
        <w:spacing w:before="120" w:after="0"/>
        <w:rPr>
          <w:sz w:val="22"/>
          <w:szCs w:val="22"/>
        </w:rPr>
      </w:pPr>
      <w:bookmarkStart w:id="8" w:name="_Hlk90288405"/>
      <w:r w:rsidRPr="00AA459B">
        <w:rPr>
          <w:sz w:val="22"/>
          <w:szCs w:val="22"/>
        </w:rPr>
        <w:t>This Instrument engages Articles 9 and 12 of the International Covenant on Economic</w:t>
      </w:r>
      <w:r w:rsidR="00157B63" w:rsidRPr="00AA459B">
        <w:rPr>
          <w:sz w:val="22"/>
          <w:szCs w:val="22"/>
        </w:rPr>
        <w:t>,</w:t>
      </w:r>
      <w:r w:rsidRPr="00AA459B">
        <w:rPr>
          <w:sz w:val="22"/>
          <w:szCs w:val="22"/>
        </w:rPr>
        <w:t xml:space="preserve"> Social and Cultural Rights (ICESCR), specifically the rights to </w:t>
      </w:r>
      <w:bookmarkStart w:id="9" w:name="_Hlk93905106"/>
      <w:r w:rsidR="00E41F73" w:rsidRPr="00AA459B">
        <w:rPr>
          <w:sz w:val="22"/>
          <w:szCs w:val="22"/>
        </w:rPr>
        <w:t xml:space="preserve">social security and </w:t>
      </w:r>
      <w:r w:rsidRPr="00AA459B">
        <w:rPr>
          <w:sz w:val="22"/>
          <w:szCs w:val="22"/>
        </w:rPr>
        <w:t>health</w:t>
      </w:r>
      <w:r w:rsidR="000F2CD4" w:rsidRPr="00AA459B">
        <w:rPr>
          <w:sz w:val="22"/>
          <w:szCs w:val="22"/>
        </w:rPr>
        <w:t>.</w:t>
      </w:r>
      <w:bookmarkEnd w:id="9"/>
    </w:p>
    <w:bookmarkEnd w:id="8"/>
    <w:p w14:paraId="1EC56098" w14:textId="77777777" w:rsidR="003C526C" w:rsidRPr="00AA459B" w:rsidRDefault="003C526C" w:rsidP="00CF4CF2">
      <w:pPr>
        <w:keepLines w:val="0"/>
        <w:spacing w:before="120" w:after="0"/>
        <w:rPr>
          <w:sz w:val="22"/>
          <w:szCs w:val="22"/>
        </w:rPr>
      </w:pPr>
      <w:r w:rsidRPr="00AA459B">
        <w:rPr>
          <w:i/>
          <w:iCs/>
          <w:sz w:val="22"/>
          <w:szCs w:val="22"/>
        </w:rPr>
        <w:t>The Right to Social Security</w:t>
      </w:r>
    </w:p>
    <w:p w14:paraId="15176E7A" w14:textId="1096ED64" w:rsidR="003C526C" w:rsidRPr="00AA459B" w:rsidRDefault="003C526C" w:rsidP="00B97869">
      <w:pPr>
        <w:keepLines w:val="0"/>
        <w:spacing w:before="60" w:after="0"/>
        <w:rPr>
          <w:sz w:val="22"/>
          <w:szCs w:val="22"/>
        </w:rPr>
      </w:pPr>
      <w:r w:rsidRPr="00AA459B">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AA459B">
        <w:rPr>
          <w:sz w:val="22"/>
          <w:szCs w:val="22"/>
        </w:rPr>
        <w:t>in an effort to</w:t>
      </w:r>
      <w:proofErr w:type="gramEnd"/>
      <w:r w:rsidRPr="00AA459B">
        <w:rPr>
          <w:sz w:val="22"/>
          <w:szCs w:val="22"/>
        </w:rPr>
        <w:t xml:space="preserve"> satisfy, as a matter of priority, this minimum obligation.</w:t>
      </w:r>
    </w:p>
    <w:p w14:paraId="1CDFC733" w14:textId="3907A205" w:rsidR="003A0D33" w:rsidRPr="00AA459B" w:rsidRDefault="003A0D33" w:rsidP="00EA47E2">
      <w:pPr>
        <w:keepLines w:val="0"/>
        <w:spacing w:before="120" w:after="0"/>
        <w:rPr>
          <w:sz w:val="22"/>
          <w:szCs w:val="22"/>
        </w:rPr>
      </w:pPr>
      <w:bookmarkStart w:id="10" w:name="_Hlk93905188"/>
      <w:r w:rsidRPr="00AA459B">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271A42" w:rsidRPr="00AA459B">
        <w:rPr>
          <w:sz w:val="22"/>
          <w:szCs w:val="22"/>
        </w:rPr>
        <w:t>g</w:t>
      </w:r>
      <w:r w:rsidRPr="00AA459B">
        <w:rPr>
          <w:sz w:val="22"/>
          <w:szCs w:val="22"/>
        </w:rPr>
        <w:t>overnment to re-direct its limited resources in ways that it considers to be more effective at meeting the general health needs of all society, particularly the needs of the more disadvantaged members of society.</w:t>
      </w:r>
    </w:p>
    <w:bookmarkEnd w:id="10"/>
    <w:p w14:paraId="3EF60E32" w14:textId="3B351D3F" w:rsidR="003C526C" w:rsidRPr="00AA459B" w:rsidRDefault="003C526C" w:rsidP="00CF4CF2">
      <w:pPr>
        <w:keepLines w:val="0"/>
        <w:spacing w:before="120" w:after="0"/>
        <w:rPr>
          <w:i/>
          <w:iCs/>
          <w:sz w:val="22"/>
          <w:szCs w:val="22"/>
        </w:rPr>
      </w:pPr>
      <w:r w:rsidRPr="00AA459B">
        <w:rPr>
          <w:i/>
          <w:iCs/>
          <w:sz w:val="22"/>
          <w:szCs w:val="22"/>
        </w:rPr>
        <w:t>The Right to Health</w:t>
      </w:r>
    </w:p>
    <w:p w14:paraId="008B5FC5" w14:textId="20324046" w:rsidR="003C526C" w:rsidRPr="00AA459B" w:rsidRDefault="003C526C" w:rsidP="00B97869">
      <w:pPr>
        <w:keepLines w:val="0"/>
        <w:spacing w:before="60" w:after="0"/>
        <w:rPr>
          <w:sz w:val="22"/>
          <w:szCs w:val="22"/>
        </w:rPr>
      </w:pPr>
      <w:r w:rsidRPr="00AA459B">
        <w:rPr>
          <w:sz w:val="22"/>
          <w:szCs w:val="22"/>
        </w:rPr>
        <w:t>The right to the enjoyment of the highest attainable standard of physical and mental health is contained in Article 12(1) of the ICESCR. The UN Committee on Economic</w:t>
      </w:r>
      <w:r w:rsidR="00157B63" w:rsidRPr="00AA459B">
        <w:rPr>
          <w:sz w:val="22"/>
          <w:szCs w:val="22"/>
        </w:rPr>
        <w:t>,</w:t>
      </w:r>
      <w:r w:rsidRPr="00AA459B">
        <w:rPr>
          <w:sz w:val="22"/>
          <w:szCs w:val="22"/>
        </w:rPr>
        <w:t xml:space="preserve"> Social and Cultural Rights (the Committee) has stated that the right to health is not a right for </w:t>
      </w:r>
      <w:proofErr w:type="gramStart"/>
      <w:r w:rsidRPr="00AA459B">
        <w:rPr>
          <w:sz w:val="22"/>
          <w:szCs w:val="22"/>
        </w:rPr>
        <w:t>each individual</w:t>
      </w:r>
      <w:proofErr w:type="gramEnd"/>
      <w:r w:rsidRPr="00AA459B">
        <w:rPr>
          <w:sz w:val="22"/>
          <w:szCs w:val="22"/>
        </w:rPr>
        <w:t xml:space="preserve"> to be </w:t>
      </w:r>
      <w:proofErr w:type="gramStart"/>
      <w:r w:rsidRPr="00AA459B">
        <w:rPr>
          <w:sz w:val="22"/>
          <w:szCs w:val="22"/>
        </w:rPr>
        <w:t>healthy, but</w:t>
      </w:r>
      <w:proofErr w:type="gramEnd"/>
      <w:r w:rsidRPr="00AA459B">
        <w:rPr>
          <w:sz w:val="22"/>
          <w:szCs w:val="22"/>
        </w:rPr>
        <w:t xml:space="preserve"> is a right to a system of health protection which provides equality of opportunity for people to enjoy the highest attainable level of health.</w:t>
      </w:r>
    </w:p>
    <w:p w14:paraId="0AF2E1D2" w14:textId="07344A61" w:rsidR="00A46E6E" w:rsidRPr="00AA459B" w:rsidRDefault="003C526C" w:rsidP="00105D7C">
      <w:pPr>
        <w:keepLines w:val="0"/>
        <w:spacing w:before="120" w:after="0"/>
        <w:rPr>
          <w:b/>
          <w:bCs/>
          <w:sz w:val="22"/>
          <w:szCs w:val="22"/>
        </w:rPr>
      </w:pPr>
      <w:r w:rsidRPr="00AA459B">
        <w:rPr>
          <w:sz w:val="22"/>
          <w:szCs w:val="22"/>
        </w:rPr>
        <w:t xml:space="preserve">The Committee reports that the ‘highest attainable standard of health’ </w:t>
      </w:r>
      <w:proofErr w:type="gramStart"/>
      <w:r w:rsidRPr="00AA459B">
        <w:rPr>
          <w:sz w:val="22"/>
          <w:szCs w:val="22"/>
        </w:rPr>
        <w:t>takes into account</w:t>
      </w:r>
      <w:proofErr w:type="gramEnd"/>
      <w:r w:rsidRPr="00AA459B">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AA459B">
        <w:rPr>
          <w:sz w:val="22"/>
          <w:szCs w:val="22"/>
        </w:rPr>
        <w:t>.</w:t>
      </w:r>
    </w:p>
    <w:p w14:paraId="1BE4C25C" w14:textId="1C0B960A" w:rsidR="00B01EF4" w:rsidRPr="00AA459B" w:rsidRDefault="003C526C" w:rsidP="00B01EF4">
      <w:pPr>
        <w:keepLines w:val="0"/>
        <w:spacing w:before="120" w:after="0"/>
        <w:rPr>
          <w:b/>
          <w:bCs/>
          <w:sz w:val="22"/>
          <w:szCs w:val="22"/>
        </w:rPr>
      </w:pPr>
      <w:r w:rsidRPr="00AA459B">
        <w:rPr>
          <w:b/>
          <w:bCs/>
          <w:sz w:val="22"/>
          <w:szCs w:val="22"/>
        </w:rPr>
        <w:t>Analysis</w:t>
      </w:r>
    </w:p>
    <w:p w14:paraId="4C19392C" w14:textId="2A244AA0" w:rsidR="00B01EF4" w:rsidRPr="00AA459B" w:rsidRDefault="008B45F7" w:rsidP="00CF4CF2">
      <w:pPr>
        <w:keepLines w:val="0"/>
        <w:spacing w:before="120" w:after="0"/>
        <w:rPr>
          <w:sz w:val="22"/>
          <w:szCs w:val="22"/>
        </w:rPr>
      </w:pPr>
      <w:bookmarkStart w:id="11" w:name="_Hlk95462817"/>
      <w:r w:rsidRPr="00AA459B">
        <w:rPr>
          <w:sz w:val="22"/>
          <w:szCs w:val="22"/>
        </w:rPr>
        <w:t xml:space="preserve">This Instrument advances the right to health and the right to social security by ensuring that the amendments to the </w:t>
      </w:r>
      <w:r w:rsidRPr="00AA459B">
        <w:rPr>
          <w:i/>
          <w:iCs/>
          <w:sz w:val="22"/>
          <w:szCs w:val="22"/>
        </w:rPr>
        <w:t xml:space="preserve">National Health (Listing of Pharmaceutical Benefits) Instrument </w:t>
      </w:r>
      <w:r w:rsidR="00602E5D" w:rsidRPr="00AA459B">
        <w:rPr>
          <w:i/>
          <w:iCs/>
          <w:sz w:val="22"/>
          <w:szCs w:val="22"/>
        </w:rPr>
        <w:t>2024</w:t>
      </w:r>
      <w:r w:rsidRPr="00AA459B">
        <w:rPr>
          <w:sz w:val="22"/>
          <w:szCs w:val="22"/>
        </w:rPr>
        <w:t xml:space="preserve"> (the Listing Instrument), that affect the pharmaceutical benefits that may be supplied under the Special Arrangement, are made concurrently</w:t>
      </w:r>
      <w:r w:rsidR="00014E3A" w:rsidRPr="00AA459B">
        <w:rPr>
          <w:sz w:val="22"/>
          <w:szCs w:val="22"/>
        </w:rPr>
        <w:t xml:space="preserve">. </w:t>
      </w:r>
      <w:r w:rsidR="009B2A9E" w:rsidRPr="00AA459B">
        <w:rPr>
          <w:sz w:val="22"/>
          <w:szCs w:val="22"/>
        </w:rPr>
        <w:t xml:space="preserve">This Instrument provides for the </w:t>
      </w:r>
      <w:r w:rsidR="00CE0712" w:rsidRPr="00AA459B">
        <w:rPr>
          <w:sz w:val="22"/>
          <w:szCs w:val="22"/>
        </w:rPr>
        <w:t xml:space="preserve">addition of </w:t>
      </w:r>
      <w:r w:rsidR="004764BA" w:rsidRPr="00AA459B">
        <w:rPr>
          <w:sz w:val="22"/>
          <w:szCs w:val="22"/>
        </w:rPr>
        <w:t xml:space="preserve">the drugs </w:t>
      </w:r>
      <w:proofErr w:type="spellStart"/>
      <w:r w:rsidR="004764BA" w:rsidRPr="00AA459B">
        <w:rPr>
          <w:sz w:val="22"/>
          <w:szCs w:val="22"/>
        </w:rPr>
        <w:t>edaravone</w:t>
      </w:r>
      <w:proofErr w:type="spellEnd"/>
      <w:r w:rsidR="004764BA" w:rsidRPr="00AA459B">
        <w:rPr>
          <w:sz w:val="22"/>
          <w:szCs w:val="22"/>
        </w:rPr>
        <w:t xml:space="preserve">, </w:t>
      </w:r>
      <w:proofErr w:type="spellStart"/>
      <w:r w:rsidR="004764BA" w:rsidRPr="00AA459B">
        <w:rPr>
          <w:sz w:val="22"/>
          <w:szCs w:val="22"/>
        </w:rPr>
        <w:lastRenderedPageBreak/>
        <w:t>esketamine</w:t>
      </w:r>
      <w:proofErr w:type="spellEnd"/>
      <w:r w:rsidR="004764BA" w:rsidRPr="00AA459B">
        <w:rPr>
          <w:sz w:val="22"/>
          <w:szCs w:val="22"/>
        </w:rPr>
        <w:t xml:space="preserve">, </w:t>
      </w:r>
      <w:proofErr w:type="spellStart"/>
      <w:r w:rsidR="004764BA" w:rsidRPr="00AA459B">
        <w:rPr>
          <w:sz w:val="22"/>
          <w:szCs w:val="22"/>
        </w:rPr>
        <w:t>macitentan</w:t>
      </w:r>
      <w:proofErr w:type="spellEnd"/>
      <w:r w:rsidR="004764BA" w:rsidRPr="00AA459B">
        <w:rPr>
          <w:sz w:val="22"/>
          <w:szCs w:val="22"/>
        </w:rPr>
        <w:t xml:space="preserve"> with tadalafil</w:t>
      </w:r>
      <w:r w:rsidR="00CF4CF2" w:rsidRPr="00AA459B">
        <w:rPr>
          <w:sz w:val="22"/>
          <w:szCs w:val="22"/>
        </w:rPr>
        <w:t>,</w:t>
      </w:r>
      <w:r w:rsidR="004764BA" w:rsidRPr="00AA459B">
        <w:rPr>
          <w:sz w:val="22"/>
          <w:szCs w:val="22"/>
        </w:rPr>
        <w:t xml:space="preserve"> and </w:t>
      </w:r>
      <w:proofErr w:type="spellStart"/>
      <w:r w:rsidR="004764BA" w:rsidRPr="00AA459B">
        <w:rPr>
          <w:sz w:val="22"/>
          <w:szCs w:val="22"/>
        </w:rPr>
        <w:t>vutrisiran</w:t>
      </w:r>
      <w:proofErr w:type="spellEnd"/>
      <w:r w:rsidR="004764BA" w:rsidRPr="00AA459B">
        <w:rPr>
          <w:sz w:val="22"/>
          <w:szCs w:val="22"/>
        </w:rPr>
        <w:t xml:space="preserve">, the addition of </w:t>
      </w:r>
      <w:r w:rsidR="00CE0712" w:rsidRPr="00AA459B">
        <w:rPr>
          <w:sz w:val="22"/>
          <w:szCs w:val="22"/>
        </w:rPr>
        <w:t>brand</w:t>
      </w:r>
      <w:r w:rsidR="004764BA" w:rsidRPr="00AA459B">
        <w:rPr>
          <w:sz w:val="22"/>
          <w:szCs w:val="22"/>
        </w:rPr>
        <w:t>s</w:t>
      </w:r>
      <w:r w:rsidR="00CE0712" w:rsidRPr="00AA459B">
        <w:rPr>
          <w:sz w:val="22"/>
          <w:szCs w:val="22"/>
        </w:rPr>
        <w:t xml:space="preserve"> of the listed drug</w:t>
      </w:r>
      <w:r w:rsidR="004764BA" w:rsidRPr="00AA459B">
        <w:rPr>
          <w:sz w:val="22"/>
          <w:szCs w:val="22"/>
        </w:rPr>
        <w:t xml:space="preserve">s azacitidine, </w:t>
      </w:r>
      <w:proofErr w:type="spellStart"/>
      <w:r w:rsidR="004764BA" w:rsidRPr="00AA459B">
        <w:rPr>
          <w:sz w:val="22"/>
          <w:szCs w:val="22"/>
        </w:rPr>
        <w:t>bosentan</w:t>
      </w:r>
      <w:proofErr w:type="spellEnd"/>
      <w:r w:rsidR="004764BA" w:rsidRPr="00AA459B">
        <w:rPr>
          <w:sz w:val="22"/>
          <w:szCs w:val="22"/>
        </w:rPr>
        <w:t>, and tenofovir with emtricitabine</w:t>
      </w:r>
      <w:r w:rsidR="00CE0712" w:rsidRPr="00AA459B">
        <w:rPr>
          <w:sz w:val="22"/>
          <w:szCs w:val="22"/>
        </w:rPr>
        <w:t xml:space="preserve">, and the deletion of </w:t>
      </w:r>
      <w:r w:rsidR="004764BA" w:rsidRPr="00AA459B">
        <w:rPr>
          <w:sz w:val="22"/>
          <w:szCs w:val="22"/>
        </w:rPr>
        <w:t xml:space="preserve">a form of </w:t>
      </w:r>
      <w:r w:rsidR="00CE0712" w:rsidRPr="00AA459B">
        <w:rPr>
          <w:sz w:val="22"/>
          <w:szCs w:val="22"/>
        </w:rPr>
        <w:t>the listed drug</w:t>
      </w:r>
      <w:r w:rsidR="004764BA" w:rsidRPr="00AA459B">
        <w:rPr>
          <w:sz w:val="22"/>
          <w:szCs w:val="22"/>
        </w:rPr>
        <w:t xml:space="preserve"> adefovir</w:t>
      </w:r>
      <w:r w:rsidR="00CE0712" w:rsidRPr="00AA459B">
        <w:rPr>
          <w:sz w:val="22"/>
          <w:szCs w:val="22"/>
        </w:rPr>
        <w:t>.</w:t>
      </w:r>
    </w:p>
    <w:p w14:paraId="23D09AED" w14:textId="4F0A0394" w:rsidR="005B2CD1" w:rsidRPr="00AA459B" w:rsidRDefault="005B2CD1" w:rsidP="00D95293">
      <w:pPr>
        <w:keepLines w:val="0"/>
        <w:spacing w:before="120" w:after="0"/>
        <w:rPr>
          <w:sz w:val="22"/>
          <w:szCs w:val="22"/>
        </w:rPr>
      </w:pPr>
      <w:r w:rsidRPr="00AA459B">
        <w:rPr>
          <w:sz w:val="22"/>
          <w:szCs w:val="22"/>
        </w:rPr>
        <w:t xml:space="preserve">The inclusion of </w:t>
      </w:r>
      <w:proofErr w:type="spellStart"/>
      <w:r w:rsidRPr="00AA459B">
        <w:rPr>
          <w:sz w:val="22"/>
          <w:szCs w:val="22"/>
        </w:rPr>
        <w:t>edaravone</w:t>
      </w:r>
      <w:proofErr w:type="spellEnd"/>
      <w:r w:rsidRPr="00AA459B">
        <w:rPr>
          <w:sz w:val="22"/>
          <w:szCs w:val="22"/>
        </w:rPr>
        <w:t xml:space="preserve"> for the treatment of amyotrophic lateral sclerosis (ALS) on the Highly Specialised Drugs (HSD) Program, including the details of the circumstances in which this drug can be prescribed, is a result of a recommendation by the Pharmaceutical Benefits Advisory Committee (PBAC). This amendment will enable prescriptions written by a specialist affiliated with a public or private hospital for patients to access initial treatment with </w:t>
      </w:r>
      <w:proofErr w:type="spellStart"/>
      <w:r w:rsidRPr="00AA459B">
        <w:rPr>
          <w:sz w:val="22"/>
          <w:szCs w:val="22"/>
        </w:rPr>
        <w:t>edaravone</w:t>
      </w:r>
      <w:proofErr w:type="spellEnd"/>
      <w:r w:rsidRPr="00AA459B">
        <w:rPr>
          <w:sz w:val="22"/>
          <w:szCs w:val="22"/>
        </w:rPr>
        <w:t xml:space="preserve"> through the HSD Program. It will also enable patients to access continuing treatment with </w:t>
      </w:r>
      <w:proofErr w:type="spellStart"/>
      <w:r w:rsidRPr="00AA459B">
        <w:rPr>
          <w:sz w:val="22"/>
          <w:szCs w:val="22"/>
        </w:rPr>
        <w:t>edaravone</w:t>
      </w:r>
      <w:proofErr w:type="spellEnd"/>
      <w:r w:rsidRPr="00AA459B">
        <w:rPr>
          <w:sz w:val="22"/>
          <w:szCs w:val="22"/>
        </w:rPr>
        <w:t xml:space="preserve"> through the HSD Program Community Access arrangements. Enabling access to </w:t>
      </w:r>
      <w:proofErr w:type="spellStart"/>
      <w:r w:rsidRPr="00AA459B">
        <w:rPr>
          <w:sz w:val="22"/>
          <w:szCs w:val="22"/>
        </w:rPr>
        <w:t>edaravone</w:t>
      </w:r>
      <w:proofErr w:type="spellEnd"/>
      <w:r w:rsidRPr="00AA459B">
        <w:rPr>
          <w:sz w:val="22"/>
          <w:szCs w:val="22"/>
        </w:rPr>
        <w:t xml:space="preserve"> for continuing treatment through the HSD Program Community Access arrangements means that any medical practitioner may prescribe </w:t>
      </w:r>
      <w:proofErr w:type="spellStart"/>
      <w:r w:rsidRPr="00AA459B">
        <w:rPr>
          <w:sz w:val="22"/>
          <w:szCs w:val="22"/>
        </w:rPr>
        <w:t>edaravone</w:t>
      </w:r>
      <w:proofErr w:type="spellEnd"/>
      <w:r w:rsidRPr="00AA459B">
        <w:rPr>
          <w:sz w:val="22"/>
          <w:szCs w:val="22"/>
        </w:rPr>
        <w:t xml:space="preserve"> for continuing treatment, including for patients receiving treatment in a community setting. Additionally, Community Access prescriptions written by medical practitioners for the continuing treatment of patients receiving treatment in, at, or from a public or private hospital can be dispensed from any Pharmaceutical Benefits Scheme (PBS) Approved Supplier, including community pharmacies. As well as providing subsidised access to a new treatment for ALS, this amendment will enable patients receiving continuing treatment with </w:t>
      </w:r>
      <w:proofErr w:type="spellStart"/>
      <w:r w:rsidRPr="00AA459B">
        <w:rPr>
          <w:sz w:val="22"/>
          <w:szCs w:val="22"/>
        </w:rPr>
        <w:t>edaravone</w:t>
      </w:r>
      <w:proofErr w:type="spellEnd"/>
      <w:r w:rsidRPr="00AA459B">
        <w:rPr>
          <w:sz w:val="22"/>
          <w:szCs w:val="22"/>
        </w:rPr>
        <w:t xml:space="preserve"> to have a greater choice as to where they access their treatment, particularly those in rural and remote areas. This increase in choice promotes Article 12 of the ICESCR.</w:t>
      </w:r>
    </w:p>
    <w:p w14:paraId="6549628E" w14:textId="1015FF01" w:rsidR="00A71510" w:rsidRPr="00AA459B" w:rsidRDefault="00A71510" w:rsidP="00D95293">
      <w:pPr>
        <w:keepLines w:val="0"/>
        <w:spacing w:before="120" w:after="0"/>
        <w:rPr>
          <w:sz w:val="22"/>
          <w:szCs w:val="22"/>
        </w:rPr>
      </w:pPr>
      <w:r w:rsidRPr="00AA459B">
        <w:rPr>
          <w:sz w:val="22"/>
          <w:szCs w:val="22"/>
        </w:rPr>
        <w:t>The Listing Instrument determines the pharmaceutical benefits that are on the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PBAC ensures that decisions about subsidised access to medicines on the PBS are evidence-based.</w:t>
      </w:r>
      <w:bookmarkEnd w:id="11"/>
    </w:p>
    <w:p w14:paraId="019DC601" w14:textId="77777777" w:rsidR="00D15AB9" w:rsidRPr="00AA459B" w:rsidRDefault="00D15AB9" w:rsidP="00D15AB9">
      <w:pPr>
        <w:keepLines w:val="0"/>
        <w:widowControl w:val="0"/>
        <w:spacing w:before="120" w:after="0"/>
        <w:rPr>
          <w:sz w:val="22"/>
          <w:szCs w:val="22"/>
        </w:rPr>
      </w:pPr>
      <w:r w:rsidRPr="00AA459B">
        <w:rPr>
          <w:sz w:val="22"/>
          <w:szCs w:val="22"/>
        </w:rPr>
        <w:t xml:space="preserve">When a sponsor submits a request to delist a drug from the PBS, subsection 101(4AAB) of the </w:t>
      </w:r>
      <w:r w:rsidRPr="00AA459B">
        <w:rPr>
          <w:i/>
          <w:iCs/>
          <w:sz w:val="22"/>
          <w:szCs w:val="22"/>
        </w:rPr>
        <w:t>National Health Act 1953</w:t>
      </w:r>
      <w:r w:rsidRPr="00AA459B">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AA459B">
        <w:rPr>
          <w:sz w:val="22"/>
          <w:szCs w:val="22"/>
        </w:rPr>
        <w:t>so as to</w:t>
      </w:r>
      <w:proofErr w:type="gramEnd"/>
      <w:r w:rsidRPr="00AA459B">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AA459B">
        <w:rPr>
          <w:bCs/>
          <w:sz w:val="22"/>
          <w:szCs w:val="22"/>
        </w:rPr>
        <w:t>linical need for patients.</w:t>
      </w:r>
    </w:p>
    <w:p w14:paraId="1CC1CF8F" w14:textId="77777777" w:rsidR="00D15AB9" w:rsidRPr="00AA459B" w:rsidRDefault="00D15AB9" w:rsidP="00D15AB9">
      <w:pPr>
        <w:keepLines w:val="0"/>
        <w:widowControl w:val="0"/>
        <w:spacing w:before="120" w:after="0"/>
        <w:rPr>
          <w:sz w:val="22"/>
          <w:szCs w:val="22"/>
        </w:rPr>
      </w:pPr>
      <w:r w:rsidRPr="00AA459B">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forms of drugs in the above-mentioned instrument would not result in an unmet clinical need, except </w:t>
      </w:r>
      <w:proofErr w:type="gramStart"/>
      <w:r w:rsidRPr="00AA459B">
        <w:rPr>
          <w:sz w:val="22"/>
          <w:szCs w:val="22"/>
        </w:rPr>
        <w:t>where</w:t>
      </w:r>
      <w:proofErr w:type="gramEnd"/>
      <w:r w:rsidRPr="00AA459B">
        <w:rPr>
          <w:sz w:val="22"/>
          <w:szCs w:val="22"/>
        </w:rPr>
        <w:t xml:space="preserve"> indicated for a particular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30A1637C" w14:textId="1720619C" w:rsidR="003537C7" w:rsidRPr="00AA459B" w:rsidRDefault="00CF4CF2" w:rsidP="003537C7">
      <w:pPr>
        <w:pStyle w:val="NormalWeb"/>
        <w:spacing w:before="120" w:beforeAutospacing="0" w:after="0" w:afterAutospacing="0"/>
        <w:jc w:val="both"/>
        <w:rPr>
          <w:sz w:val="22"/>
          <w:szCs w:val="22"/>
        </w:rPr>
      </w:pPr>
      <w:r w:rsidRPr="00AA459B">
        <w:rPr>
          <w:rFonts w:eastAsia="Calibri"/>
          <w:sz w:val="22"/>
          <w:szCs w:val="22"/>
          <w:lang w:val="en-US" w:eastAsia="en-US"/>
        </w:rPr>
        <w:t xml:space="preserve">The drug adefovir in the form tablet containing adefovir </w:t>
      </w:r>
      <w:proofErr w:type="spellStart"/>
      <w:r w:rsidRPr="00AA459B">
        <w:rPr>
          <w:rFonts w:eastAsia="Calibri"/>
          <w:sz w:val="22"/>
          <w:szCs w:val="22"/>
          <w:lang w:val="en-US" w:eastAsia="en-US"/>
        </w:rPr>
        <w:t>dipivoxil</w:t>
      </w:r>
      <w:proofErr w:type="spellEnd"/>
      <w:r w:rsidRPr="00AA459B">
        <w:rPr>
          <w:rFonts w:eastAsia="Calibri"/>
          <w:sz w:val="22"/>
          <w:szCs w:val="22"/>
          <w:lang w:val="en-US" w:eastAsia="en-US"/>
        </w:rPr>
        <w:t xml:space="preserve"> 10 mg (S19A) (Adefovir </w:t>
      </w:r>
      <w:proofErr w:type="spellStart"/>
      <w:r w:rsidRPr="00AA459B">
        <w:rPr>
          <w:rFonts w:eastAsia="Calibri"/>
          <w:sz w:val="22"/>
          <w:szCs w:val="22"/>
          <w:lang w:val="en-US" w:eastAsia="en-US"/>
        </w:rPr>
        <w:t>Dipivoxil</w:t>
      </w:r>
      <w:proofErr w:type="spellEnd"/>
      <w:r w:rsidRPr="00AA459B">
        <w:rPr>
          <w:rFonts w:eastAsia="Calibri"/>
          <w:sz w:val="22"/>
          <w:szCs w:val="22"/>
          <w:lang w:val="en-US" w:eastAsia="en-US"/>
        </w:rPr>
        <w:t xml:space="preserve"> Tablets 10 mg (</w:t>
      </w:r>
      <w:proofErr w:type="spellStart"/>
      <w:r w:rsidRPr="00AA459B">
        <w:rPr>
          <w:rFonts w:eastAsia="Calibri"/>
          <w:sz w:val="22"/>
          <w:szCs w:val="22"/>
          <w:lang w:val="en-US" w:eastAsia="en-US"/>
        </w:rPr>
        <w:t>SigmaPharm</w:t>
      </w:r>
      <w:proofErr w:type="spellEnd"/>
      <w:r w:rsidRPr="00AA459B">
        <w:rPr>
          <w:rFonts w:eastAsia="Calibri"/>
          <w:sz w:val="22"/>
          <w:szCs w:val="22"/>
          <w:lang w:val="en-US" w:eastAsia="en-US"/>
        </w:rPr>
        <w:t xml:space="preserve"> Laboratories)) was requested to be delisted from the PBS Schedule by the sponsor. This item was listed under section 19A of the </w:t>
      </w:r>
      <w:r w:rsidRPr="00AA459B">
        <w:rPr>
          <w:rFonts w:eastAsia="Calibri"/>
          <w:i/>
          <w:sz w:val="22"/>
          <w:szCs w:val="22"/>
          <w:lang w:val="en-US" w:eastAsia="en-US"/>
        </w:rPr>
        <w:t>Therapeutic Goods Act 1989</w:t>
      </w:r>
      <w:r w:rsidRPr="00AA459B">
        <w:rPr>
          <w:rFonts w:eastAsia="Calibri"/>
          <w:sz w:val="22"/>
          <w:szCs w:val="22"/>
          <w:lang w:val="en-US" w:eastAsia="en-US"/>
        </w:rPr>
        <w:t xml:space="preserve"> to address the shortage of adefovir in the form tablet containing adefovir </w:t>
      </w:r>
      <w:proofErr w:type="spellStart"/>
      <w:r w:rsidRPr="00AA459B">
        <w:rPr>
          <w:rFonts w:eastAsia="Calibri"/>
          <w:sz w:val="22"/>
          <w:szCs w:val="22"/>
          <w:lang w:val="en-US" w:eastAsia="en-US"/>
        </w:rPr>
        <w:t>dipivoxil</w:t>
      </w:r>
      <w:proofErr w:type="spellEnd"/>
      <w:r w:rsidRPr="00AA459B">
        <w:rPr>
          <w:rFonts w:eastAsia="Calibri"/>
          <w:sz w:val="22"/>
          <w:szCs w:val="22"/>
          <w:lang w:val="en-US" w:eastAsia="en-US"/>
        </w:rPr>
        <w:t xml:space="preserve"> 10 mg. The temporary approval granted in respect of this drug for importation and supply of a medicine not on the Australian Register of Therapeutic Goods lapsed on 31 January 2025. Patient access has not been affected as the approved form of the drug is available on the PBS Schedule under Supply Only arrangements for a period of 6 months, allowing patients with a pre-existing valid prescription to access this item pending transition to an alternative treatment. When reviewing the request to delist adefovir in the form tablet containing adefovir </w:t>
      </w:r>
      <w:proofErr w:type="spellStart"/>
      <w:r w:rsidRPr="00AA459B">
        <w:rPr>
          <w:rFonts w:eastAsia="Calibri"/>
          <w:sz w:val="22"/>
          <w:szCs w:val="22"/>
          <w:lang w:val="en-US" w:eastAsia="en-US"/>
        </w:rPr>
        <w:t>dipivoxil</w:t>
      </w:r>
      <w:proofErr w:type="spellEnd"/>
      <w:r w:rsidRPr="00AA459B">
        <w:rPr>
          <w:rFonts w:eastAsia="Calibri"/>
          <w:sz w:val="22"/>
          <w:szCs w:val="22"/>
          <w:lang w:val="en-US" w:eastAsia="en-US"/>
        </w:rPr>
        <w:t xml:space="preserve"> 10 mg (APO-Adefovir), the PBAC noted the low number of services in the last </w:t>
      </w:r>
      <w:r w:rsidRPr="00AA459B">
        <w:rPr>
          <w:rFonts w:eastAsia="Calibri"/>
          <w:sz w:val="22"/>
          <w:szCs w:val="22"/>
          <w:lang w:val="en-US" w:eastAsia="en-US"/>
        </w:rPr>
        <w:lastRenderedPageBreak/>
        <w:t>financial year and that there are alternatives on the PBS. The PBAC advised the delisting of this product would not result in an unmet clinical need.</w:t>
      </w:r>
    </w:p>
    <w:p w14:paraId="28DDDF37" w14:textId="3F0C1414" w:rsidR="000C6A04" w:rsidRPr="00AA459B" w:rsidRDefault="000C6A04" w:rsidP="00B01EF4">
      <w:pPr>
        <w:keepLines w:val="0"/>
        <w:spacing w:before="120" w:after="0"/>
        <w:rPr>
          <w:b/>
          <w:sz w:val="22"/>
          <w:szCs w:val="22"/>
        </w:rPr>
      </w:pPr>
      <w:r w:rsidRPr="00AA459B">
        <w:rPr>
          <w:b/>
          <w:sz w:val="22"/>
          <w:szCs w:val="22"/>
        </w:rPr>
        <w:t>Conclusion</w:t>
      </w:r>
    </w:p>
    <w:p w14:paraId="62C90CCE" w14:textId="0208478D" w:rsidR="000C6A04" w:rsidRPr="00AA459B" w:rsidRDefault="006F2CEF" w:rsidP="00CF4CF2">
      <w:pPr>
        <w:keepLines w:val="0"/>
        <w:spacing w:before="120" w:after="0"/>
        <w:rPr>
          <w:sz w:val="22"/>
          <w:szCs w:val="22"/>
        </w:rPr>
      </w:pPr>
      <w:r w:rsidRPr="00AA459B">
        <w:rPr>
          <w:sz w:val="22"/>
          <w:szCs w:val="22"/>
        </w:rPr>
        <w:t>This I</w:t>
      </w:r>
      <w:r w:rsidR="000C6A04" w:rsidRPr="00AA459B">
        <w:rPr>
          <w:sz w:val="22"/>
          <w:szCs w:val="22"/>
        </w:rPr>
        <w:t>nstrument is compatible with human rights because it advances the protection of human rights.</w:t>
      </w:r>
    </w:p>
    <w:p w14:paraId="2C3B8C07" w14:textId="77777777" w:rsidR="00B01EF4" w:rsidRPr="00AA459B" w:rsidRDefault="00B01EF4" w:rsidP="004D1C1E">
      <w:pPr>
        <w:keepLines w:val="0"/>
        <w:widowControl w:val="0"/>
        <w:spacing w:before="360" w:after="0"/>
        <w:jc w:val="center"/>
        <w:rPr>
          <w:b/>
          <w:sz w:val="22"/>
          <w:szCs w:val="22"/>
        </w:rPr>
      </w:pPr>
      <w:r w:rsidRPr="00AA459B">
        <w:rPr>
          <w:b/>
          <w:sz w:val="22"/>
          <w:szCs w:val="22"/>
        </w:rPr>
        <w:t>Rebecca Richardson</w:t>
      </w:r>
      <w:r w:rsidRPr="00AA459B">
        <w:rPr>
          <w:b/>
          <w:sz w:val="22"/>
          <w:szCs w:val="22"/>
        </w:rPr>
        <w:br/>
        <w:t>Assistant Secretary</w:t>
      </w:r>
    </w:p>
    <w:p w14:paraId="0377B307" w14:textId="77777777" w:rsidR="00B01EF4" w:rsidRPr="00AA459B" w:rsidRDefault="00B01EF4" w:rsidP="00B97869">
      <w:pPr>
        <w:keepLines w:val="0"/>
        <w:widowControl w:val="0"/>
        <w:spacing w:after="0"/>
        <w:jc w:val="center"/>
        <w:rPr>
          <w:b/>
          <w:sz w:val="22"/>
          <w:szCs w:val="22"/>
        </w:rPr>
      </w:pPr>
      <w:r w:rsidRPr="00AA459B">
        <w:rPr>
          <w:b/>
          <w:sz w:val="22"/>
          <w:szCs w:val="22"/>
        </w:rPr>
        <w:t>Pricing and PBS Policy Branch</w:t>
      </w:r>
    </w:p>
    <w:p w14:paraId="221BB5CA" w14:textId="77777777" w:rsidR="00B01EF4" w:rsidRPr="00AA459B" w:rsidRDefault="00B01EF4" w:rsidP="00B01EF4">
      <w:pPr>
        <w:keepLines w:val="0"/>
        <w:spacing w:after="0"/>
        <w:jc w:val="center"/>
        <w:rPr>
          <w:b/>
          <w:sz w:val="22"/>
          <w:szCs w:val="22"/>
        </w:rPr>
      </w:pPr>
      <w:r w:rsidRPr="00AA459B">
        <w:rPr>
          <w:b/>
          <w:sz w:val="22"/>
          <w:szCs w:val="22"/>
        </w:rPr>
        <w:t>Technology Assessment and Access Division</w:t>
      </w:r>
    </w:p>
    <w:p w14:paraId="1C19BA3C" w14:textId="77777777" w:rsidR="00B01EF4" w:rsidRPr="007F48F7" w:rsidRDefault="00B01EF4" w:rsidP="00B01EF4">
      <w:pPr>
        <w:keepLines w:val="0"/>
        <w:spacing w:after="0"/>
        <w:jc w:val="center"/>
        <w:rPr>
          <w:b/>
          <w:sz w:val="22"/>
          <w:szCs w:val="22"/>
        </w:rPr>
      </w:pPr>
      <w:r w:rsidRPr="00AA459B">
        <w:rPr>
          <w:b/>
          <w:sz w:val="22"/>
          <w:szCs w:val="22"/>
        </w:rPr>
        <w:t>Department of Health and Aged Care</w:t>
      </w:r>
    </w:p>
    <w:sectPr w:rsidR="00B01EF4" w:rsidRPr="007F48F7" w:rsidSect="00470A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EFE4" w14:textId="77777777" w:rsidR="00390473" w:rsidRDefault="00390473">
      <w:r>
        <w:separator/>
      </w:r>
    </w:p>
  </w:endnote>
  <w:endnote w:type="continuationSeparator" w:id="0">
    <w:p w14:paraId="504F6EBB" w14:textId="77777777" w:rsidR="00390473" w:rsidRDefault="0039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5473" w14:textId="77777777" w:rsidR="00390473" w:rsidRDefault="00390473">
      <w:r>
        <w:separator/>
      </w:r>
    </w:p>
  </w:footnote>
  <w:footnote w:type="continuationSeparator" w:id="0">
    <w:p w14:paraId="701AE89D" w14:textId="77777777" w:rsidR="00390473" w:rsidRDefault="0039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6"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5211043">
    <w:abstractNumId w:val="0"/>
  </w:num>
  <w:num w:numId="2" w16cid:durableId="521014252">
    <w:abstractNumId w:val="8"/>
  </w:num>
  <w:num w:numId="3" w16cid:durableId="1003818730">
    <w:abstractNumId w:val="11"/>
  </w:num>
  <w:num w:numId="4" w16cid:durableId="1168984740">
    <w:abstractNumId w:val="10"/>
  </w:num>
  <w:num w:numId="5" w16cid:durableId="818377968">
    <w:abstractNumId w:val="13"/>
  </w:num>
  <w:num w:numId="6" w16cid:durableId="2098400638">
    <w:abstractNumId w:val="4"/>
  </w:num>
  <w:num w:numId="7" w16cid:durableId="586380561">
    <w:abstractNumId w:val="9"/>
  </w:num>
  <w:num w:numId="8" w16cid:durableId="1171799724">
    <w:abstractNumId w:val="15"/>
  </w:num>
  <w:num w:numId="9" w16cid:durableId="1960718760">
    <w:abstractNumId w:val="1"/>
  </w:num>
  <w:num w:numId="10" w16cid:durableId="1248613596">
    <w:abstractNumId w:val="3"/>
  </w:num>
  <w:num w:numId="11" w16cid:durableId="474879950">
    <w:abstractNumId w:val="14"/>
  </w:num>
  <w:num w:numId="12" w16cid:durableId="1633707030">
    <w:abstractNumId w:val="12"/>
  </w:num>
  <w:num w:numId="13" w16cid:durableId="966084506">
    <w:abstractNumId w:val="7"/>
  </w:num>
  <w:num w:numId="14" w16cid:durableId="870998568">
    <w:abstractNumId w:val="2"/>
  </w:num>
  <w:num w:numId="15" w16cid:durableId="167931047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660697311">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7218569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2062511060">
    <w:abstractNumId w:val="5"/>
  </w:num>
  <w:num w:numId="19" w16cid:durableId="15442259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3370457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381826723">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892038260">
    <w:abstractNumId w:val="5"/>
  </w:num>
  <w:num w:numId="23" w16cid:durableId="380250281">
    <w:abstractNumId w:val="6"/>
  </w:num>
  <w:num w:numId="24" w16cid:durableId="158800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2F5"/>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8D4"/>
    <w:rsid w:val="00015A54"/>
    <w:rsid w:val="00015E1C"/>
    <w:rsid w:val="000167C2"/>
    <w:rsid w:val="00016B81"/>
    <w:rsid w:val="00016D11"/>
    <w:rsid w:val="00017B0D"/>
    <w:rsid w:val="000202FF"/>
    <w:rsid w:val="000207AA"/>
    <w:rsid w:val="00020A27"/>
    <w:rsid w:val="000225AC"/>
    <w:rsid w:val="000228C8"/>
    <w:rsid w:val="00022B06"/>
    <w:rsid w:val="00022BCE"/>
    <w:rsid w:val="00022CFA"/>
    <w:rsid w:val="00023501"/>
    <w:rsid w:val="00023614"/>
    <w:rsid w:val="00023A21"/>
    <w:rsid w:val="00023CE1"/>
    <w:rsid w:val="0002404C"/>
    <w:rsid w:val="00024775"/>
    <w:rsid w:val="00025690"/>
    <w:rsid w:val="0002632B"/>
    <w:rsid w:val="00026352"/>
    <w:rsid w:val="00027256"/>
    <w:rsid w:val="00027C8E"/>
    <w:rsid w:val="00030979"/>
    <w:rsid w:val="00031683"/>
    <w:rsid w:val="00031841"/>
    <w:rsid w:val="00031DA4"/>
    <w:rsid w:val="00032785"/>
    <w:rsid w:val="00032A06"/>
    <w:rsid w:val="00033202"/>
    <w:rsid w:val="00033496"/>
    <w:rsid w:val="00033BBE"/>
    <w:rsid w:val="00033C21"/>
    <w:rsid w:val="00033CDD"/>
    <w:rsid w:val="00033D1D"/>
    <w:rsid w:val="00034A75"/>
    <w:rsid w:val="00034C14"/>
    <w:rsid w:val="00034F95"/>
    <w:rsid w:val="00035D1B"/>
    <w:rsid w:val="000360E6"/>
    <w:rsid w:val="00036143"/>
    <w:rsid w:val="0003684F"/>
    <w:rsid w:val="00036AA9"/>
    <w:rsid w:val="00037E3C"/>
    <w:rsid w:val="00037F63"/>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5F7B"/>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3F0"/>
    <w:rsid w:val="00064AD6"/>
    <w:rsid w:val="00065348"/>
    <w:rsid w:val="00065C4D"/>
    <w:rsid w:val="00066910"/>
    <w:rsid w:val="000669BF"/>
    <w:rsid w:val="00066C99"/>
    <w:rsid w:val="000704B1"/>
    <w:rsid w:val="000705DA"/>
    <w:rsid w:val="000718FA"/>
    <w:rsid w:val="00071A12"/>
    <w:rsid w:val="00071C00"/>
    <w:rsid w:val="00071E58"/>
    <w:rsid w:val="00073394"/>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468"/>
    <w:rsid w:val="00094B81"/>
    <w:rsid w:val="00094E8B"/>
    <w:rsid w:val="000952B9"/>
    <w:rsid w:val="00095834"/>
    <w:rsid w:val="00095E2C"/>
    <w:rsid w:val="000966C5"/>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4FC"/>
    <w:rsid w:val="000C55D1"/>
    <w:rsid w:val="000C5A3F"/>
    <w:rsid w:val="000C5D52"/>
    <w:rsid w:val="000C65BD"/>
    <w:rsid w:val="000C6A04"/>
    <w:rsid w:val="000C6B71"/>
    <w:rsid w:val="000C6E8D"/>
    <w:rsid w:val="000C7205"/>
    <w:rsid w:val="000C7851"/>
    <w:rsid w:val="000D0C85"/>
    <w:rsid w:val="000D1286"/>
    <w:rsid w:val="000D1BCC"/>
    <w:rsid w:val="000D2A64"/>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57CD"/>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D73"/>
    <w:rsid w:val="00100E92"/>
    <w:rsid w:val="00100ECA"/>
    <w:rsid w:val="00102CFC"/>
    <w:rsid w:val="00105385"/>
    <w:rsid w:val="00105706"/>
    <w:rsid w:val="00105D7C"/>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5DAF"/>
    <w:rsid w:val="00115EED"/>
    <w:rsid w:val="00116066"/>
    <w:rsid w:val="00117A4C"/>
    <w:rsid w:val="00117E5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398"/>
    <w:rsid w:val="00134EE9"/>
    <w:rsid w:val="00136467"/>
    <w:rsid w:val="00136BAF"/>
    <w:rsid w:val="00137620"/>
    <w:rsid w:val="00137EA0"/>
    <w:rsid w:val="00140C63"/>
    <w:rsid w:val="0014117B"/>
    <w:rsid w:val="0014157D"/>
    <w:rsid w:val="0014163C"/>
    <w:rsid w:val="00141708"/>
    <w:rsid w:val="00141C52"/>
    <w:rsid w:val="001423DD"/>
    <w:rsid w:val="001425B9"/>
    <w:rsid w:val="001426D8"/>
    <w:rsid w:val="00142730"/>
    <w:rsid w:val="0014278F"/>
    <w:rsid w:val="0014288A"/>
    <w:rsid w:val="001428B2"/>
    <w:rsid w:val="00142BDE"/>
    <w:rsid w:val="00143781"/>
    <w:rsid w:val="001440F4"/>
    <w:rsid w:val="001442AF"/>
    <w:rsid w:val="00144CA8"/>
    <w:rsid w:val="00145D86"/>
    <w:rsid w:val="00147813"/>
    <w:rsid w:val="00147B16"/>
    <w:rsid w:val="00147B83"/>
    <w:rsid w:val="001501D2"/>
    <w:rsid w:val="00150EC9"/>
    <w:rsid w:val="001517B5"/>
    <w:rsid w:val="0015185F"/>
    <w:rsid w:val="0015188B"/>
    <w:rsid w:val="001520F4"/>
    <w:rsid w:val="001525B0"/>
    <w:rsid w:val="00152B53"/>
    <w:rsid w:val="001533A0"/>
    <w:rsid w:val="001534B0"/>
    <w:rsid w:val="00153C2A"/>
    <w:rsid w:val="00153EBF"/>
    <w:rsid w:val="001540F2"/>
    <w:rsid w:val="00154C9A"/>
    <w:rsid w:val="00154D61"/>
    <w:rsid w:val="00155092"/>
    <w:rsid w:val="001555C8"/>
    <w:rsid w:val="00156615"/>
    <w:rsid w:val="00156F65"/>
    <w:rsid w:val="00156F9B"/>
    <w:rsid w:val="00157B63"/>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1A9F"/>
    <w:rsid w:val="001724BB"/>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7A1"/>
    <w:rsid w:val="00192841"/>
    <w:rsid w:val="00192C91"/>
    <w:rsid w:val="001941C6"/>
    <w:rsid w:val="0019570E"/>
    <w:rsid w:val="00195966"/>
    <w:rsid w:val="00195BAA"/>
    <w:rsid w:val="00195E78"/>
    <w:rsid w:val="00196120"/>
    <w:rsid w:val="001963EF"/>
    <w:rsid w:val="001A0413"/>
    <w:rsid w:val="001A0B2B"/>
    <w:rsid w:val="001A11AE"/>
    <w:rsid w:val="001A12E7"/>
    <w:rsid w:val="001A2156"/>
    <w:rsid w:val="001A255C"/>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854"/>
    <w:rsid w:val="001B2B26"/>
    <w:rsid w:val="001B3491"/>
    <w:rsid w:val="001B3F1C"/>
    <w:rsid w:val="001B4349"/>
    <w:rsid w:val="001B4EB0"/>
    <w:rsid w:val="001B5079"/>
    <w:rsid w:val="001B5453"/>
    <w:rsid w:val="001B6F43"/>
    <w:rsid w:val="001C0011"/>
    <w:rsid w:val="001C016F"/>
    <w:rsid w:val="001C10C2"/>
    <w:rsid w:val="001C1A79"/>
    <w:rsid w:val="001C1E1C"/>
    <w:rsid w:val="001C2C36"/>
    <w:rsid w:val="001C2C69"/>
    <w:rsid w:val="001C2F54"/>
    <w:rsid w:val="001C3451"/>
    <w:rsid w:val="001C3893"/>
    <w:rsid w:val="001C408F"/>
    <w:rsid w:val="001C418C"/>
    <w:rsid w:val="001C43DE"/>
    <w:rsid w:val="001C5241"/>
    <w:rsid w:val="001C6666"/>
    <w:rsid w:val="001C753F"/>
    <w:rsid w:val="001C764D"/>
    <w:rsid w:val="001D00EA"/>
    <w:rsid w:val="001D0B1B"/>
    <w:rsid w:val="001D1964"/>
    <w:rsid w:val="001D3067"/>
    <w:rsid w:val="001D35B1"/>
    <w:rsid w:val="001D3638"/>
    <w:rsid w:val="001D40EB"/>
    <w:rsid w:val="001D49B7"/>
    <w:rsid w:val="001D55CD"/>
    <w:rsid w:val="001D5C31"/>
    <w:rsid w:val="001D775C"/>
    <w:rsid w:val="001D7990"/>
    <w:rsid w:val="001E0818"/>
    <w:rsid w:val="001E0E85"/>
    <w:rsid w:val="001E0FE1"/>
    <w:rsid w:val="001E11CF"/>
    <w:rsid w:val="001E1A78"/>
    <w:rsid w:val="001E5B47"/>
    <w:rsid w:val="001E61A5"/>
    <w:rsid w:val="001E64FB"/>
    <w:rsid w:val="001E6D8B"/>
    <w:rsid w:val="001F0043"/>
    <w:rsid w:val="001F04D7"/>
    <w:rsid w:val="001F0DEA"/>
    <w:rsid w:val="001F1BAE"/>
    <w:rsid w:val="001F220A"/>
    <w:rsid w:val="001F249A"/>
    <w:rsid w:val="001F299F"/>
    <w:rsid w:val="001F3090"/>
    <w:rsid w:val="001F405F"/>
    <w:rsid w:val="001F43A5"/>
    <w:rsid w:val="001F485F"/>
    <w:rsid w:val="002001D9"/>
    <w:rsid w:val="002010E7"/>
    <w:rsid w:val="0020216F"/>
    <w:rsid w:val="00202535"/>
    <w:rsid w:val="0020582E"/>
    <w:rsid w:val="00205AEF"/>
    <w:rsid w:val="00206D28"/>
    <w:rsid w:val="002070FE"/>
    <w:rsid w:val="00207559"/>
    <w:rsid w:val="002075B9"/>
    <w:rsid w:val="002100FB"/>
    <w:rsid w:val="002105F3"/>
    <w:rsid w:val="00210B78"/>
    <w:rsid w:val="00210EF8"/>
    <w:rsid w:val="002117E9"/>
    <w:rsid w:val="00211A95"/>
    <w:rsid w:val="002130C8"/>
    <w:rsid w:val="002131E9"/>
    <w:rsid w:val="002140B6"/>
    <w:rsid w:val="00214239"/>
    <w:rsid w:val="0021537B"/>
    <w:rsid w:val="00215BA8"/>
    <w:rsid w:val="00216665"/>
    <w:rsid w:val="00217B84"/>
    <w:rsid w:val="00220A64"/>
    <w:rsid w:val="00220C92"/>
    <w:rsid w:val="00220EF4"/>
    <w:rsid w:val="0022195C"/>
    <w:rsid w:val="00221B1A"/>
    <w:rsid w:val="002222E8"/>
    <w:rsid w:val="002223E9"/>
    <w:rsid w:val="00222683"/>
    <w:rsid w:val="00223299"/>
    <w:rsid w:val="0022336C"/>
    <w:rsid w:val="002243A8"/>
    <w:rsid w:val="00225F71"/>
    <w:rsid w:val="00226250"/>
    <w:rsid w:val="002262D2"/>
    <w:rsid w:val="00226D43"/>
    <w:rsid w:val="00226E08"/>
    <w:rsid w:val="00226EF0"/>
    <w:rsid w:val="0022704D"/>
    <w:rsid w:val="002272B1"/>
    <w:rsid w:val="00227535"/>
    <w:rsid w:val="002303E1"/>
    <w:rsid w:val="00230C8C"/>
    <w:rsid w:val="00230E76"/>
    <w:rsid w:val="00231583"/>
    <w:rsid w:val="00231B35"/>
    <w:rsid w:val="00231D7B"/>
    <w:rsid w:val="00231E0E"/>
    <w:rsid w:val="00232296"/>
    <w:rsid w:val="00232C26"/>
    <w:rsid w:val="00232D63"/>
    <w:rsid w:val="00234FD7"/>
    <w:rsid w:val="002360F4"/>
    <w:rsid w:val="0023637E"/>
    <w:rsid w:val="00236694"/>
    <w:rsid w:val="00237AEF"/>
    <w:rsid w:val="00240104"/>
    <w:rsid w:val="0024018F"/>
    <w:rsid w:val="0024056B"/>
    <w:rsid w:val="002407CB"/>
    <w:rsid w:val="002410B9"/>
    <w:rsid w:val="002410EB"/>
    <w:rsid w:val="00241790"/>
    <w:rsid w:val="002417A2"/>
    <w:rsid w:val="00241B82"/>
    <w:rsid w:val="002425FC"/>
    <w:rsid w:val="00242D1C"/>
    <w:rsid w:val="00243137"/>
    <w:rsid w:val="002431D9"/>
    <w:rsid w:val="00246026"/>
    <w:rsid w:val="002465B8"/>
    <w:rsid w:val="00246782"/>
    <w:rsid w:val="00247663"/>
    <w:rsid w:val="00247F99"/>
    <w:rsid w:val="00250068"/>
    <w:rsid w:val="00250097"/>
    <w:rsid w:val="00250F75"/>
    <w:rsid w:val="002518FB"/>
    <w:rsid w:val="002523CF"/>
    <w:rsid w:val="00252503"/>
    <w:rsid w:val="00254075"/>
    <w:rsid w:val="00254A33"/>
    <w:rsid w:val="00254A95"/>
    <w:rsid w:val="0025603D"/>
    <w:rsid w:val="002577D5"/>
    <w:rsid w:val="00257ABD"/>
    <w:rsid w:val="00257F40"/>
    <w:rsid w:val="002633F0"/>
    <w:rsid w:val="00264E30"/>
    <w:rsid w:val="00265072"/>
    <w:rsid w:val="00265705"/>
    <w:rsid w:val="00266937"/>
    <w:rsid w:val="00266C80"/>
    <w:rsid w:val="0026748B"/>
    <w:rsid w:val="002674BD"/>
    <w:rsid w:val="00267B1A"/>
    <w:rsid w:val="002706D1"/>
    <w:rsid w:val="00270FA9"/>
    <w:rsid w:val="00271316"/>
    <w:rsid w:val="00271534"/>
    <w:rsid w:val="00271A42"/>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359"/>
    <w:rsid w:val="00286BF6"/>
    <w:rsid w:val="00286CF8"/>
    <w:rsid w:val="00287A83"/>
    <w:rsid w:val="00287EC4"/>
    <w:rsid w:val="0029029F"/>
    <w:rsid w:val="00291B6D"/>
    <w:rsid w:val="00291FC5"/>
    <w:rsid w:val="00292E46"/>
    <w:rsid w:val="00293B04"/>
    <w:rsid w:val="002956CD"/>
    <w:rsid w:val="00295725"/>
    <w:rsid w:val="00295872"/>
    <w:rsid w:val="00296ABC"/>
    <w:rsid w:val="002A0F23"/>
    <w:rsid w:val="002A1729"/>
    <w:rsid w:val="002A1B2D"/>
    <w:rsid w:val="002A1F0F"/>
    <w:rsid w:val="002A23EA"/>
    <w:rsid w:val="002A249F"/>
    <w:rsid w:val="002A2768"/>
    <w:rsid w:val="002A3138"/>
    <w:rsid w:val="002A31D5"/>
    <w:rsid w:val="002A3D37"/>
    <w:rsid w:val="002A49FC"/>
    <w:rsid w:val="002A590E"/>
    <w:rsid w:val="002A596C"/>
    <w:rsid w:val="002A5F9C"/>
    <w:rsid w:val="002A6414"/>
    <w:rsid w:val="002A6B10"/>
    <w:rsid w:val="002A7B82"/>
    <w:rsid w:val="002B0004"/>
    <w:rsid w:val="002B0FC3"/>
    <w:rsid w:val="002B1123"/>
    <w:rsid w:val="002B1B93"/>
    <w:rsid w:val="002B2151"/>
    <w:rsid w:val="002B2803"/>
    <w:rsid w:val="002B49F2"/>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C7925"/>
    <w:rsid w:val="002D0773"/>
    <w:rsid w:val="002D14FC"/>
    <w:rsid w:val="002D1613"/>
    <w:rsid w:val="002D29D9"/>
    <w:rsid w:val="002D4435"/>
    <w:rsid w:val="002D4CC9"/>
    <w:rsid w:val="002D51D6"/>
    <w:rsid w:val="002D58EF"/>
    <w:rsid w:val="002D5A84"/>
    <w:rsid w:val="002D5B79"/>
    <w:rsid w:val="002D5C35"/>
    <w:rsid w:val="002D62C7"/>
    <w:rsid w:val="002D6620"/>
    <w:rsid w:val="002D668E"/>
    <w:rsid w:val="002D7AED"/>
    <w:rsid w:val="002E0832"/>
    <w:rsid w:val="002E0D3C"/>
    <w:rsid w:val="002E0DFB"/>
    <w:rsid w:val="002E1597"/>
    <w:rsid w:val="002E2294"/>
    <w:rsid w:val="002E2B5A"/>
    <w:rsid w:val="002E334F"/>
    <w:rsid w:val="002E40DC"/>
    <w:rsid w:val="002E48D2"/>
    <w:rsid w:val="002E4CF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2E9E"/>
    <w:rsid w:val="00313037"/>
    <w:rsid w:val="003131B7"/>
    <w:rsid w:val="00313293"/>
    <w:rsid w:val="00313373"/>
    <w:rsid w:val="003135AB"/>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9D1"/>
    <w:rsid w:val="00325CEC"/>
    <w:rsid w:val="00325CF3"/>
    <w:rsid w:val="003264AC"/>
    <w:rsid w:val="00326BEF"/>
    <w:rsid w:val="00327A38"/>
    <w:rsid w:val="00327EBB"/>
    <w:rsid w:val="00330838"/>
    <w:rsid w:val="003308F2"/>
    <w:rsid w:val="00330E53"/>
    <w:rsid w:val="003323E5"/>
    <w:rsid w:val="003330B8"/>
    <w:rsid w:val="003334F6"/>
    <w:rsid w:val="00334046"/>
    <w:rsid w:val="00334ADE"/>
    <w:rsid w:val="003350A8"/>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335"/>
    <w:rsid w:val="00351500"/>
    <w:rsid w:val="00352579"/>
    <w:rsid w:val="0035298D"/>
    <w:rsid w:val="003533AF"/>
    <w:rsid w:val="003537C7"/>
    <w:rsid w:val="00353B95"/>
    <w:rsid w:val="003540B7"/>
    <w:rsid w:val="003546FE"/>
    <w:rsid w:val="00355481"/>
    <w:rsid w:val="0035554E"/>
    <w:rsid w:val="003559F5"/>
    <w:rsid w:val="00360054"/>
    <w:rsid w:val="003607F8"/>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473"/>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E72"/>
    <w:rsid w:val="003A379B"/>
    <w:rsid w:val="003A47DE"/>
    <w:rsid w:val="003A4D88"/>
    <w:rsid w:val="003A6B17"/>
    <w:rsid w:val="003A74B4"/>
    <w:rsid w:val="003A7674"/>
    <w:rsid w:val="003B01EE"/>
    <w:rsid w:val="003B08FA"/>
    <w:rsid w:val="003B1762"/>
    <w:rsid w:val="003B233E"/>
    <w:rsid w:val="003B23B6"/>
    <w:rsid w:val="003B52F8"/>
    <w:rsid w:val="003B5E7E"/>
    <w:rsid w:val="003B733C"/>
    <w:rsid w:val="003B7C13"/>
    <w:rsid w:val="003B7D80"/>
    <w:rsid w:val="003C0137"/>
    <w:rsid w:val="003C04EC"/>
    <w:rsid w:val="003C075F"/>
    <w:rsid w:val="003C0AC2"/>
    <w:rsid w:val="003C0C09"/>
    <w:rsid w:val="003C121E"/>
    <w:rsid w:val="003C12FF"/>
    <w:rsid w:val="003C1810"/>
    <w:rsid w:val="003C1CBC"/>
    <w:rsid w:val="003C3DD0"/>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D1"/>
    <w:rsid w:val="003D47F5"/>
    <w:rsid w:val="003D4E94"/>
    <w:rsid w:val="003D5116"/>
    <w:rsid w:val="003D5ACA"/>
    <w:rsid w:val="003D5D6E"/>
    <w:rsid w:val="003D5ED0"/>
    <w:rsid w:val="003D6780"/>
    <w:rsid w:val="003D799C"/>
    <w:rsid w:val="003D79D2"/>
    <w:rsid w:val="003E04AA"/>
    <w:rsid w:val="003E1027"/>
    <w:rsid w:val="003E22A5"/>
    <w:rsid w:val="003E2D4C"/>
    <w:rsid w:val="003E35C6"/>
    <w:rsid w:val="003E3D0C"/>
    <w:rsid w:val="003E3EA8"/>
    <w:rsid w:val="003E50D9"/>
    <w:rsid w:val="003E562A"/>
    <w:rsid w:val="003E5AAD"/>
    <w:rsid w:val="003E5C30"/>
    <w:rsid w:val="003E5EEC"/>
    <w:rsid w:val="003E66E4"/>
    <w:rsid w:val="003E6CD5"/>
    <w:rsid w:val="003E6F5E"/>
    <w:rsid w:val="003E6FCC"/>
    <w:rsid w:val="003E70FC"/>
    <w:rsid w:val="003E72C2"/>
    <w:rsid w:val="003E7848"/>
    <w:rsid w:val="003E7A51"/>
    <w:rsid w:val="003F0A89"/>
    <w:rsid w:val="003F1BDF"/>
    <w:rsid w:val="003F1EEB"/>
    <w:rsid w:val="003F209F"/>
    <w:rsid w:val="003F22F2"/>
    <w:rsid w:val="003F3826"/>
    <w:rsid w:val="003F5D13"/>
    <w:rsid w:val="003F782B"/>
    <w:rsid w:val="003F7BFA"/>
    <w:rsid w:val="004001DD"/>
    <w:rsid w:val="00400BD7"/>
    <w:rsid w:val="0040192B"/>
    <w:rsid w:val="004020B2"/>
    <w:rsid w:val="0040308D"/>
    <w:rsid w:val="00404278"/>
    <w:rsid w:val="0040469D"/>
    <w:rsid w:val="004046DC"/>
    <w:rsid w:val="00404966"/>
    <w:rsid w:val="00405940"/>
    <w:rsid w:val="00405F4B"/>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18F"/>
    <w:rsid w:val="004272C8"/>
    <w:rsid w:val="00427565"/>
    <w:rsid w:val="00427C15"/>
    <w:rsid w:val="00427E51"/>
    <w:rsid w:val="0043001E"/>
    <w:rsid w:val="0043151F"/>
    <w:rsid w:val="00431F00"/>
    <w:rsid w:val="00432A32"/>
    <w:rsid w:val="00432CE1"/>
    <w:rsid w:val="00432F86"/>
    <w:rsid w:val="0043313A"/>
    <w:rsid w:val="0043398C"/>
    <w:rsid w:val="00433F89"/>
    <w:rsid w:val="00434612"/>
    <w:rsid w:val="004352FC"/>
    <w:rsid w:val="00436FFF"/>
    <w:rsid w:val="0044042D"/>
    <w:rsid w:val="0044129C"/>
    <w:rsid w:val="00441B1B"/>
    <w:rsid w:val="00441C39"/>
    <w:rsid w:val="00441D04"/>
    <w:rsid w:val="004422B3"/>
    <w:rsid w:val="004430E1"/>
    <w:rsid w:val="00443A4D"/>
    <w:rsid w:val="00444981"/>
    <w:rsid w:val="00444CC7"/>
    <w:rsid w:val="00445238"/>
    <w:rsid w:val="00445F3D"/>
    <w:rsid w:val="00446493"/>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57463"/>
    <w:rsid w:val="004608AB"/>
    <w:rsid w:val="00460B48"/>
    <w:rsid w:val="00461658"/>
    <w:rsid w:val="00461850"/>
    <w:rsid w:val="00461DB2"/>
    <w:rsid w:val="00463FA9"/>
    <w:rsid w:val="004642E2"/>
    <w:rsid w:val="00464318"/>
    <w:rsid w:val="0046622B"/>
    <w:rsid w:val="004663F6"/>
    <w:rsid w:val="00466F6A"/>
    <w:rsid w:val="004673B0"/>
    <w:rsid w:val="00467A59"/>
    <w:rsid w:val="00467B04"/>
    <w:rsid w:val="0047029E"/>
    <w:rsid w:val="00470A0A"/>
    <w:rsid w:val="00470E6B"/>
    <w:rsid w:val="00471C53"/>
    <w:rsid w:val="00472651"/>
    <w:rsid w:val="00473150"/>
    <w:rsid w:val="00473C0C"/>
    <w:rsid w:val="0047429D"/>
    <w:rsid w:val="00474F16"/>
    <w:rsid w:val="004751DB"/>
    <w:rsid w:val="00475C3D"/>
    <w:rsid w:val="004764BA"/>
    <w:rsid w:val="00476D22"/>
    <w:rsid w:val="00476D2A"/>
    <w:rsid w:val="004777EC"/>
    <w:rsid w:val="00477908"/>
    <w:rsid w:val="00477F59"/>
    <w:rsid w:val="004801F1"/>
    <w:rsid w:val="00480A01"/>
    <w:rsid w:val="004812DB"/>
    <w:rsid w:val="00481310"/>
    <w:rsid w:val="00481C1F"/>
    <w:rsid w:val="00481D0E"/>
    <w:rsid w:val="00481F05"/>
    <w:rsid w:val="00482649"/>
    <w:rsid w:val="00483A13"/>
    <w:rsid w:val="00483C1E"/>
    <w:rsid w:val="00483D30"/>
    <w:rsid w:val="00483D86"/>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58F"/>
    <w:rsid w:val="004B77FC"/>
    <w:rsid w:val="004C0771"/>
    <w:rsid w:val="004C0D2A"/>
    <w:rsid w:val="004C1891"/>
    <w:rsid w:val="004C2FA4"/>
    <w:rsid w:val="004C325D"/>
    <w:rsid w:val="004C4025"/>
    <w:rsid w:val="004C486D"/>
    <w:rsid w:val="004C4A7B"/>
    <w:rsid w:val="004C4D10"/>
    <w:rsid w:val="004C4D20"/>
    <w:rsid w:val="004C6D1B"/>
    <w:rsid w:val="004C6E04"/>
    <w:rsid w:val="004C7289"/>
    <w:rsid w:val="004D0CD1"/>
    <w:rsid w:val="004D17B3"/>
    <w:rsid w:val="004D1A6F"/>
    <w:rsid w:val="004D1C1E"/>
    <w:rsid w:val="004D1F98"/>
    <w:rsid w:val="004D2995"/>
    <w:rsid w:val="004D2D15"/>
    <w:rsid w:val="004D34F2"/>
    <w:rsid w:val="004D4169"/>
    <w:rsid w:val="004D43FA"/>
    <w:rsid w:val="004D4650"/>
    <w:rsid w:val="004D4CAB"/>
    <w:rsid w:val="004D4DC8"/>
    <w:rsid w:val="004D6A47"/>
    <w:rsid w:val="004D6A57"/>
    <w:rsid w:val="004D7A04"/>
    <w:rsid w:val="004E0006"/>
    <w:rsid w:val="004E0643"/>
    <w:rsid w:val="004E0F35"/>
    <w:rsid w:val="004E1103"/>
    <w:rsid w:val="004E1DB4"/>
    <w:rsid w:val="004E23AA"/>
    <w:rsid w:val="004E2AF6"/>
    <w:rsid w:val="004E3263"/>
    <w:rsid w:val="004E3980"/>
    <w:rsid w:val="004E4291"/>
    <w:rsid w:val="004E4493"/>
    <w:rsid w:val="004E451B"/>
    <w:rsid w:val="004E589E"/>
    <w:rsid w:val="004E591C"/>
    <w:rsid w:val="004E5CD0"/>
    <w:rsid w:val="004E660C"/>
    <w:rsid w:val="004E713E"/>
    <w:rsid w:val="004E7250"/>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0C4"/>
    <w:rsid w:val="004F5147"/>
    <w:rsid w:val="004F5857"/>
    <w:rsid w:val="004F5A55"/>
    <w:rsid w:val="004F5C87"/>
    <w:rsid w:val="004F623B"/>
    <w:rsid w:val="004F6300"/>
    <w:rsid w:val="004F674F"/>
    <w:rsid w:val="004F6775"/>
    <w:rsid w:val="004F6D8E"/>
    <w:rsid w:val="00500223"/>
    <w:rsid w:val="00501895"/>
    <w:rsid w:val="00501F69"/>
    <w:rsid w:val="00502F5A"/>
    <w:rsid w:val="005033FD"/>
    <w:rsid w:val="00503469"/>
    <w:rsid w:val="00503D54"/>
    <w:rsid w:val="00503D57"/>
    <w:rsid w:val="00504A74"/>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053"/>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4456"/>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4EF"/>
    <w:rsid w:val="00552B0D"/>
    <w:rsid w:val="005539EC"/>
    <w:rsid w:val="005544E5"/>
    <w:rsid w:val="00554853"/>
    <w:rsid w:val="00554EA4"/>
    <w:rsid w:val="00554F44"/>
    <w:rsid w:val="005551E2"/>
    <w:rsid w:val="00555488"/>
    <w:rsid w:val="00555832"/>
    <w:rsid w:val="00555839"/>
    <w:rsid w:val="005559E4"/>
    <w:rsid w:val="00555F82"/>
    <w:rsid w:val="00556968"/>
    <w:rsid w:val="00557400"/>
    <w:rsid w:val="0055789E"/>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75585"/>
    <w:rsid w:val="005819FE"/>
    <w:rsid w:val="00581B95"/>
    <w:rsid w:val="00581DA3"/>
    <w:rsid w:val="00581F7D"/>
    <w:rsid w:val="00582D4C"/>
    <w:rsid w:val="00582DEA"/>
    <w:rsid w:val="00582EE8"/>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3B4E"/>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2CD1"/>
    <w:rsid w:val="005B49D6"/>
    <w:rsid w:val="005B50AB"/>
    <w:rsid w:val="005B692E"/>
    <w:rsid w:val="005B758F"/>
    <w:rsid w:val="005B7644"/>
    <w:rsid w:val="005B79CE"/>
    <w:rsid w:val="005B7D69"/>
    <w:rsid w:val="005C0C36"/>
    <w:rsid w:val="005C1205"/>
    <w:rsid w:val="005C17BD"/>
    <w:rsid w:val="005C2FAB"/>
    <w:rsid w:val="005C3D16"/>
    <w:rsid w:val="005C435A"/>
    <w:rsid w:val="005C5154"/>
    <w:rsid w:val="005C524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2C5"/>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4A49"/>
    <w:rsid w:val="00615191"/>
    <w:rsid w:val="00615489"/>
    <w:rsid w:val="006155CB"/>
    <w:rsid w:val="00615653"/>
    <w:rsid w:val="0061572C"/>
    <w:rsid w:val="00615F1F"/>
    <w:rsid w:val="0061688E"/>
    <w:rsid w:val="006170AF"/>
    <w:rsid w:val="00617C97"/>
    <w:rsid w:val="00617CE0"/>
    <w:rsid w:val="00620390"/>
    <w:rsid w:val="0062046F"/>
    <w:rsid w:val="00620E8C"/>
    <w:rsid w:val="006212DB"/>
    <w:rsid w:val="0062151F"/>
    <w:rsid w:val="00621B53"/>
    <w:rsid w:val="0062290A"/>
    <w:rsid w:val="00622AC9"/>
    <w:rsid w:val="00622C88"/>
    <w:rsid w:val="00623C15"/>
    <w:rsid w:val="00623C79"/>
    <w:rsid w:val="00624636"/>
    <w:rsid w:val="00625087"/>
    <w:rsid w:val="006253BD"/>
    <w:rsid w:val="006253DC"/>
    <w:rsid w:val="00626436"/>
    <w:rsid w:val="00626DF3"/>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38"/>
    <w:rsid w:val="00651DD8"/>
    <w:rsid w:val="00651E52"/>
    <w:rsid w:val="00652642"/>
    <w:rsid w:val="00652701"/>
    <w:rsid w:val="00653388"/>
    <w:rsid w:val="00653824"/>
    <w:rsid w:val="00653C64"/>
    <w:rsid w:val="006544D8"/>
    <w:rsid w:val="00654AA9"/>
    <w:rsid w:val="00654E67"/>
    <w:rsid w:val="00655C57"/>
    <w:rsid w:val="006564F3"/>
    <w:rsid w:val="00656E91"/>
    <w:rsid w:val="00657D6C"/>
    <w:rsid w:val="00660B96"/>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C3F"/>
    <w:rsid w:val="006A2CF8"/>
    <w:rsid w:val="006A2EA3"/>
    <w:rsid w:val="006A382C"/>
    <w:rsid w:val="006A3A75"/>
    <w:rsid w:val="006A403D"/>
    <w:rsid w:val="006A449F"/>
    <w:rsid w:val="006A4783"/>
    <w:rsid w:val="006A4DD7"/>
    <w:rsid w:val="006A55B6"/>
    <w:rsid w:val="006A56DE"/>
    <w:rsid w:val="006A5E47"/>
    <w:rsid w:val="006A613A"/>
    <w:rsid w:val="006A6438"/>
    <w:rsid w:val="006A6682"/>
    <w:rsid w:val="006A701E"/>
    <w:rsid w:val="006A7662"/>
    <w:rsid w:val="006A7F33"/>
    <w:rsid w:val="006B00C7"/>
    <w:rsid w:val="006B012B"/>
    <w:rsid w:val="006B1866"/>
    <w:rsid w:val="006B1C58"/>
    <w:rsid w:val="006B2290"/>
    <w:rsid w:val="006B29F7"/>
    <w:rsid w:val="006B2AC1"/>
    <w:rsid w:val="006B3019"/>
    <w:rsid w:val="006B33B8"/>
    <w:rsid w:val="006B378F"/>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67E7"/>
    <w:rsid w:val="006C73BB"/>
    <w:rsid w:val="006D0B5A"/>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08B"/>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74A"/>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1E3"/>
    <w:rsid w:val="007233D3"/>
    <w:rsid w:val="007239E0"/>
    <w:rsid w:val="00723DFE"/>
    <w:rsid w:val="007240C1"/>
    <w:rsid w:val="0072410B"/>
    <w:rsid w:val="0072423C"/>
    <w:rsid w:val="007242B9"/>
    <w:rsid w:val="007253D6"/>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252"/>
    <w:rsid w:val="007366E9"/>
    <w:rsid w:val="00736980"/>
    <w:rsid w:val="00736C12"/>
    <w:rsid w:val="0073744A"/>
    <w:rsid w:val="00737AF7"/>
    <w:rsid w:val="00737BCF"/>
    <w:rsid w:val="00740302"/>
    <w:rsid w:val="00741AE5"/>
    <w:rsid w:val="00741C61"/>
    <w:rsid w:val="00741E8B"/>
    <w:rsid w:val="007425AC"/>
    <w:rsid w:val="00742A73"/>
    <w:rsid w:val="00743246"/>
    <w:rsid w:val="007437E8"/>
    <w:rsid w:val="00744B06"/>
    <w:rsid w:val="00745A42"/>
    <w:rsid w:val="007462A8"/>
    <w:rsid w:val="0074657E"/>
    <w:rsid w:val="00746E72"/>
    <w:rsid w:val="00747FFE"/>
    <w:rsid w:val="00752C76"/>
    <w:rsid w:val="007538D3"/>
    <w:rsid w:val="0075454B"/>
    <w:rsid w:val="007546F5"/>
    <w:rsid w:val="00754A23"/>
    <w:rsid w:val="007553A9"/>
    <w:rsid w:val="00755CDC"/>
    <w:rsid w:val="00757DCF"/>
    <w:rsid w:val="00760C18"/>
    <w:rsid w:val="007613A3"/>
    <w:rsid w:val="0076184C"/>
    <w:rsid w:val="00761973"/>
    <w:rsid w:val="00761B76"/>
    <w:rsid w:val="00762677"/>
    <w:rsid w:val="00762738"/>
    <w:rsid w:val="00762FCF"/>
    <w:rsid w:val="0076473A"/>
    <w:rsid w:val="00765EA3"/>
    <w:rsid w:val="007665D2"/>
    <w:rsid w:val="007670DA"/>
    <w:rsid w:val="007703B3"/>
    <w:rsid w:val="00771557"/>
    <w:rsid w:val="00772934"/>
    <w:rsid w:val="00773E26"/>
    <w:rsid w:val="00774E84"/>
    <w:rsid w:val="007750A4"/>
    <w:rsid w:val="00775790"/>
    <w:rsid w:val="0077663D"/>
    <w:rsid w:val="00776D70"/>
    <w:rsid w:val="00777D05"/>
    <w:rsid w:val="007803D2"/>
    <w:rsid w:val="00781711"/>
    <w:rsid w:val="00782042"/>
    <w:rsid w:val="0078249C"/>
    <w:rsid w:val="00782B46"/>
    <w:rsid w:val="00782CC1"/>
    <w:rsid w:val="00782F99"/>
    <w:rsid w:val="00783D29"/>
    <w:rsid w:val="007843E3"/>
    <w:rsid w:val="00784D25"/>
    <w:rsid w:val="00785543"/>
    <w:rsid w:val="00785563"/>
    <w:rsid w:val="007856B2"/>
    <w:rsid w:val="007856C0"/>
    <w:rsid w:val="00785918"/>
    <w:rsid w:val="00786B9D"/>
    <w:rsid w:val="007872F2"/>
    <w:rsid w:val="007873F0"/>
    <w:rsid w:val="0078749A"/>
    <w:rsid w:val="00791BD7"/>
    <w:rsid w:val="00793972"/>
    <w:rsid w:val="00793A1D"/>
    <w:rsid w:val="007940EC"/>
    <w:rsid w:val="0079464D"/>
    <w:rsid w:val="00794FB2"/>
    <w:rsid w:val="00795054"/>
    <w:rsid w:val="00795703"/>
    <w:rsid w:val="00795CF1"/>
    <w:rsid w:val="00796EBD"/>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6F25"/>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834"/>
    <w:rsid w:val="007E6A18"/>
    <w:rsid w:val="007E7E2D"/>
    <w:rsid w:val="007E7F3B"/>
    <w:rsid w:val="007F0755"/>
    <w:rsid w:val="007F0B04"/>
    <w:rsid w:val="007F12D6"/>
    <w:rsid w:val="007F2B8C"/>
    <w:rsid w:val="007F2ECE"/>
    <w:rsid w:val="007F3290"/>
    <w:rsid w:val="007F34C9"/>
    <w:rsid w:val="007F3CC1"/>
    <w:rsid w:val="007F48F7"/>
    <w:rsid w:val="007F4AC3"/>
    <w:rsid w:val="007F54EB"/>
    <w:rsid w:val="007F6E2F"/>
    <w:rsid w:val="007F7349"/>
    <w:rsid w:val="007F7708"/>
    <w:rsid w:val="008003EB"/>
    <w:rsid w:val="00800B9B"/>
    <w:rsid w:val="00800BC5"/>
    <w:rsid w:val="008013AB"/>
    <w:rsid w:val="00801C5E"/>
    <w:rsid w:val="008020C8"/>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170D5"/>
    <w:rsid w:val="00820EF0"/>
    <w:rsid w:val="00820FBE"/>
    <w:rsid w:val="00821962"/>
    <w:rsid w:val="008219F4"/>
    <w:rsid w:val="00821E24"/>
    <w:rsid w:val="00821F16"/>
    <w:rsid w:val="00822232"/>
    <w:rsid w:val="00822DFF"/>
    <w:rsid w:val="00823018"/>
    <w:rsid w:val="00823417"/>
    <w:rsid w:val="008235C4"/>
    <w:rsid w:val="00825A8C"/>
    <w:rsid w:val="00825F76"/>
    <w:rsid w:val="00826166"/>
    <w:rsid w:val="008262B4"/>
    <w:rsid w:val="00826735"/>
    <w:rsid w:val="00826828"/>
    <w:rsid w:val="00826EBB"/>
    <w:rsid w:val="008305EF"/>
    <w:rsid w:val="00830BC0"/>
    <w:rsid w:val="008319C8"/>
    <w:rsid w:val="008320CD"/>
    <w:rsid w:val="00832358"/>
    <w:rsid w:val="00832D04"/>
    <w:rsid w:val="00832F05"/>
    <w:rsid w:val="00833424"/>
    <w:rsid w:val="00833699"/>
    <w:rsid w:val="00833876"/>
    <w:rsid w:val="008361EC"/>
    <w:rsid w:val="00836D97"/>
    <w:rsid w:val="00836FDD"/>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1FCD"/>
    <w:rsid w:val="00852066"/>
    <w:rsid w:val="0085223D"/>
    <w:rsid w:val="00852A72"/>
    <w:rsid w:val="008533C0"/>
    <w:rsid w:val="00853788"/>
    <w:rsid w:val="00854C77"/>
    <w:rsid w:val="00854F4E"/>
    <w:rsid w:val="008553D2"/>
    <w:rsid w:val="00855527"/>
    <w:rsid w:val="00855A06"/>
    <w:rsid w:val="0085611C"/>
    <w:rsid w:val="008566B3"/>
    <w:rsid w:val="0085737C"/>
    <w:rsid w:val="0085767C"/>
    <w:rsid w:val="00857AF0"/>
    <w:rsid w:val="00860707"/>
    <w:rsid w:val="008608EE"/>
    <w:rsid w:val="008610F1"/>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5B04"/>
    <w:rsid w:val="0087644B"/>
    <w:rsid w:val="0087674C"/>
    <w:rsid w:val="008772D4"/>
    <w:rsid w:val="00877549"/>
    <w:rsid w:val="008776BB"/>
    <w:rsid w:val="00877822"/>
    <w:rsid w:val="008779C9"/>
    <w:rsid w:val="00880C2B"/>
    <w:rsid w:val="00881502"/>
    <w:rsid w:val="008815D6"/>
    <w:rsid w:val="00881F64"/>
    <w:rsid w:val="00882222"/>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1F"/>
    <w:rsid w:val="008A25FE"/>
    <w:rsid w:val="008A2D0A"/>
    <w:rsid w:val="008A3D19"/>
    <w:rsid w:val="008A3FD3"/>
    <w:rsid w:val="008A4A82"/>
    <w:rsid w:val="008A5632"/>
    <w:rsid w:val="008A5803"/>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B745D"/>
    <w:rsid w:val="008B7FC1"/>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5F2"/>
    <w:rsid w:val="008D5750"/>
    <w:rsid w:val="008D5A13"/>
    <w:rsid w:val="008D6D1D"/>
    <w:rsid w:val="008D75E0"/>
    <w:rsid w:val="008D77E6"/>
    <w:rsid w:val="008D7BF3"/>
    <w:rsid w:val="008E162E"/>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5C37"/>
    <w:rsid w:val="008F6138"/>
    <w:rsid w:val="008F6B57"/>
    <w:rsid w:val="008F70BA"/>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1A5"/>
    <w:rsid w:val="00932316"/>
    <w:rsid w:val="009328A2"/>
    <w:rsid w:val="00932B40"/>
    <w:rsid w:val="00933196"/>
    <w:rsid w:val="009334EE"/>
    <w:rsid w:val="00933530"/>
    <w:rsid w:val="00933743"/>
    <w:rsid w:val="009338A5"/>
    <w:rsid w:val="00933AEF"/>
    <w:rsid w:val="00933BEB"/>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CC"/>
    <w:rsid w:val="00951D82"/>
    <w:rsid w:val="00952810"/>
    <w:rsid w:val="00952849"/>
    <w:rsid w:val="00953664"/>
    <w:rsid w:val="00954092"/>
    <w:rsid w:val="009544E2"/>
    <w:rsid w:val="00954EE9"/>
    <w:rsid w:val="00955892"/>
    <w:rsid w:val="00955997"/>
    <w:rsid w:val="00956DC5"/>
    <w:rsid w:val="00957725"/>
    <w:rsid w:val="00960ACF"/>
    <w:rsid w:val="00960B78"/>
    <w:rsid w:val="00960BB5"/>
    <w:rsid w:val="00960F97"/>
    <w:rsid w:val="00963567"/>
    <w:rsid w:val="00963BF5"/>
    <w:rsid w:val="00963E4F"/>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C77"/>
    <w:rsid w:val="00992ECB"/>
    <w:rsid w:val="00993439"/>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A5D"/>
    <w:rsid w:val="009A2CCC"/>
    <w:rsid w:val="009A3384"/>
    <w:rsid w:val="009A4473"/>
    <w:rsid w:val="009A4A8F"/>
    <w:rsid w:val="009A50ED"/>
    <w:rsid w:val="009A50F8"/>
    <w:rsid w:val="009A6AFC"/>
    <w:rsid w:val="009A6C62"/>
    <w:rsid w:val="009A7236"/>
    <w:rsid w:val="009B14E3"/>
    <w:rsid w:val="009B1686"/>
    <w:rsid w:val="009B1BC4"/>
    <w:rsid w:val="009B2A9E"/>
    <w:rsid w:val="009B3E20"/>
    <w:rsid w:val="009B5CE3"/>
    <w:rsid w:val="009B5FAE"/>
    <w:rsid w:val="009B6455"/>
    <w:rsid w:val="009B6854"/>
    <w:rsid w:val="009C0168"/>
    <w:rsid w:val="009C075B"/>
    <w:rsid w:val="009C19B6"/>
    <w:rsid w:val="009C221F"/>
    <w:rsid w:val="009C3C02"/>
    <w:rsid w:val="009C523C"/>
    <w:rsid w:val="009C55DA"/>
    <w:rsid w:val="009C56CA"/>
    <w:rsid w:val="009C658F"/>
    <w:rsid w:val="009C6DEC"/>
    <w:rsid w:val="009C743B"/>
    <w:rsid w:val="009C765E"/>
    <w:rsid w:val="009C7978"/>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005"/>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6CE"/>
    <w:rsid w:val="00A04D3A"/>
    <w:rsid w:val="00A04EEA"/>
    <w:rsid w:val="00A0527B"/>
    <w:rsid w:val="00A058F4"/>
    <w:rsid w:val="00A05C7D"/>
    <w:rsid w:val="00A07681"/>
    <w:rsid w:val="00A07BB8"/>
    <w:rsid w:val="00A10706"/>
    <w:rsid w:val="00A11B0F"/>
    <w:rsid w:val="00A1354C"/>
    <w:rsid w:val="00A13553"/>
    <w:rsid w:val="00A13687"/>
    <w:rsid w:val="00A13D05"/>
    <w:rsid w:val="00A14479"/>
    <w:rsid w:val="00A14E6C"/>
    <w:rsid w:val="00A157BB"/>
    <w:rsid w:val="00A1596B"/>
    <w:rsid w:val="00A15E91"/>
    <w:rsid w:val="00A1641D"/>
    <w:rsid w:val="00A17001"/>
    <w:rsid w:val="00A1720E"/>
    <w:rsid w:val="00A174B0"/>
    <w:rsid w:val="00A175C1"/>
    <w:rsid w:val="00A20643"/>
    <w:rsid w:val="00A20CB0"/>
    <w:rsid w:val="00A22077"/>
    <w:rsid w:val="00A22B6C"/>
    <w:rsid w:val="00A23C43"/>
    <w:rsid w:val="00A240B6"/>
    <w:rsid w:val="00A2467A"/>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02E"/>
    <w:rsid w:val="00A561BA"/>
    <w:rsid w:val="00A56D80"/>
    <w:rsid w:val="00A571C6"/>
    <w:rsid w:val="00A57785"/>
    <w:rsid w:val="00A57D88"/>
    <w:rsid w:val="00A60E82"/>
    <w:rsid w:val="00A62904"/>
    <w:rsid w:val="00A633AC"/>
    <w:rsid w:val="00A63788"/>
    <w:rsid w:val="00A64D5F"/>
    <w:rsid w:val="00A65521"/>
    <w:rsid w:val="00A6590C"/>
    <w:rsid w:val="00A65D03"/>
    <w:rsid w:val="00A66E4F"/>
    <w:rsid w:val="00A6764B"/>
    <w:rsid w:val="00A7079B"/>
    <w:rsid w:val="00A70D8D"/>
    <w:rsid w:val="00A70E9D"/>
    <w:rsid w:val="00A71510"/>
    <w:rsid w:val="00A7195C"/>
    <w:rsid w:val="00A72540"/>
    <w:rsid w:val="00A73255"/>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457F"/>
    <w:rsid w:val="00A95A34"/>
    <w:rsid w:val="00A95D91"/>
    <w:rsid w:val="00A9683D"/>
    <w:rsid w:val="00A97578"/>
    <w:rsid w:val="00AA01F5"/>
    <w:rsid w:val="00AA0A60"/>
    <w:rsid w:val="00AA1456"/>
    <w:rsid w:val="00AA17F2"/>
    <w:rsid w:val="00AA19AC"/>
    <w:rsid w:val="00AA1D73"/>
    <w:rsid w:val="00AA213A"/>
    <w:rsid w:val="00AA26DE"/>
    <w:rsid w:val="00AA2C4D"/>
    <w:rsid w:val="00AA2D1A"/>
    <w:rsid w:val="00AA3244"/>
    <w:rsid w:val="00AA339B"/>
    <w:rsid w:val="00AA348E"/>
    <w:rsid w:val="00AA4178"/>
    <w:rsid w:val="00AA459B"/>
    <w:rsid w:val="00AA5378"/>
    <w:rsid w:val="00AA5A62"/>
    <w:rsid w:val="00AA6A18"/>
    <w:rsid w:val="00AA6A51"/>
    <w:rsid w:val="00AA7468"/>
    <w:rsid w:val="00AA7E95"/>
    <w:rsid w:val="00AB0B6A"/>
    <w:rsid w:val="00AB0EA4"/>
    <w:rsid w:val="00AB12CA"/>
    <w:rsid w:val="00AB18E5"/>
    <w:rsid w:val="00AB1C41"/>
    <w:rsid w:val="00AB1D13"/>
    <w:rsid w:val="00AB28A7"/>
    <w:rsid w:val="00AB2B18"/>
    <w:rsid w:val="00AB2FA2"/>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3E8"/>
    <w:rsid w:val="00AE1B9C"/>
    <w:rsid w:val="00AE239E"/>
    <w:rsid w:val="00AE3335"/>
    <w:rsid w:val="00AE3BD4"/>
    <w:rsid w:val="00AE48CB"/>
    <w:rsid w:val="00AE4901"/>
    <w:rsid w:val="00AE4A52"/>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7120"/>
    <w:rsid w:val="00AF739C"/>
    <w:rsid w:val="00AF763D"/>
    <w:rsid w:val="00AF7D58"/>
    <w:rsid w:val="00AF7F45"/>
    <w:rsid w:val="00B0044C"/>
    <w:rsid w:val="00B00746"/>
    <w:rsid w:val="00B01B1E"/>
    <w:rsid w:val="00B01EF4"/>
    <w:rsid w:val="00B02116"/>
    <w:rsid w:val="00B03583"/>
    <w:rsid w:val="00B03A09"/>
    <w:rsid w:val="00B05D51"/>
    <w:rsid w:val="00B061D7"/>
    <w:rsid w:val="00B06218"/>
    <w:rsid w:val="00B068B5"/>
    <w:rsid w:val="00B06EAF"/>
    <w:rsid w:val="00B07247"/>
    <w:rsid w:val="00B0725E"/>
    <w:rsid w:val="00B10E72"/>
    <w:rsid w:val="00B111E7"/>
    <w:rsid w:val="00B11C49"/>
    <w:rsid w:val="00B12ED1"/>
    <w:rsid w:val="00B13219"/>
    <w:rsid w:val="00B1372E"/>
    <w:rsid w:val="00B13B00"/>
    <w:rsid w:val="00B13DAE"/>
    <w:rsid w:val="00B14CBD"/>
    <w:rsid w:val="00B1553B"/>
    <w:rsid w:val="00B17038"/>
    <w:rsid w:val="00B17ACC"/>
    <w:rsid w:val="00B17BDC"/>
    <w:rsid w:val="00B20592"/>
    <w:rsid w:val="00B20979"/>
    <w:rsid w:val="00B20B23"/>
    <w:rsid w:val="00B22000"/>
    <w:rsid w:val="00B2230C"/>
    <w:rsid w:val="00B23A1B"/>
    <w:rsid w:val="00B2414A"/>
    <w:rsid w:val="00B24424"/>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0B"/>
    <w:rsid w:val="00B43E5B"/>
    <w:rsid w:val="00B442E5"/>
    <w:rsid w:val="00B459E4"/>
    <w:rsid w:val="00B45D67"/>
    <w:rsid w:val="00B46D78"/>
    <w:rsid w:val="00B47DE9"/>
    <w:rsid w:val="00B504EC"/>
    <w:rsid w:val="00B515E2"/>
    <w:rsid w:val="00B51C81"/>
    <w:rsid w:val="00B5208C"/>
    <w:rsid w:val="00B523C8"/>
    <w:rsid w:val="00B53318"/>
    <w:rsid w:val="00B53490"/>
    <w:rsid w:val="00B53777"/>
    <w:rsid w:val="00B53B4A"/>
    <w:rsid w:val="00B53DD8"/>
    <w:rsid w:val="00B5433B"/>
    <w:rsid w:val="00B54A5B"/>
    <w:rsid w:val="00B55443"/>
    <w:rsid w:val="00B56518"/>
    <w:rsid w:val="00B56DBB"/>
    <w:rsid w:val="00B57151"/>
    <w:rsid w:val="00B575A8"/>
    <w:rsid w:val="00B57E32"/>
    <w:rsid w:val="00B60825"/>
    <w:rsid w:val="00B6165B"/>
    <w:rsid w:val="00B61745"/>
    <w:rsid w:val="00B61809"/>
    <w:rsid w:val="00B61894"/>
    <w:rsid w:val="00B61F3B"/>
    <w:rsid w:val="00B61F6C"/>
    <w:rsid w:val="00B62187"/>
    <w:rsid w:val="00B629B6"/>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1324"/>
    <w:rsid w:val="00B81572"/>
    <w:rsid w:val="00B82209"/>
    <w:rsid w:val="00B8250D"/>
    <w:rsid w:val="00B837E2"/>
    <w:rsid w:val="00B840BC"/>
    <w:rsid w:val="00B8528A"/>
    <w:rsid w:val="00B8543B"/>
    <w:rsid w:val="00B85634"/>
    <w:rsid w:val="00B85984"/>
    <w:rsid w:val="00B86E46"/>
    <w:rsid w:val="00B8790F"/>
    <w:rsid w:val="00B879F3"/>
    <w:rsid w:val="00B87B27"/>
    <w:rsid w:val="00B87BA0"/>
    <w:rsid w:val="00B903CF"/>
    <w:rsid w:val="00B904AE"/>
    <w:rsid w:val="00B90595"/>
    <w:rsid w:val="00B90D1D"/>
    <w:rsid w:val="00B91E1A"/>
    <w:rsid w:val="00B91F83"/>
    <w:rsid w:val="00B9228A"/>
    <w:rsid w:val="00B92798"/>
    <w:rsid w:val="00B93ACD"/>
    <w:rsid w:val="00B94D4B"/>
    <w:rsid w:val="00B958E6"/>
    <w:rsid w:val="00B962F1"/>
    <w:rsid w:val="00B96A91"/>
    <w:rsid w:val="00B9780D"/>
    <w:rsid w:val="00B97869"/>
    <w:rsid w:val="00BA1A01"/>
    <w:rsid w:val="00BA1A65"/>
    <w:rsid w:val="00BA2477"/>
    <w:rsid w:val="00BA29ED"/>
    <w:rsid w:val="00BA3E74"/>
    <w:rsid w:val="00BA4A33"/>
    <w:rsid w:val="00BA4B26"/>
    <w:rsid w:val="00BA554A"/>
    <w:rsid w:val="00BA767B"/>
    <w:rsid w:val="00BA7835"/>
    <w:rsid w:val="00BB024C"/>
    <w:rsid w:val="00BB0480"/>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D0F4A"/>
    <w:rsid w:val="00BD10B8"/>
    <w:rsid w:val="00BD28CE"/>
    <w:rsid w:val="00BD33DA"/>
    <w:rsid w:val="00BD3629"/>
    <w:rsid w:val="00BD3814"/>
    <w:rsid w:val="00BD3C4E"/>
    <w:rsid w:val="00BD3D51"/>
    <w:rsid w:val="00BD417E"/>
    <w:rsid w:val="00BD5988"/>
    <w:rsid w:val="00BD6311"/>
    <w:rsid w:val="00BD6E6E"/>
    <w:rsid w:val="00BD736C"/>
    <w:rsid w:val="00BD7AE1"/>
    <w:rsid w:val="00BD7D68"/>
    <w:rsid w:val="00BE0857"/>
    <w:rsid w:val="00BE0B3F"/>
    <w:rsid w:val="00BE1489"/>
    <w:rsid w:val="00BE15CE"/>
    <w:rsid w:val="00BE2E12"/>
    <w:rsid w:val="00BE3255"/>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33D"/>
    <w:rsid w:val="00C04A8F"/>
    <w:rsid w:val="00C04F78"/>
    <w:rsid w:val="00C0504C"/>
    <w:rsid w:val="00C05F52"/>
    <w:rsid w:val="00C06D72"/>
    <w:rsid w:val="00C06DE9"/>
    <w:rsid w:val="00C06E05"/>
    <w:rsid w:val="00C07AAF"/>
    <w:rsid w:val="00C07F83"/>
    <w:rsid w:val="00C1016A"/>
    <w:rsid w:val="00C101F7"/>
    <w:rsid w:val="00C10708"/>
    <w:rsid w:val="00C12239"/>
    <w:rsid w:val="00C12FD6"/>
    <w:rsid w:val="00C13004"/>
    <w:rsid w:val="00C13ED9"/>
    <w:rsid w:val="00C14C47"/>
    <w:rsid w:val="00C1562B"/>
    <w:rsid w:val="00C15967"/>
    <w:rsid w:val="00C15B0F"/>
    <w:rsid w:val="00C15ED4"/>
    <w:rsid w:val="00C16736"/>
    <w:rsid w:val="00C16D99"/>
    <w:rsid w:val="00C1757F"/>
    <w:rsid w:val="00C17CD7"/>
    <w:rsid w:val="00C20904"/>
    <w:rsid w:val="00C20A6F"/>
    <w:rsid w:val="00C222EE"/>
    <w:rsid w:val="00C223B4"/>
    <w:rsid w:val="00C22CC5"/>
    <w:rsid w:val="00C22FE4"/>
    <w:rsid w:val="00C236CC"/>
    <w:rsid w:val="00C23900"/>
    <w:rsid w:val="00C23BCB"/>
    <w:rsid w:val="00C2423E"/>
    <w:rsid w:val="00C2470C"/>
    <w:rsid w:val="00C24C93"/>
    <w:rsid w:val="00C25AE2"/>
    <w:rsid w:val="00C25BA7"/>
    <w:rsid w:val="00C262FD"/>
    <w:rsid w:val="00C266C0"/>
    <w:rsid w:val="00C27124"/>
    <w:rsid w:val="00C2722A"/>
    <w:rsid w:val="00C27CE7"/>
    <w:rsid w:val="00C30AAA"/>
    <w:rsid w:val="00C30F3D"/>
    <w:rsid w:val="00C31840"/>
    <w:rsid w:val="00C31D36"/>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811"/>
    <w:rsid w:val="00C46FF0"/>
    <w:rsid w:val="00C50283"/>
    <w:rsid w:val="00C5086F"/>
    <w:rsid w:val="00C50BD7"/>
    <w:rsid w:val="00C51129"/>
    <w:rsid w:val="00C51983"/>
    <w:rsid w:val="00C51F0C"/>
    <w:rsid w:val="00C52B21"/>
    <w:rsid w:val="00C5348F"/>
    <w:rsid w:val="00C53975"/>
    <w:rsid w:val="00C53BEE"/>
    <w:rsid w:val="00C53D60"/>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9F7"/>
    <w:rsid w:val="00C76E31"/>
    <w:rsid w:val="00C76EC4"/>
    <w:rsid w:val="00C76FDD"/>
    <w:rsid w:val="00C7754A"/>
    <w:rsid w:val="00C77F91"/>
    <w:rsid w:val="00C813C9"/>
    <w:rsid w:val="00C8158A"/>
    <w:rsid w:val="00C81E42"/>
    <w:rsid w:val="00C8228D"/>
    <w:rsid w:val="00C824F3"/>
    <w:rsid w:val="00C82F94"/>
    <w:rsid w:val="00C832B4"/>
    <w:rsid w:val="00C837CF"/>
    <w:rsid w:val="00C84480"/>
    <w:rsid w:val="00C84677"/>
    <w:rsid w:val="00C8493C"/>
    <w:rsid w:val="00C84C29"/>
    <w:rsid w:val="00C84D21"/>
    <w:rsid w:val="00C850BB"/>
    <w:rsid w:val="00C8566A"/>
    <w:rsid w:val="00C864DC"/>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2BDC"/>
    <w:rsid w:val="00CA346A"/>
    <w:rsid w:val="00CA3A0E"/>
    <w:rsid w:val="00CA3E01"/>
    <w:rsid w:val="00CA5A87"/>
    <w:rsid w:val="00CA692C"/>
    <w:rsid w:val="00CA6A04"/>
    <w:rsid w:val="00CB02E8"/>
    <w:rsid w:val="00CB10F0"/>
    <w:rsid w:val="00CB2358"/>
    <w:rsid w:val="00CB2A6A"/>
    <w:rsid w:val="00CB2ABB"/>
    <w:rsid w:val="00CB3239"/>
    <w:rsid w:val="00CB3620"/>
    <w:rsid w:val="00CB38A3"/>
    <w:rsid w:val="00CB38B1"/>
    <w:rsid w:val="00CB4C80"/>
    <w:rsid w:val="00CB5121"/>
    <w:rsid w:val="00CB5573"/>
    <w:rsid w:val="00CB5D3D"/>
    <w:rsid w:val="00CB6E0A"/>
    <w:rsid w:val="00CB791D"/>
    <w:rsid w:val="00CB796F"/>
    <w:rsid w:val="00CB79AC"/>
    <w:rsid w:val="00CC02FE"/>
    <w:rsid w:val="00CC0441"/>
    <w:rsid w:val="00CC0724"/>
    <w:rsid w:val="00CC109C"/>
    <w:rsid w:val="00CC228D"/>
    <w:rsid w:val="00CC22A2"/>
    <w:rsid w:val="00CC2C4F"/>
    <w:rsid w:val="00CC30BE"/>
    <w:rsid w:val="00CC3352"/>
    <w:rsid w:val="00CC3B73"/>
    <w:rsid w:val="00CC3C86"/>
    <w:rsid w:val="00CC4B83"/>
    <w:rsid w:val="00CC4EBB"/>
    <w:rsid w:val="00CC549A"/>
    <w:rsid w:val="00CD004B"/>
    <w:rsid w:val="00CD00ED"/>
    <w:rsid w:val="00CD0461"/>
    <w:rsid w:val="00CD1D90"/>
    <w:rsid w:val="00CD2F7A"/>
    <w:rsid w:val="00CD32C4"/>
    <w:rsid w:val="00CD3625"/>
    <w:rsid w:val="00CD41AF"/>
    <w:rsid w:val="00CD443C"/>
    <w:rsid w:val="00CD483D"/>
    <w:rsid w:val="00CD48AE"/>
    <w:rsid w:val="00CD612E"/>
    <w:rsid w:val="00CD6CB1"/>
    <w:rsid w:val="00CD7CFC"/>
    <w:rsid w:val="00CD7EC8"/>
    <w:rsid w:val="00CE0712"/>
    <w:rsid w:val="00CE1035"/>
    <w:rsid w:val="00CE23EB"/>
    <w:rsid w:val="00CE2DF7"/>
    <w:rsid w:val="00CE2EBF"/>
    <w:rsid w:val="00CE3B6B"/>
    <w:rsid w:val="00CE4428"/>
    <w:rsid w:val="00CE45DE"/>
    <w:rsid w:val="00CE4627"/>
    <w:rsid w:val="00CE4672"/>
    <w:rsid w:val="00CE493A"/>
    <w:rsid w:val="00CE4BD6"/>
    <w:rsid w:val="00CE4DAD"/>
    <w:rsid w:val="00CE5396"/>
    <w:rsid w:val="00CE61F4"/>
    <w:rsid w:val="00CE6E6C"/>
    <w:rsid w:val="00CF0787"/>
    <w:rsid w:val="00CF0C8F"/>
    <w:rsid w:val="00CF123B"/>
    <w:rsid w:val="00CF1375"/>
    <w:rsid w:val="00CF1C75"/>
    <w:rsid w:val="00CF1D59"/>
    <w:rsid w:val="00CF28CB"/>
    <w:rsid w:val="00CF2ADE"/>
    <w:rsid w:val="00CF2B39"/>
    <w:rsid w:val="00CF35C1"/>
    <w:rsid w:val="00CF3D08"/>
    <w:rsid w:val="00CF4CF2"/>
    <w:rsid w:val="00CF4D4A"/>
    <w:rsid w:val="00CF4F84"/>
    <w:rsid w:val="00CF555D"/>
    <w:rsid w:val="00CF659C"/>
    <w:rsid w:val="00CF7AD0"/>
    <w:rsid w:val="00D01321"/>
    <w:rsid w:val="00D02007"/>
    <w:rsid w:val="00D02D4D"/>
    <w:rsid w:val="00D03084"/>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5AB9"/>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09F"/>
    <w:rsid w:val="00D265BE"/>
    <w:rsid w:val="00D274D2"/>
    <w:rsid w:val="00D27593"/>
    <w:rsid w:val="00D27D16"/>
    <w:rsid w:val="00D3160B"/>
    <w:rsid w:val="00D31807"/>
    <w:rsid w:val="00D321B3"/>
    <w:rsid w:val="00D3220D"/>
    <w:rsid w:val="00D3344F"/>
    <w:rsid w:val="00D33516"/>
    <w:rsid w:val="00D33B07"/>
    <w:rsid w:val="00D33CA7"/>
    <w:rsid w:val="00D344A1"/>
    <w:rsid w:val="00D34B7D"/>
    <w:rsid w:val="00D3586A"/>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406C"/>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5312"/>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7B3"/>
    <w:rsid w:val="00D85AAA"/>
    <w:rsid w:val="00D85BA3"/>
    <w:rsid w:val="00D86119"/>
    <w:rsid w:val="00D8638E"/>
    <w:rsid w:val="00D86AC6"/>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C01"/>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0C8D"/>
    <w:rsid w:val="00DC1260"/>
    <w:rsid w:val="00DC1B06"/>
    <w:rsid w:val="00DC1B28"/>
    <w:rsid w:val="00DC2627"/>
    <w:rsid w:val="00DC298E"/>
    <w:rsid w:val="00DC2D40"/>
    <w:rsid w:val="00DC3032"/>
    <w:rsid w:val="00DC42CC"/>
    <w:rsid w:val="00DC4D6B"/>
    <w:rsid w:val="00DC503E"/>
    <w:rsid w:val="00DC5A33"/>
    <w:rsid w:val="00DC69E4"/>
    <w:rsid w:val="00DC6AC6"/>
    <w:rsid w:val="00DC7216"/>
    <w:rsid w:val="00DC7F7A"/>
    <w:rsid w:val="00DD1856"/>
    <w:rsid w:val="00DD254E"/>
    <w:rsid w:val="00DD2AF9"/>
    <w:rsid w:val="00DD4277"/>
    <w:rsid w:val="00DD4640"/>
    <w:rsid w:val="00DD48BC"/>
    <w:rsid w:val="00DD5AAB"/>
    <w:rsid w:val="00DD5BA3"/>
    <w:rsid w:val="00DD64CE"/>
    <w:rsid w:val="00DD6C06"/>
    <w:rsid w:val="00DD6D04"/>
    <w:rsid w:val="00DD6DB6"/>
    <w:rsid w:val="00DD6F65"/>
    <w:rsid w:val="00DE1FE5"/>
    <w:rsid w:val="00DE23AC"/>
    <w:rsid w:val="00DE277F"/>
    <w:rsid w:val="00DE302B"/>
    <w:rsid w:val="00DE34DC"/>
    <w:rsid w:val="00DE3751"/>
    <w:rsid w:val="00DE3D14"/>
    <w:rsid w:val="00DE3D87"/>
    <w:rsid w:val="00DE492C"/>
    <w:rsid w:val="00DE4BC3"/>
    <w:rsid w:val="00DE55BF"/>
    <w:rsid w:val="00DE5F49"/>
    <w:rsid w:val="00DE6559"/>
    <w:rsid w:val="00DF0465"/>
    <w:rsid w:val="00DF13DA"/>
    <w:rsid w:val="00DF29B5"/>
    <w:rsid w:val="00DF2DCB"/>
    <w:rsid w:val="00DF38B0"/>
    <w:rsid w:val="00DF4BC2"/>
    <w:rsid w:val="00DF4CEE"/>
    <w:rsid w:val="00DF4EA9"/>
    <w:rsid w:val="00DF4ED4"/>
    <w:rsid w:val="00DF5150"/>
    <w:rsid w:val="00DF5568"/>
    <w:rsid w:val="00DF5A21"/>
    <w:rsid w:val="00DF5DC7"/>
    <w:rsid w:val="00DF6261"/>
    <w:rsid w:val="00DF649C"/>
    <w:rsid w:val="00DF650A"/>
    <w:rsid w:val="00DF6B7C"/>
    <w:rsid w:val="00DF6B96"/>
    <w:rsid w:val="00DF6FDA"/>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A3A"/>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D36"/>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4C6F"/>
    <w:rsid w:val="00E55C2E"/>
    <w:rsid w:val="00E56A4A"/>
    <w:rsid w:val="00E579C9"/>
    <w:rsid w:val="00E579CF"/>
    <w:rsid w:val="00E61057"/>
    <w:rsid w:val="00E610BB"/>
    <w:rsid w:val="00E619A0"/>
    <w:rsid w:val="00E61CCB"/>
    <w:rsid w:val="00E6238C"/>
    <w:rsid w:val="00E643A3"/>
    <w:rsid w:val="00E651DD"/>
    <w:rsid w:val="00E65A31"/>
    <w:rsid w:val="00E65D20"/>
    <w:rsid w:val="00E66BA5"/>
    <w:rsid w:val="00E66F0D"/>
    <w:rsid w:val="00E703E8"/>
    <w:rsid w:val="00E709AB"/>
    <w:rsid w:val="00E71224"/>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39FC"/>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B0935"/>
    <w:rsid w:val="00EB0B33"/>
    <w:rsid w:val="00EB170F"/>
    <w:rsid w:val="00EB18EF"/>
    <w:rsid w:val="00EB18F8"/>
    <w:rsid w:val="00EB208B"/>
    <w:rsid w:val="00EB22E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5D4B"/>
    <w:rsid w:val="00EE63F1"/>
    <w:rsid w:val="00EE694B"/>
    <w:rsid w:val="00EE69AF"/>
    <w:rsid w:val="00EF0345"/>
    <w:rsid w:val="00EF099E"/>
    <w:rsid w:val="00EF14C1"/>
    <w:rsid w:val="00EF1BE6"/>
    <w:rsid w:val="00EF1D78"/>
    <w:rsid w:val="00EF2941"/>
    <w:rsid w:val="00EF4040"/>
    <w:rsid w:val="00EF49AB"/>
    <w:rsid w:val="00EF5B65"/>
    <w:rsid w:val="00EF5C4A"/>
    <w:rsid w:val="00EF60C5"/>
    <w:rsid w:val="00EF66B3"/>
    <w:rsid w:val="00EF66B7"/>
    <w:rsid w:val="00EF6DA3"/>
    <w:rsid w:val="00EF6ECF"/>
    <w:rsid w:val="00EF7621"/>
    <w:rsid w:val="00EF7DC4"/>
    <w:rsid w:val="00EF7E0E"/>
    <w:rsid w:val="00EF7F92"/>
    <w:rsid w:val="00F01AC3"/>
    <w:rsid w:val="00F01D53"/>
    <w:rsid w:val="00F01E57"/>
    <w:rsid w:val="00F02767"/>
    <w:rsid w:val="00F027BA"/>
    <w:rsid w:val="00F0317E"/>
    <w:rsid w:val="00F03483"/>
    <w:rsid w:val="00F038BC"/>
    <w:rsid w:val="00F03921"/>
    <w:rsid w:val="00F03A25"/>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5E"/>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81A"/>
    <w:rsid w:val="00F57B8E"/>
    <w:rsid w:val="00F60438"/>
    <w:rsid w:val="00F60DB0"/>
    <w:rsid w:val="00F61041"/>
    <w:rsid w:val="00F61799"/>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0F3"/>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8D7"/>
    <w:rsid w:val="00FB5F72"/>
    <w:rsid w:val="00FB623E"/>
    <w:rsid w:val="00FB6A6F"/>
    <w:rsid w:val="00FB6D17"/>
    <w:rsid w:val="00FB6FA0"/>
    <w:rsid w:val="00FB7B32"/>
    <w:rsid w:val="00FC0C8D"/>
    <w:rsid w:val="00FC13C8"/>
    <w:rsid w:val="00FC22CE"/>
    <w:rsid w:val="00FC2607"/>
    <w:rsid w:val="00FC2E4E"/>
    <w:rsid w:val="00FC3332"/>
    <w:rsid w:val="00FC3B53"/>
    <w:rsid w:val="00FC3BCE"/>
    <w:rsid w:val="00FC45F3"/>
    <w:rsid w:val="00FC5360"/>
    <w:rsid w:val="00FC5EE3"/>
    <w:rsid w:val="00FC74B0"/>
    <w:rsid w:val="00FC7802"/>
    <w:rsid w:val="00FD13E0"/>
    <w:rsid w:val="00FD1A20"/>
    <w:rsid w:val="00FD1CBE"/>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2E7B"/>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15:docId w15:val="{1DD68D50-5429-436A-BF88-F3A357BE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paragraph" w:styleId="Heading2">
    <w:name w:val="heading 2"/>
    <w:basedOn w:val="Normal"/>
    <w:next w:val="Normal"/>
    <w:link w:val="Heading2Char"/>
    <w:semiHidden/>
    <w:unhideWhenUsed/>
    <w:qFormat/>
    <w:rsid w:val="00467A59"/>
    <w:pPr>
      <w:keepNext/>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 w:type="paragraph" w:customStyle="1" w:styleId="2-SectionHeading">
    <w:name w:val="2-Section Heading"/>
    <w:uiPriority w:val="99"/>
    <w:qFormat/>
    <w:rsid w:val="003537C7"/>
    <w:pPr>
      <w:keepNext/>
      <w:numPr>
        <w:numId w:val="24"/>
      </w:numPr>
      <w:spacing w:before="240" w:after="120"/>
      <w:ind w:hanging="36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537C7"/>
    <w:pPr>
      <w:keepLines w:val="0"/>
      <w:numPr>
        <w:ilvl w:val="1"/>
        <w:numId w:val="2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3537C7"/>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537C7"/>
  </w:style>
  <w:style w:type="character" w:customStyle="1" w:styleId="BodyTextChar">
    <w:name w:val="Body Text Char"/>
    <w:basedOn w:val="DefaultParagraphFont"/>
    <w:link w:val="BodyText"/>
    <w:semiHidden/>
    <w:rsid w:val="003537C7"/>
  </w:style>
  <w:style w:type="table" w:customStyle="1" w:styleId="PSTable">
    <w:name w:val="PS Table"/>
    <w:basedOn w:val="MediumGrid3-Accent5"/>
    <w:uiPriority w:val="99"/>
    <w:rsid w:val="00D344A1"/>
    <w:rPr>
      <w:rFonts w:eastAsia="Calibri"/>
      <w:color w:val="000000"/>
    </w:rPr>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rPr>
        <w:cantSplit w:val="0"/>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rPr>
        <w:cantSplit w:val="0"/>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2"/>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D344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HeadingUnnum2">
    <w:name w:val="Heading Unnum 2"/>
    <w:basedOn w:val="Heading2"/>
    <w:next w:val="BodyText"/>
    <w:link w:val="HeadingUnnum2Char"/>
    <w:qFormat/>
    <w:rsid w:val="00467A59"/>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467A59"/>
    <w:rPr>
      <w:rFonts w:asciiTheme="majorHAnsi" w:eastAsiaTheme="majorEastAsia" w:hAnsiTheme="majorHAnsi" w:cstheme="majorBidi"/>
      <w:b/>
      <w:color w:val="000000" w:themeColor="text1"/>
      <w:sz w:val="24"/>
      <w:szCs w:val="26"/>
      <w:lang w:val="en-US" w:eastAsia="en-US"/>
    </w:rPr>
  </w:style>
  <w:style w:type="table" w:customStyle="1" w:styleId="DIBR-Table">
    <w:name w:val="DIBR-Table"/>
    <w:basedOn w:val="TableGrid"/>
    <w:uiPriority w:val="99"/>
    <w:rsid w:val="00467A59"/>
    <w:pPr>
      <w:keepLines w:val="0"/>
      <w:spacing w:before="60" w:after="60"/>
      <w:jc w:val="left"/>
    </w:pPr>
    <w:rPr>
      <w:rFonts w:eastAsiaTheme="minorHAnsi" w:cstheme="minorBidi"/>
      <w:szCs w:val="22"/>
      <w:lang w:val="en-US" w:eastAsia="en-US"/>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467A59"/>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467A59"/>
    <w:rPr>
      <w:rFonts w:eastAsiaTheme="minorHAnsi" w:cstheme="minorBidi"/>
      <w:sz w:val="22"/>
      <w:szCs w:val="22"/>
      <w:lang w:val="en-US" w:eastAsia="en-US"/>
    </w:rPr>
  </w:style>
  <w:style w:type="character" w:customStyle="1" w:styleId="Heading2Char">
    <w:name w:val="Heading 2 Char"/>
    <w:basedOn w:val="DefaultParagraphFont"/>
    <w:link w:val="Heading2"/>
    <w:semiHidden/>
    <w:rsid w:val="00467A59"/>
    <w:rPr>
      <w:rFonts w:asciiTheme="majorHAnsi" w:eastAsiaTheme="majorEastAsia" w:hAnsiTheme="majorHAnsi" w:cstheme="majorBidi"/>
      <w:color w:val="365F91" w:themeColor="accent1" w:themeShade="BF"/>
      <w:sz w:val="26"/>
      <w:szCs w:val="26"/>
    </w:rPr>
  </w:style>
  <w:style w:type="paragraph" w:customStyle="1" w:styleId="PSTableHeader">
    <w:name w:val="PS Table Header"/>
    <w:link w:val="PSTableHeaderChar"/>
    <w:autoRedefine/>
    <w:qFormat/>
    <w:rsid w:val="00EF5B65"/>
    <w:pPr>
      <w:spacing w:before="60"/>
      <w:ind w:left="-62"/>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EF5B65"/>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EF5B65"/>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EF5B65"/>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12481972">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267666568">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55688141">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7130588">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1770311">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477065017">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3508978">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71226003">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5</cp:revision>
  <dcterms:created xsi:type="dcterms:W3CDTF">2025-04-23T00:53:00Z</dcterms:created>
  <dcterms:modified xsi:type="dcterms:W3CDTF">2025-04-29T01:27:00Z</dcterms:modified>
</cp:coreProperties>
</file>