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40ED" w14:textId="77777777" w:rsidR="00FC4A77" w:rsidRDefault="00FC4A77" w:rsidP="00FC4A77">
      <w:pPr>
        <w:jc w:val="center"/>
        <w:rPr>
          <w:b/>
          <w:caps/>
          <w:szCs w:val="22"/>
          <w:u w:val="single"/>
          <w:lang w:bidi="ar-SA"/>
        </w:rPr>
      </w:pPr>
      <w:r>
        <w:rPr>
          <w:b/>
          <w:caps/>
          <w:u w:val="single"/>
        </w:rPr>
        <w:t>Explanatory Statement</w:t>
      </w:r>
    </w:p>
    <w:p w14:paraId="7C537985" w14:textId="77777777" w:rsidR="00FC4A77" w:rsidRDefault="00FC4A77" w:rsidP="00FC4A77"/>
    <w:p w14:paraId="2969D0B7" w14:textId="77777777" w:rsidR="00FC4A77" w:rsidRDefault="00FC4A77" w:rsidP="00FC4A77">
      <w:pPr>
        <w:shd w:val="clear" w:color="auto" w:fill="FFFFFF"/>
        <w:spacing w:after="200" w:line="253" w:lineRule="atLeast"/>
        <w:jc w:val="center"/>
        <w:rPr>
          <w:rFonts w:cs="Arial"/>
          <w:color w:val="000000"/>
          <w:lang w:eastAsia="en-GB"/>
        </w:rPr>
      </w:pPr>
      <w:r>
        <w:rPr>
          <w:rFonts w:cs="Arial"/>
          <w:i/>
          <w:iCs/>
          <w:color w:val="000000"/>
          <w:lang w:val="en-AU" w:eastAsia="en-GB"/>
        </w:rPr>
        <w:t>Food Standards Australia New Zealand Act 1991</w:t>
      </w:r>
    </w:p>
    <w:p w14:paraId="5B78B773" w14:textId="77777777" w:rsidR="00FC4A77" w:rsidRDefault="00FC4A77" w:rsidP="00FC4A77">
      <w:pPr>
        <w:jc w:val="center"/>
        <w:rPr>
          <w:rFonts w:cs="Arial"/>
          <w:b/>
          <w:bCs/>
          <w:i/>
          <w:iCs/>
        </w:rPr>
      </w:pPr>
      <w:bookmarkStart w:id="0" w:name="_Hlk123897590"/>
      <w:r w:rsidRPr="00D8156C">
        <w:rPr>
          <w:b/>
          <w:bCs/>
          <w:i/>
          <w:iCs/>
        </w:rPr>
        <w:t>Food Standards (</w:t>
      </w:r>
      <w:r w:rsidRPr="00132B35">
        <w:rPr>
          <w:b/>
          <w:bCs/>
          <w:i/>
          <w:iCs/>
        </w:rPr>
        <w:t>Proposal M102</w:t>
      </w:r>
      <w:r>
        <w:rPr>
          <w:b/>
          <w:bCs/>
          <w:i/>
          <w:iCs/>
        </w:rPr>
        <w:t>2</w:t>
      </w:r>
      <w:r w:rsidRPr="00132B35">
        <w:rPr>
          <w:b/>
          <w:bCs/>
          <w:i/>
          <w:iCs/>
        </w:rPr>
        <w:t xml:space="preserve"> – Maximum Residue Limits (202</w:t>
      </w:r>
      <w:r>
        <w:rPr>
          <w:b/>
          <w:bCs/>
          <w:i/>
          <w:iCs/>
        </w:rPr>
        <w:t>3</w:t>
      </w:r>
      <w:r w:rsidRPr="00132B35">
        <w:rPr>
          <w:b/>
          <w:bCs/>
          <w:i/>
          <w:iCs/>
        </w:rPr>
        <w:t>) – Schedule 20</w:t>
      </w:r>
      <w:r w:rsidRPr="00D8156C">
        <w:rPr>
          <w:b/>
          <w:bCs/>
          <w:i/>
          <w:iCs/>
        </w:rPr>
        <w:t xml:space="preserve">) </w:t>
      </w:r>
      <w:r w:rsidRPr="00D8156C">
        <w:rPr>
          <w:rFonts w:cs="Arial"/>
          <w:b/>
          <w:bCs/>
          <w:i/>
          <w:iCs/>
        </w:rPr>
        <w:t>Variation</w:t>
      </w:r>
      <w:bookmarkEnd w:id="0"/>
    </w:p>
    <w:p w14:paraId="41228EBE" w14:textId="77777777" w:rsidR="00FC4A77" w:rsidRPr="00AF7E9C" w:rsidRDefault="00FC4A77" w:rsidP="00FC4A77">
      <w:pPr>
        <w:jc w:val="center"/>
        <w:rPr>
          <w:rFonts w:eastAsiaTheme="minorHAnsi" w:cs="Arial"/>
          <w:b/>
          <w:bCs/>
          <w:i/>
          <w:iCs/>
        </w:rPr>
      </w:pPr>
    </w:p>
    <w:p w14:paraId="65CAF24D" w14:textId="77777777" w:rsidR="00FC4A77" w:rsidRPr="000576EB" w:rsidRDefault="00FC4A77" w:rsidP="00FC4A77">
      <w:pPr>
        <w:rPr>
          <w:b/>
          <w:lang w:val="en-AU" w:eastAsia="en-GB" w:bidi="ar-SA"/>
        </w:rPr>
      </w:pPr>
      <w:r w:rsidRPr="000576EB">
        <w:rPr>
          <w:b/>
          <w:lang w:val="en-AU" w:eastAsia="en-GB" w:bidi="ar-SA"/>
        </w:rPr>
        <w:t>1.</w:t>
      </w:r>
      <w:r w:rsidRPr="000576EB">
        <w:rPr>
          <w:b/>
          <w:lang w:val="en-AU" w:eastAsia="en-GB" w:bidi="ar-SA"/>
        </w:rPr>
        <w:tab/>
        <w:t>Authority</w:t>
      </w:r>
    </w:p>
    <w:p w14:paraId="35BE67AA" w14:textId="77777777" w:rsidR="00FC4A77" w:rsidRDefault="00FC4A77" w:rsidP="00FC4A77">
      <w:pPr>
        <w:rPr>
          <w:lang w:val="en-AU" w:eastAsia="en-GB" w:bidi="ar-SA"/>
        </w:rPr>
      </w:pPr>
    </w:p>
    <w:p w14:paraId="649BA99D" w14:textId="77777777" w:rsidR="00FC4A77" w:rsidRPr="00D13E34" w:rsidRDefault="00FC4A77" w:rsidP="00FC4A77">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42C6E977" w14:textId="77777777" w:rsidR="00FC4A77" w:rsidRPr="00D13E34" w:rsidRDefault="00FC4A77" w:rsidP="00FC4A77">
      <w:pPr>
        <w:widowControl/>
        <w:autoSpaceDE w:val="0"/>
        <w:autoSpaceDN w:val="0"/>
        <w:adjustRightInd w:val="0"/>
        <w:rPr>
          <w:rFonts w:eastAsia="Calibri" w:cs="Arial"/>
          <w:bCs/>
          <w:szCs w:val="22"/>
          <w:lang w:val="en-AU" w:bidi="ar-SA"/>
        </w:rPr>
      </w:pPr>
    </w:p>
    <w:p w14:paraId="63F7569D" w14:textId="77777777" w:rsidR="00FC4A77" w:rsidRPr="002727F9" w:rsidRDefault="00FC4A77" w:rsidP="00FC4A77">
      <w:pPr>
        <w:widowControl/>
        <w:autoSpaceDE w:val="0"/>
        <w:autoSpaceDN w:val="0"/>
        <w:adjustRightInd w:val="0"/>
        <w:rPr>
          <w:rFonts w:eastAsia="Calibri" w:cs="Arial"/>
          <w:bCs/>
          <w:szCs w:val="22"/>
          <w:lang w:val="en-AU" w:bidi="ar-SA"/>
        </w:rPr>
      </w:pPr>
      <w:r w:rsidRPr="002727F9">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22C2C3D1" w14:textId="77777777" w:rsidR="00FC4A77" w:rsidRPr="002727F9" w:rsidRDefault="00FC4A77" w:rsidP="00FC4A77">
      <w:pPr>
        <w:widowControl/>
        <w:autoSpaceDE w:val="0"/>
        <w:autoSpaceDN w:val="0"/>
        <w:adjustRightInd w:val="0"/>
        <w:rPr>
          <w:rFonts w:eastAsia="Calibri" w:cs="Arial"/>
          <w:bCs/>
          <w:szCs w:val="22"/>
          <w:lang w:val="en-AU" w:bidi="ar-SA"/>
        </w:rPr>
      </w:pPr>
    </w:p>
    <w:p w14:paraId="24DEE94B" w14:textId="77777777" w:rsidR="00FC4A77" w:rsidRDefault="00FC4A77" w:rsidP="00FC4A77">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2727F9">
        <w:rPr>
          <w:rFonts w:eastAsia="Calibri" w:cs="Arial"/>
          <w:bCs/>
          <w:szCs w:val="22"/>
          <w:lang w:val="en-AU" w:bidi="ar-SA"/>
        </w:rPr>
        <w:t xml:space="preserve"> prepared Proposal M102</w:t>
      </w:r>
      <w:r>
        <w:rPr>
          <w:rFonts w:eastAsia="Calibri" w:cs="Arial"/>
          <w:bCs/>
          <w:szCs w:val="22"/>
          <w:lang w:val="en-AU" w:bidi="ar-SA"/>
        </w:rPr>
        <w:t>2</w:t>
      </w:r>
      <w:r w:rsidRPr="002727F9">
        <w:rPr>
          <w:rFonts w:eastAsia="Calibri" w:cs="Arial"/>
          <w:bCs/>
          <w:szCs w:val="22"/>
          <w:lang w:val="en-AU" w:bidi="ar-SA"/>
        </w:rPr>
        <w:t xml:space="preserve"> to </w:t>
      </w:r>
      <w:r>
        <w:rPr>
          <w:rFonts w:eastAsia="Calibri" w:cs="Arial"/>
          <w:bCs/>
          <w:szCs w:val="22"/>
          <w:lang w:val="en-AU" w:bidi="ar-SA"/>
        </w:rPr>
        <w:t>propose</w:t>
      </w:r>
      <w:r w:rsidRPr="002727F9">
        <w:rPr>
          <w:rFonts w:eastAsia="Calibri" w:cs="Arial"/>
          <w:bCs/>
          <w:szCs w:val="22"/>
          <w:lang w:val="en-AU" w:bidi="ar-SA"/>
        </w:rPr>
        <w:t xml:space="preserve"> </w:t>
      </w:r>
      <w:r>
        <w:rPr>
          <w:rFonts w:eastAsia="Calibri" w:cs="Arial"/>
          <w:bCs/>
          <w:szCs w:val="22"/>
          <w:lang w:val="en-AU" w:bidi="ar-SA"/>
        </w:rPr>
        <w:t xml:space="preserve">certain amendments in Schedule 20 of the Code, which are related to </w:t>
      </w:r>
      <w:r w:rsidRPr="002727F9">
        <w:rPr>
          <w:rFonts w:eastAsia="Calibri" w:cs="Arial"/>
          <w:bCs/>
          <w:szCs w:val="22"/>
          <w:lang w:val="en-AU" w:bidi="ar-SA"/>
        </w:rPr>
        <w:t xml:space="preserve">maximum residue limits (MRLs) for residues of specific agricultural and veterinary (agvet) chemicals that may occur in food. The Authority considered the Proposal in accordance with Division 2 of Part 3 and has </w:t>
      </w:r>
      <w:r>
        <w:rPr>
          <w:rFonts w:eastAsia="Calibri" w:cs="Arial"/>
          <w:bCs/>
          <w:szCs w:val="22"/>
          <w:lang w:val="en-AU" w:bidi="ar-SA"/>
        </w:rPr>
        <w:t>approved</w:t>
      </w:r>
      <w:r w:rsidRPr="002727F9">
        <w:rPr>
          <w:rFonts w:eastAsia="Calibri" w:cs="Arial"/>
          <w:bCs/>
          <w:szCs w:val="22"/>
          <w:lang w:val="en-AU" w:bidi="ar-SA"/>
        </w:rPr>
        <w:t xml:space="preserve"> </w:t>
      </w:r>
      <w:r>
        <w:rPr>
          <w:rFonts w:eastAsia="Calibri" w:cs="Arial"/>
          <w:bCs/>
          <w:szCs w:val="22"/>
          <w:lang w:val="en-AU" w:bidi="ar-SA"/>
        </w:rPr>
        <w:t>the</w:t>
      </w:r>
      <w:r w:rsidRPr="002727F9">
        <w:rPr>
          <w:rFonts w:eastAsia="Calibri" w:cs="Arial"/>
          <w:bCs/>
          <w:szCs w:val="22"/>
          <w:lang w:val="en-AU" w:bidi="ar-SA"/>
        </w:rPr>
        <w:t xml:space="preserve"> draft </w:t>
      </w:r>
      <w:r>
        <w:rPr>
          <w:rFonts w:eastAsia="Calibri" w:cs="Arial"/>
          <w:bCs/>
          <w:szCs w:val="22"/>
          <w:lang w:val="en-AU" w:bidi="ar-SA"/>
        </w:rPr>
        <w:t xml:space="preserve">variation – the </w:t>
      </w:r>
      <w:bookmarkStart w:id="1" w:name="_Hlk136514415"/>
      <w:bookmarkStart w:id="2" w:name="_Hlk136514459"/>
      <w:r w:rsidRPr="00790C1A">
        <w:rPr>
          <w:rFonts w:eastAsia="Calibri" w:cs="Arial"/>
          <w:bCs/>
          <w:i/>
          <w:iCs/>
          <w:szCs w:val="22"/>
          <w:lang w:val="en-AU" w:bidi="ar-SA"/>
        </w:rPr>
        <w:t>Food Standards (Proposal M102</w:t>
      </w:r>
      <w:r>
        <w:rPr>
          <w:rFonts w:eastAsia="Calibri" w:cs="Arial"/>
          <w:bCs/>
          <w:i/>
          <w:iCs/>
          <w:szCs w:val="22"/>
          <w:lang w:val="en-AU" w:bidi="ar-SA"/>
        </w:rPr>
        <w:t>2</w:t>
      </w:r>
      <w:r w:rsidRPr="00790C1A">
        <w:rPr>
          <w:rFonts w:eastAsia="Calibri" w:cs="Arial"/>
          <w:bCs/>
          <w:i/>
          <w:iCs/>
          <w:szCs w:val="22"/>
          <w:lang w:val="en-AU" w:bidi="ar-SA"/>
        </w:rPr>
        <w:t xml:space="preserve"> – Maximum Residue Limits (202</w:t>
      </w:r>
      <w:r>
        <w:rPr>
          <w:rFonts w:eastAsia="Calibri" w:cs="Arial"/>
          <w:bCs/>
          <w:i/>
          <w:iCs/>
          <w:szCs w:val="22"/>
          <w:lang w:val="en-AU" w:bidi="ar-SA"/>
        </w:rPr>
        <w:t>3</w:t>
      </w:r>
      <w:r w:rsidRPr="00790C1A">
        <w:rPr>
          <w:rFonts w:eastAsia="Calibri" w:cs="Arial"/>
          <w:bCs/>
          <w:i/>
          <w:iCs/>
          <w:szCs w:val="22"/>
          <w:lang w:val="en-AU" w:bidi="ar-SA"/>
        </w:rPr>
        <w:t>) – Schedule 2</w:t>
      </w:r>
      <w:r>
        <w:rPr>
          <w:rFonts w:eastAsia="Calibri" w:cs="Arial"/>
          <w:bCs/>
          <w:i/>
          <w:iCs/>
          <w:szCs w:val="22"/>
          <w:lang w:val="en-AU" w:bidi="ar-SA"/>
        </w:rPr>
        <w:t>0</w:t>
      </w:r>
      <w:r w:rsidRPr="00790C1A">
        <w:rPr>
          <w:rFonts w:eastAsia="Calibri" w:cs="Arial"/>
          <w:bCs/>
          <w:i/>
          <w:iCs/>
          <w:szCs w:val="22"/>
          <w:lang w:val="en-AU" w:bidi="ar-SA"/>
        </w:rPr>
        <w:t>) Variation</w:t>
      </w:r>
      <w:bookmarkEnd w:id="1"/>
      <w:bookmarkEnd w:id="2"/>
      <w:r>
        <w:rPr>
          <w:rFonts w:eastAsia="Calibri" w:cs="Arial"/>
          <w:bCs/>
          <w:szCs w:val="22"/>
          <w:lang w:val="en-AU" w:bidi="ar-SA"/>
        </w:rPr>
        <w:t>.</w:t>
      </w:r>
    </w:p>
    <w:p w14:paraId="16A896D9" w14:textId="77777777" w:rsidR="00FC4A77" w:rsidRDefault="00FC4A77" w:rsidP="00FC4A77">
      <w:pPr>
        <w:widowControl/>
        <w:autoSpaceDE w:val="0"/>
        <w:autoSpaceDN w:val="0"/>
        <w:adjustRightInd w:val="0"/>
        <w:rPr>
          <w:rFonts w:eastAsia="Calibri" w:cs="Arial"/>
          <w:bCs/>
          <w:szCs w:val="22"/>
          <w:lang w:val="en-AU" w:bidi="ar-SA"/>
        </w:rPr>
      </w:pPr>
    </w:p>
    <w:p w14:paraId="5CAFC9F0" w14:textId="77777777" w:rsidR="00FC4A77" w:rsidRDefault="00FC4A77" w:rsidP="00FC4A77">
      <w:pPr>
        <w:widowControl/>
        <w:autoSpaceDE w:val="0"/>
        <w:autoSpaceDN w:val="0"/>
        <w:adjustRightInd w:val="0"/>
        <w:rPr>
          <w:szCs w:val="22"/>
        </w:rPr>
      </w:pPr>
      <w:r>
        <w:rPr>
          <w:szCs w:val="22"/>
        </w:rPr>
        <w:t>This Explanatory Statement accompanies the approved variation.</w:t>
      </w:r>
    </w:p>
    <w:p w14:paraId="5EE2E47C" w14:textId="77777777" w:rsidR="00FC4A77" w:rsidRDefault="00FC4A77" w:rsidP="00FC4A77">
      <w:pPr>
        <w:widowControl/>
        <w:autoSpaceDE w:val="0"/>
        <w:autoSpaceDN w:val="0"/>
        <w:adjustRightInd w:val="0"/>
        <w:rPr>
          <w:szCs w:val="22"/>
        </w:rPr>
      </w:pPr>
    </w:p>
    <w:p w14:paraId="41646341" w14:textId="77777777" w:rsidR="00FC4A77" w:rsidRPr="00D13E34" w:rsidRDefault="00FC4A77" w:rsidP="00FC4A77">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w:t>
      </w:r>
      <w:r>
        <w:rPr>
          <w:rFonts w:eastAsia="Calibri" w:cs="Arial"/>
          <w:bCs/>
          <w:szCs w:val="22"/>
          <w:lang w:val="en-AU" w:bidi="ar-SA"/>
        </w:rPr>
        <w:t xml:space="preserve">draft </w:t>
      </w:r>
      <w:r w:rsidRPr="00360237">
        <w:rPr>
          <w:rFonts w:eastAsia="Calibri" w:cs="Arial"/>
          <w:bCs/>
          <w:szCs w:val="22"/>
          <w:lang w:val="en-AU" w:bidi="ar-SA"/>
        </w:rPr>
        <w:t xml:space="preserve">variation. </w:t>
      </w:r>
    </w:p>
    <w:p w14:paraId="43409845" w14:textId="77777777" w:rsidR="00FC4A77" w:rsidRPr="00D13E34" w:rsidRDefault="00FC4A77" w:rsidP="00FC4A77">
      <w:pPr>
        <w:widowControl/>
        <w:autoSpaceDE w:val="0"/>
        <w:autoSpaceDN w:val="0"/>
        <w:adjustRightInd w:val="0"/>
        <w:rPr>
          <w:rFonts w:eastAsia="Calibri" w:cs="Arial"/>
          <w:bCs/>
          <w:szCs w:val="22"/>
          <w:lang w:val="en-AU" w:bidi="ar-SA"/>
        </w:rPr>
      </w:pPr>
    </w:p>
    <w:p w14:paraId="201E58E0" w14:textId="77777777" w:rsidR="00FC4A77" w:rsidRDefault="00FC4A77" w:rsidP="00FC4A77">
      <w:pPr>
        <w:rPr>
          <w:b/>
          <w:lang w:val="en-AU" w:eastAsia="en-GB" w:bidi="ar-SA"/>
        </w:rPr>
      </w:pPr>
      <w:r>
        <w:rPr>
          <w:b/>
          <w:lang w:val="en-AU" w:eastAsia="en-GB" w:bidi="ar-SA"/>
        </w:rPr>
        <w:t xml:space="preserve">2. </w:t>
      </w:r>
      <w:r>
        <w:rPr>
          <w:b/>
          <w:lang w:val="en-AU" w:eastAsia="en-GB" w:bidi="ar-SA"/>
        </w:rPr>
        <w:tab/>
        <w:t>Variation will be a legislative instrument</w:t>
      </w:r>
    </w:p>
    <w:p w14:paraId="474439A1" w14:textId="77777777" w:rsidR="00FC4A77" w:rsidRPr="00AF7E9C" w:rsidRDefault="00FC4A77" w:rsidP="00FC4A77">
      <w:pPr>
        <w:rPr>
          <w:bCs/>
          <w:lang w:val="en-AU" w:eastAsia="en-GB" w:bidi="ar-SA"/>
        </w:rPr>
      </w:pPr>
    </w:p>
    <w:p w14:paraId="1F63AE6E" w14:textId="2C356232" w:rsidR="00FC4A77" w:rsidRPr="008531CC" w:rsidRDefault="00FC4A77" w:rsidP="00FC4A77">
      <w:pPr>
        <w:rPr>
          <w:rFonts w:cs="Arial"/>
          <w:szCs w:val="22"/>
          <w:lang w:bidi="ar-SA"/>
        </w:rPr>
      </w:pPr>
      <w:r>
        <w:rPr>
          <w:rFonts w:cs="Arial"/>
        </w:rPr>
        <w:t xml:space="preserve">The approved </w:t>
      </w:r>
      <w:r w:rsidRPr="008531CC">
        <w:rPr>
          <w:rFonts w:cs="Arial"/>
        </w:rPr>
        <w:t xml:space="preserve">draft variation </w:t>
      </w:r>
      <w:r>
        <w:rPr>
          <w:rFonts w:cs="Arial"/>
        </w:rPr>
        <w:t>is</w:t>
      </w:r>
      <w:r w:rsidRPr="008531CC">
        <w:rPr>
          <w:rFonts w:cs="Arial"/>
        </w:rPr>
        <w:t xml:space="preserve"> a legislative instrument for the purposes of the </w:t>
      </w:r>
      <w:r w:rsidRPr="008531CC">
        <w:rPr>
          <w:rFonts w:cs="Arial"/>
          <w:i/>
          <w:iCs/>
        </w:rPr>
        <w:t>Legislation Act 2003</w:t>
      </w:r>
      <w:r w:rsidRPr="008531CC">
        <w:rPr>
          <w:rFonts w:cs="Arial"/>
        </w:rPr>
        <w:t xml:space="preserve"> (see section 94 of the FSANZ Act) and </w:t>
      </w:r>
      <w:r>
        <w:rPr>
          <w:rFonts w:cs="Arial"/>
        </w:rPr>
        <w:t>be</w:t>
      </w:r>
      <w:r w:rsidRPr="008531CC">
        <w:rPr>
          <w:rFonts w:cs="Arial"/>
        </w:rPr>
        <w:t xml:space="preserve"> publicly available on the Federal Register of Legislation (</w:t>
      </w:r>
      <w:r w:rsidR="003A7F1A" w:rsidRPr="003A7F1A">
        <w:rPr>
          <w:rFonts w:cs="Arial"/>
        </w:rPr>
        <w:t>www.lawmaking.gov.au</w:t>
      </w:r>
      <w:r w:rsidRPr="008531CC">
        <w:rPr>
          <w:rFonts w:cs="Arial"/>
        </w:rPr>
        <w:t>).</w:t>
      </w:r>
    </w:p>
    <w:p w14:paraId="4E277CBD" w14:textId="77777777" w:rsidR="00FC4A77" w:rsidRPr="008531CC" w:rsidRDefault="00FC4A77" w:rsidP="00FC4A77">
      <w:pPr>
        <w:rPr>
          <w:rFonts w:cs="Arial"/>
        </w:rPr>
      </w:pPr>
    </w:p>
    <w:p w14:paraId="5BE94323" w14:textId="77777777" w:rsidR="00FC4A77" w:rsidRPr="00AF7E9C" w:rsidRDefault="00FC4A77" w:rsidP="00FC4A77">
      <w:pPr>
        <w:rPr>
          <w:rFonts w:cs="Arial"/>
        </w:rPr>
      </w:pPr>
      <w:r>
        <w:rPr>
          <w:rFonts w:cs="Arial"/>
        </w:rPr>
        <w:t>T</w:t>
      </w:r>
      <w:r w:rsidRPr="008531CC">
        <w:rPr>
          <w:rFonts w:cs="Arial"/>
        </w:rPr>
        <w:t xml:space="preserve">his instrument </w:t>
      </w:r>
      <w:r>
        <w:rPr>
          <w:rFonts w:cs="Arial"/>
        </w:rPr>
        <w:t>is not</w:t>
      </w:r>
      <w:r w:rsidRPr="008531CC">
        <w:rPr>
          <w:rFonts w:cs="Arial"/>
        </w:rPr>
        <w:t xml:space="preserve"> subject to the disallowance or sunsetting provisions of the </w:t>
      </w:r>
      <w:r w:rsidRPr="008531CC">
        <w:rPr>
          <w:rFonts w:cs="Arial"/>
          <w:i/>
          <w:iCs/>
        </w:rPr>
        <w:t xml:space="preserve">Legislation Act 2003. </w:t>
      </w:r>
      <w:r w:rsidRPr="008531CC">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 xml:space="preserve">give effect to an international </w:t>
      </w:r>
      <w:r w:rsidRPr="00AF7E9C">
        <w:rPr>
          <w:rFonts w:cs="Arial"/>
        </w:rPr>
        <w:t>obligation of Australia.</w:t>
      </w:r>
    </w:p>
    <w:p w14:paraId="1EC185CF" w14:textId="77777777" w:rsidR="00FC4A77" w:rsidRPr="00AF7E9C" w:rsidRDefault="00FC4A77" w:rsidP="00FC4A77">
      <w:pPr>
        <w:rPr>
          <w:rFonts w:cs="Arial"/>
        </w:rPr>
      </w:pPr>
    </w:p>
    <w:p w14:paraId="013725DA" w14:textId="77777777" w:rsidR="00FC4A77" w:rsidRDefault="00FC4A77" w:rsidP="00FC4A77">
      <w:pPr>
        <w:rPr>
          <w:rFonts w:cs="Arial"/>
          <w:lang w:val="en-AU"/>
        </w:rPr>
      </w:pPr>
      <w:r w:rsidRPr="00AF7E9C">
        <w:rPr>
          <w:rFonts w:cs="Arial"/>
        </w:rPr>
        <w:t xml:space="preserve">The </w:t>
      </w:r>
      <w:r w:rsidRPr="00AF7E9C">
        <w:rPr>
          <w:rFonts w:cs="Arial"/>
          <w:lang w:val="en-AU"/>
        </w:rPr>
        <w:t>FSANZ Act</w:t>
      </w:r>
      <w:r w:rsidRPr="00AF7E9C">
        <w:rPr>
          <w:rFonts w:cs="Arial"/>
          <w:i/>
          <w:iCs/>
          <w:lang w:val="en-AU"/>
        </w:rPr>
        <w:t xml:space="preserve"> </w:t>
      </w:r>
      <w:r w:rsidRPr="00AF7E9C">
        <w:rPr>
          <w:rFonts w:cs="Arial"/>
          <w:lang w:val="en-AU"/>
        </w:rPr>
        <w:t xml:space="preserve">gives effect to </w:t>
      </w:r>
      <w:r w:rsidRPr="00AF7E9C">
        <w:rPr>
          <w:rFonts w:cs="Arial"/>
        </w:rPr>
        <w:t>an intergovernmental agreement (the Food Regulation Agreement</w:t>
      </w:r>
      <w:r w:rsidRPr="00FB45C7">
        <w:rPr>
          <w:rFonts w:cs="Arial"/>
        </w:rPr>
        <w:t xml:space="preserve">) and facilitates the establishment or operation of an intergovernmental scheme (national uniform food regulation). </w:t>
      </w:r>
      <w:r>
        <w:rPr>
          <w:rFonts w:cs="Arial"/>
          <w:lang w:val="en-AU"/>
        </w:rPr>
        <w:t>The FSANZ</w:t>
      </w:r>
      <w:r w:rsidRPr="00FB45C7">
        <w:rPr>
          <w:rFonts w:cs="Arial"/>
          <w:lang w:val="en-AU"/>
        </w:rPr>
        <w:t xml:space="preserve">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t>international agreement between Australia and New Zealand</w:t>
      </w:r>
      <w:r>
        <w:rPr>
          <w:rFonts w:cs="Arial"/>
        </w:rPr>
        <w:t xml:space="preserve">; it </w:t>
      </w:r>
      <w:r w:rsidRPr="00FB45C7">
        <w:rPr>
          <w:rFonts w:cs="Arial"/>
        </w:rPr>
        <w:t xml:space="preserve">consists of New Zealand, Commonwealth and State/Territory members. If endorsed by the FMM, </w:t>
      </w:r>
      <w:r w:rsidRPr="00FB45C7">
        <w:rPr>
          <w:rFonts w:cs="Arial"/>
          <w:lang w:val="en-AU"/>
        </w:rPr>
        <w:t xml:space="preserve">the food </w:t>
      </w:r>
      <w:r w:rsidRPr="00FB45C7">
        <w:rPr>
          <w:rFonts w:cs="Arial"/>
          <w:lang w:val="en-AU"/>
        </w:rPr>
        <w:lastRenderedPageBreak/>
        <w:t>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3BB3D2E5" w14:textId="77777777" w:rsidR="00FC4A77" w:rsidRPr="00AF7E9C" w:rsidRDefault="00FC4A77" w:rsidP="00FC4A77">
      <w:pPr>
        <w:rPr>
          <w:bCs/>
          <w:lang w:val="en-AU" w:eastAsia="en-GB" w:bidi="ar-SA"/>
        </w:rPr>
      </w:pPr>
    </w:p>
    <w:p w14:paraId="7CAE6598" w14:textId="77777777" w:rsidR="00FC4A77" w:rsidRDefault="00FC4A77" w:rsidP="00FC4A77">
      <w:pPr>
        <w:rPr>
          <w:b/>
          <w:lang w:val="en-AU" w:eastAsia="en-GB" w:bidi="ar-SA"/>
        </w:rPr>
      </w:pPr>
      <w:r>
        <w:rPr>
          <w:b/>
          <w:lang w:val="en-AU" w:eastAsia="en-GB" w:bidi="ar-SA"/>
        </w:rPr>
        <w:t>3.</w:t>
      </w:r>
      <w:r>
        <w:rPr>
          <w:b/>
          <w:lang w:val="en-AU" w:eastAsia="en-GB" w:bidi="ar-SA"/>
        </w:rPr>
        <w:tab/>
        <w:t>Purpose</w:t>
      </w:r>
    </w:p>
    <w:p w14:paraId="497C6BAF" w14:textId="77777777" w:rsidR="00FC4A77" w:rsidRDefault="00FC4A77" w:rsidP="00FC4A77">
      <w:pPr>
        <w:rPr>
          <w:lang w:val="en-AU" w:eastAsia="en-GB" w:bidi="ar-SA"/>
        </w:rPr>
      </w:pPr>
    </w:p>
    <w:p w14:paraId="453BEEF7" w14:textId="77777777" w:rsidR="00FC4A77" w:rsidRDefault="00FC4A77" w:rsidP="00FC4A77">
      <w:pPr>
        <w:rPr>
          <w:rFonts w:eastAsia="Calibri" w:cs="Arial"/>
          <w:bCs/>
          <w:szCs w:val="22"/>
          <w:lang w:val="en-AU" w:bidi="ar-SA"/>
        </w:rPr>
      </w:pPr>
      <w:r>
        <w:rPr>
          <w:lang w:val="en-AU" w:eastAsia="en-GB" w:bidi="ar-SA"/>
        </w:rPr>
        <w:t xml:space="preserve">The Authority has approved </w:t>
      </w:r>
      <w:r w:rsidRPr="00337F8F">
        <w:rPr>
          <w:lang w:val="en-AU" w:eastAsia="en-GB" w:bidi="ar-SA"/>
        </w:rPr>
        <w:t xml:space="preserve">a draft variation to Schedule 20 to vary MRLs </w:t>
      </w:r>
      <w:r w:rsidRPr="002727F9">
        <w:rPr>
          <w:rFonts w:eastAsia="Calibri" w:cs="Arial"/>
          <w:bCs/>
          <w:szCs w:val="22"/>
          <w:lang w:val="en-AU" w:bidi="ar-SA"/>
        </w:rPr>
        <w:t>for residues of specific agvet chemicals that may occur in food commodities</w:t>
      </w:r>
      <w:r>
        <w:rPr>
          <w:rFonts w:eastAsia="Calibri" w:cs="Arial"/>
          <w:bCs/>
          <w:szCs w:val="22"/>
          <w:lang w:val="en-AU" w:bidi="ar-SA"/>
        </w:rPr>
        <w:t xml:space="preserve"> and to correct certain </w:t>
      </w:r>
      <w:r w:rsidRPr="00D03C61">
        <w:rPr>
          <w:lang w:bidi="ar-SA"/>
        </w:rPr>
        <w:t>typographical, formatting and transcription errors</w:t>
      </w:r>
      <w:r>
        <w:rPr>
          <w:lang w:bidi="ar-SA"/>
        </w:rPr>
        <w:t xml:space="preserve">, </w:t>
      </w:r>
      <w:r w:rsidRPr="00383192">
        <w:rPr>
          <w:lang w:bidi="ar-SA"/>
        </w:rPr>
        <w:t>updat</w:t>
      </w:r>
      <w:r>
        <w:rPr>
          <w:lang w:bidi="ar-SA"/>
        </w:rPr>
        <w:t xml:space="preserve">ing </w:t>
      </w:r>
      <w:r w:rsidRPr="00383192">
        <w:rPr>
          <w:lang w:bidi="ar-SA"/>
        </w:rPr>
        <w:t>commodity names and references to exceptions and correct</w:t>
      </w:r>
      <w:r>
        <w:rPr>
          <w:lang w:bidi="ar-SA"/>
        </w:rPr>
        <w:t>ing</w:t>
      </w:r>
      <w:r w:rsidRPr="00383192">
        <w:rPr>
          <w:lang w:bidi="ar-SA"/>
        </w:rPr>
        <w:t xml:space="preserve"> the alphabetical listing of commodities</w:t>
      </w:r>
      <w:r>
        <w:rPr>
          <w:lang w:bidi="ar-SA"/>
        </w:rPr>
        <w:t xml:space="preserve"> </w:t>
      </w:r>
      <w:r w:rsidRPr="00383192">
        <w:rPr>
          <w:lang w:bidi="ar-SA"/>
        </w:rPr>
        <w:t>for certain chemical entries</w:t>
      </w:r>
      <w:r w:rsidRPr="00D03C61">
        <w:rPr>
          <w:lang w:bidi="ar-SA"/>
        </w:rPr>
        <w:t xml:space="preserve"> in </w:t>
      </w:r>
      <w:r>
        <w:rPr>
          <w:rFonts w:eastAsia="Calibri" w:cs="Arial"/>
          <w:bCs/>
          <w:szCs w:val="22"/>
          <w:lang w:val="en-AU" w:bidi="ar-SA"/>
        </w:rPr>
        <w:t>Schedule 20.</w:t>
      </w:r>
    </w:p>
    <w:p w14:paraId="274B6421" w14:textId="77777777" w:rsidR="00FC4A77" w:rsidRDefault="00FC4A77" w:rsidP="00FC4A77">
      <w:pPr>
        <w:rPr>
          <w:rStyle w:val="CommentReference"/>
        </w:rPr>
      </w:pPr>
    </w:p>
    <w:p w14:paraId="124D1D22" w14:textId="77777777" w:rsidR="00FC4A77" w:rsidRPr="000576EB" w:rsidRDefault="00FC4A77" w:rsidP="00FC4A77">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33635E58" w14:textId="77777777" w:rsidR="00FC4A77" w:rsidRDefault="00FC4A77" w:rsidP="00FC4A77">
      <w:pPr>
        <w:rPr>
          <w:lang w:val="en-AU" w:eastAsia="en-GB" w:bidi="ar-SA"/>
        </w:rPr>
      </w:pPr>
    </w:p>
    <w:p w14:paraId="06272A44" w14:textId="77777777" w:rsidR="00FC4A77" w:rsidRPr="00EA162D" w:rsidRDefault="00FC4A77" w:rsidP="00FC4A77">
      <w:pPr>
        <w:widowControl/>
        <w:autoSpaceDE w:val="0"/>
        <w:autoSpaceDN w:val="0"/>
        <w:adjustRightInd w:val="0"/>
        <w:rPr>
          <w:rFonts w:eastAsia="Calibri" w:cs="Arial"/>
          <w:bCs/>
          <w:szCs w:val="22"/>
          <w:lang w:val="en-AU" w:bidi="ar-SA"/>
        </w:rPr>
      </w:pPr>
      <w:r w:rsidRPr="00EA162D">
        <w:rPr>
          <w:rFonts w:eastAsia="Calibri" w:cs="Arial"/>
          <w:bCs/>
          <w:szCs w:val="22"/>
          <w:lang w:val="en-AU" w:bidi="ar-SA"/>
        </w:rPr>
        <w:t xml:space="preserve">The </w:t>
      </w:r>
      <w:r>
        <w:rPr>
          <w:rFonts w:eastAsia="Calibri" w:cs="Arial"/>
          <w:bCs/>
          <w:szCs w:val="22"/>
          <w:lang w:val="en-AU" w:bidi="ar-SA"/>
        </w:rPr>
        <w:t>approved</w:t>
      </w:r>
      <w:r w:rsidRPr="00EA162D">
        <w:rPr>
          <w:rFonts w:eastAsia="Calibri" w:cs="Arial"/>
          <w:bCs/>
          <w:szCs w:val="22"/>
          <w:lang w:val="en-AU" w:bidi="ar-SA"/>
        </w:rPr>
        <w:t xml:space="preserve"> draft variation does not incorporate any documents by reference.</w:t>
      </w:r>
    </w:p>
    <w:p w14:paraId="278D3371" w14:textId="77777777" w:rsidR="00FC4A77" w:rsidRDefault="00FC4A77" w:rsidP="00FC4A77">
      <w:pPr>
        <w:rPr>
          <w:lang w:val="en-AU" w:eastAsia="en-GB" w:bidi="ar-SA"/>
        </w:rPr>
      </w:pPr>
    </w:p>
    <w:p w14:paraId="6EFB4D7D" w14:textId="77777777" w:rsidR="00FC4A77" w:rsidRPr="000576EB" w:rsidRDefault="00FC4A77" w:rsidP="00FC4A77">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39D8B3A4" w14:textId="77777777" w:rsidR="00FC4A77" w:rsidRDefault="00FC4A77" w:rsidP="00FC4A77">
      <w:pPr>
        <w:rPr>
          <w:lang w:val="en-AU" w:eastAsia="en-GB" w:bidi="ar-SA"/>
        </w:rPr>
      </w:pPr>
    </w:p>
    <w:p w14:paraId="49705E8A" w14:textId="77777777" w:rsidR="00FC4A77" w:rsidRPr="00AF7E9C" w:rsidRDefault="00FC4A77" w:rsidP="00FC4A77">
      <w:pPr>
        <w:rPr>
          <w:lang w:val="en-AU"/>
        </w:rPr>
      </w:pPr>
      <w:r w:rsidRPr="00AF7E9C">
        <w:rPr>
          <w:szCs w:val="22"/>
        </w:rPr>
        <w:t xml:space="preserve">In accordance with the procedure in Division 2 of Part 3 of the FSANZ Act, </w:t>
      </w:r>
      <w:r w:rsidRPr="00AF7E9C">
        <w:rPr>
          <w:rFonts w:eastAsia="Calibri" w:cs="Arial"/>
          <w:bCs/>
          <w:szCs w:val="22"/>
          <w:lang w:val="en-AU" w:bidi="ar-SA"/>
        </w:rPr>
        <w:t>the Authority</w:t>
      </w:r>
      <w:r w:rsidRPr="00AF7E9C">
        <w:rPr>
          <w:szCs w:val="22"/>
        </w:rPr>
        <w:t>’s consideration of Proposal M102</w:t>
      </w:r>
      <w:r>
        <w:rPr>
          <w:szCs w:val="22"/>
        </w:rPr>
        <w:t>2</w:t>
      </w:r>
      <w:r w:rsidRPr="00AF7E9C">
        <w:rPr>
          <w:szCs w:val="22"/>
        </w:rPr>
        <w:t xml:space="preserve"> includ</w:t>
      </w:r>
      <w:r>
        <w:rPr>
          <w:szCs w:val="22"/>
        </w:rPr>
        <w:t>ed</w:t>
      </w:r>
      <w:r w:rsidRPr="00AF7E9C">
        <w:rPr>
          <w:szCs w:val="22"/>
        </w:rPr>
        <w:t xml:space="preserve"> one round of public consultation following an assessment and the preparation of </w:t>
      </w:r>
      <w:r>
        <w:rPr>
          <w:szCs w:val="22"/>
        </w:rPr>
        <w:t xml:space="preserve">a </w:t>
      </w:r>
      <w:r w:rsidRPr="00AF7E9C">
        <w:rPr>
          <w:szCs w:val="22"/>
        </w:rPr>
        <w:t xml:space="preserve">draft </w:t>
      </w:r>
      <w:r>
        <w:rPr>
          <w:szCs w:val="22"/>
        </w:rPr>
        <w:t>variation</w:t>
      </w:r>
      <w:r w:rsidRPr="00AF7E9C">
        <w:rPr>
          <w:szCs w:val="22"/>
        </w:rPr>
        <w:t xml:space="preserve"> and associated assessment summary. </w:t>
      </w:r>
      <w:r w:rsidRPr="00204A6A">
        <w:rPr>
          <w:szCs w:val="22"/>
        </w:rPr>
        <w:t xml:space="preserve">Submissions were called for on 16 September 2024 for a </w:t>
      </w:r>
      <w:proofErr w:type="gramStart"/>
      <w:r w:rsidRPr="00204A6A">
        <w:rPr>
          <w:szCs w:val="22"/>
        </w:rPr>
        <w:t>6 week</w:t>
      </w:r>
      <w:proofErr w:type="gramEnd"/>
      <w:r w:rsidRPr="00204A6A">
        <w:rPr>
          <w:szCs w:val="22"/>
        </w:rPr>
        <w:t xml:space="preserve"> consultation period. </w:t>
      </w:r>
      <w:r w:rsidRPr="31C99B89">
        <w:rPr>
          <w:rFonts w:cs="Arial"/>
          <w:bdr w:val="none" w:sz="0" w:space="0" w:color="auto" w:frame="1"/>
          <w:shd w:val="clear" w:color="auto" w:fill="FFFFFF"/>
          <w:lang w:val="en-US"/>
        </w:rPr>
        <w:t>Further details of the consultation process, the issues raised during consultation and by whom, and the Authority’s response to these issues are available in an approval report published on the Authority’s website at </w:t>
      </w:r>
      <w:r w:rsidRPr="31C99B89">
        <w:rPr>
          <w:rFonts w:eastAsiaTheme="majorEastAsia" w:cs="Arial"/>
          <w:bdr w:val="none" w:sz="0" w:space="0" w:color="auto" w:frame="1"/>
          <w:shd w:val="clear" w:color="auto" w:fill="FFFFFF"/>
          <w:lang w:val="en-US"/>
        </w:rPr>
        <w:t>www.</w:t>
      </w:r>
      <w:r w:rsidRPr="31C99B89">
        <w:rPr>
          <w:rFonts w:eastAsiaTheme="majorEastAsia" w:cs="Arial"/>
          <w:bdr w:val="none" w:sz="0" w:space="0" w:color="auto" w:frame="1"/>
          <w:shd w:val="clear" w:color="auto" w:fill="FFFFFF"/>
        </w:rPr>
        <w:t>foodstandards.gov.au</w:t>
      </w:r>
      <w:r w:rsidRPr="31C99B89">
        <w:rPr>
          <w:rFonts w:cs="Arial"/>
          <w:bdr w:val="none" w:sz="0" w:space="0" w:color="auto" w:frame="1"/>
          <w:shd w:val="clear" w:color="auto" w:fill="FFFFFF"/>
        </w:rPr>
        <w:t>.</w:t>
      </w:r>
    </w:p>
    <w:p w14:paraId="76E7A44E" w14:textId="77777777" w:rsidR="00FC4A77" w:rsidRPr="00AF7E9C" w:rsidRDefault="00FC4A77" w:rsidP="00FC4A77"/>
    <w:p w14:paraId="2F972BD0" w14:textId="77777777" w:rsidR="00FC4A77" w:rsidRPr="005C686F" w:rsidRDefault="00FC4A77" w:rsidP="00FC4A77">
      <w:pPr>
        <w:widowControl/>
        <w:rPr>
          <w:rFonts w:ascii="Times New Roman" w:hAnsi="Times New Roman"/>
          <w:sz w:val="24"/>
          <w:lang w:eastAsia="en-AU" w:bidi="ar-SA"/>
        </w:rPr>
      </w:pPr>
      <w:r w:rsidRPr="005C686F">
        <w:rPr>
          <w:rFonts w:cs="Arial"/>
          <w:lang w:val="en-NZ"/>
        </w:rPr>
        <w:t>Changes have been made to the Impact Analysis requirements by the Office of Impact Analysis (OIA)</w:t>
      </w:r>
      <w:r w:rsidRPr="005C686F">
        <w:rPr>
          <w:rStyle w:val="FootnoteReference"/>
          <w:rFonts w:cs="Arial"/>
          <w:lang w:val="en-NZ"/>
        </w:rPr>
        <w:t xml:space="preserve"> </w:t>
      </w:r>
      <w:r w:rsidRPr="005C686F">
        <w:rPr>
          <w:rStyle w:val="FootnoteReference"/>
          <w:rFonts w:cs="Arial"/>
        </w:rPr>
        <w:footnoteReference w:customMarkFollows="1" w:id="1"/>
        <w:t>[1]</w:t>
      </w:r>
      <w:r w:rsidRPr="005C686F">
        <w:rPr>
          <w:rFonts w:cs="Arial"/>
          <w:lang w:val="en-NZ"/>
        </w:rPr>
        <w:t xml:space="preserve">. Impact analysis is no longer required to be finalised with the OIA. Prior to these changes, the OIA provided FSANZ with a standing exemption (ID 12065) from preparing a regulation impact statement for MRL proposals and applications, due to </w:t>
      </w:r>
      <w:r>
        <w:rPr>
          <w:rFonts w:cs="Arial"/>
          <w:lang w:val="en-NZ"/>
        </w:rPr>
        <w:t>these</w:t>
      </w:r>
      <w:r w:rsidRPr="005C686F">
        <w:rPr>
          <w:rFonts w:cs="Arial"/>
          <w:lang w:val="en-NZ"/>
        </w:rPr>
        <w:t xml:space="preserve"> being machinery in nature. Under the new approach, FSANZ’s assessment is that a regulatory impact statement is not required for this proposal.</w:t>
      </w:r>
      <w:r w:rsidRPr="005C686F">
        <w:rPr>
          <w:rFonts w:ascii="Times New Roman" w:hAnsi="Times New Roman"/>
          <w:sz w:val="24"/>
          <w:lang w:eastAsia="en-AU"/>
        </w:rPr>
        <w:t xml:space="preserve"> </w:t>
      </w:r>
    </w:p>
    <w:p w14:paraId="55789E8E" w14:textId="77777777" w:rsidR="00FC4A77" w:rsidRDefault="00FC4A77" w:rsidP="00FC4A77">
      <w:pPr>
        <w:widowControl/>
        <w:autoSpaceDE w:val="0"/>
        <w:autoSpaceDN w:val="0"/>
        <w:adjustRightInd w:val="0"/>
        <w:rPr>
          <w:szCs w:val="22"/>
        </w:rPr>
      </w:pPr>
    </w:p>
    <w:p w14:paraId="0F679F2E" w14:textId="77777777" w:rsidR="00FC4A77" w:rsidRDefault="00FC4A77" w:rsidP="00FC4A77">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15526947" w14:textId="77777777" w:rsidR="00FC4A77" w:rsidRDefault="00FC4A77" w:rsidP="00FC4A77">
      <w:pPr>
        <w:rPr>
          <w:rFonts w:eastAsiaTheme="minorHAnsi"/>
          <w:lang w:val="en-AU" w:bidi="ar-SA"/>
        </w:rPr>
      </w:pPr>
    </w:p>
    <w:p w14:paraId="159D79CD" w14:textId="77777777" w:rsidR="00FC4A77" w:rsidRDefault="00FC4A77" w:rsidP="00FC4A77">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273739">
        <w:rPr>
          <w:rFonts w:eastAsiaTheme="minorHAnsi"/>
          <w:i/>
          <w:iCs/>
          <w:lang w:val="en-AU" w:bidi="ar-SA"/>
        </w:rPr>
        <w:t>Legislation Act 2003</w:t>
      </w:r>
      <w:r>
        <w:rPr>
          <w:rFonts w:eastAsiaTheme="minorHAnsi"/>
          <w:lang w:val="en-AU" w:bidi="ar-SA"/>
        </w:rPr>
        <w:t>.</w:t>
      </w:r>
    </w:p>
    <w:p w14:paraId="55565901" w14:textId="77777777" w:rsidR="00FC4A77" w:rsidRDefault="00FC4A77" w:rsidP="00FC4A77">
      <w:pPr>
        <w:rPr>
          <w:rFonts w:eastAsiaTheme="minorHAnsi"/>
          <w:lang w:val="en-AU" w:bidi="ar-SA"/>
        </w:rPr>
      </w:pPr>
    </w:p>
    <w:p w14:paraId="6CA169A8" w14:textId="77777777" w:rsidR="00FC4A77" w:rsidRPr="00700239" w:rsidRDefault="00FC4A77" w:rsidP="00FC4A77">
      <w:pPr>
        <w:rPr>
          <w:b/>
          <w:lang w:val="en-AU" w:eastAsia="en-GB" w:bidi="ar-SA"/>
        </w:rPr>
      </w:pPr>
      <w:r w:rsidRPr="0020311A">
        <w:rPr>
          <w:b/>
        </w:rPr>
        <w:t>7.</w:t>
      </w:r>
      <w:r w:rsidRPr="0020311A">
        <w:rPr>
          <w:b/>
        </w:rPr>
        <w:tab/>
      </w:r>
      <w:r w:rsidRPr="0020311A">
        <w:rPr>
          <w:b/>
          <w:lang w:val="en-AU" w:eastAsia="en-GB" w:bidi="ar-SA"/>
        </w:rPr>
        <w:t>Variation</w:t>
      </w:r>
    </w:p>
    <w:p w14:paraId="075F3A43" w14:textId="77777777" w:rsidR="00FC4A77" w:rsidRDefault="00FC4A77" w:rsidP="00FC4A77">
      <w:pPr>
        <w:rPr>
          <w:bCs/>
        </w:rPr>
      </w:pPr>
    </w:p>
    <w:p w14:paraId="6B4AC2ED" w14:textId="77777777" w:rsidR="00FC4A77" w:rsidRDefault="00FC4A77" w:rsidP="00FC4A77">
      <w:pPr>
        <w:pStyle w:val="CommentText"/>
        <w:rPr>
          <w:sz w:val="22"/>
          <w:szCs w:val="22"/>
        </w:rPr>
      </w:pPr>
      <w:r w:rsidRPr="0044068A">
        <w:rPr>
          <w:sz w:val="22"/>
          <w:szCs w:val="22"/>
        </w:rPr>
        <w:t xml:space="preserve">Clause 1 </w:t>
      </w:r>
      <w:r>
        <w:rPr>
          <w:sz w:val="22"/>
          <w:szCs w:val="22"/>
        </w:rPr>
        <w:t xml:space="preserve">of the variation </w:t>
      </w:r>
      <w:r w:rsidRPr="0044068A">
        <w:rPr>
          <w:sz w:val="22"/>
          <w:szCs w:val="22"/>
        </w:rPr>
        <w:t xml:space="preserve">provides that the name of the variation is the </w:t>
      </w:r>
      <w:r w:rsidRPr="0044068A">
        <w:rPr>
          <w:i/>
          <w:sz w:val="22"/>
          <w:szCs w:val="22"/>
        </w:rPr>
        <w:t>Food Standards (Proposal M102</w:t>
      </w:r>
      <w:r>
        <w:rPr>
          <w:i/>
          <w:sz w:val="22"/>
          <w:szCs w:val="22"/>
        </w:rPr>
        <w:t>2</w:t>
      </w:r>
      <w:r w:rsidRPr="0044068A">
        <w:rPr>
          <w:i/>
          <w:sz w:val="22"/>
          <w:szCs w:val="22"/>
        </w:rPr>
        <w:t xml:space="preserve"> – Maximum Residue Limits (202</w:t>
      </w:r>
      <w:r>
        <w:rPr>
          <w:i/>
          <w:sz w:val="22"/>
          <w:szCs w:val="22"/>
        </w:rPr>
        <w:t>3</w:t>
      </w:r>
      <w:r w:rsidRPr="0044068A">
        <w:rPr>
          <w:i/>
          <w:sz w:val="22"/>
          <w:szCs w:val="22"/>
        </w:rPr>
        <w:t>)</w:t>
      </w:r>
      <w:r w:rsidRPr="0044068A">
        <w:rPr>
          <w:sz w:val="22"/>
          <w:szCs w:val="22"/>
        </w:rPr>
        <w:t xml:space="preserve"> – </w:t>
      </w:r>
      <w:r w:rsidRPr="0044068A">
        <w:rPr>
          <w:i/>
          <w:iCs/>
          <w:sz w:val="22"/>
          <w:szCs w:val="22"/>
        </w:rPr>
        <w:t>Schedule 20)</w:t>
      </w:r>
      <w:r w:rsidRPr="0044068A">
        <w:rPr>
          <w:sz w:val="22"/>
          <w:szCs w:val="22"/>
        </w:rPr>
        <w:t xml:space="preserve"> </w:t>
      </w:r>
      <w:r w:rsidRPr="00E961F5">
        <w:rPr>
          <w:i/>
          <w:iCs/>
          <w:sz w:val="22"/>
          <w:szCs w:val="22"/>
        </w:rPr>
        <w:t>Variation</w:t>
      </w:r>
      <w:r w:rsidRPr="0044068A">
        <w:rPr>
          <w:sz w:val="22"/>
          <w:szCs w:val="22"/>
        </w:rPr>
        <w:t>.</w:t>
      </w:r>
    </w:p>
    <w:p w14:paraId="2E24ECD8" w14:textId="77777777" w:rsidR="00FC4A77" w:rsidRPr="0044068A" w:rsidRDefault="00FC4A77" w:rsidP="00FC4A77">
      <w:pPr>
        <w:pStyle w:val="CommentText"/>
        <w:rPr>
          <w:sz w:val="22"/>
          <w:szCs w:val="22"/>
        </w:rPr>
      </w:pPr>
    </w:p>
    <w:p w14:paraId="599EDFED" w14:textId="77777777" w:rsidR="00FC4A77" w:rsidRDefault="00FC4A77" w:rsidP="00FC4A77">
      <w:pPr>
        <w:pStyle w:val="CommentText"/>
        <w:rPr>
          <w:sz w:val="22"/>
          <w:szCs w:val="22"/>
        </w:rPr>
      </w:pPr>
      <w:r w:rsidRPr="0044068A">
        <w:rPr>
          <w:sz w:val="22"/>
          <w:szCs w:val="22"/>
        </w:rPr>
        <w:t xml:space="preserve">Clause 2 </w:t>
      </w:r>
      <w:r>
        <w:rPr>
          <w:sz w:val="22"/>
          <w:szCs w:val="22"/>
        </w:rPr>
        <w:t xml:space="preserve">of the variation </w:t>
      </w:r>
      <w:r w:rsidRPr="0044068A">
        <w:rPr>
          <w:sz w:val="22"/>
          <w:szCs w:val="22"/>
        </w:rPr>
        <w:t>provides that the Code is amended by the Schedule to the variation.</w:t>
      </w:r>
    </w:p>
    <w:p w14:paraId="3F016F8C" w14:textId="77777777" w:rsidR="00FC4A77" w:rsidRPr="0044068A" w:rsidRDefault="00FC4A77" w:rsidP="00FC4A77">
      <w:pPr>
        <w:pStyle w:val="CommentText"/>
        <w:rPr>
          <w:sz w:val="22"/>
          <w:szCs w:val="22"/>
        </w:rPr>
      </w:pPr>
    </w:p>
    <w:p w14:paraId="35212FA4" w14:textId="77777777" w:rsidR="00FC4A77" w:rsidRPr="00FC57CF" w:rsidRDefault="00FC4A77" w:rsidP="00FC4A77">
      <w:pPr>
        <w:pStyle w:val="CommentText"/>
        <w:rPr>
          <w:sz w:val="22"/>
          <w:szCs w:val="22"/>
        </w:rPr>
      </w:pPr>
      <w:r w:rsidRPr="0044068A">
        <w:rPr>
          <w:sz w:val="22"/>
          <w:szCs w:val="22"/>
        </w:rPr>
        <w:t xml:space="preserve">Clause 3 </w:t>
      </w:r>
      <w:r>
        <w:rPr>
          <w:sz w:val="22"/>
          <w:szCs w:val="22"/>
        </w:rPr>
        <w:t xml:space="preserve">of the variation </w:t>
      </w:r>
      <w:r w:rsidRPr="0044068A">
        <w:rPr>
          <w:sz w:val="22"/>
          <w:szCs w:val="22"/>
        </w:rPr>
        <w:t>provides that the variation will commence on the date of gazettal of the instrument.</w:t>
      </w:r>
    </w:p>
    <w:p w14:paraId="552D81FD" w14:textId="77777777" w:rsidR="00FC4A77" w:rsidRDefault="00FC4A77" w:rsidP="00FC4A77">
      <w:pPr>
        <w:pStyle w:val="CommentText"/>
        <w:rPr>
          <w:rFonts w:eastAsia="Calibri" w:cs="Arial"/>
          <w:bCs/>
          <w:sz w:val="22"/>
          <w:szCs w:val="22"/>
          <w:lang w:val="en-AU" w:bidi="ar-SA"/>
        </w:rPr>
      </w:pPr>
    </w:p>
    <w:p w14:paraId="4DE0B7D4" w14:textId="77777777" w:rsidR="00FC4A77" w:rsidRDefault="00FC4A77" w:rsidP="00FC4A77">
      <w:pPr>
        <w:pStyle w:val="CommentText"/>
        <w:rPr>
          <w:rFonts w:eastAsia="Calibri" w:cs="Arial"/>
          <w:bCs/>
          <w:sz w:val="22"/>
          <w:szCs w:val="22"/>
          <w:lang w:val="en-AU" w:bidi="ar-SA"/>
        </w:rPr>
      </w:pPr>
      <w:r w:rsidRPr="00FC57CF">
        <w:rPr>
          <w:rFonts w:eastAsia="Calibri" w:cs="Arial"/>
          <w:bCs/>
          <w:sz w:val="22"/>
          <w:szCs w:val="22"/>
          <w:lang w:val="en-AU" w:bidi="ar-SA"/>
        </w:rPr>
        <w:t xml:space="preserve">Section S20—3 of the Code currently lists the MRLs for agvet chemicals which may occur in foods. If an MRL is not listed for a particular agvet chemical in that food, there must be no detectable residue of that chemical in that food. This general prohibition means that, in absence of the relevant MRL in the Code for a chemical, food may not be sold where there </w:t>
      </w:r>
      <w:r w:rsidRPr="00FC57CF">
        <w:rPr>
          <w:rFonts w:eastAsia="Calibri" w:cs="Arial"/>
          <w:bCs/>
          <w:sz w:val="22"/>
          <w:szCs w:val="22"/>
          <w:lang w:val="en-AU" w:bidi="ar-SA"/>
        </w:rPr>
        <w:lastRenderedPageBreak/>
        <w:t>are detectable residues of that chemical</w:t>
      </w:r>
      <w:r>
        <w:rPr>
          <w:rFonts w:eastAsia="Calibri" w:cs="Arial"/>
          <w:bCs/>
          <w:sz w:val="22"/>
          <w:szCs w:val="22"/>
          <w:lang w:val="en-AU" w:bidi="ar-SA"/>
        </w:rPr>
        <w:t>.</w:t>
      </w:r>
    </w:p>
    <w:p w14:paraId="40F90F97" w14:textId="77777777" w:rsidR="00FC4A77" w:rsidRDefault="00FC4A77" w:rsidP="00FC4A77"/>
    <w:p w14:paraId="2DD7E9F3" w14:textId="77777777" w:rsidR="00FC4A77" w:rsidRDefault="00FC4A77" w:rsidP="00FC4A77">
      <w:r>
        <w:rPr>
          <w:szCs w:val="22"/>
        </w:rPr>
        <w:t xml:space="preserve">MRLs in the draft variation are expressed as mg per kg. An asterisk (*) indicates that the MRL is set at the limit of determination for the relevant analytical method for the chemical and the symbol ‘T’ indicates that the MRL is a temporary MRL. </w:t>
      </w:r>
      <w:r w:rsidRPr="00871D9E">
        <w:rPr>
          <w:szCs w:val="22"/>
        </w:rPr>
        <w:t xml:space="preserve">This temporary categorisation enables further work to be carried out in Australia or overseas for reconsideration at some future date. It can also be used in Australia when an MRL is being phased out. Temporary MRLs are often established by the </w:t>
      </w:r>
      <w:proofErr w:type="gramStart"/>
      <w:r w:rsidRPr="00871D9E">
        <w:rPr>
          <w:szCs w:val="22"/>
        </w:rPr>
        <w:t>APVMA</w:t>
      </w:r>
      <w:proofErr w:type="gramEnd"/>
      <w:r w:rsidRPr="00871D9E">
        <w:rPr>
          <w:szCs w:val="22"/>
        </w:rPr>
        <w:t xml:space="preserve"> and their expiration periods can vary depending on the particular chemical.</w:t>
      </w:r>
    </w:p>
    <w:p w14:paraId="4F36DDCD" w14:textId="77777777" w:rsidR="00FC4A77" w:rsidRPr="00934E91" w:rsidRDefault="00FC4A77" w:rsidP="00FC4A77">
      <w:pPr>
        <w:pStyle w:val="CommentText"/>
        <w:rPr>
          <w:sz w:val="22"/>
          <w:szCs w:val="22"/>
        </w:rPr>
      </w:pPr>
    </w:p>
    <w:p w14:paraId="06E7E91A" w14:textId="77777777" w:rsidR="00FC4A77" w:rsidRPr="00934E91" w:rsidRDefault="00FC4A77" w:rsidP="00FC4A77">
      <w:pPr>
        <w:rPr>
          <w:rFonts w:cs="Arial"/>
          <w:szCs w:val="22"/>
        </w:rPr>
      </w:pPr>
      <w:r w:rsidRPr="00934E91">
        <w:rPr>
          <w:rFonts w:cs="Arial"/>
          <w:szCs w:val="22"/>
        </w:rPr>
        <w:t xml:space="preserve">Each item and subitem in the Schedule to the draft variation amends section S20—3 as follows. </w:t>
      </w:r>
    </w:p>
    <w:p w14:paraId="09E645F1" w14:textId="77777777" w:rsidR="00FC4A77" w:rsidRPr="00934E91" w:rsidRDefault="00FC4A77" w:rsidP="00FC4A77">
      <w:pPr>
        <w:rPr>
          <w:rFonts w:cs="Arial"/>
        </w:rPr>
      </w:pPr>
    </w:p>
    <w:p w14:paraId="6215EA91" w14:textId="77777777" w:rsidR="00FC4A77" w:rsidRPr="00934E91" w:rsidRDefault="00FC4A77" w:rsidP="00FC4A77">
      <w:pPr>
        <w:rPr>
          <w:rFonts w:cs="Arial"/>
          <w:b/>
          <w:bCs/>
        </w:rPr>
      </w:pPr>
      <w:bookmarkStart w:id="3" w:name="_Hlk173444699"/>
      <w:r w:rsidRPr="00934E91">
        <w:rPr>
          <w:rFonts w:cs="Arial"/>
          <w:b/>
          <w:bCs/>
        </w:rPr>
        <w:t>7.1</w:t>
      </w:r>
      <w:r w:rsidRPr="00934E91">
        <w:rPr>
          <w:rFonts w:cs="Arial"/>
          <w:b/>
          <w:bCs/>
        </w:rPr>
        <w:tab/>
        <w:t xml:space="preserve">Removing chemicals and all entries for those chemicals </w:t>
      </w:r>
    </w:p>
    <w:p w14:paraId="7DD4A978" w14:textId="77777777" w:rsidR="00FC4A77" w:rsidRPr="00934E91" w:rsidRDefault="00FC4A77" w:rsidP="00FC4A77">
      <w:pPr>
        <w:rPr>
          <w:rFonts w:cs="Arial"/>
        </w:rPr>
      </w:pPr>
    </w:p>
    <w:p w14:paraId="627656E7" w14:textId="77777777" w:rsidR="00FC4A77" w:rsidRPr="00934E91" w:rsidRDefault="00FC4A77" w:rsidP="00FC4A77">
      <w:r w:rsidRPr="00934E91">
        <w:rPr>
          <w:rFonts w:cs="Arial"/>
        </w:rPr>
        <w:t>Item [1] repeals the whole entry for the chemical: m</w:t>
      </w:r>
      <w:r w:rsidRPr="00934E91">
        <w:t>ethidathion.</w:t>
      </w:r>
    </w:p>
    <w:p w14:paraId="70F0D4ED" w14:textId="77777777" w:rsidR="00FC4A77" w:rsidRPr="00934E91" w:rsidRDefault="00FC4A77" w:rsidP="00FC4A77"/>
    <w:p w14:paraId="62256F59" w14:textId="77777777" w:rsidR="00FC4A77" w:rsidRPr="00934E91" w:rsidRDefault="00FC4A77" w:rsidP="00FC4A77">
      <w:pPr>
        <w:rPr>
          <w:rFonts w:cs="Arial"/>
        </w:rPr>
      </w:pPr>
      <w:r w:rsidRPr="00934E91">
        <w:rPr>
          <w:rFonts w:cs="Arial"/>
          <w:b/>
          <w:bCs/>
        </w:rPr>
        <w:t>7.2</w:t>
      </w:r>
      <w:r w:rsidRPr="00934E91">
        <w:rPr>
          <w:rFonts w:cs="Arial"/>
          <w:b/>
          <w:bCs/>
        </w:rPr>
        <w:tab/>
        <w:t>Adding new chemicals and associated entries</w:t>
      </w:r>
    </w:p>
    <w:p w14:paraId="512D8EDC" w14:textId="77777777" w:rsidR="00FC4A77" w:rsidRPr="00934E91" w:rsidRDefault="00FC4A77" w:rsidP="00FC4A77"/>
    <w:p w14:paraId="5BCE6C7B" w14:textId="77777777" w:rsidR="00FC4A77" w:rsidRPr="00934E91" w:rsidRDefault="00FC4A77" w:rsidP="00FC4A77">
      <w:r w:rsidRPr="00934E91">
        <w:rPr>
          <w:rFonts w:cs="Arial"/>
        </w:rPr>
        <w:t>Item [2] inserts, in alphabetical order, table entries for chemicals that are not currently listed in section S20—3. The new chemicals are</w:t>
      </w:r>
      <w:r w:rsidRPr="00934E91">
        <w:rPr>
          <w:bCs/>
          <w:shd w:val="clear" w:color="auto" w:fill="FFFFFF"/>
        </w:rPr>
        <w:t>: 1,4-dimethylnaphthalene, flufenoxuron and fluindapyr</w:t>
      </w:r>
      <w:r w:rsidRPr="00934E91">
        <w:t>.</w:t>
      </w:r>
    </w:p>
    <w:p w14:paraId="19248D5E" w14:textId="77777777" w:rsidR="00FC4A77" w:rsidRPr="00934E91" w:rsidRDefault="00FC4A77" w:rsidP="00FC4A77"/>
    <w:p w14:paraId="2A500B18" w14:textId="77777777" w:rsidR="00FC4A77" w:rsidRPr="00934E91" w:rsidRDefault="00FC4A77" w:rsidP="00FC4A77">
      <w:pPr>
        <w:rPr>
          <w:rFonts w:cs="Arial"/>
        </w:rPr>
      </w:pPr>
      <w:r w:rsidRPr="00934E91">
        <w:t xml:space="preserve">The new </w:t>
      </w:r>
      <w:r w:rsidRPr="00934E91">
        <w:rPr>
          <w:rFonts w:cs="Arial"/>
        </w:rPr>
        <w:t>table entries include the new chemical’s name, residue definition, food commodities and associated MRLs.</w:t>
      </w:r>
    </w:p>
    <w:bookmarkEnd w:id="3"/>
    <w:p w14:paraId="5BC6572F" w14:textId="77777777" w:rsidR="00FC4A77" w:rsidRPr="00934E91" w:rsidRDefault="00FC4A77" w:rsidP="00FC4A77">
      <w:pPr>
        <w:rPr>
          <w:rFonts w:cs="Arial"/>
        </w:rPr>
      </w:pPr>
    </w:p>
    <w:p w14:paraId="630B7A24" w14:textId="77777777" w:rsidR="00FC4A77" w:rsidRPr="00934E91" w:rsidRDefault="00FC4A77" w:rsidP="00FC4A77">
      <w:pPr>
        <w:rPr>
          <w:rFonts w:cs="Arial"/>
          <w:b/>
          <w:bCs/>
        </w:rPr>
      </w:pPr>
      <w:r w:rsidRPr="00934E91">
        <w:rPr>
          <w:rFonts w:cs="Arial"/>
          <w:b/>
          <w:bCs/>
        </w:rPr>
        <w:t>7.3</w:t>
      </w:r>
      <w:r w:rsidRPr="00934E91">
        <w:rPr>
          <w:rFonts w:cs="Arial"/>
          <w:b/>
          <w:bCs/>
        </w:rPr>
        <w:tab/>
        <w:t xml:space="preserve">Adding new food commodities and associated MRLs for listed chemicals </w:t>
      </w:r>
    </w:p>
    <w:p w14:paraId="4A59AFA3" w14:textId="77777777" w:rsidR="00FC4A77" w:rsidRPr="00934E91" w:rsidRDefault="00FC4A77" w:rsidP="00FC4A77">
      <w:pPr>
        <w:rPr>
          <w:rFonts w:cs="Arial"/>
        </w:rPr>
      </w:pPr>
    </w:p>
    <w:p w14:paraId="6DB3E404" w14:textId="77777777" w:rsidR="00FC4A77" w:rsidRPr="00934E91" w:rsidRDefault="00FC4A77" w:rsidP="00FC4A77">
      <w:pPr>
        <w:rPr>
          <w:rFonts w:cs="Arial"/>
        </w:rPr>
      </w:pPr>
      <w:r w:rsidRPr="00934E91">
        <w:rPr>
          <w:rFonts w:cs="Arial"/>
        </w:rPr>
        <w:t>The following items add new food commodities and associated MRLs into the table entries for the chemicals listed: Items [3], [4], [5], [8], [10], [13], [16], [20], [22], [26], [27], [28], [30], [32], [3</w:t>
      </w:r>
      <w:r>
        <w:rPr>
          <w:rFonts w:cs="Arial"/>
        </w:rPr>
        <w:t>5</w:t>
      </w:r>
      <w:r w:rsidRPr="00934E91">
        <w:rPr>
          <w:rFonts w:cs="Arial"/>
        </w:rPr>
        <w:t>], , [3</w:t>
      </w:r>
      <w:r>
        <w:rPr>
          <w:rFonts w:cs="Arial"/>
        </w:rPr>
        <w:t>7</w:t>
      </w:r>
      <w:r w:rsidRPr="00934E91">
        <w:rPr>
          <w:rFonts w:cs="Arial"/>
        </w:rPr>
        <w:t>],</w:t>
      </w:r>
      <w:r>
        <w:rPr>
          <w:rFonts w:cs="Arial"/>
        </w:rPr>
        <w:t xml:space="preserve"> [38], [39]</w:t>
      </w:r>
      <w:r w:rsidRPr="00934E91">
        <w:rPr>
          <w:rFonts w:cs="Arial"/>
        </w:rPr>
        <w:t xml:space="preserve"> [4</w:t>
      </w:r>
      <w:r>
        <w:rPr>
          <w:rFonts w:cs="Arial"/>
        </w:rPr>
        <w:t>5</w:t>
      </w:r>
      <w:r w:rsidRPr="00934E91">
        <w:rPr>
          <w:rFonts w:cs="Arial"/>
        </w:rPr>
        <w:t>], [4</w:t>
      </w:r>
      <w:r>
        <w:rPr>
          <w:rFonts w:cs="Arial"/>
        </w:rPr>
        <w:t>7</w:t>
      </w:r>
      <w:r w:rsidRPr="00934E91">
        <w:rPr>
          <w:rFonts w:cs="Arial"/>
        </w:rPr>
        <w:t>], [5</w:t>
      </w:r>
      <w:r>
        <w:rPr>
          <w:rFonts w:cs="Arial"/>
        </w:rPr>
        <w:t>0</w:t>
      </w:r>
      <w:r w:rsidRPr="00934E91">
        <w:rPr>
          <w:rFonts w:cs="Arial"/>
        </w:rPr>
        <w:t>], [5</w:t>
      </w:r>
      <w:r>
        <w:rPr>
          <w:rFonts w:cs="Arial"/>
        </w:rPr>
        <w:t>2</w:t>
      </w:r>
      <w:r w:rsidRPr="00934E91">
        <w:rPr>
          <w:rFonts w:cs="Arial"/>
        </w:rPr>
        <w:t>], [5</w:t>
      </w:r>
      <w:r>
        <w:rPr>
          <w:rFonts w:cs="Arial"/>
        </w:rPr>
        <w:t>4</w:t>
      </w:r>
      <w:r w:rsidRPr="00934E91">
        <w:rPr>
          <w:rFonts w:cs="Arial"/>
        </w:rPr>
        <w:t>], [5</w:t>
      </w:r>
      <w:r>
        <w:rPr>
          <w:rFonts w:cs="Arial"/>
        </w:rPr>
        <w:t>6</w:t>
      </w:r>
      <w:r w:rsidRPr="00934E91">
        <w:rPr>
          <w:rFonts w:cs="Arial"/>
        </w:rPr>
        <w:t>], [5</w:t>
      </w:r>
      <w:r>
        <w:rPr>
          <w:rFonts w:cs="Arial"/>
        </w:rPr>
        <w:t>7</w:t>
      </w:r>
      <w:r w:rsidRPr="00934E91">
        <w:rPr>
          <w:rFonts w:cs="Arial"/>
        </w:rPr>
        <w:t>], [5</w:t>
      </w:r>
      <w:r>
        <w:rPr>
          <w:rFonts w:cs="Arial"/>
        </w:rPr>
        <w:t>8</w:t>
      </w:r>
      <w:r w:rsidRPr="00934E91">
        <w:rPr>
          <w:rFonts w:cs="Arial"/>
        </w:rPr>
        <w:t>], [6</w:t>
      </w:r>
      <w:r>
        <w:rPr>
          <w:rFonts w:cs="Arial"/>
        </w:rPr>
        <w:t>1</w:t>
      </w:r>
      <w:r w:rsidRPr="00934E91">
        <w:rPr>
          <w:rFonts w:cs="Arial"/>
        </w:rPr>
        <w:t>], [</w:t>
      </w:r>
      <w:r>
        <w:rPr>
          <w:rFonts w:cs="Arial"/>
        </w:rPr>
        <w:t>69</w:t>
      </w:r>
      <w:r w:rsidRPr="00934E91">
        <w:rPr>
          <w:rFonts w:cs="Arial"/>
        </w:rPr>
        <w:t>], [7</w:t>
      </w:r>
      <w:r>
        <w:rPr>
          <w:rFonts w:cs="Arial"/>
        </w:rPr>
        <w:t>3</w:t>
      </w:r>
      <w:r w:rsidRPr="00934E91">
        <w:rPr>
          <w:rFonts w:cs="Arial"/>
        </w:rPr>
        <w:t>], [7</w:t>
      </w:r>
      <w:r>
        <w:rPr>
          <w:rFonts w:cs="Arial"/>
        </w:rPr>
        <w:t>4</w:t>
      </w:r>
      <w:r w:rsidRPr="00934E91">
        <w:rPr>
          <w:rFonts w:cs="Arial"/>
        </w:rPr>
        <w:t>], [7</w:t>
      </w:r>
      <w:r>
        <w:rPr>
          <w:rFonts w:cs="Arial"/>
        </w:rPr>
        <w:t>5</w:t>
      </w:r>
      <w:r w:rsidRPr="00934E91">
        <w:rPr>
          <w:rFonts w:cs="Arial"/>
        </w:rPr>
        <w:t>], [</w:t>
      </w:r>
      <w:r>
        <w:rPr>
          <w:rFonts w:cs="Arial"/>
        </w:rPr>
        <w:t>79</w:t>
      </w:r>
      <w:r w:rsidRPr="00934E91">
        <w:rPr>
          <w:rFonts w:cs="Arial"/>
        </w:rPr>
        <w:t>], [8</w:t>
      </w:r>
      <w:r>
        <w:rPr>
          <w:rFonts w:cs="Arial"/>
        </w:rPr>
        <w:t>4</w:t>
      </w:r>
      <w:r w:rsidRPr="00934E91">
        <w:rPr>
          <w:rFonts w:cs="Arial"/>
        </w:rPr>
        <w:t>], [8</w:t>
      </w:r>
      <w:r>
        <w:rPr>
          <w:rFonts w:cs="Arial"/>
        </w:rPr>
        <w:t>5</w:t>
      </w:r>
      <w:r w:rsidRPr="00934E91">
        <w:rPr>
          <w:rFonts w:cs="Arial"/>
        </w:rPr>
        <w:t>], [</w:t>
      </w:r>
      <w:r>
        <w:rPr>
          <w:rFonts w:cs="Arial"/>
        </w:rPr>
        <w:t>89</w:t>
      </w:r>
      <w:r w:rsidRPr="00934E91">
        <w:rPr>
          <w:rFonts w:cs="Arial"/>
        </w:rPr>
        <w:t>], [9</w:t>
      </w:r>
      <w:r>
        <w:rPr>
          <w:rFonts w:cs="Arial"/>
        </w:rPr>
        <w:t>0</w:t>
      </w:r>
      <w:r w:rsidRPr="00934E91">
        <w:rPr>
          <w:rFonts w:cs="Arial"/>
        </w:rPr>
        <w:t>], [9</w:t>
      </w:r>
      <w:r>
        <w:rPr>
          <w:rFonts w:cs="Arial"/>
        </w:rPr>
        <w:t>2</w:t>
      </w:r>
      <w:r w:rsidRPr="00934E91">
        <w:rPr>
          <w:rFonts w:cs="Arial"/>
        </w:rPr>
        <w:t>], [9</w:t>
      </w:r>
      <w:r>
        <w:rPr>
          <w:rFonts w:cs="Arial"/>
        </w:rPr>
        <w:t>4</w:t>
      </w:r>
      <w:r w:rsidRPr="00934E91">
        <w:rPr>
          <w:rFonts w:cs="Arial"/>
        </w:rPr>
        <w:t>], [9</w:t>
      </w:r>
      <w:r>
        <w:rPr>
          <w:rFonts w:cs="Arial"/>
        </w:rPr>
        <w:t>7</w:t>
      </w:r>
      <w:r w:rsidRPr="00934E91">
        <w:rPr>
          <w:rFonts w:cs="Arial"/>
        </w:rPr>
        <w:t>], [10</w:t>
      </w:r>
      <w:r>
        <w:rPr>
          <w:rFonts w:cs="Arial"/>
        </w:rPr>
        <w:t>1</w:t>
      </w:r>
      <w:r w:rsidRPr="00934E91">
        <w:rPr>
          <w:rFonts w:cs="Arial"/>
        </w:rPr>
        <w:t>], [10</w:t>
      </w:r>
      <w:r>
        <w:rPr>
          <w:rFonts w:cs="Arial"/>
        </w:rPr>
        <w:t>8</w:t>
      </w:r>
      <w:r w:rsidRPr="00934E91">
        <w:rPr>
          <w:rFonts w:cs="Arial"/>
        </w:rPr>
        <w:t>], [1</w:t>
      </w:r>
      <w:r>
        <w:rPr>
          <w:rFonts w:cs="Arial"/>
        </w:rPr>
        <w:t>09</w:t>
      </w:r>
      <w:r w:rsidRPr="00934E91">
        <w:rPr>
          <w:rFonts w:cs="Arial"/>
        </w:rPr>
        <w:t>], [11</w:t>
      </w:r>
      <w:r>
        <w:rPr>
          <w:rFonts w:cs="Arial"/>
        </w:rPr>
        <w:t>0</w:t>
      </w:r>
      <w:r w:rsidRPr="00934E91">
        <w:rPr>
          <w:rFonts w:cs="Arial"/>
        </w:rPr>
        <w:t>], [11</w:t>
      </w:r>
      <w:r>
        <w:rPr>
          <w:rFonts w:cs="Arial"/>
        </w:rPr>
        <w:t>2</w:t>
      </w:r>
      <w:r w:rsidRPr="00934E91">
        <w:rPr>
          <w:rFonts w:cs="Arial"/>
        </w:rPr>
        <w:t>], [11</w:t>
      </w:r>
      <w:r>
        <w:rPr>
          <w:rFonts w:cs="Arial"/>
        </w:rPr>
        <w:t>5</w:t>
      </w:r>
      <w:r w:rsidRPr="00934E91">
        <w:rPr>
          <w:rFonts w:cs="Arial"/>
        </w:rPr>
        <w:t>], [11</w:t>
      </w:r>
      <w:r>
        <w:rPr>
          <w:rFonts w:cs="Arial"/>
        </w:rPr>
        <w:t>8</w:t>
      </w:r>
      <w:r w:rsidRPr="00934E91">
        <w:rPr>
          <w:rFonts w:cs="Arial"/>
        </w:rPr>
        <w:t>], [1</w:t>
      </w:r>
      <w:r>
        <w:rPr>
          <w:rFonts w:cs="Arial"/>
        </w:rPr>
        <w:t>19</w:t>
      </w:r>
      <w:r w:rsidRPr="00934E91">
        <w:rPr>
          <w:rFonts w:cs="Arial"/>
        </w:rPr>
        <w:t>], [12</w:t>
      </w:r>
      <w:r>
        <w:rPr>
          <w:rFonts w:cs="Arial"/>
        </w:rPr>
        <w:t>0</w:t>
      </w:r>
      <w:r w:rsidRPr="00934E91">
        <w:rPr>
          <w:rFonts w:cs="Arial"/>
        </w:rPr>
        <w:t>], [12</w:t>
      </w:r>
      <w:r>
        <w:rPr>
          <w:rFonts w:cs="Arial"/>
        </w:rPr>
        <w:t>2</w:t>
      </w:r>
      <w:r w:rsidRPr="00934E91">
        <w:rPr>
          <w:rFonts w:cs="Arial"/>
        </w:rPr>
        <w:t>], [12</w:t>
      </w:r>
      <w:r>
        <w:rPr>
          <w:rFonts w:cs="Arial"/>
        </w:rPr>
        <w:t>5</w:t>
      </w:r>
      <w:r w:rsidRPr="00934E91">
        <w:rPr>
          <w:rFonts w:cs="Arial"/>
        </w:rPr>
        <w:t>], [12</w:t>
      </w:r>
      <w:r>
        <w:rPr>
          <w:rFonts w:cs="Arial"/>
        </w:rPr>
        <w:t>8</w:t>
      </w:r>
      <w:r w:rsidRPr="00934E91">
        <w:rPr>
          <w:rFonts w:cs="Arial"/>
        </w:rPr>
        <w:t>], [1</w:t>
      </w:r>
      <w:r>
        <w:rPr>
          <w:rFonts w:cs="Arial"/>
        </w:rPr>
        <w:t>29</w:t>
      </w:r>
      <w:r w:rsidRPr="00934E91">
        <w:rPr>
          <w:rFonts w:cs="Arial"/>
        </w:rPr>
        <w:t>], [13</w:t>
      </w:r>
      <w:r>
        <w:rPr>
          <w:rFonts w:cs="Arial"/>
        </w:rPr>
        <w:t>1</w:t>
      </w:r>
      <w:r w:rsidRPr="00934E91">
        <w:rPr>
          <w:rFonts w:cs="Arial"/>
        </w:rPr>
        <w:t>], [13</w:t>
      </w:r>
      <w:r>
        <w:rPr>
          <w:rFonts w:cs="Arial"/>
        </w:rPr>
        <w:t>7</w:t>
      </w:r>
      <w:r w:rsidRPr="00934E91">
        <w:rPr>
          <w:rFonts w:cs="Arial"/>
        </w:rPr>
        <w:t>], [14</w:t>
      </w:r>
      <w:r>
        <w:rPr>
          <w:rFonts w:cs="Arial"/>
        </w:rPr>
        <w:t>1</w:t>
      </w:r>
      <w:r w:rsidRPr="00934E91">
        <w:rPr>
          <w:rFonts w:cs="Arial"/>
        </w:rPr>
        <w:t>], [14</w:t>
      </w:r>
      <w:r>
        <w:rPr>
          <w:rFonts w:cs="Arial"/>
        </w:rPr>
        <w:t>2</w:t>
      </w:r>
      <w:r w:rsidRPr="00934E91">
        <w:rPr>
          <w:rFonts w:cs="Arial"/>
        </w:rPr>
        <w:t>], [14</w:t>
      </w:r>
      <w:r>
        <w:rPr>
          <w:rFonts w:cs="Arial"/>
        </w:rPr>
        <w:t>4</w:t>
      </w:r>
      <w:r w:rsidRPr="00934E91">
        <w:rPr>
          <w:rFonts w:cs="Arial"/>
        </w:rPr>
        <w:t>], [14</w:t>
      </w:r>
      <w:r>
        <w:rPr>
          <w:rFonts w:cs="Arial"/>
        </w:rPr>
        <w:t>7</w:t>
      </w:r>
      <w:r w:rsidRPr="00934E91">
        <w:rPr>
          <w:rFonts w:cs="Arial"/>
        </w:rPr>
        <w:t>], [1</w:t>
      </w:r>
      <w:r>
        <w:rPr>
          <w:rFonts w:cs="Arial"/>
        </w:rPr>
        <w:t>49</w:t>
      </w:r>
      <w:r w:rsidRPr="00934E91">
        <w:rPr>
          <w:rFonts w:cs="Arial"/>
        </w:rPr>
        <w:t>], [15</w:t>
      </w:r>
      <w:r>
        <w:rPr>
          <w:rFonts w:cs="Arial"/>
        </w:rPr>
        <w:t>2</w:t>
      </w:r>
      <w:r w:rsidRPr="00934E91">
        <w:rPr>
          <w:rFonts w:cs="Arial"/>
        </w:rPr>
        <w:t>], [15</w:t>
      </w:r>
      <w:r>
        <w:rPr>
          <w:rFonts w:cs="Arial"/>
        </w:rPr>
        <w:t>4</w:t>
      </w:r>
      <w:r w:rsidRPr="00934E91">
        <w:rPr>
          <w:rFonts w:cs="Arial"/>
        </w:rPr>
        <w:t>], [15</w:t>
      </w:r>
      <w:r>
        <w:rPr>
          <w:rFonts w:cs="Arial"/>
        </w:rPr>
        <w:t>6</w:t>
      </w:r>
      <w:r w:rsidRPr="00934E91">
        <w:rPr>
          <w:rFonts w:cs="Arial"/>
        </w:rPr>
        <w:t>], [16</w:t>
      </w:r>
      <w:r>
        <w:rPr>
          <w:rFonts w:cs="Arial"/>
        </w:rPr>
        <w:t>1</w:t>
      </w:r>
      <w:r w:rsidRPr="00934E91">
        <w:rPr>
          <w:rFonts w:cs="Arial"/>
        </w:rPr>
        <w:t>], [16</w:t>
      </w:r>
      <w:r>
        <w:rPr>
          <w:rFonts w:cs="Arial"/>
        </w:rPr>
        <w:t>3</w:t>
      </w:r>
      <w:r w:rsidRPr="00934E91">
        <w:rPr>
          <w:rFonts w:cs="Arial"/>
        </w:rPr>
        <w:t>], [16</w:t>
      </w:r>
      <w:r>
        <w:rPr>
          <w:rFonts w:cs="Arial"/>
        </w:rPr>
        <w:t>4</w:t>
      </w:r>
      <w:r w:rsidRPr="00934E91">
        <w:rPr>
          <w:rFonts w:cs="Arial"/>
        </w:rPr>
        <w:t>], and [16</w:t>
      </w:r>
      <w:r>
        <w:rPr>
          <w:rFonts w:cs="Arial"/>
        </w:rPr>
        <w:t>5</w:t>
      </w:r>
      <w:r w:rsidRPr="00934E91">
        <w:rPr>
          <w:rFonts w:cs="Arial"/>
        </w:rPr>
        <w:t>]</w:t>
      </w:r>
      <w:r>
        <w:rPr>
          <w:rFonts w:cs="Arial"/>
        </w:rPr>
        <w:t>.</w:t>
      </w:r>
    </w:p>
    <w:p w14:paraId="293F6B8F" w14:textId="77777777" w:rsidR="00FC4A77" w:rsidRPr="00934E91" w:rsidRDefault="00FC4A77" w:rsidP="00FC4A77">
      <w:pPr>
        <w:rPr>
          <w:rFonts w:cs="Arial"/>
        </w:rPr>
      </w:pPr>
    </w:p>
    <w:p w14:paraId="010E1B67" w14:textId="77777777" w:rsidR="00FC4A77" w:rsidRPr="00934E91" w:rsidRDefault="00FC4A77" w:rsidP="00FC4A77">
      <w:pPr>
        <w:rPr>
          <w:rFonts w:cs="Arial"/>
          <w:b/>
          <w:bCs/>
        </w:rPr>
      </w:pPr>
      <w:r w:rsidRPr="00934E91">
        <w:rPr>
          <w:rFonts w:cs="Arial"/>
          <w:b/>
          <w:bCs/>
        </w:rPr>
        <w:t>7.4</w:t>
      </w:r>
      <w:r w:rsidRPr="00934E91">
        <w:rPr>
          <w:rFonts w:cs="Arial"/>
          <w:b/>
          <w:bCs/>
        </w:rPr>
        <w:tab/>
        <w:t xml:space="preserve">Removing food commodities and associated MRLs for listed chemicals </w:t>
      </w:r>
    </w:p>
    <w:p w14:paraId="153DF8B7" w14:textId="77777777" w:rsidR="00FC4A77" w:rsidRPr="00934E91" w:rsidRDefault="00FC4A77" w:rsidP="00FC4A77">
      <w:pPr>
        <w:rPr>
          <w:rFonts w:cs="Arial"/>
        </w:rPr>
      </w:pPr>
    </w:p>
    <w:p w14:paraId="057B441A" w14:textId="77777777" w:rsidR="00FC4A77" w:rsidRPr="00934E91" w:rsidRDefault="00FC4A77" w:rsidP="00FC4A77">
      <w:pPr>
        <w:rPr>
          <w:rFonts w:cs="Arial"/>
        </w:rPr>
      </w:pPr>
      <w:r w:rsidRPr="00934E91">
        <w:rPr>
          <w:rFonts w:cs="Arial"/>
        </w:rPr>
        <w:t>The following items remove food commodities and their associated MRLs from the table entry for the chemical listed: Items [7], [21], [24], [25], [34], [</w:t>
      </w:r>
      <w:r w:rsidRPr="00045479">
        <w:rPr>
          <w:rFonts w:cs="Arial"/>
        </w:rPr>
        <w:t>37], [42], [43], [49], [51], [60], [65], [68], [78], [83], [87], [88], [91], [100], [111], [114], [126], [130], [135], [155</w:t>
      </w:r>
      <w:r w:rsidRPr="00934E91">
        <w:rPr>
          <w:rFonts w:cs="Arial"/>
        </w:rPr>
        <w:t>], [1</w:t>
      </w:r>
      <w:r>
        <w:rPr>
          <w:rFonts w:cs="Arial"/>
        </w:rPr>
        <w:t>59</w:t>
      </w:r>
      <w:r w:rsidRPr="00934E91">
        <w:rPr>
          <w:rFonts w:cs="Arial"/>
        </w:rPr>
        <w:t>], [16</w:t>
      </w:r>
      <w:r>
        <w:rPr>
          <w:rFonts w:cs="Arial"/>
        </w:rPr>
        <w:t>0</w:t>
      </w:r>
      <w:r w:rsidRPr="00934E91">
        <w:rPr>
          <w:rFonts w:cs="Arial"/>
        </w:rPr>
        <w:t>], [16</w:t>
      </w:r>
      <w:r>
        <w:rPr>
          <w:rFonts w:cs="Arial"/>
        </w:rPr>
        <w:t>6</w:t>
      </w:r>
      <w:r w:rsidRPr="00934E91">
        <w:rPr>
          <w:rFonts w:cs="Arial"/>
        </w:rPr>
        <w:t>], [16</w:t>
      </w:r>
      <w:r>
        <w:rPr>
          <w:rFonts w:cs="Arial"/>
        </w:rPr>
        <w:t>7</w:t>
      </w:r>
      <w:r w:rsidRPr="00934E91">
        <w:rPr>
          <w:rFonts w:cs="Arial"/>
        </w:rPr>
        <w:t>], [16</w:t>
      </w:r>
      <w:r>
        <w:rPr>
          <w:rFonts w:cs="Arial"/>
        </w:rPr>
        <w:t>8</w:t>
      </w:r>
      <w:r w:rsidRPr="00934E91">
        <w:rPr>
          <w:rFonts w:cs="Arial"/>
        </w:rPr>
        <w:t>], [1</w:t>
      </w:r>
      <w:r>
        <w:rPr>
          <w:rFonts w:cs="Arial"/>
        </w:rPr>
        <w:t>69</w:t>
      </w:r>
      <w:r w:rsidRPr="00934E91">
        <w:rPr>
          <w:rFonts w:cs="Arial"/>
        </w:rPr>
        <w:t>], [17</w:t>
      </w:r>
      <w:r>
        <w:rPr>
          <w:rFonts w:cs="Arial"/>
        </w:rPr>
        <w:t>0</w:t>
      </w:r>
      <w:r w:rsidRPr="00934E91">
        <w:rPr>
          <w:rFonts w:cs="Arial"/>
        </w:rPr>
        <w:t>], [17</w:t>
      </w:r>
      <w:r>
        <w:rPr>
          <w:rFonts w:cs="Arial"/>
        </w:rPr>
        <w:t>1</w:t>
      </w:r>
      <w:r w:rsidRPr="00934E91">
        <w:rPr>
          <w:rFonts w:cs="Arial"/>
        </w:rPr>
        <w:t>], [17</w:t>
      </w:r>
      <w:r>
        <w:rPr>
          <w:rFonts w:cs="Arial"/>
        </w:rPr>
        <w:t>2</w:t>
      </w:r>
      <w:r w:rsidRPr="00934E91">
        <w:rPr>
          <w:rFonts w:cs="Arial"/>
        </w:rPr>
        <w:t>], [17</w:t>
      </w:r>
      <w:r>
        <w:rPr>
          <w:rFonts w:cs="Arial"/>
        </w:rPr>
        <w:t>3</w:t>
      </w:r>
      <w:r w:rsidRPr="00934E91">
        <w:rPr>
          <w:rFonts w:cs="Arial"/>
        </w:rPr>
        <w:t>], [17</w:t>
      </w:r>
      <w:r>
        <w:rPr>
          <w:rFonts w:cs="Arial"/>
        </w:rPr>
        <w:t>4</w:t>
      </w:r>
      <w:r w:rsidRPr="00934E91">
        <w:rPr>
          <w:rFonts w:cs="Arial"/>
        </w:rPr>
        <w:t>] and [17</w:t>
      </w:r>
      <w:r>
        <w:rPr>
          <w:rFonts w:cs="Arial"/>
        </w:rPr>
        <w:t>5</w:t>
      </w:r>
      <w:r w:rsidRPr="00934E91">
        <w:rPr>
          <w:rFonts w:cs="Arial"/>
        </w:rPr>
        <w:t>]</w:t>
      </w:r>
      <w:r>
        <w:rPr>
          <w:rFonts w:cs="Arial"/>
        </w:rPr>
        <w:t>.</w:t>
      </w:r>
    </w:p>
    <w:p w14:paraId="64F03A39" w14:textId="77777777" w:rsidR="00FC4A77" w:rsidRPr="00934E91" w:rsidRDefault="00FC4A77" w:rsidP="00FC4A77">
      <w:pPr>
        <w:rPr>
          <w:rFonts w:cs="Arial"/>
          <w:b/>
          <w:bCs/>
        </w:rPr>
      </w:pPr>
    </w:p>
    <w:p w14:paraId="6EF69BAC" w14:textId="77777777" w:rsidR="00FC4A77" w:rsidRPr="00934E91" w:rsidRDefault="00FC4A77" w:rsidP="00FC4A77">
      <w:pPr>
        <w:rPr>
          <w:rFonts w:cs="Arial"/>
          <w:b/>
          <w:bCs/>
        </w:rPr>
      </w:pPr>
      <w:r w:rsidRPr="00934E91">
        <w:rPr>
          <w:rFonts w:cs="Arial"/>
          <w:b/>
          <w:bCs/>
        </w:rPr>
        <w:t>7.5</w:t>
      </w:r>
      <w:r w:rsidRPr="00934E91">
        <w:rPr>
          <w:rFonts w:cs="Arial"/>
          <w:b/>
          <w:bCs/>
        </w:rPr>
        <w:tab/>
        <w:t xml:space="preserve">Amending food commodities and associated MRLs for listed chemicals </w:t>
      </w:r>
    </w:p>
    <w:p w14:paraId="05BEFA7E" w14:textId="77777777" w:rsidR="00FC4A77" w:rsidRPr="00934E91" w:rsidRDefault="00FC4A77" w:rsidP="00FC4A77">
      <w:pPr>
        <w:rPr>
          <w:rFonts w:cs="Arial"/>
          <w:b/>
          <w:bCs/>
        </w:rPr>
      </w:pPr>
    </w:p>
    <w:p w14:paraId="0A9C618F" w14:textId="77777777" w:rsidR="00FC4A77" w:rsidRPr="00934E91" w:rsidRDefault="00FC4A77" w:rsidP="00FC4A77">
      <w:pPr>
        <w:rPr>
          <w:rFonts w:cs="Arial"/>
        </w:rPr>
      </w:pPr>
      <w:r w:rsidRPr="00934E91">
        <w:rPr>
          <w:rFonts w:cs="Arial"/>
        </w:rPr>
        <w:t xml:space="preserve">The following items amend the table entries for the chemicals listed by changing: the amount of an MRL; the food commodity or </w:t>
      </w:r>
      <w:r w:rsidRPr="00045479">
        <w:rPr>
          <w:rFonts w:cs="Arial"/>
        </w:rPr>
        <w:t>commodities to which an MRL relates; or both: Items [6], [9], [11], [12], [14], [15], [17</w:t>
      </w:r>
      <w:r>
        <w:rPr>
          <w:rFonts w:cs="Arial"/>
        </w:rPr>
        <w:t>],</w:t>
      </w:r>
      <w:r w:rsidRPr="00045479">
        <w:rPr>
          <w:rFonts w:cs="Arial"/>
        </w:rPr>
        <w:t xml:space="preserve"> [</w:t>
      </w:r>
      <w:r>
        <w:rPr>
          <w:rFonts w:cs="Arial"/>
        </w:rPr>
        <w:t xml:space="preserve">19], </w:t>
      </w:r>
      <w:r w:rsidRPr="00045479">
        <w:rPr>
          <w:rFonts w:cs="Arial"/>
        </w:rPr>
        <w:t>[23], [31], [33], [36], [40], [41], [</w:t>
      </w:r>
      <w:r w:rsidRPr="00934E91">
        <w:rPr>
          <w:rFonts w:cs="Arial"/>
        </w:rPr>
        <w:t>4</w:t>
      </w:r>
      <w:r>
        <w:rPr>
          <w:rFonts w:cs="Arial"/>
        </w:rPr>
        <w:t>6</w:t>
      </w:r>
      <w:r w:rsidRPr="00934E91">
        <w:rPr>
          <w:rFonts w:cs="Arial"/>
        </w:rPr>
        <w:t>], [4</w:t>
      </w:r>
      <w:r>
        <w:rPr>
          <w:rFonts w:cs="Arial"/>
        </w:rPr>
        <w:t>8</w:t>
      </w:r>
      <w:r w:rsidRPr="00934E91">
        <w:rPr>
          <w:rFonts w:cs="Arial"/>
        </w:rPr>
        <w:t>], [5</w:t>
      </w:r>
      <w:r>
        <w:rPr>
          <w:rFonts w:cs="Arial"/>
        </w:rPr>
        <w:t>3</w:t>
      </w:r>
      <w:r w:rsidRPr="00934E91">
        <w:rPr>
          <w:rFonts w:cs="Arial"/>
        </w:rPr>
        <w:t>], [5</w:t>
      </w:r>
      <w:r>
        <w:rPr>
          <w:rFonts w:cs="Arial"/>
        </w:rPr>
        <w:t>5</w:t>
      </w:r>
      <w:r w:rsidRPr="00934E91">
        <w:rPr>
          <w:rFonts w:cs="Arial"/>
        </w:rPr>
        <w:t>], [</w:t>
      </w:r>
      <w:r>
        <w:rPr>
          <w:rFonts w:cs="Arial"/>
        </w:rPr>
        <w:t>59</w:t>
      </w:r>
      <w:r w:rsidRPr="00934E91">
        <w:rPr>
          <w:rFonts w:cs="Arial"/>
        </w:rPr>
        <w:t>], [6</w:t>
      </w:r>
      <w:r>
        <w:rPr>
          <w:rFonts w:cs="Arial"/>
        </w:rPr>
        <w:t>2</w:t>
      </w:r>
      <w:r w:rsidRPr="00934E91">
        <w:rPr>
          <w:rFonts w:cs="Arial"/>
        </w:rPr>
        <w:t>], [6</w:t>
      </w:r>
      <w:r>
        <w:rPr>
          <w:rFonts w:cs="Arial"/>
        </w:rPr>
        <w:t>3</w:t>
      </w:r>
      <w:r w:rsidRPr="00934E91">
        <w:rPr>
          <w:rFonts w:cs="Arial"/>
        </w:rPr>
        <w:t>], [6</w:t>
      </w:r>
      <w:r>
        <w:rPr>
          <w:rFonts w:cs="Arial"/>
        </w:rPr>
        <w:t>4</w:t>
      </w:r>
      <w:r w:rsidRPr="00934E91">
        <w:rPr>
          <w:rFonts w:cs="Arial"/>
        </w:rPr>
        <w:t>], [6</w:t>
      </w:r>
      <w:r>
        <w:rPr>
          <w:rFonts w:cs="Arial"/>
        </w:rPr>
        <w:t>6</w:t>
      </w:r>
      <w:r w:rsidRPr="00934E91">
        <w:rPr>
          <w:rFonts w:cs="Arial"/>
        </w:rPr>
        <w:t>], [6</w:t>
      </w:r>
      <w:r>
        <w:rPr>
          <w:rFonts w:cs="Arial"/>
        </w:rPr>
        <w:t>7</w:t>
      </w:r>
      <w:r w:rsidRPr="00934E91">
        <w:rPr>
          <w:rFonts w:cs="Arial"/>
        </w:rPr>
        <w:t>], [7</w:t>
      </w:r>
      <w:r>
        <w:rPr>
          <w:rFonts w:cs="Arial"/>
        </w:rPr>
        <w:t>6</w:t>
      </w:r>
      <w:r w:rsidRPr="00934E91">
        <w:rPr>
          <w:rFonts w:cs="Arial"/>
        </w:rPr>
        <w:t>], [7</w:t>
      </w:r>
      <w:r>
        <w:rPr>
          <w:rFonts w:cs="Arial"/>
        </w:rPr>
        <w:t>7</w:t>
      </w:r>
      <w:r w:rsidRPr="00934E91">
        <w:rPr>
          <w:rFonts w:cs="Arial"/>
        </w:rPr>
        <w:t>], [8</w:t>
      </w:r>
      <w:r>
        <w:rPr>
          <w:rFonts w:cs="Arial"/>
        </w:rPr>
        <w:t>0</w:t>
      </w:r>
      <w:r w:rsidRPr="00934E91">
        <w:rPr>
          <w:rFonts w:cs="Arial"/>
        </w:rPr>
        <w:t>], [8</w:t>
      </w:r>
      <w:r>
        <w:rPr>
          <w:rFonts w:cs="Arial"/>
        </w:rPr>
        <w:t>1</w:t>
      </w:r>
      <w:r w:rsidRPr="00934E91">
        <w:rPr>
          <w:rFonts w:cs="Arial"/>
        </w:rPr>
        <w:t>], [8</w:t>
      </w:r>
      <w:r>
        <w:rPr>
          <w:rFonts w:cs="Arial"/>
        </w:rPr>
        <w:t>2</w:t>
      </w:r>
      <w:r w:rsidRPr="00934E91">
        <w:rPr>
          <w:rFonts w:cs="Arial"/>
        </w:rPr>
        <w:t>], [8</w:t>
      </w:r>
      <w:r>
        <w:rPr>
          <w:rFonts w:cs="Arial"/>
        </w:rPr>
        <w:t>6</w:t>
      </w:r>
      <w:r w:rsidRPr="00934E91">
        <w:rPr>
          <w:rFonts w:cs="Arial"/>
        </w:rPr>
        <w:t>], [9</w:t>
      </w:r>
      <w:r>
        <w:rPr>
          <w:rFonts w:cs="Arial"/>
        </w:rPr>
        <w:t>3</w:t>
      </w:r>
      <w:r w:rsidRPr="00934E91">
        <w:rPr>
          <w:rFonts w:cs="Arial"/>
        </w:rPr>
        <w:t>], [9</w:t>
      </w:r>
      <w:r>
        <w:rPr>
          <w:rFonts w:cs="Arial"/>
        </w:rPr>
        <w:t>8</w:t>
      </w:r>
      <w:r w:rsidRPr="00934E91">
        <w:rPr>
          <w:rFonts w:cs="Arial"/>
        </w:rPr>
        <w:t>], [</w:t>
      </w:r>
      <w:r>
        <w:rPr>
          <w:rFonts w:cs="Arial"/>
        </w:rPr>
        <w:t>99</w:t>
      </w:r>
      <w:r w:rsidRPr="00934E91">
        <w:rPr>
          <w:rFonts w:cs="Arial"/>
        </w:rPr>
        <w:t>], [10</w:t>
      </w:r>
      <w:r>
        <w:rPr>
          <w:rFonts w:cs="Arial"/>
        </w:rPr>
        <w:t>2</w:t>
      </w:r>
      <w:r w:rsidRPr="00934E91">
        <w:rPr>
          <w:rFonts w:cs="Arial"/>
        </w:rPr>
        <w:t>], [10</w:t>
      </w:r>
      <w:r>
        <w:rPr>
          <w:rFonts w:cs="Arial"/>
        </w:rPr>
        <w:t>3</w:t>
      </w:r>
      <w:r w:rsidRPr="00934E91">
        <w:rPr>
          <w:rFonts w:cs="Arial"/>
        </w:rPr>
        <w:t>], [10</w:t>
      </w:r>
      <w:r>
        <w:rPr>
          <w:rFonts w:cs="Arial"/>
        </w:rPr>
        <w:t>4</w:t>
      </w:r>
      <w:r w:rsidRPr="00934E91">
        <w:rPr>
          <w:rFonts w:cs="Arial"/>
        </w:rPr>
        <w:t>], [10</w:t>
      </w:r>
      <w:r>
        <w:rPr>
          <w:rFonts w:cs="Arial"/>
        </w:rPr>
        <w:t>5</w:t>
      </w:r>
      <w:r w:rsidRPr="00934E91">
        <w:rPr>
          <w:rFonts w:cs="Arial"/>
        </w:rPr>
        <w:t>], [10</w:t>
      </w:r>
      <w:r>
        <w:rPr>
          <w:rFonts w:cs="Arial"/>
        </w:rPr>
        <w:t>6</w:t>
      </w:r>
      <w:r w:rsidRPr="00934E91">
        <w:rPr>
          <w:rFonts w:cs="Arial"/>
        </w:rPr>
        <w:t>], [10</w:t>
      </w:r>
      <w:r>
        <w:rPr>
          <w:rFonts w:cs="Arial"/>
        </w:rPr>
        <w:t>7</w:t>
      </w:r>
      <w:r w:rsidRPr="00934E91">
        <w:rPr>
          <w:rFonts w:cs="Arial"/>
        </w:rPr>
        <w:t>]-1, [10</w:t>
      </w:r>
      <w:r>
        <w:rPr>
          <w:rFonts w:cs="Arial"/>
        </w:rPr>
        <w:t>7</w:t>
      </w:r>
      <w:r w:rsidRPr="00934E91">
        <w:rPr>
          <w:rFonts w:cs="Arial"/>
        </w:rPr>
        <w:t>]-2, [10</w:t>
      </w:r>
      <w:r>
        <w:rPr>
          <w:rFonts w:cs="Arial"/>
        </w:rPr>
        <w:t>7</w:t>
      </w:r>
      <w:r w:rsidRPr="00934E91">
        <w:rPr>
          <w:rFonts w:cs="Arial"/>
        </w:rPr>
        <w:t>]-4, [11</w:t>
      </w:r>
      <w:r>
        <w:rPr>
          <w:rFonts w:cs="Arial"/>
        </w:rPr>
        <w:t>3</w:t>
      </w:r>
      <w:r w:rsidRPr="00934E91">
        <w:rPr>
          <w:rFonts w:cs="Arial"/>
        </w:rPr>
        <w:t>], [11</w:t>
      </w:r>
      <w:r>
        <w:rPr>
          <w:rFonts w:cs="Arial"/>
        </w:rPr>
        <w:t>7</w:t>
      </w:r>
      <w:r w:rsidRPr="00934E91">
        <w:rPr>
          <w:rFonts w:cs="Arial"/>
        </w:rPr>
        <w:t>], [12</w:t>
      </w:r>
      <w:r>
        <w:rPr>
          <w:rFonts w:cs="Arial"/>
        </w:rPr>
        <w:t>1</w:t>
      </w:r>
      <w:r w:rsidRPr="00934E91">
        <w:rPr>
          <w:rFonts w:cs="Arial"/>
        </w:rPr>
        <w:t>], [12</w:t>
      </w:r>
      <w:r>
        <w:rPr>
          <w:rFonts w:cs="Arial"/>
        </w:rPr>
        <w:t>4</w:t>
      </w:r>
      <w:r w:rsidRPr="00934E91">
        <w:rPr>
          <w:rFonts w:cs="Arial"/>
        </w:rPr>
        <w:t>], [12</w:t>
      </w:r>
      <w:r>
        <w:rPr>
          <w:rFonts w:cs="Arial"/>
        </w:rPr>
        <w:t>7</w:t>
      </w:r>
      <w:r w:rsidRPr="00934E91">
        <w:rPr>
          <w:rFonts w:cs="Arial"/>
        </w:rPr>
        <w:t>], [13</w:t>
      </w:r>
      <w:r>
        <w:rPr>
          <w:rFonts w:cs="Arial"/>
        </w:rPr>
        <w:t>2</w:t>
      </w:r>
      <w:r w:rsidRPr="00934E91">
        <w:rPr>
          <w:rFonts w:cs="Arial"/>
        </w:rPr>
        <w:t>], [13</w:t>
      </w:r>
      <w:r>
        <w:rPr>
          <w:rFonts w:cs="Arial"/>
        </w:rPr>
        <w:t>3</w:t>
      </w:r>
      <w:r w:rsidRPr="00934E91">
        <w:rPr>
          <w:rFonts w:cs="Arial"/>
        </w:rPr>
        <w:t>], [13</w:t>
      </w:r>
      <w:r>
        <w:rPr>
          <w:rFonts w:cs="Arial"/>
        </w:rPr>
        <w:t>4</w:t>
      </w:r>
      <w:r w:rsidRPr="00934E91">
        <w:rPr>
          <w:rFonts w:cs="Arial"/>
        </w:rPr>
        <w:t>], [13</w:t>
      </w:r>
      <w:r>
        <w:rPr>
          <w:rFonts w:cs="Arial"/>
        </w:rPr>
        <w:t>6</w:t>
      </w:r>
      <w:r w:rsidRPr="00934E91">
        <w:rPr>
          <w:rFonts w:cs="Arial"/>
        </w:rPr>
        <w:t>], [14</w:t>
      </w:r>
      <w:r>
        <w:rPr>
          <w:rFonts w:cs="Arial"/>
        </w:rPr>
        <w:t>0</w:t>
      </w:r>
      <w:r w:rsidRPr="00934E91">
        <w:rPr>
          <w:rFonts w:cs="Arial"/>
        </w:rPr>
        <w:t>], [14</w:t>
      </w:r>
      <w:r>
        <w:rPr>
          <w:rFonts w:cs="Arial"/>
        </w:rPr>
        <w:t>5</w:t>
      </w:r>
      <w:r w:rsidRPr="00934E91">
        <w:rPr>
          <w:rFonts w:cs="Arial"/>
        </w:rPr>
        <w:t>]-1, [14</w:t>
      </w:r>
      <w:r>
        <w:rPr>
          <w:rFonts w:cs="Arial"/>
        </w:rPr>
        <w:t>6</w:t>
      </w:r>
      <w:r w:rsidRPr="00934E91">
        <w:rPr>
          <w:rFonts w:cs="Arial"/>
        </w:rPr>
        <w:t>], [14</w:t>
      </w:r>
      <w:r>
        <w:rPr>
          <w:rFonts w:cs="Arial"/>
        </w:rPr>
        <w:t>8</w:t>
      </w:r>
      <w:r w:rsidRPr="00934E91">
        <w:rPr>
          <w:rFonts w:cs="Arial"/>
        </w:rPr>
        <w:t>], [15</w:t>
      </w:r>
      <w:r>
        <w:rPr>
          <w:rFonts w:cs="Arial"/>
        </w:rPr>
        <w:t>3</w:t>
      </w:r>
      <w:r w:rsidRPr="00934E91">
        <w:rPr>
          <w:rFonts w:cs="Arial"/>
        </w:rPr>
        <w:t>]</w:t>
      </w:r>
      <w:r>
        <w:rPr>
          <w:rFonts w:cs="Arial"/>
        </w:rPr>
        <w:t>,</w:t>
      </w:r>
      <w:r w:rsidRPr="00934E91">
        <w:rPr>
          <w:rFonts w:cs="Arial"/>
        </w:rPr>
        <w:t xml:space="preserve"> [15</w:t>
      </w:r>
      <w:r>
        <w:rPr>
          <w:rFonts w:cs="Arial"/>
        </w:rPr>
        <w:t>7</w:t>
      </w:r>
      <w:r w:rsidRPr="00934E91">
        <w:rPr>
          <w:rFonts w:cs="Arial"/>
        </w:rPr>
        <w:t>], [15</w:t>
      </w:r>
      <w:r>
        <w:rPr>
          <w:rFonts w:cs="Arial"/>
        </w:rPr>
        <w:t>8</w:t>
      </w:r>
      <w:r w:rsidRPr="00934E91">
        <w:rPr>
          <w:rFonts w:cs="Arial"/>
        </w:rPr>
        <w:t>], and [16</w:t>
      </w:r>
      <w:r>
        <w:rPr>
          <w:rFonts w:cs="Arial"/>
        </w:rPr>
        <w:t>2</w:t>
      </w:r>
      <w:r w:rsidRPr="00934E91">
        <w:rPr>
          <w:rFonts w:cs="Arial"/>
        </w:rPr>
        <w:t>]</w:t>
      </w:r>
      <w:r>
        <w:rPr>
          <w:rFonts w:cs="Arial"/>
        </w:rPr>
        <w:t>.</w:t>
      </w:r>
    </w:p>
    <w:p w14:paraId="2C575DC1" w14:textId="77777777" w:rsidR="00FC4A77" w:rsidRPr="00934E91" w:rsidRDefault="00FC4A77" w:rsidP="00FC4A77">
      <w:pPr>
        <w:rPr>
          <w:rFonts w:cs="Arial"/>
        </w:rPr>
      </w:pPr>
    </w:p>
    <w:p w14:paraId="2EB46E6F" w14:textId="32DC0C83" w:rsidR="00FC4A77" w:rsidRPr="00934E91" w:rsidRDefault="00FC4A77" w:rsidP="00FC4A77">
      <w:pPr>
        <w:rPr>
          <w:rFonts w:cs="Arial"/>
        </w:rPr>
      </w:pPr>
      <w:r w:rsidRPr="00934E91">
        <w:rPr>
          <w:rFonts w:cs="Arial"/>
        </w:rPr>
        <w:t>The following items correct formatting</w:t>
      </w:r>
      <w:r>
        <w:rPr>
          <w:rFonts w:cs="Arial"/>
        </w:rPr>
        <w:t xml:space="preserve"> </w:t>
      </w:r>
      <w:r w:rsidRPr="00934E91">
        <w:rPr>
          <w:rFonts w:cs="Arial"/>
        </w:rPr>
        <w:t>and typographical errors: Items [1</w:t>
      </w:r>
      <w:r>
        <w:rPr>
          <w:rFonts w:cs="Arial"/>
        </w:rPr>
        <w:t>8</w:t>
      </w:r>
      <w:r w:rsidRPr="00934E91">
        <w:rPr>
          <w:rFonts w:cs="Arial"/>
        </w:rPr>
        <w:t>], [4</w:t>
      </w:r>
      <w:r>
        <w:rPr>
          <w:rFonts w:cs="Arial"/>
        </w:rPr>
        <w:t>4</w:t>
      </w:r>
      <w:r w:rsidRPr="00934E91">
        <w:rPr>
          <w:rFonts w:cs="Arial"/>
        </w:rPr>
        <w:t>], [7</w:t>
      </w:r>
      <w:r>
        <w:rPr>
          <w:rFonts w:cs="Arial"/>
        </w:rPr>
        <w:t>0</w:t>
      </w:r>
      <w:r w:rsidRPr="00934E91">
        <w:rPr>
          <w:rFonts w:cs="Arial"/>
        </w:rPr>
        <w:t>], [10</w:t>
      </w:r>
      <w:r>
        <w:rPr>
          <w:rFonts w:cs="Arial"/>
        </w:rPr>
        <w:t>7</w:t>
      </w:r>
      <w:r w:rsidRPr="00934E91">
        <w:rPr>
          <w:rFonts w:cs="Arial"/>
        </w:rPr>
        <w:t>]-3, [11</w:t>
      </w:r>
      <w:r>
        <w:rPr>
          <w:rFonts w:cs="Arial"/>
        </w:rPr>
        <w:t>6</w:t>
      </w:r>
      <w:r w:rsidRPr="00934E91">
        <w:rPr>
          <w:rFonts w:cs="Arial"/>
        </w:rPr>
        <w:t>], [12</w:t>
      </w:r>
      <w:r>
        <w:rPr>
          <w:rFonts w:cs="Arial"/>
        </w:rPr>
        <w:t>3</w:t>
      </w:r>
      <w:r w:rsidRPr="00934E91">
        <w:rPr>
          <w:rFonts w:cs="Arial"/>
        </w:rPr>
        <w:t>], [14</w:t>
      </w:r>
      <w:r>
        <w:rPr>
          <w:rFonts w:cs="Arial"/>
        </w:rPr>
        <w:t>3</w:t>
      </w:r>
      <w:r w:rsidRPr="00934E91">
        <w:rPr>
          <w:rFonts w:cs="Arial"/>
        </w:rPr>
        <w:t>], and [14</w:t>
      </w:r>
      <w:r>
        <w:rPr>
          <w:rFonts w:cs="Arial"/>
        </w:rPr>
        <w:t>5</w:t>
      </w:r>
      <w:r w:rsidRPr="00934E91">
        <w:rPr>
          <w:rFonts w:cs="Arial"/>
        </w:rPr>
        <w:t>]-2</w:t>
      </w:r>
      <w:r>
        <w:rPr>
          <w:rFonts w:cs="Arial"/>
        </w:rPr>
        <w:t>.</w:t>
      </w:r>
    </w:p>
    <w:p w14:paraId="5AFD7070" w14:textId="77777777" w:rsidR="00FC4A77" w:rsidRPr="00934E91" w:rsidRDefault="00FC4A77" w:rsidP="00FC4A77">
      <w:pPr>
        <w:rPr>
          <w:rFonts w:cs="Arial"/>
          <w:szCs w:val="22"/>
        </w:rPr>
      </w:pPr>
    </w:p>
    <w:p w14:paraId="47CF69E7" w14:textId="77777777" w:rsidR="00FC4A77" w:rsidRDefault="00FC4A77" w:rsidP="00FC4A77">
      <w:pPr>
        <w:rPr>
          <w:rFonts w:cs="Arial"/>
        </w:rPr>
      </w:pPr>
      <w:r w:rsidRPr="00934E91">
        <w:rPr>
          <w:rFonts w:cs="Arial"/>
        </w:rPr>
        <w:t>Item [29] amends the chemical definition of the permitted residue for the chemical cyhalofop-</w:t>
      </w:r>
      <w:r w:rsidRPr="00934E91">
        <w:rPr>
          <w:rFonts w:cs="Arial"/>
        </w:rPr>
        <w:lastRenderedPageBreak/>
        <w:t>butyl.</w:t>
      </w:r>
    </w:p>
    <w:p w14:paraId="7B1EAE5D" w14:textId="77777777" w:rsidR="00FC4A77" w:rsidRPr="00FE4ED9" w:rsidRDefault="00FC4A77" w:rsidP="00FC4A77">
      <w:pPr>
        <w:rPr>
          <w:rFonts w:cs="Arial"/>
          <w:szCs w:val="22"/>
        </w:rPr>
      </w:pPr>
    </w:p>
    <w:p w14:paraId="631411C1" w14:textId="77777777" w:rsidR="00FC4A77" w:rsidRPr="00934E91" w:rsidRDefault="00FC4A77" w:rsidP="00FC4A77">
      <w:pPr>
        <w:rPr>
          <w:rFonts w:cs="Arial"/>
          <w:szCs w:val="22"/>
        </w:rPr>
      </w:pPr>
      <w:r w:rsidRPr="00934E91">
        <w:rPr>
          <w:rFonts w:cs="Arial"/>
          <w:szCs w:val="22"/>
        </w:rPr>
        <w:t>Item [17</w:t>
      </w:r>
      <w:r>
        <w:rPr>
          <w:rFonts w:cs="Arial"/>
          <w:szCs w:val="22"/>
        </w:rPr>
        <w:t>6</w:t>
      </w:r>
      <w:r w:rsidRPr="00934E91">
        <w:rPr>
          <w:rFonts w:cs="Arial"/>
          <w:szCs w:val="22"/>
        </w:rPr>
        <w:t xml:space="preserve">] amends </w:t>
      </w:r>
      <w:r w:rsidRPr="00934E91">
        <w:rPr>
          <w:rFonts w:cs="Arial"/>
          <w:bCs/>
          <w:szCs w:val="22"/>
        </w:rPr>
        <w:t>the table entry for each agvet chemical listed in that item</w:t>
      </w:r>
      <w:r w:rsidRPr="00934E91">
        <w:rPr>
          <w:rFonts w:cs="Arial"/>
          <w:szCs w:val="22"/>
        </w:rPr>
        <w:t xml:space="preserve"> by removing each reference in that entry to </w:t>
      </w:r>
      <w:r w:rsidRPr="00934E91">
        <w:rPr>
          <w:rFonts w:cs="Arial"/>
          <w:bCs/>
          <w:szCs w:val="22"/>
        </w:rPr>
        <w:t>“Oilseed” and replacing it with “Oilseeds (subgroup)”.</w:t>
      </w:r>
    </w:p>
    <w:p w14:paraId="13FA0F94" w14:textId="77777777" w:rsidR="00FC4A77" w:rsidRPr="00934E91" w:rsidRDefault="00FC4A77" w:rsidP="00FC4A77">
      <w:pPr>
        <w:rPr>
          <w:rFonts w:cs="Arial"/>
          <w:szCs w:val="22"/>
        </w:rPr>
      </w:pPr>
    </w:p>
    <w:p w14:paraId="7B345AE8" w14:textId="77777777" w:rsidR="00FC4A77" w:rsidRDefault="00FC4A77" w:rsidP="00FC4A77">
      <w:pPr>
        <w:rPr>
          <w:rFonts w:cs="Arial"/>
          <w:bCs/>
          <w:szCs w:val="22"/>
        </w:rPr>
      </w:pPr>
      <w:r w:rsidRPr="00934E91">
        <w:rPr>
          <w:rFonts w:cs="Arial"/>
          <w:szCs w:val="22"/>
        </w:rPr>
        <w:t>Item [17</w:t>
      </w:r>
      <w:r>
        <w:rPr>
          <w:rFonts w:cs="Arial"/>
          <w:szCs w:val="22"/>
        </w:rPr>
        <w:t>7</w:t>
      </w:r>
      <w:r w:rsidRPr="00934E91">
        <w:rPr>
          <w:rFonts w:cs="Arial"/>
          <w:szCs w:val="22"/>
        </w:rPr>
        <w:t xml:space="preserve">] amends </w:t>
      </w:r>
      <w:r w:rsidRPr="00934E91">
        <w:rPr>
          <w:rFonts w:cs="Arial"/>
          <w:bCs/>
          <w:szCs w:val="22"/>
        </w:rPr>
        <w:t>the table entry for each agvet chemical listed in that item</w:t>
      </w:r>
      <w:r w:rsidRPr="00934E91">
        <w:rPr>
          <w:rFonts w:cs="Arial"/>
          <w:szCs w:val="22"/>
        </w:rPr>
        <w:t xml:space="preserve"> by removing each reference in that entry to “</w:t>
      </w:r>
      <w:r w:rsidRPr="00934E91">
        <w:rPr>
          <w:rFonts w:cs="Arial"/>
          <w:bCs/>
          <w:szCs w:val="22"/>
        </w:rPr>
        <w:t>Oilseed [except cotton seed]” and replacing it with “Oilseeds (subgroup) [except cotton seed]”.</w:t>
      </w:r>
    </w:p>
    <w:p w14:paraId="229074B0" w14:textId="77777777" w:rsidR="00FC4A77" w:rsidRDefault="00FC4A77" w:rsidP="00FC4A77">
      <w:pPr>
        <w:rPr>
          <w:rFonts w:cs="Arial"/>
          <w:bCs/>
          <w:szCs w:val="22"/>
        </w:rPr>
      </w:pPr>
    </w:p>
    <w:p w14:paraId="1AD947E6" w14:textId="77777777" w:rsidR="00FC4A77" w:rsidRPr="00934E91" w:rsidRDefault="00FC4A77" w:rsidP="00FC4A77">
      <w:pPr>
        <w:rPr>
          <w:rFonts w:cs="Arial"/>
          <w:szCs w:val="22"/>
        </w:rPr>
      </w:pPr>
      <w:r>
        <w:rPr>
          <w:rFonts w:cs="Arial"/>
          <w:bCs/>
          <w:szCs w:val="22"/>
        </w:rPr>
        <w:t>Item [178] amends the table entry for each agvet chemical listed in that item by removing each reference in that entry to “</w:t>
      </w:r>
      <w:r w:rsidRPr="0073316C">
        <w:rPr>
          <w:rFonts w:cs="Arial"/>
          <w:bCs/>
          <w:szCs w:val="22"/>
        </w:rPr>
        <w:t>Oilseeds [except cotton seed; sunflower seed]</w:t>
      </w:r>
      <w:r>
        <w:rPr>
          <w:rFonts w:cs="Arial"/>
          <w:bCs/>
          <w:szCs w:val="22"/>
        </w:rPr>
        <w:t>” and replacing it with “</w:t>
      </w:r>
      <w:r w:rsidRPr="00F220AB">
        <w:rPr>
          <w:rFonts w:cs="Arial"/>
          <w:bCs/>
          <w:szCs w:val="22"/>
        </w:rPr>
        <w:t>Oilseeds (subgroup) [except cotton seed; sunflower seed]”</w:t>
      </w:r>
    </w:p>
    <w:p w14:paraId="1CA812BB" w14:textId="77777777" w:rsidR="00FC4A77" w:rsidRPr="00934E91" w:rsidRDefault="00FC4A77" w:rsidP="00FC4A77">
      <w:pPr>
        <w:rPr>
          <w:rFonts w:cs="Arial"/>
          <w:szCs w:val="22"/>
        </w:rPr>
      </w:pPr>
    </w:p>
    <w:p w14:paraId="76E3510B" w14:textId="77777777" w:rsidR="00FC4A77" w:rsidRPr="00934E91" w:rsidRDefault="00FC4A77" w:rsidP="00FC4A77">
      <w:pPr>
        <w:rPr>
          <w:rFonts w:cs="Arial"/>
          <w:szCs w:val="22"/>
        </w:rPr>
      </w:pPr>
      <w:r w:rsidRPr="00934E91">
        <w:rPr>
          <w:rFonts w:cs="Arial"/>
          <w:szCs w:val="22"/>
        </w:rPr>
        <w:t>Item [17</w:t>
      </w:r>
      <w:r>
        <w:rPr>
          <w:rFonts w:cs="Arial"/>
          <w:szCs w:val="22"/>
        </w:rPr>
        <w:t>9</w:t>
      </w:r>
      <w:r w:rsidRPr="00934E91">
        <w:rPr>
          <w:rFonts w:cs="Arial"/>
          <w:szCs w:val="22"/>
        </w:rPr>
        <w:t xml:space="preserve">] amends </w:t>
      </w:r>
      <w:r w:rsidRPr="00934E91">
        <w:rPr>
          <w:rFonts w:cs="Arial"/>
          <w:bCs/>
          <w:szCs w:val="22"/>
        </w:rPr>
        <w:t>the table entry for each agvet chemical listed in that item</w:t>
      </w:r>
      <w:r w:rsidRPr="00934E91">
        <w:rPr>
          <w:rFonts w:cs="Arial"/>
          <w:szCs w:val="22"/>
        </w:rPr>
        <w:t xml:space="preserve"> by removing each reference in that entry to </w:t>
      </w:r>
      <w:r w:rsidRPr="00934E91">
        <w:rPr>
          <w:rFonts w:cs="Arial"/>
          <w:bCs/>
          <w:szCs w:val="22"/>
        </w:rPr>
        <w:t>“Oilseed [except peanut]” and replacing it with “Oilseeds (subgroup)”.</w:t>
      </w:r>
    </w:p>
    <w:p w14:paraId="09A90D48" w14:textId="77777777" w:rsidR="00FC4A77" w:rsidRPr="00934E91" w:rsidRDefault="00FC4A77" w:rsidP="00FC4A77">
      <w:pPr>
        <w:rPr>
          <w:rFonts w:cs="Arial"/>
          <w:szCs w:val="22"/>
        </w:rPr>
      </w:pPr>
    </w:p>
    <w:p w14:paraId="356F476B" w14:textId="77777777" w:rsidR="00FC4A77" w:rsidRDefault="00FC4A77" w:rsidP="00FC4A77">
      <w:pPr>
        <w:rPr>
          <w:rFonts w:cs="Arial"/>
          <w:bCs/>
          <w:szCs w:val="22"/>
        </w:rPr>
      </w:pPr>
      <w:r w:rsidRPr="00934E91">
        <w:rPr>
          <w:rFonts w:cs="Arial"/>
          <w:szCs w:val="22"/>
        </w:rPr>
        <w:t>Item [1</w:t>
      </w:r>
      <w:r>
        <w:rPr>
          <w:rFonts w:cs="Arial"/>
          <w:szCs w:val="22"/>
        </w:rPr>
        <w:t>80</w:t>
      </w:r>
      <w:r w:rsidRPr="00934E91">
        <w:rPr>
          <w:rFonts w:cs="Arial"/>
          <w:szCs w:val="22"/>
        </w:rPr>
        <w:t xml:space="preserve">] amends </w:t>
      </w:r>
      <w:r w:rsidRPr="00934E91">
        <w:rPr>
          <w:rFonts w:cs="Arial"/>
          <w:bCs/>
          <w:szCs w:val="22"/>
        </w:rPr>
        <w:t>the table entry for each agvet chemical listed in that item</w:t>
      </w:r>
      <w:r w:rsidRPr="00934E91">
        <w:rPr>
          <w:rFonts w:cs="Arial"/>
          <w:szCs w:val="22"/>
        </w:rPr>
        <w:t xml:space="preserve"> by removing each reference in that entry to </w:t>
      </w:r>
      <w:r w:rsidRPr="00934E91">
        <w:rPr>
          <w:rFonts w:cs="Arial"/>
          <w:bCs/>
          <w:szCs w:val="22"/>
        </w:rPr>
        <w:t>“Olives” and replacing it with “Table olives”.</w:t>
      </w:r>
    </w:p>
    <w:p w14:paraId="0913998F" w14:textId="77777777" w:rsidR="00FC4A77" w:rsidRDefault="00FC4A77" w:rsidP="00FC4A77">
      <w:pPr>
        <w:rPr>
          <w:rFonts w:cs="Arial"/>
          <w:bCs/>
          <w:szCs w:val="22"/>
        </w:rPr>
      </w:pPr>
    </w:p>
    <w:p w14:paraId="4FF6B394" w14:textId="77777777" w:rsidR="00FC4A77" w:rsidRPr="00934E91" w:rsidRDefault="00FC4A77" w:rsidP="00FC4A77">
      <w:pPr>
        <w:rPr>
          <w:rFonts w:cs="Arial"/>
          <w:b/>
          <w:bCs/>
        </w:rPr>
      </w:pPr>
      <w:r w:rsidRPr="00934E91">
        <w:rPr>
          <w:rFonts w:cs="Arial"/>
          <w:b/>
          <w:bCs/>
        </w:rPr>
        <w:t>7.</w:t>
      </w:r>
      <w:r>
        <w:rPr>
          <w:rFonts w:cs="Arial"/>
          <w:b/>
          <w:bCs/>
        </w:rPr>
        <w:t>6</w:t>
      </w:r>
      <w:r w:rsidRPr="00934E91">
        <w:rPr>
          <w:rFonts w:cs="Arial"/>
          <w:b/>
          <w:bCs/>
        </w:rPr>
        <w:tab/>
      </w:r>
      <w:r>
        <w:rPr>
          <w:rFonts w:cs="Arial"/>
          <w:b/>
          <w:bCs/>
        </w:rPr>
        <w:t xml:space="preserve">Inserting the header “Agvet chemical” </w:t>
      </w:r>
      <w:r w:rsidRPr="00934E91">
        <w:rPr>
          <w:rFonts w:cs="Arial"/>
          <w:b/>
          <w:bCs/>
        </w:rPr>
        <w:t xml:space="preserve">and </w:t>
      </w:r>
      <w:r>
        <w:rPr>
          <w:rFonts w:cs="Arial"/>
          <w:b/>
          <w:bCs/>
        </w:rPr>
        <w:t>relocating the</w:t>
      </w:r>
      <w:r w:rsidRPr="00934E91">
        <w:rPr>
          <w:rFonts w:cs="Arial"/>
          <w:b/>
          <w:bCs/>
        </w:rPr>
        <w:t xml:space="preserve"> </w:t>
      </w:r>
      <w:r>
        <w:rPr>
          <w:rFonts w:cs="Arial"/>
          <w:b/>
          <w:bCs/>
        </w:rPr>
        <w:t xml:space="preserve">whole </w:t>
      </w:r>
      <w:r w:rsidRPr="00934E91">
        <w:rPr>
          <w:rFonts w:cs="Arial"/>
          <w:b/>
          <w:bCs/>
        </w:rPr>
        <w:t>chemical</w:t>
      </w:r>
      <w:r>
        <w:rPr>
          <w:rFonts w:cs="Arial"/>
          <w:b/>
          <w:bCs/>
        </w:rPr>
        <w:t xml:space="preserve"> entry to the appropriate alphabetical position</w:t>
      </w:r>
    </w:p>
    <w:p w14:paraId="46540A2F" w14:textId="77777777" w:rsidR="00FC4A77" w:rsidRPr="00934E91" w:rsidRDefault="00FC4A77" w:rsidP="00FC4A77">
      <w:pPr>
        <w:rPr>
          <w:rFonts w:cs="Arial"/>
          <w:b/>
          <w:bCs/>
        </w:rPr>
      </w:pPr>
    </w:p>
    <w:p w14:paraId="2117899D" w14:textId="77777777" w:rsidR="00FC4A77" w:rsidRPr="00934E91" w:rsidRDefault="00FC4A77" w:rsidP="00FC4A77">
      <w:r>
        <w:rPr>
          <w:rFonts w:cs="Arial"/>
        </w:rPr>
        <w:t>The following items correct the location of the whole chemical entries for flutianil, i</w:t>
      </w:r>
      <w:r w:rsidRPr="000E3B29">
        <w:rPr>
          <w:rFonts w:cs="Arial"/>
        </w:rPr>
        <w:t>soprothiolane</w:t>
      </w:r>
      <w:r>
        <w:rPr>
          <w:rFonts w:cs="Arial"/>
        </w:rPr>
        <w:t>, p</w:t>
      </w:r>
      <w:r w:rsidRPr="000E3B29">
        <w:rPr>
          <w:rFonts w:cs="Arial"/>
        </w:rPr>
        <w:t>yraziflumid</w:t>
      </w:r>
      <w:r>
        <w:rPr>
          <w:rFonts w:cs="Arial"/>
        </w:rPr>
        <w:t xml:space="preserve"> and s</w:t>
      </w:r>
      <w:r w:rsidRPr="000E3B29">
        <w:rPr>
          <w:rFonts w:cs="Arial"/>
        </w:rPr>
        <w:t>piropidion</w:t>
      </w:r>
      <w:r>
        <w:rPr>
          <w:rFonts w:cs="Arial"/>
        </w:rPr>
        <w:t>, to their appropriate</w:t>
      </w:r>
      <w:r w:rsidRPr="00934E91">
        <w:rPr>
          <w:rFonts w:cs="Arial"/>
        </w:rPr>
        <w:t xml:space="preserve"> alphabetical </w:t>
      </w:r>
      <w:r>
        <w:rPr>
          <w:rFonts w:cs="Arial"/>
        </w:rPr>
        <w:t>position: [71], [95], [138] and [150].</w:t>
      </w:r>
    </w:p>
    <w:p w14:paraId="1F070C07" w14:textId="77777777" w:rsidR="00FC4A77" w:rsidRPr="00934E91" w:rsidRDefault="00FC4A77" w:rsidP="00FC4A77"/>
    <w:p w14:paraId="6C6520A9" w14:textId="77777777" w:rsidR="00FC4A77" w:rsidRPr="007A20A2" w:rsidRDefault="00FC4A77" w:rsidP="00FC4A77">
      <w:pPr>
        <w:rPr>
          <w:rFonts w:cs="Arial"/>
        </w:rPr>
      </w:pPr>
      <w:r>
        <w:t xml:space="preserve">The following items correct the header for the chemical </w:t>
      </w:r>
      <w:r>
        <w:rPr>
          <w:rFonts w:cs="Arial"/>
        </w:rPr>
        <w:t>entries for flutianil, i</w:t>
      </w:r>
      <w:r w:rsidRPr="000E3B29">
        <w:rPr>
          <w:rFonts w:cs="Arial"/>
        </w:rPr>
        <w:t>soprothiolane</w:t>
      </w:r>
      <w:r>
        <w:rPr>
          <w:rFonts w:cs="Arial"/>
        </w:rPr>
        <w:t>, p</w:t>
      </w:r>
      <w:r w:rsidRPr="000E3B29">
        <w:rPr>
          <w:rFonts w:cs="Arial"/>
        </w:rPr>
        <w:t>yraziflumid</w:t>
      </w:r>
      <w:r>
        <w:rPr>
          <w:rFonts w:cs="Arial"/>
        </w:rPr>
        <w:t xml:space="preserve"> and s</w:t>
      </w:r>
      <w:r w:rsidRPr="000E3B29">
        <w:rPr>
          <w:rFonts w:cs="Arial"/>
        </w:rPr>
        <w:t>piropidion</w:t>
      </w:r>
      <w:r>
        <w:rPr>
          <w:rFonts w:cs="Arial"/>
        </w:rPr>
        <w:t>,</w:t>
      </w:r>
      <w:r>
        <w:t xml:space="preserve"> by adding the header “Agvet chemical:” before the chemical name: [72]</w:t>
      </w:r>
      <w:r>
        <w:rPr>
          <w:rFonts w:cs="Arial"/>
        </w:rPr>
        <w:t>, [96], [139] and [151].</w:t>
      </w:r>
    </w:p>
    <w:p w14:paraId="2C9421B7" w14:textId="61EF8CFB"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0104" w14:textId="77777777" w:rsidR="00FC4A77" w:rsidRDefault="00FC4A77" w:rsidP="00FC4A77">
      <w:r>
        <w:separator/>
      </w:r>
    </w:p>
  </w:endnote>
  <w:endnote w:type="continuationSeparator" w:id="0">
    <w:p w14:paraId="7440497C" w14:textId="77777777" w:rsidR="00FC4A77" w:rsidRDefault="00FC4A77" w:rsidP="00FC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DA92" w14:textId="77777777" w:rsidR="00FC4A77" w:rsidRDefault="00FC4A77" w:rsidP="00FC4A77">
      <w:r>
        <w:separator/>
      </w:r>
    </w:p>
  </w:footnote>
  <w:footnote w:type="continuationSeparator" w:id="0">
    <w:p w14:paraId="648393C5" w14:textId="77777777" w:rsidR="00FC4A77" w:rsidRDefault="00FC4A77" w:rsidP="00FC4A77">
      <w:r>
        <w:continuationSeparator/>
      </w:r>
    </w:p>
  </w:footnote>
  <w:footnote w:id="1">
    <w:p w14:paraId="7EA2F577" w14:textId="77777777" w:rsidR="00FC4A77" w:rsidRDefault="00FC4A77" w:rsidP="00FC4A77">
      <w:pPr>
        <w:pStyle w:val="FootnoteText"/>
        <w:ind w:left="284" w:hanging="284"/>
        <w:rPr>
          <w:rFonts w:cs="Arial"/>
        </w:rPr>
      </w:pPr>
      <w:r>
        <w:rPr>
          <w:rStyle w:val="FootnoteReference"/>
          <w:sz w:val="16"/>
          <w:szCs w:val="16"/>
        </w:rPr>
        <w:t>[1]</w:t>
      </w:r>
      <w:r>
        <w:rPr>
          <w:sz w:val="16"/>
          <w:szCs w:val="16"/>
        </w:rPr>
        <w:t>. 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303318961">
    <w:abstractNumId w:val="0"/>
  </w:num>
  <w:num w:numId="2" w16cid:durableId="1347054326">
    <w:abstractNumId w:val="0"/>
  </w:num>
  <w:num w:numId="3" w16cid:durableId="1401905380">
    <w:abstractNumId w:val="0"/>
  </w:num>
  <w:num w:numId="4" w16cid:durableId="510878757">
    <w:abstractNumId w:val="0"/>
  </w:num>
  <w:num w:numId="5" w16cid:durableId="1083799265">
    <w:abstractNumId w:val="0"/>
  </w:num>
  <w:num w:numId="6" w16cid:durableId="808477829">
    <w:abstractNumId w:val="0"/>
  </w:num>
  <w:num w:numId="7" w16cid:durableId="127479210">
    <w:abstractNumId w:val="0"/>
  </w:num>
  <w:num w:numId="8" w16cid:durableId="1858348123">
    <w:abstractNumId w:val="3"/>
  </w:num>
  <w:num w:numId="9" w16cid:durableId="1413969068">
    <w:abstractNumId w:val="1"/>
  </w:num>
  <w:num w:numId="10" w16cid:durableId="188955364">
    <w:abstractNumId w:val="2"/>
  </w:num>
  <w:num w:numId="11" w16cid:durableId="1033190071">
    <w:abstractNumId w:val="3"/>
  </w:num>
  <w:num w:numId="12" w16cid:durableId="1019157851">
    <w:abstractNumId w:val="1"/>
  </w:num>
  <w:num w:numId="13" w16cid:durableId="2102992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77"/>
    <w:rsid w:val="0000542C"/>
    <w:rsid w:val="00041643"/>
    <w:rsid w:val="000622E7"/>
    <w:rsid w:val="00066854"/>
    <w:rsid w:val="00066D85"/>
    <w:rsid w:val="000A38F8"/>
    <w:rsid w:val="000F2196"/>
    <w:rsid w:val="001734EA"/>
    <w:rsid w:val="00184403"/>
    <w:rsid w:val="00191770"/>
    <w:rsid w:val="001C0193"/>
    <w:rsid w:val="001C5126"/>
    <w:rsid w:val="001E696B"/>
    <w:rsid w:val="002232B1"/>
    <w:rsid w:val="00234C31"/>
    <w:rsid w:val="0033021F"/>
    <w:rsid w:val="00341D25"/>
    <w:rsid w:val="003A002D"/>
    <w:rsid w:val="003A01FB"/>
    <w:rsid w:val="003A7F1A"/>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B04E3"/>
    <w:rsid w:val="00FC4A77"/>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0D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FC4A7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paragraph" w:styleId="Heading7">
    <w:name w:val="heading 7"/>
    <w:basedOn w:val="Normal"/>
    <w:next w:val="Normal"/>
    <w:link w:val="Heading7Char"/>
    <w:uiPriority w:val="9"/>
    <w:semiHidden/>
    <w:unhideWhenUsed/>
    <w:rsid w:val="00FC4A77"/>
    <w:pPr>
      <w:keepNext/>
      <w:keepLines/>
      <w:widowControl/>
      <w:spacing w:before="40"/>
      <w:outlineLvl w:val="6"/>
    </w:pPr>
    <w:rPr>
      <w:rFonts w:asciiTheme="minorHAnsi" w:eastAsiaTheme="majorEastAsia" w:hAnsiTheme="minorHAnsi" w:cstheme="majorBidi"/>
      <w:color w:val="595959" w:themeColor="text1" w:themeTint="A6"/>
      <w:szCs w:val="22"/>
      <w:lang w:bidi="ar-SA"/>
    </w:rPr>
  </w:style>
  <w:style w:type="paragraph" w:styleId="Heading8">
    <w:name w:val="heading 8"/>
    <w:basedOn w:val="Normal"/>
    <w:next w:val="Normal"/>
    <w:link w:val="Heading8Char"/>
    <w:uiPriority w:val="9"/>
    <w:semiHidden/>
    <w:unhideWhenUsed/>
    <w:qFormat/>
    <w:rsid w:val="00FC4A77"/>
    <w:pPr>
      <w:keepNext/>
      <w:keepLines/>
      <w:widowControl/>
      <w:outlineLvl w:val="7"/>
    </w:pPr>
    <w:rPr>
      <w:rFonts w:asciiTheme="minorHAnsi" w:eastAsiaTheme="majorEastAsia" w:hAnsiTheme="minorHAnsi" w:cstheme="majorBidi"/>
      <w:i/>
      <w:iCs/>
      <w:color w:val="272727" w:themeColor="text1" w:themeTint="D8"/>
      <w:szCs w:val="22"/>
      <w:lang w:bidi="ar-SA"/>
    </w:rPr>
  </w:style>
  <w:style w:type="paragraph" w:styleId="Heading9">
    <w:name w:val="heading 9"/>
    <w:basedOn w:val="Normal"/>
    <w:next w:val="Normal"/>
    <w:link w:val="Heading9Char"/>
    <w:uiPriority w:val="9"/>
    <w:semiHidden/>
    <w:unhideWhenUsed/>
    <w:qFormat/>
    <w:rsid w:val="00FC4A77"/>
    <w:pPr>
      <w:keepNext/>
      <w:keepLines/>
      <w:widowControl/>
      <w:outlineLvl w:val="8"/>
    </w:pPr>
    <w:rPr>
      <w:rFonts w:asciiTheme="minorHAnsi" w:eastAsiaTheme="majorEastAsia" w:hAnsiTheme="minorHAnsi" w:cstheme="majorBidi"/>
      <w:color w:val="272727" w:themeColor="text1" w:themeTint="D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customStyle="1" w:styleId="Heading7Char">
    <w:name w:val="Heading 7 Char"/>
    <w:basedOn w:val="DefaultParagraphFont"/>
    <w:link w:val="Heading7"/>
    <w:uiPriority w:val="9"/>
    <w:semiHidden/>
    <w:rsid w:val="00FC4A7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FC4A7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C4A77"/>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FC4A77"/>
    <w:pPr>
      <w:widowControl/>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FC4A77"/>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FC4A77"/>
    <w:pPr>
      <w:widowControl/>
      <w:spacing w:before="160" w:after="160"/>
      <w:jc w:val="center"/>
    </w:pPr>
    <w:rPr>
      <w:rFonts w:eastAsiaTheme="minorHAnsi" w:cstheme="minorBidi"/>
      <w:i/>
      <w:iCs/>
      <w:color w:val="404040" w:themeColor="text1" w:themeTint="BF"/>
      <w:szCs w:val="22"/>
      <w:lang w:bidi="ar-SA"/>
    </w:rPr>
  </w:style>
  <w:style w:type="character" w:customStyle="1" w:styleId="QuoteChar">
    <w:name w:val="Quote Char"/>
    <w:basedOn w:val="DefaultParagraphFont"/>
    <w:link w:val="Quote"/>
    <w:uiPriority w:val="29"/>
    <w:rsid w:val="00FC4A77"/>
    <w:rPr>
      <w:rFonts w:cstheme="minorBidi"/>
      <w:i/>
      <w:iCs/>
      <w:color w:val="404040" w:themeColor="text1" w:themeTint="BF"/>
      <w:lang w:val="en-GB"/>
    </w:rPr>
  </w:style>
  <w:style w:type="paragraph" w:styleId="IntenseQuote">
    <w:name w:val="Intense Quote"/>
    <w:basedOn w:val="Normal"/>
    <w:next w:val="Normal"/>
    <w:link w:val="IntenseQuoteChar"/>
    <w:uiPriority w:val="30"/>
    <w:rsid w:val="00FC4A77"/>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Cs w:val="22"/>
      <w:lang w:bidi="ar-SA"/>
    </w:rPr>
  </w:style>
  <w:style w:type="character" w:customStyle="1" w:styleId="IntenseQuoteChar">
    <w:name w:val="Intense Quote Char"/>
    <w:basedOn w:val="DefaultParagraphFont"/>
    <w:link w:val="IntenseQuote"/>
    <w:uiPriority w:val="30"/>
    <w:rsid w:val="00FC4A77"/>
    <w:rPr>
      <w:rFonts w:cstheme="minorBidi"/>
      <w:i/>
      <w:iCs/>
      <w:color w:val="365F91" w:themeColor="accent1" w:themeShade="BF"/>
      <w:lang w:val="en-GB"/>
    </w:rPr>
  </w:style>
  <w:style w:type="character" w:styleId="IntenseReference">
    <w:name w:val="Intense Reference"/>
    <w:basedOn w:val="DefaultParagraphFont"/>
    <w:uiPriority w:val="32"/>
    <w:rsid w:val="00FC4A77"/>
    <w:rPr>
      <w:b/>
      <w:bCs/>
      <w:smallCaps/>
      <w:color w:val="365F91" w:themeColor="accent1" w:themeShade="BF"/>
      <w:spacing w:val="5"/>
    </w:rPr>
  </w:style>
  <w:style w:type="character" w:styleId="FootnoteReference">
    <w:name w:val="footnote reference"/>
    <w:basedOn w:val="DefaultParagraphFont"/>
    <w:uiPriority w:val="99"/>
    <w:rsid w:val="00FC4A77"/>
    <w:rPr>
      <w:vertAlign w:val="superscript"/>
    </w:rPr>
  </w:style>
  <w:style w:type="paragraph" w:styleId="CommentText">
    <w:name w:val="annotation text"/>
    <w:basedOn w:val="Normal"/>
    <w:link w:val="CommentTextChar"/>
    <w:rsid w:val="00FC4A77"/>
    <w:rPr>
      <w:sz w:val="20"/>
      <w:szCs w:val="20"/>
    </w:rPr>
  </w:style>
  <w:style w:type="character" w:customStyle="1" w:styleId="CommentTextChar">
    <w:name w:val="Comment Text Char"/>
    <w:basedOn w:val="DefaultParagraphFont"/>
    <w:link w:val="CommentText"/>
    <w:rsid w:val="00FC4A77"/>
    <w:rPr>
      <w:rFonts w:eastAsia="Times New Roman" w:cs="Times New Roman"/>
      <w:sz w:val="20"/>
      <w:szCs w:val="20"/>
      <w:lang w:val="en-GB" w:bidi="en-US"/>
    </w:rPr>
  </w:style>
  <w:style w:type="character" w:styleId="CommentReference">
    <w:name w:val="annotation reference"/>
    <w:basedOn w:val="DefaultParagraphFont"/>
    <w:rsid w:val="00FC4A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96f2eb31-52fc-4c6c-90a7-671d50ad8124" xsi:nil="true"/>
    <jf6c16bbf41b473ebe1e583d28d77907 xmlns="96f2eb31-52fc-4c6c-90a7-671d50ad8124" xsi:nil="true"/>
    <pb940a55b18746cdbb1d76ca362c0586 xmlns="96f2eb31-52fc-4c6c-90a7-671d50ad8124">Evaluation|43cb9915-dbd2-4e45-b39d-7bc5c58c72da</pb940a55b18746cdbb1d76ca362c0586>
    <m5a168ed04b248b3bef91ad6e7b635a1 xmlns="96f2eb31-52fc-4c6c-90a7-671d50ad8124">OFFICIAL|3776503d-ed4e-4d70-8dfd-8e17b238523b</m5a168ed04b248b3bef91ad6e7b635a1>
    <TaxCatchAll xmlns="96f2eb31-52fc-4c6c-90a7-671d50ad8124">
      <Value>47</Value>
      <Value>3</Value>
    </TaxCatchAll>
    <lcf76f155ced4ddcb4097134ff3c332f xmlns="86267923-ce16-4604-8ecf-61b50544c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0EBD45-9915-427D-ACB5-B904B65E7C27}">
  <ds:schemaRefs>
    <ds:schemaRef ds:uri="http://schemas.openxmlformats.org/officeDocument/2006/bibliography"/>
  </ds:schemaRefs>
</ds:datastoreItem>
</file>

<file path=customXml/itemProps2.xml><?xml version="1.0" encoding="utf-8"?>
<ds:datastoreItem xmlns:ds="http://schemas.openxmlformats.org/officeDocument/2006/customXml" ds:itemID="{4ED3E968-A2B8-436E-9455-13A7E26ABC8B}"/>
</file>

<file path=customXml/itemProps3.xml><?xml version="1.0" encoding="utf-8"?>
<ds:datastoreItem xmlns:ds="http://schemas.openxmlformats.org/officeDocument/2006/customXml" ds:itemID="{308B1622-514F-4E65-A361-22EBA0BD84C7}"/>
</file>

<file path=customXml/itemProps4.xml><?xml version="1.0" encoding="utf-8"?>
<ds:datastoreItem xmlns:ds="http://schemas.openxmlformats.org/officeDocument/2006/customXml" ds:itemID="{1DF810AE-A6EB-45DE-9CBE-3FE75687DC1A}"/>
</file>

<file path=customXml/itemProps5.xml><?xml version="1.0" encoding="utf-8"?>
<ds:datastoreItem xmlns:ds="http://schemas.openxmlformats.org/officeDocument/2006/customXml" ds:itemID="{5F63F57E-85F2-4648-91E6-88EC9724D490}"/>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9030</Characters>
  <Application>Microsoft Office Word</Application>
  <DocSecurity>0</DocSecurity>
  <Lines>192</Lines>
  <Paragraphs>50</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2025-04-13T22:58:00Z</dcterms:created>
  <dcterms:modified xsi:type="dcterms:W3CDTF">2025-04-13T22:58:00Z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v=2022.1;a=SHA256;h=46A2DF2EF5AC3E92ED6C433FE005BE9D50BB1D1E4040AC9F6494715CB6C25191</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bjDocumentLabelXML-0">
    <vt:lpwstr>ent xmlns="" uid="0d6753b0-55bf-4bfe-9711-090a5860f1b6" value=""/&gt;&lt;/sisl&gt;</vt:lpwstr>
  </property>
  <property fmtid="{D5CDD505-2E9C-101B-9397-08002B2CF9AE}" pid="11" name="PM_OriginationTimeStamp">
    <vt:lpwstr>2025-04-13T22:58:46Z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UNOFFICIAL</vt:lpwstr>
  </property>
  <property fmtid="{D5CDD505-2E9C-101B-9397-08002B2CF9AE}" pid="15" name="PM_Expires">
    <vt:lpwstr/>
  </property>
  <property fmtid="{D5CDD505-2E9C-101B-9397-08002B2CF9AE}" pid="16"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17" name="PM_InsertionValue">
    <vt:lpwstr>UNOFFICIAL</vt:lpwstr>
  </property>
  <property fmtid="{D5CDD505-2E9C-101B-9397-08002B2CF9AE}" pid="18" name="PM_Originator_Hash_SHA1">
    <vt:lpwstr>D2A877FB021B1F23B5F94F499200193157B57536</vt:lpwstr>
  </property>
  <property fmtid="{D5CDD505-2E9C-101B-9397-08002B2CF9AE}" pid="19" name="PM_Originating_FileId">
    <vt:lpwstr>C3F8959CFA1F4DC2B79A9CADB8959372</vt:lpwstr>
  </property>
  <property fmtid="{D5CDD505-2E9C-101B-9397-08002B2CF9AE}" pid="20" name="PM_ProtectiveMarkingValue_Footer">
    <vt:lpwstr>UNOFFICIAL</vt:lpwstr>
  </property>
  <property fmtid="{D5CDD505-2E9C-101B-9397-08002B2CF9AE}" pid="21" name="PM_Display">
    <vt:lpwstr>UNOFFICIAL</vt:lpwstr>
  </property>
  <property fmtid="{D5CDD505-2E9C-101B-9397-08002B2CF9AE}" pid="22" name="PM_OriginatorUserAccountName_SHA256">
    <vt:lpwstr>A5FD2317C9D8556B5143B0855F8BE111C11BE8F6BA5BCF94DC5B82C005B9C67B</vt:lpwstr>
  </property>
  <property fmtid="{D5CDD505-2E9C-101B-9397-08002B2CF9AE}" pid="23" name="PM_OriginatorDomainName_SHA256">
    <vt:lpwstr>1728E66681E435764AE865ABE664C38F2A2F6D4B1DC4AC4803028F4FC406745D</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3EC7341FEA71B789729093D5708DEA67</vt:lpwstr>
  </property>
  <property fmtid="{D5CDD505-2E9C-101B-9397-08002B2CF9AE}" pid="27" name="PM_Hash_Salt">
    <vt:lpwstr>3EC7341FEA71B789729093D5708DEA67</vt:lpwstr>
  </property>
  <property fmtid="{D5CDD505-2E9C-101B-9397-08002B2CF9AE}" pid="28" name="PM_Hash_SHA1">
    <vt:lpwstr>0BB38BD2A1DF7462A36F465FD3F9809734CCFF67</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Data Privacy">
    <vt:lpwstr/>
  </property>
  <property fmtid="{D5CDD505-2E9C-101B-9397-08002B2CF9AE}" pid="33" name="MediaServiceImageTags">
    <vt:lpwstr/>
  </property>
  <property fmtid="{D5CDD505-2E9C-101B-9397-08002B2CF9AE}" pid="34" name="ContentTypeId">
    <vt:lpwstr>0x010100F5F252698E4843DFA3EBBF7EC57E522A00A82EA18720279D4AB40E5AD2685E4CFA</vt:lpwstr>
  </property>
  <property fmtid="{D5CDD505-2E9C-101B-9397-08002B2CF9AE}" pid="35" name="Data Accessibility">
    <vt:lpwstr/>
  </property>
  <property fmtid="{D5CDD505-2E9C-101B-9397-08002B2CF9AE}" pid="36" name="Access">
    <vt:lpwstr/>
  </property>
  <property fmtid="{D5CDD505-2E9C-101B-9397-08002B2CF9AE}" pid="37" name="Classification">
    <vt:lpwstr>3;#OFFICIAL|3776503d-ed4e-4d70-8dfd-8e17b238523b</vt:lpwstr>
  </property>
  <property fmtid="{D5CDD505-2E9C-101B-9397-08002B2CF9AE}" pid="38" name="Data_x0020_Accessibility">
    <vt:lpwstr/>
  </property>
  <property fmtid="{D5CDD505-2E9C-101B-9397-08002B2CF9AE}" pid="39" name="o2e94e0b7bb742308b3aec7384781dc0">
    <vt:lpwstr/>
  </property>
  <property fmtid="{D5CDD505-2E9C-101B-9397-08002B2CF9AE}" pid="40" name="Data Category">
    <vt:lpwstr/>
  </property>
  <property fmtid="{D5CDD505-2E9C-101B-9397-08002B2CF9AE}" pid="41" name="lcf76f155ced4ddcb4097134ff3c332f">
    <vt:lpwstr/>
  </property>
  <property fmtid="{D5CDD505-2E9C-101B-9397-08002B2CF9AE}" pid="42" name="BCS">
    <vt:lpwstr>47;#Evaluation|43cb9915-dbd2-4e45-b39d-7bc5c58c72da</vt:lpwstr>
  </property>
  <property fmtid="{D5CDD505-2E9C-101B-9397-08002B2CF9AE}" pid="43" name="Data_x0020_Category">
    <vt:lpwstr/>
  </property>
  <property fmtid="{D5CDD505-2E9C-101B-9397-08002B2CF9AE}" pid="44" name="pb940a55b18746cdbb1d76ca362c05860">
    <vt:lpwstr>Evaluation|43cb9915-dbd2-4e45-b39d-7bc5c58c72da</vt:lpwstr>
  </property>
  <property fmtid="{D5CDD505-2E9C-101B-9397-08002B2CF9AE}" pid="45" name="Data Description">
    <vt:lpwstr/>
  </property>
  <property fmtid="{D5CDD505-2E9C-101B-9397-08002B2CF9AE}" pid="46" name="Data Database Location">
    <vt:lpwstr/>
  </property>
  <property fmtid="{D5CDD505-2E9C-101B-9397-08002B2CF9AE}" pid="47" name="_SourceUrl">
    <vt:lpwstr/>
  </property>
  <property fmtid="{D5CDD505-2E9C-101B-9397-08002B2CF9AE}" pid="48" name="_SharedFileIndex">
    <vt:lpwstr/>
  </property>
  <property fmtid="{D5CDD505-2E9C-101B-9397-08002B2CF9AE}" pid="49" name="ComplianceAssetId">
    <vt:lpwstr/>
  </property>
  <property fmtid="{D5CDD505-2E9C-101B-9397-08002B2CF9AE}" pid="50" name="TemplateUrl">
    <vt:lpwstr/>
  </property>
  <property fmtid="{D5CDD505-2E9C-101B-9397-08002B2CF9AE}" pid="51" name="Data Origin">
    <vt:lpwstr/>
  </property>
  <property fmtid="{D5CDD505-2E9C-101B-9397-08002B2CF9AE}" pid="52" name="_ExtendedDescription">
    <vt:lpwstr/>
  </property>
  <property fmtid="{D5CDD505-2E9C-101B-9397-08002B2CF9AE}" pid="53" name="jf6c16bbf41b473ebe1e583d28d779070">
    <vt:lpwstr/>
  </property>
  <property fmtid="{D5CDD505-2E9C-101B-9397-08002B2CF9AE}" pid="54" name="m5a168ed04b248b3bef91ad6e7b635a10">
    <vt:lpwstr>OFFICIAL|3776503d-ed4e-4d70-8dfd-8e17b238523b</vt:lpwstr>
  </property>
  <property fmtid="{D5CDD505-2E9C-101B-9397-08002B2CF9AE}" pid="55" name="xd_Signature">
    <vt:bool>false</vt:bool>
  </property>
  <property fmtid="{D5CDD505-2E9C-101B-9397-08002B2CF9AE}" pid="56" name="Data Custodian">
    <vt:lpwstr/>
  </property>
  <property fmtid="{D5CDD505-2E9C-101B-9397-08002B2CF9AE}" pid="57" name="Data Quality">
    <vt:lpwstr/>
  </property>
  <property fmtid="{D5CDD505-2E9C-101B-9397-08002B2CF9AE}" pid="58" name="o2e94e0b7bb742308b3aec7384781dc00">
    <vt:lpwstr/>
  </property>
  <property fmtid="{D5CDD505-2E9C-101B-9397-08002B2CF9AE}" pid="59" name="Summary Document">
    <vt:lpwstr/>
  </property>
  <property fmtid="{D5CDD505-2E9C-101B-9397-08002B2CF9AE}" pid="60" name="pd3a3559ef84480a8025c4c7bb6e6dee0">
    <vt:lpwstr/>
  </property>
  <property fmtid="{D5CDD505-2E9C-101B-9397-08002B2CF9AE}" pid="62" name="TriggerFlowInfo">
    <vt:lpwstr/>
  </property>
  <property fmtid="{D5CDD505-2E9C-101B-9397-08002B2CF9AE}" pid="63" name="Data Machine Readable">
    <vt:bool>false</vt:bool>
  </property>
  <property fmtid="{D5CDD505-2E9C-101B-9397-08002B2CF9AE}" pid="64" name="h46016694f704d158a57d0b5238c000e0">
    <vt:lpwstr/>
  </property>
  <property fmtid="{D5CDD505-2E9C-101B-9397-08002B2CF9AE}" pid="65" name="Data Owner and Authority">
    <vt:lpwstr/>
  </property>
  <property fmtid="{D5CDD505-2E9C-101B-9397-08002B2CF9AE}" pid="66" name="xd_ProgID">
    <vt:lpwstr/>
  </property>
</Properties>
</file>