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F8F5" w14:textId="77777777" w:rsidR="00F65C71" w:rsidRPr="003E6DF4" w:rsidRDefault="00F65C71" w:rsidP="00F65C71">
      <w:pPr>
        <w:tabs>
          <w:tab w:val="left" w:pos="851"/>
        </w:tabs>
        <w:rPr>
          <w:noProof/>
          <w:sz w:val="20"/>
          <w:szCs w:val="20"/>
          <w:lang w:val="en-AU" w:eastAsia="en-AU" w:bidi="ar-SA"/>
        </w:rPr>
      </w:pPr>
      <w:r w:rsidRPr="003E6DF4">
        <w:rPr>
          <w:noProof/>
          <w:sz w:val="20"/>
          <w:szCs w:val="20"/>
          <w:lang w:val="en-AU" w:eastAsia="en-AU" w:bidi="ar-SA"/>
        </w:rPr>
        <w:drawing>
          <wp:inline distT="0" distB="0" distL="0" distR="0" wp14:anchorId="1E77FDA6" wp14:editId="7C4A889E">
            <wp:extent cx="2657475" cy="438150"/>
            <wp:effectExtent l="0" t="0" r="9525" b="0"/>
            <wp:docPr id="1035833958" name="Picture 1035833958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9044" w14:textId="77777777" w:rsidR="00F65C71" w:rsidRPr="003E6DF4" w:rsidRDefault="00F65C71" w:rsidP="00F65C71">
      <w:pPr>
        <w:rPr>
          <w:lang w:bidi="ar-SA"/>
        </w:rPr>
      </w:pPr>
    </w:p>
    <w:p w14:paraId="651F628F" w14:textId="77777777" w:rsidR="00F65C71" w:rsidRPr="008C625B" w:rsidRDefault="00F65C71" w:rsidP="00F65C71">
      <w:pPr>
        <w:pBdr>
          <w:bottom w:val="single" w:sz="4" w:space="1" w:color="auto"/>
        </w:pBdr>
        <w:rPr>
          <w:b/>
          <w:sz w:val="20"/>
          <w:szCs w:val="20"/>
        </w:rPr>
      </w:pPr>
      <w:r w:rsidRPr="008C625B">
        <w:rPr>
          <w:b/>
          <w:sz w:val="20"/>
          <w:szCs w:val="20"/>
        </w:rPr>
        <w:t xml:space="preserve">Food Standards (Application A1301 – Triacylglycerol lipase from GM </w:t>
      </w:r>
      <w:r w:rsidRPr="008C625B">
        <w:rPr>
          <w:b/>
          <w:i/>
          <w:iCs/>
          <w:sz w:val="20"/>
          <w:szCs w:val="20"/>
        </w:rPr>
        <w:t>Komagataella phaffii</w:t>
      </w:r>
      <w:r w:rsidRPr="008C625B">
        <w:rPr>
          <w:b/>
          <w:sz w:val="20"/>
          <w:szCs w:val="20"/>
        </w:rPr>
        <w:t xml:space="preserve"> as a processing aid) Variation</w:t>
      </w:r>
    </w:p>
    <w:p w14:paraId="0014EA56" w14:textId="77777777" w:rsidR="00F65C71" w:rsidRPr="003E6DF4" w:rsidRDefault="00F65C71" w:rsidP="00F65C71">
      <w:pPr>
        <w:pBdr>
          <w:bottom w:val="single" w:sz="4" w:space="1" w:color="auto"/>
        </w:pBdr>
        <w:rPr>
          <w:b/>
          <w:sz w:val="20"/>
        </w:rPr>
      </w:pPr>
    </w:p>
    <w:p w14:paraId="3D6E8550" w14:textId="77777777" w:rsidR="00F65C71" w:rsidRPr="003E6DF4" w:rsidRDefault="00F65C71" w:rsidP="00F65C71">
      <w:pPr>
        <w:rPr>
          <w:sz w:val="20"/>
        </w:rPr>
      </w:pPr>
    </w:p>
    <w:p w14:paraId="53FD1E03" w14:textId="77777777" w:rsidR="00F65C71" w:rsidRPr="003E6DF4" w:rsidRDefault="00F65C71" w:rsidP="00F65C71">
      <w:pPr>
        <w:rPr>
          <w:sz w:val="20"/>
        </w:rPr>
      </w:pPr>
      <w:r w:rsidRPr="003E6DF4">
        <w:rPr>
          <w:sz w:val="20"/>
        </w:rPr>
        <w:t xml:space="preserve">The Board of Food Standards Australia New Zealand gives notice of the making of this variation under section 92 of the </w:t>
      </w:r>
      <w:r w:rsidRPr="003E6DF4">
        <w:rPr>
          <w:i/>
          <w:sz w:val="20"/>
        </w:rPr>
        <w:t>Food Standards Australia New Zealand Act 1991</w:t>
      </w:r>
      <w:r w:rsidRPr="003E6DF4">
        <w:rPr>
          <w:sz w:val="20"/>
        </w:rPr>
        <w:t>.  The variation commences on the date specified in clause 3 of this variation.</w:t>
      </w:r>
    </w:p>
    <w:p w14:paraId="3075394D" w14:textId="77777777" w:rsidR="00F65C71" w:rsidRPr="003E6DF4" w:rsidRDefault="00F65C71" w:rsidP="00F65C71">
      <w:pPr>
        <w:rPr>
          <w:sz w:val="20"/>
        </w:rPr>
      </w:pPr>
    </w:p>
    <w:p w14:paraId="1C23FB25" w14:textId="1453AA9D" w:rsidR="00F65C71" w:rsidRPr="003E6DF4" w:rsidRDefault="00F65C71" w:rsidP="00F65C71">
      <w:pPr>
        <w:rPr>
          <w:sz w:val="20"/>
        </w:rPr>
      </w:pPr>
      <w:r w:rsidRPr="005B62DE">
        <w:rPr>
          <w:sz w:val="20"/>
        </w:rPr>
        <w:t>Dated</w:t>
      </w:r>
      <w:r w:rsidR="005B62DE" w:rsidRPr="005B62DE">
        <w:rPr>
          <w:sz w:val="20"/>
        </w:rPr>
        <w:t xml:space="preserve"> 16 April 2025</w:t>
      </w:r>
    </w:p>
    <w:p w14:paraId="2B666873" w14:textId="77777777" w:rsidR="00F65C71" w:rsidRPr="003E6DF4" w:rsidRDefault="00F65C71" w:rsidP="00F65C71">
      <w:pPr>
        <w:rPr>
          <w:sz w:val="20"/>
        </w:rPr>
      </w:pPr>
    </w:p>
    <w:p w14:paraId="12C1CB7D" w14:textId="56FE459A" w:rsidR="00F65C71" w:rsidRPr="003E6DF4" w:rsidRDefault="00577567" w:rsidP="00F65C71">
      <w:pPr>
        <w:rPr>
          <w:sz w:val="20"/>
        </w:rPr>
      </w:pPr>
      <w:r>
        <w:rPr>
          <w:noProof/>
        </w:rPr>
        <w:drawing>
          <wp:inline distT="0" distB="0" distL="0" distR="0" wp14:anchorId="73C11BDB" wp14:editId="28BFD90D">
            <wp:extent cx="1231265" cy="370205"/>
            <wp:effectExtent l="0" t="0" r="6985" b="0"/>
            <wp:docPr id="8" name="Picture 1" descr="The 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The Signature of the delegate of the Board of Food Standards Australia New Zealan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02E9E" w14:textId="77777777" w:rsidR="00F65C71" w:rsidRPr="003E6DF4" w:rsidRDefault="00F65C71" w:rsidP="00F65C71">
      <w:pPr>
        <w:rPr>
          <w:sz w:val="20"/>
        </w:rPr>
      </w:pPr>
    </w:p>
    <w:p w14:paraId="07A74770" w14:textId="77777777" w:rsidR="00060E9C" w:rsidRPr="008545EA" w:rsidRDefault="00060E9C" w:rsidP="00060E9C">
      <w:pPr>
        <w:rPr>
          <w:sz w:val="20"/>
          <w:szCs w:val="20"/>
        </w:rPr>
      </w:pPr>
      <w:r w:rsidRPr="008545EA">
        <w:rPr>
          <w:sz w:val="20"/>
          <w:szCs w:val="20"/>
        </w:rPr>
        <w:t>Matthew O’Mullane, General Manager</w:t>
      </w:r>
      <w:r w:rsidRPr="3F89E997">
        <w:rPr>
          <w:sz w:val="20"/>
          <w:szCs w:val="20"/>
        </w:rPr>
        <w:t>, Food Safety</w:t>
      </w:r>
    </w:p>
    <w:p w14:paraId="376C4B83" w14:textId="77777777" w:rsidR="00060E9C" w:rsidRPr="008545EA" w:rsidRDefault="00060E9C" w:rsidP="00060E9C">
      <w:pPr>
        <w:rPr>
          <w:sz w:val="20"/>
        </w:rPr>
      </w:pPr>
      <w:r w:rsidRPr="008545EA">
        <w:rPr>
          <w:sz w:val="20"/>
        </w:rPr>
        <w:t>Delegate of the Board of Food Standards Australia New Zealand</w:t>
      </w:r>
    </w:p>
    <w:p w14:paraId="364A674C" w14:textId="77777777" w:rsidR="00F65C71" w:rsidRPr="003E6DF4" w:rsidRDefault="00F65C71" w:rsidP="00F65C71">
      <w:pPr>
        <w:rPr>
          <w:sz w:val="20"/>
        </w:rPr>
      </w:pPr>
    </w:p>
    <w:p w14:paraId="5F69A5F9" w14:textId="77777777" w:rsidR="00F65C71" w:rsidRPr="003E6DF4" w:rsidRDefault="00F65C71" w:rsidP="00F65C71">
      <w:pPr>
        <w:rPr>
          <w:sz w:val="20"/>
        </w:rPr>
      </w:pPr>
    </w:p>
    <w:p w14:paraId="731139B7" w14:textId="77777777" w:rsidR="00F65C71" w:rsidRPr="003E6DF4" w:rsidRDefault="00F65C71" w:rsidP="00F65C71">
      <w:pPr>
        <w:rPr>
          <w:sz w:val="20"/>
        </w:rPr>
      </w:pPr>
    </w:p>
    <w:p w14:paraId="76E00FC6" w14:textId="77777777" w:rsidR="00F65C71" w:rsidRPr="003E6DF4" w:rsidRDefault="00F65C71" w:rsidP="00F65C71">
      <w:pPr>
        <w:rPr>
          <w:sz w:val="20"/>
        </w:rPr>
      </w:pPr>
    </w:p>
    <w:p w14:paraId="0CCA0729" w14:textId="77777777" w:rsidR="00F65C71" w:rsidRPr="003E6DF4" w:rsidRDefault="00F65C71" w:rsidP="00F65C71">
      <w:pPr>
        <w:rPr>
          <w:sz w:val="20"/>
        </w:rPr>
      </w:pPr>
    </w:p>
    <w:p w14:paraId="3D81567C" w14:textId="77777777" w:rsidR="00F65C71" w:rsidRPr="003E6DF4" w:rsidRDefault="00F65C71" w:rsidP="00F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 w:rsidRPr="003E6DF4">
        <w:rPr>
          <w:b/>
          <w:sz w:val="20"/>
          <w:lang w:val="en-AU"/>
        </w:rPr>
        <w:t xml:space="preserve">Note:  </w:t>
      </w:r>
    </w:p>
    <w:p w14:paraId="25DF9B6E" w14:textId="77777777" w:rsidR="00F65C71" w:rsidRPr="003E6DF4" w:rsidRDefault="00F65C71" w:rsidP="00F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</w:p>
    <w:p w14:paraId="0E5A9046" w14:textId="46757851" w:rsidR="00F65C71" w:rsidRPr="003E6DF4" w:rsidRDefault="00F65C71" w:rsidP="00F65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  <w:r w:rsidRPr="003E6DF4">
        <w:rPr>
          <w:sz w:val="20"/>
          <w:lang w:val="en-AU"/>
        </w:rPr>
        <w:t xml:space="preserve">This variation will be published in the Commonwealth of Australia Gazette No. FSC </w:t>
      </w:r>
      <w:r w:rsidR="009A49F3">
        <w:rPr>
          <w:sz w:val="20"/>
          <w:lang w:val="en-AU"/>
        </w:rPr>
        <w:t>1</w:t>
      </w:r>
      <w:r w:rsidR="008C625B">
        <w:rPr>
          <w:sz w:val="20"/>
          <w:lang w:val="en-AU"/>
        </w:rPr>
        <w:t>76</w:t>
      </w:r>
      <w:r w:rsidRPr="003E6DF4">
        <w:rPr>
          <w:sz w:val="20"/>
          <w:lang w:val="en-AU"/>
        </w:rPr>
        <w:t xml:space="preserve"> on </w:t>
      </w:r>
      <w:r w:rsidR="005B535E" w:rsidRPr="005B535E">
        <w:rPr>
          <w:sz w:val="20"/>
          <w:lang w:val="en-AU"/>
        </w:rPr>
        <w:t>29 April</w:t>
      </w:r>
      <w:r w:rsidRPr="005B535E">
        <w:rPr>
          <w:sz w:val="20"/>
          <w:lang w:val="en-AU"/>
        </w:rPr>
        <w:t xml:space="preserve"> </w:t>
      </w:r>
      <w:r w:rsidRPr="003E6DF4">
        <w:rPr>
          <w:sz w:val="20"/>
          <w:lang w:val="en-AU"/>
        </w:rPr>
        <w:t>20</w:t>
      </w:r>
      <w:r w:rsidR="009A49F3">
        <w:rPr>
          <w:sz w:val="20"/>
          <w:lang w:val="en-AU"/>
        </w:rPr>
        <w:t>25</w:t>
      </w:r>
      <w:r w:rsidRPr="003E6DF4">
        <w:rPr>
          <w:sz w:val="20"/>
          <w:lang w:val="en-AU"/>
        </w:rPr>
        <w:t xml:space="preserve">. This means that this date is the gazettal date for the purposes of clause 3 of the variation. </w:t>
      </w:r>
    </w:p>
    <w:p w14:paraId="435D8194" w14:textId="77777777" w:rsidR="00F65C71" w:rsidRPr="003E6DF4" w:rsidRDefault="00F65C71" w:rsidP="00F65C71">
      <w:pPr>
        <w:rPr>
          <w:lang w:bidi="ar-SA"/>
        </w:rPr>
      </w:pPr>
    </w:p>
    <w:p w14:paraId="7540F4C9" w14:textId="77777777" w:rsidR="00F65C71" w:rsidRPr="003E6DF4" w:rsidRDefault="00F65C71" w:rsidP="00F65C71">
      <w:pPr>
        <w:widowControl/>
        <w:rPr>
          <w:lang w:bidi="ar-SA"/>
        </w:rPr>
      </w:pPr>
      <w:r w:rsidRPr="003E6DF4">
        <w:rPr>
          <w:lang w:bidi="ar-SA"/>
        </w:rPr>
        <w:br w:type="page"/>
      </w:r>
    </w:p>
    <w:p w14:paraId="57FBC40C" w14:textId="77777777" w:rsidR="00F65C71" w:rsidRPr="003E6DF4" w:rsidRDefault="00F65C71" w:rsidP="00F65C71">
      <w:pPr>
        <w:rPr>
          <w:lang w:bidi="ar-SA"/>
        </w:rPr>
      </w:pPr>
    </w:p>
    <w:p w14:paraId="709CD21A" w14:textId="77777777" w:rsidR="00F65C71" w:rsidRPr="003E6DF4" w:rsidRDefault="00F65C71" w:rsidP="00F65C71">
      <w:pPr>
        <w:pStyle w:val="FSCDraftingitemheading"/>
      </w:pPr>
      <w:r w:rsidRPr="003E6DF4">
        <w:t>1</w:t>
      </w:r>
      <w:r w:rsidRPr="003E6DF4">
        <w:tab/>
        <w:t>Name</w:t>
      </w:r>
    </w:p>
    <w:p w14:paraId="4B35362B" w14:textId="77777777" w:rsidR="00F65C71" w:rsidRPr="003E6DF4" w:rsidRDefault="00F65C71" w:rsidP="00F65C71">
      <w:pPr>
        <w:pStyle w:val="FSCDraftingitem"/>
      </w:pPr>
      <w:r w:rsidRPr="003E6DF4">
        <w:t xml:space="preserve">This instrument is the </w:t>
      </w:r>
      <w:r w:rsidRPr="003E6DF4">
        <w:rPr>
          <w:i/>
        </w:rPr>
        <w:t xml:space="preserve">Food Standards (Application A1301 – </w:t>
      </w:r>
      <w:r w:rsidRPr="003E6DF4">
        <w:rPr>
          <w:i/>
          <w:iCs/>
        </w:rPr>
        <w:t>Triacylglycerol lipase from GM</w:t>
      </w:r>
      <w:r w:rsidRPr="003E6DF4">
        <w:t xml:space="preserve"> Komagataella phaffii </w:t>
      </w:r>
      <w:r w:rsidRPr="003E6DF4">
        <w:rPr>
          <w:i/>
          <w:iCs/>
        </w:rPr>
        <w:t>as a processing aid)</w:t>
      </w:r>
      <w:r w:rsidRPr="003E6DF4">
        <w:rPr>
          <w:i/>
        </w:rPr>
        <w:t xml:space="preserve"> Variation</w:t>
      </w:r>
      <w:r w:rsidRPr="003E6DF4">
        <w:t>.</w:t>
      </w:r>
    </w:p>
    <w:p w14:paraId="536BD9E0" w14:textId="77777777" w:rsidR="00F65C71" w:rsidRPr="003E6DF4" w:rsidRDefault="00F65C71" w:rsidP="00F65C71">
      <w:pPr>
        <w:pStyle w:val="FSCDraftingitemheading"/>
      </w:pPr>
      <w:r w:rsidRPr="003E6DF4">
        <w:t>2</w:t>
      </w:r>
      <w:r w:rsidRPr="003E6DF4">
        <w:tab/>
        <w:t xml:space="preserve">Variation to a Standard in the </w:t>
      </w:r>
      <w:r w:rsidRPr="003E6DF4">
        <w:rPr>
          <w:i/>
          <w:iCs/>
        </w:rPr>
        <w:t>Australia New Zealand Food Standards Code</w:t>
      </w:r>
    </w:p>
    <w:p w14:paraId="6B924070" w14:textId="77777777" w:rsidR="00F65C71" w:rsidRPr="003E6DF4" w:rsidRDefault="00F65C71" w:rsidP="00F65C71">
      <w:pPr>
        <w:pStyle w:val="FSCDraftingitem"/>
      </w:pPr>
      <w:r w:rsidRPr="003E6DF4">
        <w:t xml:space="preserve">The Schedule varies a Standard in the </w:t>
      </w:r>
      <w:r w:rsidRPr="003E6DF4">
        <w:rPr>
          <w:i/>
        </w:rPr>
        <w:t>Australia New Zealand Food Standards Code</w:t>
      </w:r>
      <w:r w:rsidRPr="003E6DF4">
        <w:t>.</w:t>
      </w:r>
    </w:p>
    <w:p w14:paraId="64BEEF43" w14:textId="77777777" w:rsidR="00F65C71" w:rsidRPr="003E6DF4" w:rsidRDefault="00F65C71" w:rsidP="00F65C71">
      <w:pPr>
        <w:pStyle w:val="FSCDraftingitemheading"/>
      </w:pPr>
      <w:r w:rsidRPr="003E6DF4">
        <w:t>3</w:t>
      </w:r>
      <w:r w:rsidRPr="003E6DF4">
        <w:tab/>
        <w:t>Commencement</w:t>
      </w:r>
    </w:p>
    <w:p w14:paraId="0BEDD0CF" w14:textId="77777777" w:rsidR="00F65C71" w:rsidRPr="003E6DF4" w:rsidRDefault="00F65C71" w:rsidP="00F65C71">
      <w:pPr>
        <w:pStyle w:val="FSCDraftingitem"/>
      </w:pPr>
      <w:r w:rsidRPr="003E6DF4">
        <w:t>The variation commences on the date of gazettal.</w:t>
      </w:r>
    </w:p>
    <w:p w14:paraId="3D704527" w14:textId="77777777" w:rsidR="00F65C71" w:rsidRPr="003E6DF4" w:rsidRDefault="00F65C71" w:rsidP="00F65C71">
      <w:pPr>
        <w:jc w:val="center"/>
        <w:rPr>
          <w:b/>
          <w:sz w:val="20"/>
        </w:rPr>
      </w:pPr>
      <w:r w:rsidRPr="003E6DF4">
        <w:rPr>
          <w:b/>
          <w:sz w:val="20"/>
        </w:rPr>
        <w:t>Schedule</w:t>
      </w:r>
    </w:p>
    <w:p w14:paraId="1719CC9A" w14:textId="77777777" w:rsidR="00F65C71" w:rsidRPr="003E6DF4" w:rsidRDefault="00F65C71" w:rsidP="00F65C71">
      <w:pPr>
        <w:pStyle w:val="FSCDraftingitemheading"/>
        <w:rPr>
          <w:b w:val="0"/>
        </w:rPr>
      </w:pPr>
      <w:r w:rsidRPr="003E6DF4">
        <w:rPr>
          <w:lang w:bidi="en-US"/>
        </w:rPr>
        <w:t>Schedule 18—</w:t>
      </w:r>
      <w:r w:rsidRPr="003E6DF4">
        <w:t>Processing aids</w:t>
      </w:r>
    </w:p>
    <w:p w14:paraId="53CAE4D8" w14:textId="77777777" w:rsidR="00F65C71" w:rsidRPr="003E6DF4" w:rsidRDefault="00F65C71" w:rsidP="00F65C71">
      <w:pPr>
        <w:pStyle w:val="FSCDraftingitemheading"/>
        <w:rPr>
          <w:lang w:bidi="en-US"/>
        </w:rPr>
      </w:pPr>
      <w:r w:rsidRPr="003E6DF4">
        <w:rPr>
          <w:lang w:bidi="en-US"/>
        </w:rPr>
        <w:t>[1]</w:t>
      </w:r>
      <w:r w:rsidRPr="003E6DF4">
        <w:rPr>
          <w:lang w:bidi="en-US"/>
        </w:rPr>
        <w:tab/>
        <w:t xml:space="preserve"> S</w:t>
      </w:r>
      <w:r w:rsidRPr="003E6DF4">
        <w:t xml:space="preserve">ubsection S18—9(3) (table) </w:t>
      </w:r>
    </w:p>
    <w:p w14:paraId="29BA1573" w14:textId="77777777" w:rsidR="00F65C71" w:rsidRPr="003E6DF4" w:rsidRDefault="00F65C71" w:rsidP="00F65C71">
      <w:pPr>
        <w:pStyle w:val="FSCDraftingitem"/>
      </w:pPr>
      <w:r w:rsidRPr="003E6DF4">
        <w:rPr>
          <w:b/>
        </w:rPr>
        <w:tab/>
      </w:r>
      <w:r w:rsidRPr="003E6DF4">
        <w:t xml:space="preserve"> Insert: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395"/>
        <w:gridCol w:w="986"/>
      </w:tblGrid>
      <w:tr w:rsidR="00F65C71" w:rsidRPr="003E6DF4" w14:paraId="0D1140CE" w14:textId="77777777" w:rsidTr="00EF6F0E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5B497" w14:textId="77777777" w:rsidR="00F65C71" w:rsidRPr="00F65C71" w:rsidRDefault="00F65C71" w:rsidP="00EF6F0E">
            <w:pPr>
              <w:pStyle w:val="FSCtblMain"/>
              <w:rPr>
                <w:rFonts w:ascii="Arial" w:hAnsi="Arial"/>
              </w:rPr>
            </w:pPr>
            <w:r w:rsidRPr="00F65C71">
              <w:rPr>
                <w:rFonts w:ascii="Arial" w:hAnsi="Arial"/>
              </w:rPr>
              <w:t xml:space="preserve">Lipase, triacylglycerol (EC 3.1.1.3) sourced from </w:t>
            </w:r>
            <w:r w:rsidRPr="00F65C71">
              <w:rPr>
                <w:rFonts w:ascii="Arial" w:hAnsi="Arial"/>
                <w:i/>
                <w:iCs/>
              </w:rPr>
              <w:t>Komagataella phaffii</w:t>
            </w:r>
            <w:r w:rsidRPr="00F65C71">
              <w:rPr>
                <w:rFonts w:ascii="Arial" w:hAnsi="Arial"/>
              </w:rPr>
              <w:t xml:space="preserve"> containing the lipase, triacylglycerol gene from </w:t>
            </w:r>
            <w:r w:rsidRPr="00F65C71">
              <w:rPr>
                <w:rFonts w:ascii="Arial" w:hAnsi="Arial"/>
                <w:i/>
                <w:iCs/>
              </w:rPr>
              <w:t>Fusarium oxysporum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E0090" w14:textId="77777777" w:rsidR="00F65C71" w:rsidRPr="00F65C71" w:rsidRDefault="00F65C71" w:rsidP="00EF6F0E">
            <w:pPr>
              <w:pStyle w:val="FSCtblMain"/>
              <w:rPr>
                <w:rFonts w:ascii="Arial" w:hAnsi="Arial"/>
              </w:rPr>
            </w:pPr>
            <w:r w:rsidRPr="00F65C71">
              <w:rPr>
                <w:rFonts w:ascii="Arial" w:hAnsi="Arial"/>
              </w:rPr>
              <w:t>For use in the manufacture of bread and bakery products.</w:t>
            </w:r>
          </w:p>
          <w:p w14:paraId="6BE869E1" w14:textId="77777777" w:rsidR="00F65C71" w:rsidRPr="00F65C71" w:rsidRDefault="00F65C71" w:rsidP="00EF6F0E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736" w14:textId="77777777" w:rsidR="00F65C71" w:rsidRPr="00F65C71" w:rsidRDefault="00F65C71" w:rsidP="00EF6F0E">
            <w:pPr>
              <w:pStyle w:val="FSCtblMain"/>
              <w:rPr>
                <w:rFonts w:ascii="Arial" w:hAnsi="Arial"/>
              </w:rPr>
            </w:pPr>
            <w:r w:rsidRPr="00F65C71">
              <w:rPr>
                <w:rFonts w:ascii="Arial" w:hAnsi="Arial"/>
              </w:rPr>
              <w:t>GMP</w:t>
            </w:r>
          </w:p>
        </w:tc>
      </w:tr>
    </w:tbl>
    <w:p w14:paraId="69EFDEAC" w14:textId="77777777" w:rsidR="00F65C71" w:rsidRPr="003E6DF4" w:rsidRDefault="00F65C71" w:rsidP="00F65C71">
      <w:pPr>
        <w:rPr>
          <w:lang w:bidi="ar-SA"/>
        </w:rPr>
      </w:pPr>
    </w:p>
    <w:p w14:paraId="0D3ED0A6" w14:textId="11A0EA8F" w:rsidR="00D5526B" w:rsidRPr="003A01FB" w:rsidRDefault="00D5526B" w:rsidP="00F65C71"/>
    <w:sectPr w:rsidR="00D5526B" w:rsidRPr="003A01FB" w:rsidSect="008E2339">
      <w:headerReference w:type="even" r:id="rId14"/>
      <w:footerReference w:type="even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A4D8" w14:textId="77777777" w:rsidR="00DD6333" w:rsidRDefault="00DD6333" w:rsidP="00DD6333">
      <w:r>
        <w:separator/>
      </w:r>
    </w:p>
  </w:endnote>
  <w:endnote w:type="continuationSeparator" w:id="0">
    <w:p w14:paraId="2F22DA28" w14:textId="77777777" w:rsidR="00DD6333" w:rsidRDefault="00DD6333" w:rsidP="00DD6333">
      <w:r>
        <w:continuationSeparator/>
      </w:r>
    </w:p>
  </w:endnote>
  <w:endnote w:type="continuationNotice" w:id="1">
    <w:p w14:paraId="6BBD036C" w14:textId="77777777" w:rsidR="00DD6333" w:rsidRDefault="00DD6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CF5A" w14:textId="33F21F42" w:rsidR="00DD6333" w:rsidRDefault="00DD6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2F7D" w14:textId="3B433018" w:rsidR="00DD6333" w:rsidRDefault="00DD6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E7F2" w14:textId="77777777" w:rsidR="00DD6333" w:rsidRDefault="00DD6333" w:rsidP="00DD6333">
      <w:r>
        <w:separator/>
      </w:r>
    </w:p>
  </w:footnote>
  <w:footnote w:type="continuationSeparator" w:id="0">
    <w:p w14:paraId="1BE4424C" w14:textId="77777777" w:rsidR="00DD6333" w:rsidRDefault="00DD6333" w:rsidP="00DD6333">
      <w:r>
        <w:continuationSeparator/>
      </w:r>
    </w:p>
  </w:footnote>
  <w:footnote w:type="continuationNotice" w:id="1">
    <w:p w14:paraId="34125AF6" w14:textId="77777777" w:rsidR="00DD6333" w:rsidRDefault="00DD6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7FC1" w14:textId="1F2D0DAE" w:rsidR="00DD6333" w:rsidRDefault="00DD6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24C5" w14:textId="52233B65" w:rsidR="00DD6333" w:rsidRDefault="00DD6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303318961">
    <w:abstractNumId w:val="0"/>
  </w:num>
  <w:num w:numId="2" w16cid:durableId="1347054326">
    <w:abstractNumId w:val="0"/>
  </w:num>
  <w:num w:numId="3" w16cid:durableId="1401905380">
    <w:abstractNumId w:val="0"/>
  </w:num>
  <w:num w:numId="4" w16cid:durableId="510878757">
    <w:abstractNumId w:val="0"/>
  </w:num>
  <w:num w:numId="5" w16cid:durableId="1083799265">
    <w:abstractNumId w:val="0"/>
  </w:num>
  <w:num w:numId="6" w16cid:durableId="808477829">
    <w:abstractNumId w:val="0"/>
  </w:num>
  <w:num w:numId="7" w16cid:durableId="127479210">
    <w:abstractNumId w:val="0"/>
  </w:num>
  <w:num w:numId="8" w16cid:durableId="1858348123">
    <w:abstractNumId w:val="3"/>
  </w:num>
  <w:num w:numId="9" w16cid:durableId="1413969068">
    <w:abstractNumId w:val="1"/>
  </w:num>
  <w:num w:numId="10" w16cid:durableId="188955364">
    <w:abstractNumId w:val="2"/>
  </w:num>
  <w:num w:numId="11" w16cid:durableId="1033190071">
    <w:abstractNumId w:val="3"/>
  </w:num>
  <w:num w:numId="12" w16cid:durableId="1019157851">
    <w:abstractNumId w:val="1"/>
  </w:num>
  <w:num w:numId="13" w16cid:durableId="2102992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71"/>
    <w:rsid w:val="0000542C"/>
    <w:rsid w:val="00041643"/>
    <w:rsid w:val="00060E9C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2B1DE7"/>
    <w:rsid w:val="0033021F"/>
    <w:rsid w:val="00341D25"/>
    <w:rsid w:val="003A002D"/>
    <w:rsid w:val="003A01FB"/>
    <w:rsid w:val="00404702"/>
    <w:rsid w:val="00441D77"/>
    <w:rsid w:val="00443F05"/>
    <w:rsid w:val="00486619"/>
    <w:rsid w:val="004D3868"/>
    <w:rsid w:val="004E6694"/>
    <w:rsid w:val="0054036E"/>
    <w:rsid w:val="00577567"/>
    <w:rsid w:val="005B535E"/>
    <w:rsid w:val="005B578D"/>
    <w:rsid w:val="005B62DE"/>
    <w:rsid w:val="005C1996"/>
    <w:rsid w:val="005F03AA"/>
    <w:rsid w:val="005F4243"/>
    <w:rsid w:val="006B6900"/>
    <w:rsid w:val="006D473E"/>
    <w:rsid w:val="007101BF"/>
    <w:rsid w:val="007201F8"/>
    <w:rsid w:val="0073688F"/>
    <w:rsid w:val="00793DE6"/>
    <w:rsid w:val="007E5525"/>
    <w:rsid w:val="007F6456"/>
    <w:rsid w:val="00806B34"/>
    <w:rsid w:val="00815A44"/>
    <w:rsid w:val="00830393"/>
    <w:rsid w:val="00833D5A"/>
    <w:rsid w:val="00860EE7"/>
    <w:rsid w:val="00877A81"/>
    <w:rsid w:val="008931F6"/>
    <w:rsid w:val="008C625B"/>
    <w:rsid w:val="008E2339"/>
    <w:rsid w:val="00935023"/>
    <w:rsid w:val="009806A5"/>
    <w:rsid w:val="009A49F3"/>
    <w:rsid w:val="009B2C53"/>
    <w:rsid w:val="009E265A"/>
    <w:rsid w:val="00A25B29"/>
    <w:rsid w:val="00A26F82"/>
    <w:rsid w:val="00A54877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C615C"/>
    <w:rsid w:val="00DD6333"/>
    <w:rsid w:val="00DF4A30"/>
    <w:rsid w:val="00E0050C"/>
    <w:rsid w:val="00E2450C"/>
    <w:rsid w:val="00E340B5"/>
    <w:rsid w:val="00E4001E"/>
    <w:rsid w:val="00E53ACA"/>
    <w:rsid w:val="00E9409E"/>
    <w:rsid w:val="00EC21E6"/>
    <w:rsid w:val="00EC65E9"/>
    <w:rsid w:val="00F4105E"/>
    <w:rsid w:val="00F616DA"/>
    <w:rsid w:val="00F65C71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4FEF3"/>
  <w15:chartTrackingRefBased/>
  <w15:docId w15:val="{B8626206-E9CA-464F-8BBE-D1B3FF80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F65C71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65C71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C71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C71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C71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C71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C71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F65C7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65C7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F65C71"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F65C71"/>
    <w:rPr>
      <w:rFonts w:cstheme="minorBidi"/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F65C71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C71"/>
    <w:rPr>
      <w:rFonts w:cstheme="minorBidi"/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rsid w:val="00F65C7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65C71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F65C71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F65C71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tblMain">
    <w:name w:val="FSC_tbl_Main"/>
    <w:basedOn w:val="Normal"/>
    <w:rsid w:val="00F65C71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a52c40584476275a6a0b951972afc0ca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3a6a33416be3f65f21decb5fdaf4006b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  <Value>3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43cb9915-dbd2-4e45-b39d-7bc5c58c72da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Props1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84588-375C-4035-AF6A-A6C9BB30F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F2B2D-BC34-407C-AD3A-7632EEFAA98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517E9A4-F2E1-412B-86C5-D9A80FEF4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66A4E7-0790-4827-9F94-9872147439FA}">
  <ds:schemaRefs>
    <ds:schemaRef ds:uri="0e0bee33-077a-46d4-80d5-abd1b3a3b85b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1162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Barker</dc:creator>
  <cp:keywords/>
  <dc:description/>
  <cp:lastModifiedBy>Sasha Tait</cp:lastModifiedBy>
  <cp:revision>2</cp:revision>
  <dcterms:created xsi:type="dcterms:W3CDTF">2025-04-22T07:48:00Z</dcterms:created>
  <dcterms:modified xsi:type="dcterms:W3CDTF">2025-04-22T07:48:00Z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0x010100F5F252698E4843DFA3EBBF7EC57E522A00ED57D63352AC3D488C1927FA6C496CEC</vt:lpwstr>
  </property>
  <property fmtid="{D5CDD505-2E9C-101B-9397-08002B2CF9AE}" pid="3" name="pd3a3559ef84480a8025c4c7bb6e6dee">
    <vt:lpwstr/>
  </property>
  <property fmtid="{D5CDD505-2E9C-101B-9397-08002B2CF9AE}" pid="4" name="h46016694f704d158a57d0b5238c000e">
    <vt:lpwstr/>
  </property>
  <property fmtid="{D5CDD505-2E9C-101B-9397-08002B2CF9AE}" pid="5" name="MediaServiceImageTags">
    <vt:lpwstr/>
  </property>
  <property fmtid="{D5CDD505-2E9C-101B-9397-08002B2CF9AE}" pid="6" name="Data_x0020_Privacy">
    <vt:lpwstr/>
  </property>
  <property fmtid="{D5CDD505-2E9C-101B-9397-08002B2CF9AE}" pid="7" name="BCS">
    <vt:lpwstr>3;#Evaluation|43cb9915-dbd2-4e45-b39d-7bc5c58c72da</vt:lpwstr>
  </property>
  <property fmtid="{D5CDD505-2E9C-101B-9397-08002B2CF9AE}" pid="8" name="Access">
    <vt:lpwstr/>
  </property>
  <property fmtid="{D5CDD505-2E9C-101B-9397-08002B2CF9AE}" pid="9" name="Classification">
    <vt:lpwstr>1;#OFFICIAL|3776503d-ed4e-4d70-8dfd-8e17b238523b</vt:lpwstr>
  </property>
  <property fmtid="{D5CDD505-2E9C-101B-9397-08002B2CF9AE}" pid="10" name="Data_x0020_Category">
    <vt:lpwstr/>
  </property>
  <property fmtid="{D5CDD505-2E9C-101B-9397-08002B2CF9AE}" pid="11" name="Data_x0020_Accessibility">
    <vt:lpwstr/>
  </property>
  <property fmtid="{D5CDD505-2E9C-101B-9397-08002B2CF9AE}" pid="12" name="o2e94e0b7bb742308b3aec7384781dc0">
    <vt:lpwstr/>
  </property>
  <property fmtid="{D5CDD505-2E9C-101B-9397-08002B2CF9AE}" pid="13" name="lcf76f155ced4ddcb4097134ff3c332f">
    <vt:lpwstr/>
  </property>
  <property fmtid="{D5CDD505-2E9C-101B-9397-08002B2CF9AE}" pid="14" name="Data Privacy">
    <vt:lpwstr/>
  </property>
  <property fmtid="{D5CDD505-2E9C-101B-9397-08002B2CF9AE}" pid="15" name="Data Accessibility">
    <vt:lpwstr/>
  </property>
  <property fmtid="{D5CDD505-2E9C-101B-9397-08002B2CF9AE}" pid="16" name="Data Category">
    <vt:lpwstr/>
  </property>
  <property fmtid="{D5CDD505-2E9C-101B-9397-08002B2CF9AE}" pid="17" name="PM_Caveats_Count">
    <vt:lpwstr>0</vt:lpwstr>
  </property>
  <property fmtid="{D5CDD505-2E9C-101B-9397-08002B2CF9AE}" pid="18" name="PM_Namespace">
    <vt:lpwstr>gov.au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bjDocumentLabelXML-0">
    <vt:lpwstr>ent xmlns="" uid="0d6753b0-55bf-4bfe-9711-090a5860f1b6" value=""/&gt;&lt;/sisl&gt;</vt:lpwstr>
  </property>
  <property fmtid="{D5CDD505-2E9C-101B-9397-08002B2CF9AE}" pid="22" name="PM_OriginationTimeStamp">
    <vt:lpwstr>2025-04-22T07:46:55Z</vt:lpwstr>
  </property>
  <property fmtid="{D5CDD505-2E9C-101B-9397-08002B2CF9AE}" pid="23" name="PM_DownTo">
    <vt:lpwstr/>
  </property>
  <property fmtid="{D5CDD505-2E9C-101B-9397-08002B2CF9AE}" pid="24" name="PM_Markers">
    <vt:lpwstr/>
  </property>
  <property fmtid="{D5CDD505-2E9C-101B-9397-08002B2CF9AE}" pid="25" name="PM_Expires">
    <vt:lpwstr/>
  </property>
  <property fmtid="{D5CDD505-2E9C-101B-9397-08002B2CF9AE}" pid="26" name="bjDocumentLabelXML">
    <vt:lpwstr>&lt;?xml version="1.0"?&gt;&lt;sisl xmlns:xsi="http://www.w3.org/2001/XMLSchema-instance" xmlns:xsd="http://www.w3.org/2001/XMLSchema" xmlns="http://www.boldonjames.com/2008/01/sie/internal/label" sislVersion="0" policy="1865c0a7-d648-4a74-80fe-fa9dc7fe13cc"&gt;&lt;elem</vt:lpwstr>
  </property>
</Properties>
</file>