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6C49" w14:textId="77777777" w:rsidR="00FB3F00" w:rsidRDefault="00FB3F00" w:rsidP="00FB3F00">
      <w:pPr>
        <w:pStyle w:val="paragraph0"/>
        <w:spacing w:before="0" w:beforeAutospacing="0" w:after="0" w:afterAutospacing="0"/>
        <w:jc w:val="center"/>
        <w:textAlignment w:val="baseline"/>
        <w:rPr>
          <w:rStyle w:val="normaltextrun"/>
          <w:rFonts w:ascii="Arial" w:hAnsi="Arial" w:cs="Arial"/>
          <w:b/>
          <w:bCs/>
          <w:caps/>
          <w:u w:val="single"/>
          <w:lang w:val="en-GB"/>
        </w:rPr>
      </w:pPr>
    </w:p>
    <w:p w14:paraId="05D8FA50" w14:textId="2BF3DA5A" w:rsidR="00FB3F00" w:rsidRPr="007775C0" w:rsidRDefault="00FB3F00" w:rsidP="00FB3F00">
      <w:pPr>
        <w:pStyle w:val="paragraph0"/>
        <w:spacing w:before="0" w:beforeAutospacing="0" w:after="0" w:afterAutospacing="0"/>
        <w:jc w:val="center"/>
        <w:textAlignment w:val="baseline"/>
        <w:rPr>
          <w:rFonts w:ascii="Arial" w:hAnsi="Arial" w:cs="Arial"/>
          <w:sz w:val="18"/>
          <w:szCs w:val="18"/>
        </w:rPr>
      </w:pPr>
      <w:r w:rsidRPr="007775C0">
        <w:rPr>
          <w:rStyle w:val="normaltextrun"/>
          <w:rFonts w:ascii="Arial" w:hAnsi="Arial" w:cs="Arial"/>
          <w:b/>
          <w:bCs/>
          <w:caps/>
          <w:u w:val="single"/>
          <w:lang w:val="en-GB"/>
        </w:rPr>
        <w:t>EXPLANATORY STATEMENT</w:t>
      </w:r>
    </w:p>
    <w:p w14:paraId="70078E73" w14:textId="77777777" w:rsidR="00FB3F00" w:rsidRDefault="00FB3F00" w:rsidP="00FB3F00">
      <w:pPr>
        <w:pStyle w:val="paragraph0"/>
        <w:spacing w:before="0" w:beforeAutospacing="0" w:after="0" w:afterAutospacing="0"/>
        <w:textAlignment w:val="baseline"/>
        <w:rPr>
          <w:rFonts w:ascii="Segoe UI" w:hAnsi="Segoe UI" w:cs="Segoe UI"/>
          <w:sz w:val="18"/>
          <w:szCs w:val="18"/>
        </w:rPr>
      </w:pPr>
    </w:p>
    <w:p w14:paraId="6CF0C53D" w14:textId="77777777" w:rsidR="00FB3F00" w:rsidRPr="00C56CF1" w:rsidRDefault="00FB3F00" w:rsidP="00FB3F00">
      <w:pPr>
        <w:pStyle w:val="paragraph0"/>
        <w:shd w:val="clear" w:color="auto" w:fill="FFFFFF"/>
        <w:spacing w:before="0" w:beforeAutospacing="0" w:after="0" w:afterAutospacing="0" w:line="480" w:lineRule="auto"/>
        <w:jc w:val="center"/>
        <w:textAlignment w:val="baseline"/>
        <w:rPr>
          <w:rFonts w:ascii="Arial" w:hAnsi="Arial" w:cs="Arial"/>
          <w:sz w:val="18"/>
          <w:szCs w:val="18"/>
        </w:rPr>
      </w:pPr>
      <w:r w:rsidRPr="00C56CF1">
        <w:rPr>
          <w:rStyle w:val="normaltextrun"/>
          <w:rFonts w:ascii="Arial" w:hAnsi="Arial" w:cs="Arial"/>
          <w:i/>
          <w:iCs/>
          <w:color w:val="000000"/>
          <w:lang w:val="en-AU"/>
        </w:rPr>
        <w:t>Food Standards Australia New Zealand Act 1991</w:t>
      </w:r>
    </w:p>
    <w:p w14:paraId="6BCBB1EA" w14:textId="77777777" w:rsidR="00FB3F00" w:rsidRPr="008C1556" w:rsidRDefault="00FB3F00" w:rsidP="00FB3F00">
      <w:pPr>
        <w:spacing w:before="0" w:after="0"/>
        <w:jc w:val="center"/>
        <w:rPr>
          <w:b/>
          <w:bCs/>
          <w:sz w:val="20"/>
        </w:rPr>
      </w:pPr>
      <w:r w:rsidRPr="00A25CB5">
        <w:rPr>
          <w:b/>
          <w:bCs/>
          <w:i/>
          <w:iCs/>
        </w:rPr>
        <w:t>F</w:t>
      </w:r>
      <w:bookmarkStart w:id="0" w:name="_Hlk157609684"/>
      <w:r w:rsidRPr="00A25CB5">
        <w:rPr>
          <w:b/>
          <w:bCs/>
          <w:i/>
          <w:iCs/>
        </w:rPr>
        <w:t xml:space="preserve">ood Standards </w:t>
      </w:r>
      <w:bookmarkEnd w:id="0"/>
      <w:r>
        <w:rPr>
          <w:b/>
          <w:bCs/>
          <w:i/>
          <w:iCs/>
        </w:rPr>
        <w:t>(</w:t>
      </w:r>
      <w:r w:rsidRPr="00EB62B1">
        <w:rPr>
          <w:b/>
          <w:bCs/>
          <w:i/>
          <w:iCs/>
        </w:rPr>
        <w:t xml:space="preserve">Application A1299 – Fructosyltransferase from </w:t>
      </w:r>
      <w:r w:rsidRPr="00EB62B1">
        <w:rPr>
          <w:b/>
          <w:bCs/>
        </w:rPr>
        <w:t>Aspergillus oryzae</w:t>
      </w:r>
      <w:r w:rsidRPr="00EB62B1">
        <w:rPr>
          <w:b/>
          <w:bCs/>
          <w:i/>
          <w:iCs/>
        </w:rPr>
        <w:t xml:space="preserve"> as a processing aid</w:t>
      </w:r>
      <w:r w:rsidRPr="009C3C10">
        <w:rPr>
          <w:b/>
          <w:bCs/>
          <w:i/>
          <w:iCs/>
        </w:rPr>
        <w:t>) Variation</w:t>
      </w:r>
    </w:p>
    <w:p w14:paraId="0075487C" w14:textId="77777777" w:rsidR="00FB3F00" w:rsidRPr="00816DBB" w:rsidRDefault="00FB3F00" w:rsidP="00FB3F00">
      <w:pPr>
        <w:rPr>
          <w:b/>
          <w:lang w:val="en-AU" w:eastAsia="en-GB" w:bidi="ar-SA"/>
        </w:rPr>
      </w:pPr>
      <w:r w:rsidRPr="000576EB">
        <w:rPr>
          <w:b/>
          <w:lang w:val="en-AU" w:eastAsia="en-GB" w:bidi="ar-SA"/>
        </w:rPr>
        <w:t>1.</w:t>
      </w:r>
      <w:r w:rsidRPr="000576EB">
        <w:rPr>
          <w:b/>
          <w:lang w:val="en-AU" w:eastAsia="en-GB" w:bidi="ar-SA"/>
        </w:rPr>
        <w:tab/>
        <w:t>Authority</w:t>
      </w:r>
    </w:p>
    <w:p w14:paraId="2E6A74DF" w14:textId="77777777" w:rsidR="00FB3F00" w:rsidRPr="00D13E34" w:rsidRDefault="00FB3F00" w:rsidP="00FB3F00">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45124EDA" w14:textId="77777777" w:rsidR="00FB3F00" w:rsidRPr="00816DBB" w:rsidRDefault="00FB3F00" w:rsidP="00FB3F00">
      <w:pPr>
        <w:rPr>
          <w:rFonts w:eastAsia="Calibri"/>
          <w:lang w:val="en-AU" w:bidi="ar-SA"/>
        </w:rPr>
      </w:pPr>
      <w:r>
        <w:rPr>
          <w:rFonts w:eastAsia="Calibri"/>
          <w:lang w:val="en-AU" w:bidi="ar-SA"/>
        </w:rPr>
        <w:t>Division 1</w:t>
      </w:r>
      <w:r w:rsidRPr="000576EB">
        <w:rPr>
          <w:rFonts w:eastAsia="Calibri"/>
          <w:lang w:val="en-AU" w:bidi="ar-SA"/>
        </w:rPr>
        <w:t xml:space="preserve"> of Part </w:t>
      </w:r>
      <w:r>
        <w:rPr>
          <w:rFonts w:eastAsia="Calibri"/>
          <w:lang w:val="en-AU" w:bidi="ar-SA"/>
        </w:rPr>
        <w:t>3</w:t>
      </w:r>
      <w:r w:rsidRPr="000576EB">
        <w:rPr>
          <w:rFonts w:eastAsia="Calibri"/>
          <w:lang w:val="en-AU" w:bidi="ar-SA"/>
        </w:rPr>
        <w:t xml:space="preserve"> of the FSANZ Act specifies that the Authority </w:t>
      </w:r>
      <w:r>
        <w:rPr>
          <w:rFonts w:eastAsia="Calibri"/>
          <w:lang w:val="en-AU" w:bidi="ar-SA"/>
        </w:rPr>
        <w:t>may accept applications</w:t>
      </w:r>
      <w:r w:rsidRPr="000576EB">
        <w:rPr>
          <w:rFonts w:eastAsia="Calibri"/>
          <w:lang w:val="en-AU" w:bidi="ar-SA"/>
        </w:rPr>
        <w:t xml:space="preserve"> for the development or variation of food regulatory measures, including standards. This Division also stipulates the procedure for considering a</w:t>
      </w:r>
      <w:r>
        <w:rPr>
          <w:rFonts w:eastAsia="Calibri"/>
          <w:lang w:val="en-AU" w:bidi="ar-SA"/>
        </w:rPr>
        <w:t>n application</w:t>
      </w:r>
      <w:r w:rsidRPr="000576EB">
        <w:rPr>
          <w:rFonts w:eastAsia="Calibri"/>
          <w:lang w:val="en-AU" w:bidi="ar-SA"/>
        </w:rPr>
        <w:t xml:space="preserve"> for the development or variation of food regulatory measures</w:t>
      </w:r>
      <w:r>
        <w:rPr>
          <w:rFonts w:eastAsia="Calibri"/>
          <w:lang w:val="en-AU" w:bidi="ar-SA"/>
        </w:rPr>
        <w:t xml:space="preserve">. </w:t>
      </w:r>
    </w:p>
    <w:p w14:paraId="6A67DD3E" w14:textId="77777777" w:rsidR="00FB3F00" w:rsidRPr="006107B2" w:rsidRDefault="00FB3F00" w:rsidP="00FB3F00">
      <w:pPr>
        <w:rPr>
          <w:rFonts w:eastAsia="Calibri"/>
          <w:i/>
          <w:iCs/>
          <w:lang w:val="en-AU" w:bidi="ar-SA"/>
        </w:rPr>
      </w:pPr>
      <w:r w:rsidRPr="003556D2">
        <w:rPr>
          <w:rFonts w:eastAsia="Calibri"/>
        </w:rPr>
        <w:t xml:space="preserve">The </w:t>
      </w:r>
      <w:r>
        <w:rPr>
          <w:rFonts w:eastAsia="Calibri"/>
        </w:rPr>
        <w:t>Authority accepted Application A1299 which sought</w:t>
      </w:r>
      <w:r w:rsidRPr="003556D2">
        <w:rPr>
          <w:rFonts w:eastAsia="Calibri"/>
        </w:rPr>
        <w:t xml:space="preserve"> to amend the Code to permit the </w:t>
      </w:r>
      <w:r w:rsidRPr="00DE684F">
        <w:rPr>
          <w:rFonts w:eastAsia="Calibri"/>
        </w:rPr>
        <w:t xml:space="preserve">use of the enzyme, immobilised fructosyltransferase from </w:t>
      </w:r>
      <w:r w:rsidRPr="00DE684F">
        <w:rPr>
          <w:rFonts w:eastAsia="Calibri"/>
          <w:i/>
          <w:iCs/>
        </w:rPr>
        <w:t>Aspergillus oryzae</w:t>
      </w:r>
      <w:r w:rsidRPr="00DE684F">
        <w:rPr>
          <w:rFonts w:eastAsia="Calibri"/>
        </w:rPr>
        <w:t xml:space="preserve">, as a processing aid in the production of </w:t>
      </w:r>
      <w:proofErr w:type="gramStart"/>
      <w:r w:rsidRPr="00DE684F">
        <w:rPr>
          <w:rFonts w:eastAsia="Calibri"/>
        </w:rPr>
        <w:t>short-chain</w:t>
      </w:r>
      <w:proofErr w:type="gramEnd"/>
      <w:r w:rsidRPr="00DE684F">
        <w:rPr>
          <w:rFonts w:eastAsia="Calibri"/>
        </w:rPr>
        <w:t xml:space="preserve"> </w:t>
      </w:r>
      <w:proofErr w:type="spellStart"/>
      <w:r w:rsidRPr="00DE684F">
        <w:rPr>
          <w:rFonts w:eastAsia="Calibri"/>
        </w:rPr>
        <w:t>fructooligosaccharides</w:t>
      </w:r>
      <w:proofErr w:type="spellEnd"/>
      <w:r w:rsidRPr="00DE684F">
        <w:rPr>
          <w:rFonts w:eastAsia="Calibri"/>
        </w:rPr>
        <w:t xml:space="preserve"> from sucrose</w:t>
      </w:r>
      <w:r w:rsidRPr="009466B0">
        <w:rPr>
          <w:rFonts w:eastAsia="Calibri" w:cs="Arial"/>
          <w:bCs/>
          <w:szCs w:val="22"/>
          <w:lang w:bidi="ar-SA"/>
        </w:rPr>
        <w:t>.</w:t>
      </w:r>
      <w:r w:rsidRPr="003556D2">
        <w:rPr>
          <w:rFonts w:eastAsia="Calibri" w:cs="Arial"/>
          <w:bCs/>
          <w:szCs w:val="22"/>
          <w:lang w:val="en-AU" w:bidi="ar-SA"/>
        </w:rPr>
        <w:t xml:space="preserve"> The Authority considered the application in accordance with Division 1 of Part 3 and has approved a draft </w:t>
      </w:r>
      <w:r>
        <w:rPr>
          <w:rFonts w:eastAsia="Calibri" w:cs="Arial"/>
          <w:bCs/>
          <w:szCs w:val="22"/>
          <w:lang w:val="en-AU" w:bidi="ar-SA"/>
        </w:rPr>
        <w:t>v</w:t>
      </w:r>
      <w:r w:rsidRPr="003556D2">
        <w:rPr>
          <w:rFonts w:eastAsia="Calibri" w:cs="Arial"/>
          <w:bCs/>
          <w:szCs w:val="22"/>
          <w:lang w:val="en-AU" w:bidi="ar-SA"/>
        </w:rPr>
        <w:t>ariation</w:t>
      </w:r>
      <w:r>
        <w:rPr>
          <w:rFonts w:eastAsia="Calibri" w:cs="Arial"/>
          <w:bCs/>
          <w:szCs w:val="22"/>
          <w:lang w:val="en-AU" w:bidi="ar-SA"/>
        </w:rPr>
        <w:t xml:space="preserve">: </w:t>
      </w:r>
      <w:r w:rsidRPr="003556D2">
        <w:rPr>
          <w:rFonts w:eastAsia="Calibri"/>
          <w:lang w:val="en-AU" w:bidi="ar-SA"/>
        </w:rPr>
        <w:t xml:space="preserve">the </w:t>
      </w:r>
      <w:r w:rsidRPr="003556D2">
        <w:rPr>
          <w:rFonts w:eastAsia="Calibri"/>
          <w:i/>
          <w:iCs/>
          <w:lang w:val="en-AU" w:bidi="ar-SA"/>
        </w:rPr>
        <w:t>Food Standards (</w:t>
      </w:r>
      <w:r w:rsidRPr="00AE16B8">
        <w:rPr>
          <w:rFonts w:eastAsia="Calibri"/>
          <w:i/>
          <w:iCs/>
          <w:lang w:val="en-AU" w:bidi="ar-SA"/>
        </w:rPr>
        <w:t xml:space="preserve">Application A1299 – Fructosyltransferase from </w:t>
      </w:r>
      <w:r w:rsidRPr="00D65116">
        <w:rPr>
          <w:rFonts w:eastAsia="Calibri"/>
          <w:lang w:val="en-AU" w:bidi="ar-SA"/>
        </w:rPr>
        <w:t>Aspergillus oryzae</w:t>
      </w:r>
      <w:r w:rsidRPr="00AE16B8">
        <w:rPr>
          <w:rFonts w:eastAsia="Calibri"/>
          <w:i/>
          <w:iCs/>
          <w:lang w:val="en-AU" w:bidi="ar-SA"/>
        </w:rPr>
        <w:t xml:space="preserve"> as a processing aid</w:t>
      </w:r>
      <w:r w:rsidRPr="006107B2">
        <w:rPr>
          <w:rFonts w:eastAsia="Calibri"/>
          <w:i/>
          <w:iCs/>
          <w:lang w:val="en-AU" w:bidi="ar-SA"/>
        </w:rPr>
        <w:t>) Variation</w:t>
      </w:r>
      <w:r>
        <w:rPr>
          <w:rFonts w:eastAsia="Calibri"/>
          <w:i/>
          <w:iCs/>
          <w:lang w:val="en-AU" w:bidi="ar-SA"/>
        </w:rPr>
        <w:t xml:space="preserve"> </w:t>
      </w:r>
      <w:r>
        <w:rPr>
          <w:rFonts w:eastAsia="Calibri"/>
          <w:lang w:val="en-AU" w:bidi="ar-SA"/>
        </w:rPr>
        <w:t>(the approved draft variation)</w:t>
      </w:r>
      <w:r w:rsidRPr="006107B2">
        <w:rPr>
          <w:rFonts w:eastAsia="Calibri"/>
          <w:i/>
          <w:iCs/>
          <w:lang w:val="en-AU" w:bidi="ar-SA"/>
        </w:rPr>
        <w:t>.</w:t>
      </w:r>
    </w:p>
    <w:p w14:paraId="2D9F862A" w14:textId="77777777" w:rsidR="00FB3F00" w:rsidRPr="00816DBB" w:rsidRDefault="00FB3F00" w:rsidP="00FB3F00">
      <w:pPr>
        <w:rPr>
          <w:rFonts w:eastAsia="Calibri"/>
          <w:lang w:val="en-AU" w:bidi="ar-SA"/>
        </w:rPr>
      </w:pPr>
      <w:r w:rsidRPr="00D13E34">
        <w:rPr>
          <w:rFonts w:eastAsia="Calibri"/>
          <w:lang w:val="en-AU" w:bidi="ar-SA"/>
        </w:rPr>
        <w:t xml:space="preserve">Following consideration by </w:t>
      </w:r>
      <w:r>
        <w:rPr>
          <w:rFonts w:eastAsia="Calibri"/>
          <w:lang w:val="en-AU" w:bidi="ar-SA"/>
        </w:rPr>
        <w:t xml:space="preserve">the </w:t>
      </w:r>
      <w:r>
        <w:rPr>
          <w:rFonts w:cs="Helvetica"/>
          <w:lang w:val="en-AU"/>
        </w:rPr>
        <w:t>Food Ministers’ Meeting (FMM)</w:t>
      </w:r>
      <w:r w:rsidRPr="00D13E34">
        <w:rPr>
          <w:rFonts w:eastAsia="Calibri"/>
          <w:lang w:val="en-AU" w:bidi="ar-SA"/>
        </w:rPr>
        <w:t xml:space="preserve">, section 92 of the </w:t>
      </w:r>
      <w:r>
        <w:rPr>
          <w:rFonts w:eastAsia="Calibri"/>
          <w:lang w:val="en-AU" w:bidi="ar-SA"/>
        </w:rPr>
        <w:t xml:space="preserve">FSANZ </w:t>
      </w:r>
      <w:r w:rsidRPr="00D13E34">
        <w:rPr>
          <w:rFonts w:eastAsia="Calibri"/>
          <w:lang w:val="en-AU" w:bidi="ar-SA"/>
        </w:rPr>
        <w:t xml:space="preserve">Act stipulates that </w:t>
      </w:r>
      <w:r>
        <w:rPr>
          <w:rFonts w:eastAsia="Calibri"/>
          <w:lang w:val="en-AU" w:bidi="ar-SA"/>
        </w:rPr>
        <w:t>the Authority</w:t>
      </w:r>
      <w:r w:rsidRPr="00D13E34">
        <w:rPr>
          <w:rFonts w:eastAsia="Calibri"/>
          <w:lang w:val="en-AU" w:bidi="ar-SA"/>
        </w:rPr>
        <w:t xml:space="preserve"> must publish a notice about the </w:t>
      </w:r>
      <w:r>
        <w:rPr>
          <w:rFonts w:eastAsia="Calibri"/>
          <w:lang w:val="en-AU" w:bidi="ar-SA"/>
        </w:rPr>
        <w:t>d</w:t>
      </w:r>
      <w:r w:rsidRPr="003556D2">
        <w:rPr>
          <w:rFonts w:eastAsia="Calibri"/>
          <w:lang w:val="en-AU" w:bidi="ar-SA"/>
        </w:rPr>
        <w:t xml:space="preserve">raft </w:t>
      </w:r>
      <w:r>
        <w:rPr>
          <w:rFonts w:eastAsia="Calibri"/>
          <w:lang w:val="en-AU" w:bidi="ar-SA"/>
        </w:rPr>
        <w:t>v</w:t>
      </w:r>
      <w:r w:rsidRPr="003556D2">
        <w:rPr>
          <w:rFonts w:eastAsia="Calibri"/>
          <w:lang w:val="en-AU" w:bidi="ar-SA"/>
        </w:rPr>
        <w:t xml:space="preserve">ariation. </w:t>
      </w:r>
    </w:p>
    <w:p w14:paraId="5BEACFA6" w14:textId="77777777" w:rsidR="00FB3F00" w:rsidRDefault="00FB3F00" w:rsidP="00FB3F00">
      <w:pPr>
        <w:rPr>
          <w:b/>
          <w:lang w:val="en-AU" w:eastAsia="en-GB" w:bidi="ar-SA"/>
        </w:rPr>
      </w:pPr>
      <w:r>
        <w:rPr>
          <w:b/>
          <w:lang w:val="en-AU" w:eastAsia="en-GB" w:bidi="ar-SA"/>
        </w:rPr>
        <w:t>2.</w:t>
      </w:r>
      <w:r>
        <w:rPr>
          <w:b/>
          <w:lang w:val="en-AU" w:eastAsia="en-GB" w:bidi="ar-SA"/>
        </w:rPr>
        <w:tab/>
        <w:t>Variation is a legislative instrument</w:t>
      </w:r>
    </w:p>
    <w:p w14:paraId="5A2CFDB4" w14:textId="77777777" w:rsidR="00FB3F00" w:rsidRPr="00D00473" w:rsidRDefault="00FB3F00" w:rsidP="00FB3F00">
      <w:pPr>
        <w:rPr>
          <w:rFonts w:cs="Arial"/>
          <w:szCs w:val="22"/>
          <w:lang w:bidi="ar-SA"/>
        </w:rPr>
      </w:pPr>
      <w:r w:rsidRPr="00D00473">
        <w:rPr>
          <w:rFonts w:cs="Arial"/>
        </w:rPr>
        <w:t xml:space="preserve">The approved draft variation is a legislative instrument for the purposes of the </w:t>
      </w:r>
      <w:r w:rsidRPr="00D00473">
        <w:rPr>
          <w:rFonts w:cs="Arial"/>
          <w:i/>
          <w:iCs/>
        </w:rPr>
        <w:t>Legislation Act 2003</w:t>
      </w:r>
      <w:r w:rsidRPr="00D00473">
        <w:rPr>
          <w:rFonts w:cs="Arial"/>
        </w:rPr>
        <w:t xml:space="preserve"> (see section 94 of the FSANZ Act) and is publicly available on the Federal Register of Legislation (</w:t>
      </w:r>
      <w:r w:rsidRPr="00641D3A">
        <w:t>www.legislation.gov.au).</w:t>
      </w:r>
    </w:p>
    <w:p w14:paraId="0B0DB989" w14:textId="77777777" w:rsidR="00FB3F00" w:rsidRPr="00FB45C7" w:rsidRDefault="00FB3F00" w:rsidP="00FB3F00">
      <w:pPr>
        <w:rPr>
          <w:rFonts w:cs="Arial"/>
        </w:rPr>
      </w:pPr>
      <w:r w:rsidRPr="00D00473">
        <w:rPr>
          <w:rFonts w:cs="Arial"/>
        </w:rPr>
        <w:t xml:space="preserve">This instrument is not subject to the disallowance or sunsetting provisions of the </w:t>
      </w:r>
      <w:r w:rsidRPr="00D00473">
        <w:rPr>
          <w:rFonts w:cs="Arial"/>
          <w:i/>
          <w:iCs/>
        </w:rPr>
        <w:t xml:space="preserve">Legislation Act 2003. </w:t>
      </w:r>
      <w:r w:rsidRPr="00D00473">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289379C3" w14:textId="77777777" w:rsidR="00FB3F00" w:rsidRDefault="00FB3F00" w:rsidP="00FB3F00">
      <w:pPr>
        <w:rPr>
          <w:rFonts w:cs="Arial"/>
          <w:lang w:val="en-AU"/>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FMM. The FMM is established under the Food Regulation Agreement and the </w:t>
      </w:r>
      <w:r w:rsidRPr="00FB45C7">
        <w:rPr>
          <w:rFonts w:cs="Arial"/>
          <w:lang w:val="en-AU"/>
        </w:rPr>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 xml:space="preserve">the food standards on gazettal and registration are incorporated into and become part of Commonwealth, State and Territory and New Zealand food laws. </w:t>
      </w:r>
    </w:p>
    <w:p w14:paraId="3CB30222" w14:textId="77777777" w:rsidR="00FB3F00" w:rsidRDefault="00FB3F00" w:rsidP="00FB3F00">
      <w:pPr>
        <w:rPr>
          <w:b/>
          <w:lang w:val="en-AU" w:eastAsia="en-GB" w:bidi="ar-SA"/>
        </w:rPr>
      </w:pPr>
      <w:r w:rsidRPr="00FB45C7">
        <w:rPr>
          <w:rFonts w:cs="Arial"/>
          <w:lang w:val="en-AU"/>
        </w:rPr>
        <w:t>These standards or instruments are then administered, applied, and enforced by these jurisdictions’ regulators as part of those food laws.</w:t>
      </w:r>
    </w:p>
    <w:p w14:paraId="3A65B974" w14:textId="77777777" w:rsidR="00FB3F00" w:rsidRDefault="00FB3F00" w:rsidP="00FB3F00">
      <w:pPr>
        <w:rPr>
          <w:b/>
          <w:lang w:val="en-AU" w:eastAsia="en-GB" w:bidi="ar-SA"/>
        </w:rPr>
      </w:pPr>
      <w:r>
        <w:rPr>
          <w:b/>
          <w:lang w:val="en-AU" w:eastAsia="en-GB" w:bidi="ar-SA"/>
        </w:rPr>
        <w:lastRenderedPageBreak/>
        <w:t>3.</w:t>
      </w:r>
      <w:r>
        <w:rPr>
          <w:b/>
          <w:lang w:val="en-AU" w:eastAsia="en-GB" w:bidi="ar-SA"/>
        </w:rPr>
        <w:tab/>
        <w:t xml:space="preserve">Purpose </w:t>
      </w:r>
    </w:p>
    <w:p w14:paraId="6B886E94" w14:textId="77777777" w:rsidR="00FB3F00" w:rsidRDefault="00FB3F00" w:rsidP="00FB3F00">
      <w:pPr>
        <w:rPr>
          <w:lang w:val="en-AU" w:eastAsia="en-GB" w:bidi="ar-SA"/>
        </w:rPr>
      </w:pPr>
      <w:r>
        <w:rPr>
          <w:lang w:val="en-AU" w:eastAsia="en-GB" w:bidi="ar-SA"/>
        </w:rPr>
        <w:t xml:space="preserve">The Authority has approved </w:t>
      </w:r>
      <w:r w:rsidRPr="003B3EDE">
        <w:rPr>
          <w:lang w:val="en-AU" w:eastAsia="en-GB" w:bidi="ar-SA"/>
        </w:rPr>
        <w:t xml:space="preserve">a draft variation </w:t>
      </w:r>
      <w:r>
        <w:rPr>
          <w:lang w:val="en-AU" w:eastAsia="en-GB" w:bidi="ar-SA"/>
        </w:rPr>
        <w:t>to amend</w:t>
      </w:r>
      <w:r w:rsidRPr="003B3EDE">
        <w:rPr>
          <w:lang w:val="en-AU" w:eastAsia="en-GB" w:bidi="ar-SA"/>
        </w:rPr>
        <w:t xml:space="preserve"> the table to subsection S18––9(3) of the Code to permit the use of </w:t>
      </w:r>
      <w:r w:rsidRPr="0090788A">
        <w:rPr>
          <w:lang w:eastAsia="en-GB" w:bidi="ar-SA"/>
        </w:rPr>
        <w:t>a</w:t>
      </w:r>
      <w:r>
        <w:rPr>
          <w:lang w:eastAsia="en-GB" w:bidi="ar-SA"/>
        </w:rPr>
        <w:t>n</w:t>
      </w:r>
      <w:r w:rsidRPr="0090788A">
        <w:rPr>
          <w:lang w:eastAsia="en-GB" w:bidi="ar-SA"/>
        </w:rPr>
        <w:t xml:space="preserve"> </w:t>
      </w:r>
      <w:r w:rsidRPr="007068AE">
        <w:rPr>
          <w:lang w:val="en-AU" w:eastAsia="en-GB" w:bidi="ar-SA"/>
        </w:rPr>
        <w:t xml:space="preserve">immobilised fructosyltransferase (EC 2.4.1.9) from a non-genetically engineered strain of </w:t>
      </w:r>
      <w:r w:rsidRPr="007068AE">
        <w:rPr>
          <w:i/>
          <w:iCs/>
          <w:lang w:val="en-AU" w:eastAsia="en-GB" w:bidi="ar-SA"/>
        </w:rPr>
        <w:t>Aspergillus oryzae</w:t>
      </w:r>
      <w:r w:rsidRPr="007068AE">
        <w:rPr>
          <w:lang w:val="en-AU" w:eastAsia="en-GB" w:bidi="ar-SA"/>
        </w:rPr>
        <w:t xml:space="preserve"> in the manufacture of short-chain </w:t>
      </w:r>
      <w:proofErr w:type="spellStart"/>
      <w:r w:rsidRPr="007068AE">
        <w:rPr>
          <w:lang w:val="en-AU" w:eastAsia="en-GB" w:bidi="ar-SA"/>
        </w:rPr>
        <w:t>fructooligosaccharides</w:t>
      </w:r>
      <w:proofErr w:type="spellEnd"/>
      <w:r w:rsidRPr="007068AE">
        <w:rPr>
          <w:lang w:val="en-AU" w:eastAsia="en-GB" w:bidi="ar-SA"/>
        </w:rPr>
        <w:t xml:space="preserve"> from sucrose</w:t>
      </w:r>
      <w:r w:rsidRPr="0090788A">
        <w:rPr>
          <w:lang w:eastAsia="en-GB" w:bidi="ar-SA"/>
        </w:rPr>
        <w:t>.</w:t>
      </w:r>
      <w:r w:rsidRPr="0090788A">
        <w:rPr>
          <w:lang w:val="en-AU" w:eastAsia="en-GB" w:bidi="ar-SA"/>
        </w:rPr>
        <w:t xml:space="preserve"> </w:t>
      </w:r>
    </w:p>
    <w:p w14:paraId="6C0722FE" w14:textId="77777777" w:rsidR="00FB3F00" w:rsidRDefault="00FB3F00" w:rsidP="00FB3F00">
      <w:pPr>
        <w:rPr>
          <w:lang w:val="en-AU" w:eastAsia="en-GB" w:bidi="ar-SA"/>
        </w:rPr>
      </w:pPr>
      <w:r>
        <w:rPr>
          <w:lang w:val="en-AU" w:eastAsia="en-GB" w:bidi="ar-SA"/>
        </w:rPr>
        <w:t>T</w:t>
      </w:r>
      <w:r w:rsidRPr="00725D41">
        <w:rPr>
          <w:lang w:val="en-AU" w:eastAsia="en-GB" w:bidi="ar-SA"/>
        </w:rPr>
        <w:t xml:space="preserve">his permission </w:t>
      </w:r>
      <w:r>
        <w:rPr>
          <w:lang w:val="en-AU" w:eastAsia="en-GB" w:bidi="ar-SA"/>
        </w:rPr>
        <w:t>is</w:t>
      </w:r>
      <w:r w:rsidRPr="00725D41">
        <w:rPr>
          <w:lang w:val="en-AU" w:eastAsia="en-GB" w:bidi="ar-SA"/>
        </w:rPr>
        <w:t xml:space="preserve"> subject to the condition that the maximum permitted level or amount of the enzyme that may be present in the food must be consistent with good manufacturing practice (GMP).</w:t>
      </w:r>
    </w:p>
    <w:p w14:paraId="68D65498" w14:textId="77777777" w:rsidR="00FB3F00" w:rsidRPr="000576EB" w:rsidRDefault="00FB3F00" w:rsidP="00FB3F00">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017841D6" w14:textId="77777777" w:rsidR="00FB3F00" w:rsidRDefault="00FB3F00" w:rsidP="00FB3F00">
      <w:pPr>
        <w:rPr>
          <w:lang w:val="en-AU" w:eastAsia="en-GB" w:bidi="ar-SA"/>
        </w:rPr>
      </w:pPr>
      <w:r w:rsidRPr="006F62A7">
        <w:rPr>
          <w:lang w:val="en-AU" w:eastAsia="en-GB" w:bidi="ar-SA"/>
        </w:rPr>
        <w:t xml:space="preserve">The </w:t>
      </w:r>
      <w:r>
        <w:rPr>
          <w:lang w:val="en-AU" w:eastAsia="en-GB" w:bidi="ar-SA"/>
        </w:rPr>
        <w:t xml:space="preserve">approved draft </w:t>
      </w:r>
      <w:r w:rsidRPr="006F62A7">
        <w:rPr>
          <w:lang w:val="en-AU" w:eastAsia="en-GB" w:bidi="ar-SA"/>
        </w:rPr>
        <w:t>variation does not incorporate any documents by reference.</w:t>
      </w:r>
    </w:p>
    <w:p w14:paraId="7D825075" w14:textId="77777777" w:rsidR="00FB3F00" w:rsidRDefault="00FB3F00" w:rsidP="00FB3F00">
      <w:pPr>
        <w:rPr>
          <w:lang w:val="en-AU" w:eastAsia="en-GB" w:bidi="ar-SA"/>
        </w:rPr>
      </w:pPr>
      <w:r w:rsidRPr="00C64855">
        <w:rPr>
          <w:lang w:val="en-AU" w:eastAsia="en-GB" w:bidi="ar-SA"/>
        </w:rPr>
        <w:t xml:space="preserve">However, existing provisions of the Code incorporate documents by reference that would prescribe identity and purity specifications for the processing aid to be permitted by the </w:t>
      </w:r>
      <w:r>
        <w:rPr>
          <w:lang w:val="en-AU" w:eastAsia="en-GB" w:bidi="ar-SA"/>
        </w:rPr>
        <w:t xml:space="preserve">approved </w:t>
      </w:r>
      <w:r w:rsidRPr="00C64855">
        <w:rPr>
          <w:lang w:val="en-AU" w:eastAsia="en-GB" w:bidi="ar-SA"/>
        </w:rPr>
        <w:t>draft variation. Section 1.1.1—15 of the Code requires substances used as processing aids to comply with any relevant identity and purity specifications listed in Schedule 3 of the Code</w:t>
      </w:r>
      <w:r>
        <w:rPr>
          <w:lang w:val="en-AU" w:eastAsia="en-GB" w:bidi="ar-SA"/>
        </w:rPr>
        <w:t xml:space="preserve"> </w:t>
      </w:r>
      <w:r w:rsidRPr="000213FC">
        <w:rPr>
          <w:lang w:val="en-AU" w:eastAsia="en-GB" w:bidi="ar-SA"/>
        </w:rPr>
        <w:t>when added to food in accordance with th</w:t>
      </w:r>
      <w:r>
        <w:rPr>
          <w:lang w:val="en-AU" w:eastAsia="en-GB" w:bidi="ar-SA"/>
        </w:rPr>
        <w:t>e</w:t>
      </w:r>
      <w:r w:rsidRPr="000213FC">
        <w:rPr>
          <w:lang w:val="en-AU" w:eastAsia="en-GB" w:bidi="ar-SA"/>
        </w:rPr>
        <w:t xml:space="preserve"> Code or sold for use in food</w:t>
      </w:r>
      <w:r w:rsidRPr="00C64855">
        <w:rPr>
          <w:lang w:val="en-AU" w:eastAsia="en-GB" w:bidi="ar-SA"/>
        </w:rPr>
        <w:t>. Section S3—2 of Schedule 3 incorporates by reference the specifications listed in the Joint FAO/WHO Expert Committee on Food Additives (JECFA) Compendium of Food Additive Specifications (FAO/WHO 2021) and the United States Pharmacopeial Convention (2022) Food Chemicals Codex (13</w:t>
      </w:r>
      <w:r w:rsidRPr="00C64855">
        <w:rPr>
          <w:vertAlign w:val="superscript"/>
          <w:lang w:val="en-AU" w:eastAsia="en-GB" w:bidi="ar-SA"/>
        </w:rPr>
        <w:t>th</w:t>
      </w:r>
      <w:r w:rsidRPr="00C64855">
        <w:rPr>
          <w:lang w:val="en-AU" w:eastAsia="en-GB" w:bidi="ar-SA"/>
        </w:rPr>
        <w:t xml:space="preserve"> edition). These include general specifications for the identity and purity parameters of enzyme preparations used in food processing.</w:t>
      </w:r>
    </w:p>
    <w:p w14:paraId="0B558EAC" w14:textId="77777777" w:rsidR="00FB3F00" w:rsidRPr="000576EB" w:rsidRDefault="00FB3F00" w:rsidP="00FB3F00">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6C4F065E" w14:textId="77777777" w:rsidR="00FB3F00" w:rsidRPr="003800F8" w:rsidRDefault="00FB3F00" w:rsidP="00FB3F00">
      <w:pPr>
        <w:rPr>
          <w:lang w:val="en-AU"/>
        </w:rPr>
      </w:pPr>
      <w:r w:rsidRPr="003020BD">
        <w:rPr>
          <w:szCs w:val="22"/>
        </w:rPr>
        <w:t xml:space="preserve">In accordance with the procedure in Division 1 of Part 3 of the FSANZ Act, </w:t>
      </w:r>
      <w:r w:rsidRPr="003020BD">
        <w:rPr>
          <w:bCs/>
          <w:szCs w:val="22"/>
          <w:lang w:val="en-AU"/>
        </w:rPr>
        <w:t>the Authority</w:t>
      </w:r>
      <w:r w:rsidRPr="003020BD">
        <w:rPr>
          <w:szCs w:val="22"/>
        </w:rPr>
        <w:t>’s consideration of Application A12</w:t>
      </w:r>
      <w:r>
        <w:rPr>
          <w:szCs w:val="22"/>
        </w:rPr>
        <w:t>99</w:t>
      </w:r>
      <w:r w:rsidRPr="003020BD">
        <w:rPr>
          <w:szCs w:val="22"/>
        </w:rPr>
        <w:t xml:space="preserve"> </w:t>
      </w:r>
      <w:r>
        <w:rPr>
          <w:szCs w:val="22"/>
        </w:rPr>
        <w:t>included</w:t>
      </w:r>
      <w:r w:rsidRPr="003020BD">
        <w:rPr>
          <w:szCs w:val="22"/>
        </w:rPr>
        <w:t xml:space="preserve"> one round of public consultation following an assessment</w:t>
      </w:r>
      <w:r>
        <w:rPr>
          <w:szCs w:val="22"/>
        </w:rPr>
        <w:t>,</w:t>
      </w:r>
      <w:r w:rsidRPr="003020BD">
        <w:rPr>
          <w:szCs w:val="22"/>
        </w:rPr>
        <w:t xml:space="preserve"> and the preparation of a draft variation </w:t>
      </w:r>
      <w:r w:rsidRPr="00A22C1C">
        <w:rPr>
          <w:szCs w:val="22"/>
        </w:rPr>
        <w:t xml:space="preserve">to the Code </w:t>
      </w:r>
      <w:r w:rsidRPr="003020BD">
        <w:rPr>
          <w:szCs w:val="22"/>
        </w:rPr>
        <w:t>and associated assessment summar</w:t>
      </w:r>
      <w:r w:rsidRPr="003800F8">
        <w:rPr>
          <w:szCs w:val="22"/>
        </w:rPr>
        <w:t xml:space="preserve">y. </w:t>
      </w:r>
      <w:r w:rsidRPr="00A22C1C">
        <w:rPr>
          <w:szCs w:val="22"/>
        </w:rPr>
        <w:t xml:space="preserve">FSANZ called for submissions on </w:t>
      </w:r>
      <w:r>
        <w:rPr>
          <w:szCs w:val="22"/>
        </w:rPr>
        <w:t>the</w:t>
      </w:r>
      <w:r w:rsidRPr="00A22C1C">
        <w:rPr>
          <w:szCs w:val="22"/>
        </w:rPr>
        <w:t xml:space="preserve"> draft variation </w:t>
      </w:r>
      <w:r w:rsidRPr="007E5BE2">
        <w:rPr>
          <w:szCs w:val="22"/>
        </w:rPr>
        <w:t>between 7 November and 5 December 2024.</w:t>
      </w:r>
      <w:r w:rsidRPr="00F677CB">
        <w:rPr>
          <w:szCs w:val="22"/>
        </w:rPr>
        <w:t xml:space="preserve"> </w:t>
      </w:r>
      <w:r w:rsidRPr="00F677CB">
        <w:rPr>
          <w:rStyle w:val="normaltextrun"/>
          <w:rFonts w:cs="Arial"/>
          <w:szCs w:val="22"/>
          <w:shd w:val="clear" w:color="auto" w:fill="FFFFFF"/>
          <w:lang w:val="en-US"/>
        </w:rPr>
        <w:t>Further details of the consultation process, the issues raised during consultation and by whom, and the Authority’s response to these issues are available in an approval report published on the Authority’s website at www.</w:t>
      </w:r>
      <w:r w:rsidRPr="00F677CB">
        <w:rPr>
          <w:rStyle w:val="normaltextrun"/>
          <w:rFonts w:cs="Arial"/>
          <w:szCs w:val="22"/>
          <w:shd w:val="clear" w:color="auto" w:fill="FFFFFF"/>
        </w:rPr>
        <w:t>foodstandards.gov.au.</w:t>
      </w:r>
    </w:p>
    <w:p w14:paraId="2EB43298" w14:textId="77777777" w:rsidR="00FB3F00" w:rsidRDefault="00FB3F00" w:rsidP="00FB3F00">
      <w:pPr>
        <w:rPr>
          <w:lang w:val="en-AU" w:bidi="ar-SA"/>
        </w:rPr>
      </w:pPr>
      <w:r w:rsidRPr="00F35434">
        <w:rPr>
          <w:lang w:val="en-AU" w:bidi="ar-SA"/>
        </w:rPr>
        <w:t>Changes have been made to the Impact Analysis requirements by the Office of Impact Analysis (OIA)</w:t>
      </w:r>
      <w:r w:rsidRPr="00F35434">
        <w:rPr>
          <w:vertAlign w:val="superscript"/>
        </w:rPr>
        <w:footnoteReference w:id="2"/>
      </w:r>
      <w:r w:rsidRPr="00F35434">
        <w:rPr>
          <w:lang w:val="en-AU" w:bidi="ar-SA"/>
        </w:rPr>
        <w:t>. Impact analysis</w:t>
      </w:r>
      <w:r>
        <w:rPr>
          <w:lang w:val="en-AU" w:bidi="ar-SA"/>
        </w:rPr>
        <w:t xml:space="preserve"> is</w:t>
      </w:r>
      <w:r w:rsidRPr="00F35434">
        <w:rPr>
          <w:lang w:val="en-AU" w:bidi="ar-SA"/>
        </w:rPr>
        <w:t xml:space="preserve"> no longer </w:t>
      </w:r>
      <w:r>
        <w:rPr>
          <w:lang w:val="en-AU" w:bidi="ar-SA"/>
        </w:rPr>
        <w:t>required to</w:t>
      </w:r>
      <w:r w:rsidRPr="00F35434">
        <w:rPr>
          <w:lang w:val="en-AU" w:bidi="ar-SA"/>
        </w:rPr>
        <w:t xml:space="preserve"> be finalised with the OIA. Prior to these changes, the OIA advised FSANZ that a Regulatory Impact Statement (RIS) was not needed for applications relating to processing aids. This is because applications relating to permitting the use of processing aids that have been determined to be safe are minor and deregulatory in nature, as their use will be voluntary if the draft variation concerned is approved.</w:t>
      </w:r>
    </w:p>
    <w:p w14:paraId="5205C12B" w14:textId="77777777" w:rsidR="00FB3F00" w:rsidRPr="00F35434" w:rsidRDefault="00FB3F00" w:rsidP="00FB3F00">
      <w:pPr>
        <w:rPr>
          <w:lang w:val="en-AU"/>
        </w:rPr>
      </w:pPr>
      <w:r w:rsidRPr="00F35434">
        <w:rPr>
          <w:lang w:val="en-AU" w:bidi="ar-SA"/>
        </w:rPr>
        <w:t>Under this approach, FSANZ’s assessment is that a RIS is not needed for this application.</w:t>
      </w:r>
    </w:p>
    <w:p w14:paraId="41D06131" w14:textId="77777777" w:rsidR="00FB3F00" w:rsidRPr="00F35434" w:rsidRDefault="00FB3F00" w:rsidP="00FB3F00">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722D7515" w14:textId="77777777" w:rsidR="00FB3F00" w:rsidRDefault="00FB3F00" w:rsidP="00FB3F00">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941150">
        <w:rPr>
          <w:rFonts w:eastAsiaTheme="minorHAnsi"/>
          <w:i/>
          <w:lang w:val="en-AU" w:bidi="ar-SA"/>
        </w:rPr>
        <w:t>Legislation Act 2003</w:t>
      </w:r>
      <w:r>
        <w:rPr>
          <w:rFonts w:eastAsiaTheme="minorHAnsi"/>
          <w:lang w:val="en-AU" w:bidi="ar-SA"/>
        </w:rPr>
        <w:t>.</w:t>
      </w:r>
    </w:p>
    <w:p w14:paraId="54F19021" w14:textId="77777777" w:rsidR="00FB3F00" w:rsidRDefault="00FB3F00" w:rsidP="00FB3F00">
      <w:pPr>
        <w:widowControl/>
        <w:spacing w:before="0" w:after="0"/>
        <w:rPr>
          <w:rFonts w:eastAsiaTheme="minorHAnsi"/>
          <w:lang w:val="en-AU" w:bidi="ar-SA"/>
        </w:rPr>
      </w:pPr>
      <w:r>
        <w:rPr>
          <w:rFonts w:eastAsiaTheme="minorHAnsi"/>
          <w:lang w:val="en-AU" w:bidi="ar-SA"/>
        </w:rPr>
        <w:br w:type="page"/>
      </w:r>
    </w:p>
    <w:p w14:paraId="5233123C" w14:textId="77777777" w:rsidR="00FB3F00" w:rsidRPr="00432A42" w:rsidRDefault="00FB3F00" w:rsidP="00FB3F00">
      <w:pPr>
        <w:rPr>
          <w:b/>
          <w:lang w:val="en-AU" w:eastAsia="en-GB" w:bidi="ar-SA"/>
        </w:rPr>
      </w:pPr>
      <w:r>
        <w:rPr>
          <w:b/>
        </w:rPr>
        <w:lastRenderedPageBreak/>
        <w:t>7</w:t>
      </w:r>
      <w:r w:rsidRPr="00432A42">
        <w:rPr>
          <w:b/>
        </w:rPr>
        <w:t>.</w:t>
      </w:r>
      <w:r w:rsidRPr="00432A42">
        <w:rPr>
          <w:b/>
        </w:rPr>
        <w:tab/>
      </w:r>
      <w:r>
        <w:rPr>
          <w:b/>
          <w:lang w:val="en-AU" w:eastAsia="en-GB" w:bidi="ar-SA"/>
        </w:rPr>
        <w:t>Variation</w:t>
      </w:r>
    </w:p>
    <w:p w14:paraId="0C4F763F" w14:textId="77777777" w:rsidR="00FB3F00" w:rsidRDefault="00FB3F00" w:rsidP="00FB3F00">
      <w:pPr>
        <w:spacing w:before="240"/>
        <w:rPr>
          <w:rFonts w:eastAsia="Arial" w:cs="Arial"/>
          <w:color w:val="000000" w:themeColor="text1"/>
          <w:szCs w:val="22"/>
        </w:rPr>
      </w:pPr>
      <w:r>
        <w:rPr>
          <w:rFonts w:eastAsia="Arial" w:cs="Arial"/>
          <w:color w:val="000000" w:themeColor="text1"/>
          <w:szCs w:val="22"/>
        </w:rPr>
        <w:t>References to ‘the variation’ in this section are references to the approved draft variation.</w:t>
      </w:r>
    </w:p>
    <w:p w14:paraId="5F77F852" w14:textId="77777777" w:rsidR="00FB3F00" w:rsidRPr="00A325B0" w:rsidRDefault="00FB3F00" w:rsidP="00FB3F00">
      <w:pPr>
        <w:spacing w:before="240"/>
        <w:rPr>
          <w:rFonts w:eastAsia="Arial" w:cs="Arial"/>
          <w:color w:val="000000" w:themeColor="text1"/>
          <w:szCs w:val="22"/>
        </w:rPr>
      </w:pPr>
      <w:r w:rsidRPr="000275FF">
        <w:rPr>
          <w:rFonts w:eastAsia="Arial" w:cs="Arial"/>
          <w:b/>
          <w:bCs/>
          <w:color w:val="000000" w:themeColor="text1"/>
          <w:szCs w:val="22"/>
        </w:rPr>
        <w:t>Clause 1</w:t>
      </w:r>
      <w:r w:rsidRPr="00A325B0">
        <w:rPr>
          <w:rFonts w:eastAsia="Arial" w:cs="Arial"/>
          <w:color w:val="000000" w:themeColor="text1"/>
          <w:szCs w:val="22"/>
        </w:rPr>
        <w:t xml:space="preserve"> </w:t>
      </w:r>
      <w:r>
        <w:rPr>
          <w:rFonts w:eastAsia="Arial" w:cs="Arial"/>
          <w:color w:val="000000" w:themeColor="text1"/>
          <w:szCs w:val="22"/>
        </w:rPr>
        <w:t xml:space="preserve">of the variation </w:t>
      </w:r>
      <w:r w:rsidRPr="00A325B0">
        <w:rPr>
          <w:rFonts w:eastAsia="Arial" w:cs="Arial"/>
          <w:color w:val="000000" w:themeColor="text1"/>
          <w:szCs w:val="22"/>
        </w:rPr>
        <w:t xml:space="preserve">provides that the name of the variation is the </w:t>
      </w:r>
      <w:r w:rsidRPr="00B87453">
        <w:rPr>
          <w:rFonts w:eastAsia="Calibri"/>
          <w:i/>
          <w:iCs/>
          <w:lang w:val="en-AU" w:bidi="ar-SA"/>
        </w:rPr>
        <w:t xml:space="preserve">Food Standards </w:t>
      </w:r>
      <w:r w:rsidRPr="00235AC0">
        <w:rPr>
          <w:rFonts w:eastAsia="Calibri"/>
          <w:i/>
          <w:iCs/>
          <w:lang w:bidi="ar-SA"/>
        </w:rPr>
        <w:t>(</w:t>
      </w:r>
      <w:r w:rsidRPr="000F6485">
        <w:rPr>
          <w:rFonts w:eastAsia="Calibri"/>
          <w:i/>
          <w:iCs/>
          <w:lang w:bidi="ar-SA"/>
        </w:rPr>
        <w:t xml:space="preserve">Application A1299 – Fructosyltransferase from </w:t>
      </w:r>
      <w:r w:rsidRPr="000F6485">
        <w:rPr>
          <w:rFonts w:eastAsia="Calibri"/>
          <w:lang w:bidi="ar-SA"/>
        </w:rPr>
        <w:t>Aspergillus oryzae</w:t>
      </w:r>
      <w:r w:rsidRPr="000F6485">
        <w:rPr>
          <w:rFonts w:eastAsia="Calibri"/>
          <w:i/>
          <w:iCs/>
          <w:lang w:bidi="ar-SA"/>
        </w:rPr>
        <w:t xml:space="preserve"> as a processing aid)</w:t>
      </w:r>
      <w:r w:rsidRPr="00235AC0">
        <w:rPr>
          <w:rFonts w:eastAsia="Calibri"/>
          <w:i/>
          <w:iCs/>
          <w:lang w:bidi="ar-SA"/>
        </w:rPr>
        <w:t xml:space="preserve"> Variation</w:t>
      </w:r>
      <w:r>
        <w:rPr>
          <w:rFonts w:eastAsia="Calibri"/>
          <w:i/>
          <w:iCs/>
          <w:lang w:bidi="ar-SA"/>
        </w:rPr>
        <w:t>.</w:t>
      </w:r>
    </w:p>
    <w:p w14:paraId="187E4CCA" w14:textId="77777777" w:rsidR="00FB3F00" w:rsidRDefault="00FB3F00" w:rsidP="00FB3F00">
      <w:pPr>
        <w:spacing w:before="240"/>
        <w:rPr>
          <w:rFonts w:eastAsia="Arial" w:cs="Arial"/>
          <w:color w:val="000000" w:themeColor="text1"/>
          <w:szCs w:val="22"/>
        </w:rPr>
      </w:pPr>
      <w:r w:rsidRPr="000275FF">
        <w:rPr>
          <w:rFonts w:eastAsia="Arial" w:cs="Arial"/>
          <w:b/>
          <w:bCs/>
          <w:color w:val="000000" w:themeColor="text1"/>
          <w:szCs w:val="22"/>
        </w:rPr>
        <w:t>Clause 2</w:t>
      </w:r>
      <w:r w:rsidRPr="00A325B0">
        <w:rPr>
          <w:rFonts w:eastAsia="Arial" w:cs="Arial"/>
          <w:color w:val="000000" w:themeColor="text1"/>
          <w:szCs w:val="22"/>
        </w:rPr>
        <w:t xml:space="preserve"> </w:t>
      </w:r>
      <w:r>
        <w:rPr>
          <w:rFonts w:eastAsia="Arial" w:cs="Arial"/>
          <w:color w:val="000000" w:themeColor="text1"/>
          <w:szCs w:val="22"/>
        </w:rPr>
        <w:t xml:space="preserve">of the variation </w:t>
      </w:r>
      <w:r w:rsidRPr="00A325B0">
        <w:rPr>
          <w:rFonts w:eastAsia="Arial" w:cs="Arial"/>
          <w:color w:val="000000" w:themeColor="text1"/>
          <w:szCs w:val="22"/>
        </w:rPr>
        <w:t>provides that the Code is amended by the Schedule to the variation.</w:t>
      </w:r>
    </w:p>
    <w:p w14:paraId="4054A38B" w14:textId="77777777" w:rsidR="00FB3F00" w:rsidRDefault="00FB3F00" w:rsidP="00FB3F00">
      <w:pPr>
        <w:spacing w:before="240"/>
        <w:rPr>
          <w:rFonts w:eastAsia="Arial" w:cs="Arial"/>
          <w:color w:val="000000" w:themeColor="text1"/>
          <w:szCs w:val="22"/>
        </w:rPr>
      </w:pPr>
      <w:r w:rsidRPr="000275FF">
        <w:rPr>
          <w:rFonts w:eastAsia="Arial" w:cs="Arial"/>
          <w:b/>
          <w:bCs/>
          <w:color w:val="000000" w:themeColor="text1"/>
          <w:szCs w:val="22"/>
        </w:rPr>
        <w:t>Clause 3</w:t>
      </w:r>
      <w:r w:rsidRPr="00A325B0">
        <w:rPr>
          <w:rFonts w:eastAsia="Arial" w:cs="Arial"/>
          <w:color w:val="000000" w:themeColor="text1"/>
          <w:szCs w:val="22"/>
        </w:rPr>
        <w:t xml:space="preserve"> </w:t>
      </w:r>
      <w:r>
        <w:rPr>
          <w:rFonts w:eastAsia="Arial" w:cs="Arial"/>
          <w:color w:val="000000" w:themeColor="text1"/>
          <w:szCs w:val="22"/>
        </w:rPr>
        <w:t xml:space="preserve">of the variation </w:t>
      </w:r>
      <w:r w:rsidRPr="00A325B0">
        <w:rPr>
          <w:rFonts w:eastAsia="Arial" w:cs="Arial"/>
          <w:color w:val="000000" w:themeColor="text1"/>
          <w:szCs w:val="22"/>
        </w:rPr>
        <w:t>provides that the variation commences on the date of gazettal of the instrument.</w:t>
      </w:r>
    </w:p>
    <w:p w14:paraId="0A12F440" w14:textId="77777777" w:rsidR="00FB3F00" w:rsidRDefault="00FB3F00" w:rsidP="00FB3F00">
      <w:pPr>
        <w:spacing w:before="240"/>
        <w:rPr>
          <w:rFonts w:eastAsia="Arial" w:cs="Arial"/>
          <w:b/>
          <w:bCs/>
          <w:i/>
          <w:iCs/>
          <w:color w:val="000000" w:themeColor="text1"/>
          <w:szCs w:val="22"/>
        </w:rPr>
      </w:pPr>
      <w:r>
        <w:rPr>
          <w:rFonts w:eastAsia="Arial" w:cs="Arial"/>
          <w:b/>
          <w:bCs/>
          <w:i/>
          <w:iCs/>
          <w:color w:val="000000" w:themeColor="text1"/>
          <w:szCs w:val="22"/>
        </w:rPr>
        <w:t>Schedule to the variation</w:t>
      </w:r>
    </w:p>
    <w:p w14:paraId="1430EC2E" w14:textId="77777777" w:rsidR="00FB3F00" w:rsidRPr="006C64E5" w:rsidRDefault="00FB3F00" w:rsidP="00FB3F00">
      <w:pPr>
        <w:spacing w:before="240"/>
      </w:pPr>
      <w:r w:rsidRPr="0043265D">
        <w:rPr>
          <w:b/>
          <w:bCs/>
        </w:rPr>
        <w:t>Item [1]</w:t>
      </w:r>
      <w:r w:rsidRPr="006C64E5">
        <w:t xml:space="preserve"> </w:t>
      </w:r>
      <w:r>
        <w:t xml:space="preserve">of the Schedule to the variation </w:t>
      </w:r>
      <w:r w:rsidRPr="006C64E5">
        <w:t>insert</w:t>
      </w:r>
      <w:r>
        <w:t>s</w:t>
      </w:r>
      <w:r w:rsidRPr="006C64E5">
        <w:t xml:space="preserve"> a new entry, in alphabetical order, into </w:t>
      </w:r>
      <w:r>
        <w:t xml:space="preserve">column 1 of </w:t>
      </w:r>
      <w:r w:rsidRPr="006C64E5">
        <w:t xml:space="preserve">the table to subsection S18—9(3) of the Code. </w:t>
      </w:r>
    </w:p>
    <w:p w14:paraId="33E16BA4" w14:textId="77777777" w:rsidR="00FB3F00" w:rsidRDefault="00FB3F00" w:rsidP="00FB3F00">
      <w:r w:rsidRPr="006C64E5">
        <w:t>The new entry consists of</w:t>
      </w:r>
      <w:r>
        <w:t xml:space="preserve"> the following enzyme:</w:t>
      </w:r>
    </w:p>
    <w:p w14:paraId="69EB3EA1" w14:textId="77777777" w:rsidR="00FB3F00" w:rsidRPr="00A60276" w:rsidRDefault="00FB3F00" w:rsidP="00FB3F00">
      <w:pPr>
        <w:ind w:left="567" w:firstLine="3"/>
      </w:pPr>
      <w:bookmarkStart w:id="1" w:name="_Hlk164334753"/>
      <w:r w:rsidRPr="00875B90">
        <w:t>‘</w:t>
      </w:r>
      <w:r w:rsidRPr="003403E7">
        <w:t>Fructosyltransferase, immobilised</w:t>
      </w:r>
      <w:r>
        <w:t>,</w:t>
      </w:r>
      <w:r w:rsidRPr="003403E7">
        <w:t xml:space="preserve"> (EC 2.4.1.9) derived from </w:t>
      </w:r>
      <w:r w:rsidRPr="003403E7">
        <w:rPr>
          <w:i/>
          <w:iCs/>
        </w:rPr>
        <w:t>Aspergillus oryzae</w:t>
      </w:r>
      <w:r w:rsidRPr="003403E7">
        <w:t>’</w:t>
      </w:r>
      <w:r w:rsidRPr="00875B90">
        <w:rPr>
          <w:i/>
          <w:iCs/>
        </w:rPr>
        <w:t>.</w:t>
      </w:r>
    </w:p>
    <w:bookmarkEnd w:id="1"/>
    <w:p w14:paraId="00CE8E58" w14:textId="77777777" w:rsidR="00FB3F00" w:rsidRPr="006C64E5" w:rsidRDefault="00FB3F00" w:rsidP="00FB3F00">
      <w:r>
        <w:t xml:space="preserve">The permitted technological purpose for this enzyme is prescribed in column 2 of the table. i.e. ‘For use in the manufacture of </w:t>
      </w:r>
      <w:proofErr w:type="gramStart"/>
      <w:r>
        <w:t>short-chain</w:t>
      </w:r>
      <w:proofErr w:type="gramEnd"/>
      <w:r>
        <w:t xml:space="preserve"> </w:t>
      </w:r>
      <w:proofErr w:type="spellStart"/>
      <w:r>
        <w:t>fructooligosaccharides</w:t>
      </w:r>
      <w:proofErr w:type="spellEnd"/>
      <w:r>
        <w:t xml:space="preserve"> from sucrose.’</w:t>
      </w:r>
    </w:p>
    <w:p w14:paraId="0F377002" w14:textId="77777777" w:rsidR="00FB3F00" w:rsidRPr="008B6BA0" w:rsidRDefault="00FB3F00" w:rsidP="00FB3F00">
      <w:r w:rsidRPr="008B6BA0">
        <w:t xml:space="preserve">The permission </w:t>
      </w:r>
      <w:r>
        <w:t>is</w:t>
      </w:r>
      <w:r w:rsidRPr="008B6BA0">
        <w:t xml:space="preserve"> subject to the condition, as prescribed in column 3 of the table, that the maximum permitted level or amount of this enzyme that may be present in the food must be consistent with GMP.</w:t>
      </w:r>
    </w:p>
    <w:p w14:paraId="5CD0AC61" w14:textId="77777777" w:rsidR="00FB3F00" w:rsidRDefault="00FB3F00" w:rsidP="00FB3F00">
      <w:r>
        <w:t>The effect of</w:t>
      </w:r>
      <w:r w:rsidRPr="008B6BA0">
        <w:t xml:space="preserve"> </w:t>
      </w:r>
      <w:r w:rsidRPr="00DA7D9E">
        <w:rPr>
          <w:b/>
          <w:bCs/>
        </w:rPr>
        <w:t>item [1]</w:t>
      </w:r>
      <w:r w:rsidRPr="008B6BA0">
        <w:t xml:space="preserve"> </w:t>
      </w:r>
      <w:r>
        <w:t>is to</w:t>
      </w:r>
      <w:r w:rsidRPr="008B6BA0">
        <w:t xml:space="preserve"> </w:t>
      </w:r>
      <w:bookmarkStart w:id="2" w:name="_Hlk140046986"/>
      <w:r w:rsidRPr="008B6BA0">
        <w:t xml:space="preserve">permit the use </w:t>
      </w:r>
      <w:bookmarkEnd w:id="2"/>
      <w:r w:rsidRPr="00CB2DE8">
        <w:t xml:space="preserve">of the </w:t>
      </w:r>
      <w:r w:rsidRPr="00C532AF">
        <w:t xml:space="preserve">enzyme immobilised fructosyltransferase (EC 2.4.1.9) from </w:t>
      </w:r>
      <w:r w:rsidRPr="00C532AF">
        <w:rPr>
          <w:i/>
          <w:iCs/>
        </w:rPr>
        <w:t>Aspergillus oryzae</w:t>
      </w:r>
      <w:r w:rsidRPr="00C532AF">
        <w:t xml:space="preserve"> </w:t>
      </w:r>
      <w:r w:rsidRPr="00CB2DE8">
        <w:rPr>
          <w:lang w:val="en-AU"/>
        </w:rPr>
        <w:t xml:space="preserve">as </w:t>
      </w:r>
      <w:r w:rsidRPr="00CB2DE8">
        <w:t>a processing aid</w:t>
      </w:r>
      <w:r w:rsidRPr="00CB2DE8">
        <w:rPr>
          <w:i/>
          <w:iCs/>
        </w:rPr>
        <w:t xml:space="preserve"> </w:t>
      </w:r>
      <w:r w:rsidRPr="00CB2DE8">
        <w:t>in accordance with the Code.</w:t>
      </w:r>
    </w:p>
    <w:p w14:paraId="51105AF1" w14:textId="40821666" w:rsidR="00D5526B" w:rsidRPr="003A01FB" w:rsidRDefault="00D5526B" w:rsidP="00D95A67">
      <w:pPr>
        <w:widowControl/>
        <w:spacing w:before="0" w:after="0"/>
      </w:pPr>
    </w:p>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C3D0" w14:textId="77777777" w:rsidR="00FB3F00" w:rsidRDefault="00FB3F00" w:rsidP="00FB3F00">
      <w:pPr>
        <w:spacing w:before="0" w:after="0"/>
      </w:pPr>
      <w:r>
        <w:separator/>
      </w:r>
    </w:p>
  </w:endnote>
  <w:endnote w:type="continuationSeparator" w:id="0">
    <w:p w14:paraId="717F8D6B" w14:textId="77777777" w:rsidR="00FB3F00" w:rsidRDefault="00FB3F00" w:rsidP="00FB3F00">
      <w:pPr>
        <w:spacing w:before="0" w:after="0"/>
      </w:pPr>
      <w:r>
        <w:continuationSeparator/>
      </w:r>
    </w:p>
  </w:endnote>
  <w:endnote w:type="continuationNotice" w:id="1">
    <w:p w14:paraId="19BB6AF4" w14:textId="77777777" w:rsidR="007D47CA" w:rsidRDefault="007D47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ABBF" w14:textId="77777777" w:rsidR="00FB3F00" w:rsidRDefault="00FB3F00" w:rsidP="00FB3F00">
      <w:pPr>
        <w:spacing w:before="0" w:after="0"/>
      </w:pPr>
      <w:r>
        <w:separator/>
      </w:r>
    </w:p>
  </w:footnote>
  <w:footnote w:type="continuationSeparator" w:id="0">
    <w:p w14:paraId="2DFFB890" w14:textId="77777777" w:rsidR="00FB3F00" w:rsidRDefault="00FB3F00" w:rsidP="00FB3F00">
      <w:pPr>
        <w:spacing w:before="0" w:after="0"/>
      </w:pPr>
      <w:r>
        <w:continuationSeparator/>
      </w:r>
    </w:p>
  </w:footnote>
  <w:footnote w:type="continuationNotice" w:id="1">
    <w:p w14:paraId="54E12FEC" w14:textId="77777777" w:rsidR="007D47CA" w:rsidRDefault="007D47CA">
      <w:pPr>
        <w:spacing w:before="0" w:after="0"/>
      </w:pPr>
    </w:p>
  </w:footnote>
  <w:footnote w:id="2">
    <w:p w14:paraId="4C436D77" w14:textId="77777777" w:rsidR="00FB3F00" w:rsidRPr="002D2809" w:rsidRDefault="00FB3F00" w:rsidP="00FB3F00">
      <w:pPr>
        <w:pStyle w:val="FootnoteText"/>
        <w:rPr>
          <w:lang w:val="en-US"/>
        </w:rPr>
      </w:pPr>
      <w:r>
        <w:rPr>
          <w:rStyle w:val="FootnoteReference"/>
        </w:rPr>
        <w:footnoteRef/>
      </w:r>
      <w:r>
        <w:t xml:space="preserve"> </w:t>
      </w:r>
      <w:r w:rsidRPr="00641D3A">
        <w:t>Regulatory Impact Analysis Guide for Ministers’ Meetings and National Standard Setting Bodies | The Office of Impact Analysis (pmc.gov.au)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303318961">
    <w:abstractNumId w:val="0"/>
  </w:num>
  <w:num w:numId="2" w16cid:durableId="1347054326">
    <w:abstractNumId w:val="0"/>
  </w:num>
  <w:num w:numId="3" w16cid:durableId="1401905380">
    <w:abstractNumId w:val="0"/>
  </w:num>
  <w:num w:numId="4" w16cid:durableId="510878757">
    <w:abstractNumId w:val="0"/>
  </w:num>
  <w:num w:numId="5" w16cid:durableId="1083799265">
    <w:abstractNumId w:val="0"/>
  </w:num>
  <w:num w:numId="6" w16cid:durableId="808477829">
    <w:abstractNumId w:val="0"/>
  </w:num>
  <w:num w:numId="7" w16cid:durableId="127479210">
    <w:abstractNumId w:val="0"/>
  </w:num>
  <w:num w:numId="8" w16cid:durableId="1858348123">
    <w:abstractNumId w:val="3"/>
  </w:num>
  <w:num w:numId="9" w16cid:durableId="1413969068">
    <w:abstractNumId w:val="1"/>
  </w:num>
  <w:num w:numId="10" w16cid:durableId="188955364">
    <w:abstractNumId w:val="2"/>
  </w:num>
  <w:num w:numId="11" w16cid:durableId="1033190071">
    <w:abstractNumId w:val="3"/>
  </w:num>
  <w:num w:numId="12" w16cid:durableId="1019157851">
    <w:abstractNumId w:val="1"/>
  </w:num>
  <w:num w:numId="13" w16cid:durableId="2102992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00"/>
    <w:rsid w:val="0000542C"/>
    <w:rsid w:val="00041643"/>
    <w:rsid w:val="000551B5"/>
    <w:rsid w:val="000622E7"/>
    <w:rsid w:val="00066854"/>
    <w:rsid w:val="00066D85"/>
    <w:rsid w:val="000A38F8"/>
    <w:rsid w:val="000F2196"/>
    <w:rsid w:val="0016584C"/>
    <w:rsid w:val="001734EA"/>
    <w:rsid w:val="00184403"/>
    <w:rsid w:val="00191770"/>
    <w:rsid w:val="001C5126"/>
    <w:rsid w:val="001E696B"/>
    <w:rsid w:val="002232B1"/>
    <w:rsid w:val="00234C31"/>
    <w:rsid w:val="0033021F"/>
    <w:rsid w:val="00341D25"/>
    <w:rsid w:val="003A002D"/>
    <w:rsid w:val="003A01FB"/>
    <w:rsid w:val="00404702"/>
    <w:rsid w:val="00441D77"/>
    <w:rsid w:val="00443F05"/>
    <w:rsid w:val="00486619"/>
    <w:rsid w:val="004D3868"/>
    <w:rsid w:val="004E6694"/>
    <w:rsid w:val="0054036E"/>
    <w:rsid w:val="005B578D"/>
    <w:rsid w:val="005C1996"/>
    <w:rsid w:val="006B6900"/>
    <w:rsid w:val="006D473E"/>
    <w:rsid w:val="007201F8"/>
    <w:rsid w:val="007706AB"/>
    <w:rsid w:val="00793DE6"/>
    <w:rsid w:val="007D47CA"/>
    <w:rsid w:val="007F6456"/>
    <w:rsid w:val="007F6625"/>
    <w:rsid w:val="00830393"/>
    <w:rsid w:val="00833D5A"/>
    <w:rsid w:val="00860EE7"/>
    <w:rsid w:val="00877A81"/>
    <w:rsid w:val="008931F6"/>
    <w:rsid w:val="008E2339"/>
    <w:rsid w:val="00935023"/>
    <w:rsid w:val="009806A5"/>
    <w:rsid w:val="009E265A"/>
    <w:rsid w:val="00A25B29"/>
    <w:rsid w:val="00A26F82"/>
    <w:rsid w:val="00A808E9"/>
    <w:rsid w:val="00B53154"/>
    <w:rsid w:val="00B66C39"/>
    <w:rsid w:val="00B72074"/>
    <w:rsid w:val="00BC2133"/>
    <w:rsid w:val="00BE4F3A"/>
    <w:rsid w:val="00C00860"/>
    <w:rsid w:val="00C019A6"/>
    <w:rsid w:val="00C572A2"/>
    <w:rsid w:val="00D5526B"/>
    <w:rsid w:val="00D66962"/>
    <w:rsid w:val="00D87D9C"/>
    <w:rsid w:val="00D92B3B"/>
    <w:rsid w:val="00D95A67"/>
    <w:rsid w:val="00DA7DED"/>
    <w:rsid w:val="00DF4A30"/>
    <w:rsid w:val="00E0050C"/>
    <w:rsid w:val="00E2450C"/>
    <w:rsid w:val="00E340B5"/>
    <w:rsid w:val="00E4001E"/>
    <w:rsid w:val="00E53ACA"/>
    <w:rsid w:val="00E9409E"/>
    <w:rsid w:val="00EC65E9"/>
    <w:rsid w:val="00F4105E"/>
    <w:rsid w:val="00F616DA"/>
    <w:rsid w:val="00F76F95"/>
    <w:rsid w:val="00FB3F00"/>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610C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FB3F00"/>
    <w:pPr>
      <w:widowControl w:val="0"/>
      <w:spacing w:before="120" w:after="12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before="0"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after="0"/>
      <w:outlineLvl w:val="5"/>
    </w:pPr>
    <w:rPr>
      <w:rFonts w:asciiTheme="majorHAnsi" w:eastAsiaTheme="majorEastAsia" w:hAnsiTheme="majorHAnsi" w:cstheme="majorBidi"/>
      <w:i/>
      <w:iCs/>
      <w:color w:val="243F60" w:themeColor="accent1" w:themeShade="7F"/>
      <w:szCs w:val="22"/>
      <w:lang w:bidi="ar-SA"/>
    </w:rPr>
  </w:style>
  <w:style w:type="paragraph" w:styleId="Heading7">
    <w:name w:val="heading 7"/>
    <w:basedOn w:val="Normal"/>
    <w:next w:val="Normal"/>
    <w:link w:val="Heading7Char"/>
    <w:uiPriority w:val="9"/>
    <w:semiHidden/>
    <w:unhideWhenUsed/>
    <w:rsid w:val="00FB3F00"/>
    <w:pPr>
      <w:keepNext/>
      <w:keepLines/>
      <w:widowControl/>
      <w:spacing w:before="40" w:after="0"/>
      <w:outlineLvl w:val="6"/>
    </w:pPr>
    <w:rPr>
      <w:rFonts w:asciiTheme="minorHAnsi" w:eastAsiaTheme="majorEastAsia" w:hAnsiTheme="minorHAnsi" w:cstheme="majorBidi"/>
      <w:color w:val="595959" w:themeColor="text1" w:themeTint="A6"/>
      <w:szCs w:val="22"/>
      <w:lang w:bidi="ar-SA"/>
    </w:rPr>
  </w:style>
  <w:style w:type="paragraph" w:styleId="Heading8">
    <w:name w:val="heading 8"/>
    <w:basedOn w:val="Normal"/>
    <w:next w:val="Normal"/>
    <w:link w:val="Heading8Char"/>
    <w:uiPriority w:val="9"/>
    <w:semiHidden/>
    <w:unhideWhenUsed/>
    <w:qFormat/>
    <w:rsid w:val="00FB3F00"/>
    <w:pPr>
      <w:keepNext/>
      <w:keepLines/>
      <w:widowControl/>
      <w:spacing w:before="0" w:after="0"/>
      <w:outlineLvl w:val="7"/>
    </w:pPr>
    <w:rPr>
      <w:rFonts w:asciiTheme="minorHAnsi" w:eastAsiaTheme="majorEastAsia" w:hAnsiTheme="minorHAnsi" w:cstheme="majorBidi"/>
      <w:i/>
      <w:iCs/>
      <w:color w:val="272727" w:themeColor="text1" w:themeTint="D8"/>
      <w:szCs w:val="22"/>
      <w:lang w:bidi="ar-SA"/>
    </w:rPr>
  </w:style>
  <w:style w:type="paragraph" w:styleId="Heading9">
    <w:name w:val="heading 9"/>
    <w:basedOn w:val="Normal"/>
    <w:next w:val="Normal"/>
    <w:link w:val="Heading9Char"/>
    <w:uiPriority w:val="9"/>
    <w:semiHidden/>
    <w:unhideWhenUsed/>
    <w:qFormat/>
    <w:rsid w:val="00FB3F00"/>
    <w:pPr>
      <w:keepNext/>
      <w:keepLines/>
      <w:widowControl/>
      <w:spacing w:before="0" w:after="0"/>
      <w:outlineLvl w:val="8"/>
    </w:pPr>
    <w:rPr>
      <w:rFonts w:asciiTheme="minorHAnsi" w:eastAsiaTheme="majorEastAsia" w:hAnsiTheme="minorHAnsi" w:cstheme="majorBidi"/>
      <w:color w:val="272727" w:themeColor="text1" w:themeTint="D8"/>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spacing w:before="0" w:after="0"/>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spacing w:before="0" w:after="0"/>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spacing w:before="0" w:after="0"/>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after="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spacing w:before="0" w:after="0"/>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spacing w:before="0" w:after="0"/>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spacing w:before="0" w:after="0"/>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spacing w:before="0" w:after="0"/>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spacing w:before="0" w:after="0"/>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spacing w:before="0" w:after="0"/>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spacing w:before="0" w:after="0"/>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spacing w:before="0" w:after="0"/>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spacing w:before="0" w:after="0"/>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spacing w:before="0" w:after="0"/>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after="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spacing w:before="0" w:after="0"/>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spacing w:before="0" w:after="0"/>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spacing w:before="0" w:after="0"/>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spacing w:before="0" w:after="0"/>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spacing w:before="0" w:after="0"/>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before="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spacing w:before="0" w:after="0"/>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customStyle="1" w:styleId="Heading7Char">
    <w:name w:val="Heading 7 Char"/>
    <w:basedOn w:val="DefaultParagraphFont"/>
    <w:link w:val="Heading7"/>
    <w:uiPriority w:val="9"/>
    <w:semiHidden/>
    <w:rsid w:val="00FB3F00"/>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FB3F00"/>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B3F00"/>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rsid w:val="00FB3F00"/>
    <w:pPr>
      <w:widowControl/>
      <w:spacing w:before="0"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FB3F00"/>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rsid w:val="00FB3F00"/>
    <w:pPr>
      <w:widowControl/>
      <w:spacing w:before="160" w:after="160"/>
      <w:jc w:val="center"/>
    </w:pPr>
    <w:rPr>
      <w:rFonts w:eastAsiaTheme="minorHAnsi" w:cstheme="minorBidi"/>
      <w:i/>
      <w:iCs/>
      <w:color w:val="404040" w:themeColor="text1" w:themeTint="BF"/>
      <w:szCs w:val="22"/>
      <w:lang w:bidi="ar-SA"/>
    </w:rPr>
  </w:style>
  <w:style w:type="character" w:customStyle="1" w:styleId="QuoteChar">
    <w:name w:val="Quote Char"/>
    <w:basedOn w:val="DefaultParagraphFont"/>
    <w:link w:val="Quote"/>
    <w:uiPriority w:val="29"/>
    <w:rsid w:val="00FB3F00"/>
    <w:rPr>
      <w:rFonts w:cstheme="minorBidi"/>
      <w:i/>
      <w:iCs/>
      <w:color w:val="404040" w:themeColor="text1" w:themeTint="BF"/>
      <w:lang w:val="en-GB"/>
    </w:rPr>
  </w:style>
  <w:style w:type="paragraph" w:styleId="IntenseQuote">
    <w:name w:val="Intense Quote"/>
    <w:basedOn w:val="Normal"/>
    <w:next w:val="Normal"/>
    <w:link w:val="IntenseQuoteChar"/>
    <w:uiPriority w:val="30"/>
    <w:rsid w:val="00FB3F00"/>
    <w:pPr>
      <w:widowControl/>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szCs w:val="22"/>
      <w:lang w:bidi="ar-SA"/>
    </w:rPr>
  </w:style>
  <w:style w:type="character" w:customStyle="1" w:styleId="IntenseQuoteChar">
    <w:name w:val="Intense Quote Char"/>
    <w:basedOn w:val="DefaultParagraphFont"/>
    <w:link w:val="IntenseQuote"/>
    <w:uiPriority w:val="30"/>
    <w:rsid w:val="00FB3F00"/>
    <w:rPr>
      <w:rFonts w:cstheme="minorBidi"/>
      <w:i/>
      <w:iCs/>
      <w:color w:val="365F91" w:themeColor="accent1" w:themeShade="BF"/>
      <w:lang w:val="en-GB"/>
    </w:rPr>
  </w:style>
  <w:style w:type="character" w:styleId="IntenseReference">
    <w:name w:val="Intense Reference"/>
    <w:basedOn w:val="DefaultParagraphFont"/>
    <w:uiPriority w:val="32"/>
    <w:rsid w:val="00FB3F00"/>
    <w:rPr>
      <w:b/>
      <w:bCs/>
      <w:smallCaps/>
      <w:color w:val="365F91" w:themeColor="accent1" w:themeShade="BF"/>
      <w:spacing w:val="5"/>
    </w:rPr>
  </w:style>
  <w:style w:type="character" w:styleId="FootnoteReference">
    <w:name w:val="footnote reference"/>
    <w:basedOn w:val="DefaultParagraphFont"/>
    <w:rsid w:val="00FB3F00"/>
    <w:rPr>
      <w:vertAlign w:val="superscript"/>
    </w:rPr>
  </w:style>
  <w:style w:type="paragraph" w:customStyle="1" w:styleId="paragraph0">
    <w:name w:val="paragraph"/>
    <w:basedOn w:val="Normal"/>
    <w:rsid w:val="00FB3F00"/>
    <w:pPr>
      <w:widowControl/>
      <w:spacing w:before="100" w:beforeAutospacing="1" w:after="100" w:afterAutospacing="1"/>
    </w:pPr>
    <w:rPr>
      <w:rFonts w:ascii="Times New Roman" w:hAnsi="Times New Roman"/>
      <w:sz w:val="24"/>
      <w:lang w:val="en-NZ" w:eastAsia="en-NZ" w:bidi="ar-SA"/>
    </w:rPr>
  </w:style>
  <w:style w:type="character" w:customStyle="1" w:styleId="normaltextrun">
    <w:name w:val="normaltextrun"/>
    <w:basedOn w:val="DefaultParagraphFont"/>
    <w:rsid w:val="00FB3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43cb9915-dbd2-4e45-b39d-7bc5c58c72da</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1</Value>
      <Value>3</Value>
    </TaxCatchAll>
  </documentManagement>
</p:properties>
</file>

<file path=customXml/itemProps1.xml><?xml version="1.0" encoding="utf-8"?>
<ds:datastoreItem xmlns:ds="http://schemas.openxmlformats.org/officeDocument/2006/customXml" ds:itemID="{9CD2642F-C329-4661-BEA7-DB6FA17BB8A7}">
  <ds:schemaRefs>
    <ds:schemaRef ds:uri="http://schemas.openxmlformats.org/officeDocument/2006/bibliography"/>
  </ds:schemaRefs>
</ds:datastoreItem>
</file>

<file path=customXml/itemProps2.xml><?xml version="1.0" encoding="utf-8"?>
<ds:datastoreItem xmlns:ds="http://schemas.openxmlformats.org/officeDocument/2006/customXml" ds:itemID="{0E76E03D-A893-4E00-8BEF-DE3F0BDC4CA4}">
  <ds:schemaRefs>
    <ds:schemaRef ds:uri="http://schemas.microsoft.com/sharepoint/v3/contenttype/forms"/>
  </ds:schemaRefs>
</ds:datastoreItem>
</file>

<file path=customXml/itemProps3.xml><?xml version="1.0" encoding="utf-8"?>
<ds:datastoreItem xmlns:ds="http://schemas.openxmlformats.org/officeDocument/2006/customXml" ds:itemID="{9F3DC53C-6ED3-4E32-92CB-BDF4B7C04075}">
  <ds:schemaRefs>
    <ds:schemaRef ds:uri="Microsoft.SharePoint.Taxonomy.ContentTypeSync"/>
  </ds:schemaRefs>
</ds:datastoreItem>
</file>

<file path=customXml/itemProps4.xml><?xml version="1.0" encoding="utf-8"?>
<ds:datastoreItem xmlns:ds="http://schemas.openxmlformats.org/officeDocument/2006/customXml" ds:itemID="{C37E0E5D-2688-4616-BA85-BD18EF0C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5318B5-995D-418F-981F-0297AED575FC}">
  <ds:schemaRefs>
    <ds:schemaRef ds:uri="http://schemas.microsoft.com/office/2006/metadata/properties"/>
    <ds:schemaRef ds:uri="http://schemas.microsoft.com/office/infopath/2007/PartnerControls"/>
    <ds:schemaRef ds:uri="0e0bee33-077a-46d4-80d5-abd1b3a3b8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6634</Characters>
  <Application>Microsoft Office Word</Application>
  <DocSecurity>0</DocSecurity>
  <Lines>110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2025-04-22T07:43:00Z</dcterms:created>
  <dcterms:modified xsi:type="dcterms:W3CDTF">2025-04-22T07:43:00Z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Qualifier">
    <vt:lpwstr/>
  </property>
  <property fmtid="{D5CDD505-2E9C-101B-9397-08002B2CF9AE}" pid="3" name="PMHMAC">
    <vt:lpwstr>v=2022.1;a=SHA256;h=8805B19A05F812629EAA7B7C6EAA84073023A61F1E583007AFF6898B3F29CB75</vt:lpwstr>
  </property>
  <property fmtid="{D5CDD505-2E9C-101B-9397-08002B2CF9AE}" pid="4" name="PM_OriginationTimeStamp">
    <vt:lpwstr>2025-04-22T07:42:40Z</vt:lpwstr>
  </property>
  <property fmtid="{D5CDD505-2E9C-101B-9397-08002B2CF9AE}" pid="5" name="PM_ProtectiveMarkingValue_Header">
    <vt:lpwstr>UNOFFICIAL</vt:lpwstr>
  </property>
  <property fmtid="{D5CDD505-2E9C-101B-9397-08002B2CF9AE}" pid="6" name="bjDocumentLabelXML-0">
    <vt:lpwstr>ent xmlns="" uid="0d6753b0-55bf-4bfe-9711-090a5860f1b6" value=""/&gt;&lt;/sisl&gt;</vt:lpwstr>
  </property>
  <property fmtid="{D5CDD505-2E9C-101B-9397-08002B2CF9AE}" pid="7" name="PM_Expires">
    <vt:lpwstr/>
  </property>
  <property fmtid="{D5CDD505-2E9C-101B-9397-08002B2CF9AE}" pid="8" name="PM_DisplayValueSecClassificationWithQualifier">
    <vt:lpwstr>UNOFFICIAL</vt:lpwstr>
  </property>
  <property fmtid="{D5CDD505-2E9C-101B-9397-08002B2CF9AE}" pid="9"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10" name="PM_InsertionValue">
    <vt:lpwstr>UNOFFICIAL</vt:lpwstr>
  </property>
  <property fmtid="{D5CDD505-2E9C-101B-9397-08002B2CF9AE}" pid="11" name="PM_Originator_Hash_SHA1">
    <vt:lpwstr>D2A877FB021B1F23B5F94F499200193157B57536</vt:lpwstr>
  </property>
  <property fmtid="{D5CDD505-2E9C-101B-9397-08002B2CF9AE}" pid="12" name="PM_Originating_FileId">
    <vt:lpwstr>81EC020B514042A2BAA55894AB823E6F</vt:lpwstr>
  </property>
  <property fmtid="{D5CDD505-2E9C-101B-9397-08002B2CF9AE}" pid="13" name="PM_ProtectiveMarkingValue_Footer">
    <vt:lpwstr>UNOFFICIAL</vt:lpwstr>
  </property>
  <property fmtid="{D5CDD505-2E9C-101B-9397-08002B2CF9AE}" pid="14" name="PM_Display">
    <vt:lpwstr>UNOFFICIAL</vt:lpwstr>
  </property>
  <property fmtid="{D5CDD505-2E9C-101B-9397-08002B2CF9AE}" pid="15" name="PM_OriginatorUserAccountName_SHA256">
    <vt:lpwstr>A5FD2317C9D8556B5143B0855F8BE111C11BE8F6BA5BCF94DC5B82C005B9C67B</vt:lpwstr>
  </property>
  <property fmtid="{D5CDD505-2E9C-101B-9397-08002B2CF9AE}" pid="16" name="PM_OriginatorDomainName_SHA256">
    <vt:lpwstr>1728E66681E435764AE865ABE664C38F2A2F6D4B1DC4AC4803028F4FC406745D</vt:lpwstr>
  </property>
  <property fmtid="{D5CDD505-2E9C-101B-9397-08002B2CF9AE}" pid="17" name="PMUuid">
    <vt:lpwstr>v=2022.2;d=gov.au;g=65417EFE-F3B9-5E66-BD91-1E689FEC2EA6</vt:lpwstr>
  </property>
  <property fmtid="{D5CDD505-2E9C-101B-9397-08002B2CF9AE}" pid="18" name="PM_Hash_Version">
    <vt:lpwstr>2022.1</vt:lpwstr>
  </property>
  <property fmtid="{D5CDD505-2E9C-101B-9397-08002B2CF9AE}" pid="19" name="PM_Hash_Salt_Prev">
    <vt:lpwstr>4E32DA8EC3148CDA776CDFD0D3AF6422</vt:lpwstr>
  </property>
  <property fmtid="{D5CDD505-2E9C-101B-9397-08002B2CF9AE}" pid="20" name="PM_Hash_Salt">
    <vt:lpwstr>AA45658C019210BBC2E2B23A006C607D</vt:lpwstr>
  </property>
  <property fmtid="{D5CDD505-2E9C-101B-9397-08002B2CF9AE}" pid="21" name="PM_Hash_SHA1">
    <vt:lpwstr>7A6EAE223A8B5B3E5A669727EBE2DFDED8A2B7EB</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UNOFFICIAL</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y fmtid="{D5CDD505-2E9C-101B-9397-08002B2CF9AE}" pid="29" name="pd3a3559ef84480a8025c4c7bb6e6dee">
    <vt:lpwstr/>
  </property>
  <property fmtid="{D5CDD505-2E9C-101B-9397-08002B2CF9AE}" pid="30" name="h46016694f704d158a57d0b5238c000e">
    <vt:lpwstr/>
  </property>
  <property fmtid="{D5CDD505-2E9C-101B-9397-08002B2CF9AE}" pid="31" name="Data_x0020_Privacy">
    <vt:lpwstr/>
  </property>
  <property fmtid="{D5CDD505-2E9C-101B-9397-08002B2CF9AE}" pid="32" name="Data Privacy">
    <vt:lpwstr/>
  </property>
  <property fmtid="{D5CDD505-2E9C-101B-9397-08002B2CF9AE}" pid="33" name="MediaServiceImageTags">
    <vt:lpwstr/>
  </property>
  <property fmtid="{D5CDD505-2E9C-101B-9397-08002B2CF9AE}" pid="34" name="ContentTypeId">
    <vt:lpwstr>0x010100F5F252698E4843DFA3EBBF7EC57E522A00ED57D63352AC3D488C1927FA6C496CEC</vt:lpwstr>
  </property>
  <property fmtid="{D5CDD505-2E9C-101B-9397-08002B2CF9AE}" pid="35" name="Data Accessibility">
    <vt:lpwstr/>
  </property>
  <property fmtid="{D5CDD505-2E9C-101B-9397-08002B2CF9AE}" pid="36" name="Access">
    <vt:lpwstr/>
  </property>
  <property fmtid="{D5CDD505-2E9C-101B-9397-08002B2CF9AE}" pid="37" name="Classification">
    <vt:lpwstr>1;#OFFICIAL|3776503d-ed4e-4d70-8dfd-8e17b238523b</vt:lpwstr>
  </property>
  <property fmtid="{D5CDD505-2E9C-101B-9397-08002B2CF9AE}" pid="38" name="Data_x0020_Accessibility">
    <vt:lpwstr/>
  </property>
  <property fmtid="{D5CDD505-2E9C-101B-9397-08002B2CF9AE}" pid="39" name="o2e94e0b7bb742308b3aec7384781dc0">
    <vt:lpwstr/>
  </property>
  <property fmtid="{D5CDD505-2E9C-101B-9397-08002B2CF9AE}" pid="40" name="Data Category">
    <vt:lpwstr/>
  </property>
  <property fmtid="{D5CDD505-2E9C-101B-9397-08002B2CF9AE}" pid="41" name="lcf76f155ced4ddcb4097134ff3c332f">
    <vt:lpwstr/>
  </property>
  <property fmtid="{D5CDD505-2E9C-101B-9397-08002B2CF9AE}" pid="42" name="BCS">
    <vt:lpwstr>3;#Evaluation|43cb9915-dbd2-4e45-b39d-7bc5c58c72da</vt:lpwstr>
  </property>
  <property fmtid="{D5CDD505-2E9C-101B-9397-08002B2CF9AE}" pid="43" name="Data_x0020_Category">
    <vt:lpwstr/>
  </property>
  <property fmtid="{D5CDD505-2E9C-101B-9397-08002B2CF9AE}" pid="44" name="PM_SecurityClassification_Prev">
    <vt:lpwstr>UNOFFICIAL</vt:lpwstr>
  </property>
  <property fmtid="{D5CDD505-2E9C-101B-9397-08002B2CF9AE}" pid="45" name="PM_Qualifier_Prev">
    <vt:lpwstr/>
  </property>
</Properties>
</file>