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42F4" w14:textId="7AA54CCD" w:rsidR="00BD5EA1" w:rsidRDefault="004531D9" w:rsidP="00BD5EA1">
      <w:pPr>
        <w:pStyle w:val="CommentText"/>
        <w:spacing w:before="120" w:after="240"/>
        <w:jc w:val="center"/>
        <w:rPr>
          <w:rFonts w:eastAsia="Times New Roman" w:cs="Times New Roman"/>
          <w:b/>
          <w:sz w:val="24"/>
          <w:szCs w:val="24"/>
          <w:lang w:eastAsia="en-AU"/>
        </w:rPr>
      </w:pPr>
      <w:r w:rsidRPr="00BD5EA1">
        <w:rPr>
          <w:rFonts w:eastAsia="Times New Roman" w:cs="Times New Roman"/>
          <w:b/>
          <w:sz w:val="24"/>
          <w:szCs w:val="24"/>
          <w:lang w:eastAsia="en-AU"/>
        </w:rPr>
        <w:t>EXPLANATORY STATEMENT</w:t>
      </w:r>
      <w:bookmarkStart w:id="0" w:name="_Hlk106552105"/>
    </w:p>
    <w:p w14:paraId="1C4F8EE7" w14:textId="561FEC3F" w:rsidR="00BD5EA1" w:rsidRPr="00BD5EA1" w:rsidRDefault="00BD5EA1" w:rsidP="00BD5EA1">
      <w:pPr>
        <w:pStyle w:val="CommentText"/>
        <w:spacing w:before="120" w:after="240"/>
        <w:jc w:val="center"/>
        <w:rPr>
          <w:rFonts w:eastAsia="Times New Roman" w:cs="Times New Roman"/>
          <w:b/>
          <w:sz w:val="24"/>
          <w:szCs w:val="24"/>
          <w:lang w:eastAsia="en-AU"/>
        </w:rPr>
      </w:pPr>
      <w:r w:rsidRPr="00BD5EA1">
        <w:rPr>
          <w:rFonts w:eastAsia="Times New Roman" w:cs="Times New Roman"/>
          <w:b/>
          <w:sz w:val="24"/>
          <w:szCs w:val="24"/>
          <w:lang w:eastAsia="en-AU"/>
        </w:rPr>
        <w:t xml:space="preserve">Mutual Recognition (Automatic Deemed Registration </w:t>
      </w:r>
      <w:r w:rsidR="009C6EAB">
        <w:rPr>
          <w:rFonts w:eastAsia="Times New Roman" w:cs="Times New Roman"/>
          <w:b/>
          <w:sz w:val="24"/>
          <w:szCs w:val="24"/>
          <w:lang w:eastAsia="en-AU"/>
        </w:rPr>
        <w:t>Exemption</w:t>
      </w:r>
      <w:r w:rsidRPr="00BD5EA1">
        <w:rPr>
          <w:rFonts w:eastAsia="Times New Roman" w:cs="Times New Roman"/>
          <w:b/>
          <w:sz w:val="24"/>
          <w:szCs w:val="24"/>
          <w:lang w:eastAsia="en-AU"/>
        </w:rPr>
        <w:t xml:space="preserve"> — Western Australia) </w:t>
      </w:r>
      <w:r w:rsidR="009C6EAB">
        <w:rPr>
          <w:rFonts w:eastAsia="Times New Roman" w:cs="Times New Roman"/>
          <w:b/>
          <w:sz w:val="24"/>
          <w:szCs w:val="24"/>
          <w:lang w:eastAsia="en-AU"/>
        </w:rPr>
        <w:t>(</w:t>
      </w:r>
      <w:r w:rsidR="00EB162F">
        <w:rPr>
          <w:rFonts w:eastAsia="Times New Roman" w:cs="Times New Roman"/>
          <w:b/>
          <w:sz w:val="24"/>
          <w:szCs w:val="24"/>
          <w:lang w:eastAsia="en-AU"/>
        </w:rPr>
        <w:t>Firearms</w:t>
      </w:r>
      <w:r w:rsidR="009C6EAB">
        <w:rPr>
          <w:rFonts w:eastAsia="Times New Roman" w:cs="Times New Roman"/>
          <w:b/>
          <w:sz w:val="24"/>
          <w:szCs w:val="24"/>
          <w:lang w:eastAsia="en-AU"/>
        </w:rPr>
        <w:t>) Declaration</w:t>
      </w:r>
      <w:r w:rsidRPr="00BD5EA1">
        <w:rPr>
          <w:rFonts w:eastAsia="Times New Roman" w:cs="Times New Roman"/>
          <w:b/>
          <w:sz w:val="24"/>
          <w:szCs w:val="24"/>
          <w:lang w:eastAsia="en-AU"/>
        </w:rPr>
        <w:t xml:space="preserve"> 202</w:t>
      </w:r>
      <w:r w:rsidR="009C6EAB">
        <w:rPr>
          <w:rFonts w:eastAsia="Times New Roman" w:cs="Times New Roman"/>
          <w:b/>
          <w:sz w:val="24"/>
          <w:szCs w:val="24"/>
          <w:lang w:eastAsia="en-AU"/>
        </w:rPr>
        <w:t>5</w:t>
      </w:r>
    </w:p>
    <w:bookmarkEnd w:id="0"/>
    <w:p w14:paraId="0B5BA527" w14:textId="77777777" w:rsidR="004531D9" w:rsidRPr="00BD5EA1" w:rsidRDefault="004531D9" w:rsidP="00BD5EA1">
      <w:pPr>
        <w:pStyle w:val="CommentText"/>
        <w:spacing w:before="120" w:after="240"/>
        <w:jc w:val="center"/>
        <w:rPr>
          <w:rFonts w:eastAsia="Times New Roman" w:cs="Times New Roman"/>
          <w:b/>
          <w:i/>
          <w:sz w:val="24"/>
          <w:szCs w:val="24"/>
          <w:lang w:eastAsia="en-AU"/>
        </w:rPr>
      </w:pPr>
      <w:r w:rsidRPr="00BD5EA1">
        <w:rPr>
          <w:rFonts w:eastAsia="Times New Roman" w:cs="Times New Roman"/>
          <w:b/>
          <w:i/>
          <w:sz w:val="24"/>
          <w:szCs w:val="24"/>
          <w:lang w:eastAsia="en-AU"/>
        </w:rPr>
        <w:t>Mutual Recognition Act 1992</w:t>
      </w:r>
    </w:p>
    <w:p w14:paraId="62887DBF" w14:textId="5665DEA7" w:rsidR="004531D9" w:rsidRPr="00BD5EA1" w:rsidRDefault="004531D9" w:rsidP="004531D9">
      <w:pPr>
        <w:pStyle w:val="CommentText"/>
        <w:spacing w:before="120" w:after="240"/>
        <w:rPr>
          <w:sz w:val="24"/>
          <w:szCs w:val="24"/>
        </w:rPr>
      </w:pPr>
      <w:r w:rsidRPr="00BD5EA1">
        <w:rPr>
          <w:sz w:val="24"/>
          <w:szCs w:val="24"/>
        </w:rPr>
        <w:t xml:space="preserve">This explanatory statement provides notes on the operation of the Mutual Recognition (Automatic Deemed Registration </w:t>
      </w:r>
      <w:r w:rsidR="009C6EAB">
        <w:rPr>
          <w:sz w:val="24"/>
          <w:szCs w:val="24"/>
        </w:rPr>
        <w:t>Exemption</w:t>
      </w:r>
      <w:r w:rsidRPr="00BD5EA1">
        <w:rPr>
          <w:sz w:val="24"/>
          <w:szCs w:val="24"/>
        </w:rPr>
        <w:t xml:space="preserve"> — Western Australia) </w:t>
      </w:r>
      <w:r w:rsidR="009C6EAB">
        <w:rPr>
          <w:sz w:val="24"/>
          <w:szCs w:val="24"/>
        </w:rPr>
        <w:t>(</w:t>
      </w:r>
      <w:r w:rsidR="00EB162F" w:rsidRPr="00EB162F">
        <w:rPr>
          <w:rFonts w:eastAsia="Times New Roman" w:cs="Times New Roman"/>
          <w:bCs/>
          <w:sz w:val="24"/>
          <w:szCs w:val="24"/>
          <w:lang w:eastAsia="en-AU"/>
        </w:rPr>
        <w:t>Firearms</w:t>
      </w:r>
      <w:r w:rsidR="009C6EAB">
        <w:rPr>
          <w:sz w:val="24"/>
          <w:szCs w:val="24"/>
        </w:rPr>
        <w:t>) Declaration</w:t>
      </w:r>
      <w:r w:rsidRPr="00BD5EA1">
        <w:rPr>
          <w:sz w:val="24"/>
          <w:szCs w:val="24"/>
        </w:rPr>
        <w:t xml:space="preserve"> 20</w:t>
      </w:r>
      <w:r w:rsidR="009C6EAB">
        <w:rPr>
          <w:sz w:val="24"/>
          <w:szCs w:val="24"/>
        </w:rPr>
        <w:t>25</w:t>
      </w:r>
      <w:r w:rsidRPr="00BD5EA1">
        <w:rPr>
          <w:sz w:val="24"/>
          <w:szCs w:val="24"/>
        </w:rPr>
        <w:t xml:space="preserve"> (the </w:t>
      </w:r>
      <w:r w:rsidR="009C6EAB">
        <w:rPr>
          <w:sz w:val="24"/>
          <w:szCs w:val="24"/>
        </w:rPr>
        <w:t>Declaration</w:t>
      </w:r>
      <w:r w:rsidRPr="00BD5EA1">
        <w:rPr>
          <w:sz w:val="24"/>
          <w:szCs w:val="24"/>
        </w:rPr>
        <w:t>). The information in the explanatory statement is an aid to understand</w:t>
      </w:r>
      <w:r w:rsidR="00F51621">
        <w:rPr>
          <w:sz w:val="24"/>
          <w:szCs w:val="24"/>
        </w:rPr>
        <w:t xml:space="preserve"> </w:t>
      </w:r>
      <w:r w:rsidRPr="00BD5EA1">
        <w:rPr>
          <w:sz w:val="24"/>
          <w:szCs w:val="24"/>
        </w:rPr>
        <w:t xml:space="preserve">the </w:t>
      </w:r>
      <w:r w:rsidR="00E576A3">
        <w:rPr>
          <w:sz w:val="24"/>
          <w:szCs w:val="24"/>
        </w:rPr>
        <w:t>Declaration</w:t>
      </w:r>
      <w:r w:rsidR="00E576A3" w:rsidRPr="00BD5EA1">
        <w:rPr>
          <w:sz w:val="24"/>
          <w:szCs w:val="24"/>
        </w:rPr>
        <w:t xml:space="preserve"> </w:t>
      </w:r>
      <w:r w:rsidRPr="00BD5EA1">
        <w:rPr>
          <w:sz w:val="24"/>
          <w:szCs w:val="24"/>
        </w:rPr>
        <w:t xml:space="preserve">and should not be substituted for the </w:t>
      </w:r>
      <w:r w:rsidR="00E576A3">
        <w:rPr>
          <w:sz w:val="24"/>
          <w:szCs w:val="24"/>
        </w:rPr>
        <w:t>Declaration</w:t>
      </w:r>
      <w:r w:rsidRPr="00BD5EA1">
        <w:rPr>
          <w:sz w:val="24"/>
          <w:szCs w:val="24"/>
        </w:rPr>
        <w:t xml:space="preserve">. </w:t>
      </w:r>
    </w:p>
    <w:p w14:paraId="294CF58F" w14:textId="77777777" w:rsidR="004531D9" w:rsidRPr="00BD5EA1" w:rsidRDefault="004531D9" w:rsidP="004531D9">
      <w:pPr>
        <w:pStyle w:val="CommentText"/>
        <w:spacing w:before="120" w:after="120"/>
        <w:rPr>
          <w:b/>
          <w:sz w:val="24"/>
          <w:szCs w:val="24"/>
        </w:rPr>
      </w:pPr>
      <w:r w:rsidRPr="00BD5EA1">
        <w:rPr>
          <w:b/>
          <w:sz w:val="24"/>
          <w:szCs w:val="24"/>
        </w:rPr>
        <w:t>Context and purpose</w:t>
      </w:r>
    </w:p>
    <w:p w14:paraId="08753B61" w14:textId="25A6ED1D" w:rsidR="004531D9" w:rsidRPr="00BD5EA1" w:rsidRDefault="004531D9" w:rsidP="004531D9">
      <w:pPr>
        <w:pStyle w:val="CommentText"/>
        <w:spacing w:before="120" w:after="240"/>
        <w:rPr>
          <w:sz w:val="24"/>
          <w:szCs w:val="24"/>
        </w:rPr>
      </w:pPr>
      <w:r w:rsidRPr="00BD5EA1">
        <w:rPr>
          <w:sz w:val="24"/>
          <w:szCs w:val="24"/>
        </w:rPr>
        <w:t xml:space="preserve">Part 3A of the </w:t>
      </w:r>
      <w:r w:rsidRPr="00BD5EA1">
        <w:rPr>
          <w:i/>
          <w:sz w:val="24"/>
          <w:szCs w:val="24"/>
        </w:rPr>
        <w:t xml:space="preserve">Mutual Recognition Act 1992 </w:t>
      </w:r>
      <w:r w:rsidRPr="00BD5EA1">
        <w:rPr>
          <w:sz w:val="24"/>
          <w:szCs w:val="24"/>
        </w:rPr>
        <w:t>of the Commonwealth (the MR</w:t>
      </w:r>
      <w:r w:rsidR="00D20E88">
        <w:rPr>
          <w:sz w:val="24"/>
          <w:szCs w:val="24"/>
        </w:rPr>
        <w:t xml:space="preserve"> Act)</w:t>
      </w:r>
      <w:r w:rsidRPr="00BD5EA1">
        <w:rPr>
          <w:sz w:val="24"/>
          <w:szCs w:val="24"/>
        </w:rPr>
        <w:t xml:space="preserve"> provides for the automatic mutual recognition of occupational registrations (AMR). AMR provide</w:t>
      </w:r>
      <w:r w:rsidR="00E576A3">
        <w:rPr>
          <w:sz w:val="24"/>
          <w:szCs w:val="24"/>
        </w:rPr>
        <w:t>s</w:t>
      </w:r>
      <w:r w:rsidRPr="00BD5EA1">
        <w:rPr>
          <w:sz w:val="24"/>
          <w:szCs w:val="24"/>
        </w:rPr>
        <w:t xml:space="preserve"> an entitlement for an individual to carry on an activity in a second State, under the registration covering the activity in their home State through Automatic Deemed Registration (ADR).   </w:t>
      </w:r>
    </w:p>
    <w:p w14:paraId="1473B635" w14:textId="4D74DB20" w:rsidR="004531D9" w:rsidRPr="00BD5EA1" w:rsidRDefault="00E576A3" w:rsidP="004531D9">
      <w:pPr>
        <w:pStyle w:val="CommentText"/>
        <w:spacing w:before="120" w:after="240"/>
        <w:rPr>
          <w:sz w:val="24"/>
          <w:szCs w:val="24"/>
        </w:rPr>
      </w:pPr>
      <w:r>
        <w:rPr>
          <w:sz w:val="24"/>
          <w:szCs w:val="24"/>
        </w:rPr>
        <w:t>Section</w:t>
      </w:r>
      <w:r w:rsidR="004531D9" w:rsidRPr="00BD5EA1">
        <w:rPr>
          <w:sz w:val="24"/>
          <w:szCs w:val="24"/>
        </w:rPr>
        <w:t xml:space="preserve"> </w:t>
      </w:r>
      <w:r>
        <w:rPr>
          <w:sz w:val="24"/>
          <w:szCs w:val="24"/>
        </w:rPr>
        <w:t>42S</w:t>
      </w:r>
      <w:r w:rsidR="004531D9" w:rsidRPr="00BD5EA1">
        <w:rPr>
          <w:sz w:val="24"/>
          <w:szCs w:val="24"/>
        </w:rPr>
        <w:t xml:space="preserve"> of the MRA </w:t>
      </w:r>
      <w:r w:rsidR="00EB162F">
        <w:rPr>
          <w:sz w:val="24"/>
          <w:szCs w:val="24"/>
        </w:rPr>
        <w:t xml:space="preserve">Act </w:t>
      </w:r>
      <w:r w:rsidR="004531D9" w:rsidRPr="00BD5EA1">
        <w:rPr>
          <w:sz w:val="24"/>
          <w:szCs w:val="24"/>
        </w:rPr>
        <w:t xml:space="preserve">provides for the </w:t>
      </w:r>
      <w:r>
        <w:rPr>
          <w:sz w:val="24"/>
          <w:szCs w:val="24"/>
        </w:rPr>
        <w:t>Minister of a State to declare, by legislative instrument, that</w:t>
      </w:r>
      <w:r w:rsidR="00EC27AE">
        <w:rPr>
          <w:sz w:val="24"/>
          <w:szCs w:val="24"/>
        </w:rPr>
        <w:t xml:space="preserve"> a specified registration, whether for an occupation or for an activity covered by an occupation, is excluded from the operation of AMR. </w:t>
      </w:r>
      <w:r w:rsidR="004531D9" w:rsidRPr="00BD5EA1">
        <w:rPr>
          <w:sz w:val="24"/>
          <w:szCs w:val="24"/>
        </w:rPr>
        <w:t xml:space="preserve">The </w:t>
      </w:r>
      <w:r w:rsidR="004531D9" w:rsidRPr="00BD5EA1">
        <w:rPr>
          <w:i/>
          <w:sz w:val="24"/>
          <w:szCs w:val="24"/>
        </w:rPr>
        <w:t>Legislation Act 2003</w:t>
      </w:r>
      <w:r w:rsidR="004531D9" w:rsidRPr="00BD5EA1">
        <w:rPr>
          <w:sz w:val="24"/>
          <w:szCs w:val="24"/>
        </w:rPr>
        <w:t xml:space="preserve"> of the Commonwealth provides for the making of legislative instruments. </w:t>
      </w:r>
    </w:p>
    <w:p w14:paraId="3621CB0C" w14:textId="77777777" w:rsidR="004531D9" w:rsidRPr="00BD5EA1" w:rsidRDefault="004531D9" w:rsidP="004531D9">
      <w:pPr>
        <w:pStyle w:val="CommentText"/>
        <w:spacing w:before="120" w:after="120"/>
        <w:rPr>
          <w:b/>
          <w:sz w:val="24"/>
          <w:szCs w:val="24"/>
        </w:rPr>
      </w:pPr>
      <w:r w:rsidRPr="00BD5EA1">
        <w:rPr>
          <w:b/>
          <w:sz w:val="24"/>
          <w:szCs w:val="24"/>
        </w:rPr>
        <w:t>Summary</w:t>
      </w:r>
    </w:p>
    <w:p w14:paraId="7375343E" w14:textId="269DC06C" w:rsidR="0097245D" w:rsidRDefault="004531D9" w:rsidP="004531D9">
      <w:pPr>
        <w:pStyle w:val="CommentText"/>
        <w:spacing w:before="120" w:after="240"/>
        <w:rPr>
          <w:sz w:val="24"/>
          <w:szCs w:val="24"/>
        </w:rPr>
      </w:pPr>
      <w:r w:rsidRPr="00BD5EA1">
        <w:rPr>
          <w:sz w:val="24"/>
          <w:szCs w:val="24"/>
        </w:rPr>
        <w:t xml:space="preserve">Through this </w:t>
      </w:r>
      <w:r w:rsidR="00EC27AE">
        <w:rPr>
          <w:sz w:val="24"/>
          <w:szCs w:val="24"/>
        </w:rPr>
        <w:t>Declaration</w:t>
      </w:r>
      <w:r w:rsidRPr="00BD5EA1">
        <w:rPr>
          <w:sz w:val="24"/>
          <w:szCs w:val="24"/>
        </w:rPr>
        <w:t xml:space="preserve">, the Premier of Western Australia </w:t>
      </w:r>
      <w:r w:rsidR="0097245D">
        <w:rPr>
          <w:sz w:val="24"/>
          <w:szCs w:val="24"/>
        </w:rPr>
        <w:t xml:space="preserve">has exempted </w:t>
      </w:r>
      <w:r w:rsidR="00A96307">
        <w:rPr>
          <w:sz w:val="24"/>
          <w:szCs w:val="24"/>
        </w:rPr>
        <w:t>a firearm authority</w:t>
      </w:r>
      <w:r w:rsidR="0097245D">
        <w:rPr>
          <w:sz w:val="24"/>
          <w:szCs w:val="24"/>
        </w:rPr>
        <w:t xml:space="preserve"> under the </w:t>
      </w:r>
      <w:r w:rsidR="00A96307">
        <w:rPr>
          <w:i/>
          <w:iCs/>
          <w:sz w:val="24"/>
          <w:szCs w:val="24"/>
        </w:rPr>
        <w:t>Firearms Act 2024</w:t>
      </w:r>
      <w:r w:rsidR="0097245D">
        <w:rPr>
          <w:sz w:val="24"/>
          <w:szCs w:val="24"/>
        </w:rPr>
        <w:t xml:space="preserve"> (WA) from the operation of AMR in Western Australia.</w:t>
      </w:r>
    </w:p>
    <w:p w14:paraId="2EA40ECB" w14:textId="351D65E1" w:rsidR="00A96307" w:rsidRDefault="00A96307" w:rsidP="00A96307">
      <w:pPr>
        <w:pStyle w:val="CommentText"/>
        <w:spacing w:before="120" w:after="240"/>
        <w:rPr>
          <w:sz w:val="24"/>
          <w:szCs w:val="24"/>
        </w:rPr>
      </w:pPr>
      <w:r w:rsidRPr="00A96307">
        <w:rPr>
          <w:sz w:val="24"/>
          <w:szCs w:val="24"/>
        </w:rPr>
        <w:t>Automatic deemed registration in relation to these registrations would</w:t>
      </w:r>
      <w:r>
        <w:rPr>
          <w:sz w:val="24"/>
          <w:szCs w:val="24"/>
        </w:rPr>
        <w:t xml:space="preserve"> have </w:t>
      </w:r>
      <w:r w:rsidRPr="00A96307">
        <w:rPr>
          <w:sz w:val="24"/>
          <w:szCs w:val="24"/>
        </w:rPr>
        <w:t>remove</w:t>
      </w:r>
      <w:r>
        <w:rPr>
          <w:sz w:val="24"/>
          <w:szCs w:val="24"/>
        </w:rPr>
        <w:t>d</w:t>
      </w:r>
      <w:r w:rsidRPr="00A96307">
        <w:rPr>
          <w:sz w:val="24"/>
          <w:szCs w:val="24"/>
        </w:rPr>
        <w:t xml:space="preserve"> critical identity and security checks th</w:t>
      </w:r>
      <w:r>
        <w:rPr>
          <w:sz w:val="24"/>
          <w:szCs w:val="24"/>
        </w:rPr>
        <w:t>a</w:t>
      </w:r>
      <w:r w:rsidRPr="00A96307">
        <w:rPr>
          <w:sz w:val="24"/>
          <w:szCs w:val="24"/>
        </w:rPr>
        <w:t>t could lead to the</w:t>
      </w:r>
      <w:r>
        <w:rPr>
          <w:sz w:val="24"/>
          <w:szCs w:val="24"/>
        </w:rPr>
        <w:t xml:space="preserve"> </w:t>
      </w:r>
      <w:r w:rsidRPr="00A96307">
        <w:rPr>
          <w:sz w:val="24"/>
          <w:szCs w:val="24"/>
        </w:rPr>
        <w:t>unverified and unregulated sale of firearms in Western Australia,</w:t>
      </w:r>
      <w:r>
        <w:rPr>
          <w:sz w:val="24"/>
          <w:szCs w:val="24"/>
        </w:rPr>
        <w:t xml:space="preserve"> </w:t>
      </w:r>
      <w:r w:rsidRPr="00A96307">
        <w:rPr>
          <w:sz w:val="24"/>
          <w:szCs w:val="24"/>
        </w:rPr>
        <w:t>which could put the public at significant risk.</w:t>
      </w:r>
    </w:p>
    <w:p w14:paraId="04276A91" w14:textId="77777777" w:rsidR="004531D9" w:rsidRPr="00BD5EA1" w:rsidRDefault="004531D9" w:rsidP="004531D9">
      <w:pPr>
        <w:pStyle w:val="CommentText"/>
        <w:spacing w:before="120" w:after="120"/>
        <w:rPr>
          <w:b/>
          <w:sz w:val="24"/>
          <w:szCs w:val="24"/>
        </w:rPr>
      </w:pPr>
      <w:r w:rsidRPr="00BD5EA1">
        <w:rPr>
          <w:b/>
          <w:sz w:val="24"/>
          <w:szCs w:val="24"/>
        </w:rPr>
        <w:t>Consultation</w:t>
      </w:r>
    </w:p>
    <w:p w14:paraId="772FE7C2" w14:textId="731C6823" w:rsidR="004531D9" w:rsidRPr="00BD5EA1" w:rsidRDefault="004531D9" w:rsidP="004531D9">
      <w:pPr>
        <w:shd w:val="clear" w:color="auto" w:fill="FFFFFF"/>
        <w:spacing w:before="120" w:after="240" w:line="240" w:lineRule="auto"/>
        <w:ind w:right="26"/>
        <w:rPr>
          <w:sz w:val="24"/>
          <w:szCs w:val="24"/>
        </w:rPr>
      </w:pPr>
      <w:r w:rsidRPr="00BD5EA1">
        <w:rPr>
          <w:sz w:val="24"/>
          <w:szCs w:val="24"/>
        </w:rPr>
        <w:t>The Western Australian Government consulted with the local registration authorit</w:t>
      </w:r>
      <w:r w:rsidR="0097245D">
        <w:rPr>
          <w:sz w:val="24"/>
          <w:szCs w:val="24"/>
        </w:rPr>
        <w:t xml:space="preserve">y </w:t>
      </w:r>
      <w:r w:rsidRPr="00BD5EA1">
        <w:rPr>
          <w:sz w:val="24"/>
          <w:szCs w:val="24"/>
        </w:rPr>
        <w:t xml:space="preserve">in which the </w:t>
      </w:r>
      <w:r w:rsidR="0097245D">
        <w:rPr>
          <w:sz w:val="24"/>
          <w:szCs w:val="24"/>
        </w:rPr>
        <w:t>exemption</w:t>
      </w:r>
      <w:r w:rsidRPr="00BD5EA1">
        <w:rPr>
          <w:sz w:val="24"/>
          <w:szCs w:val="24"/>
        </w:rPr>
        <w:t xml:space="preserve"> appl</w:t>
      </w:r>
      <w:r w:rsidR="0097245D">
        <w:rPr>
          <w:sz w:val="24"/>
          <w:szCs w:val="24"/>
        </w:rPr>
        <w:t>ies</w:t>
      </w:r>
      <w:r w:rsidRPr="00BD5EA1">
        <w:rPr>
          <w:sz w:val="24"/>
          <w:szCs w:val="24"/>
        </w:rPr>
        <w:t xml:space="preserve">. The Minister is satisfied that the consultation undertaken is appropriate and practical for the purposes of making the </w:t>
      </w:r>
      <w:r w:rsidR="0097245D">
        <w:rPr>
          <w:sz w:val="24"/>
          <w:szCs w:val="24"/>
        </w:rPr>
        <w:t>Declaration</w:t>
      </w:r>
      <w:r w:rsidR="0097245D" w:rsidRPr="00BD5EA1">
        <w:rPr>
          <w:sz w:val="24"/>
          <w:szCs w:val="24"/>
        </w:rPr>
        <w:t xml:space="preserve"> </w:t>
      </w:r>
      <w:r w:rsidRPr="00BD5EA1">
        <w:rPr>
          <w:sz w:val="24"/>
          <w:szCs w:val="24"/>
        </w:rPr>
        <w:t xml:space="preserve">and drew on the knowledge of relevant subject matter experts.  </w:t>
      </w:r>
    </w:p>
    <w:p w14:paraId="59AB8D72" w14:textId="77777777" w:rsidR="00A847E1" w:rsidRDefault="00A847E1" w:rsidP="004531D9">
      <w:pPr>
        <w:keepNext/>
        <w:tabs>
          <w:tab w:val="left" w:pos="3402"/>
        </w:tabs>
        <w:spacing w:before="120" w:after="240" w:line="240" w:lineRule="auto"/>
        <w:ind w:right="397"/>
        <w:rPr>
          <w:sz w:val="24"/>
          <w:szCs w:val="24"/>
          <w:highlight w:val="yellow"/>
        </w:rPr>
      </w:pPr>
    </w:p>
    <w:p w14:paraId="2AC799EE" w14:textId="77777777" w:rsidR="00A847E1" w:rsidRPr="00BD5EA1" w:rsidRDefault="00A847E1" w:rsidP="004531D9">
      <w:pPr>
        <w:keepNext/>
        <w:tabs>
          <w:tab w:val="left" w:pos="3402"/>
        </w:tabs>
        <w:spacing w:before="120" w:after="240" w:line="240" w:lineRule="auto"/>
        <w:ind w:right="397"/>
        <w:rPr>
          <w:sz w:val="24"/>
          <w:szCs w:val="24"/>
          <w:highlight w:val="yellow"/>
        </w:rPr>
      </w:pPr>
    </w:p>
    <w:p w14:paraId="29BCAA97" w14:textId="77777777" w:rsidR="004531D9" w:rsidRPr="00BD5EA1" w:rsidRDefault="004531D9" w:rsidP="004531D9">
      <w:pPr>
        <w:keepNext/>
        <w:tabs>
          <w:tab w:val="left" w:pos="3402"/>
        </w:tabs>
        <w:spacing w:before="120" w:after="240" w:line="240" w:lineRule="auto"/>
        <w:ind w:right="397"/>
        <w:rPr>
          <w:sz w:val="24"/>
          <w:szCs w:val="24"/>
          <w:highlight w:val="yellow"/>
        </w:rPr>
      </w:pPr>
    </w:p>
    <w:p w14:paraId="45E93068" w14:textId="55E19E9F" w:rsidR="004531D9" w:rsidRPr="00BD5EA1" w:rsidRDefault="004531D9" w:rsidP="004531D9">
      <w:pPr>
        <w:keepNext/>
        <w:tabs>
          <w:tab w:val="left" w:pos="3402"/>
        </w:tabs>
        <w:spacing w:before="120" w:after="240" w:line="240" w:lineRule="auto"/>
        <w:ind w:right="397"/>
        <w:rPr>
          <w:b/>
          <w:sz w:val="24"/>
          <w:szCs w:val="24"/>
        </w:rPr>
      </w:pPr>
      <w:r w:rsidRPr="00BD5EA1">
        <w:rPr>
          <w:sz w:val="24"/>
          <w:szCs w:val="24"/>
        </w:rPr>
        <w:t xml:space="preserve">Hon Roger Cook MLA </w:t>
      </w:r>
    </w:p>
    <w:p w14:paraId="3B1BB2A4" w14:textId="2E5939BB" w:rsidR="00D17E7A" w:rsidRPr="00BD5EA1" w:rsidRDefault="004531D9" w:rsidP="006530D6">
      <w:pPr>
        <w:spacing w:before="120" w:after="240" w:line="240" w:lineRule="auto"/>
        <w:rPr>
          <w:sz w:val="24"/>
          <w:szCs w:val="24"/>
        </w:rPr>
      </w:pPr>
      <w:r w:rsidRPr="00BD5EA1">
        <w:rPr>
          <w:rFonts w:eastAsia="Times New Roman" w:cs="Times New Roman"/>
          <w:sz w:val="24"/>
          <w:szCs w:val="24"/>
          <w:lang w:eastAsia="en-AU"/>
        </w:rPr>
        <w:t xml:space="preserve">Premier </w:t>
      </w:r>
      <w:r w:rsidR="00617664">
        <w:rPr>
          <w:rFonts w:eastAsia="Times New Roman" w:cs="Times New Roman"/>
          <w:sz w:val="24"/>
          <w:szCs w:val="24"/>
          <w:lang w:eastAsia="en-AU"/>
        </w:rPr>
        <w:t>(</w:t>
      </w:r>
      <w:r w:rsidRPr="00BD5EA1">
        <w:rPr>
          <w:rFonts w:eastAsia="Times New Roman" w:cs="Times New Roman"/>
          <w:sz w:val="24"/>
          <w:szCs w:val="24"/>
          <w:lang w:eastAsia="en-AU"/>
        </w:rPr>
        <w:t>Western Australia</w:t>
      </w:r>
      <w:r w:rsidR="00617664">
        <w:rPr>
          <w:rFonts w:eastAsia="Times New Roman" w:cs="Times New Roman"/>
          <w:sz w:val="24"/>
          <w:szCs w:val="24"/>
          <w:lang w:eastAsia="en-AU"/>
        </w:rPr>
        <w:t>)</w:t>
      </w:r>
    </w:p>
    <w:sectPr w:rsidR="00D17E7A" w:rsidRPr="00BD5EA1" w:rsidSect="00B37D97">
      <w:footerReference w:type="default" r:id="rId7"/>
      <w:pgSz w:w="11907" w:h="16839" w:code="9"/>
      <w:pgMar w:top="164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FACD" w14:textId="77777777" w:rsidR="00944EFC" w:rsidRDefault="00944EFC">
      <w:pPr>
        <w:spacing w:line="240" w:lineRule="auto"/>
      </w:pPr>
      <w:r>
        <w:separator/>
      </w:r>
    </w:p>
  </w:endnote>
  <w:endnote w:type="continuationSeparator" w:id="0">
    <w:p w14:paraId="482B2C37" w14:textId="77777777" w:rsidR="00944EFC" w:rsidRDefault="00944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434923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0B9EAFBC" w14:textId="77777777" w:rsidR="00FD10DA" w:rsidRPr="00FA0F6F" w:rsidRDefault="006533E4">
        <w:pPr>
          <w:pStyle w:val="Footer"/>
          <w:jc w:val="right"/>
          <w:rPr>
            <w:sz w:val="18"/>
          </w:rPr>
        </w:pPr>
        <w:r w:rsidRPr="00FA0F6F">
          <w:rPr>
            <w:sz w:val="18"/>
          </w:rPr>
          <w:fldChar w:fldCharType="begin"/>
        </w:r>
        <w:r w:rsidRPr="00FA0F6F">
          <w:rPr>
            <w:sz w:val="18"/>
          </w:rPr>
          <w:instrText xml:space="preserve"> PAGE   \* MERGEFORMAT </w:instrText>
        </w:r>
        <w:r w:rsidRPr="00FA0F6F">
          <w:rPr>
            <w:sz w:val="18"/>
          </w:rPr>
          <w:fldChar w:fldCharType="separate"/>
        </w:r>
        <w:r>
          <w:rPr>
            <w:noProof/>
            <w:sz w:val="18"/>
          </w:rPr>
          <w:t>1</w:t>
        </w:r>
        <w:r w:rsidRPr="00FA0F6F">
          <w:rPr>
            <w:noProof/>
            <w:sz w:val="18"/>
          </w:rPr>
          <w:fldChar w:fldCharType="end"/>
        </w:r>
      </w:p>
    </w:sdtContent>
  </w:sdt>
  <w:p w14:paraId="61C884D4" w14:textId="77777777" w:rsidR="00FD10DA" w:rsidRDefault="00FD1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D188" w14:textId="77777777" w:rsidR="00944EFC" w:rsidRDefault="00944EFC">
      <w:pPr>
        <w:spacing w:line="240" w:lineRule="auto"/>
      </w:pPr>
      <w:r>
        <w:separator/>
      </w:r>
    </w:p>
  </w:footnote>
  <w:footnote w:type="continuationSeparator" w:id="0">
    <w:p w14:paraId="5540C597" w14:textId="77777777" w:rsidR="00944EFC" w:rsidRDefault="00944E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5A19"/>
    <w:multiLevelType w:val="hybridMultilevel"/>
    <w:tmpl w:val="633AF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5275F"/>
    <w:multiLevelType w:val="hybridMultilevel"/>
    <w:tmpl w:val="1D968248"/>
    <w:lvl w:ilvl="0" w:tplc="35042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763C"/>
    <w:multiLevelType w:val="hybridMultilevel"/>
    <w:tmpl w:val="78DC1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372260">
    <w:abstractNumId w:val="1"/>
  </w:num>
  <w:num w:numId="2" w16cid:durableId="296229525">
    <w:abstractNumId w:val="0"/>
  </w:num>
  <w:num w:numId="3" w16cid:durableId="47245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D9"/>
    <w:rsid w:val="00007B34"/>
    <w:rsid w:val="000A599A"/>
    <w:rsid w:val="000C3EC8"/>
    <w:rsid w:val="001F5B49"/>
    <w:rsid w:val="002260A7"/>
    <w:rsid w:val="00275CCB"/>
    <w:rsid w:val="003A468F"/>
    <w:rsid w:val="003B62C4"/>
    <w:rsid w:val="003C512C"/>
    <w:rsid w:val="00425B43"/>
    <w:rsid w:val="004531D9"/>
    <w:rsid w:val="0046227F"/>
    <w:rsid w:val="00617664"/>
    <w:rsid w:val="006530D6"/>
    <w:rsid w:val="006533E4"/>
    <w:rsid w:val="007B2467"/>
    <w:rsid w:val="008522C0"/>
    <w:rsid w:val="00944EFC"/>
    <w:rsid w:val="00960B92"/>
    <w:rsid w:val="0097245D"/>
    <w:rsid w:val="009C6EAB"/>
    <w:rsid w:val="00A25A09"/>
    <w:rsid w:val="00A51C6F"/>
    <w:rsid w:val="00A847E1"/>
    <w:rsid w:val="00A96307"/>
    <w:rsid w:val="00AD1E0E"/>
    <w:rsid w:val="00B0491A"/>
    <w:rsid w:val="00BD5EA1"/>
    <w:rsid w:val="00CF0077"/>
    <w:rsid w:val="00D17E7A"/>
    <w:rsid w:val="00D20AB1"/>
    <w:rsid w:val="00D20E88"/>
    <w:rsid w:val="00E576A3"/>
    <w:rsid w:val="00EB162F"/>
    <w:rsid w:val="00EC27AE"/>
    <w:rsid w:val="00F51621"/>
    <w:rsid w:val="00FD10DA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89F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31D9"/>
    <w:pPr>
      <w:spacing w:after="0" w:line="260" w:lineRule="atLeast"/>
    </w:pPr>
    <w:rPr>
      <w:rFonts w:ascii="Times New Roman" w:hAnsi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4531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31D9"/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453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1D9"/>
    <w:rPr>
      <w:rFonts w:ascii="Times New Roman" w:hAnsi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4531D9"/>
    <w:pPr>
      <w:spacing w:after="176" w:line="240" w:lineRule="atLeast"/>
      <w:ind w:left="720"/>
      <w:contextualSpacing/>
    </w:pPr>
    <w:rPr>
      <w:rFonts w:ascii="Montserrat Light" w:eastAsia="Times New Roman" w:hAnsi="Montserrat Light" w:cs="Times New Roman"/>
      <w:color w:val="000000"/>
      <w:sz w:val="18"/>
      <w:lang w:eastAsia="en-AU"/>
    </w:rPr>
  </w:style>
  <w:style w:type="paragraph" w:styleId="Revision">
    <w:name w:val="Revision"/>
    <w:hidden/>
    <w:uiPriority w:val="99"/>
    <w:semiHidden/>
    <w:rsid w:val="00D20E88"/>
    <w:pPr>
      <w:spacing w:after="0" w:line="240" w:lineRule="auto"/>
    </w:pPr>
    <w:rPr>
      <w:rFonts w:ascii="Times New Roman" w:hAnsi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0E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E88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599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99A"/>
    <w:rPr>
      <w:rFonts w:ascii="Times New Roman" w:hAnsi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2025-05-16T08:08:00Z</dcterms:created>
  <dcterms:modified xsi:type="dcterms:W3CDTF">2025-05-16T08:08:00Z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2025-05-16T08:08:27Z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902b83d2-cdd6-4a78-bda4-0a0f10edbd1f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</Properties>
</file>