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C39922" w14:textId="05219438" w:rsidR="005B136D" w:rsidRPr="001C252E" w:rsidRDefault="005B136D" w:rsidP="005B136D">
      <w:pPr>
        <w:rPr>
          <w:sz w:val="28"/>
        </w:rPr>
      </w:pPr>
      <w:r w:rsidRPr="001C252E">
        <w:rPr>
          <w:noProof/>
          <w:lang w:eastAsia="en-AU"/>
        </w:rPr>
        <w:drawing>
          <wp:inline distT="0" distB="0" distL="0" distR="0" wp14:anchorId="4E24DF81" wp14:editId="548A3F0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8684" w14:textId="77777777" w:rsidR="005B136D" w:rsidRPr="001C252E" w:rsidRDefault="005B136D" w:rsidP="005B136D">
      <w:pPr>
        <w:rPr>
          <w:sz w:val="19"/>
        </w:rPr>
      </w:pPr>
    </w:p>
    <w:p w14:paraId="01F355A4" w14:textId="4E5CF902" w:rsidR="005B136D" w:rsidRPr="001C252E" w:rsidRDefault="005B136D" w:rsidP="005B136D">
      <w:pPr>
        <w:pStyle w:val="ShortT"/>
      </w:pPr>
      <w:r w:rsidRPr="001C252E">
        <w:t>Taxation Administration (Reporting Exemptions for Electronic Distribution Platform Operators) Determination 202</w:t>
      </w:r>
      <w:r w:rsidR="006B06BD">
        <w:t>5</w:t>
      </w:r>
    </w:p>
    <w:p w14:paraId="6F292654" w14:textId="54B705EB" w:rsidR="005B136D" w:rsidRPr="001C252E" w:rsidRDefault="005B136D" w:rsidP="005B136D">
      <w:pPr>
        <w:pStyle w:val="SignCoverPageStart"/>
        <w:spacing w:before="240"/>
        <w:ind w:right="91"/>
        <w:rPr>
          <w:szCs w:val="22"/>
        </w:rPr>
      </w:pPr>
      <w:r w:rsidRPr="001C252E">
        <w:rPr>
          <w:szCs w:val="22"/>
        </w:rPr>
        <w:t xml:space="preserve">I, Ben Kelly, Deputy </w:t>
      </w:r>
      <w:r w:rsidRPr="00D24986">
        <w:rPr>
          <w:szCs w:val="22"/>
        </w:rPr>
        <w:t>Commissioner</w:t>
      </w:r>
      <w:r w:rsidRPr="00D20ABD">
        <w:t xml:space="preserve"> of </w:t>
      </w:r>
      <w:r w:rsidRPr="001C252E">
        <w:rPr>
          <w:szCs w:val="22"/>
        </w:rPr>
        <w:t>Taxation, make the following determination.</w:t>
      </w:r>
    </w:p>
    <w:p w14:paraId="18B055BD" w14:textId="0A917A45" w:rsidR="005B136D" w:rsidRPr="001C252E" w:rsidRDefault="003E6EB0" w:rsidP="005B136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882731">
        <w:rPr>
          <w:szCs w:val="22"/>
        </w:rPr>
        <w:t>6 March 2025</w:t>
      </w:r>
    </w:p>
    <w:p w14:paraId="3FD5E962" w14:textId="23B45D15" w:rsidR="005B136D" w:rsidRPr="001C252E" w:rsidRDefault="005B136D" w:rsidP="005B136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C252E">
        <w:rPr>
          <w:szCs w:val="22"/>
        </w:rPr>
        <w:t>Ben Kelly</w:t>
      </w:r>
    </w:p>
    <w:p w14:paraId="0C673783" w14:textId="77777777" w:rsidR="005B136D" w:rsidRPr="001C252E" w:rsidRDefault="005B136D" w:rsidP="005B136D">
      <w:pPr>
        <w:pStyle w:val="SignCoverPageEnd"/>
        <w:ind w:right="91"/>
        <w:rPr>
          <w:sz w:val="22"/>
        </w:rPr>
      </w:pPr>
      <w:r w:rsidRPr="001C252E">
        <w:rPr>
          <w:sz w:val="22"/>
        </w:rPr>
        <w:t xml:space="preserve">Deputy </w:t>
      </w:r>
      <w:r w:rsidRPr="00D24986">
        <w:rPr>
          <w:sz w:val="22"/>
        </w:rPr>
        <w:t>Commissioner</w:t>
      </w:r>
      <w:r w:rsidRPr="001C252E">
        <w:rPr>
          <w:sz w:val="22"/>
        </w:rPr>
        <w:t xml:space="preserve"> of Taxation</w:t>
      </w:r>
    </w:p>
    <w:p w14:paraId="6EC94712" w14:textId="77777777" w:rsidR="005B136D" w:rsidRPr="001C252E" w:rsidRDefault="005B136D" w:rsidP="005B136D"/>
    <w:p w14:paraId="3AB87D5E" w14:textId="77777777" w:rsidR="005B136D" w:rsidRPr="001C252E" w:rsidRDefault="005B136D" w:rsidP="005B136D"/>
    <w:p w14:paraId="52AE547E" w14:textId="77777777" w:rsidR="005B136D" w:rsidRPr="001C252E" w:rsidRDefault="005B136D" w:rsidP="005B136D"/>
    <w:p w14:paraId="04EC3B58" w14:textId="77777777" w:rsidR="005B136D" w:rsidRPr="001C252E" w:rsidRDefault="005B136D" w:rsidP="005B136D">
      <w:pPr>
        <w:sectPr w:rsidR="005B136D" w:rsidRPr="001C252E" w:rsidSect="00D20AB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A29BFFF" w14:textId="77777777" w:rsidR="00B61A25" w:rsidRDefault="00B61A25" w:rsidP="00B61A25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59FFD4D" w14:textId="75AE3988" w:rsidR="009A1A7F" w:rsidRPr="009A1A7F" w:rsidRDefault="00B61A25">
      <w:pPr>
        <w:pStyle w:val="TOC5"/>
        <w:rPr>
          <w:rFonts w:asciiTheme="minorHAnsi" w:eastAsiaTheme="minorEastAsia" w:hAnsiTheme="minorHAnsi" w:cstheme="minorBidi"/>
          <w:noProof/>
          <w:kern w:val="2"/>
          <w:szCs w:val="18"/>
          <w14:ligatures w14:val="standardContextual"/>
        </w:rPr>
      </w:pPr>
      <w:r w:rsidRPr="009A1A7F">
        <w:rPr>
          <w:szCs w:val="18"/>
        </w:rPr>
        <w:fldChar w:fldCharType="begin"/>
      </w:r>
      <w:r w:rsidRPr="009A1A7F">
        <w:rPr>
          <w:szCs w:val="18"/>
        </w:rPr>
        <w:instrText xml:space="preserve"> TOC \o "1-9" </w:instrText>
      </w:r>
      <w:r w:rsidRPr="009A1A7F">
        <w:rPr>
          <w:szCs w:val="18"/>
        </w:rPr>
        <w:fldChar w:fldCharType="separate"/>
      </w:r>
      <w:r w:rsidR="009A1A7F" w:rsidRPr="009A1A7F">
        <w:rPr>
          <w:noProof/>
          <w:szCs w:val="18"/>
        </w:rPr>
        <w:t>1  Name</w:t>
      </w:r>
      <w:r w:rsidR="009A1A7F" w:rsidRPr="009A1A7F">
        <w:rPr>
          <w:noProof/>
          <w:szCs w:val="18"/>
        </w:rPr>
        <w:tab/>
      </w:r>
      <w:r w:rsidR="009A1A7F" w:rsidRPr="009A1A7F">
        <w:rPr>
          <w:noProof/>
          <w:szCs w:val="18"/>
        </w:rPr>
        <w:fldChar w:fldCharType="begin"/>
      </w:r>
      <w:r w:rsidR="009A1A7F" w:rsidRPr="009A1A7F">
        <w:rPr>
          <w:noProof/>
          <w:szCs w:val="18"/>
        </w:rPr>
        <w:instrText xml:space="preserve"> PAGEREF _Toc183683333 \h </w:instrText>
      </w:r>
      <w:r w:rsidR="009A1A7F" w:rsidRPr="009A1A7F">
        <w:rPr>
          <w:noProof/>
          <w:szCs w:val="18"/>
        </w:rPr>
      </w:r>
      <w:r w:rsidR="009A1A7F" w:rsidRPr="009A1A7F">
        <w:rPr>
          <w:noProof/>
          <w:szCs w:val="18"/>
        </w:rPr>
        <w:fldChar w:fldCharType="separate"/>
      </w:r>
      <w:r w:rsidR="009A1A7F">
        <w:rPr>
          <w:noProof/>
          <w:szCs w:val="18"/>
        </w:rPr>
        <w:t>1</w:t>
      </w:r>
      <w:r w:rsidR="009A1A7F" w:rsidRPr="009A1A7F">
        <w:rPr>
          <w:noProof/>
          <w:szCs w:val="18"/>
        </w:rPr>
        <w:fldChar w:fldCharType="end"/>
      </w:r>
    </w:p>
    <w:p w14:paraId="65C52D0A" w14:textId="73BBBC2F" w:rsidR="009A1A7F" w:rsidRPr="009A1A7F" w:rsidRDefault="009A1A7F">
      <w:pPr>
        <w:pStyle w:val="TOC5"/>
        <w:rPr>
          <w:rFonts w:asciiTheme="minorHAnsi" w:eastAsiaTheme="minorEastAsia" w:hAnsiTheme="minorHAnsi" w:cstheme="minorBidi"/>
          <w:noProof/>
          <w:kern w:val="2"/>
          <w:szCs w:val="18"/>
          <w14:ligatures w14:val="standardContextual"/>
        </w:rPr>
      </w:pPr>
      <w:r w:rsidRPr="009A1A7F">
        <w:rPr>
          <w:noProof/>
          <w:szCs w:val="18"/>
        </w:rPr>
        <w:t>2  Commencement</w:t>
      </w:r>
      <w:r w:rsidRPr="009A1A7F">
        <w:rPr>
          <w:noProof/>
          <w:szCs w:val="18"/>
        </w:rPr>
        <w:tab/>
      </w:r>
      <w:r w:rsidRPr="009A1A7F">
        <w:rPr>
          <w:noProof/>
          <w:szCs w:val="18"/>
        </w:rPr>
        <w:fldChar w:fldCharType="begin"/>
      </w:r>
      <w:r w:rsidRPr="009A1A7F">
        <w:rPr>
          <w:noProof/>
          <w:szCs w:val="18"/>
        </w:rPr>
        <w:instrText xml:space="preserve"> PAGEREF _Toc183683334 \h </w:instrText>
      </w:r>
      <w:r w:rsidRPr="009A1A7F">
        <w:rPr>
          <w:noProof/>
          <w:szCs w:val="18"/>
        </w:rPr>
      </w:r>
      <w:r w:rsidRPr="009A1A7F">
        <w:rPr>
          <w:noProof/>
          <w:szCs w:val="18"/>
        </w:rPr>
        <w:fldChar w:fldCharType="separate"/>
      </w:r>
      <w:r>
        <w:rPr>
          <w:noProof/>
          <w:szCs w:val="18"/>
        </w:rPr>
        <w:t>1</w:t>
      </w:r>
      <w:r w:rsidRPr="009A1A7F">
        <w:rPr>
          <w:noProof/>
          <w:szCs w:val="18"/>
        </w:rPr>
        <w:fldChar w:fldCharType="end"/>
      </w:r>
    </w:p>
    <w:p w14:paraId="585DD011" w14:textId="23C75810" w:rsidR="009A1A7F" w:rsidRPr="009A1A7F" w:rsidRDefault="009A1A7F">
      <w:pPr>
        <w:pStyle w:val="TOC5"/>
        <w:rPr>
          <w:rFonts w:asciiTheme="minorHAnsi" w:eastAsiaTheme="minorEastAsia" w:hAnsiTheme="minorHAnsi" w:cstheme="minorBidi"/>
          <w:noProof/>
          <w:kern w:val="2"/>
          <w:szCs w:val="18"/>
          <w14:ligatures w14:val="standardContextual"/>
        </w:rPr>
      </w:pPr>
      <w:r w:rsidRPr="009A1A7F">
        <w:rPr>
          <w:noProof/>
          <w:szCs w:val="18"/>
        </w:rPr>
        <w:t>3  Authority</w:t>
      </w:r>
      <w:r w:rsidRPr="009A1A7F">
        <w:rPr>
          <w:noProof/>
          <w:szCs w:val="18"/>
        </w:rPr>
        <w:tab/>
      </w:r>
      <w:r w:rsidRPr="009A1A7F">
        <w:rPr>
          <w:noProof/>
          <w:szCs w:val="18"/>
        </w:rPr>
        <w:fldChar w:fldCharType="begin"/>
      </w:r>
      <w:r w:rsidRPr="009A1A7F">
        <w:rPr>
          <w:noProof/>
          <w:szCs w:val="18"/>
        </w:rPr>
        <w:instrText xml:space="preserve"> PAGEREF _Toc183683335 \h </w:instrText>
      </w:r>
      <w:r w:rsidRPr="009A1A7F">
        <w:rPr>
          <w:noProof/>
          <w:szCs w:val="18"/>
        </w:rPr>
      </w:r>
      <w:r w:rsidRPr="009A1A7F">
        <w:rPr>
          <w:noProof/>
          <w:szCs w:val="18"/>
        </w:rPr>
        <w:fldChar w:fldCharType="separate"/>
      </w:r>
      <w:r>
        <w:rPr>
          <w:noProof/>
          <w:szCs w:val="18"/>
        </w:rPr>
        <w:t>1</w:t>
      </w:r>
      <w:r w:rsidRPr="009A1A7F">
        <w:rPr>
          <w:noProof/>
          <w:szCs w:val="18"/>
        </w:rPr>
        <w:fldChar w:fldCharType="end"/>
      </w:r>
    </w:p>
    <w:p w14:paraId="22040A8C" w14:textId="196FADED" w:rsidR="009A1A7F" w:rsidRPr="009A1A7F" w:rsidRDefault="009A1A7F">
      <w:pPr>
        <w:pStyle w:val="TOC5"/>
        <w:rPr>
          <w:rFonts w:asciiTheme="minorHAnsi" w:eastAsiaTheme="minorEastAsia" w:hAnsiTheme="minorHAnsi" w:cstheme="minorBidi"/>
          <w:noProof/>
          <w:kern w:val="2"/>
          <w:szCs w:val="18"/>
          <w14:ligatures w14:val="standardContextual"/>
        </w:rPr>
      </w:pPr>
      <w:r w:rsidRPr="009A1A7F">
        <w:rPr>
          <w:noProof/>
          <w:szCs w:val="18"/>
        </w:rPr>
        <w:t xml:space="preserve">4  </w:t>
      </w:r>
      <w:r w:rsidRPr="009A1A7F">
        <w:rPr>
          <w:bCs/>
          <w:noProof/>
          <w:szCs w:val="18"/>
        </w:rPr>
        <w:t>Definitions</w:t>
      </w:r>
      <w:r w:rsidRPr="009A1A7F">
        <w:rPr>
          <w:noProof/>
          <w:szCs w:val="18"/>
        </w:rPr>
        <w:tab/>
      </w:r>
      <w:r w:rsidRPr="009A1A7F">
        <w:rPr>
          <w:noProof/>
          <w:szCs w:val="18"/>
        </w:rPr>
        <w:fldChar w:fldCharType="begin"/>
      </w:r>
      <w:r w:rsidRPr="009A1A7F">
        <w:rPr>
          <w:noProof/>
          <w:szCs w:val="18"/>
        </w:rPr>
        <w:instrText xml:space="preserve"> PAGEREF _Toc183683336 \h </w:instrText>
      </w:r>
      <w:r w:rsidRPr="009A1A7F">
        <w:rPr>
          <w:noProof/>
          <w:szCs w:val="18"/>
        </w:rPr>
      </w:r>
      <w:r w:rsidRPr="009A1A7F">
        <w:rPr>
          <w:noProof/>
          <w:szCs w:val="18"/>
        </w:rPr>
        <w:fldChar w:fldCharType="separate"/>
      </w:r>
      <w:r>
        <w:rPr>
          <w:noProof/>
          <w:szCs w:val="18"/>
        </w:rPr>
        <w:t>1</w:t>
      </w:r>
      <w:r w:rsidRPr="009A1A7F">
        <w:rPr>
          <w:noProof/>
          <w:szCs w:val="18"/>
        </w:rPr>
        <w:fldChar w:fldCharType="end"/>
      </w:r>
    </w:p>
    <w:p w14:paraId="101565B1" w14:textId="25F5DE03" w:rsidR="009A1A7F" w:rsidRPr="009A1A7F" w:rsidRDefault="009A1A7F">
      <w:pPr>
        <w:pStyle w:val="TOC5"/>
        <w:rPr>
          <w:rFonts w:asciiTheme="minorHAnsi" w:eastAsiaTheme="minorEastAsia" w:hAnsiTheme="minorHAnsi" w:cstheme="minorBidi"/>
          <w:noProof/>
          <w:kern w:val="2"/>
          <w:szCs w:val="18"/>
          <w14:ligatures w14:val="standardContextual"/>
        </w:rPr>
      </w:pPr>
      <w:r w:rsidRPr="009A1A7F">
        <w:rPr>
          <w:noProof/>
          <w:szCs w:val="18"/>
        </w:rPr>
        <w:t>5  Schedules</w:t>
      </w:r>
      <w:r w:rsidRPr="009A1A7F">
        <w:rPr>
          <w:noProof/>
          <w:szCs w:val="18"/>
        </w:rPr>
        <w:tab/>
      </w:r>
      <w:r w:rsidRPr="009A1A7F">
        <w:rPr>
          <w:noProof/>
          <w:szCs w:val="18"/>
        </w:rPr>
        <w:fldChar w:fldCharType="begin"/>
      </w:r>
      <w:r w:rsidRPr="009A1A7F">
        <w:rPr>
          <w:noProof/>
          <w:szCs w:val="18"/>
        </w:rPr>
        <w:instrText xml:space="preserve"> PAGEREF _Toc183683337 \h </w:instrText>
      </w:r>
      <w:r w:rsidRPr="009A1A7F">
        <w:rPr>
          <w:noProof/>
          <w:szCs w:val="18"/>
        </w:rPr>
      </w:r>
      <w:r w:rsidRPr="009A1A7F">
        <w:rPr>
          <w:noProof/>
          <w:szCs w:val="18"/>
        </w:rPr>
        <w:fldChar w:fldCharType="separate"/>
      </w:r>
      <w:r>
        <w:rPr>
          <w:noProof/>
          <w:szCs w:val="18"/>
        </w:rPr>
        <w:t>3</w:t>
      </w:r>
      <w:r w:rsidRPr="009A1A7F">
        <w:rPr>
          <w:noProof/>
          <w:szCs w:val="18"/>
        </w:rPr>
        <w:fldChar w:fldCharType="end"/>
      </w:r>
    </w:p>
    <w:p w14:paraId="1FEB000F" w14:textId="58C099DD" w:rsidR="009A1A7F" w:rsidRPr="009A1A7F" w:rsidRDefault="009A1A7F">
      <w:pPr>
        <w:pStyle w:val="TOC5"/>
        <w:rPr>
          <w:rFonts w:asciiTheme="minorHAnsi" w:eastAsiaTheme="minorEastAsia" w:hAnsiTheme="minorHAnsi" w:cstheme="minorBidi"/>
          <w:noProof/>
          <w:kern w:val="2"/>
          <w:szCs w:val="18"/>
          <w14:ligatures w14:val="standardContextual"/>
        </w:rPr>
      </w:pPr>
      <w:r w:rsidRPr="009A1A7F">
        <w:rPr>
          <w:noProof/>
          <w:szCs w:val="18"/>
        </w:rPr>
        <w:t>6  Exemption for certain operators of electronic distribution platforms</w:t>
      </w:r>
      <w:r w:rsidRPr="009A1A7F">
        <w:rPr>
          <w:noProof/>
          <w:szCs w:val="18"/>
        </w:rPr>
        <w:tab/>
      </w:r>
      <w:r w:rsidRPr="009A1A7F">
        <w:rPr>
          <w:noProof/>
          <w:szCs w:val="18"/>
        </w:rPr>
        <w:fldChar w:fldCharType="begin"/>
      </w:r>
      <w:r w:rsidRPr="009A1A7F">
        <w:rPr>
          <w:noProof/>
          <w:szCs w:val="18"/>
        </w:rPr>
        <w:instrText xml:space="preserve"> PAGEREF _Toc183683338 \h </w:instrText>
      </w:r>
      <w:r w:rsidRPr="009A1A7F">
        <w:rPr>
          <w:noProof/>
          <w:szCs w:val="18"/>
        </w:rPr>
      </w:r>
      <w:r w:rsidRPr="009A1A7F">
        <w:rPr>
          <w:noProof/>
          <w:szCs w:val="18"/>
        </w:rPr>
        <w:fldChar w:fldCharType="separate"/>
      </w:r>
      <w:r>
        <w:rPr>
          <w:noProof/>
          <w:szCs w:val="18"/>
        </w:rPr>
        <w:t>3</w:t>
      </w:r>
      <w:r w:rsidRPr="009A1A7F">
        <w:rPr>
          <w:noProof/>
          <w:szCs w:val="18"/>
        </w:rPr>
        <w:fldChar w:fldCharType="end"/>
      </w:r>
    </w:p>
    <w:p w14:paraId="156E013D" w14:textId="54829924" w:rsidR="009A1A7F" w:rsidRPr="009A1A7F" w:rsidRDefault="009A1A7F">
      <w:pPr>
        <w:pStyle w:val="TOC5"/>
        <w:rPr>
          <w:rFonts w:asciiTheme="minorHAnsi" w:eastAsiaTheme="minorEastAsia" w:hAnsiTheme="minorHAnsi" w:cstheme="minorBidi"/>
          <w:noProof/>
          <w:kern w:val="2"/>
          <w:szCs w:val="18"/>
          <w14:ligatures w14:val="standardContextual"/>
        </w:rPr>
      </w:pPr>
      <w:r w:rsidRPr="009A1A7F">
        <w:rPr>
          <w:noProof/>
          <w:szCs w:val="18"/>
        </w:rPr>
        <w:t>7  Exemption for transactions involving certain types of suppliers</w:t>
      </w:r>
      <w:r w:rsidRPr="009A1A7F">
        <w:rPr>
          <w:noProof/>
          <w:szCs w:val="18"/>
        </w:rPr>
        <w:tab/>
      </w:r>
      <w:r w:rsidRPr="009A1A7F">
        <w:rPr>
          <w:noProof/>
          <w:szCs w:val="18"/>
        </w:rPr>
        <w:fldChar w:fldCharType="begin"/>
      </w:r>
      <w:r w:rsidRPr="009A1A7F">
        <w:rPr>
          <w:noProof/>
          <w:szCs w:val="18"/>
        </w:rPr>
        <w:instrText xml:space="preserve"> PAGEREF _Toc183683339 \h </w:instrText>
      </w:r>
      <w:r w:rsidRPr="009A1A7F">
        <w:rPr>
          <w:noProof/>
          <w:szCs w:val="18"/>
        </w:rPr>
      </w:r>
      <w:r w:rsidRPr="009A1A7F">
        <w:rPr>
          <w:noProof/>
          <w:szCs w:val="18"/>
        </w:rPr>
        <w:fldChar w:fldCharType="separate"/>
      </w:r>
      <w:r>
        <w:rPr>
          <w:noProof/>
          <w:szCs w:val="18"/>
        </w:rPr>
        <w:t>3</w:t>
      </w:r>
      <w:r w:rsidRPr="009A1A7F">
        <w:rPr>
          <w:noProof/>
          <w:szCs w:val="18"/>
        </w:rPr>
        <w:fldChar w:fldCharType="end"/>
      </w:r>
    </w:p>
    <w:p w14:paraId="38324712" w14:textId="148918C4" w:rsidR="009A1A7F" w:rsidRPr="009A1A7F" w:rsidRDefault="009A1A7F">
      <w:pPr>
        <w:pStyle w:val="TOC5"/>
        <w:rPr>
          <w:rFonts w:asciiTheme="minorHAnsi" w:eastAsiaTheme="minorEastAsia" w:hAnsiTheme="minorHAnsi" w:cstheme="minorBidi"/>
          <w:noProof/>
          <w:kern w:val="2"/>
          <w:szCs w:val="18"/>
          <w14:ligatures w14:val="standardContextual"/>
        </w:rPr>
      </w:pPr>
      <w:r w:rsidRPr="009A1A7F">
        <w:rPr>
          <w:noProof/>
          <w:szCs w:val="18"/>
        </w:rPr>
        <w:t>8  Exemption for transactions involving certain types of supplies</w:t>
      </w:r>
      <w:r w:rsidRPr="009A1A7F">
        <w:rPr>
          <w:noProof/>
          <w:szCs w:val="18"/>
        </w:rPr>
        <w:tab/>
      </w:r>
      <w:r w:rsidRPr="009A1A7F">
        <w:rPr>
          <w:noProof/>
          <w:szCs w:val="18"/>
        </w:rPr>
        <w:fldChar w:fldCharType="begin"/>
      </w:r>
      <w:r w:rsidRPr="009A1A7F">
        <w:rPr>
          <w:noProof/>
          <w:szCs w:val="18"/>
        </w:rPr>
        <w:instrText xml:space="preserve"> PAGEREF _Toc183683340 \h </w:instrText>
      </w:r>
      <w:r w:rsidRPr="009A1A7F">
        <w:rPr>
          <w:noProof/>
          <w:szCs w:val="18"/>
        </w:rPr>
      </w:r>
      <w:r w:rsidRPr="009A1A7F">
        <w:rPr>
          <w:noProof/>
          <w:szCs w:val="18"/>
        </w:rPr>
        <w:fldChar w:fldCharType="separate"/>
      </w:r>
      <w:r>
        <w:rPr>
          <w:noProof/>
          <w:szCs w:val="18"/>
        </w:rPr>
        <w:t>4</w:t>
      </w:r>
      <w:r w:rsidRPr="009A1A7F">
        <w:rPr>
          <w:noProof/>
          <w:szCs w:val="18"/>
        </w:rPr>
        <w:fldChar w:fldCharType="end"/>
      </w:r>
    </w:p>
    <w:p w14:paraId="7BDD4312" w14:textId="7A375BAF" w:rsidR="009A1A7F" w:rsidRPr="009A1A7F" w:rsidRDefault="009A1A7F" w:rsidP="009A1A7F">
      <w:pPr>
        <w:pStyle w:val="TOC6"/>
        <w:rPr>
          <w:rFonts w:asciiTheme="minorHAnsi" w:eastAsiaTheme="minorEastAsia" w:hAnsiTheme="minorHAnsi"/>
          <w:kern w:val="2"/>
          <w:lang w:eastAsia="en-AU"/>
          <w14:ligatures w14:val="standardContextual"/>
        </w:rPr>
      </w:pPr>
      <w:r w:rsidRPr="009A1A7F">
        <w:t>Schedule 1—Repeals</w:t>
      </w:r>
      <w:r w:rsidRPr="009A1A7F">
        <w:tab/>
      </w:r>
      <w:r w:rsidRPr="009A1A7F">
        <w:fldChar w:fldCharType="begin"/>
      </w:r>
      <w:r w:rsidRPr="009A1A7F">
        <w:instrText xml:space="preserve"> PAGEREF _Toc183683341 \h </w:instrText>
      </w:r>
      <w:r w:rsidRPr="009A1A7F">
        <w:fldChar w:fldCharType="separate"/>
      </w:r>
      <w:r>
        <w:t>6</w:t>
      </w:r>
      <w:r w:rsidRPr="009A1A7F">
        <w:fldChar w:fldCharType="end"/>
      </w:r>
    </w:p>
    <w:p w14:paraId="7262F8F4" w14:textId="0426C4CD" w:rsidR="009A1A7F" w:rsidRPr="009A1A7F" w:rsidRDefault="009A1A7F">
      <w:pPr>
        <w:pStyle w:val="TOC9"/>
        <w:rPr>
          <w:rFonts w:asciiTheme="minorHAnsi" w:eastAsiaTheme="minorEastAsia" w:hAnsiTheme="minorHAnsi"/>
          <w:noProof/>
          <w:kern w:val="2"/>
          <w:sz w:val="18"/>
          <w:szCs w:val="18"/>
          <w:lang w:eastAsia="en-AU"/>
          <w14:ligatures w14:val="standardContextual"/>
        </w:rPr>
      </w:pPr>
      <w:r w:rsidRPr="009A1A7F">
        <w:rPr>
          <w:noProof/>
          <w:sz w:val="18"/>
          <w:szCs w:val="18"/>
        </w:rPr>
        <w:t>Taxation Administration (Reporting Exemptions for Electronic Distribution Platform Operators) Determination 2024</w:t>
      </w:r>
      <w:r w:rsidRPr="009A1A7F">
        <w:rPr>
          <w:noProof/>
          <w:sz w:val="18"/>
          <w:szCs w:val="18"/>
        </w:rPr>
        <w:tab/>
      </w:r>
      <w:r w:rsidRPr="009A1A7F">
        <w:rPr>
          <w:noProof/>
          <w:sz w:val="18"/>
          <w:szCs w:val="18"/>
        </w:rPr>
        <w:fldChar w:fldCharType="begin"/>
      </w:r>
      <w:r w:rsidRPr="009A1A7F">
        <w:rPr>
          <w:noProof/>
          <w:sz w:val="18"/>
          <w:szCs w:val="18"/>
        </w:rPr>
        <w:instrText xml:space="preserve"> PAGEREF _Toc183683342 \h </w:instrText>
      </w:r>
      <w:r w:rsidRPr="009A1A7F">
        <w:rPr>
          <w:noProof/>
          <w:sz w:val="18"/>
          <w:szCs w:val="18"/>
        </w:rPr>
      </w:r>
      <w:r w:rsidRPr="009A1A7F">
        <w:rPr>
          <w:noProof/>
          <w:sz w:val="18"/>
          <w:szCs w:val="18"/>
        </w:rPr>
        <w:fldChar w:fldCharType="separate"/>
      </w:r>
      <w:r>
        <w:rPr>
          <w:noProof/>
          <w:sz w:val="18"/>
          <w:szCs w:val="18"/>
        </w:rPr>
        <w:t>6</w:t>
      </w:r>
      <w:r w:rsidRPr="009A1A7F">
        <w:rPr>
          <w:noProof/>
          <w:sz w:val="18"/>
          <w:szCs w:val="18"/>
        </w:rPr>
        <w:fldChar w:fldCharType="end"/>
      </w:r>
    </w:p>
    <w:p w14:paraId="68FD277C" w14:textId="59F5ACBD" w:rsidR="00B61A25" w:rsidRDefault="00B61A25" w:rsidP="00B61A25">
      <w:pPr>
        <w:outlineLvl w:val="0"/>
      </w:pPr>
      <w:r w:rsidRPr="009A1A7F">
        <w:rPr>
          <w:sz w:val="18"/>
          <w:szCs w:val="18"/>
        </w:rPr>
        <w:fldChar w:fldCharType="end"/>
      </w:r>
    </w:p>
    <w:p w14:paraId="52E0BEC0" w14:textId="77777777" w:rsidR="00B61A25" w:rsidRPr="00A802BC" w:rsidRDefault="00B61A25" w:rsidP="00B61A25">
      <w:pPr>
        <w:outlineLvl w:val="0"/>
        <w:rPr>
          <w:sz w:val="20"/>
        </w:rPr>
      </w:pPr>
    </w:p>
    <w:p w14:paraId="1302AB83" w14:textId="77777777" w:rsidR="00B61A25" w:rsidRDefault="00B61A25" w:rsidP="00B61A25">
      <w:pPr>
        <w:sectPr w:rsidR="00B61A25" w:rsidSect="00B61A2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3380F6" w14:textId="77777777" w:rsidR="005B136D" w:rsidRPr="001C252E" w:rsidRDefault="005B136D" w:rsidP="005B136D">
      <w:pPr>
        <w:pStyle w:val="ActHead5"/>
      </w:pPr>
      <w:bookmarkStart w:id="0" w:name="_Toc183683333"/>
      <w:proofErr w:type="gramStart"/>
      <w:r w:rsidRPr="00E05FF0">
        <w:lastRenderedPageBreak/>
        <w:t>1</w:t>
      </w:r>
      <w:r w:rsidRPr="001C252E">
        <w:t xml:space="preserve">  Name</w:t>
      </w:r>
      <w:bookmarkEnd w:id="0"/>
      <w:proofErr w:type="gramEnd"/>
    </w:p>
    <w:p w14:paraId="50E71843" w14:textId="1462DB96" w:rsidR="005B136D" w:rsidRPr="001C252E" w:rsidRDefault="005B136D" w:rsidP="005B136D">
      <w:pPr>
        <w:pStyle w:val="subsection"/>
      </w:pPr>
      <w:r w:rsidRPr="001C252E">
        <w:tab/>
      </w:r>
      <w:r w:rsidRPr="001C252E">
        <w:tab/>
        <w:t xml:space="preserve">This instrument is the </w:t>
      </w:r>
      <w:r w:rsidRPr="001C252E">
        <w:rPr>
          <w:i/>
        </w:rPr>
        <w:t>Taxation Administration (Reporting Exemptions for Electronic Distribution Platform Operators)</w:t>
      </w:r>
      <w:r w:rsidR="00D02048">
        <w:rPr>
          <w:i/>
        </w:rPr>
        <w:t xml:space="preserve"> </w:t>
      </w:r>
      <w:r w:rsidRPr="001C252E">
        <w:rPr>
          <w:i/>
        </w:rPr>
        <w:t>Determination 202</w:t>
      </w:r>
      <w:r w:rsidR="006B06BD">
        <w:rPr>
          <w:i/>
        </w:rPr>
        <w:t>5</w:t>
      </w:r>
      <w:r w:rsidRPr="001C252E">
        <w:t>.</w:t>
      </w:r>
    </w:p>
    <w:p w14:paraId="4C9A9356" w14:textId="77777777" w:rsidR="005B136D" w:rsidRPr="001C252E" w:rsidRDefault="005B136D" w:rsidP="005B136D">
      <w:pPr>
        <w:pStyle w:val="ActHead5"/>
      </w:pPr>
      <w:bookmarkStart w:id="1" w:name="_Toc183683334"/>
      <w:proofErr w:type="gramStart"/>
      <w:r w:rsidRPr="00E05FF0">
        <w:t>2</w:t>
      </w:r>
      <w:r w:rsidRPr="001C252E">
        <w:t xml:space="preserve">  Commencement</w:t>
      </w:r>
      <w:bookmarkEnd w:id="1"/>
      <w:proofErr w:type="gramEnd"/>
    </w:p>
    <w:p w14:paraId="611331A4" w14:textId="6C0517D9" w:rsidR="005B136D" w:rsidRPr="001C252E" w:rsidRDefault="00AF3B24" w:rsidP="00AF3B24">
      <w:pPr>
        <w:pStyle w:val="subsection"/>
      </w:pPr>
      <w:r w:rsidRPr="001C252E">
        <w:tab/>
        <w:t>(1)</w:t>
      </w:r>
      <w:r w:rsidRPr="001C252E">
        <w:tab/>
      </w:r>
      <w:r w:rsidR="005B136D" w:rsidRPr="001C252E">
        <w:t xml:space="preserve">Each provision of this instrument specified in column 1 </w:t>
      </w:r>
      <w:r w:rsidR="005B136D" w:rsidRPr="00D24986">
        <w:t>of the table</w:t>
      </w:r>
      <w:r w:rsidR="005B136D" w:rsidRPr="001C252E">
        <w:t xml:space="preserve"> commences, or is taken to have commenced, in accordance with column 2 </w:t>
      </w:r>
      <w:r w:rsidR="005B136D" w:rsidRPr="00D24986">
        <w:t>of the table</w:t>
      </w:r>
      <w:r w:rsidR="005B136D" w:rsidRPr="001C252E">
        <w:t>. Any other statement in column 2 has effect according to its terms.</w:t>
      </w:r>
    </w:p>
    <w:p w14:paraId="1ECB27C9" w14:textId="77777777" w:rsidR="0015592D" w:rsidRPr="00C32026" w:rsidRDefault="0015592D" w:rsidP="0015592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5592D" w:rsidRPr="00C32026" w14:paraId="1937AB04" w14:textId="77777777" w:rsidTr="00C14EF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2C20B48" w14:textId="77777777" w:rsidR="0015592D" w:rsidRPr="00C32026" w:rsidRDefault="0015592D" w:rsidP="00C14EF7">
            <w:pPr>
              <w:pStyle w:val="TableHeading"/>
            </w:pPr>
            <w:r w:rsidRPr="00C32026">
              <w:t>Commencement information</w:t>
            </w:r>
          </w:p>
        </w:tc>
      </w:tr>
      <w:tr w:rsidR="0015592D" w:rsidRPr="00C32026" w14:paraId="2C879EC5" w14:textId="77777777" w:rsidTr="00C14EF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A874A0" w14:textId="77777777" w:rsidR="0015592D" w:rsidRPr="00C32026" w:rsidRDefault="0015592D" w:rsidP="00C14EF7">
            <w:pPr>
              <w:pStyle w:val="TableHeading"/>
            </w:pPr>
            <w:r w:rsidRPr="00C3202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8ECC21" w14:textId="77777777" w:rsidR="0015592D" w:rsidRPr="00C32026" w:rsidRDefault="0015592D" w:rsidP="00C14EF7">
            <w:pPr>
              <w:pStyle w:val="TableHeading"/>
            </w:pPr>
            <w:r w:rsidRPr="00C3202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39FC0F" w14:textId="77777777" w:rsidR="0015592D" w:rsidRPr="00C32026" w:rsidRDefault="0015592D" w:rsidP="00C14EF7">
            <w:pPr>
              <w:pStyle w:val="TableHeading"/>
            </w:pPr>
            <w:r w:rsidRPr="00C32026">
              <w:t>Column 3</w:t>
            </w:r>
          </w:p>
        </w:tc>
      </w:tr>
      <w:tr w:rsidR="0015592D" w:rsidRPr="00C32026" w14:paraId="0C29D503" w14:textId="77777777" w:rsidTr="00C14EF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E2C4CE" w14:textId="77777777" w:rsidR="0015592D" w:rsidRPr="00C32026" w:rsidRDefault="0015592D" w:rsidP="00C14EF7">
            <w:pPr>
              <w:pStyle w:val="TableHeading"/>
            </w:pPr>
            <w:r w:rsidRPr="00C3202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A4F97D" w14:textId="77777777" w:rsidR="0015592D" w:rsidRPr="00C32026" w:rsidRDefault="0015592D" w:rsidP="00C14EF7">
            <w:pPr>
              <w:pStyle w:val="TableHeading"/>
            </w:pPr>
            <w:r w:rsidRPr="00C3202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040468" w14:textId="77777777" w:rsidR="0015592D" w:rsidRPr="00C32026" w:rsidRDefault="0015592D" w:rsidP="00C14EF7">
            <w:pPr>
              <w:pStyle w:val="TableHeading"/>
            </w:pPr>
            <w:r w:rsidRPr="00C32026">
              <w:t>Date/Details</w:t>
            </w:r>
          </w:p>
        </w:tc>
      </w:tr>
      <w:tr w:rsidR="0015592D" w:rsidRPr="00C32026" w14:paraId="07F80F8E" w14:textId="77777777" w:rsidTr="00C14EF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DD95A7" w14:textId="4308EE04" w:rsidR="0015592D" w:rsidRPr="00C32026" w:rsidRDefault="0015592D" w:rsidP="00C14EF7">
            <w:pPr>
              <w:pStyle w:val="Tabletext"/>
              <w:rPr>
                <w:i/>
              </w:rPr>
            </w:pPr>
            <w:r w:rsidRPr="00C32026">
              <w:t xml:space="preserve">1.  </w:t>
            </w:r>
            <w:r w:rsidR="003E33D7" w:rsidRPr="001C252E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C2FF09" w14:textId="7C122D41" w:rsidR="0015592D" w:rsidRPr="00C32026" w:rsidRDefault="003E33D7" w:rsidP="00C14EF7">
            <w:pPr>
              <w:pStyle w:val="Tabletext"/>
              <w:rPr>
                <w:iCs/>
              </w:rPr>
            </w:pPr>
            <w:r w:rsidRPr="001C252E">
              <w:rPr>
                <w:iCs/>
              </w:rPr>
              <w:t xml:space="preserve">1 </w:t>
            </w:r>
            <w:r>
              <w:rPr>
                <w:iCs/>
              </w:rPr>
              <w:t xml:space="preserve">July </w:t>
            </w:r>
            <w:r w:rsidRPr="001C252E">
              <w:rPr>
                <w:iCs/>
              </w:rPr>
              <w:t>202</w:t>
            </w:r>
            <w:r>
              <w:rPr>
                <w:iCs/>
              </w:rPr>
              <w:t>5</w:t>
            </w:r>
            <w:r w:rsidR="0015592D" w:rsidRPr="00C32026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BECE2A" w14:textId="5CE635D3" w:rsidR="0015592D" w:rsidRPr="00C32026" w:rsidRDefault="002072E7" w:rsidP="00C14EF7">
            <w:pPr>
              <w:pStyle w:val="Tabletext"/>
              <w:rPr>
                <w:iCs/>
              </w:rPr>
            </w:pPr>
            <w:r w:rsidRPr="001C252E">
              <w:rPr>
                <w:iCs/>
              </w:rPr>
              <w:t xml:space="preserve">1 </w:t>
            </w:r>
            <w:r>
              <w:rPr>
                <w:iCs/>
              </w:rPr>
              <w:t xml:space="preserve">July </w:t>
            </w:r>
            <w:r w:rsidRPr="001C252E">
              <w:rPr>
                <w:iCs/>
              </w:rPr>
              <w:t>202</w:t>
            </w:r>
            <w:r>
              <w:rPr>
                <w:iCs/>
              </w:rPr>
              <w:t>5</w:t>
            </w:r>
            <w:r w:rsidR="0015592D" w:rsidRPr="00C32026">
              <w:rPr>
                <w:iCs/>
              </w:rPr>
              <w:t>.</w:t>
            </w:r>
          </w:p>
        </w:tc>
      </w:tr>
    </w:tbl>
    <w:p w14:paraId="52797C72" w14:textId="77777777" w:rsidR="0015592D" w:rsidRPr="00C32026" w:rsidRDefault="0015592D" w:rsidP="0015592D">
      <w:pPr>
        <w:pStyle w:val="notetext"/>
      </w:pPr>
      <w:r w:rsidRPr="00D24986">
        <w:rPr>
          <w:snapToGrid w:val="0"/>
          <w:lang w:eastAsia="en-US"/>
        </w:rPr>
        <w:t>Note:</w:t>
      </w:r>
      <w:r w:rsidRPr="00C32026">
        <w:rPr>
          <w:snapToGrid w:val="0"/>
          <w:lang w:eastAsia="en-US"/>
        </w:rPr>
        <w:tab/>
        <w:t>This table relates only to the provisions of this instrument</w:t>
      </w:r>
      <w:r w:rsidRPr="00C32026">
        <w:t xml:space="preserve"> </w:t>
      </w:r>
      <w:r w:rsidRPr="00C32026">
        <w:rPr>
          <w:snapToGrid w:val="0"/>
          <w:lang w:eastAsia="en-US"/>
        </w:rPr>
        <w:t>as originally made. It will not be amended to deal with any later amendments of this instrument.</w:t>
      </w:r>
    </w:p>
    <w:p w14:paraId="6EFE21F8" w14:textId="5516D996" w:rsidR="005B136D" w:rsidRPr="001C252E" w:rsidRDefault="00AF3B24" w:rsidP="00AF3B24">
      <w:pPr>
        <w:pStyle w:val="subsection"/>
      </w:pPr>
      <w:r w:rsidRPr="001C252E">
        <w:tab/>
        <w:t>(2)</w:t>
      </w:r>
      <w:r w:rsidRPr="001C252E">
        <w:tab/>
      </w:r>
      <w:r w:rsidR="005B136D" w:rsidRPr="001C252E">
        <w:t xml:space="preserve">Any information in column 3 </w:t>
      </w:r>
      <w:r w:rsidR="005B136D" w:rsidRPr="00D24986">
        <w:t>of the table</w:t>
      </w:r>
      <w:r w:rsidR="005B136D" w:rsidRPr="001C252E">
        <w:t xml:space="preserve"> is not part of this instrument. Information may be inserted in this column, or information in it may be edited, in any published version of this instrument.</w:t>
      </w:r>
    </w:p>
    <w:p w14:paraId="266A1E02" w14:textId="77777777" w:rsidR="005B136D" w:rsidRPr="001C252E" w:rsidRDefault="005B136D" w:rsidP="005B136D">
      <w:pPr>
        <w:pStyle w:val="ActHead5"/>
      </w:pPr>
      <w:bookmarkStart w:id="2" w:name="_Toc183683335"/>
      <w:proofErr w:type="gramStart"/>
      <w:r w:rsidRPr="00E05FF0">
        <w:t>3</w:t>
      </w:r>
      <w:r w:rsidRPr="001C252E">
        <w:t xml:space="preserve">  Authority</w:t>
      </w:r>
      <w:bookmarkEnd w:id="2"/>
      <w:proofErr w:type="gramEnd"/>
    </w:p>
    <w:p w14:paraId="500DF064" w14:textId="39F22F31" w:rsidR="005B136D" w:rsidRPr="001C252E" w:rsidRDefault="005B136D" w:rsidP="005B136D">
      <w:pPr>
        <w:pStyle w:val="subsection"/>
      </w:pPr>
      <w:r w:rsidRPr="001C252E">
        <w:tab/>
      </w:r>
      <w:r w:rsidRPr="001C252E">
        <w:tab/>
        <w:t>This instrument is made under subsection 396-70(4) in Schedule 1 to the Act.</w:t>
      </w:r>
    </w:p>
    <w:p w14:paraId="41CC18F9" w14:textId="77777777" w:rsidR="005B136D" w:rsidRPr="001C252E" w:rsidRDefault="005B136D" w:rsidP="001E6013">
      <w:pPr>
        <w:pStyle w:val="ActHead5"/>
        <w:rPr>
          <w:bCs/>
          <w:szCs w:val="24"/>
        </w:rPr>
      </w:pPr>
      <w:bookmarkStart w:id="3" w:name="_Toc183683336"/>
      <w:proofErr w:type="gramStart"/>
      <w:r w:rsidRPr="00E05FF0">
        <w:t xml:space="preserve">4  </w:t>
      </w:r>
      <w:r w:rsidRPr="001C252E">
        <w:rPr>
          <w:bCs/>
          <w:szCs w:val="24"/>
        </w:rPr>
        <w:t>Definitions</w:t>
      </w:r>
      <w:bookmarkEnd w:id="3"/>
      <w:proofErr w:type="gramEnd"/>
    </w:p>
    <w:p w14:paraId="4DE6F0D5" w14:textId="77777777" w:rsidR="005B136D" w:rsidRPr="001C252E" w:rsidRDefault="005B136D" w:rsidP="005B136D">
      <w:pPr>
        <w:pStyle w:val="subsection"/>
      </w:pPr>
      <w:r w:rsidRPr="001C252E">
        <w:tab/>
      </w:r>
      <w:r w:rsidRPr="001C252E">
        <w:tab/>
        <w:t>In this instrument:</w:t>
      </w:r>
    </w:p>
    <w:p w14:paraId="06DA98DD" w14:textId="77777777" w:rsidR="00F24C8B" w:rsidRPr="001C252E" w:rsidRDefault="005B136D" w:rsidP="005B136D">
      <w:pPr>
        <w:pStyle w:val="Definition"/>
        <w:tabs>
          <w:tab w:val="left" w:pos="6630"/>
        </w:tabs>
        <w:rPr>
          <w:iCs/>
        </w:rPr>
      </w:pPr>
      <w:r w:rsidRPr="001C252E">
        <w:rPr>
          <w:b/>
          <w:i/>
        </w:rPr>
        <w:t>Act</w:t>
      </w:r>
      <w:r w:rsidRPr="001C252E">
        <w:t xml:space="preserve"> means the </w:t>
      </w:r>
      <w:r w:rsidRPr="001C252E">
        <w:rPr>
          <w:i/>
        </w:rPr>
        <w:t>Taxation Administration Act 1953</w:t>
      </w:r>
      <w:r w:rsidRPr="001C252E">
        <w:rPr>
          <w:iCs/>
        </w:rPr>
        <w:t>.</w:t>
      </w:r>
    </w:p>
    <w:p w14:paraId="764371C4" w14:textId="77777777" w:rsidR="00F24C8B" w:rsidRPr="001C252E" w:rsidRDefault="002D06F8" w:rsidP="002D06F8">
      <w:pPr>
        <w:pStyle w:val="Definition"/>
        <w:tabs>
          <w:tab w:val="left" w:pos="6630"/>
        </w:tabs>
        <w:rPr>
          <w:bCs/>
          <w:iCs/>
        </w:rPr>
      </w:pPr>
      <w:r w:rsidRPr="001C252E">
        <w:rPr>
          <w:b/>
          <w:i/>
        </w:rPr>
        <w:t xml:space="preserve">assets available for booking </w:t>
      </w:r>
      <w:r w:rsidRPr="001C252E">
        <w:rPr>
          <w:bCs/>
          <w:iCs/>
        </w:rPr>
        <w:t xml:space="preserve">includes any assets that have already been booked for a </w:t>
      </w:r>
      <w:proofErr w:type="gramStart"/>
      <w:r w:rsidRPr="001C252E">
        <w:rPr>
          <w:bCs/>
          <w:iCs/>
        </w:rPr>
        <w:t>day, or</w:t>
      </w:r>
      <w:proofErr w:type="gramEnd"/>
      <w:r w:rsidRPr="001C252E">
        <w:rPr>
          <w:bCs/>
          <w:iCs/>
        </w:rPr>
        <w:t xml:space="preserve"> are temporarily unavailable </w:t>
      </w:r>
      <w:r w:rsidR="00F725A8" w:rsidRPr="001C252E">
        <w:rPr>
          <w:bCs/>
          <w:iCs/>
        </w:rPr>
        <w:t>for booking.</w:t>
      </w:r>
    </w:p>
    <w:p w14:paraId="7B42D2A5" w14:textId="0B271AFF" w:rsidR="00F725A8" w:rsidRPr="001C252E" w:rsidRDefault="00F725A8" w:rsidP="00F725A8">
      <w:pPr>
        <w:pStyle w:val="notetext"/>
      </w:pPr>
      <w:r w:rsidRPr="00D24986">
        <w:rPr>
          <w:snapToGrid w:val="0"/>
          <w:lang w:eastAsia="en-US"/>
        </w:rPr>
        <w:t>Note:</w:t>
      </w:r>
      <w:r w:rsidRPr="001C252E">
        <w:rPr>
          <w:snapToGrid w:val="0"/>
          <w:lang w:eastAsia="en-US"/>
        </w:rPr>
        <w:tab/>
        <w:t>An asset may be temporarily unavailable, for example, because it is undergoing maintenance.</w:t>
      </w:r>
    </w:p>
    <w:p w14:paraId="62FD0A62" w14:textId="4B6B84CD" w:rsidR="000B5A18" w:rsidRPr="001C252E" w:rsidRDefault="0062454E" w:rsidP="005B136D">
      <w:pPr>
        <w:pStyle w:val="Definition"/>
      </w:pPr>
      <w:r w:rsidRPr="001C252E">
        <w:rPr>
          <w:b/>
          <w:bCs/>
          <w:i/>
          <w:iCs/>
        </w:rPr>
        <w:t xml:space="preserve">charter </w:t>
      </w:r>
      <w:r w:rsidR="00A731D2" w:rsidRPr="001C252E">
        <w:rPr>
          <w:b/>
          <w:bCs/>
          <w:i/>
          <w:iCs/>
        </w:rPr>
        <w:t xml:space="preserve">service </w:t>
      </w:r>
      <w:r w:rsidR="00A731D2" w:rsidRPr="001C252E">
        <w:t>means</w:t>
      </w:r>
      <w:r w:rsidR="00CD19D2" w:rsidRPr="001C252E">
        <w:t xml:space="preserve"> a</w:t>
      </w:r>
      <w:r w:rsidR="008E0BE6" w:rsidRPr="001C252E">
        <w:t xml:space="preserve"> passenger travel</w:t>
      </w:r>
      <w:r w:rsidR="00FF5262" w:rsidRPr="001C252E">
        <w:t xml:space="preserve"> service</w:t>
      </w:r>
      <w:r w:rsidR="008E0BE6" w:rsidRPr="001C252E">
        <w:t xml:space="preserve">, where </w:t>
      </w:r>
      <w:r w:rsidR="000B5A18" w:rsidRPr="001C252E">
        <w:t xml:space="preserve">a </w:t>
      </w:r>
      <w:r w:rsidR="008E0BE6" w:rsidRPr="001C252E">
        <w:t>customer</w:t>
      </w:r>
      <w:r w:rsidR="000B5A18" w:rsidRPr="001C252E">
        <w:t>:</w:t>
      </w:r>
    </w:p>
    <w:p w14:paraId="6AA426C2" w14:textId="2447CE7C" w:rsidR="000B5A18" w:rsidRPr="001C252E" w:rsidRDefault="000B5A18" w:rsidP="000B5A18">
      <w:pPr>
        <w:pStyle w:val="paragraph"/>
      </w:pPr>
      <w:r w:rsidRPr="001C252E">
        <w:tab/>
        <w:t>(a)</w:t>
      </w:r>
      <w:r w:rsidRPr="001C252E">
        <w:tab/>
        <w:t>hires an entire aircraft, motor vehicle or vessel</w:t>
      </w:r>
      <w:r w:rsidR="00714006" w:rsidRPr="001C252E">
        <w:t>;</w:t>
      </w:r>
      <w:r w:rsidRPr="001C252E">
        <w:t xml:space="preserve"> and</w:t>
      </w:r>
    </w:p>
    <w:p w14:paraId="5619DCBE" w14:textId="32BBDD7B" w:rsidR="000B5A18" w:rsidRPr="001C252E" w:rsidRDefault="000B5A18" w:rsidP="000B5A18">
      <w:pPr>
        <w:pStyle w:val="paragraph"/>
      </w:pPr>
      <w:r w:rsidRPr="001C252E">
        <w:tab/>
        <w:t>(b)</w:t>
      </w:r>
      <w:r w:rsidRPr="001C252E">
        <w:tab/>
      </w:r>
      <w:r w:rsidR="00BE7AF2" w:rsidRPr="001C252E">
        <w:t xml:space="preserve">can specify or negotiate some or </w:t>
      </w:r>
      <w:proofErr w:type="gramStart"/>
      <w:r w:rsidR="00BE7AF2" w:rsidRPr="001C252E">
        <w:t>all of</w:t>
      </w:r>
      <w:proofErr w:type="gramEnd"/>
      <w:r w:rsidR="00BE7AF2" w:rsidRPr="001C252E">
        <w:t xml:space="preserve"> the </w:t>
      </w:r>
      <w:r w:rsidR="00926D60" w:rsidRPr="001C252E">
        <w:t xml:space="preserve">terms and </w:t>
      </w:r>
      <w:r w:rsidR="00BE7AF2" w:rsidRPr="001C252E">
        <w:t>conditions attached to, or the nature of, the service to be provided</w:t>
      </w:r>
      <w:r w:rsidRPr="001C252E">
        <w:t>.</w:t>
      </w:r>
    </w:p>
    <w:p w14:paraId="33D9D31F" w14:textId="6664D4C0" w:rsidR="00F24C8B" w:rsidRPr="001C252E" w:rsidRDefault="005B136D" w:rsidP="005B136D">
      <w:pPr>
        <w:pStyle w:val="Definition"/>
      </w:pPr>
      <w:r w:rsidRPr="4C90681E">
        <w:rPr>
          <w:b/>
          <w:bCs/>
          <w:i/>
          <w:iCs/>
        </w:rPr>
        <w:t>electronic distribution platform</w:t>
      </w:r>
      <w:r>
        <w:t xml:space="preserve"> has the same meaning as in section 84-70 of</w:t>
      </w:r>
      <w:r w:rsidRPr="4C90681E">
        <w:rPr>
          <w:i/>
          <w:iCs/>
        </w:rPr>
        <w:t xml:space="preserve"> </w:t>
      </w:r>
      <w:r>
        <w:t>the</w:t>
      </w:r>
      <w:r w:rsidRPr="4C90681E">
        <w:rPr>
          <w:i/>
          <w:iCs/>
        </w:rPr>
        <w:t xml:space="preserve"> </w:t>
      </w:r>
      <w:r>
        <w:t>GST Act, but disregarding paragraph 84-70(1)(c)</w:t>
      </w:r>
      <w:r w:rsidR="27789B00">
        <w:t xml:space="preserve"> of the GST Act</w:t>
      </w:r>
      <w:r>
        <w:t>.</w:t>
      </w:r>
    </w:p>
    <w:p w14:paraId="7B5BB8E7" w14:textId="77777777" w:rsidR="00F24C8B" w:rsidRPr="001C252E" w:rsidRDefault="005B136D" w:rsidP="005B136D">
      <w:pPr>
        <w:pStyle w:val="Definition"/>
        <w:rPr>
          <w:i/>
          <w:iCs/>
        </w:rPr>
      </w:pPr>
      <w:r w:rsidRPr="001C252E">
        <w:rPr>
          <w:b/>
          <w:bCs/>
          <w:i/>
          <w:iCs/>
        </w:rPr>
        <w:t>GST Act</w:t>
      </w:r>
      <w:r w:rsidRPr="001C252E">
        <w:t xml:space="preserve"> means the </w:t>
      </w:r>
      <w:r w:rsidRPr="001C252E">
        <w:rPr>
          <w:i/>
          <w:iCs/>
        </w:rPr>
        <w:t>A</w:t>
      </w:r>
      <w:r w:rsidRPr="00D24986">
        <w:rPr>
          <w:i/>
          <w:iCs/>
        </w:rPr>
        <w:t xml:space="preserve"> New </w:t>
      </w:r>
      <w:r w:rsidRPr="001C252E">
        <w:rPr>
          <w:i/>
          <w:iCs/>
        </w:rPr>
        <w:t>Tax System (Goods and Services Tax Act) 1999.</w:t>
      </w:r>
    </w:p>
    <w:p w14:paraId="635D5B15" w14:textId="77777777" w:rsidR="00F24C8B" w:rsidRPr="001C252E" w:rsidRDefault="005B136D" w:rsidP="005B136D">
      <w:pPr>
        <w:pStyle w:val="Definition"/>
        <w:rPr>
          <w:bCs/>
          <w:iCs/>
        </w:rPr>
      </w:pPr>
      <w:r w:rsidRPr="001C252E">
        <w:rPr>
          <w:b/>
          <w:bCs/>
          <w:i/>
          <w:iCs/>
        </w:rPr>
        <w:lastRenderedPageBreak/>
        <w:t>indirect tax zone</w:t>
      </w:r>
      <w:r w:rsidRPr="001C252E">
        <w:rPr>
          <w:b/>
          <w:bCs/>
        </w:rPr>
        <w:t xml:space="preserve"> </w:t>
      </w:r>
      <w:r w:rsidRPr="001C252E">
        <w:t>has the</w:t>
      </w:r>
      <w:r w:rsidRPr="001C252E">
        <w:rPr>
          <w:b/>
          <w:bCs/>
        </w:rPr>
        <w:t xml:space="preserve"> </w:t>
      </w:r>
      <w:r w:rsidRPr="001C252E">
        <w:t xml:space="preserve">same meaning as in the </w:t>
      </w:r>
      <w:r w:rsidRPr="001C252E">
        <w:rPr>
          <w:bCs/>
          <w:iCs/>
        </w:rPr>
        <w:t>GST Act, but as if that definition included the external Territories.</w:t>
      </w:r>
    </w:p>
    <w:p w14:paraId="29295664" w14:textId="77777777" w:rsidR="00F24C8B" w:rsidRPr="001C252E" w:rsidRDefault="005B136D" w:rsidP="005B136D">
      <w:pPr>
        <w:pStyle w:val="Definition"/>
        <w:rPr>
          <w:bCs/>
          <w:iCs/>
        </w:rPr>
      </w:pPr>
      <w:r w:rsidRPr="001C252E">
        <w:rPr>
          <w:b/>
          <w:i/>
        </w:rPr>
        <w:t>listed entity</w:t>
      </w:r>
      <w:r w:rsidRPr="001C252E">
        <w:rPr>
          <w:bCs/>
          <w:i/>
        </w:rPr>
        <w:t xml:space="preserve"> </w:t>
      </w:r>
      <w:r w:rsidRPr="001C252E">
        <w:rPr>
          <w:bCs/>
          <w:iCs/>
        </w:rPr>
        <w:t>means an entity whose membership interests are publicly traded on an approved stock exchange within the meaning of</w:t>
      </w:r>
      <w:r w:rsidRPr="001C252E">
        <w:rPr>
          <w:bCs/>
          <w:i/>
        </w:rPr>
        <w:t xml:space="preserve"> </w:t>
      </w:r>
      <w:r w:rsidRPr="001C252E">
        <w:rPr>
          <w:bCs/>
          <w:iCs/>
        </w:rPr>
        <w:t>section 995-1 of the</w:t>
      </w:r>
      <w:r w:rsidRPr="001C252E">
        <w:rPr>
          <w:bCs/>
          <w:i/>
        </w:rPr>
        <w:t xml:space="preserve"> Income Tax Assessment Act 1997</w:t>
      </w:r>
      <w:r w:rsidRPr="001C252E">
        <w:rPr>
          <w:bCs/>
          <w:iCs/>
        </w:rPr>
        <w:t>.</w:t>
      </w:r>
    </w:p>
    <w:p w14:paraId="5B7942D3" w14:textId="0F7C2879" w:rsidR="00AB4C24" w:rsidRPr="001C252E" w:rsidRDefault="00AB4C24" w:rsidP="00AB4C24">
      <w:pPr>
        <w:pStyle w:val="Definition"/>
      </w:pPr>
      <w:r w:rsidRPr="001C252E">
        <w:rPr>
          <w:b/>
          <w:bCs/>
          <w:i/>
          <w:iCs/>
        </w:rPr>
        <w:t xml:space="preserve">permanent attraction or experience </w:t>
      </w:r>
      <w:r w:rsidRPr="001C252E">
        <w:t>means an attraction o</w:t>
      </w:r>
      <w:r w:rsidR="006A0F4B" w:rsidRPr="001C252E">
        <w:t>r</w:t>
      </w:r>
      <w:r w:rsidRPr="001C252E">
        <w:t xml:space="preserve"> experience</w:t>
      </w:r>
      <w:r w:rsidR="006C0E82" w:rsidRPr="001C252E">
        <w:t xml:space="preserve"> </w:t>
      </w:r>
      <w:r w:rsidR="001C567E" w:rsidRPr="001C252E">
        <w:t>(</w:t>
      </w:r>
      <w:r w:rsidR="006C0E82" w:rsidRPr="001C252E">
        <w:t>other than a scheduled event</w:t>
      </w:r>
      <w:r w:rsidR="001C567E" w:rsidRPr="001C252E">
        <w:t>)</w:t>
      </w:r>
      <w:r w:rsidR="00427C51" w:rsidRPr="001C252E">
        <w:t xml:space="preserve"> </w:t>
      </w:r>
      <w:r w:rsidRPr="001C252E">
        <w:t>that is open to the public on a regular and ongoing basis</w:t>
      </w:r>
      <w:r w:rsidR="006A0F4B" w:rsidRPr="001C252E">
        <w:t>,</w:t>
      </w:r>
      <w:r w:rsidRPr="001C252E">
        <w:t xml:space="preserve"> for which:</w:t>
      </w:r>
    </w:p>
    <w:p w14:paraId="143FFA4F" w14:textId="77777777" w:rsidR="00F24C8B" w:rsidRPr="001C252E" w:rsidRDefault="00AB4C24" w:rsidP="00AB4C24">
      <w:pPr>
        <w:pStyle w:val="paragraph"/>
      </w:pPr>
      <w:r w:rsidRPr="001C252E">
        <w:tab/>
        <w:t>(a)</w:t>
      </w:r>
      <w:r w:rsidRPr="001C252E">
        <w:tab/>
        <w:t xml:space="preserve">the </w:t>
      </w:r>
      <w:r w:rsidR="006A0F4B" w:rsidRPr="001C252E">
        <w:t xml:space="preserve">opening </w:t>
      </w:r>
      <w:r w:rsidRPr="001C252E">
        <w:t>time</w:t>
      </w:r>
      <w:r w:rsidR="006A0F4B" w:rsidRPr="001C252E">
        <w:t>s</w:t>
      </w:r>
      <w:r w:rsidRPr="001C252E">
        <w:t>, price, and terms and conditions are set by the supplier; and</w:t>
      </w:r>
    </w:p>
    <w:p w14:paraId="2AE6535C" w14:textId="31E40927" w:rsidR="00AB4C24" w:rsidRPr="001C252E" w:rsidRDefault="00AB4C24" w:rsidP="00AB4C24">
      <w:pPr>
        <w:pStyle w:val="paragraph"/>
      </w:pPr>
      <w:r w:rsidRPr="001C252E">
        <w:tab/>
        <w:t>(b)</w:t>
      </w:r>
      <w:r w:rsidRPr="001C252E">
        <w:tab/>
        <w:t xml:space="preserve">any member of the public may </w:t>
      </w:r>
      <w:r w:rsidR="006A0F4B" w:rsidRPr="001C252E">
        <w:t>make a booking</w:t>
      </w:r>
      <w:r w:rsidRPr="001C252E">
        <w:t>.</w:t>
      </w:r>
    </w:p>
    <w:p w14:paraId="3E022AA2" w14:textId="77777777" w:rsidR="00F24C8B" w:rsidRPr="001C252E" w:rsidRDefault="005B136D" w:rsidP="009C0148">
      <w:pPr>
        <w:pStyle w:val="Definition"/>
      </w:pPr>
      <w:r w:rsidRPr="001C252E">
        <w:rPr>
          <w:b/>
          <w:bCs/>
          <w:i/>
          <w:iCs/>
        </w:rPr>
        <w:t>prorated amount</w:t>
      </w:r>
      <w:r w:rsidRPr="001C252E">
        <w:t xml:space="preserve"> means</w:t>
      </w:r>
      <w:r w:rsidR="00737D29" w:rsidRPr="001C252E">
        <w:t>:</w:t>
      </w:r>
    </w:p>
    <w:p w14:paraId="19D6A971" w14:textId="77777777" w:rsidR="00F24C8B" w:rsidRPr="001C252E" w:rsidRDefault="00DE6E05" w:rsidP="00F3191C">
      <w:pPr>
        <w:pStyle w:val="paragraph"/>
      </w:pPr>
      <w:r w:rsidRPr="001C252E">
        <w:tab/>
        <w:t>(a)</w:t>
      </w:r>
      <w:r w:rsidRPr="001C252E">
        <w:tab/>
      </w:r>
      <w:r w:rsidR="009C0148" w:rsidRPr="001C252E">
        <w:t xml:space="preserve">in relation to substantial property, </w:t>
      </w:r>
      <w:r w:rsidR="005B136D" w:rsidRPr="001C252E">
        <w:t>the amount worked out using the following formula:</w:t>
      </w:r>
    </w:p>
    <w:p w14:paraId="35AB1E71" w14:textId="77777777" w:rsidR="00F24C8B" w:rsidRPr="001C252E" w:rsidRDefault="000A2347" w:rsidP="001A3AE2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5B136D" w:rsidRPr="001C252E">
        <w:t xml:space="preserve">step 1: divide the number of days the supplier </w:t>
      </w:r>
      <w:r w:rsidR="00A97815" w:rsidRPr="001C252E">
        <w:t>had the property listed on the electronic distribution</w:t>
      </w:r>
      <w:r w:rsidR="005B136D" w:rsidRPr="001C252E">
        <w:t xml:space="preserve"> platform</w:t>
      </w:r>
      <w:r w:rsidR="00A97815" w:rsidRPr="001C252E">
        <w:t xml:space="preserve"> in the </w:t>
      </w:r>
      <w:proofErr w:type="gramStart"/>
      <w:r w:rsidR="00A97815" w:rsidRPr="001C252E">
        <w:t>12 month</w:t>
      </w:r>
      <w:proofErr w:type="gramEnd"/>
      <w:r w:rsidR="00A97815" w:rsidRPr="001C252E">
        <w:t xml:space="preserve"> period ending on the last day of the reporting period</w:t>
      </w:r>
      <w:r w:rsidR="005B136D" w:rsidRPr="001C252E">
        <w:t xml:space="preserve"> by 365; and</w:t>
      </w:r>
    </w:p>
    <w:p w14:paraId="38BE8EB2" w14:textId="77777777" w:rsidR="00F24C8B" w:rsidRPr="001C252E" w:rsidRDefault="000A2347" w:rsidP="00F3191C">
      <w:pPr>
        <w:pStyle w:val="paragraphsub"/>
      </w:pPr>
      <w:r w:rsidRPr="001C252E">
        <w:tab/>
        <w:t>(ii)</w:t>
      </w:r>
      <w:r w:rsidRPr="001C252E">
        <w:tab/>
      </w:r>
      <w:r w:rsidR="005B136D" w:rsidRPr="001C252E">
        <w:t xml:space="preserve">step 2: multiply the result of step 1 by </w:t>
      </w:r>
      <w:proofErr w:type="gramStart"/>
      <w:r w:rsidR="005B136D" w:rsidRPr="001C252E">
        <w:t>2</w:t>
      </w:r>
      <w:r w:rsidR="00392919" w:rsidRPr="001C252E">
        <w:t>,</w:t>
      </w:r>
      <w:r w:rsidR="005B136D" w:rsidRPr="001C252E">
        <w:t>000</w:t>
      </w:r>
      <w:r w:rsidR="00351074" w:rsidRPr="001C252E">
        <w:t>;</w:t>
      </w:r>
      <w:proofErr w:type="gramEnd"/>
    </w:p>
    <w:p w14:paraId="196236D0" w14:textId="00BB9E8F" w:rsidR="009C0148" w:rsidRPr="001C252E" w:rsidRDefault="00DE6E05" w:rsidP="00F3191C">
      <w:pPr>
        <w:pStyle w:val="paragraph"/>
      </w:pPr>
      <w:r w:rsidRPr="001C252E">
        <w:tab/>
        <w:t>(b)</w:t>
      </w:r>
      <w:r w:rsidRPr="001C252E">
        <w:tab/>
      </w:r>
      <w:r w:rsidR="00E72604" w:rsidRPr="001C252E">
        <w:t>in relation to a substantial supplier</w:t>
      </w:r>
      <w:r w:rsidR="00A73670" w:rsidRPr="001C252E">
        <w:t>,</w:t>
      </w:r>
      <w:r w:rsidR="009C0148" w:rsidRPr="001C252E">
        <w:t xml:space="preserve"> the amount worked out using the following formula</w:t>
      </w:r>
      <w:r w:rsidR="00E72604" w:rsidRPr="001C252E">
        <w:t>:</w:t>
      </w:r>
    </w:p>
    <w:p w14:paraId="01698551" w14:textId="1180ED4F" w:rsidR="00F24C8B" w:rsidRPr="001C252E" w:rsidRDefault="000A2347" w:rsidP="00F3191C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9C0148" w:rsidRPr="001C252E">
        <w:t xml:space="preserve">step 1: divide the number of days the supplier had supplies available to be made through the electronic distribution platform in the </w:t>
      </w:r>
      <w:proofErr w:type="gramStart"/>
      <w:r w:rsidR="009C0148" w:rsidRPr="001C252E">
        <w:t>12</w:t>
      </w:r>
      <w:r w:rsidR="00F24C8B" w:rsidRPr="001C252E">
        <w:t> </w:t>
      </w:r>
      <w:r w:rsidR="009C0148" w:rsidRPr="001C252E">
        <w:t>month</w:t>
      </w:r>
      <w:proofErr w:type="gramEnd"/>
      <w:r w:rsidR="009C0148" w:rsidRPr="001C252E">
        <w:t xml:space="preserve"> period ending on the last day of the reporting period by 365; and</w:t>
      </w:r>
    </w:p>
    <w:p w14:paraId="6384A93F" w14:textId="77777777" w:rsidR="00F24C8B" w:rsidRPr="001C252E" w:rsidRDefault="000A2347" w:rsidP="00F3191C">
      <w:pPr>
        <w:pStyle w:val="paragraphsub"/>
      </w:pPr>
      <w:r w:rsidRPr="001C252E">
        <w:tab/>
        <w:t>(ii)</w:t>
      </w:r>
      <w:r w:rsidRPr="001C252E">
        <w:tab/>
      </w:r>
      <w:r w:rsidR="009C0148" w:rsidRPr="001C252E">
        <w:t xml:space="preserve">step 2: multiply the result of step 1 by </w:t>
      </w:r>
      <w:r w:rsidR="001907EE" w:rsidRPr="001C252E">
        <w:t>$</w:t>
      </w:r>
      <w:r w:rsidR="009C0148" w:rsidRPr="001C252E">
        <w:t>1,000,000.</w:t>
      </w:r>
    </w:p>
    <w:p w14:paraId="43D09E89" w14:textId="5B83DACA" w:rsidR="00F24C8B" w:rsidRPr="001C252E" w:rsidRDefault="005B136D" w:rsidP="005B136D">
      <w:pPr>
        <w:pStyle w:val="Definition"/>
        <w:rPr>
          <w:bCs/>
          <w:i/>
        </w:rPr>
      </w:pPr>
      <w:r w:rsidRPr="001C252E">
        <w:rPr>
          <w:b/>
          <w:i/>
        </w:rPr>
        <w:t xml:space="preserve">reportable transaction </w:t>
      </w:r>
      <w:r w:rsidRPr="001C252E">
        <w:rPr>
          <w:bCs/>
          <w:iCs/>
        </w:rPr>
        <w:t>means a transaction described in column 2 of table item</w:t>
      </w:r>
      <w:r w:rsidR="00F24C8B" w:rsidRPr="001C252E">
        <w:rPr>
          <w:bCs/>
          <w:iCs/>
        </w:rPr>
        <w:t> </w:t>
      </w:r>
      <w:r w:rsidRPr="001C252E">
        <w:rPr>
          <w:bCs/>
          <w:iCs/>
        </w:rPr>
        <w:t>15 in section 396-55 in Schedule 1</w:t>
      </w:r>
      <w:r w:rsidRPr="001C252E">
        <w:rPr>
          <w:bCs/>
          <w:i/>
        </w:rPr>
        <w:t xml:space="preserve"> </w:t>
      </w:r>
      <w:r w:rsidRPr="001C252E">
        <w:rPr>
          <w:bCs/>
          <w:iCs/>
        </w:rPr>
        <w:t>to the Act</w:t>
      </w:r>
      <w:r w:rsidRPr="001C252E">
        <w:rPr>
          <w:bCs/>
          <w:i/>
        </w:rPr>
        <w:t>.</w:t>
      </w:r>
    </w:p>
    <w:p w14:paraId="3933EF11" w14:textId="1BC731DD" w:rsidR="00F24C8B" w:rsidRPr="001C252E" w:rsidRDefault="005B136D" w:rsidP="00BC5CFF">
      <w:pPr>
        <w:pStyle w:val="Definition"/>
        <w:rPr>
          <w:bCs/>
          <w:iCs/>
        </w:rPr>
      </w:pPr>
      <w:r w:rsidRPr="001C252E">
        <w:rPr>
          <w:b/>
          <w:i/>
        </w:rPr>
        <w:t xml:space="preserve">reporting period </w:t>
      </w:r>
      <w:r w:rsidRPr="001C252E">
        <w:rPr>
          <w:bCs/>
          <w:iCs/>
        </w:rPr>
        <w:t>means the period set out in paragraph 396-55(a) in Schedule 1 to the Act.</w:t>
      </w:r>
    </w:p>
    <w:p w14:paraId="338DE047" w14:textId="61DEBE35" w:rsidR="002D06F8" w:rsidRPr="001C252E" w:rsidRDefault="002D06F8" w:rsidP="002D06F8">
      <w:pPr>
        <w:pStyle w:val="Definition"/>
      </w:pPr>
      <w:r w:rsidRPr="001C252E">
        <w:rPr>
          <w:b/>
          <w:bCs/>
          <w:i/>
          <w:iCs/>
        </w:rPr>
        <w:t xml:space="preserve">scheduled event </w:t>
      </w:r>
      <w:r w:rsidRPr="001C252E">
        <w:t>means a</w:t>
      </w:r>
      <w:r w:rsidR="00EA29D8" w:rsidRPr="001C252E">
        <w:t xml:space="preserve"> one-off </w:t>
      </w:r>
      <w:r w:rsidRPr="001C252E">
        <w:t>event</w:t>
      </w:r>
      <w:r w:rsidR="00EA29D8" w:rsidRPr="001C252E">
        <w:t xml:space="preserve">, or series of events </w:t>
      </w:r>
      <w:r w:rsidR="0005592F" w:rsidRPr="001C252E">
        <w:t xml:space="preserve">scheduled </w:t>
      </w:r>
      <w:r w:rsidR="00EA29D8" w:rsidRPr="001C252E">
        <w:t xml:space="preserve">in a </w:t>
      </w:r>
      <w:r w:rsidR="00F1787F" w:rsidRPr="001C252E">
        <w:t xml:space="preserve">particular </w:t>
      </w:r>
      <w:r w:rsidR="00EA29D8" w:rsidRPr="001C252E">
        <w:t>location for a temporary period,</w:t>
      </w:r>
      <w:r w:rsidRPr="001C252E">
        <w:t xml:space="preserve"> for which:</w:t>
      </w:r>
    </w:p>
    <w:p w14:paraId="47CFE4FC" w14:textId="77777777" w:rsidR="00F24C8B" w:rsidRPr="001C252E" w:rsidRDefault="002D06F8" w:rsidP="002D06F8">
      <w:pPr>
        <w:pStyle w:val="paragraph"/>
      </w:pPr>
      <w:r w:rsidRPr="001C252E">
        <w:tab/>
        <w:t>(a)</w:t>
      </w:r>
      <w:r w:rsidRPr="001C252E">
        <w:tab/>
        <w:t>the time, price, and terms and conditions are set by the supplier; and</w:t>
      </w:r>
    </w:p>
    <w:p w14:paraId="46BB9023" w14:textId="186723AA" w:rsidR="002D06F8" w:rsidRPr="001C252E" w:rsidRDefault="002D06F8" w:rsidP="002D06F8">
      <w:pPr>
        <w:pStyle w:val="paragraph"/>
      </w:pPr>
      <w:r w:rsidRPr="001C252E">
        <w:tab/>
        <w:t>(b)</w:t>
      </w:r>
      <w:r w:rsidRPr="001C252E">
        <w:tab/>
        <w:t>any member of the public may make a booking.</w:t>
      </w:r>
    </w:p>
    <w:p w14:paraId="38F0E679" w14:textId="798966ED" w:rsidR="005E0373" w:rsidRPr="001C252E" w:rsidRDefault="005E0373" w:rsidP="005E0373">
      <w:pPr>
        <w:pStyle w:val="Definition"/>
      </w:pPr>
      <w:r w:rsidRPr="001C252E">
        <w:rPr>
          <w:b/>
          <w:bCs/>
          <w:i/>
          <w:iCs/>
        </w:rPr>
        <w:t>scheduled passenger travel service</w:t>
      </w:r>
      <w:r w:rsidRPr="001C252E">
        <w:t xml:space="preserve"> means a passenger travel service, including an arranged tour:</w:t>
      </w:r>
    </w:p>
    <w:p w14:paraId="77132EE3" w14:textId="77777777" w:rsidR="00F24C8B" w:rsidRPr="001C252E" w:rsidRDefault="005E0373" w:rsidP="005E0373">
      <w:pPr>
        <w:pStyle w:val="paragraph"/>
      </w:pPr>
      <w:r w:rsidRPr="001C252E">
        <w:tab/>
        <w:t>(a)</w:t>
      </w:r>
      <w:r w:rsidRPr="001C252E">
        <w:tab/>
        <w:t>supplied as a scheduled service on a pre-defined route operated by the supplier, for a price and with terms and conditions set by the supplier; and</w:t>
      </w:r>
    </w:p>
    <w:p w14:paraId="349ECB71" w14:textId="0D90622E" w:rsidR="005E0373" w:rsidRPr="001C252E" w:rsidRDefault="005E0373" w:rsidP="005E0373">
      <w:pPr>
        <w:pStyle w:val="paragraph"/>
      </w:pPr>
      <w:r w:rsidRPr="001C252E">
        <w:tab/>
        <w:t>(b)</w:t>
      </w:r>
      <w:r w:rsidRPr="001C252E">
        <w:tab/>
        <w:t xml:space="preserve">on which any member of the public may </w:t>
      </w:r>
      <w:r w:rsidR="0024623B" w:rsidRPr="001C252E">
        <w:t>make a booking</w:t>
      </w:r>
      <w:r w:rsidRPr="001C252E">
        <w:t>.</w:t>
      </w:r>
    </w:p>
    <w:p w14:paraId="02434D93" w14:textId="27D3A517" w:rsidR="005B136D" w:rsidRPr="001C252E" w:rsidRDefault="005B136D" w:rsidP="005B136D">
      <w:pPr>
        <w:pStyle w:val="Definition"/>
      </w:pPr>
      <w:r w:rsidRPr="4C90681E">
        <w:rPr>
          <w:b/>
          <w:bCs/>
          <w:i/>
          <w:iCs/>
        </w:rPr>
        <w:t>substantial property</w:t>
      </w:r>
      <w:r w:rsidRPr="4C90681E">
        <w:rPr>
          <w:i/>
          <w:iCs/>
        </w:rPr>
        <w:t xml:space="preserve"> </w:t>
      </w:r>
      <w:r>
        <w:t xml:space="preserve">means </w:t>
      </w:r>
      <w:r w:rsidR="00967133">
        <w:t xml:space="preserve">real </w:t>
      </w:r>
      <w:r>
        <w:t xml:space="preserve">property where, </w:t>
      </w:r>
      <w:r w:rsidR="0076315F">
        <w:t>in relation to</w:t>
      </w:r>
      <w:r>
        <w:t xml:space="preserve"> a reporting period</w:t>
      </w:r>
      <w:r w:rsidR="0076315F">
        <w:t xml:space="preserve"> and </w:t>
      </w:r>
      <w:r w:rsidR="4A8514FC">
        <w:t xml:space="preserve">an </w:t>
      </w:r>
      <w:r w:rsidR="0076315F">
        <w:t>electronic distribution platform</w:t>
      </w:r>
      <w:r>
        <w:t>, at least the following number of transactions</w:t>
      </w:r>
      <w:r w:rsidR="004A623D">
        <w:t xml:space="preserve"> (whether</w:t>
      </w:r>
      <w:r w:rsidR="00967133">
        <w:t xml:space="preserve"> </w:t>
      </w:r>
      <w:r w:rsidR="004A623D">
        <w:t xml:space="preserve">involving the grant of a lease or </w:t>
      </w:r>
      <w:r w:rsidR="004A623D" w:rsidRPr="00D24986">
        <w:t>license</w:t>
      </w:r>
      <w:r w:rsidR="000F49C2">
        <w:t xml:space="preserve"> or otherwise</w:t>
      </w:r>
      <w:r w:rsidR="004A623D">
        <w:t>)</w:t>
      </w:r>
      <w:r>
        <w:t xml:space="preserve"> were facilitated by the electronic distribution platform for that property:</w:t>
      </w:r>
    </w:p>
    <w:p w14:paraId="6DAA3185" w14:textId="77777777" w:rsidR="00F24C8B" w:rsidRPr="001C252E" w:rsidRDefault="00DE6E05" w:rsidP="00F24C8B">
      <w:pPr>
        <w:pStyle w:val="paragraph"/>
        <w:ind w:right="-51"/>
      </w:pPr>
      <w:r w:rsidRPr="001C252E">
        <w:lastRenderedPageBreak/>
        <w:tab/>
        <w:t>(a)</w:t>
      </w:r>
      <w:r w:rsidRPr="001C252E">
        <w:tab/>
      </w:r>
      <w:r w:rsidR="005B136D" w:rsidRPr="001C252E">
        <w:t>2000 transactions in the 12 months ending on the last day of the reporting period</w:t>
      </w:r>
      <w:r w:rsidR="00102604" w:rsidRPr="001C252E">
        <w:t xml:space="preserve">, where the property was listed on the platform for that entire </w:t>
      </w:r>
      <w:proofErr w:type="gramStart"/>
      <w:r w:rsidR="00102604" w:rsidRPr="001C252E">
        <w:t>period</w:t>
      </w:r>
      <w:r w:rsidR="005B136D" w:rsidRPr="001C252E">
        <w:t>;</w:t>
      </w:r>
      <w:proofErr w:type="gramEnd"/>
      <w:r w:rsidR="005B136D" w:rsidRPr="001C252E">
        <w:t xml:space="preserve"> or</w:t>
      </w:r>
    </w:p>
    <w:p w14:paraId="27196795" w14:textId="77777777" w:rsidR="00F24C8B" w:rsidRPr="001C252E" w:rsidRDefault="00DE6E05" w:rsidP="00714006">
      <w:pPr>
        <w:pStyle w:val="paragraph"/>
      </w:pPr>
      <w:r w:rsidRPr="001C252E">
        <w:tab/>
        <w:t>(b)</w:t>
      </w:r>
      <w:r w:rsidRPr="001C252E">
        <w:tab/>
      </w:r>
      <w:r w:rsidR="005B136D" w:rsidRPr="001C252E">
        <w:t xml:space="preserve">the prorated </w:t>
      </w:r>
      <w:proofErr w:type="gramStart"/>
      <w:r w:rsidR="005B136D" w:rsidRPr="001C252E">
        <w:t>amount</w:t>
      </w:r>
      <w:proofErr w:type="gramEnd"/>
      <w:r w:rsidR="005B136D" w:rsidRPr="001C252E">
        <w:t xml:space="preserve"> of transactions, where the </w:t>
      </w:r>
      <w:r w:rsidR="00FB4620" w:rsidRPr="001C252E">
        <w:t xml:space="preserve">property was first listed on </w:t>
      </w:r>
      <w:r w:rsidR="005B136D" w:rsidRPr="001C252E">
        <w:t>the platform in the 12 months</w:t>
      </w:r>
      <w:r w:rsidR="00D8160E" w:rsidRPr="001C252E">
        <w:t xml:space="preserve"> </w:t>
      </w:r>
      <w:r w:rsidR="005B136D" w:rsidRPr="001C252E">
        <w:t>ending on the last day of the reporting period.</w:t>
      </w:r>
    </w:p>
    <w:p w14:paraId="7AA76AA7" w14:textId="77777777" w:rsidR="00F24C8B" w:rsidRPr="001C252E" w:rsidRDefault="0076315F" w:rsidP="00F3191C">
      <w:pPr>
        <w:pStyle w:val="Definition"/>
        <w:rPr>
          <w:bCs/>
          <w:iCs/>
        </w:rPr>
      </w:pPr>
      <w:r w:rsidRPr="001C252E">
        <w:rPr>
          <w:b/>
          <w:i/>
        </w:rPr>
        <w:t xml:space="preserve">substantial supplier </w:t>
      </w:r>
      <w:r w:rsidRPr="001C252E">
        <w:rPr>
          <w:bCs/>
          <w:iCs/>
        </w:rPr>
        <w:t>means</w:t>
      </w:r>
      <w:r w:rsidR="00E3255C" w:rsidRPr="001C252E">
        <w:rPr>
          <w:bCs/>
          <w:iCs/>
        </w:rPr>
        <w:t xml:space="preserve"> a supplier </w:t>
      </w:r>
      <w:r w:rsidR="00714006" w:rsidRPr="001C252E">
        <w:rPr>
          <w:bCs/>
          <w:iCs/>
        </w:rPr>
        <w:t>that</w:t>
      </w:r>
      <w:r w:rsidRPr="001C252E">
        <w:rPr>
          <w:bCs/>
          <w:iCs/>
        </w:rPr>
        <w:t>,</w:t>
      </w:r>
      <w:r w:rsidRPr="001C252E">
        <w:rPr>
          <w:b/>
          <w:i/>
        </w:rPr>
        <w:t xml:space="preserve"> </w:t>
      </w:r>
      <w:r w:rsidRPr="001C252E">
        <w:rPr>
          <w:bCs/>
          <w:iCs/>
        </w:rPr>
        <w:t>in relation to a reporting period and an electronic distribution platform,</w:t>
      </w:r>
      <w:r w:rsidR="00DE6E05" w:rsidRPr="001C252E">
        <w:rPr>
          <w:bCs/>
          <w:iCs/>
        </w:rPr>
        <w:t xml:space="preserve"> </w:t>
      </w:r>
      <w:r w:rsidR="00525B77" w:rsidRPr="001C252E">
        <w:rPr>
          <w:bCs/>
          <w:iCs/>
        </w:rPr>
        <w:t xml:space="preserve">made a total value of </w:t>
      </w:r>
      <w:r w:rsidRPr="001C252E">
        <w:rPr>
          <w:bCs/>
          <w:iCs/>
        </w:rPr>
        <w:t>supplie</w:t>
      </w:r>
      <w:r w:rsidRPr="001C252E">
        <w:t xml:space="preserve">s </w:t>
      </w:r>
      <w:r w:rsidR="00E97C4E" w:rsidRPr="001C252E">
        <w:rPr>
          <w:bCs/>
          <w:iCs/>
        </w:rPr>
        <w:t>facilitated by the electronic distribution platform</w:t>
      </w:r>
      <w:r w:rsidR="00525B77" w:rsidRPr="001C252E">
        <w:rPr>
          <w:bCs/>
          <w:iCs/>
        </w:rPr>
        <w:t xml:space="preserve"> of at least</w:t>
      </w:r>
      <w:r w:rsidR="00E97C4E" w:rsidRPr="001C252E">
        <w:rPr>
          <w:bCs/>
          <w:iCs/>
        </w:rPr>
        <w:t>:</w:t>
      </w:r>
    </w:p>
    <w:p w14:paraId="1999848F" w14:textId="77777777" w:rsidR="00F24C8B" w:rsidRPr="001C252E" w:rsidRDefault="00DE6E05" w:rsidP="00DE6E05">
      <w:pPr>
        <w:pStyle w:val="paragraph"/>
      </w:pPr>
      <w:r w:rsidRPr="001C252E">
        <w:tab/>
        <w:t>(a)</w:t>
      </w:r>
      <w:r w:rsidRPr="001C252E">
        <w:tab/>
      </w:r>
      <w:r w:rsidR="0076315F" w:rsidRPr="001C252E">
        <w:t>$1,000,000 (including GST)</w:t>
      </w:r>
      <w:r w:rsidR="00E97C4E" w:rsidRPr="001C252E">
        <w:t xml:space="preserve"> in the 12</w:t>
      </w:r>
      <w:r w:rsidR="00525B77" w:rsidRPr="001C252E">
        <w:t xml:space="preserve"> </w:t>
      </w:r>
      <w:r w:rsidR="00E97C4E" w:rsidRPr="001C252E">
        <w:t>months ending on the last day of th</w:t>
      </w:r>
      <w:r w:rsidR="00525B77" w:rsidRPr="001C252E">
        <w:t>e</w:t>
      </w:r>
      <w:r w:rsidR="00E97C4E" w:rsidRPr="001C252E">
        <w:t xml:space="preserve"> reporting period;</w:t>
      </w:r>
      <w:r w:rsidR="0076315F" w:rsidRPr="001C252E">
        <w:t xml:space="preserve"> or</w:t>
      </w:r>
    </w:p>
    <w:p w14:paraId="72B67028" w14:textId="77777777" w:rsidR="00F24C8B" w:rsidRPr="001C252E" w:rsidRDefault="00DE6E05" w:rsidP="00F3191C">
      <w:pPr>
        <w:pStyle w:val="paragraph"/>
      </w:pPr>
      <w:r w:rsidRPr="001C252E">
        <w:tab/>
        <w:t>(b)</w:t>
      </w:r>
      <w:r w:rsidRPr="001C252E">
        <w:tab/>
      </w:r>
      <w:r w:rsidR="00E97C4E" w:rsidRPr="001C252E">
        <w:t>the prorated amount, where</w:t>
      </w:r>
      <w:r w:rsidR="0076315F" w:rsidRPr="001C252E">
        <w:t xml:space="preserve"> the supplier started </w:t>
      </w:r>
      <w:r w:rsidR="00E97C4E" w:rsidRPr="001C252E">
        <w:t xml:space="preserve">to </w:t>
      </w:r>
      <w:r w:rsidR="0076315F" w:rsidRPr="001C252E">
        <w:t>us</w:t>
      </w:r>
      <w:r w:rsidR="00E97C4E" w:rsidRPr="001C252E">
        <w:t>e</w:t>
      </w:r>
      <w:r w:rsidR="0076315F" w:rsidRPr="001C252E">
        <w:t xml:space="preserve"> the platform in the 12 months ending on the last day of </w:t>
      </w:r>
      <w:r w:rsidR="00525B77" w:rsidRPr="001C252E">
        <w:t>the</w:t>
      </w:r>
      <w:r w:rsidR="0076315F" w:rsidRPr="001C252E">
        <w:t xml:space="preserve"> reporting period</w:t>
      </w:r>
      <w:r w:rsidR="00E97C4E" w:rsidRPr="001C252E">
        <w:t>.</w:t>
      </w:r>
    </w:p>
    <w:p w14:paraId="120DB25D" w14:textId="77777777" w:rsidR="00F24C8B" w:rsidRPr="001C252E" w:rsidRDefault="005B136D" w:rsidP="005B136D">
      <w:pPr>
        <w:pStyle w:val="Definition"/>
        <w:rPr>
          <w:bCs/>
          <w:iCs/>
        </w:rPr>
      </w:pPr>
      <w:r w:rsidRPr="001C252E">
        <w:rPr>
          <w:b/>
          <w:i/>
        </w:rPr>
        <w:t>taxi travel</w:t>
      </w:r>
      <w:r w:rsidRPr="001C252E">
        <w:rPr>
          <w:bCs/>
          <w:i/>
        </w:rPr>
        <w:t xml:space="preserve"> </w:t>
      </w:r>
      <w:r w:rsidRPr="001C252E">
        <w:rPr>
          <w:bCs/>
          <w:iCs/>
        </w:rPr>
        <w:t>has the same meaning as in the</w:t>
      </w:r>
      <w:r w:rsidRPr="001C252E">
        <w:rPr>
          <w:bCs/>
          <w:i/>
        </w:rPr>
        <w:t xml:space="preserve"> </w:t>
      </w:r>
      <w:r w:rsidRPr="001C252E">
        <w:rPr>
          <w:bCs/>
          <w:iCs/>
        </w:rPr>
        <w:t>GST Act.</w:t>
      </w:r>
    </w:p>
    <w:p w14:paraId="080941A4" w14:textId="77777777" w:rsidR="00F63C38" w:rsidRPr="00554826" w:rsidRDefault="00F63C38" w:rsidP="00F63C38">
      <w:pPr>
        <w:pStyle w:val="ActHead5"/>
      </w:pPr>
      <w:bookmarkStart w:id="4" w:name="_Toc183683337"/>
      <w:proofErr w:type="gramStart"/>
      <w:r w:rsidRPr="00554826">
        <w:t>5  Schedules</w:t>
      </w:r>
      <w:bookmarkEnd w:id="4"/>
      <w:proofErr w:type="gramEnd"/>
    </w:p>
    <w:p w14:paraId="6627E9F9" w14:textId="77777777" w:rsidR="00F63C38" w:rsidRDefault="00F63C38" w:rsidP="00F63C38">
      <w:pPr>
        <w:pStyle w:val="subsection"/>
      </w:pPr>
      <w:r w:rsidRPr="006065DA">
        <w:tab/>
      </w:r>
      <w:r w:rsidRPr="006065DA">
        <w:tab/>
      </w:r>
      <w:r w:rsidRPr="007A427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B6EDA42" w14:textId="74AFE9DC" w:rsidR="005B136D" w:rsidRPr="001C252E" w:rsidRDefault="00F63C38" w:rsidP="005B136D">
      <w:pPr>
        <w:pStyle w:val="ActHead5"/>
      </w:pPr>
      <w:bookmarkStart w:id="5" w:name="_Toc183683338"/>
      <w:proofErr w:type="gramStart"/>
      <w:r>
        <w:t>6</w:t>
      </w:r>
      <w:r w:rsidR="005B136D" w:rsidRPr="001C252E">
        <w:t xml:space="preserve">  Exemption</w:t>
      </w:r>
      <w:proofErr w:type="gramEnd"/>
      <w:r w:rsidR="005B136D" w:rsidRPr="001C252E">
        <w:t xml:space="preserve"> for certain operators of electronic distribution platforms</w:t>
      </w:r>
      <w:bookmarkEnd w:id="5"/>
    </w:p>
    <w:p w14:paraId="76B7F98E" w14:textId="5356768E" w:rsidR="005B136D" w:rsidRPr="001C252E" w:rsidRDefault="005B136D" w:rsidP="005B136D">
      <w:pPr>
        <w:pStyle w:val="subsection"/>
      </w:pPr>
      <w:r w:rsidRPr="001C252E">
        <w:tab/>
      </w:r>
      <w:r w:rsidRPr="001C252E">
        <w:tab/>
        <w:t>The operator of an electronic distribution platform (the first platform) is not required to prepare and give a report about a reportable transaction if:</w:t>
      </w:r>
    </w:p>
    <w:p w14:paraId="0AEDA5CA" w14:textId="0A9EF119" w:rsidR="005B136D" w:rsidRPr="001C252E" w:rsidRDefault="00FB7A3A" w:rsidP="00F3191C">
      <w:pPr>
        <w:pStyle w:val="paragraph"/>
      </w:pPr>
      <w:r w:rsidRPr="001C252E">
        <w:tab/>
        <w:t>(a)</w:t>
      </w:r>
      <w:r w:rsidRPr="001C252E">
        <w:tab/>
      </w:r>
      <w:r w:rsidR="005B136D" w:rsidRPr="001C252E">
        <w:t>the supply was made through the first platform and at least one other electronic distribution platform</w:t>
      </w:r>
      <w:r w:rsidR="00967133" w:rsidRPr="001C252E">
        <w:t xml:space="preserve"> interposed between the first platform and the </w:t>
      </w:r>
      <w:proofErr w:type="gramStart"/>
      <w:r w:rsidR="00967133" w:rsidRPr="001C252E">
        <w:t>supplier</w:t>
      </w:r>
      <w:r w:rsidR="005B136D" w:rsidRPr="001C252E">
        <w:t>;</w:t>
      </w:r>
      <w:proofErr w:type="gramEnd"/>
    </w:p>
    <w:p w14:paraId="0076E5A0" w14:textId="77777777" w:rsidR="00F24C8B" w:rsidRPr="001C252E" w:rsidRDefault="00FB7A3A" w:rsidP="00F3191C">
      <w:pPr>
        <w:pStyle w:val="paragraph"/>
      </w:pPr>
      <w:r w:rsidRPr="001C252E">
        <w:tab/>
        <w:t>(b)</w:t>
      </w:r>
      <w:r w:rsidRPr="001C252E">
        <w:tab/>
      </w:r>
      <w:r w:rsidR="005B136D" w:rsidRPr="001C252E">
        <w:t xml:space="preserve">the operator of the first platform did not itself provide any consideration for the supply directly to the </w:t>
      </w:r>
      <w:proofErr w:type="gramStart"/>
      <w:r w:rsidR="005B136D" w:rsidRPr="001C252E">
        <w:t>supplier;</w:t>
      </w:r>
      <w:proofErr w:type="gramEnd"/>
    </w:p>
    <w:p w14:paraId="69BD5E09" w14:textId="533D420C" w:rsidR="00F24C8B" w:rsidRPr="001C252E" w:rsidRDefault="00FB7A3A" w:rsidP="00F3191C">
      <w:pPr>
        <w:pStyle w:val="paragraph"/>
      </w:pPr>
      <w:r w:rsidRPr="001C252E">
        <w:tab/>
        <w:t>(c)</w:t>
      </w:r>
      <w:r w:rsidRPr="001C252E">
        <w:tab/>
      </w:r>
      <w:r w:rsidR="005B136D" w:rsidRPr="001C252E">
        <w:t>the operator of another electronic distribution platform provided all or part of the consideration for the supply to the supplier and has a reporting obligation under table item 15 in section 396-55 in Schedule 1 to the Act in relation to the reportable transaction; and</w:t>
      </w:r>
    </w:p>
    <w:p w14:paraId="25610C9C" w14:textId="6C53E677" w:rsidR="00A97815" w:rsidRPr="001C252E" w:rsidRDefault="00FB7A3A" w:rsidP="00F3191C">
      <w:pPr>
        <w:pStyle w:val="paragraph"/>
      </w:pPr>
      <w:r w:rsidRPr="001C252E">
        <w:tab/>
        <w:t>(d)</w:t>
      </w:r>
      <w:r w:rsidRPr="001C252E">
        <w:tab/>
      </w:r>
      <w:r w:rsidR="005B136D" w:rsidRPr="001C252E">
        <w:t xml:space="preserve">the operator of the first platform has notified the </w:t>
      </w:r>
      <w:r w:rsidR="005B136D" w:rsidRPr="00D24986">
        <w:t>Commissioner</w:t>
      </w:r>
      <w:r w:rsidR="005B136D" w:rsidRPr="001C252E">
        <w:t xml:space="preserve"> </w:t>
      </w:r>
      <w:r w:rsidR="00DD403D" w:rsidRPr="001C252E">
        <w:t xml:space="preserve">in writing </w:t>
      </w:r>
      <w:r w:rsidR="005B136D" w:rsidRPr="001C252E">
        <w:t xml:space="preserve">that they would be applying this exemption </w:t>
      </w:r>
      <w:r w:rsidR="00A97815" w:rsidRPr="001C252E">
        <w:t>on or before the later of</w:t>
      </w:r>
      <w:r w:rsidR="00706C46" w:rsidRPr="001C252E">
        <w:t>:</w:t>
      </w:r>
    </w:p>
    <w:p w14:paraId="66498D4B" w14:textId="6184C666" w:rsidR="005B136D" w:rsidRPr="001C252E" w:rsidRDefault="00FB7A3A" w:rsidP="00F3191C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5B136D" w:rsidRPr="001C252E">
        <w:t>the day they would otherwise be required to give a report under paragraph 396-55(b) in Schedule 1 to the Act</w:t>
      </w:r>
      <w:r w:rsidR="00A97815" w:rsidRPr="001C252E">
        <w:t>; or</w:t>
      </w:r>
    </w:p>
    <w:p w14:paraId="1C7B8805" w14:textId="4D9F2DF9" w:rsidR="00A97815" w:rsidRPr="001C252E" w:rsidRDefault="00FB7A3A" w:rsidP="00F3191C">
      <w:pPr>
        <w:pStyle w:val="paragraphsub"/>
      </w:pPr>
      <w:r w:rsidRPr="001C252E">
        <w:tab/>
        <w:t>(ii)</w:t>
      </w:r>
      <w:r w:rsidRPr="001C252E">
        <w:tab/>
      </w:r>
      <w:r w:rsidR="00A97815" w:rsidRPr="001C252E">
        <w:t xml:space="preserve">where the operator asks the </w:t>
      </w:r>
      <w:r w:rsidR="00A97815" w:rsidRPr="00D24986">
        <w:t>Commissioner</w:t>
      </w:r>
      <w:r w:rsidR="00A97815" w:rsidRPr="001C252E">
        <w:t xml:space="preserve"> for an extension of time and the </w:t>
      </w:r>
      <w:r w:rsidR="00A97815" w:rsidRPr="00D24986">
        <w:t>Commissioner</w:t>
      </w:r>
      <w:r w:rsidR="00A97815" w:rsidRPr="001C252E">
        <w:t xml:space="preserve"> agrees, a day notified by the </w:t>
      </w:r>
      <w:r w:rsidR="00A97815" w:rsidRPr="00D24986">
        <w:t>Commissioner</w:t>
      </w:r>
      <w:r w:rsidR="00A97815" w:rsidRPr="001C252E">
        <w:t xml:space="preserve"> in writing</w:t>
      </w:r>
      <w:r w:rsidR="00A73670" w:rsidRPr="001C252E">
        <w:t>.</w:t>
      </w:r>
    </w:p>
    <w:p w14:paraId="2EBE6F68" w14:textId="1D1055AC" w:rsidR="005B136D" w:rsidRPr="001C252E" w:rsidRDefault="00F63C38" w:rsidP="003157D8">
      <w:pPr>
        <w:pStyle w:val="ActHead5"/>
      </w:pPr>
      <w:bookmarkStart w:id="6" w:name="_Toc183683339"/>
      <w:proofErr w:type="gramStart"/>
      <w:r>
        <w:t>7</w:t>
      </w:r>
      <w:r w:rsidR="005B136D" w:rsidRPr="001C252E">
        <w:t xml:space="preserve">  Exemption</w:t>
      </w:r>
      <w:proofErr w:type="gramEnd"/>
      <w:r w:rsidR="005B136D" w:rsidRPr="001C252E">
        <w:t xml:space="preserve"> for transactions</w:t>
      </w:r>
      <w:r w:rsidR="00DE5229" w:rsidRPr="001C252E">
        <w:t xml:space="preserve"> involving certain types of supplier</w:t>
      </w:r>
      <w:r w:rsidR="00F976EF" w:rsidRPr="001C252E">
        <w:t>s</w:t>
      </w:r>
      <w:bookmarkEnd w:id="6"/>
    </w:p>
    <w:p w14:paraId="47C49272" w14:textId="7F968DD7" w:rsidR="005B136D" w:rsidRPr="001C252E" w:rsidRDefault="008367F6" w:rsidP="00F3191C">
      <w:pPr>
        <w:pStyle w:val="subsection"/>
      </w:pPr>
      <w:r w:rsidRPr="001C252E">
        <w:tab/>
        <w:t>(1)</w:t>
      </w:r>
      <w:r w:rsidRPr="001C252E">
        <w:tab/>
      </w:r>
      <w:r w:rsidR="005B136D" w:rsidRPr="001C252E">
        <w:t>The operator of an electronic distribution platform is not required to prepare and give a report about a reportable transaction if</w:t>
      </w:r>
      <w:r w:rsidR="007F26F4" w:rsidRPr="001C252E">
        <w:t xml:space="preserve"> </w:t>
      </w:r>
      <w:r w:rsidR="005B136D" w:rsidRPr="001C252E">
        <w:t>the supplier was:</w:t>
      </w:r>
    </w:p>
    <w:p w14:paraId="0B0CE5AE" w14:textId="42FF163C" w:rsidR="00F35CC4" w:rsidRPr="001C252E" w:rsidRDefault="00401981" w:rsidP="00F3191C">
      <w:pPr>
        <w:pStyle w:val="paragraph"/>
      </w:pPr>
      <w:r w:rsidRPr="001C252E">
        <w:tab/>
        <w:t>(a)</w:t>
      </w:r>
      <w:r w:rsidRPr="001C252E">
        <w:tab/>
      </w:r>
      <w:r w:rsidR="005B136D" w:rsidRPr="001C252E">
        <w:t>a listed entity</w:t>
      </w:r>
      <w:r w:rsidR="00DC017A" w:rsidRPr="001C252E">
        <w:t>,</w:t>
      </w:r>
      <w:r w:rsidR="002673A5" w:rsidRPr="001C252E">
        <w:t xml:space="preserve"> or</w:t>
      </w:r>
      <w:r w:rsidR="005B136D" w:rsidRPr="001C252E">
        <w:t xml:space="preserve"> </w:t>
      </w:r>
      <w:proofErr w:type="gramStart"/>
      <w:r w:rsidR="005B136D" w:rsidRPr="00D24986">
        <w:t>wholly</w:t>
      </w:r>
      <w:r w:rsidR="008367F6" w:rsidRPr="00D24986">
        <w:t>-</w:t>
      </w:r>
      <w:r w:rsidR="005B136D" w:rsidRPr="00D24986">
        <w:t>owned</w:t>
      </w:r>
      <w:proofErr w:type="gramEnd"/>
      <w:r w:rsidR="005B136D" w:rsidRPr="001C252E">
        <w:t xml:space="preserve"> subsidiary of a listed entity;</w:t>
      </w:r>
      <w:r w:rsidR="003D6E98" w:rsidRPr="001C252E">
        <w:t xml:space="preserve"> or</w:t>
      </w:r>
    </w:p>
    <w:p w14:paraId="24C0506F" w14:textId="2B279405" w:rsidR="00F35CC4" w:rsidRPr="001C252E" w:rsidRDefault="00401981" w:rsidP="00F3191C">
      <w:pPr>
        <w:pStyle w:val="paragraph"/>
      </w:pPr>
      <w:r w:rsidRPr="001C252E">
        <w:lastRenderedPageBreak/>
        <w:tab/>
        <w:t>(b)</w:t>
      </w:r>
      <w:r w:rsidRPr="001C252E">
        <w:tab/>
      </w:r>
      <w:r w:rsidR="00F35CC4" w:rsidRPr="001C252E">
        <w:t xml:space="preserve">a </w:t>
      </w:r>
      <w:r w:rsidR="00F35CC4" w:rsidRPr="00D24986">
        <w:t>government</w:t>
      </w:r>
      <w:r w:rsidR="00F35CC4" w:rsidRPr="001C252E">
        <w:t xml:space="preserve"> department, agency,</w:t>
      </w:r>
      <w:r w:rsidR="009D4AF1" w:rsidRPr="001C252E">
        <w:t xml:space="preserve"> or authority</w:t>
      </w:r>
      <w:r w:rsidR="00DC017A" w:rsidRPr="001C252E">
        <w:t xml:space="preserve"> (however described and at any level of </w:t>
      </w:r>
      <w:r w:rsidR="00DC017A" w:rsidRPr="00D24986">
        <w:t>government</w:t>
      </w:r>
      <w:r w:rsidR="00DC017A" w:rsidRPr="001C252E">
        <w:t>)</w:t>
      </w:r>
      <w:r w:rsidR="009D4AF1" w:rsidRPr="001C252E">
        <w:t>,</w:t>
      </w:r>
      <w:r w:rsidR="00F35CC4" w:rsidRPr="001C252E">
        <w:t xml:space="preserve"> or </w:t>
      </w:r>
      <w:r w:rsidR="00947961" w:rsidRPr="001C252E">
        <w:t xml:space="preserve">an </w:t>
      </w:r>
      <w:r w:rsidR="00F35CC4" w:rsidRPr="001C252E">
        <w:t xml:space="preserve">entity </w:t>
      </w:r>
      <w:proofErr w:type="gramStart"/>
      <w:r w:rsidR="00F35CC4" w:rsidRPr="00D24986">
        <w:t>wholly</w:t>
      </w:r>
      <w:r w:rsidR="008D4DA6" w:rsidRPr="00D24986">
        <w:t>-</w:t>
      </w:r>
      <w:r w:rsidR="00F35CC4" w:rsidRPr="00D24986">
        <w:t>owned</w:t>
      </w:r>
      <w:proofErr w:type="gramEnd"/>
      <w:r w:rsidR="00F35CC4" w:rsidRPr="001C252E">
        <w:t xml:space="preserve"> by </w:t>
      </w:r>
      <w:r w:rsidR="00947961" w:rsidRPr="001C252E">
        <w:t>a</w:t>
      </w:r>
      <w:r w:rsidR="00F35CC4" w:rsidRPr="001C252E">
        <w:t xml:space="preserve"> </w:t>
      </w:r>
      <w:r w:rsidR="00F35CC4" w:rsidRPr="00D24986">
        <w:t>government</w:t>
      </w:r>
      <w:r w:rsidR="003D6E98" w:rsidRPr="001C252E">
        <w:t>.</w:t>
      </w:r>
    </w:p>
    <w:p w14:paraId="2512A35C" w14:textId="683377C5" w:rsidR="004E4133" w:rsidRDefault="008367F6" w:rsidP="00F3191C">
      <w:pPr>
        <w:pStyle w:val="subsection"/>
      </w:pPr>
      <w:r w:rsidRPr="001C252E">
        <w:tab/>
        <w:t>(2)</w:t>
      </w:r>
      <w:r w:rsidRPr="001C252E">
        <w:tab/>
      </w:r>
      <w:r w:rsidR="004E4133" w:rsidRPr="001C252E">
        <w:t>The operator of an electronic distribution platform is not required to prepare and give a report about a reportable transaction</w:t>
      </w:r>
      <w:r w:rsidR="00BD1E8E" w:rsidRPr="001C252E">
        <w:t xml:space="preserve"> </w:t>
      </w:r>
      <w:r w:rsidR="004E4133" w:rsidRPr="001C252E">
        <w:t>if</w:t>
      </w:r>
      <w:r w:rsidR="00DC017A" w:rsidRPr="001C252E">
        <w:t xml:space="preserve"> </w:t>
      </w:r>
      <w:r w:rsidR="001907EE" w:rsidRPr="001C252E">
        <w:t xml:space="preserve">the supplier </w:t>
      </w:r>
      <w:r w:rsidR="007C6A9B" w:rsidRPr="001C252E">
        <w:t xml:space="preserve">was </w:t>
      </w:r>
      <w:r w:rsidR="001907EE" w:rsidRPr="001C252E">
        <w:t>a substantial supplier.</w:t>
      </w:r>
    </w:p>
    <w:p w14:paraId="1986A81F" w14:textId="7C0F9749" w:rsidR="00F63C38" w:rsidRPr="001C252E" w:rsidRDefault="00F63C38" w:rsidP="00F3191C">
      <w:pPr>
        <w:pStyle w:val="subsection"/>
      </w:pPr>
      <w:r w:rsidRPr="001C252E">
        <w:tab/>
        <w:t>(</w:t>
      </w:r>
      <w:r>
        <w:t>3</w:t>
      </w:r>
      <w:r w:rsidRPr="001C252E">
        <w:t>)</w:t>
      </w:r>
      <w:r w:rsidRPr="001C252E">
        <w:tab/>
      </w:r>
      <w:r w:rsidR="00515069" w:rsidRPr="0015592D">
        <w:t>T</w:t>
      </w:r>
      <w:r w:rsidR="002C5DD4" w:rsidRPr="0015592D">
        <w:t>he operator of an electronic distribution platform is not required to prepare and give a report about a reportable transaction</w:t>
      </w:r>
      <w:r w:rsidR="00717722" w:rsidRPr="0015592D">
        <w:t xml:space="preserve"> in relation to a supply made through the electronic distribution platform </w:t>
      </w:r>
      <w:r w:rsidR="002C5DD4" w:rsidRPr="0015592D">
        <w:t xml:space="preserve">if the operator is treated as being the supplier under </w:t>
      </w:r>
      <w:r w:rsidR="00D02048" w:rsidRPr="0015592D">
        <w:t>section 84-55</w:t>
      </w:r>
      <w:r w:rsidR="002C5DD4" w:rsidRPr="0015592D">
        <w:t xml:space="preserve"> of the GST Act, </w:t>
      </w:r>
      <w:r w:rsidR="004F6459" w:rsidRPr="0015592D">
        <w:t xml:space="preserve">but </w:t>
      </w:r>
      <w:r w:rsidR="002C5DD4" w:rsidRPr="0015592D">
        <w:t xml:space="preserve">disregarding section 84-60 of </w:t>
      </w:r>
      <w:r w:rsidR="008077E7" w:rsidRPr="0015592D">
        <w:t>the GST</w:t>
      </w:r>
      <w:r w:rsidR="00B01043">
        <w:t> </w:t>
      </w:r>
      <w:r w:rsidR="002C5DD4" w:rsidRPr="0015592D">
        <w:t>Act.</w:t>
      </w:r>
    </w:p>
    <w:p w14:paraId="13215496" w14:textId="79053D87" w:rsidR="00DE5229" w:rsidRPr="001C252E" w:rsidRDefault="00F63C38" w:rsidP="00DE5229">
      <w:pPr>
        <w:pStyle w:val="ActHead5"/>
      </w:pPr>
      <w:bookmarkStart w:id="7" w:name="_Toc183683340"/>
      <w:proofErr w:type="gramStart"/>
      <w:r>
        <w:t>8</w:t>
      </w:r>
      <w:r w:rsidR="00DE5229" w:rsidRPr="001C252E">
        <w:t xml:space="preserve">  Exemption</w:t>
      </w:r>
      <w:proofErr w:type="gramEnd"/>
      <w:r w:rsidR="00DE5229" w:rsidRPr="001C252E">
        <w:t xml:space="preserve"> for transactions involving certain types of supplies</w:t>
      </w:r>
      <w:bookmarkEnd w:id="7"/>
    </w:p>
    <w:p w14:paraId="10F2AC84" w14:textId="53D25A23" w:rsidR="0020399B" w:rsidRPr="001C252E" w:rsidRDefault="0020399B" w:rsidP="00C13370">
      <w:pPr>
        <w:pStyle w:val="subsection"/>
      </w:pPr>
      <w:r w:rsidRPr="001C252E">
        <w:tab/>
      </w:r>
      <w:r w:rsidRPr="001C252E">
        <w:tab/>
        <w:t>The operator of an electronic distribution platform is not required to prepare and give a report about a reportable transaction if</w:t>
      </w:r>
      <w:r w:rsidR="00737D29" w:rsidRPr="001C252E">
        <w:t>:</w:t>
      </w:r>
    </w:p>
    <w:p w14:paraId="06B155DB" w14:textId="77777777" w:rsidR="00F24C8B" w:rsidRPr="001C252E" w:rsidRDefault="00F86965" w:rsidP="004A4F70">
      <w:pPr>
        <w:pStyle w:val="paragraph"/>
      </w:pPr>
      <w:r w:rsidRPr="001C252E">
        <w:tab/>
        <w:t>(a)</w:t>
      </w:r>
      <w:r w:rsidRPr="001C252E">
        <w:tab/>
      </w:r>
      <w:r w:rsidR="005B136D" w:rsidRPr="001C252E">
        <w:t>the transaction involved the</w:t>
      </w:r>
      <w:r w:rsidR="00FB146D" w:rsidRPr="001C252E">
        <w:t xml:space="preserve"> </w:t>
      </w:r>
      <w:r w:rsidR="005B136D" w:rsidRPr="001C252E">
        <w:t xml:space="preserve">provision of consideration relating to a substantial </w:t>
      </w:r>
      <w:proofErr w:type="gramStart"/>
      <w:r w:rsidR="005B136D" w:rsidRPr="001C252E">
        <w:t>property;</w:t>
      </w:r>
      <w:proofErr w:type="gramEnd"/>
    </w:p>
    <w:p w14:paraId="63E5026F" w14:textId="20CD7FEC" w:rsidR="0020399B" w:rsidRPr="001C252E" w:rsidRDefault="00F86965" w:rsidP="004A4F70">
      <w:pPr>
        <w:pStyle w:val="paragraph"/>
      </w:pPr>
      <w:r w:rsidRPr="001C252E">
        <w:tab/>
        <w:t>(b)</w:t>
      </w:r>
      <w:r w:rsidRPr="001C252E">
        <w:tab/>
      </w:r>
      <w:r w:rsidR="005B136D" w:rsidRPr="001C252E">
        <w:t>the following conditions are met:</w:t>
      </w:r>
    </w:p>
    <w:p w14:paraId="564C222E" w14:textId="77777777" w:rsidR="00F24C8B" w:rsidRPr="001C252E" w:rsidRDefault="00F40FF6" w:rsidP="004A4F70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5B136D" w:rsidRPr="001C252E">
        <w:t xml:space="preserve">the supplier has provided the operator with one or more addresses, and none of those addresses are within the indirect tax </w:t>
      </w:r>
      <w:proofErr w:type="gramStart"/>
      <w:r w:rsidR="005B136D" w:rsidRPr="001C252E">
        <w:t>zone;</w:t>
      </w:r>
      <w:proofErr w:type="gramEnd"/>
    </w:p>
    <w:p w14:paraId="2205F7CF" w14:textId="5C377338" w:rsidR="00B67A53" w:rsidRPr="001C252E" w:rsidRDefault="00F40FF6" w:rsidP="004A4F70">
      <w:pPr>
        <w:pStyle w:val="paragraphsub"/>
      </w:pPr>
      <w:r w:rsidRPr="001C252E">
        <w:tab/>
        <w:t>(ii)</w:t>
      </w:r>
      <w:r w:rsidRPr="001C252E">
        <w:tab/>
      </w:r>
      <w:r w:rsidR="00B67A53" w:rsidRPr="001C252E">
        <w:t>the supply</w:t>
      </w:r>
      <w:r w:rsidR="009369A4" w:rsidRPr="001C252E">
        <w:t xml:space="preserve"> was of a service that</w:t>
      </w:r>
      <w:r w:rsidR="00B67A53" w:rsidRPr="001C252E">
        <w:t xml:space="preserve"> </w:t>
      </w:r>
      <w:r w:rsidR="009369A4" w:rsidRPr="001C252E">
        <w:t>was not provided</w:t>
      </w:r>
      <w:r w:rsidR="00B67A53" w:rsidRPr="001C252E">
        <w:t xml:space="preserve"> within the indirect tax </w:t>
      </w:r>
      <w:proofErr w:type="gramStart"/>
      <w:r w:rsidR="00B67A53" w:rsidRPr="001C252E">
        <w:t>zone</w:t>
      </w:r>
      <w:r w:rsidR="001704B3" w:rsidRPr="001C252E">
        <w:t>;</w:t>
      </w:r>
      <w:proofErr w:type="gramEnd"/>
    </w:p>
    <w:p w14:paraId="34DB6577" w14:textId="77777777" w:rsidR="00F24C8B" w:rsidRPr="001C252E" w:rsidRDefault="00F40FF6" w:rsidP="004A4F70">
      <w:pPr>
        <w:pStyle w:val="paragraphsub"/>
      </w:pPr>
      <w:r w:rsidRPr="001C252E">
        <w:tab/>
        <w:t>(iii)</w:t>
      </w:r>
      <w:r w:rsidRPr="001C252E">
        <w:tab/>
      </w:r>
      <w:r w:rsidR="005B136D" w:rsidRPr="001C252E">
        <w:t>the consideration provided to the supplier was not paid to an account held with a financial institution in the indirect tax zone; and</w:t>
      </w:r>
    </w:p>
    <w:p w14:paraId="550006DF" w14:textId="6636F333" w:rsidR="00F24C8B" w:rsidRPr="001C252E" w:rsidRDefault="00F40FF6" w:rsidP="004A4F70">
      <w:pPr>
        <w:pStyle w:val="paragraphsub"/>
      </w:pPr>
      <w:r w:rsidRPr="001C252E">
        <w:tab/>
        <w:t>(iv)</w:t>
      </w:r>
      <w:r w:rsidRPr="001C252E">
        <w:tab/>
      </w:r>
      <w:r w:rsidR="005B136D" w:rsidRPr="001C252E">
        <w:t xml:space="preserve">there is no other information available to the operator that indicates that the supplier </w:t>
      </w:r>
      <w:r w:rsidR="00B614A4">
        <w:t xml:space="preserve">resides in the indirect tax </w:t>
      </w:r>
      <w:proofErr w:type="gramStart"/>
      <w:r w:rsidR="00B614A4">
        <w:t>zone</w:t>
      </w:r>
      <w:r w:rsidR="00084FE4" w:rsidRPr="001C252E">
        <w:t>;</w:t>
      </w:r>
      <w:proofErr w:type="gramEnd"/>
    </w:p>
    <w:p w14:paraId="493FC5C5" w14:textId="5FD04BFD" w:rsidR="00D32968" w:rsidRPr="001C252E" w:rsidRDefault="00F86965" w:rsidP="004A4F70">
      <w:pPr>
        <w:pStyle w:val="paragraph"/>
      </w:pPr>
      <w:r w:rsidRPr="001C252E">
        <w:tab/>
        <w:t>(c)</w:t>
      </w:r>
      <w:r w:rsidRPr="001C252E">
        <w:tab/>
      </w:r>
      <w:r w:rsidR="00CF4271" w:rsidRPr="001C252E">
        <w:t>the</w:t>
      </w:r>
      <w:r w:rsidR="003126E8" w:rsidRPr="001C252E">
        <w:t xml:space="preserve"> transaction </w:t>
      </w:r>
      <w:r w:rsidR="00CF4271" w:rsidRPr="001C252E">
        <w:t>was</w:t>
      </w:r>
      <w:r w:rsidR="00CD19D2" w:rsidRPr="001C252E">
        <w:t xml:space="preserve"> a </w:t>
      </w:r>
      <w:r w:rsidR="00711747" w:rsidRPr="001C252E">
        <w:t xml:space="preserve">mere </w:t>
      </w:r>
      <w:r w:rsidR="00CD19D2" w:rsidRPr="001C252E">
        <w:t>booking or reservation for a supply to be made in the future</w:t>
      </w:r>
      <w:r w:rsidR="00A06D6C" w:rsidRPr="001C252E">
        <w:t>,</w:t>
      </w:r>
      <w:r w:rsidR="00CD19D2" w:rsidRPr="001C252E">
        <w:t xml:space="preserve"> </w:t>
      </w:r>
      <w:r w:rsidR="00647E11" w:rsidRPr="001C252E">
        <w:t>where</w:t>
      </w:r>
      <w:r w:rsidR="00737D29" w:rsidRPr="001C252E">
        <w:t>:</w:t>
      </w:r>
    </w:p>
    <w:p w14:paraId="133F359D" w14:textId="77777777" w:rsidR="00F24C8B" w:rsidRPr="001C252E" w:rsidRDefault="00F40FF6" w:rsidP="00624C3D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49000C" w:rsidRPr="001C252E">
        <w:t xml:space="preserve">the consideration for the supply was not specified at the time </w:t>
      </w:r>
      <w:r w:rsidR="009F00FF" w:rsidRPr="001C252E">
        <w:t xml:space="preserve">the booking or reservation was </w:t>
      </w:r>
      <w:proofErr w:type="gramStart"/>
      <w:r w:rsidR="009F00FF" w:rsidRPr="001C252E">
        <w:t>made;</w:t>
      </w:r>
      <w:proofErr w:type="gramEnd"/>
    </w:p>
    <w:p w14:paraId="45BE59D7" w14:textId="7D146A4E" w:rsidR="00D32968" w:rsidRPr="001C252E" w:rsidRDefault="00F40FF6" w:rsidP="004A4F70">
      <w:pPr>
        <w:pStyle w:val="paragraphsub"/>
      </w:pPr>
      <w:r w:rsidRPr="001C252E">
        <w:tab/>
        <w:t>(ii)</w:t>
      </w:r>
      <w:r w:rsidRPr="001C252E">
        <w:tab/>
      </w:r>
      <w:r w:rsidR="00C86EF5" w:rsidRPr="001C252E">
        <w:t xml:space="preserve">the </w:t>
      </w:r>
      <w:r w:rsidR="00711747" w:rsidRPr="001C252E">
        <w:t xml:space="preserve">consideration for the supply </w:t>
      </w:r>
      <w:r w:rsidR="0070061E" w:rsidRPr="001C252E">
        <w:t>will not be</w:t>
      </w:r>
      <w:r w:rsidR="00C86EF5" w:rsidRPr="001C252E">
        <w:t xml:space="preserve"> provided via the platform</w:t>
      </w:r>
      <w:r w:rsidR="00D9746A" w:rsidRPr="001C252E">
        <w:t>;</w:t>
      </w:r>
      <w:r w:rsidR="00967133" w:rsidRPr="001C252E">
        <w:t xml:space="preserve"> and</w:t>
      </w:r>
    </w:p>
    <w:p w14:paraId="2B0012BF" w14:textId="77777777" w:rsidR="00F24C8B" w:rsidRPr="001C252E" w:rsidRDefault="00F40FF6" w:rsidP="004A4F70">
      <w:pPr>
        <w:pStyle w:val="paragraphsub"/>
      </w:pPr>
      <w:r w:rsidRPr="001C252E">
        <w:tab/>
        <w:t>(iii)</w:t>
      </w:r>
      <w:r w:rsidRPr="001C252E">
        <w:tab/>
      </w:r>
      <w:r w:rsidR="00D9746A" w:rsidRPr="001C252E">
        <w:t xml:space="preserve">the operator of the platform </w:t>
      </w:r>
      <w:r w:rsidR="0070061E" w:rsidRPr="001C252E">
        <w:t xml:space="preserve">will </w:t>
      </w:r>
      <w:r w:rsidR="00D9746A" w:rsidRPr="001C252E">
        <w:t xml:space="preserve">not </w:t>
      </w:r>
      <w:r w:rsidR="00711747" w:rsidRPr="001C252E">
        <w:t>have visibility of whether the supply is made in practice</w:t>
      </w:r>
      <w:r w:rsidR="00C86EF5" w:rsidRPr="001C252E">
        <w:t>,</w:t>
      </w:r>
      <w:r w:rsidR="00711747" w:rsidRPr="001C252E">
        <w:t xml:space="preserve"> or whether consideration is provided</w:t>
      </w:r>
      <w:r w:rsidR="00D9512C" w:rsidRPr="001C252E">
        <w:t xml:space="preserve"> for the </w:t>
      </w:r>
      <w:proofErr w:type="gramStart"/>
      <w:r w:rsidR="00D9512C" w:rsidRPr="001C252E">
        <w:t>supply</w:t>
      </w:r>
      <w:r w:rsidR="00700BDC" w:rsidRPr="001C252E">
        <w:t>;</w:t>
      </w:r>
      <w:proofErr w:type="gramEnd"/>
    </w:p>
    <w:p w14:paraId="58572A94" w14:textId="7AF88480" w:rsidR="00B31863" w:rsidRPr="001C252E" w:rsidRDefault="00F86965" w:rsidP="00BC11D7">
      <w:pPr>
        <w:pStyle w:val="paragraph"/>
      </w:pPr>
      <w:r w:rsidRPr="001C252E">
        <w:tab/>
        <w:t>(d)</w:t>
      </w:r>
      <w:r w:rsidRPr="001C252E">
        <w:tab/>
      </w:r>
      <w:r w:rsidR="00B036D5" w:rsidRPr="001C252E">
        <w:t>the</w:t>
      </w:r>
      <w:r w:rsidR="00A97815" w:rsidRPr="001C252E">
        <w:t xml:space="preserve"> transaction </w:t>
      </w:r>
      <w:r w:rsidR="005079AC" w:rsidRPr="001C252E">
        <w:t>involv</w:t>
      </w:r>
      <w:r w:rsidR="00B036D5" w:rsidRPr="001C252E">
        <w:t>ed</w:t>
      </w:r>
      <w:r w:rsidR="005079AC" w:rsidRPr="001C252E">
        <w:t xml:space="preserve"> the supply of</w:t>
      </w:r>
      <w:r w:rsidR="00C27963" w:rsidRPr="001C252E">
        <w:t xml:space="preserve"> a</w:t>
      </w:r>
      <w:r w:rsidR="005079AC" w:rsidRPr="001C252E">
        <w:t xml:space="preserve"> </w:t>
      </w:r>
      <w:r w:rsidR="00967133" w:rsidRPr="001C252E">
        <w:t xml:space="preserve">scheduled </w:t>
      </w:r>
      <w:r w:rsidR="00BC5CFF" w:rsidRPr="001C252E">
        <w:t>passenger trave</w:t>
      </w:r>
      <w:r w:rsidR="005079AC" w:rsidRPr="001C252E">
        <w:t>l</w:t>
      </w:r>
      <w:r w:rsidR="00F35CC4" w:rsidRPr="001C252E">
        <w:t xml:space="preserve"> service</w:t>
      </w:r>
      <w:r w:rsidR="00311144" w:rsidRPr="001C252E">
        <w:t xml:space="preserve"> other than a charter service or taxi travel,</w:t>
      </w:r>
      <w:r w:rsidR="002D06F8" w:rsidRPr="001C252E">
        <w:t xml:space="preserve"> where the supplier had made at least 10 places for that service available for booking on the </w:t>
      </w:r>
      <w:proofErr w:type="gramStart"/>
      <w:r w:rsidR="002D06F8" w:rsidRPr="001C252E">
        <w:t>platform</w:t>
      </w:r>
      <w:r w:rsidR="00311144" w:rsidRPr="001C252E">
        <w:t>;</w:t>
      </w:r>
      <w:proofErr w:type="gramEnd"/>
    </w:p>
    <w:p w14:paraId="5A4A553B" w14:textId="77777777" w:rsidR="00F24C8B" w:rsidRPr="001C252E" w:rsidRDefault="00B31863" w:rsidP="00CD455A">
      <w:pPr>
        <w:pStyle w:val="paragraph"/>
      </w:pPr>
      <w:r w:rsidRPr="001C252E">
        <w:tab/>
        <w:t>(e)</w:t>
      </w:r>
      <w:r w:rsidRPr="001C252E">
        <w:tab/>
        <w:t>the transaction involved the supply of a</w:t>
      </w:r>
      <w:r w:rsidR="00793A4F" w:rsidRPr="001C252E">
        <w:t xml:space="preserve"> right to attend</w:t>
      </w:r>
      <w:r w:rsidR="00CE30A0" w:rsidRPr="001C252E">
        <w:t xml:space="preserve"> or participate in</w:t>
      </w:r>
      <w:r w:rsidR="00793A4F" w:rsidRPr="001C252E">
        <w:t xml:space="preserve"> a</w:t>
      </w:r>
      <w:r w:rsidRPr="001C252E">
        <w:t xml:space="preserve"> scheduled event,</w:t>
      </w:r>
      <w:r w:rsidR="006C0E82" w:rsidRPr="001C252E">
        <w:t xml:space="preserve"> </w:t>
      </w:r>
      <w:r w:rsidRPr="001C252E">
        <w:t xml:space="preserve">where the supplier had </w:t>
      </w:r>
      <w:r w:rsidR="006C0E82" w:rsidRPr="001C252E">
        <w:t xml:space="preserve">made at least 200 </w:t>
      </w:r>
      <w:r w:rsidRPr="001C252E">
        <w:t xml:space="preserve">places </w:t>
      </w:r>
      <w:r w:rsidR="00E83366" w:rsidRPr="001C252E">
        <w:t>for th</w:t>
      </w:r>
      <w:r w:rsidR="00F0795A" w:rsidRPr="001C252E">
        <w:t>at</w:t>
      </w:r>
      <w:r w:rsidR="00E83366" w:rsidRPr="001C252E">
        <w:t xml:space="preserve"> event </w:t>
      </w:r>
      <w:r w:rsidRPr="001C252E">
        <w:t xml:space="preserve">available for booking on the </w:t>
      </w:r>
      <w:proofErr w:type="gramStart"/>
      <w:r w:rsidRPr="001C252E">
        <w:t>platform;</w:t>
      </w:r>
      <w:proofErr w:type="gramEnd"/>
    </w:p>
    <w:p w14:paraId="5CAC7E75" w14:textId="77777777" w:rsidR="00F24C8B" w:rsidRPr="001C252E" w:rsidRDefault="00B31863" w:rsidP="00B31863">
      <w:pPr>
        <w:pStyle w:val="paragraph"/>
      </w:pPr>
      <w:r w:rsidRPr="001C252E">
        <w:tab/>
        <w:t>(f)</w:t>
      </w:r>
      <w:r w:rsidRPr="001C252E">
        <w:tab/>
        <w:t>the transaction involved the supply of</w:t>
      </w:r>
      <w:r w:rsidR="00793A4F" w:rsidRPr="001C252E">
        <w:t xml:space="preserve"> </w:t>
      </w:r>
      <w:r w:rsidR="00A533DA" w:rsidRPr="001C252E">
        <w:t xml:space="preserve">a </w:t>
      </w:r>
      <w:r w:rsidR="00793A4F" w:rsidRPr="001C252E">
        <w:t xml:space="preserve">right to </w:t>
      </w:r>
      <w:r w:rsidR="00CE30A0" w:rsidRPr="001C252E">
        <w:t xml:space="preserve">attend or participate </w:t>
      </w:r>
      <w:r w:rsidR="00793A4F" w:rsidRPr="001C252E">
        <w:t xml:space="preserve">in </w:t>
      </w:r>
      <w:r w:rsidRPr="001C252E">
        <w:t>a permanent attraction or experience</w:t>
      </w:r>
      <w:r w:rsidR="006C0E82" w:rsidRPr="001C252E">
        <w:t xml:space="preserve">, </w:t>
      </w:r>
      <w:r w:rsidRPr="001C252E">
        <w:t xml:space="preserve">where the supplier had made </w:t>
      </w:r>
      <w:r w:rsidR="006C0E82" w:rsidRPr="001C252E">
        <w:t>at least 50</w:t>
      </w:r>
      <w:r w:rsidR="00FE05BF" w:rsidRPr="001C252E">
        <w:t xml:space="preserve"> </w:t>
      </w:r>
      <w:r w:rsidRPr="001C252E">
        <w:t xml:space="preserve">places </w:t>
      </w:r>
      <w:r w:rsidR="00E83366" w:rsidRPr="001C252E">
        <w:t>for th</w:t>
      </w:r>
      <w:r w:rsidR="00F0795A" w:rsidRPr="001C252E">
        <w:t>at</w:t>
      </w:r>
      <w:r w:rsidR="00E83366" w:rsidRPr="001C252E">
        <w:t xml:space="preserve"> attraction or experience </w:t>
      </w:r>
      <w:r w:rsidRPr="001C252E">
        <w:t>available for booking on the platform each day</w:t>
      </w:r>
      <w:r w:rsidR="00E705C5" w:rsidRPr="001C252E">
        <w:t xml:space="preserve"> it was open during the reporting </w:t>
      </w:r>
      <w:proofErr w:type="gramStart"/>
      <w:r w:rsidR="00E705C5" w:rsidRPr="001C252E">
        <w:t>period</w:t>
      </w:r>
      <w:r w:rsidRPr="001C252E">
        <w:t>;</w:t>
      </w:r>
      <w:proofErr w:type="gramEnd"/>
      <w:r w:rsidRPr="001C252E">
        <w:t xml:space="preserve"> or</w:t>
      </w:r>
    </w:p>
    <w:p w14:paraId="1B1550BD" w14:textId="77777777" w:rsidR="00F24C8B" w:rsidRPr="001C252E" w:rsidRDefault="00F86965" w:rsidP="004A4F70">
      <w:pPr>
        <w:pStyle w:val="paragraph"/>
      </w:pPr>
      <w:r w:rsidRPr="001C252E">
        <w:lastRenderedPageBreak/>
        <w:tab/>
        <w:t>(</w:t>
      </w:r>
      <w:r w:rsidR="00B31863" w:rsidRPr="001C252E">
        <w:t>g</w:t>
      </w:r>
      <w:r w:rsidRPr="001C252E">
        <w:t>)</w:t>
      </w:r>
      <w:r w:rsidRPr="001C252E">
        <w:tab/>
      </w:r>
      <w:r w:rsidR="00B036D5" w:rsidRPr="001C252E">
        <w:t>the</w:t>
      </w:r>
      <w:r w:rsidR="00737D29" w:rsidRPr="001C252E">
        <w:t xml:space="preserve"> transaction involv</w:t>
      </w:r>
      <w:r w:rsidR="00B036D5" w:rsidRPr="001C252E">
        <w:t>ed</w:t>
      </w:r>
      <w:r w:rsidR="00737D29" w:rsidRPr="001C252E">
        <w:t xml:space="preserve"> the supply of </w:t>
      </w:r>
      <w:r w:rsidR="00084149" w:rsidRPr="001C252E">
        <w:t xml:space="preserve">an </w:t>
      </w:r>
      <w:r w:rsidR="00737D29" w:rsidRPr="001C252E">
        <w:t>asset by way of rent or lease</w:t>
      </w:r>
      <w:r w:rsidR="00BB50BD" w:rsidRPr="001C252E">
        <w:t>, other than real property</w:t>
      </w:r>
      <w:r w:rsidR="00737D29" w:rsidRPr="001C252E">
        <w:t>,</w:t>
      </w:r>
      <w:r w:rsidR="002F3270" w:rsidRPr="001C252E">
        <w:t xml:space="preserve"> where:</w:t>
      </w:r>
    </w:p>
    <w:p w14:paraId="5A8E4661" w14:textId="607C494F" w:rsidR="00737D29" w:rsidRPr="001C252E" w:rsidRDefault="00F40FF6" w:rsidP="004A4F70">
      <w:pPr>
        <w:pStyle w:val="paragraphsub"/>
      </w:pPr>
      <w:r w:rsidRPr="001C252E">
        <w:tab/>
        <w:t>(</w:t>
      </w:r>
      <w:proofErr w:type="spellStart"/>
      <w:r w:rsidRPr="001C252E">
        <w:t>i</w:t>
      </w:r>
      <w:proofErr w:type="spellEnd"/>
      <w:r w:rsidRPr="001C252E">
        <w:t>)</w:t>
      </w:r>
      <w:r w:rsidRPr="001C252E">
        <w:tab/>
      </w:r>
      <w:r w:rsidR="00737D29" w:rsidRPr="001C252E">
        <w:t xml:space="preserve">the transaction </w:t>
      </w:r>
      <w:r w:rsidR="005D32E7" w:rsidRPr="001C252E">
        <w:t>was</w:t>
      </w:r>
      <w:r w:rsidR="00737D29" w:rsidRPr="001C252E">
        <w:t xml:space="preserve"> not for the supply of a specifi</w:t>
      </w:r>
      <w:r w:rsidR="00E3255C" w:rsidRPr="001C252E">
        <w:t>c</w:t>
      </w:r>
      <w:r w:rsidR="00737D29" w:rsidRPr="001C252E">
        <w:t xml:space="preserve"> </w:t>
      </w:r>
      <w:r w:rsidR="00AB4910" w:rsidRPr="001C252E">
        <w:t>asset</w:t>
      </w:r>
      <w:r w:rsidR="002F3270" w:rsidRPr="001C252E">
        <w:t>;</w:t>
      </w:r>
      <w:r w:rsidR="008F24F4" w:rsidRPr="001C252E">
        <w:t xml:space="preserve"> </w:t>
      </w:r>
      <w:r w:rsidR="00D016CD" w:rsidRPr="001C252E">
        <w:t>and</w:t>
      </w:r>
    </w:p>
    <w:p w14:paraId="4BC7F0FC" w14:textId="111B6E22" w:rsidR="00564947" w:rsidRPr="001C252E" w:rsidRDefault="00F40FF6" w:rsidP="008F1DAD">
      <w:pPr>
        <w:pStyle w:val="paragraphsub"/>
      </w:pPr>
      <w:r w:rsidRPr="001C252E">
        <w:tab/>
        <w:t>(ii)</w:t>
      </w:r>
      <w:r w:rsidRPr="001C252E">
        <w:tab/>
      </w:r>
      <w:r w:rsidR="00E23B38" w:rsidRPr="001C252E">
        <w:t>t</w:t>
      </w:r>
      <w:r w:rsidR="00737D29" w:rsidRPr="001C252E">
        <w:t>he supplier ha</w:t>
      </w:r>
      <w:r w:rsidR="005D32E7" w:rsidRPr="001C252E">
        <w:t>d</w:t>
      </w:r>
      <w:r w:rsidR="00737D29" w:rsidRPr="001C252E">
        <w:t xml:space="preserve"> </w:t>
      </w:r>
      <w:r w:rsidR="00E705C5" w:rsidRPr="001C252E">
        <w:t xml:space="preserve">at least </w:t>
      </w:r>
      <w:r w:rsidR="00BB50BD" w:rsidRPr="001C252E">
        <w:t xml:space="preserve">50 </w:t>
      </w:r>
      <w:r w:rsidR="00B26161" w:rsidRPr="001C252E">
        <w:t xml:space="preserve">assets </w:t>
      </w:r>
      <w:r w:rsidR="00EC2DEE" w:rsidRPr="001C252E">
        <w:t xml:space="preserve">available for booking on the platform each day </w:t>
      </w:r>
      <w:r w:rsidR="00FF06C3" w:rsidRPr="001C252E">
        <w:t>during the reporting period</w:t>
      </w:r>
      <w:r w:rsidR="00F017F2" w:rsidRPr="001C252E">
        <w:t>.</w:t>
      </w:r>
    </w:p>
    <w:p w14:paraId="6BFA8DD1" w14:textId="77777777" w:rsidR="00F017F2" w:rsidRPr="001C252E" w:rsidRDefault="008D2754" w:rsidP="00F017F2">
      <w:pPr>
        <w:spacing w:line="240" w:lineRule="auto"/>
        <w:rPr>
          <w:rFonts w:eastAsia="Times New Roman" w:cs="Times New Roman"/>
          <w:lang w:eastAsia="en-AU"/>
        </w:rPr>
      </w:pPr>
      <w:r w:rsidRPr="001C252E">
        <w:br w:type="page"/>
      </w:r>
    </w:p>
    <w:p w14:paraId="21F46FD1" w14:textId="77777777" w:rsidR="00971566" w:rsidRPr="001C252E" w:rsidRDefault="008D2754" w:rsidP="00971566">
      <w:pPr>
        <w:pStyle w:val="ActHead6"/>
      </w:pPr>
      <w:bookmarkStart w:id="8" w:name="_Toc183683341"/>
      <w:r w:rsidRPr="001C252E">
        <w:lastRenderedPageBreak/>
        <w:t>Schedule 1—Repeals</w:t>
      </w:r>
      <w:bookmarkEnd w:id="8"/>
    </w:p>
    <w:p w14:paraId="0BD06158" w14:textId="4374EE2C" w:rsidR="00971566" w:rsidRPr="001C252E" w:rsidRDefault="008D2754" w:rsidP="00EA5AB2">
      <w:pPr>
        <w:pStyle w:val="ActHead9"/>
      </w:pPr>
      <w:bookmarkStart w:id="9" w:name="_Toc183683342"/>
      <w:r w:rsidRPr="0090555D">
        <w:t>Taxation Administration (Reporting Exemptions for Electronic Distribution Platform Operators) Determination 202</w:t>
      </w:r>
      <w:r w:rsidR="00F63C38">
        <w:t>4</w:t>
      </w:r>
      <w:bookmarkEnd w:id="9"/>
    </w:p>
    <w:p w14:paraId="7288734D" w14:textId="75FCDFA7" w:rsidR="00971566" w:rsidRPr="001C252E" w:rsidRDefault="008D2754" w:rsidP="00971566">
      <w:pPr>
        <w:pStyle w:val="ItemHead"/>
      </w:pPr>
      <w:proofErr w:type="gramStart"/>
      <w:r w:rsidRPr="001C252E">
        <w:t>1  The</w:t>
      </w:r>
      <w:proofErr w:type="gramEnd"/>
      <w:r w:rsidRPr="001C252E">
        <w:t xml:space="preserve"> whole of the instrument</w:t>
      </w:r>
    </w:p>
    <w:p w14:paraId="782DC7EA" w14:textId="77777777" w:rsidR="00971566" w:rsidRDefault="008D2754" w:rsidP="00EA5AB2">
      <w:pPr>
        <w:pStyle w:val="Item"/>
      </w:pPr>
      <w:r w:rsidRPr="001C252E">
        <w:t>Repeal the instrument</w:t>
      </w:r>
    </w:p>
    <w:sectPr w:rsidR="00971566" w:rsidSect="00E05FF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C593" w14:textId="77777777" w:rsidR="00F25AAB" w:rsidRDefault="00F25AAB" w:rsidP="005B136D">
      <w:pPr>
        <w:spacing w:line="240" w:lineRule="auto"/>
      </w:pPr>
      <w:r>
        <w:separator/>
      </w:r>
    </w:p>
  </w:endnote>
  <w:endnote w:type="continuationSeparator" w:id="0">
    <w:p w14:paraId="1FC9037F" w14:textId="77777777" w:rsidR="00F25AAB" w:rsidRDefault="00F25AAB" w:rsidP="005B136D">
      <w:pPr>
        <w:spacing w:line="240" w:lineRule="auto"/>
      </w:pPr>
      <w:r>
        <w:continuationSeparator/>
      </w:r>
    </w:p>
  </w:endnote>
  <w:endnote w:type="continuationNotice" w:id="1">
    <w:p w14:paraId="49AD66B3" w14:textId="77777777" w:rsidR="00F25AAB" w:rsidRDefault="00F25A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2DA1" w14:textId="77777777" w:rsidR="00D02048" w:rsidRPr="00E33C1C" w:rsidRDefault="00D0204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03F09" w14:paraId="0442AB4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2358E0" w14:textId="77777777" w:rsidR="00D02048" w:rsidRDefault="00114AE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15459E" w14:textId="0314E401" w:rsidR="00D02048" w:rsidRPr="004E1307" w:rsidRDefault="00114AEA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1A7F">
            <w:rPr>
              <w:i/>
              <w:noProof/>
              <w:sz w:val="18"/>
            </w:rPr>
            <w:t>Taxation Administration (Reporting Exemptions for Electronic Distribution Platform Operators)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1C99BD" w14:textId="77777777" w:rsidR="00D02048" w:rsidRDefault="00D0204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65E920D8" w14:textId="77777777" w:rsidTr="00B04B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B06396" w14:textId="77777777" w:rsidR="00D02048" w:rsidRDefault="00D02048" w:rsidP="007A1C5C">
          <w:pPr>
            <w:jc w:val="right"/>
            <w:rPr>
              <w:sz w:val="18"/>
            </w:rPr>
          </w:pPr>
        </w:p>
      </w:tc>
    </w:tr>
  </w:tbl>
  <w:p w14:paraId="3B9DF6E1" w14:textId="77777777" w:rsidR="00D02048" w:rsidRPr="00ED79B6" w:rsidRDefault="00D02048" w:rsidP="007A1C5C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794A" w14:textId="77777777" w:rsidR="00D02048" w:rsidRPr="00E33C1C" w:rsidRDefault="00D0204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30"/>
      <w:gridCol w:w="6142"/>
      <w:gridCol w:w="688"/>
      <w:gridCol w:w="153"/>
    </w:tblGrid>
    <w:tr w:rsidR="00B03F09" w14:paraId="3C1A9721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FCFFE0" w14:textId="77777777" w:rsidR="00D02048" w:rsidRDefault="00D0204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F0EEBE" w14:textId="47C3A591" w:rsidR="00D02048" w:rsidRDefault="00114AEA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1A7F">
            <w:rPr>
              <w:i/>
              <w:noProof/>
              <w:sz w:val="18"/>
            </w:rPr>
            <w:t>Taxation Administration (Reporting Exemptions for Electronic Distribution Platform Operators)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103DBF7" w14:textId="77777777" w:rsidR="00D02048" w:rsidRDefault="00114AE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0FE76747" w14:textId="77777777" w:rsidTr="00B04B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159" w:type="dxa"/>
      </w:trPr>
      <w:tc>
        <w:tcPr>
          <w:tcW w:w="8472" w:type="dxa"/>
          <w:gridSpan w:val="3"/>
        </w:tcPr>
        <w:p w14:paraId="6324A554" w14:textId="77777777" w:rsidR="00D02048" w:rsidRDefault="00D02048" w:rsidP="00A369E3">
          <w:pPr>
            <w:rPr>
              <w:sz w:val="18"/>
            </w:rPr>
          </w:pPr>
        </w:p>
      </w:tc>
    </w:tr>
  </w:tbl>
  <w:p w14:paraId="3B71C784" w14:textId="77777777" w:rsidR="00D02048" w:rsidRPr="007A1C5C" w:rsidRDefault="00D02048" w:rsidP="007A1C5C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FA65" w14:textId="77777777" w:rsidR="00D02048" w:rsidRPr="00E05FF0" w:rsidRDefault="00D02048" w:rsidP="00E05FF0">
    <w:pPr>
      <w:spacing w:line="0" w:lineRule="atLeast"/>
      <w:rPr>
        <w:sz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03F09" w14:paraId="55D96F93" w14:textId="77777777" w:rsidTr="00E05FF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E8DD25" w14:textId="77777777" w:rsidR="00D02048" w:rsidRDefault="00D02048" w:rsidP="00E05FF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789003" w14:textId="77777777" w:rsidR="00D02048" w:rsidRDefault="00D0204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398613" w14:textId="77777777" w:rsidR="00D02048" w:rsidRDefault="00D0204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19A5118" w14:textId="77777777" w:rsidR="00D02048" w:rsidRPr="00E05FF0" w:rsidRDefault="00D02048" w:rsidP="00E05FF0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CB69" w14:textId="77777777" w:rsidR="00B61A25" w:rsidRPr="002B0EA5" w:rsidRDefault="00B61A25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61A25" w14:paraId="074BF0F8" w14:textId="77777777" w:rsidTr="00B03F09">
      <w:tc>
        <w:tcPr>
          <w:tcW w:w="365" w:type="pct"/>
        </w:tcPr>
        <w:p w14:paraId="047A3033" w14:textId="77777777" w:rsidR="00B61A25" w:rsidRDefault="00B61A25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97B8B7" w14:textId="7FDECA8C" w:rsidR="00B61A25" w:rsidRDefault="00B61A25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A1A7F">
            <w:rPr>
              <w:i/>
              <w:noProof/>
              <w:sz w:val="18"/>
            </w:rPr>
            <w:t>Taxation Administration (Reporting Exemptions for Electronic Distribution Platform Operators)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D963A6A" w14:textId="77777777" w:rsidR="00B61A25" w:rsidRDefault="00B61A25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61A25" w14:paraId="3C2E3F1C" w14:textId="77777777" w:rsidTr="00B03F09">
      <w:tc>
        <w:tcPr>
          <w:tcW w:w="5000" w:type="pct"/>
          <w:gridSpan w:val="3"/>
        </w:tcPr>
        <w:p w14:paraId="07680256" w14:textId="77777777" w:rsidR="00B61A25" w:rsidRDefault="00B61A25" w:rsidP="00B03F09">
          <w:pPr>
            <w:jc w:val="right"/>
            <w:rPr>
              <w:sz w:val="18"/>
            </w:rPr>
          </w:pPr>
        </w:p>
      </w:tc>
    </w:tr>
  </w:tbl>
  <w:p w14:paraId="5537F2E8" w14:textId="77777777" w:rsidR="00B61A25" w:rsidRPr="00ED79B6" w:rsidRDefault="00B61A25" w:rsidP="00B03F0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EF8B" w14:textId="77777777" w:rsidR="00B61A25" w:rsidRPr="002B0EA5" w:rsidRDefault="00B61A25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61A25" w14:paraId="0141EE94" w14:textId="77777777" w:rsidTr="00B03F09">
      <w:tc>
        <w:tcPr>
          <w:tcW w:w="947" w:type="pct"/>
        </w:tcPr>
        <w:p w14:paraId="01F88935" w14:textId="77777777" w:rsidR="00B61A25" w:rsidRDefault="00B61A25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6B46456" w14:textId="31C11EE0" w:rsidR="00B61A25" w:rsidRDefault="00B61A25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538F">
            <w:rPr>
              <w:i/>
              <w:noProof/>
              <w:sz w:val="18"/>
            </w:rPr>
            <w:t>Taxation Administration (Reporting Exemptions for Electronic Distribution Platform Operators)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17A05EB" w14:textId="77777777" w:rsidR="00B61A25" w:rsidRDefault="00B61A25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1A25" w14:paraId="5E3D473B" w14:textId="77777777" w:rsidTr="00B03F09">
      <w:tc>
        <w:tcPr>
          <w:tcW w:w="5000" w:type="pct"/>
          <w:gridSpan w:val="3"/>
        </w:tcPr>
        <w:p w14:paraId="596A4DF3" w14:textId="77777777" w:rsidR="00B61A25" w:rsidRDefault="00B61A25" w:rsidP="00B03F09">
          <w:pPr>
            <w:rPr>
              <w:sz w:val="18"/>
            </w:rPr>
          </w:pPr>
        </w:p>
      </w:tc>
    </w:tr>
  </w:tbl>
  <w:p w14:paraId="6FE29393" w14:textId="77777777" w:rsidR="00B61A25" w:rsidRPr="00ED79B6" w:rsidRDefault="00B61A25" w:rsidP="00B03F0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D737" w14:textId="77777777" w:rsidR="00D02048" w:rsidRPr="002B0EA5" w:rsidRDefault="00D02048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F09" w14:paraId="0D99AB86" w14:textId="77777777" w:rsidTr="00E05FF0">
      <w:tc>
        <w:tcPr>
          <w:tcW w:w="365" w:type="pct"/>
        </w:tcPr>
        <w:p w14:paraId="09D63BAA" w14:textId="77777777" w:rsidR="00D02048" w:rsidRDefault="00114AEA" w:rsidP="00B03F0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BBA4C6" w14:textId="6C23E564" w:rsidR="00D02048" w:rsidRDefault="00114AEA" w:rsidP="00B03F0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4538F">
            <w:rPr>
              <w:i/>
              <w:noProof/>
              <w:sz w:val="18"/>
            </w:rPr>
            <w:t>Taxation Administration (Reporting Exemptions for Electronic Distribution Platform Operators)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BAD2CBB" w14:textId="77777777" w:rsidR="00D02048" w:rsidRDefault="00D02048" w:rsidP="00B03F09">
          <w:pPr>
            <w:spacing w:line="0" w:lineRule="atLeast"/>
            <w:jc w:val="right"/>
            <w:rPr>
              <w:sz w:val="18"/>
            </w:rPr>
          </w:pPr>
        </w:p>
      </w:tc>
    </w:tr>
    <w:tr w:rsidR="00B03F09" w14:paraId="087AE7C0" w14:textId="77777777" w:rsidTr="00E05FF0">
      <w:tc>
        <w:tcPr>
          <w:tcW w:w="5000" w:type="pct"/>
          <w:gridSpan w:val="3"/>
        </w:tcPr>
        <w:p w14:paraId="5B55DFE3" w14:textId="77777777" w:rsidR="00D02048" w:rsidRDefault="00D02048" w:rsidP="00B03F09">
          <w:pPr>
            <w:jc w:val="right"/>
            <w:rPr>
              <w:sz w:val="18"/>
            </w:rPr>
          </w:pPr>
        </w:p>
      </w:tc>
    </w:tr>
  </w:tbl>
  <w:p w14:paraId="6E1973E2" w14:textId="77777777" w:rsidR="00D02048" w:rsidRPr="00ED79B6" w:rsidRDefault="00D02048" w:rsidP="00B03F0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83A2" w14:textId="77777777" w:rsidR="00D02048" w:rsidRPr="002B0EA5" w:rsidRDefault="00D02048" w:rsidP="00B03F0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F09" w14:paraId="36FD7D58" w14:textId="77777777" w:rsidTr="00E05FF0">
      <w:tc>
        <w:tcPr>
          <w:tcW w:w="947" w:type="pct"/>
        </w:tcPr>
        <w:p w14:paraId="5817DAFB" w14:textId="77777777" w:rsidR="00D02048" w:rsidRDefault="00D02048" w:rsidP="00B03F0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638B636" w14:textId="3594ED8F" w:rsidR="00D02048" w:rsidRDefault="003157D8" w:rsidP="00B03F0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Taxation Administration (Reporting Exemptions for Electronic Distribution Platform Operators) Determination 202</w:t>
          </w:r>
          <w:r w:rsidR="00456856">
            <w:rPr>
              <w:i/>
              <w:sz w:val="18"/>
            </w:rPr>
            <w:t>5</w:t>
          </w:r>
        </w:p>
      </w:tc>
      <w:tc>
        <w:tcPr>
          <w:tcW w:w="365" w:type="pct"/>
        </w:tcPr>
        <w:p w14:paraId="68B30617" w14:textId="77777777" w:rsidR="00D02048" w:rsidRDefault="00114AEA" w:rsidP="00B03F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3F09" w14:paraId="62EBC78A" w14:textId="77777777" w:rsidTr="00E05FF0">
      <w:tc>
        <w:tcPr>
          <w:tcW w:w="5000" w:type="pct"/>
          <w:gridSpan w:val="3"/>
        </w:tcPr>
        <w:p w14:paraId="35BE5C68" w14:textId="77777777" w:rsidR="00D02048" w:rsidRDefault="00D02048" w:rsidP="00B03F09">
          <w:pPr>
            <w:rPr>
              <w:sz w:val="18"/>
            </w:rPr>
          </w:pPr>
        </w:p>
      </w:tc>
    </w:tr>
  </w:tbl>
  <w:p w14:paraId="0A52D719" w14:textId="77777777" w:rsidR="00D02048" w:rsidRPr="00ED79B6" w:rsidRDefault="00D02048" w:rsidP="00B03F09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0A17" w14:textId="77777777" w:rsidR="0090555D" w:rsidRPr="00E33C1C" w:rsidRDefault="0090555D" w:rsidP="007A1C5C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0555D" w14:paraId="758DC0C5" w14:textId="77777777" w:rsidTr="00B04B7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A009B1" w14:textId="77777777" w:rsidR="0090555D" w:rsidRDefault="0090555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A0B686" w14:textId="7FC04E9D" w:rsidR="0090555D" w:rsidRDefault="0090555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8709BF" w14:textId="0F94D23A" w:rsidR="0090555D" w:rsidRDefault="0090555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A294458" w14:textId="77777777" w:rsidR="0090555D" w:rsidRPr="00ED79B6" w:rsidRDefault="0090555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10AC" w14:textId="77777777" w:rsidR="00F25AAB" w:rsidRDefault="00F25AAB" w:rsidP="005B136D">
      <w:pPr>
        <w:spacing w:line="240" w:lineRule="auto"/>
      </w:pPr>
      <w:r>
        <w:separator/>
      </w:r>
    </w:p>
  </w:footnote>
  <w:footnote w:type="continuationSeparator" w:id="0">
    <w:p w14:paraId="1955418C" w14:textId="77777777" w:rsidR="00F25AAB" w:rsidRDefault="00F25AAB" w:rsidP="005B136D">
      <w:pPr>
        <w:spacing w:line="240" w:lineRule="auto"/>
      </w:pPr>
      <w:r>
        <w:continuationSeparator/>
      </w:r>
    </w:p>
  </w:footnote>
  <w:footnote w:type="continuationNotice" w:id="1">
    <w:p w14:paraId="4DB48A45" w14:textId="77777777" w:rsidR="00F25AAB" w:rsidRDefault="00F25A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2721" w14:textId="31833D23" w:rsidR="00D02048" w:rsidRPr="005F1388" w:rsidRDefault="00D0204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71FE" w14:textId="12CD2A2E" w:rsidR="00D02048" w:rsidRPr="005F1388" w:rsidRDefault="00D0204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794F" w14:textId="6B83CD7A" w:rsidR="00B61A25" w:rsidRPr="00ED79B6" w:rsidRDefault="00B61A25" w:rsidP="00B03F0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2F91" w14:textId="3A6EB41C" w:rsidR="00B61A25" w:rsidRPr="00ED79B6" w:rsidRDefault="00B61A25" w:rsidP="00B03F0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71E7" w14:textId="63D7DE9B" w:rsidR="00B61A25" w:rsidRPr="00ED79B6" w:rsidRDefault="00B61A2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E26D" w14:textId="616862A8" w:rsidR="00D02048" w:rsidRDefault="00D02048" w:rsidP="00715914">
    <w:pPr>
      <w:rPr>
        <w:sz w:val="20"/>
      </w:rPr>
    </w:pPr>
  </w:p>
  <w:p w14:paraId="43312339" w14:textId="77777777" w:rsidR="00D02048" w:rsidRDefault="00D02048" w:rsidP="00715914">
    <w:pPr>
      <w:rPr>
        <w:sz w:val="20"/>
      </w:rPr>
    </w:pPr>
  </w:p>
  <w:p w14:paraId="4F212151" w14:textId="77777777" w:rsidR="00D02048" w:rsidRPr="00E05FF0" w:rsidRDefault="00D02048" w:rsidP="00715914">
    <w:pPr>
      <w:rPr>
        <w:sz w:val="20"/>
      </w:rPr>
    </w:pPr>
  </w:p>
  <w:p w14:paraId="4507F193" w14:textId="77777777" w:rsidR="00D02048" w:rsidRPr="00E05FF0" w:rsidRDefault="00D02048" w:rsidP="00715914">
    <w:pPr>
      <w:rPr>
        <w:b/>
        <w:sz w:val="24"/>
      </w:rPr>
    </w:pPr>
  </w:p>
  <w:p w14:paraId="5CCB6360" w14:textId="77777777" w:rsidR="00D02048" w:rsidRPr="00E05FF0" w:rsidRDefault="00D0204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E768" w14:textId="7C9D9EEB" w:rsidR="00D02048" w:rsidRPr="007A1328" w:rsidRDefault="00D02048" w:rsidP="00715914">
    <w:pPr>
      <w:jc w:val="right"/>
      <w:rPr>
        <w:sz w:val="20"/>
      </w:rPr>
    </w:pPr>
  </w:p>
  <w:p w14:paraId="7B276569" w14:textId="77777777" w:rsidR="00D02048" w:rsidRPr="007A1328" w:rsidRDefault="00D02048" w:rsidP="00715914">
    <w:pPr>
      <w:jc w:val="right"/>
      <w:rPr>
        <w:sz w:val="20"/>
      </w:rPr>
    </w:pPr>
  </w:p>
  <w:p w14:paraId="316A5BD1" w14:textId="77777777" w:rsidR="00D02048" w:rsidRPr="007A1328" w:rsidRDefault="00D02048" w:rsidP="00715914">
    <w:pPr>
      <w:jc w:val="right"/>
      <w:rPr>
        <w:sz w:val="20"/>
      </w:rPr>
    </w:pPr>
  </w:p>
  <w:p w14:paraId="58511F57" w14:textId="77777777" w:rsidR="00D02048" w:rsidRPr="00E05FF0" w:rsidRDefault="00D02048" w:rsidP="00715914">
    <w:pPr>
      <w:jc w:val="right"/>
      <w:rPr>
        <w:b/>
        <w:sz w:val="24"/>
      </w:rPr>
    </w:pPr>
  </w:p>
  <w:p w14:paraId="3B2C3235" w14:textId="77777777" w:rsidR="00D02048" w:rsidRPr="00E05FF0" w:rsidRDefault="00D0204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8FC4" w14:textId="44007A80" w:rsidR="0061174E" w:rsidRDefault="00611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458F6"/>
    <w:multiLevelType w:val="hybridMultilevel"/>
    <w:tmpl w:val="F2068470"/>
    <w:lvl w:ilvl="0" w:tplc="7BCA650C">
      <w:start w:val="8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B0AA3"/>
    <w:multiLevelType w:val="hybridMultilevel"/>
    <w:tmpl w:val="23B2B0FA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5ED08FB"/>
    <w:multiLevelType w:val="hybridMultilevel"/>
    <w:tmpl w:val="7C788F82"/>
    <w:lvl w:ilvl="0" w:tplc="FB5213E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1CC4F630">
      <w:start w:val="1"/>
      <w:numFmt w:val="lowerRoman"/>
      <w:lvlText w:val="(%2)"/>
      <w:lvlJc w:val="left"/>
      <w:pPr>
        <w:ind w:left="28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06B91EFE"/>
    <w:multiLevelType w:val="hybridMultilevel"/>
    <w:tmpl w:val="F96A0632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622ECB"/>
    <w:multiLevelType w:val="hybridMultilevel"/>
    <w:tmpl w:val="994EDF2E"/>
    <w:lvl w:ilvl="0" w:tplc="1CC4F630">
      <w:start w:val="1"/>
      <w:numFmt w:val="lowerRoman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6" w15:restartNumberingAfterBreak="0">
    <w:nsid w:val="184A7E15"/>
    <w:multiLevelType w:val="hybridMultilevel"/>
    <w:tmpl w:val="929E1B76"/>
    <w:lvl w:ilvl="0" w:tplc="CAB63ECC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5" w:hanging="360"/>
      </w:pPr>
    </w:lvl>
    <w:lvl w:ilvl="2" w:tplc="0C09001B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198257AB"/>
    <w:multiLevelType w:val="hybridMultilevel"/>
    <w:tmpl w:val="FAB20298"/>
    <w:lvl w:ilvl="0" w:tplc="D1C63C84">
      <w:start w:val="1"/>
      <w:numFmt w:val="lowerLetter"/>
      <w:lvlText w:val="(%1)."/>
      <w:lvlJc w:val="left"/>
      <w:pPr>
        <w:ind w:left="18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18" w15:restartNumberingAfterBreak="0">
    <w:nsid w:val="199E064C"/>
    <w:multiLevelType w:val="hybridMultilevel"/>
    <w:tmpl w:val="96584E18"/>
    <w:lvl w:ilvl="0" w:tplc="0C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B956019"/>
    <w:multiLevelType w:val="hybridMultilevel"/>
    <w:tmpl w:val="FAD0B8DC"/>
    <w:lvl w:ilvl="0" w:tplc="FB5213E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1073EB8"/>
    <w:multiLevelType w:val="hybridMultilevel"/>
    <w:tmpl w:val="15D4A43E"/>
    <w:lvl w:ilvl="0" w:tplc="918C3E9A">
      <w:start w:val="8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512A35"/>
    <w:multiLevelType w:val="hybridMultilevel"/>
    <w:tmpl w:val="CE900FD2"/>
    <w:lvl w:ilvl="0" w:tplc="FFFFFFFF">
      <w:start w:val="1"/>
      <w:numFmt w:val="lowerRoman"/>
      <w:lvlText w:val="(%1)"/>
      <w:lvlJc w:val="left"/>
      <w:pPr>
        <w:ind w:left="200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24" w:hanging="360"/>
      </w:pPr>
    </w:lvl>
    <w:lvl w:ilvl="2" w:tplc="FFFFFFFF" w:tentative="1">
      <w:start w:val="1"/>
      <w:numFmt w:val="lowerRoman"/>
      <w:lvlText w:val="%3."/>
      <w:lvlJc w:val="right"/>
      <w:pPr>
        <w:ind w:left="3444" w:hanging="180"/>
      </w:pPr>
    </w:lvl>
    <w:lvl w:ilvl="3" w:tplc="FFFFFFFF" w:tentative="1">
      <w:start w:val="1"/>
      <w:numFmt w:val="decimal"/>
      <w:lvlText w:val="%4."/>
      <w:lvlJc w:val="left"/>
      <w:pPr>
        <w:ind w:left="4164" w:hanging="360"/>
      </w:pPr>
    </w:lvl>
    <w:lvl w:ilvl="4" w:tplc="FFFFFFFF" w:tentative="1">
      <w:start w:val="1"/>
      <w:numFmt w:val="lowerLetter"/>
      <w:lvlText w:val="%5."/>
      <w:lvlJc w:val="left"/>
      <w:pPr>
        <w:ind w:left="4884" w:hanging="360"/>
      </w:pPr>
    </w:lvl>
    <w:lvl w:ilvl="5" w:tplc="FFFFFFFF" w:tentative="1">
      <w:start w:val="1"/>
      <w:numFmt w:val="lowerRoman"/>
      <w:lvlText w:val="%6."/>
      <w:lvlJc w:val="right"/>
      <w:pPr>
        <w:ind w:left="5604" w:hanging="180"/>
      </w:pPr>
    </w:lvl>
    <w:lvl w:ilvl="6" w:tplc="FFFFFFFF" w:tentative="1">
      <w:start w:val="1"/>
      <w:numFmt w:val="decimal"/>
      <w:lvlText w:val="%7."/>
      <w:lvlJc w:val="left"/>
      <w:pPr>
        <w:ind w:left="6324" w:hanging="360"/>
      </w:pPr>
    </w:lvl>
    <w:lvl w:ilvl="7" w:tplc="FFFFFFFF" w:tentative="1">
      <w:start w:val="1"/>
      <w:numFmt w:val="lowerLetter"/>
      <w:lvlText w:val="%8."/>
      <w:lvlJc w:val="left"/>
      <w:pPr>
        <w:ind w:left="7044" w:hanging="360"/>
      </w:pPr>
    </w:lvl>
    <w:lvl w:ilvl="8" w:tplc="FFFFFFFF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3" w15:restartNumberingAfterBreak="0">
    <w:nsid w:val="28C24E4F"/>
    <w:multiLevelType w:val="hybridMultilevel"/>
    <w:tmpl w:val="6C7C2FF0"/>
    <w:lvl w:ilvl="0" w:tplc="69ECDC98">
      <w:start w:val="1"/>
      <w:numFmt w:val="lowerRoman"/>
      <w:lvlText w:val="(%1)"/>
      <w:lvlJc w:val="left"/>
      <w:pPr>
        <w:ind w:left="24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0" w:hanging="360"/>
      </w:pPr>
    </w:lvl>
    <w:lvl w:ilvl="2" w:tplc="0C09001B" w:tentative="1">
      <w:start w:val="1"/>
      <w:numFmt w:val="lowerRoman"/>
      <w:lvlText w:val="%3."/>
      <w:lvlJc w:val="right"/>
      <w:pPr>
        <w:ind w:left="3570" w:hanging="180"/>
      </w:pPr>
    </w:lvl>
    <w:lvl w:ilvl="3" w:tplc="0C09000F" w:tentative="1">
      <w:start w:val="1"/>
      <w:numFmt w:val="decimal"/>
      <w:lvlText w:val="%4."/>
      <w:lvlJc w:val="left"/>
      <w:pPr>
        <w:ind w:left="4290" w:hanging="360"/>
      </w:pPr>
    </w:lvl>
    <w:lvl w:ilvl="4" w:tplc="0C090019" w:tentative="1">
      <w:start w:val="1"/>
      <w:numFmt w:val="lowerLetter"/>
      <w:lvlText w:val="%5."/>
      <w:lvlJc w:val="left"/>
      <w:pPr>
        <w:ind w:left="5010" w:hanging="360"/>
      </w:pPr>
    </w:lvl>
    <w:lvl w:ilvl="5" w:tplc="0C09001B" w:tentative="1">
      <w:start w:val="1"/>
      <w:numFmt w:val="lowerRoman"/>
      <w:lvlText w:val="%6."/>
      <w:lvlJc w:val="right"/>
      <w:pPr>
        <w:ind w:left="5730" w:hanging="180"/>
      </w:pPr>
    </w:lvl>
    <w:lvl w:ilvl="6" w:tplc="0C09000F" w:tentative="1">
      <w:start w:val="1"/>
      <w:numFmt w:val="decimal"/>
      <w:lvlText w:val="%7."/>
      <w:lvlJc w:val="left"/>
      <w:pPr>
        <w:ind w:left="6450" w:hanging="360"/>
      </w:pPr>
    </w:lvl>
    <w:lvl w:ilvl="7" w:tplc="0C090019" w:tentative="1">
      <w:start w:val="1"/>
      <w:numFmt w:val="lowerLetter"/>
      <w:lvlText w:val="%8."/>
      <w:lvlJc w:val="left"/>
      <w:pPr>
        <w:ind w:left="7170" w:hanging="360"/>
      </w:pPr>
    </w:lvl>
    <w:lvl w:ilvl="8" w:tplc="0C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28DD614B"/>
    <w:multiLevelType w:val="hybridMultilevel"/>
    <w:tmpl w:val="AF3E745E"/>
    <w:lvl w:ilvl="0" w:tplc="30A0B7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E3DAE"/>
    <w:multiLevelType w:val="hybridMultilevel"/>
    <w:tmpl w:val="CE900FD2"/>
    <w:lvl w:ilvl="0" w:tplc="1CC4F630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30415CF0"/>
    <w:multiLevelType w:val="hybridMultilevel"/>
    <w:tmpl w:val="72523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F0EDB"/>
    <w:multiLevelType w:val="hybridMultilevel"/>
    <w:tmpl w:val="040A768A"/>
    <w:lvl w:ilvl="0" w:tplc="FFFFFFFF">
      <w:start w:val="1"/>
      <w:numFmt w:val="lowerLetter"/>
      <w:lvlText w:val="(%1)"/>
      <w:lvlJc w:val="left"/>
      <w:pPr>
        <w:ind w:left="742" w:hanging="360"/>
      </w:pPr>
      <w:rPr>
        <w:rFonts w:hint="default"/>
      </w:rPr>
    </w:lvl>
    <w:lvl w:ilvl="1" w:tplc="1CC4F630">
      <w:start w:val="1"/>
      <w:numFmt w:val="lowerRoman"/>
      <w:lvlText w:val="(%2)"/>
      <w:lvlJc w:val="left"/>
      <w:pPr>
        <w:ind w:left="146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8" w15:restartNumberingAfterBreak="0">
    <w:nsid w:val="3497356D"/>
    <w:multiLevelType w:val="hybridMultilevel"/>
    <w:tmpl w:val="92404E22"/>
    <w:lvl w:ilvl="0" w:tplc="FB5213E6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0" w:hanging="360"/>
      </w:pPr>
    </w:lvl>
    <w:lvl w:ilvl="2" w:tplc="0C09001B" w:tentative="1">
      <w:start w:val="1"/>
      <w:numFmt w:val="lowerRoman"/>
      <w:lvlText w:val="%3."/>
      <w:lvlJc w:val="right"/>
      <w:pPr>
        <w:ind w:left="2920" w:hanging="180"/>
      </w:pPr>
    </w:lvl>
    <w:lvl w:ilvl="3" w:tplc="0C09000F" w:tentative="1">
      <w:start w:val="1"/>
      <w:numFmt w:val="decimal"/>
      <w:lvlText w:val="%4."/>
      <w:lvlJc w:val="left"/>
      <w:pPr>
        <w:ind w:left="3640" w:hanging="360"/>
      </w:pPr>
    </w:lvl>
    <w:lvl w:ilvl="4" w:tplc="0C090019" w:tentative="1">
      <w:start w:val="1"/>
      <w:numFmt w:val="lowerLetter"/>
      <w:lvlText w:val="%5."/>
      <w:lvlJc w:val="left"/>
      <w:pPr>
        <w:ind w:left="4360" w:hanging="360"/>
      </w:pPr>
    </w:lvl>
    <w:lvl w:ilvl="5" w:tplc="0C09001B" w:tentative="1">
      <w:start w:val="1"/>
      <w:numFmt w:val="lowerRoman"/>
      <w:lvlText w:val="%6."/>
      <w:lvlJc w:val="right"/>
      <w:pPr>
        <w:ind w:left="5080" w:hanging="180"/>
      </w:pPr>
    </w:lvl>
    <w:lvl w:ilvl="6" w:tplc="0C09000F" w:tentative="1">
      <w:start w:val="1"/>
      <w:numFmt w:val="decimal"/>
      <w:lvlText w:val="%7."/>
      <w:lvlJc w:val="left"/>
      <w:pPr>
        <w:ind w:left="5800" w:hanging="360"/>
      </w:pPr>
    </w:lvl>
    <w:lvl w:ilvl="7" w:tplc="0C090019" w:tentative="1">
      <w:start w:val="1"/>
      <w:numFmt w:val="lowerLetter"/>
      <w:lvlText w:val="%8."/>
      <w:lvlJc w:val="left"/>
      <w:pPr>
        <w:ind w:left="6520" w:hanging="360"/>
      </w:pPr>
    </w:lvl>
    <w:lvl w:ilvl="8" w:tplc="0C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3F5601A3"/>
    <w:multiLevelType w:val="hybridMultilevel"/>
    <w:tmpl w:val="3278835A"/>
    <w:lvl w:ilvl="0" w:tplc="FFFFFFFF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87AD4"/>
    <w:multiLevelType w:val="hybridMultilevel"/>
    <w:tmpl w:val="C570F17A"/>
    <w:lvl w:ilvl="0" w:tplc="AB58EA14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785C09"/>
    <w:multiLevelType w:val="hybridMultilevel"/>
    <w:tmpl w:val="23B2B0FA"/>
    <w:lvl w:ilvl="0" w:tplc="CAB63EC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9E5209"/>
    <w:multiLevelType w:val="hybridMultilevel"/>
    <w:tmpl w:val="A1F0F102"/>
    <w:lvl w:ilvl="0" w:tplc="CAB63ECC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305CA"/>
    <w:multiLevelType w:val="hybridMultilevel"/>
    <w:tmpl w:val="059A5312"/>
    <w:lvl w:ilvl="0" w:tplc="CAB63ECC">
      <w:start w:val="1"/>
      <w:numFmt w:val="lowerLetter"/>
      <w:lvlText w:val="(%1)"/>
      <w:lvlJc w:val="left"/>
      <w:pPr>
        <w:ind w:left="18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7" w:hanging="360"/>
      </w:pPr>
    </w:lvl>
    <w:lvl w:ilvl="2" w:tplc="0C09001B" w:tentative="1">
      <w:start w:val="1"/>
      <w:numFmt w:val="lowerRoman"/>
      <w:lvlText w:val="%3."/>
      <w:lvlJc w:val="right"/>
      <w:pPr>
        <w:ind w:left="3297" w:hanging="180"/>
      </w:pPr>
    </w:lvl>
    <w:lvl w:ilvl="3" w:tplc="0C09000F" w:tentative="1">
      <w:start w:val="1"/>
      <w:numFmt w:val="decimal"/>
      <w:lvlText w:val="%4."/>
      <w:lvlJc w:val="left"/>
      <w:pPr>
        <w:ind w:left="4017" w:hanging="360"/>
      </w:pPr>
    </w:lvl>
    <w:lvl w:ilvl="4" w:tplc="0C090019" w:tentative="1">
      <w:start w:val="1"/>
      <w:numFmt w:val="lowerLetter"/>
      <w:lvlText w:val="%5."/>
      <w:lvlJc w:val="left"/>
      <w:pPr>
        <w:ind w:left="4737" w:hanging="360"/>
      </w:pPr>
    </w:lvl>
    <w:lvl w:ilvl="5" w:tplc="0C09001B" w:tentative="1">
      <w:start w:val="1"/>
      <w:numFmt w:val="lowerRoman"/>
      <w:lvlText w:val="%6."/>
      <w:lvlJc w:val="right"/>
      <w:pPr>
        <w:ind w:left="5457" w:hanging="180"/>
      </w:pPr>
    </w:lvl>
    <w:lvl w:ilvl="6" w:tplc="0C09000F" w:tentative="1">
      <w:start w:val="1"/>
      <w:numFmt w:val="decimal"/>
      <w:lvlText w:val="%7."/>
      <w:lvlJc w:val="left"/>
      <w:pPr>
        <w:ind w:left="6177" w:hanging="360"/>
      </w:pPr>
    </w:lvl>
    <w:lvl w:ilvl="7" w:tplc="0C090019" w:tentative="1">
      <w:start w:val="1"/>
      <w:numFmt w:val="lowerLetter"/>
      <w:lvlText w:val="%8."/>
      <w:lvlJc w:val="left"/>
      <w:pPr>
        <w:ind w:left="6897" w:hanging="360"/>
      </w:pPr>
    </w:lvl>
    <w:lvl w:ilvl="8" w:tplc="0C0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35" w15:restartNumberingAfterBreak="0">
    <w:nsid w:val="537730EB"/>
    <w:multiLevelType w:val="hybridMultilevel"/>
    <w:tmpl w:val="23B2B0FA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B686B05"/>
    <w:multiLevelType w:val="hybridMultilevel"/>
    <w:tmpl w:val="CE900FD2"/>
    <w:lvl w:ilvl="0" w:tplc="FFFFFFFF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0607D6F"/>
    <w:multiLevelType w:val="hybridMultilevel"/>
    <w:tmpl w:val="34949C74"/>
    <w:lvl w:ilvl="0" w:tplc="1CC4F630">
      <w:start w:val="1"/>
      <w:numFmt w:val="lowerRoman"/>
      <w:lvlText w:val="(%1)"/>
      <w:lvlJc w:val="left"/>
      <w:pPr>
        <w:ind w:left="225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1" w:hanging="360"/>
      </w:pPr>
    </w:lvl>
    <w:lvl w:ilvl="2" w:tplc="0C09001B" w:tentative="1">
      <w:start w:val="1"/>
      <w:numFmt w:val="lowerRoman"/>
      <w:lvlText w:val="%3."/>
      <w:lvlJc w:val="right"/>
      <w:pPr>
        <w:ind w:left="3331" w:hanging="180"/>
      </w:pPr>
    </w:lvl>
    <w:lvl w:ilvl="3" w:tplc="0C09000F" w:tentative="1">
      <w:start w:val="1"/>
      <w:numFmt w:val="decimal"/>
      <w:lvlText w:val="%4."/>
      <w:lvlJc w:val="left"/>
      <w:pPr>
        <w:ind w:left="4051" w:hanging="360"/>
      </w:pPr>
    </w:lvl>
    <w:lvl w:ilvl="4" w:tplc="0C090019" w:tentative="1">
      <w:start w:val="1"/>
      <w:numFmt w:val="lowerLetter"/>
      <w:lvlText w:val="%5."/>
      <w:lvlJc w:val="left"/>
      <w:pPr>
        <w:ind w:left="4771" w:hanging="360"/>
      </w:pPr>
    </w:lvl>
    <w:lvl w:ilvl="5" w:tplc="0C09001B" w:tentative="1">
      <w:start w:val="1"/>
      <w:numFmt w:val="lowerRoman"/>
      <w:lvlText w:val="%6."/>
      <w:lvlJc w:val="right"/>
      <w:pPr>
        <w:ind w:left="5491" w:hanging="180"/>
      </w:pPr>
    </w:lvl>
    <w:lvl w:ilvl="6" w:tplc="0C09000F" w:tentative="1">
      <w:start w:val="1"/>
      <w:numFmt w:val="decimal"/>
      <w:lvlText w:val="%7."/>
      <w:lvlJc w:val="left"/>
      <w:pPr>
        <w:ind w:left="6211" w:hanging="360"/>
      </w:pPr>
    </w:lvl>
    <w:lvl w:ilvl="7" w:tplc="0C090019" w:tentative="1">
      <w:start w:val="1"/>
      <w:numFmt w:val="lowerLetter"/>
      <w:lvlText w:val="%8."/>
      <w:lvlJc w:val="left"/>
      <w:pPr>
        <w:ind w:left="6931" w:hanging="360"/>
      </w:pPr>
    </w:lvl>
    <w:lvl w:ilvl="8" w:tplc="0C0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38" w15:restartNumberingAfterBreak="0">
    <w:nsid w:val="6236720E"/>
    <w:multiLevelType w:val="hybridMultilevel"/>
    <w:tmpl w:val="626E9FBC"/>
    <w:lvl w:ilvl="0" w:tplc="31666D60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100EBC"/>
    <w:multiLevelType w:val="hybridMultilevel"/>
    <w:tmpl w:val="8CC6EAC2"/>
    <w:lvl w:ilvl="0" w:tplc="2D50B4A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6499022D"/>
    <w:multiLevelType w:val="hybridMultilevel"/>
    <w:tmpl w:val="676AC828"/>
    <w:lvl w:ilvl="0" w:tplc="71E008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45D8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B0C0A82"/>
    <w:multiLevelType w:val="hybridMultilevel"/>
    <w:tmpl w:val="7ECE15B8"/>
    <w:lvl w:ilvl="0" w:tplc="1CC4F630">
      <w:start w:val="1"/>
      <w:numFmt w:val="lowerRoman"/>
      <w:lvlText w:val="(%1)"/>
      <w:lvlJc w:val="left"/>
      <w:pPr>
        <w:ind w:left="18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17" w:hanging="360"/>
      </w:pPr>
    </w:lvl>
    <w:lvl w:ilvl="2" w:tplc="0C09001B" w:tentative="1">
      <w:start w:val="1"/>
      <w:numFmt w:val="lowerRoman"/>
      <w:lvlText w:val="%3."/>
      <w:lvlJc w:val="right"/>
      <w:pPr>
        <w:ind w:left="1137" w:hanging="180"/>
      </w:pPr>
    </w:lvl>
    <w:lvl w:ilvl="3" w:tplc="0C09000F" w:tentative="1">
      <w:start w:val="1"/>
      <w:numFmt w:val="decimal"/>
      <w:lvlText w:val="%4."/>
      <w:lvlJc w:val="left"/>
      <w:pPr>
        <w:ind w:left="1857" w:hanging="360"/>
      </w:pPr>
    </w:lvl>
    <w:lvl w:ilvl="4" w:tplc="0C090019" w:tentative="1">
      <w:start w:val="1"/>
      <w:numFmt w:val="lowerLetter"/>
      <w:lvlText w:val="%5."/>
      <w:lvlJc w:val="left"/>
      <w:pPr>
        <w:ind w:left="2577" w:hanging="360"/>
      </w:pPr>
    </w:lvl>
    <w:lvl w:ilvl="5" w:tplc="0C09001B" w:tentative="1">
      <w:start w:val="1"/>
      <w:numFmt w:val="lowerRoman"/>
      <w:lvlText w:val="%6."/>
      <w:lvlJc w:val="right"/>
      <w:pPr>
        <w:ind w:left="3297" w:hanging="180"/>
      </w:pPr>
    </w:lvl>
    <w:lvl w:ilvl="6" w:tplc="0C09000F" w:tentative="1">
      <w:start w:val="1"/>
      <w:numFmt w:val="decimal"/>
      <w:lvlText w:val="%7."/>
      <w:lvlJc w:val="left"/>
      <w:pPr>
        <w:ind w:left="4017" w:hanging="360"/>
      </w:pPr>
    </w:lvl>
    <w:lvl w:ilvl="7" w:tplc="0C090019" w:tentative="1">
      <w:start w:val="1"/>
      <w:numFmt w:val="lowerLetter"/>
      <w:lvlText w:val="%8."/>
      <w:lvlJc w:val="left"/>
      <w:pPr>
        <w:ind w:left="4737" w:hanging="360"/>
      </w:pPr>
    </w:lvl>
    <w:lvl w:ilvl="8" w:tplc="0C09001B" w:tentative="1">
      <w:start w:val="1"/>
      <w:numFmt w:val="lowerRoman"/>
      <w:lvlText w:val="%9."/>
      <w:lvlJc w:val="right"/>
      <w:pPr>
        <w:ind w:left="5457" w:hanging="180"/>
      </w:pPr>
    </w:lvl>
  </w:abstractNum>
  <w:abstractNum w:abstractNumId="43" w15:restartNumberingAfterBreak="0">
    <w:nsid w:val="6B347667"/>
    <w:multiLevelType w:val="hybridMultilevel"/>
    <w:tmpl w:val="1FAC4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D230C"/>
    <w:multiLevelType w:val="hybridMultilevel"/>
    <w:tmpl w:val="5C8CF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62CA8"/>
    <w:multiLevelType w:val="hybridMultilevel"/>
    <w:tmpl w:val="CE900FD2"/>
    <w:lvl w:ilvl="0" w:tplc="FFFFFFFF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0BC1D22"/>
    <w:multiLevelType w:val="hybridMultilevel"/>
    <w:tmpl w:val="94249488"/>
    <w:lvl w:ilvl="0" w:tplc="0C09000F">
      <w:start w:val="1"/>
      <w:numFmt w:val="decimal"/>
      <w:lvlText w:val="%1."/>
      <w:lvlJc w:val="left"/>
      <w:pPr>
        <w:ind w:left="858" w:hanging="360"/>
      </w:p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7" w15:restartNumberingAfterBreak="0">
    <w:nsid w:val="765C05C2"/>
    <w:multiLevelType w:val="hybridMultilevel"/>
    <w:tmpl w:val="3278835A"/>
    <w:lvl w:ilvl="0" w:tplc="1CC4F630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A3A99"/>
    <w:multiLevelType w:val="hybridMultilevel"/>
    <w:tmpl w:val="D04ECE5C"/>
    <w:lvl w:ilvl="0" w:tplc="FFFFFFFF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28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6502380">
    <w:abstractNumId w:val="25"/>
  </w:num>
  <w:num w:numId="2" w16cid:durableId="1201632277">
    <w:abstractNumId w:val="37"/>
  </w:num>
  <w:num w:numId="3" w16cid:durableId="119956732">
    <w:abstractNumId w:val="16"/>
  </w:num>
  <w:num w:numId="4" w16cid:durableId="1947736002">
    <w:abstractNumId w:val="18"/>
  </w:num>
  <w:num w:numId="5" w16cid:durableId="1754739264">
    <w:abstractNumId w:val="46"/>
  </w:num>
  <w:num w:numId="6" w16cid:durableId="1658610003">
    <w:abstractNumId w:val="41"/>
  </w:num>
  <w:num w:numId="7" w16cid:durableId="1510680651">
    <w:abstractNumId w:val="15"/>
  </w:num>
  <w:num w:numId="8" w16cid:durableId="1862283235">
    <w:abstractNumId w:val="22"/>
  </w:num>
  <w:num w:numId="9" w16cid:durableId="1492402454">
    <w:abstractNumId w:val="17"/>
  </w:num>
  <w:num w:numId="10" w16cid:durableId="1707949897">
    <w:abstractNumId w:val="36"/>
  </w:num>
  <w:num w:numId="11" w16cid:durableId="2005084951">
    <w:abstractNumId w:val="32"/>
  </w:num>
  <w:num w:numId="12" w16cid:durableId="290132099">
    <w:abstractNumId w:val="23"/>
  </w:num>
  <w:num w:numId="13" w16cid:durableId="881863322">
    <w:abstractNumId w:val="13"/>
  </w:num>
  <w:num w:numId="14" w16cid:durableId="756902294">
    <w:abstractNumId w:val="12"/>
  </w:num>
  <w:num w:numId="15" w16cid:durableId="1868372378">
    <w:abstractNumId w:val="45"/>
  </w:num>
  <w:num w:numId="16" w16cid:durableId="285356958">
    <w:abstractNumId w:val="47"/>
  </w:num>
  <w:num w:numId="17" w16cid:durableId="1855880805">
    <w:abstractNumId w:val="35"/>
  </w:num>
  <w:num w:numId="18" w16cid:durableId="953556909">
    <w:abstractNumId w:val="11"/>
  </w:num>
  <w:num w:numId="19" w16cid:durableId="2086144553">
    <w:abstractNumId w:val="30"/>
  </w:num>
  <w:num w:numId="20" w16cid:durableId="987324347">
    <w:abstractNumId w:val="48"/>
  </w:num>
  <w:num w:numId="21" w16cid:durableId="1983922016">
    <w:abstractNumId w:val="33"/>
  </w:num>
  <w:num w:numId="22" w16cid:durableId="1778865496">
    <w:abstractNumId w:val="20"/>
  </w:num>
  <w:num w:numId="23" w16cid:durableId="248391030">
    <w:abstractNumId w:val="42"/>
  </w:num>
  <w:num w:numId="24" w16cid:durableId="528614198">
    <w:abstractNumId w:val="34"/>
  </w:num>
  <w:num w:numId="25" w16cid:durableId="556278220">
    <w:abstractNumId w:val="28"/>
  </w:num>
  <w:num w:numId="26" w16cid:durableId="408816553">
    <w:abstractNumId w:val="39"/>
  </w:num>
  <w:num w:numId="27" w16cid:durableId="878979382">
    <w:abstractNumId w:val="26"/>
  </w:num>
  <w:num w:numId="28" w16cid:durableId="1360207199">
    <w:abstractNumId w:val="43"/>
  </w:num>
  <w:num w:numId="29" w16cid:durableId="14767534">
    <w:abstractNumId w:val="27"/>
  </w:num>
  <w:num w:numId="30" w16cid:durableId="704521965">
    <w:abstractNumId w:val="9"/>
  </w:num>
  <w:num w:numId="31" w16cid:durableId="182788843">
    <w:abstractNumId w:val="7"/>
  </w:num>
  <w:num w:numId="32" w16cid:durableId="1541822154">
    <w:abstractNumId w:val="6"/>
  </w:num>
  <w:num w:numId="33" w16cid:durableId="1762988446">
    <w:abstractNumId w:val="5"/>
  </w:num>
  <w:num w:numId="34" w16cid:durableId="2010479087">
    <w:abstractNumId w:val="4"/>
  </w:num>
  <w:num w:numId="35" w16cid:durableId="82146326">
    <w:abstractNumId w:val="8"/>
  </w:num>
  <w:num w:numId="36" w16cid:durableId="1991516846">
    <w:abstractNumId w:val="3"/>
  </w:num>
  <w:num w:numId="37" w16cid:durableId="674458458">
    <w:abstractNumId w:val="2"/>
  </w:num>
  <w:num w:numId="38" w16cid:durableId="1710521425">
    <w:abstractNumId w:val="1"/>
  </w:num>
  <w:num w:numId="39" w16cid:durableId="2030987339">
    <w:abstractNumId w:val="0"/>
  </w:num>
  <w:num w:numId="40" w16cid:durableId="1664704050">
    <w:abstractNumId w:val="29"/>
  </w:num>
  <w:num w:numId="41" w16cid:durableId="293562121">
    <w:abstractNumId w:val="14"/>
  </w:num>
  <w:num w:numId="42" w16cid:durableId="1476483802">
    <w:abstractNumId w:val="19"/>
  </w:num>
  <w:num w:numId="43" w16cid:durableId="1052117330">
    <w:abstractNumId w:val="40"/>
  </w:num>
  <w:num w:numId="44" w16cid:durableId="2002149790">
    <w:abstractNumId w:val="21"/>
  </w:num>
  <w:num w:numId="45" w16cid:durableId="1241405719">
    <w:abstractNumId w:val="38"/>
  </w:num>
  <w:num w:numId="46" w16cid:durableId="1723627920">
    <w:abstractNumId w:val="31"/>
  </w:num>
  <w:num w:numId="47" w16cid:durableId="36929108">
    <w:abstractNumId w:val="10"/>
  </w:num>
  <w:num w:numId="48" w16cid:durableId="140511160">
    <w:abstractNumId w:val="44"/>
  </w:num>
  <w:num w:numId="49" w16cid:durableId="8658742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6D"/>
    <w:rsid w:val="00000263"/>
    <w:rsid w:val="00001122"/>
    <w:rsid w:val="00005FE8"/>
    <w:rsid w:val="00010D99"/>
    <w:rsid w:val="000113BC"/>
    <w:rsid w:val="000115CD"/>
    <w:rsid w:val="000136AF"/>
    <w:rsid w:val="000213DA"/>
    <w:rsid w:val="0003334E"/>
    <w:rsid w:val="0004044E"/>
    <w:rsid w:val="00040B8D"/>
    <w:rsid w:val="000444D2"/>
    <w:rsid w:val="0005120E"/>
    <w:rsid w:val="0005271C"/>
    <w:rsid w:val="00054577"/>
    <w:rsid w:val="0005592F"/>
    <w:rsid w:val="000604BC"/>
    <w:rsid w:val="00060FF5"/>
    <w:rsid w:val="000614BF"/>
    <w:rsid w:val="00064AD9"/>
    <w:rsid w:val="000653AA"/>
    <w:rsid w:val="00066779"/>
    <w:rsid w:val="0007169C"/>
    <w:rsid w:val="000747A6"/>
    <w:rsid w:val="00075BB2"/>
    <w:rsid w:val="00077593"/>
    <w:rsid w:val="00080867"/>
    <w:rsid w:val="00081BCB"/>
    <w:rsid w:val="00083046"/>
    <w:rsid w:val="00083F48"/>
    <w:rsid w:val="00084149"/>
    <w:rsid w:val="00084FE4"/>
    <w:rsid w:val="00085EF1"/>
    <w:rsid w:val="000925C7"/>
    <w:rsid w:val="000943CE"/>
    <w:rsid w:val="000A06C4"/>
    <w:rsid w:val="000A2000"/>
    <w:rsid w:val="000A2347"/>
    <w:rsid w:val="000A479A"/>
    <w:rsid w:val="000A6B08"/>
    <w:rsid w:val="000A7DF9"/>
    <w:rsid w:val="000A7EF0"/>
    <w:rsid w:val="000B5A18"/>
    <w:rsid w:val="000C2E8E"/>
    <w:rsid w:val="000D05EF"/>
    <w:rsid w:val="000D3FB9"/>
    <w:rsid w:val="000D5485"/>
    <w:rsid w:val="000E598E"/>
    <w:rsid w:val="000E5A3D"/>
    <w:rsid w:val="000E79E5"/>
    <w:rsid w:val="000F0ADA"/>
    <w:rsid w:val="000F21C1"/>
    <w:rsid w:val="000F49C2"/>
    <w:rsid w:val="001018E9"/>
    <w:rsid w:val="00102604"/>
    <w:rsid w:val="00103497"/>
    <w:rsid w:val="0010444A"/>
    <w:rsid w:val="00104511"/>
    <w:rsid w:val="0010745C"/>
    <w:rsid w:val="001111A4"/>
    <w:rsid w:val="001122FF"/>
    <w:rsid w:val="00114AEA"/>
    <w:rsid w:val="00116947"/>
    <w:rsid w:val="0012337B"/>
    <w:rsid w:val="0012501B"/>
    <w:rsid w:val="001267BE"/>
    <w:rsid w:val="00131340"/>
    <w:rsid w:val="001345F6"/>
    <w:rsid w:val="001410BD"/>
    <w:rsid w:val="00142962"/>
    <w:rsid w:val="0015592D"/>
    <w:rsid w:val="001608A0"/>
    <w:rsid w:val="00160BD7"/>
    <w:rsid w:val="0016265A"/>
    <w:rsid w:val="001643C9"/>
    <w:rsid w:val="00165568"/>
    <w:rsid w:val="00166082"/>
    <w:rsid w:val="0016630E"/>
    <w:rsid w:val="00166C2F"/>
    <w:rsid w:val="001704B3"/>
    <w:rsid w:val="001714CD"/>
    <w:rsid w:val="001716C9"/>
    <w:rsid w:val="00174902"/>
    <w:rsid w:val="00176E0F"/>
    <w:rsid w:val="001801D9"/>
    <w:rsid w:val="00184261"/>
    <w:rsid w:val="00184A64"/>
    <w:rsid w:val="00184C40"/>
    <w:rsid w:val="0019057F"/>
    <w:rsid w:val="001907EE"/>
    <w:rsid w:val="00193461"/>
    <w:rsid w:val="001939E1"/>
    <w:rsid w:val="0019452E"/>
    <w:rsid w:val="00195382"/>
    <w:rsid w:val="001A3AE2"/>
    <w:rsid w:val="001A3B9F"/>
    <w:rsid w:val="001A5520"/>
    <w:rsid w:val="001A623E"/>
    <w:rsid w:val="001A65C0"/>
    <w:rsid w:val="001B349D"/>
    <w:rsid w:val="001B7A5D"/>
    <w:rsid w:val="001C09BB"/>
    <w:rsid w:val="001C0BE5"/>
    <w:rsid w:val="001C252E"/>
    <w:rsid w:val="001C4EBC"/>
    <w:rsid w:val="001C567E"/>
    <w:rsid w:val="001C69C4"/>
    <w:rsid w:val="001D2A9D"/>
    <w:rsid w:val="001E0A8D"/>
    <w:rsid w:val="001E3590"/>
    <w:rsid w:val="001E6013"/>
    <w:rsid w:val="001E7407"/>
    <w:rsid w:val="001F1A46"/>
    <w:rsid w:val="001F4DB2"/>
    <w:rsid w:val="00201D27"/>
    <w:rsid w:val="00201E9C"/>
    <w:rsid w:val="0020399B"/>
    <w:rsid w:val="002072E7"/>
    <w:rsid w:val="0021153A"/>
    <w:rsid w:val="00216134"/>
    <w:rsid w:val="002245A6"/>
    <w:rsid w:val="00225FD0"/>
    <w:rsid w:val="002265B5"/>
    <w:rsid w:val="002302EA"/>
    <w:rsid w:val="00230CA0"/>
    <w:rsid w:val="00232754"/>
    <w:rsid w:val="0023745B"/>
    <w:rsid w:val="00237614"/>
    <w:rsid w:val="00240749"/>
    <w:rsid w:val="0024538F"/>
    <w:rsid w:val="0024623B"/>
    <w:rsid w:val="002468D7"/>
    <w:rsid w:val="00247E97"/>
    <w:rsid w:val="00256C81"/>
    <w:rsid w:val="00262C88"/>
    <w:rsid w:val="00263D71"/>
    <w:rsid w:val="002673A5"/>
    <w:rsid w:val="00267468"/>
    <w:rsid w:val="00272D4E"/>
    <w:rsid w:val="0027743D"/>
    <w:rsid w:val="00285CDD"/>
    <w:rsid w:val="002876B4"/>
    <w:rsid w:val="00290018"/>
    <w:rsid w:val="00291167"/>
    <w:rsid w:val="0029489E"/>
    <w:rsid w:val="00295D25"/>
    <w:rsid w:val="00297ECB"/>
    <w:rsid w:val="002A0D12"/>
    <w:rsid w:val="002A53F2"/>
    <w:rsid w:val="002B2F95"/>
    <w:rsid w:val="002C152A"/>
    <w:rsid w:val="002C1B48"/>
    <w:rsid w:val="002C2E64"/>
    <w:rsid w:val="002C3985"/>
    <w:rsid w:val="002C5DD4"/>
    <w:rsid w:val="002D043A"/>
    <w:rsid w:val="002D06F8"/>
    <w:rsid w:val="002D5076"/>
    <w:rsid w:val="002D7E40"/>
    <w:rsid w:val="002F3270"/>
    <w:rsid w:val="002F63FF"/>
    <w:rsid w:val="002F738D"/>
    <w:rsid w:val="002F77D6"/>
    <w:rsid w:val="00302CDC"/>
    <w:rsid w:val="003030FB"/>
    <w:rsid w:val="0030466F"/>
    <w:rsid w:val="003050F9"/>
    <w:rsid w:val="00311144"/>
    <w:rsid w:val="003126E8"/>
    <w:rsid w:val="0031282C"/>
    <w:rsid w:val="003157D8"/>
    <w:rsid w:val="0031713F"/>
    <w:rsid w:val="003222D1"/>
    <w:rsid w:val="00323D85"/>
    <w:rsid w:val="0032750F"/>
    <w:rsid w:val="00331171"/>
    <w:rsid w:val="00332172"/>
    <w:rsid w:val="003339E3"/>
    <w:rsid w:val="003378BB"/>
    <w:rsid w:val="003411A3"/>
    <w:rsid w:val="003415D3"/>
    <w:rsid w:val="003442F6"/>
    <w:rsid w:val="00346335"/>
    <w:rsid w:val="00351074"/>
    <w:rsid w:val="00351606"/>
    <w:rsid w:val="00352B0F"/>
    <w:rsid w:val="003561B0"/>
    <w:rsid w:val="003668E7"/>
    <w:rsid w:val="003729C0"/>
    <w:rsid w:val="003735A3"/>
    <w:rsid w:val="00376857"/>
    <w:rsid w:val="003812BE"/>
    <w:rsid w:val="00384131"/>
    <w:rsid w:val="00391ADD"/>
    <w:rsid w:val="00391F90"/>
    <w:rsid w:val="00392919"/>
    <w:rsid w:val="00397893"/>
    <w:rsid w:val="003A15AC"/>
    <w:rsid w:val="003A25AC"/>
    <w:rsid w:val="003B0627"/>
    <w:rsid w:val="003B0F83"/>
    <w:rsid w:val="003B34AF"/>
    <w:rsid w:val="003C0A12"/>
    <w:rsid w:val="003C3AD7"/>
    <w:rsid w:val="003C5F2B"/>
    <w:rsid w:val="003C7D35"/>
    <w:rsid w:val="003D0BFE"/>
    <w:rsid w:val="003D5700"/>
    <w:rsid w:val="003D6E98"/>
    <w:rsid w:val="003E3029"/>
    <w:rsid w:val="003E33D7"/>
    <w:rsid w:val="003E6EB0"/>
    <w:rsid w:val="003E7463"/>
    <w:rsid w:val="003F39F0"/>
    <w:rsid w:val="003F4B2A"/>
    <w:rsid w:val="003F6F52"/>
    <w:rsid w:val="004013BA"/>
    <w:rsid w:val="00401981"/>
    <w:rsid w:val="00402137"/>
    <w:rsid w:val="004022CA"/>
    <w:rsid w:val="00402996"/>
    <w:rsid w:val="004116CD"/>
    <w:rsid w:val="00411D44"/>
    <w:rsid w:val="00412861"/>
    <w:rsid w:val="00412D64"/>
    <w:rsid w:val="00414ADE"/>
    <w:rsid w:val="00415A65"/>
    <w:rsid w:val="00420227"/>
    <w:rsid w:val="0042301F"/>
    <w:rsid w:val="0042308C"/>
    <w:rsid w:val="00424CA9"/>
    <w:rsid w:val="004257BB"/>
    <w:rsid w:val="00427C51"/>
    <w:rsid w:val="004363F3"/>
    <w:rsid w:val="00437405"/>
    <w:rsid w:val="00442254"/>
    <w:rsid w:val="00442799"/>
    <w:rsid w:val="0044291A"/>
    <w:rsid w:val="00446364"/>
    <w:rsid w:val="0044646D"/>
    <w:rsid w:val="00453680"/>
    <w:rsid w:val="00456856"/>
    <w:rsid w:val="004600B0"/>
    <w:rsid w:val="00460499"/>
    <w:rsid w:val="00460FBA"/>
    <w:rsid w:val="0046103C"/>
    <w:rsid w:val="00463831"/>
    <w:rsid w:val="004659CD"/>
    <w:rsid w:val="004660B5"/>
    <w:rsid w:val="004679D8"/>
    <w:rsid w:val="00474835"/>
    <w:rsid w:val="00475936"/>
    <w:rsid w:val="004819C7"/>
    <w:rsid w:val="00481D91"/>
    <w:rsid w:val="0048364F"/>
    <w:rsid w:val="00484A14"/>
    <w:rsid w:val="00484A68"/>
    <w:rsid w:val="004877FC"/>
    <w:rsid w:val="00487A64"/>
    <w:rsid w:val="0049000C"/>
    <w:rsid w:val="00490F2E"/>
    <w:rsid w:val="00496F97"/>
    <w:rsid w:val="004A4C09"/>
    <w:rsid w:val="004A4F70"/>
    <w:rsid w:val="004A53EA"/>
    <w:rsid w:val="004A623D"/>
    <w:rsid w:val="004A644F"/>
    <w:rsid w:val="004A74BC"/>
    <w:rsid w:val="004B0308"/>
    <w:rsid w:val="004B35E7"/>
    <w:rsid w:val="004B4983"/>
    <w:rsid w:val="004B6227"/>
    <w:rsid w:val="004C1007"/>
    <w:rsid w:val="004C45D3"/>
    <w:rsid w:val="004C73E6"/>
    <w:rsid w:val="004D5067"/>
    <w:rsid w:val="004E04DD"/>
    <w:rsid w:val="004E1671"/>
    <w:rsid w:val="004E20B3"/>
    <w:rsid w:val="004E4133"/>
    <w:rsid w:val="004F0CE6"/>
    <w:rsid w:val="004F1FAC"/>
    <w:rsid w:val="004F5435"/>
    <w:rsid w:val="004F6459"/>
    <w:rsid w:val="004F676E"/>
    <w:rsid w:val="004F71C0"/>
    <w:rsid w:val="00501983"/>
    <w:rsid w:val="005044B7"/>
    <w:rsid w:val="005060A6"/>
    <w:rsid w:val="005079AC"/>
    <w:rsid w:val="00515069"/>
    <w:rsid w:val="00515921"/>
    <w:rsid w:val="00516B8D"/>
    <w:rsid w:val="00520738"/>
    <w:rsid w:val="0052351E"/>
    <w:rsid w:val="00525B77"/>
    <w:rsid w:val="0052756C"/>
    <w:rsid w:val="00530230"/>
    <w:rsid w:val="00530CC9"/>
    <w:rsid w:val="00531B46"/>
    <w:rsid w:val="00531EDF"/>
    <w:rsid w:val="005355B4"/>
    <w:rsid w:val="00537FBC"/>
    <w:rsid w:val="00540301"/>
    <w:rsid w:val="00541D73"/>
    <w:rsid w:val="005424E4"/>
    <w:rsid w:val="00543469"/>
    <w:rsid w:val="00543FB7"/>
    <w:rsid w:val="00544169"/>
    <w:rsid w:val="00544F09"/>
    <w:rsid w:val="00546FA3"/>
    <w:rsid w:val="00557C7A"/>
    <w:rsid w:val="00561215"/>
    <w:rsid w:val="00562A58"/>
    <w:rsid w:val="00564947"/>
    <w:rsid w:val="0056541A"/>
    <w:rsid w:val="0056585D"/>
    <w:rsid w:val="00566EA2"/>
    <w:rsid w:val="00570E2F"/>
    <w:rsid w:val="0057194D"/>
    <w:rsid w:val="005725B7"/>
    <w:rsid w:val="00573FDF"/>
    <w:rsid w:val="00580F64"/>
    <w:rsid w:val="00581211"/>
    <w:rsid w:val="00584811"/>
    <w:rsid w:val="00587206"/>
    <w:rsid w:val="00593AA6"/>
    <w:rsid w:val="00593DBC"/>
    <w:rsid w:val="00594161"/>
    <w:rsid w:val="00594749"/>
    <w:rsid w:val="00594956"/>
    <w:rsid w:val="00596607"/>
    <w:rsid w:val="00597B15"/>
    <w:rsid w:val="005A00E1"/>
    <w:rsid w:val="005A53FB"/>
    <w:rsid w:val="005B136D"/>
    <w:rsid w:val="005B1555"/>
    <w:rsid w:val="005B3081"/>
    <w:rsid w:val="005B36E7"/>
    <w:rsid w:val="005B4067"/>
    <w:rsid w:val="005B52A2"/>
    <w:rsid w:val="005B6ABA"/>
    <w:rsid w:val="005C09A6"/>
    <w:rsid w:val="005C3F41"/>
    <w:rsid w:val="005C4EF0"/>
    <w:rsid w:val="005C5236"/>
    <w:rsid w:val="005D32E7"/>
    <w:rsid w:val="005D5EA1"/>
    <w:rsid w:val="005E0373"/>
    <w:rsid w:val="005E098C"/>
    <w:rsid w:val="005E1F8D"/>
    <w:rsid w:val="005E317F"/>
    <w:rsid w:val="005E61D3"/>
    <w:rsid w:val="005F5B6D"/>
    <w:rsid w:val="005F7C28"/>
    <w:rsid w:val="00600219"/>
    <w:rsid w:val="00603679"/>
    <w:rsid w:val="00603F60"/>
    <w:rsid w:val="00605272"/>
    <w:rsid w:val="006065DA"/>
    <w:rsid w:val="00606AA4"/>
    <w:rsid w:val="00607607"/>
    <w:rsid w:val="00610C0C"/>
    <w:rsid w:val="0061174E"/>
    <w:rsid w:val="0062454E"/>
    <w:rsid w:val="00624C3D"/>
    <w:rsid w:val="006304C4"/>
    <w:rsid w:val="006314CF"/>
    <w:rsid w:val="006348E7"/>
    <w:rsid w:val="00640402"/>
    <w:rsid w:val="00640F78"/>
    <w:rsid w:val="00641079"/>
    <w:rsid w:val="00641513"/>
    <w:rsid w:val="0064179F"/>
    <w:rsid w:val="00643688"/>
    <w:rsid w:val="00647E11"/>
    <w:rsid w:val="006535A4"/>
    <w:rsid w:val="00655D6A"/>
    <w:rsid w:val="00656013"/>
    <w:rsid w:val="00656DE9"/>
    <w:rsid w:val="006632D2"/>
    <w:rsid w:val="00665379"/>
    <w:rsid w:val="00666E93"/>
    <w:rsid w:val="006711C7"/>
    <w:rsid w:val="00672876"/>
    <w:rsid w:val="00672EA1"/>
    <w:rsid w:val="0067455C"/>
    <w:rsid w:val="006750F0"/>
    <w:rsid w:val="00677CC2"/>
    <w:rsid w:val="00677E41"/>
    <w:rsid w:val="00685F42"/>
    <w:rsid w:val="00690EB4"/>
    <w:rsid w:val="006911BC"/>
    <w:rsid w:val="0069207B"/>
    <w:rsid w:val="00694E93"/>
    <w:rsid w:val="006A0F4B"/>
    <w:rsid w:val="006A304E"/>
    <w:rsid w:val="006A4795"/>
    <w:rsid w:val="006A5341"/>
    <w:rsid w:val="006A5600"/>
    <w:rsid w:val="006A6ACE"/>
    <w:rsid w:val="006A6F36"/>
    <w:rsid w:val="006B06BD"/>
    <w:rsid w:val="006B1462"/>
    <w:rsid w:val="006B4BA2"/>
    <w:rsid w:val="006B7006"/>
    <w:rsid w:val="006C0E82"/>
    <w:rsid w:val="006C7F8C"/>
    <w:rsid w:val="006D17C0"/>
    <w:rsid w:val="006D3D12"/>
    <w:rsid w:val="006D4C62"/>
    <w:rsid w:val="006D7AB9"/>
    <w:rsid w:val="006E03B9"/>
    <w:rsid w:val="006E3698"/>
    <w:rsid w:val="006E5EAB"/>
    <w:rsid w:val="006F387B"/>
    <w:rsid w:val="0070058B"/>
    <w:rsid w:val="0070061E"/>
    <w:rsid w:val="00700B2C"/>
    <w:rsid w:val="00700BDC"/>
    <w:rsid w:val="0070501E"/>
    <w:rsid w:val="00705A7E"/>
    <w:rsid w:val="00706C46"/>
    <w:rsid w:val="00707198"/>
    <w:rsid w:val="00711747"/>
    <w:rsid w:val="00711E94"/>
    <w:rsid w:val="00712ACF"/>
    <w:rsid w:val="00713084"/>
    <w:rsid w:val="00714006"/>
    <w:rsid w:val="00716E81"/>
    <w:rsid w:val="00717463"/>
    <w:rsid w:val="00717722"/>
    <w:rsid w:val="00720FC2"/>
    <w:rsid w:val="00722E89"/>
    <w:rsid w:val="00723955"/>
    <w:rsid w:val="0072796C"/>
    <w:rsid w:val="00731E00"/>
    <w:rsid w:val="0073389F"/>
    <w:rsid w:val="007339C7"/>
    <w:rsid w:val="00734903"/>
    <w:rsid w:val="00737D29"/>
    <w:rsid w:val="007440B7"/>
    <w:rsid w:val="00745CAF"/>
    <w:rsid w:val="00747993"/>
    <w:rsid w:val="0076315F"/>
    <w:rsid w:val="007634AD"/>
    <w:rsid w:val="00766E0D"/>
    <w:rsid w:val="00770CEB"/>
    <w:rsid w:val="007715C9"/>
    <w:rsid w:val="00774EDD"/>
    <w:rsid w:val="007757EC"/>
    <w:rsid w:val="007774E5"/>
    <w:rsid w:val="007812B2"/>
    <w:rsid w:val="00784CA6"/>
    <w:rsid w:val="00786C3B"/>
    <w:rsid w:val="00787608"/>
    <w:rsid w:val="00790DA1"/>
    <w:rsid w:val="00793A4F"/>
    <w:rsid w:val="00793C3C"/>
    <w:rsid w:val="00794B88"/>
    <w:rsid w:val="00796B84"/>
    <w:rsid w:val="007A0787"/>
    <w:rsid w:val="007A11CA"/>
    <w:rsid w:val="007A1C5C"/>
    <w:rsid w:val="007A4277"/>
    <w:rsid w:val="007A5255"/>
    <w:rsid w:val="007A6863"/>
    <w:rsid w:val="007B0C44"/>
    <w:rsid w:val="007C3A90"/>
    <w:rsid w:val="007C49B7"/>
    <w:rsid w:val="007C502C"/>
    <w:rsid w:val="007C6237"/>
    <w:rsid w:val="007C6A9B"/>
    <w:rsid w:val="007C73B1"/>
    <w:rsid w:val="007C78B4"/>
    <w:rsid w:val="007D0013"/>
    <w:rsid w:val="007D1AF2"/>
    <w:rsid w:val="007D479E"/>
    <w:rsid w:val="007D4B3B"/>
    <w:rsid w:val="007E32B6"/>
    <w:rsid w:val="007E486B"/>
    <w:rsid w:val="007E56DE"/>
    <w:rsid w:val="007E792C"/>
    <w:rsid w:val="007E7D4A"/>
    <w:rsid w:val="007F26F4"/>
    <w:rsid w:val="007F48ED"/>
    <w:rsid w:val="007F537E"/>
    <w:rsid w:val="007F5E3F"/>
    <w:rsid w:val="007F7AC6"/>
    <w:rsid w:val="008057B0"/>
    <w:rsid w:val="008077E7"/>
    <w:rsid w:val="00812F45"/>
    <w:rsid w:val="0082052D"/>
    <w:rsid w:val="0082513C"/>
    <w:rsid w:val="00826A4A"/>
    <w:rsid w:val="0082702C"/>
    <w:rsid w:val="008367F6"/>
    <w:rsid w:val="00836CE4"/>
    <w:rsid w:val="00836FE9"/>
    <w:rsid w:val="0084172C"/>
    <w:rsid w:val="00843692"/>
    <w:rsid w:val="0084714A"/>
    <w:rsid w:val="008512BD"/>
    <w:rsid w:val="0085175E"/>
    <w:rsid w:val="00851E21"/>
    <w:rsid w:val="00856A31"/>
    <w:rsid w:val="00857571"/>
    <w:rsid w:val="008610C3"/>
    <w:rsid w:val="00861ED1"/>
    <w:rsid w:val="008623C8"/>
    <w:rsid w:val="008637D4"/>
    <w:rsid w:val="008754D0"/>
    <w:rsid w:val="00877C69"/>
    <w:rsid w:val="00877D48"/>
    <w:rsid w:val="00882731"/>
    <w:rsid w:val="00882C89"/>
    <w:rsid w:val="0088345B"/>
    <w:rsid w:val="00883B1F"/>
    <w:rsid w:val="008907EA"/>
    <w:rsid w:val="00893D69"/>
    <w:rsid w:val="00897E30"/>
    <w:rsid w:val="008A0576"/>
    <w:rsid w:val="008A0D26"/>
    <w:rsid w:val="008A16A5"/>
    <w:rsid w:val="008A3542"/>
    <w:rsid w:val="008A5C57"/>
    <w:rsid w:val="008B222C"/>
    <w:rsid w:val="008B47E5"/>
    <w:rsid w:val="008C0629"/>
    <w:rsid w:val="008C0A01"/>
    <w:rsid w:val="008C3035"/>
    <w:rsid w:val="008D0EE0"/>
    <w:rsid w:val="008D2754"/>
    <w:rsid w:val="008D325F"/>
    <w:rsid w:val="008D3C5D"/>
    <w:rsid w:val="008D4DA6"/>
    <w:rsid w:val="008D5701"/>
    <w:rsid w:val="008D7A27"/>
    <w:rsid w:val="008E0BE6"/>
    <w:rsid w:val="008E11D0"/>
    <w:rsid w:val="008E3BAE"/>
    <w:rsid w:val="008E4702"/>
    <w:rsid w:val="008E69AA"/>
    <w:rsid w:val="008F1DAD"/>
    <w:rsid w:val="008F24F4"/>
    <w:rsid w:val="008F3AE4"/>
    <w:rsid w:val="008F4F1C"/>
    <w:rsid w:val="009001D8"/>
    <w:rsid w:val="0090555D"/>
    <w:rsid w:val="009069AD"/>
    <w:rsid w:val="00910E64"/>
    <w:rsid w:val="0091142A"/>
    <w:rsid w:val="00912BD7"/>
    <w:rsid w:val="00912C69"/>
    <w:rsid w:val="0091306B"/>
    <w:rsid w:val="00913BFC"/>
    <w:rsid w:val="009140D7"/>
    <w:rsid w:val="00921791"/>
    <w:rsid w:val="00922764"/>
    <w:rsid w:val="0092602B"/>
    <w:rsid w:val="00926D60"/>
    <w:rsid w:val="009276D5"/>
    <w:rsid w:val="009278C1"/>
    <w:rsid w:val="00932377"/>
    <w:rsid w:val="009346E3"/>
    <w:rsid w:val="009357BC"/>
    <w:rsid w:val="009369A4"/>
    <w:rsid w:val="0094523D"/>
    <w:rsid w:val="009464CB"/>
    <w:rsid w:val="00947678"/>
    <w:rsid w:val="00947961"/>
    <w:rsid w:val="009512BE"/>
    <w:rsid w:val="00953F68"/>
    <w:rsid w:val="0096335E"/>
    <w:rsid w:val="009662A0"/>
    <w:rsid w:val="00967133"/>
    <w:rsid w:val="0096724E"/>
    <w:rsid w:val="00967428"/>
    <w:rsid w:val="00970C38"/>
    <w:rsid w:val="00970CAA"/>
    <w:rsid w:val="00971566"/>
    <w:rsid w:val="009764AA"/>
    <w:rsid w:val="00976950"/>
    <w:rsid w:val="00976A63"/>
    <w:rsid w:val="0097794D"/>
    <w:rsid w:val="00981E88"/>
    <w:rsid w:val="00984B21"/>
    <w:rsid w:val="009933CF"/>
    <w:rsid w:val="009935A3"/>
    <w:rsid w:val="009A1A7F"/>
    <w:rsid w:val="009A6206"/>
    <w:rsid w:val="009B2490"/>
    <w:rsid w:val="009B3649"/>
    <w:rsid w:val="009B3738"/>
    <w:rsid w:val="009B50E5"/>
    <w:rsid w:val="009C0148"/>
    <w:rsid w:val="009C3431"/>
    <w:rsid w:val="009C5989"/>
    <w:rsid w:val="009C6A32"/>
    <w:rsid w:val="009D08DA"/>
    <w:rsid w:val="009D22E7"/>
    <w:rsid w:val="009D4AF1"/>
    <w:rsid w:val="009D7647"/>
    <w:rsid w:val="009F00B5"/>
    <w:rsid w:val="009F00FF"/>
    <w:rsid w:val="00A06860"/>
    <w:rsid w:val="00A06D6C"/>
    <w:rsid w:val="00A11AE7"/>
    <w:rsid w:val="00A136F5"/>
    <w:rsid w:val="00A14F05"/>
    <w:rsid w:val="00A231E2"/>
    <w:rsid w:val="00A241BF"/>
    <w:rsid w:val="00A24448"/>
    <w:rsid w:val="00A25004"/>
    <w:rsid w:val="00A2550D"/>
    <w:rsid w:val="00A379BB"/>
    <w:rsid w:val="00A4169B"/>
    <w:rsid w:val="00A45149"/>
    <w:rsid w:val="00A453E8"/>
    <w:rsid w:val="00A45E33"/>
    <w:rsid w:val="00A50D55"/>
    <w:rsid w:val="00A51701"/>
    <w:rsid w:val="00A52FDA"/>
    <w:rsid w:val="00A533DA"/>
    <w:rsid w:val="00A54A82"/>
    <w:rsid w:val="00A55ED9"/>
    <w:rsid w:val="00A62CD0"/>
    <w:rsid w:val="00A62FE5"/>
    <w:rsid w:val="00A64912"/>
    <w:rsid w:val="00A65650"/>
    <w:rsid w:val="00A70A74"/>
    <w:rsid w:val="00A710AB"/>
    <w:rsid w:val="00A71531"/>
    <w:rsid w:val="00A731D2"/>
    <w:rsid w:val="00A73670"/>
    <w:rsid w:val="00A83037"/>
    <w:rsid w:val="00A87881"/>
    <w:rsid w:val="00A90440"/>
    <w:rsid w:val="00A91E55"/>
    <w:rsid w:val="00A9231A"/>
    <w:rsid w:val="00A95BC7"/>
    <w:rsid w:val="00A9621D"/>
    <w:rsid w:val="00A97815"/>
    <w:rsid w:val="00AA0343"/>
    <w:rsid w:val="00AA5EEE"/>
    <w:rsid w:val="00AA78CE"/>
    <w:rsid w:val="00AA7B26"/>
    <w:rsid w:val="00AB2492"/>
    <w:rsid w:val="00AB3BE6"/>
    <w:rsid w:val="00AB4910"/>
    <w:rsid w:val="00AB4A5D"/>
    <w:rsid w:val="00AB4C24"/>
    <w:rsid w:val="00AB59C5"/>
    <w:rsid w:val="00AB6D1C"/>
    <w:rsid w:val="00AB73E4"/>
    <w:rsid w:val="00AC708D"/>
    <w:rsid w:val="00AC7507"/>
    <w:rsid w:val="00AC767C"/>
    <w:rsid w:val="00AD06B5"/>
    <w:rsid w:val="00AD2930"/>
    <w:rsid w:val="00AD3467"/>
    <w:rsid w:val="00AD4E9C"/>
    <w:rsid w:val="00AD5641"/>
    <w:rsid w:val="00AD6608"/>
    <w:rsid w:val="00AE42EA"/>
    <w:rsid w:val="00AF02A3"/>
    <w:rsid w:val="00AF33DB"/>
    <w:rsid w:val="00AF3B24"/>
    <w:rsid w:val="00AF593C"/>
    <w:rsid w:val="00AF7490"/>
    <w:rsid w:val="00B01043"/>
    <w:rsid w:val="00B032D8"/>
    <w:rsid w:val="00B035FF"/>
    <w:rsid w:val="00B036D5"/>
    <w:rsid w:val="00B04B7E"/>
    <w:rsid w:val="00B05D04"/>
    <w:rsid w:val="00B05D72"/>
    <w:rsid w:val="00B101B0"/>
    <w:rsid w:val="00B15E3E"/>
    <w:rsid w:val="00B20990"/>
    <w:rsid w:val="00B21036"/>
    <w:rsid w:val="00B23FAF"/>
    <w:rsid w:val="00B26161"/>
    <w:rsid w:val="00B31863"/>
    <w:rsid w:val="00B3241B"/>
    <w:rsid w:val="00B33725"/>
    <w:rsid w:val="00B33B3C"/>
    <w:rsid w:val="00B33E83"/>
    <w:rsid w:val="00B35BBD"/>
    <w:rsid w:val="00B40D74"/>
    <w:rsid w:val="00B411E9"/>
    <w:rsid w:val="00B42649"/>
    <w:rsid w:val="00B449D3"/>
    <w:rsid w:val="00B46467"/>
    <w:rsid w:val="00B5036A"/>
    <w:rsid w:val="00B52663"/>
    <w:rsid w:val="00B56DCB"/>
    <w:rsid w:val="00B609A3"/>
    <w:rsid w:val="00B614A4"/>
    <w:rsid w:val="00B6155E"/>
    <w:rsid w:val="00B61728"/>
    <w:rsid w:val="00B61A25"/>
    <w:rsid w:val="00B67A53"/>
    <w:rsid w:val="00B7354D"/>
    <w:rsid w:val="00B73797"/>
    <w:rsid w:val="00B770D2"/>
    <w:rsid w:val="00B77318"/>
    <w:rsid w:val="00B800DD"/>
    <w:rsid w:val="00B8439D"/>
    <w:rsid w:val="00B93516"/>
    <w:rsid w:val="00B95D5B"/>
    <w:rsid w:val="00B96776"/>
    <w:rsid w:val="00B973E5"/>
    <w:rsid w:val="00B97D05"/>
    <w:rsid w:val="00BA47A3"/>
    <w:rsid w:val="00BA5026"/>
    <w:rsid w:val="00BA7B5B"/>
    <w:rsid w:val="00BB50BD"/>
    <w:rsid w:val="00BB6E67"/>
    <w:rsid w:val="00BB6E79"/>
    <w:rsid w:val="00BC0994"/>
    <w:rsid w:val="00BC11D7"/>
    <w:rsid w:val="00BC5CFF"/>
    <w:rsid w:val="00BD1E8E"/>
    <w:rsid w:val="00BE0007"/>
    <w:rsid w:val="00BE0562"/>
    <w:rsid w:val="00BE16FF"/>
    <w:rsid w:val="00BE42C5"/>
    <w:rsid w:val="00BE719A"/>
    <w:rsid w:val="00BE720A"/>
    <w:rsid w:val="00BE7AF2"/>
    <w:rsid w:val="00BF0723"/>
    <w:rsid w:val="00BF18E0"/>
    <w:rsid w:val="00BF39B5"/>
    <w:rsid w:val="00BF3DFF"/>
    <w:rsid w:val="00BF6650"/>
    <w:rsid w:val="00C0131D"/>
    <w:rsid w:val="00C04DBA"/>
    <w:rsid w:val="00C067E5"/>
    <w:rsid w:val="00C123F8"/>
    <w:rsid w:val="00C13370"/>
    <w:rsid w:val="00C13E06"/>
    <w:rsid w:val="00C164CA"/>
    <w:rsid w:val="00C1695C"/>
    <w:rsid w:val="00C23E57"/>
    <w:rsid w:val="00C26051"/>
    <w:rsid w:val="00C27963"/>
    <w:rsid w:val="00C37B42"/>
    <w:rsid w:val="00C42BF8"/>
    <w:rsid w:val="00C42EB2"/>
    <w:rsid w:val="00C43087"/>
    <w:rsid w:val="00C460AE"/>
    <w:rsid w:val="00C50043"/>
    <w:rsid w:val="00C5015F"/>
    <w:rsid w:val="00C50A0F"/>
    <w:rsid w:val="00C50F4A"/>
    <w:rsid w:val="00C531BF"/>
    <w:rsid w:val="00C54C44"/>
    <w:rsid w:val="00C560B2"/>
    <w:rsid w:val="00C5713F"/>
    <w:rsid w:val="00C621CE"/>
    <w:rsid w:val="00C666A5"/>
    <w:rsid w:val="00C72D10"/>
    <w:rsid w:val="00C73427"/>
    <w:rsid w:val="00C7573B"/>
    <w:rsid w:val="00C76CF3"/>
    <w:rsid w:val="00C8347F"/>
    <w:rsid w:val="00C849BB"/>
    <w:rsid w:val="00C86EF5"/>
    <w:rsid w:val="00C90D36"/>
    <w:rsid w:val="00C93205"/>
    <w:rsid w:val="00C9425C"/>
    <w:rsid w:val="00C945DC"/>
    <w:rsid w:val="00C952C9"/>
    <w:rsid w:val="00CA7844"/>
    <w:rsid w:val="00CB21B4"/>
    <w:rsid w:val="00CB2DD2"/>
    <w:rsid w:val="00CB4202"/>
    <w:rsid w:val="00CB58EF"/>
    <w:rsid w:val="00CC5C2E"/>
    <w:rsid w:val="00CC62D1"/>
    <w:rsid w:val="00CC7BFE"/>
    <w:rsid w:val="00CC7D4B"/>
    <w:rsid w:val="00CD15D7"/>
    <w:rsid w:val="00CD19D2"/>
    <w:rsid w:val="00CD455A"/>
    <w:rsid w:val="00CD7F28"/>
    <w:rsid w:val="00CE0A93"/>
    <w:rsid w:val="00CE30A0"/>
    <w:rsid w:val="00CE40DC"/>
    <w:rsid w:val="00CE7AEA"/>
    <w:rsid w:val="00CF05BB"/>
    <w:rsid w:val="00CF0BB2"/>
    <w:rsid w:val="00CF4271"/>
    <w:rsid w:val="00D016CD"/>
    <w:rsid w:val="00D02048"/>
    <w:rsid w:val="00D12B0D"/>
    <w:rsid w:val="00D13441"/>
    <w:rsid w:val="00D1525A"/>
    <w:rsid w:val="00D20ABD"/>
    <w:rsid w:val="00D243A3"/>
    <w:rsid w:val="00D24986"/>
    <w:rsid w:val="00D3288E"/>
    <w:rsid w:val="00D32968"/>
    <w:rsid w:val="00D33440"/>
    <w:rsid w:val="00D3693A"/>
    <w:rsid w:val="00D44FC9"/>
    <w:rsid w:val="00D46A33"/>
    <w:rsid w:val="00D52BEE"/>
    <w:rsid w:val="00D52CC1"/>
    <w:rsid w:val="00D52EFE"/>
    <w:rsid w:val="00D55C8D"/>
    <w:rsid w:val="00D55E3A"/>
    <w:rsid w:val="00D56A0D"/>
    <w:rsid w:val="00D63EF6"/>
    <w:rsid w:val="00D66518"/>
    <w:rsid w:val="00D70DFB"/>
    <w:rsid w:val="00D71EEA"/>
    <w:rsid w:val="00D72DCC"/>
    <w:rsid w:val="00D735CD"/>
    <w:rsid w:val="00D766DF"/>
    <w:rsid w:val="00D7775A"/>
    <w:rsid w:val="00D8160E"/>
    <w:rsid w:val="00D8623F"/>
    <w:rsid w:val="00D90841"/>
    <w:rsid w:val="00D9512C"/>
    <w:rsid w:val="00D9746A"/>
    <w:rsid w:val="00DA0296"/>
    <w:rsid w:val="00DA20C9"/>
    <w:rsid w:val="00DA2439"/>
    <w:rsid w:val="00DA381B"/>
    <w:rsid w:val="00DA5D59"/>
    <w:rsid w:val="00DA6F05"/>
    <w:rsid w:val="00DB64FC"/>
    <w:rsid w:val="00DB67D4"/>
    <w:rsid w:val="00DC017A"/>
    <w:rsid w:val="00DC1425"/>
    <w:rsid w:val="00DD403D"/>
    <w:rsid w:val="00DE149E"/>
    <w:rsid w:val="00DE4FD0"/>
    <w:rsid w:val="00DE5229"/>
    <w:rsid w:val="00DE6E05"/>
    <w:rsid w:val="00DE72C3"/>
    <w:rsid w:val="00DF3D4F"/>
    <w:rsid w:val="00DF429D"/>
    <w:rsid w:val="00E034DB"/>
    <w:rsid w:val="00E05704"/>
    <w:rsid w:val="00E05FF0"/>
    <w:rsid w:val="00E11DC8"/>
    <w:rsid w:val="00E12F1A"/>
    <w:rsid w:val="00E147A6"/>
    <w:rsid w:val="00E22935"/>
    <w:rsid w:val="00E23B38"/>
    <w:rsid w:val="00E24417"/>
    <w:rsid w:val="00E25C44"/>
    <w:rsid w:val="00E3255C"/>
    <w:rsid w:val="00E34BA3"/>
    <w:rsid w:val="00E40FC9"/>
    <w:rsid w:val="00E44A7F"/>
    <w:rsid w:val="00E4592E"/>
    <w:rsid w:val="00E5322E"/>
    <w:rsid w:val="00E54292"/>
    <w:rsid w:val="00E54DBA"/>
    <w:rsid w:val="00E57A48"/>
    <w:rsid w:val="00E60191"/>
    <w:rsid w:val="00E61819"/>
    <w:rsid w:val="00E61B6A"/>
    <w:rsid w:val="00E62268"/>
    <w:rsid w:val="00E64EBB"/>
    <w:rsid w:val="00E656BE"/>
    <w:rsid w:val="00E705C5"/>
    <w:rsid w:val="00E72604"/>
    <w:rsid w:val="00E728A1"/>
    <w:rsid w:val="00E74DC7"/>
    <w:rsid w:val="00E76238"/>
    <w:rsid w:val="00E804FF"/>
    <w:rsid w:val="00E825DF"/>
    <w:rsid w:val="00E83366"/>
    <w:rsid w:val="00E87699"/>
    <w:rsid w:val="00E92E27"/>
    <w:rsid w:val="00E955B2"/>
    <w:rsid w:val="00E9586B"/>
    <w:rsid w:val="00E97334"/>
    <w:rsid w:val="00E97C4E"/>
    <w:rsid w:val="00EA29D8"/>
    <w:rsid w:val="00EA2BCE"/>
    <w:rsid w:val="00EA3B86"/>
    <w:rsid w:val="00EA4CDC"/>
    <w:rsid w:val="00EA5AB2"/>
    <w:rsid w:val="00EB034B"/>
    <w:rsid w:val="00EB3A99"/>
    <w:rsid w:val="00EB65F8"/>
    <w:rsid w:val="00EC2DEE"/>
    <w:rsid w:val="00EC7D0B"/>
    <w:rsid w:val="00ED2897"/>
    <w:rsid w:val="00ED2DA2"/>
    <w:rsid w:val="00ED4928"/>
    <w:rsid w:val="00EE0D53"/>
    <w:rsid w:val="00EE3FFE"/>
    <w:rsid w:val="00EE57E8"/>
    <w:rsid w:val="00EE6190"/>
    <w:rsid w:val="00EF2E3A"/>
    <w:rsid w:val="00EF6402"/>
    <w:rsid w:val="00F017F2"/>
    <w:rsid w:val="00F01B11"/>
    <w:rsid w:val="00F01E60"/>
    <w:rsid w:val="00F0341B"/>
    <w:rsid w:val="00F047E2"/>
    <w:rsid w:val="00F04BEF"/>
    <w:rsid w:val="00F04D57"/>
    <w:rsid w:val="00F078DC"/>
    <w:rsid w:val="00F0795A"/>
    <w:rsid w:val="00F07E83"/>
    <w:rsid w:val="00F11A01"/>
    <w:rsid w:val="00F13E86"/>
    <w:rsid w:val="00F17341"/>
    <w:rsid w:val="00F1787F"/>
    <w:rsid w:val="00F20B52"/>
    <w:rsid w:val="00F221EE"/>
    <w:rsid w:val="00F24C8B"/>
    <w:rsid w:val="00F25AAB"/>
    <w:rsid w:val="00F3032D"/>
    <w:rsid w:val="00F30A42"/>
    <w:rsid w:val="00F3191C"/>
    <w:rsid w:val="00F32FCB"/>
    <w:rsid w:val="00F33523"/>
    <w:rsid w:val="00F35CC4"/>
    <w:rsid w:val="00F36499"/>
    <w:rsid w:val="00F40FC6"/>
    <w:rsid w:val="00F40FF6"/>
    <w:rsid w:val="00F41CB9"/>
    <w:rsid w:val="00F41FC4"/>
    <w:rsid w:val="00F53DB0"/>
    <w:rsid w:val="00F63C38"/>
    <w:rsid w:val="00F677A9"/>
    <w:rsid w:val="00F725A8"/>
    <w:rsid w:val="00F75594"/>
    <w:rsid w:val="00F8121C"/>
    <w:rsid w:val="00F8203F"/>
    <w:rsid w:val="00F84CF5"/>
    <w:rsid w:val="00F8612E"/>
    <w:rsid w:val="00F86965"/>
    <w:rsid w:val="00F86B7E"/>
    <w:rsid w:val="00F87E3B"/>
    <w:rsid w:val="00F94583"/>
    <w:rsid w:val="00F94B07"/>
    <w:rsid w:val="00F94C53"/>
    <w:rsid w:val="00F976EF"/>
    <w:rsid w:val="00F97960"/>
    <w:rsid w:val="00FA420B"/>
    <w:rsid w:val="00FB146D"/>
    <w:rsid w:val="00FB2369"/>
    <w:rsid w:val="00FB402E"/>
    <w:rsid w:val="00FB4620"/>
    <w:rsid w:val="00FB6AEE"/>
    <w:rsid w:val="00FB7A3A"/>
    <w:rsid w:val="00FC3EAC"/>
    <w:rsid w:val="00FC5412"/>
    <w:rsid w:val="00FE05BF"/>
    <w:rsid w:val="00FE0ADB"/>
    <w:rsid w:val="00FE237C"/>
    <w:rsid w:val="00FE3EE2"/>
    <w:rsid w:val="00FE46E5"/>
    <w:rsid w:val="00FE6D34"/>
    <w:rsid w:val="00FE7B31"/>
    <w:rsid w:val="00FE7CAC"/>
    <w:rsid w:val="00FF06C3"/>
    <w:rsid w:val="00FF39DE"/>
    <w:rsid w:val="00FF5262"/>
    <w:rsid w:val="00FF6F19"/>
    <w:rsid w:val="0CA0C609"/>
    <w:rsid w:val="27789B00"/>
    <w:rsid w:val="4A8514FC"/>
    <w:rsid w:val="4C90681E"/>
    <w:rsid w:val="4ED3A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04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555D"/>
    <w:pPr>
      <w:spacing w:line="260" w:lineRule="atLeast"/>
      <w:jc w:val="lef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5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5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0555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5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5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90555D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0555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0555D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90555D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90555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5B136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0555D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sub">
    <w:name w:val="paragraph(sub)"/>
    <w:aliases w:val="aa"/>
    <w:basedOn w:val="Normal"/>
    <w:rsid w:val="0090555D"/>
    <w:pPr>
      <w:tabs>
        <w:tab w:val="right" w:pos="1985"/>
      </w:tabs>
      <w:spacing w:before="40" w:line="240" w:lineRule="auto"/>
      <w:ind w:left="2098" w:hanging="2098"/>
    </w:pPr>
    <w:rPr>
      <w:rFonts w:eastAsia="Times New Roman" w:cs="Times New Roman"/>
      <w:lang w:eastAsia="en-AU"/>
    </w:rPr>
  </w:style>
  <w:style w:type="paragraph" w:customStyle="1" w:styleId="paragraph">
    <w:name w:val="paragraph"/>
    <w:aliases w:val="a"/>
    <w:basedOn w:val="Normal"/>
    <w:rsid w:val="0090555D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90555D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0555D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table" w:styleId="TableGrid">
    <w:name w:val="Table Grid"/>
    <w:basedOn w:val="TableNormal"/>
    <w:uiPriority w:val="59"/>
    <w:rsid w:val="005B136D"/>
    <w:pPr>
      <w:jc w:val="left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90555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0555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0555D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136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136D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B1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3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36D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555D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36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555D"/>
    <w:pPr>
      <w:jc w:val="left"/>
    </w:pPr>
    <w:rPr>
      <w:rFonts w:ascii="Times New Roman" w:hAnsi="Times New Roman"/>
      <w:szCs w:val="20"/>
    </w:rPr>
  </w:style>
  <w:style w:type="paragraph" w:customStyle="1" w:styleId="acthead50">
    <w:name w:val="acthead5"/>
    <w:basedOn w:val="Normal"/>
    <w:rsid w:val="00AB6D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AB6D1C"/>
  </w:style>
  <w:style w:type="paragraph" w:customStyle="1" w:styleId="notetext0">
    <w:name w:val="notetext"/>
    <w:basedOn w:val="Normal"/>
    <w:rsid w:val="00AB6D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0555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90555D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ItemHead"/>
    <w:rsid w:val="0090555D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90555D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D27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2754"/>
    <w:rPr>
      <w:color w:val="954F72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9A1A7F"/>
    <w:pPr>
      <w:keepLines/>
      <w:tabs>
        <w:tab w:val="right" w:pos="8278"/>
      </w:tabs>
      <w:spacing w:before="120" w:line="240" w:lineRule="auto"/>
      <w:ind w:left="1344" w:right="567" w:hanging="1344"/>
    </w:pPr>
    <w:rPr>
      <w:noProof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90555D"/>
    <w:pPr>
      <w:keepLines/>
      <w:tabs>
        <w:tab w:val="right" w:pos="8278"/>
      </w:tabs>
      <w:spacing w:before="80" w:line="240" w:lineRule="auto"/>
      <w:ind w:left="851" w:right="567"/>
    </w:pPr>
  </w:style>
  <w:style w:type="paragraph" w:styleId="Footer">
    <w:name w:val="footer"/>
    <w:basedOn w:val="Normal"/>
    <w:link w:val="FooterChar"/>
    <w:unhideWhenUsed/>
    <w:rsid w:val="009055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4A7F"/>
    <w:rPr>
      <w:rFonts w:ascii="Times New Roman" w:hAnsi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6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tepara">
    <w:name w:val="note(para)"/>
    <w:aliases w:val="na"/>
    <w:basedOn w:val="Normal"/>
    <w:rsid w:val="0090555D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90555D"/>
    <w:pPr>
      <w:spacing w:after="200" w:line="276" w:lineRule="auto"/>
      <w:ind w:left="720"/>
    </w:pPr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055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55D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55D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55D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rsid w:val="0090555D"/>
    <w:rPr>
      <w:rFonts w:ascii="Arial" w:eastAsia="Times New Roman" w:hAnsi="Arial" w:cs="Times New Roman"/>
      <w:b/>
      <w:kern w:val="28"/>
      <w:sz w:val="32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55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5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90555D"/>
  </w:style>
  <w:style w:type="paragraph" w:customStyle="1" w:styleId="OPCParaBase">
    <w:name w:val="OPCParaBase"/>
    <w:qFormat/>
    <w:rsid w:val="0090555D"/>
    <w:pPr>
      <w:spacing w:line="260" w:lineRule="atLeast"/>
      <w:jc w:val="lef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qFormat/>
    <w:rsid w:val="0090555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555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555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555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90555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555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90555D"/>
  </w:style>
  <w:style w:type="paragraph" w:customStyle="1" w:styleId="Blocks">
    <w:name w:val="Blocks"/>
    <w:aliases w:val="bb"/>
    <w:basedOn w:val="OPCParaBase"/>
    <w:qFormat/>
    <w:rsid w:val="0090555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55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555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555D"/>
    <w:rPr>
      <w:i/>
    </w:rPr>
  </w:style>
  <w:style w:type="paragraph" w:customStyle="1" w:styleId="BoxList">
    <w:name w:val="BoxList"/>
    <w:aliases w:val="bl"/>
    <w:basedOn w:val="BoxText"/>
    <w:qFormat/>
    <w:rsid w:val="0090555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555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555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555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0555D"/>
  </w:style>
  <w:style w:type="character" w:customStyle="1" w:styleId="CharAmPartText">
    <w:name w:val="CharAmPartText"/>
    <w:basedOn w:val="OPCCharBase"/>
    <w:uiPriority w:val="1"/>
    <w:qFormat/>
    <w:rsid w:val="0090555D"/>
  </w:style>
  <w:style w:type="character" w:customStyle="1" w:styleId="CharAmSchNo">
    <w:name w:val="CharAmSchNo"/>
    <w:basedOn w:val="OPCCharBase"/>
    <w:uiPriority w:val="1"/>
    <w:qFormat/>
    <w:rsid w:val="0090555D"/>
  </w:style>
  <w:style w:type="character" w:customStyle="1" w:styleId="CharAmSchText">
    <w:name w:val="CharAmSchText"/>
    <w:basedOn w:val="OPCCharBase"/>
    <w:uiPriority w:val="1"/>
    <w:qFormat/>
    <w:rsid w:val="0090555D"/>
  </w:style>
  <w:style w:type="character" w:customStyle="1" w:styleId="CharBoldItalic">
    <w:name w:val="CharBoldItalic"/>
    <w:basedOn w:val="OPCCharBase"/>
    <w:uiPriority w:val="1"/>
    <w:qFormat/>
    <w:rsid w:val="0090555D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555D"/>
  </w:style>
  <w:style w:type="character" w:customStyle="1" w:styleId="CharChapText">
    <w:name w:val="CharChapText"/>
    <w:basedOn w:val="OPCCharBase"/>
    <w:uiPriority w:val="1"/>
    <w:qFormat/>
    <w:rsid w:val="0090555D"/>
  </w:style>
  <w:style w:type="character" w:customStyle="1" w:styleId="CharDivNo">
    <w:name w:val="CharDivNo"/>
    <w:basedOn w:val="OPCCharBase"/>
    <w:uiPriority w:val="1"/>
    <w:qFormat/>
    <w:rsid w:val="0090555D"/>
  </w:style>
  <w:style w:type="character" w:customStyle="1" w:styleId="CharDivText">
    <w:name w:val="CharDivText"/>
    <w:basedOn w:val="OPCCharBase"/>
    <w:uiPriority w:val="1"/>
    <w:qFormat/>
    <w:rsid w:val="0090555D"/>
  </w:style>
  <w:style w:type="character" w:customStyle="1" w:styleId="CharItalic">
    <w:name w:val="CharItalic"/>
    <w:basedOn w:val="OPCCharBase"/>
    <w:uiPriority w:val="1"/>
    <w:qFormat/>
    <w:rsid w:val="0090555D"/>
    <w:rPr>
      <w:i/>
    </w:rPr>
  </w:style>
  <w:style w:type="character" w:customStyle="1" w:styleId="CharPartNo">
    <w:name w:val="CharPartNo"/>
    <w:basedOn w:val="OPCCharBase"/>
    <w:uiPriority w:val="1"/>
    <w:qFormat/>
    <w:rsid w:val="0090555D"/>
  </w:style>
  <w:style w:type="character" w:customStyle="1" w:styleId="CharPartText">
    <w:name w:val="CharPartText"/>
    <w:basedOn w:val="OPCCharBase"/>
    <w:uiPriority w:val="1"/>
    <w:qFormat/>
    <w:rsid w:val="0090555D"/>
  </w:style>
  <w:style w:type="character" w:customStyle="1" w:styleId="CharSectno0">
    <w:name w:val="CharSectno"/>
    <w:basedOn w:val="OPCCharBase"/>
    <w:qFormat/>
    <w:rsid w:val="0090555D"/>
  </w:style>
  <w:style w:type="character" w:customStyle="1" w:styleId="CharSubdNo">
    <w:name w:val="CharSubdNo"/>
    <w:basedOn w:val="OPCCharBase"/>
    <w:uiPriority w:val="1"/>
    <w:qFormat/>
    <w:rsid w:val="0090555D"/>
  </w:style>
  <w:style w:type="character" w:customStyle="1" w:styleId="CharSubdText">
    <w:name w:val="CharSubdText"/>
    <w:basedOn w:val="OPCCharBase"/>
    <w:uiPriority w:val="1"/>
    <w:qFormat/>
    <w:rsid w:val="0090555D"/>
  </w:style>
  <w:style w:type="paragraph" w:customStyle="1" w:styleId="CTA--">
    <w:name w:val="CTA --"/>
    <w:basedOn w:val="OPCParaBase"/>
    <w:next w:val="Normal"/>
    <w:rsid w:val="0090555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555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555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555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555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555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555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555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555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555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555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555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555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555D"/>
    <w:pPr>
      <w:spacing w:before="60" w:line="240" w:lineRule="auto"/>
      <w:jc w:val="right"/>
    </w:pPr>
    <w:rPr>
      <w:sz w:val="20"/>
    </w:rPr>
  </w:style>
  <w:style w:type="paragraph" w:customStyle="1" w:styleId="ETAsubitem">
    <w:name w:val="ETA(subitem)"/>
    <w:basedOn w:val="OPCParaBase"/>
    <w:rsid w:val="009055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555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55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55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555D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0555D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0555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555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555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555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555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555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555D"/>
    <w:pPr>
      <w:spacing w:line="240" w:lineRule="auto"/>
    </w:pPr>
    <w:rPr>
      <w:sz w:val="20"/>
    </w:rPr>
  </w:style>
  <w:style w:type="paragraph" w:customStyle="1" w:styleId="paragraphsub-sub">
    <w:name w:val="paragraph(sub-sub)"/>
    <w:aliases w:val="aaa"/>
    <w:basedOn w:val="OPCParaBase"/>
    <w:rsid w:val="0090555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lAmend">
    <w:name w:val="ParlAmend"/>
    <w:aliases w:val="pp"/>
    <w:basedOn w:val="OPCParaBase"/>
    <w:rsid w:val="0090555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555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555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555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555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555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555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555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555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555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555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555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555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555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55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555D"/>
    <w:pPr>
      <w:numPr>
        <w:numId w:val="40"/>
      </w:numPr>
      <w:tabs>
        <w:tab w:val="clear" w:pos="2517"/>
        <w:tab w:val="left" w:pos="357"/>
      </w:tabs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90555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555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0555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0555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0555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0555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semiHidden/>
    <w:unhideWhenUsed/>
    <w:rsid w:val="0090555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0555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0555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555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555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555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555D"/>
    <w:pPr>
      <w:spacing w:before="240" w:line="240" w:lineRule="auto"/>
      <w:ind w:left="284" w:hanging="284"/>
    </w:pPr>
    <w:rPr>
      <w:b/>
      <w:i/>
      <w:kern w:val="28"/>
      <w:sz w:val="24"/>
    </w:rPr>
  </w:style>
  <w:style w:type="character" w:styleId="LineNumber">
    <w:name w:val="line number"/>
    <w:basedOn w:val="OPCCharBase"/>
    <w:uiPriority w:val="99"/>
    <w:semiHidden/>
    <w:unhideWhenUsed/>
    <w:rsid w:val="0090555D"/>
    <w:rPr>
      <w:sz w:val="16"/>
    </w:rPr>
  </w:style>
  <w:style w:type="table" w:customStyle="1" w:styleId="CFlag">
    <w:name w:val="CFlag"/>
    <w:basedOn w:val="TableNormal"/>
    <w:uiPriority w:val="99"/>
    <w:rsid w:val="0090555D"/>
    <w:pPr>
      <w:jc w:val="left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05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5D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90555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0555D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0555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555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0555D"/>
    <w:pPr>
      <w:spacing w:before="120"/>
    </w:pPr>
  </w:style>
  <w:style w:type="paragraph" w:customStyle="1" w:styleId="CompiledActNo">
    <w:name w:val="CompiledActNo"/>
    <w:basedOn w:val="OPCParaBase"/>
    <w:next w:val="Normal"/>
    <w:rsid w:val="0090555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0555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0555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0555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555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555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555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0555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0555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555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555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555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555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555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555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0555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555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0555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0555D"/>
  </w:style>
  <w:style w:type="character" w:customStyle="1" w:styleId="CharSubPartNoCASA">
    <w:name w:val="CharSubPartNo(CASA)"/>
    <w:basedOn w:val="OPCCharBase"/>
    <w:uiPriority w:val="1"/>
    <w:rsid w:val="0090555D"/>
  </w:style>
  <w:style w:type="paragraph" w:customStyle="1" w:styleId="ENoteTTIndentHeadingSub">
    <w:name w:val="ENoteTTIndentHeadingSub"/>
    <w:aliases w:val="enTTHis"/>
    <w:basedOn w:val="OPCParaBase"/>
    <w:rsid w:val="0090555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555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555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555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0555D"/>
    <w:pPr>
      <w:jc w:val="left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90555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  <w:jc w:val="left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90555D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90555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555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555D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90555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555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555D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555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555D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90555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555D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555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555D"/>
    <w:rPr>
      <w:rFonts w:ascii="Times New Roman" w:hAnsi="Times New Roman"/>
      <w:sz w:val="18"/>
      <w:szCs w:val="20"/>
    </w:rPr>
  </w:style>
  <w:style w:type="paragraph" w:customStyle="1" w:styleId="BodyNum">
    <w:name w:val="BodyNum"/>
    <w:aliases w:val="b1"/>
    <w:basedOn w:val="OPCParaBase"/>
    <w:rsid w:val="0090555D"/>
    <w:pPr>
      <w:numPr>
        <w:numId w:val="42"/>
      </w:numPr>
      <w:tabs>
        <w:tab w:val="clear" w:pos="720"/>
        <w:tab w:val="num" w:pos="360"/>
      </w:tabs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0555D"/>
    <w:pPr>
      <w:numPr>
        <w:ilvl w:val="1"/>
        <w:numId w:val="4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0555D"/>
    <w:pPr>
      <w:numPr>
        <w:numId w:val="42"/>
      </w:numPr>
    </w:pPr>
  </w:style>
  <w:style w:type="paragraph" w:customStyle="1" w:styleId="Head1">
    <w:name w:val="Head 1"/>
    <w:aliases w:val="1"/>
    <w:basedOn w:val="OPCParaBase"/>
    <w:next w:val="BodyNum"/>
    <w:rsid w:val="0090555D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0555D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0555D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definition0">
    <w:name w:val="definition"/>
    <w:basedOn w:val="Normal"/>
    <w:rsid w:val="009001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692">
          <w:blockQuote w:val="1"/>
          <w:marLeft w:val="90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018">
          <w:blockQuote w:val="1"/>
          <w:marLeft w:val="90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FB16-84EC-4562-BEB0-C0AB147D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2025-04-22T01:52:00Z</dcterms:created>
  <dcterms:modified xsi:type="dcterms:W3CDTF">2025-04-22T01:52:00Z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0x0101001AB81D347655CE4D8ECACF714AC2A12A00595D26DC201FA247945B2F8EA776E1B8</vt:lpwstr>
  </property>
  <property fmtid="{D5CDD505-2E9C-101B-9397-08002B2CF9AE}" pid="3" name="_dlc_DocIdItemGuid">
    <vt:lpwstr>b0bdf9df-dbc8-4d80-bb29-96ea4156f9cb</vt:lpwstr>
  </property>
  <property fmtid="{D5CDD505-2E9C-101B-9397-08002B2CF9AE}" pid="4" name="IsABRSLetter">
    <vt:bool>false</vt:bool>
  </property>
  <property fmtid="{D5CDD505-2E9C-101B-9397-08002B2CF9AE}" pid="5" name="Security Classification">
    <vt:lpwstr>1;#OFFICIAL|5d128361-bbb7-4b9a-ac60-b26612a0ec1b</vt:lpwstr>
  </property>
  <property fmtid="{D5CDD505-2E9C-101B-9397-08002B2CF9AE}" pid="6" name="MediaServiceImageTags">
    <vt:lpwstr/>
  </property>
</Properties>
</file>