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1E42" w14:textId="52912A41" w:rsidR="0052790B" w:rsidRPr="006E1A53" w:rsidRDefault="0052790B" w:rsidP="00F73DA7">
      <w:pPr>
        <w:pStyle w:val="Header"/>
        <w:pBdr>
          <w:top w:val="single" w:sz="4" w:space="1" w:color="auto"/>
        </w:pBdr>
        <w:tabs>
          <w:tab w:val="clear" w:pos="4153"/>
          <w:tab w:val="clear" w:pos="8306"/>
        </w:tabs>
        <w:spacing w:after="360"/>
        <w:jc w:val="center"/>
        <w:rPr>
          <w:rFonts w:ascii="Arial" w:hAnsi="Arial" w:cs="Arial"/>
          <w:sz w:val="34"/>
          <w:szCs w:val="34"/>
        </w:rPr>
      </w:pPr>
      <w:r w:rsidRPr="006E1A53">
        <w:rPr>
          <w:rFonts w:ascii="Arial" w:hAnsi="Arial" w:cs="Arial"/>
          <w:sz w:val="34"/>
          <w:szCs w:val="34"/>
        </w:rPr>
        <w:t>Explanatory Statement</w:t>
      </w:r>
    </w:p>
    <w:p w14:paraId="3678C14D" w14:textId="5D12E287" w:rsidR="0052790B" w:rsidRPr="006E1A53" w:rsidRDefault="0052790B" w:rsidP="00F73DA7">
      <w:pPr>
        <w:pStyle w:val="Header"/>
        <w:pBdr>
          <w:bottom w:val="single" w:sz="4" w:space="1" w:color="000000"/>
        </w:pBdr>
        <w:tabs>
          <w:tab w:val="clear" w:pos="4153"/>
          <w:tab w:val="clear" w:pos="8306"/>
        </w:tabs>
        <w:jc w:val="center"/>
        <w:rPr>
          <w:rFonts w:ascii="Arial" w:hAnsi="Arial" w:cs="Arial"/>
          <w:sz w:val="34"/>
          <w:szCs w:val="34"/>
        </w:rPr>
      </w:pPr>
      <w:r w:rsidRPr="006E1A53">
        <w:rPr>
          <w:rFonts w:ascii="Arial" w:hAnsi="Arial" w:cs="Arial"/>
          <w:sz w:val="34"/>
          <w:szCs w:val="34"/>
        </w:rPr>
        <w:t>Taxation Administration (Reporting Exemptions for Electronic Distribution Platform Operators) Determination 202</w:t>
      </w:r>
      <w:r w:rsidR="00815262">
        <w:rPr>
          <w:rFonts w:ascii="Arial" w:hAnsi="Arial" w:cs="Arial"/>
          <w:sz w:val="34"/>
          <w:szCs w:val="34"/>
        </w:rPr>
        <w:t>5</w:t>
      </w:r>
    </w:p>
    <w:p w14:paraId="519C77BF" w14:textId="77777777" w:rsidR="0052790B" w:rsidRPr="006E1A53" w:rsidRDefault="0052790B" w:rsidP="00F73DA7">
      <w:pPr>
        <w:pStyle w:val="Header"/>
        <w:tabs>
          <w:tab w:val="clear" w:pos="4153"/>
          <w:tab w:val="clear" w:pos="8306"/>
        </w:tabs>
        <w:jc w:val="center"/>
        <w:rPr>
          <w:rFonts w:ascii="Arial" w:hAnsi="Arial" w:cs="Arial"/>
          <w:sz w:val="22"/>
          <w:szCs w:val="22"/>
        </w:rPr>
      </w:pPr>
    </w:p>
    <w:p w14:paraId="7AAAACE1" w14:textId="77777777" w:rsidR="0052790B" w:rsidRPr="006E1A53" w:rsidRDefault="0052790B" w:rsidP="00F73DA7">
      <w:pPr>
        <w:pStyle w:val="Header"/>
        <w:tabs>
          <w:tab w:val="clear" w:pos="4153"/>
          <w:tab w:val="clear" w:pos="8306"/>
        </w:tabs>
        <w:jc w:val="center"/>
        <w:rPr>
          <w:rFonts w:ascii="Arial" w:hAnsi="Arial" w:cs="Arial"/>
          <w:sz w:val="22"/>
          <w:szCs w:val="22"/>
        </w:rPr>
      </w:pPr>
    </w:p>
    <w:p w14:paraId="00B7336C" w14:textId="00D9D32F" w:rsidR="0052790B" w:rsidRPr="00726177" w:rsidRDefault="0052790B" w:rsidP="00F73DA7">
      <w:pPr>
        <w:pStyle w:val="Heading2"/>
      </w:pPr>
      <w:r w:rsidRPr="00726177">
        <w:t>General outline of instrument</w:t>
      </w:r>
    </w:p>
    <w:p w14:paraId="618F8081" w14:textId="4E7D8E1E" w:rsidR="00D30887" w:rsidRPr="00726177" w:rsidRDefault="0052790B"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This instrument is made under subsection 396-70(4) in Schedule 1 to the </w:t>
      </w:r>
      <w:r w:rsidRPr="00726177">
        <w:rPr>
          <w:rFonts w:ascii="Arial" w:hAnsi="Arial" w:cs="Arial"/>
          <w:i/>
          <w:iCs/>
        </w:rPr>
        <w:t>Taxation Administration Act 1953</w:t>
      </w:r>
      <w:r w:rsidRPr="00726177">
        <w:rPr>
          <w:rFonts w:ascii="Arial" w:hAnsi="Arial" w:cs="Arial"/>
        </w:rPr>
        <w:t xml:space="preserve"> (the Act).</w:t>
      </w:r>
    </w:p>
    <w:p w14:paraId="0FDC9FC3" w14:textId="29371388" w:rsidR="00601CD5" w:rsidRPr="00726177" w:rsidRDefault="00DF3FFF"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Under the Sharing Economy Reporting Regime (SERR)</w:t>
      </w:r>
      <w:r w:rsidR="007A7423" w:rsidRPr="00726177">
        <w:rPr>
          <w:rFonts w:ascii="Arial" w:hAnsi="Arial" w:cs="Arial"/>
        </w:rPr>
        <w:t>,</w:t>
      </w:r>
      <w:r w:rsidRPr="00726177">
        <w:rPr>
          <w:rFonts w:ascii="Arial" w:hAnsi="Arial" w:cs="Arial"/>
        </w:rPr>
        <w:t xml:space="preserve"> that is given effect</w:t>
      </w:r>
      <w:r w:rsidR="00FC6470" w:rsidRPr="00726177">
        <w:rPr>
          <w:rFonts w:ascii="Arial" w:hAnsi="Arial" w:cs="Arial"/>
        </w:rPr>
        <w:t xml:space="preserve"> to</w:t>
      </w:r>
      <w:r w:rsidRPr="00726177">
        <w:rPr>
          <w:rFonts w:ascii="Arial" w:hAnsi="Arial" w:cs="Arial"/>
        </w:rPr>
        <w:t xml:space="preserve"> by table item</w:t>
      </w:r>
      <w:r w:rsidR="00DA7AD4">
        <w:rPr>
          <w:rFonts w:ascii="Arial" w:hAnsi="Arial" w:cs="Arial"/>
        </w:rPr>
        <w:t> </w:t>
      </w:r>
      <w:r w:rsidRPr="00726177">
        <w:rPr>
          <w:rFonts w:ascii="Arial" w:hAnsi="Arial" w:cs="Arial"/>
        </w:rPr>
        <w:t>15 in section 396-55 in Schedule 1 to the Act, operat</w:t>
      </w:r>
      <w:r w:rsidR="003623EE" w:rsidRPr="00726177">
        <w:rPr>
          <w:rFonts w:ascii="Arial" w:hAnsi="Arial" w:cs="Arial"/>
        </w:rPr>
        <w:t>ors</w:t>
      </w:r>
      <w:r w:rsidRPr="00726177">
        <w:rPr>
          <w:rFonts w:ascii="Arial" w:hAnsi="Arial" w:cs="Arial"/>
        </w:rPr>
        <w:t xml:space="preserve"> of electronic distribution platforms (EDPs) are required to report information about certain supplies made through their platforms to the </w:t>
      </w:r>
      <w:r w:rsidRPr="00C2733A">
        <w:rPr>
          <w:rFonts w:ascii="Arial" w:hAnsi="Arial" w:cs="Arial"/>
        </w:rPr>
        <w:t>Commissioner</w:t>
      </w:r>
      <w:r w:rsidRPr="00726177">
        <w:rPr>
          <w:rFonts w:ascii="Arial" w:hAnsi="Arial" w:cs="Arial"/>
        </w:rPr>
        <w:t xml:space="preserve"> of Taxation.</w:t>
      </w:r>
    </w:p>
    <w:p w14:paraId="51B0CF58" w14:textId="50B1F74E" w:rsidR="00601CD5" w:rsidRPr="00726177" w:rsidRDefault="00DF3FFF" w:rsidP="00F73DA7">
      <w:pPr>
        <w:numPr>
          <w:ilvl w:val="0"/>
          <w:numId w:val="1"/>
        </w:numPr>
        <w:tabs>
          <w:tab w:val="clear" w:pos="720"/>
        </w:tabs>
        <w:spacing w:after="120"/>
        <w:ind w:left="0" w:firstLine="0"/>
        <w:jc w:val="left"/>
        <w:rPr>
          <w:rFonts w:ascii="Arial" w:hAnsi="Arial" w:cs="Arial"/>
          <w:color w:val="000000"/>
        </w:rPr>
      </w:pPr>
      <w:r w:rsidRPr="00726177">
        <w:rPr>
          <w:rFonts w:ascii="Arial" w:hAnsi="Arial" w:cs="Arial"/>
          <w:color w:val="000000" w:themeColor="text1"/>
        </w:rPr>
        <w:t xml:space="preserve">This instrument reduces the compliance costs imposed on operators of EDPs by exempting transactions which the </w:t>
      </w:r>
      <w:r w:rsidRPr="00C2733A">
        <w:rPr>
          <w:rFonts w:ascii="Arial" w:hAnsi="Arial" w:cs="Arial"/>
          <w:color w:val="000000" w:themeColor="text1"/>
        </w:rPr>
        <w:t>Commissioner</w:t>
      </w:r>
      <w:r w:rsidRPr="00726177">
        <w:rPr>
          <w:rFonts w:ascii="Arial" w:hAnsi="Arial" w:cs="Arial"/>
          <w:color w:val="000000" w:themeColor="text1"/>
        </w:rPr>
        <w:t xml:space="preserve"> considers to be a low risk to the broader taxation revenue base, or certain transactions which are reported to the </w:t>
      </w:r>
      <w:r w:rsidRPr="00C2733A">
        <w:rPr>
          <w:rFonts w:ascii="Arial" w:hAnsi="Arial" w:cs="Arial"/>
          <w:color w:val="000000" w:themeColor="text1"/>
        </w:rPr>
        <w:t>Commissioner</w:t>
      </w:r>
      <w:r w:rsidRPr="00726177">
        <w:rPr>
          <w:rFonts w:ascii="Arial" w:hAnsi="Arial" w:cs="Arial"/>
          <w:color w:val="000000" w:themeColor="text1"/>
        </w:rPr>
        <w:t xml:space="preserve"> by other EDP operators</w:t>
      </w:r>
      <w:r w:rsidR="00D54758" w:rsidRPr="00726177">
        <w:rPr>
          <w:rFonts w:ascii="Arial" w:hAnsi="Arial" w:cs="Arial"/>
          <w:color w:val="000000" w:themeColor="text1"/>
        </w:rPr>
        <w:t>.</w:t>
      </w:r>
    </w:p>
    <w:p w14:paraId="5B7D2B47" w14:textId="1A87400C" w:rsidR="00DF3FFF" w:rsidRPr="00726177" w:rsidRDefault="00DF3FFF"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The instrument is a legislative instrument for the purposes of the </w:t>
      </w:r>
      <w:r w:rsidRPr="00726177">
        <w:rPr>
          <w:rFonts w:ascii="Arial" w:hAnsi="Arial" w:cs="Arial"/>
          <w:i/>
        </w:rPr>
        <w:t>Legislation Act 2003</w:t>
      </w:r>
      <w:r w:rsidRPr="00726177">
        <w:rPr>
          <w:rFonts w:ascii="Arial" w:hAnsi="Arial" w:cs="Arial"/>
        </w:rPr>
        <w:t>.</w:t>
      </w:r>
    </w:p>
    <w:p w14:paraId="313931AA" w14:textId="5540EA3C" w:rsidR="00D30887" w:rsidRPr="00726177" w:rsidRDefault="00D30887"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Under subsection 33(3) of the </w:t>
      </w:r>
      <w:r w:rsidRPr="00726177">
        <w:rPr>
          <w:rFonts w:ascii="Arial" w:hAnsi="Arial" w:cs="Arial"/>
          <w:i/>
        </w:rPr>
        <w:t>Acts Interpretation Act 1901</w:t>
      </w:r>
      <w:r w:rsidRPr="00726177">
        <w:rPr>
          <w:rFonts w:ascii="Arial" w:hAnsi="Arial" w:cs="Arial"/>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E5B3FBA" w14:textId="14A4CB26" w:rsidR="00D54758" w:rsidRPr="00726177" w:rsidRDefault="00D54758" w:rsidP="00F73DA7">
      <w:pPr>
        <w:spacing w:after="120"/>
        <w:jc w:val="left"/>
        <w:rPr>
          <w:rFonts w:ascii="Arial" w:hAnsi="Arial" w:cs="Arial"/>
        </w:rPr>
      </w:pPr>
      <w:bookmarkStart w:id="0" w:name="_Hlk181615061"/>
    </w:p>
    <w:bookmarkEnd w:id="0"/>
    <w:p w14:paraId="0DBC2C26" w14:textId="3F876015" w:rsidR="00D54758" w:rsidRPr="00726177" w:rsidRDefault="00D54758" w:rsidP="00F73DA7">
      <w:pPr>
        <w:pStyle w:val="Heading2"/>
        <w:rPr>
          <w:color w:val="000000"/>
        </w:rPr>
      </w:pPr>
      <w:r w:rsidRPr="00726177">
        <w:rPr>
          <w:color w:val="000000"/>
        </w:rPr>
        <w:t>Date of effect</w:t>
      </w:r>
    </w:p>
    <w:p w14:paraId="1B18D252" w14:textId="437DFD7E" w:rsidR="00831738" w:rsidRPr="00726177" w:rsidRDefault="00D54758"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This instrument commences on 1 </w:t>
      </w:r>
      <w:r w:rsidR="6736D5F8" w:rsidRPr="00726177">
        <w:rPr>
          <w:rFonts w:ascii="Arial" w:hAnsi="Arial" w:cs="Arial"/>
        </w:rPr>
        <w:t>J</w:t>
      </w:r>
      <w:r w:rsidR="00831738" w:rsidRPr="00726177">
        <w:rPr>
          <w:rFonts w:ascii="Arial" w:hAnsi="Arial" w:cs="Arial"/>
        </w:rPr>
        <w:t xml:space="preserve">uly </w:t>
      </w:r>
      <w:r w:rsidR="6736D5F8" w:rsidRPr="00726177">
        <w:rPr>
          <w:rFonts w:ascii="Arial" w:hAnsi="Arial" w:cs="Arial"/>
        </w:rPr>
        <w:t>2025</w:t>
      </w:r>
      <w:r w:rsidRPr="00726177">
        <w:rPr>
          <w:rFonts w:ascii="Arial" w:hAnsi="Arial" w:cs="Arial"/>
        </w:rPr>
        <w:t>.</w:t>
      </w:r>
    </w:p>
    <w:p w14:paraId="7F47C255" w14:textId="40660ECE" w:rsidR="0016305D" w:rsidRPr="00726177" w:rsidRDefault="0016305D" w:rsidP="00F73DA7">
      <w:pPr>
        <w:spacing w:after="120"/>
        <w:jc w:val="left"/>
        <w:rPr>
          <w:rFonts w:ascii="Arial" w:hAnsi="Arial" w:cs="Arial"/>
        </w:rPr>
      </w:pPr>
    </w:p>
    <w:p w14:paraId="0253D517" w14:textId="477DCD56" w:rsidR="00FB1CB8" w:rsidRPr="00726177" w:rsidRDefault="00FB1CB8" w:rsidP="00F73DA7">
      <w:pPr>
        <w:pStyle w:val="Heading2"/>
      </w:pPr>
      <w:r w:rsidRPr="00726177">
        <w:t>Background</w:t>
      </w:r>
    </w:p>
    <w:p w14:paraId="6522887A" w14:textId="69E523B1" w:rsidR="00FB1CB8" w:rsidRPr="00726177" w:rsidRDefault="00FB1CB8" w:rsidP="00F73DA7">
      <w:pPr>
        <w:numPr>
          <w:ilvl w:val="0"/>
          <w:numId w:val="1"/>
        </w:numPr>
        <w:tabs>
          <w:tab w:val="clear" w:pos="720"/>
        </w:tabs>
        <w:spacing w:after="120"/>
        <w:ind w:left="0" w:firstLine="0"/>
        <w:jc w:val="left"/>
        <w:rPr>
          <w:rFonts w:ascii="Arial" w:hAnsi="Arial" w:cs="Arial"/>
        </w:rPr>
      </w:pPr>
      <w:r w:rsidRPr="00726177">
        <w:rPr>
          <w:rFonts w:ascii="Arial" w:hAnsi="Arial" w:cs="Arial"/>
          <w:color w:val="000000"/>
        </w:rPr>
        <w:t>The</w:t>
      </w:r>
      <w:r w:rsidR="00F73DA7" w:rsidRPr="00726177">
        <w:rPr>
          <w:rFonts w:ascii="Arial" w:hAnsi="Arial" w:cs="Arial"/>
          <w:color w:val="000000"/>
        </w:rPr>
        <w:t xml:space="preserve"> </w:t>
      </w:r>
      <w:r w:rsidRPr="00726177">
        <w:rPr>
          <w:rFonts w:ascii="Arial" w:hAnsi="Arial" w:cs="Arial"/>
          <w:i/>
          <w:iCs/>
          <w:color w:val="000000"/>
        </w:rPr>
        <w:t>Taxation Administration (Reporting by Electronic Distribution Platform Operators) Legislative Instrument 2023</w:t>
      </w:r>
      <w:r w:rsidR="00D57509" w:rsidRPr="00726177">
        <w:rPr>
          <w:rFonts w:ascii="Arial" w:hAnsi="Arial" w:cs="Arial"/>
          <w:color w:val="000000"/>
        </w:rPr>
        <w:t xml:space="preserve"> </w:t>
      </w:r>
      <w:r w:rsidRPr="00726177">
        <w:rPr>
          <w:rFonts w:ascii="Arial" w:hAnsi="Arial" w:cs="Arial"/>
          <w:color w:val="000000"/>
        </w:rPr>
        <w:t xml:space="preserve">was made in 2023 to substitute the default annual reporting period for the SERR </w:t>
      </w:r>
      <w:r w:rsidR="00186A19" w:rsidRPr="00726177">
        <w:rPr>
          <w:rFonts w:ascii="Arial" w:hAnsi="Arial" w:cs="Arial"/>
          <w:color w:val="000000"/>
        </w:rPr>
        <w:t xml:space="preserve">(under </w:t>
      </w:r>
      <w:r w:rsidRPr="00726177">
        <w:rPr>
          <w:rFonts w:ascii="Arial" w:hAnsi="Arial" w:cs="Arial"/>
          <w:color w:val="000000"/>
        </w:rPr>
        <w:t>section 396-55 in Schedule 1 to the Act</w:t>
      </w:r>
      <w:r w:rsidR="00186A19" w:rsidRPr="00726177">
        <w:rPr>
          <w:rFonts w:ascii="Arial" w:hAnsi="Arial" w:cs="Arial"/>
          <w:color w:val="000000"/>
        </w:rPr>
        <w:t>)</w:t>
      </w:r>
      <w:r w:rsidRPr="00726177">
        <w:rPr>
          <w:rFonts w:ascii="Arial" w:hAnsi="Arial" w:cs="Arial"/>
          <w:color w:val="000000"/>
        </w:rPr>
        <w:t xml:space="preserve"> with an alternate </w:t>
      </w:r>
      <w:r w:rsidR="00BC04E3" w:rsidRPr="00C2733A">
        <w:rPr>
          <w:rFonts w:ascii="Arial" w:hAnsi="Arial" w:cs="Arial"/>
          <w:color w:val="000000"/>
        </w:rPr>
        <w:t>6</w:t>
      </w:r>
      <w:r w:rsidRPr="00726177">
        <w:rPr>
          <w:rFonts w:ascii="Arial" w:hAnsi="Arial" w:cs="Arial"/>
          <w:color w:val="000000"/>
        </w:rPr>
        <w:t>-monthly reporting period. Under that instrument, the reporting periods are from 1 January to 30 June, and 1 July to 31</w:t>
      </w:r>
      <w:r w:rsidR="00C2733A">
        <w:rPr>
          <w:rFonts w:ascii="Arial" w:hAnsi="Arial" w:cs="Arial"/>
          <w:color w:val="000000"/>
        </w:rPr>
        <w:t> </w:t>
      </w:r>
      <w:r w:rsidRPr="00726177">
        <w:rPr>
          <w:rFonts w:ascii="Arial" w:hAnsi="Arial" w:cs="Arial"/>
          <w:color w:val="000000"/>
        </w:rPr>
        <w:t>December, each year.</w:t>
      </w:r>
    </w:p>
    <w:p w14:paraId="3749BDB2" w14:textId="77777777" w:rsidR="000E443E" w:rsidRPr="00726177" w:rsidRDefault="000E443E"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Table item 15 in section 396-55 in Schedule 1 to the Act requires an operator of an EDP – within the meaning of </w:t>
      </w:r>
      <w:r w:rsidRPr="00726177">
        <w:rPr>
          <w:rFonts w:ascii="Arial" w:hAnsi="Arial" w:cs="Arial"/>
          <w:i/>
          <w:iCs/>
        </w:rPr>
        <w:t>A</w:t>
      </w:r>
      <w:r w:rsidRPr="00C2733A">
        <w:rPr>
          <w:rFonts w:ascii="Arial" w:hAnsi="Arial" w:cs="Arial"/>
          <w:i/>
          <w:iCs/>
        </w:rPr>
        <w:t xml:space="preserve"> New </w:t>
      </w:r>
      <w:r w:rsidRPr="00726177">
        <w:rPr>
          <w:rFonts w:ascii="Arial" w:hAnsi="Arial" w:cs="Arial"/>
          <w:i/>
          <w:iCs/>
        </w:rPr>
        <w:t>Tax System (Goods and Services Tax) Act 1999</w:t>
      </w:r>
      <w:r w:rsidRPr="00726177">
        <w:rPr>
          <w:rFonts w:ascii="Arial" w:hAnsi="Arial" w:cs="Arial"/>
        </w:rPr>
        <w:t xml:space="preserve"> (the GST Act) (but disregarding paragraph 84-70(1)(c) of that Act) – to prepare a report about specified transactions made through that EDP.</w:t>
      </w:r>
    </w:p>
    <w:p w14:paraId="22FF2A43" w14:textId="45D60C5C" w:rsidR="000E443E" w:rsidRPr="00726177" w:rsidRDefault="000E443E"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Subsection 396-70(4) in Schedule 1 to the Act allows the </w:t>
      </w:r>
      <w:r w:rsidRPr="00C2733A">
        <w:rPr>
          <w:rFonts w:ascii="Arial" w:hAnsi="Arial" w:cs="Arial"/>
        </w:rPr>
        <w:t>Commissioner</w:t>
      </w:r>
      <w:r w:rsidRPr="00726177">
        <w:rPr>
          <w:rFonts w:ascii="Arial" w:hAnsi="Arial" w:cs="Arial"/>
        </w:rPr>
        <w:t xml:space="preserve">, by legislative instrument, to determine that specified classes of entities are not required to prepare and give reports under section 396-55 in Schedule 1 to the </w:t>
      </w:r>
      <w:proofErr w:type="gramStart"/>
      <w:r w:rsidRPr="00726177">
        <w:rPr>
          <w:rFonts w:ascii="Arial" w:hAnsi="Arial" w:cs="Arial"/>
        </w:rPr>
        <w:t>Act, or</w:t>
      </w:r>
      <w:proofErr w:type="gramEnd"/>
      <w:r w:rsidRPr="00726177">
        <w:rPr>
          <w:rFonts w:ascii="Arial" w:hAnsi="Arial" w:cs="Arial"/>
        </w:rPr>
        <w:t xml:space="preserve"> are not required to do so for specified classes of transactions.</w:t>
      </w:r>
    </w:p>
    <w:p w14:paraId="18C53758" w14:textId="3BA3CCFA" w:rsidR="000E443E" w:rsidRPr="00726177" w:rsidRDefault="00DF59EA"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The</w:t>
      </w:r>
      <w:r w:rsidRPr="00726177">
        <w:rPr>
          <w:rFonts w:ascii="Arial" w:hAnsi="Arial" w:cs="Arial"/>
          <w:i/>
          <w:iCs/>
        </w:rPr>
        <w:t xml:space="preserve"> Taxation Administration (Reporting Exemptions for Electronic Distribution Platform Operators) Determination 2024</w:t>
      </w:r>
      <w:r w:rsidRPr="00726177">
        <w:rPr>
          <w:rFonts w:ascii="Arial" w:hAnsi="Arial" w:cs="Arial"/>
        </w:rPr>
        <w:t xml:space="preserve"> (2024 Determination) came into effect on 1 July 2024, and exempted operators of EDPs from having to include specified classes of transactions in reports required to be prepared and lodged under table item 15 in section 396-55 in Schedule 1 to the Act.</w:t>
      </w:r>
    </w:p>
    <w:p w14:paraId="17836017" w14:textId="77777777" w:rsidR="00ED5D75" w:rsidRPr="00726177" w:rsidRDefault="000C7682" w:rsidP="00F73DA7">
      <w:pPr>
        <w:numPr>
          <w:ilvl w:val="0"/>
          <w:numId w:val="1"/>
        </w:numPr>
        <w:tabs>
          <w:tab w:val="clear" w:pos="720"/>
        </w:tabs>
        <w:spacing w:after="120"/>
        <w:ind w:left="0" w:firstLine="0"/>
        <w:jc w:val="left"/>
        <w:rPr>
          <w:rFonts w:ascii="Arial" w:hAnsi="Arial" w:cs="Arial"/>
        </w:rPr>
      </w:pPr>
      <w:r w:rsidRPr="00726177">
        <w:rPr>
          <w:rFonts w:ascii="Arial" w:hAnsi="Arial" w:cs="Arial"/>
        </w:rPr>
        <w:lastRenderedPageBreak/>
        <w:t>This instrument repeals and replaces the 2024 Determination.</w:t>
      </w:r>
    </w:p>
    <w:p w14:paraId="1A89E94C" w14:textId="5F0680AD" w:rsidR="00FB1CB8" w:rsidRPr="00726177" w:rsidRDefault="00FB1CB8" w:rsidP="00F73DA7">
      <w:pPr>
        <w:spacing w:after="120"/>
        <w:jc w:val="left"/>
        <w:rPr>
          <w:rFonts w:ascii="Arial" w:hAnsi="Arial" w:cs="Arial"/>
        </w:rPr>
      </w:pPr>
    </w:p>
    <w:p w14:paraId="359EA949" w14:textId="77777777" w:rsidR="0052790B" w:rsidRPr="00726177" w:rsidRDefault="0052790B" w:rsidP="00F73DA7">
      <w:pPr>
        <w:pStyle w:val="Heading2"/>
      </w:pPr>
      <w:r w:rsidRPr="00726177">
        <w:t>Effect of this instrument</w:t>
      </w:r>
    </w:p>
    <w:p w14:paraId="3E3C2C08" w14:textId="2A00577D" w:rsidR="00291958" w:rsidRPr="00726177" w:rsidRDefault="000E443E" w:rsidP="00F73DA7">
      <w:pPr>
        <w:numPr>
          <w:ilvl w:val="0"/>
          <w:numId w:val="1"/>
        </w:numPr>
        <w:tabs>
          <w:tab w:val="clear" w:pos="720"/>
        </w:tabs>
        <w:spacing w:after="120"/>
        <w:ind w:left="0" w:firstLine="0"/>
        <w:jc w:val="left"/>
        <w:rPr>
          <w:rFonts w:ascii="Arial" w:hAnsi="Arial" w:cs="Arial"/>
          <w:lang w:eastAsia="en-AU"/>
        </w:rPr>
      </w:pPr>
      <w:bookmarkStart w:id="1" w:name="_Hlk141088951"/>
      <w:bookmarkStart w:id="2" w:name="_Hlk141089202"/>
      <w:r w:rsidRPr="00726177">
        <w:rPr>
          <w:rFonts w:ascii="Arial" w:hAnsi="Arial" w:cs="Arial"/>
        </w:rPr>
        <w:t xml:space="preserve">This instrument, which applies to reporting periods starting on or after 1 July 2025, </w:t>
      </w:r>
      <w:r w:rsidR="00291958" w:rsidRPr="00726177">
        <w:rPr>
          <w:rFonts w:ascii="Arial" w:hAnsi="Arial" w:cs="Arial"/>
          <w:lang w:eastAsia="en-AU"/>
        </w:rPr>
        <w:t>includes</w:t>
      </w:r>
      <w:r w:rsidRPr="00726177">
        <w:rPr>
          <w:rFonts w:ascii="Arial" w:hAnsi="Arial" w:cs="Arial"/>
        </w:rPr>
        <w:t xml:space="preserve"> the </w:t>
      </w:r>
      <w:r w:rsidR="00291958" w:rsidRPr="00726177">
        <w:rPr>
          <w:rFonts w:ascii="Arial" w:hAnsi="Arial" w:cs="Arial"/>
          <w:lang w:eastAsia="en-AU"/>
        </w:rPr>
        <w:t xml:space="preserve">same </w:t>
      </w:r>
      <w:r w:rsidRPr="00726177">
        <w:rPr>
          <w:rFonts w:ascii="Arial" w:hAnsi="Arial" w:cs="Arial"/>
        </w:rPr>
        <w:t>exemptions in the 2024 Determination</w:t>
      </w:r>
      <w:r w:rsidR="00291958" w:rsidRPr="00726177">
        <w:rPr>
          <w:rFonts w:ascii="Arial" w:hAnsi="Arial" w:cs="Arial"/>
          <w:lang w:eastAsia="en-AU"/>
        </w:rPr>
        <w:t xml:space="preserve">. It also </w:t>
      </w:r>
      <w:r w:rsidR="000C7682" w:rsidRPr="00726177">
        <w:rPr>
          <w:rFonts w:ascii="Arial" w:hAnsi="Arial" w:cs="Arial"/>
        </w:rPr>
        <w:t xml:space="preserve">provides </w:t>
      </w:r>
      <w:r w:rsidRPr="00726177">
        <w:rPr>
          <w:rFonts w:ascii="Arial" w:hAnsi="Arial" w:cs="Arial"/>
        </w:rPr>
        <w:t>a</w:t>
      </w:r>
      <w:r w:rsidR="000C7682" w:rsidRPr="00C2733A">
        <w:rPr>
          <w:rFonts w:ascii="Arial" w:hAnsi="Arial" w:cs="Arial"/>
        </w:rPr>
        <w:t xml:space="preserve"> new</w:t>
      </w:r>
      <w:r w:rsidRPr="00C2733A">
        <w:rPr>
          <w:rFonts w:ascii="Arial" w:hAnsi="Arial" w:cs="Arial"/>
        </w:rPr>
        <w:t xml:space="preserve"> </w:t>
      </w:r>
      <w:r w:rsidRPr="00726177">
        <w:rPr>
          <w:rFonts w:ascii="Arial" w:hAnsi="Arial" w:cs="Arial"/>
        </w:rPr>
        <w:t>exemption</w:t>
      </w:r>
      <w:r w:rsidR="000C7682" w:rsidRPr="00726177">
        <w:rPr>
          <w:rFonts w:ascii="Arial" w:hAnsi="Arial" w:cs="Arial"/>
        </w:rPr>
        <w:t xml:space="preserve"> (in </w:t>
      </w:r>
      <w:r w:rsidR="00291958" w:rsidRPr="00726177">
        <w:rPr>
          <w:rFonts w:ascii="Arial" w:hAnsi="Arial" w:cs="Arial"/>
          <w:lang w:eastAsia="en-AU"/>
        </w:rPr>
        <w:t>sub</w:t>
      </w:r>
      <w:r w:rsidR="000C7682" w:rsidRPr="00726177">
        <w:rPr>
          <w:rFonts w:ascii="Arial" w:hAnsi="Arial" w:cs="Arial"/>
          <w:lang w:eastAsia="en-AU"/>
        </w:rPr>
        <w:t>section</w:t>
      </w:r>
      <w:r w:rsidR="00C2733A">
        <w:rPr>
          <w:rFonts w:ascii="Arial" w:hAnsi="Arial" w:cs="Arial"/>
        </w:rPr>
        <w:t> </w:t>
      </w:r>
      <w:r w:rsidR="000C7682" w:rsidRPr="00726177">
        <w:rPr>
          <w:rFonts w:ascii="Arial" w:hAnsi="Arial" w:cs="Arial"/>
        </w:rPr>
        <w:t>7(3))</w:t>
      </w:r>
      <w:r w:rsidRPr="00726177">
        <w:rPr>
          <w:rFonts w:ascii="Arial" w:hAnsi="Arial" w:cs="Arial"/>
        </w:rPr>
        <w:t xml:space="preserve"> for certain transactions where the operator of the EDP is treated as a supplier under the GST Act. This exemption was considered necessary following discussions with some </w:t>
      </w:r>
      <w:r w:rsidR="00E231FE" w:rsidRPr="00726177">
        <w:rPr>
          <w:rFonts w:ascii="Arial" w:hAnsi="Arial" w:cs="Arial"/>
        </w:rPr>
        <w:t>EDP</w:t>
      </w:r>
      <w:r w:rsidR="00C2733A">
        <w:rPr>
          <w:rFonts w:ascii="Arial" w:hAnsi="Arial" w:cs="Arial"/>
        </w:rPr>
        <w:t> </w:t>
      </w:r>
      <w:r w:rsidR="008F3FE9" w:rsidRPr="00726177">
        <w:rPr>
          <w:rFonts w:ascii="Arial" w:hAnsi="Arial" w:cs="Arial"/>
        </w:rPr>
        <w:t>operators</w:t>
      </w:r>
      <w:r w:rsidRPr="00726177">
        <w:rPr>
          <w:rFonts w:ascii="Arial" w:hAnsi="Arial" w:cs="Arial"/>
        </w:rPr>
        <w:t>.</w:t>
      </w:r>
    </w:p>
    <w:p w14:paraId="6861E2F8" w14:textId="00D38AB6" w:rsidR="00601CD5" w:rsidRPr="00726177" w:rsidRDefault="00DF59EA" w:rsidP="00F73DA7">
      <w:pPr>
        <w:numPr>
          <w:ilvl w:val="0"/>
          <w:numId w:val="1"/>
        </w:numPr>
        <w:tabs>
          <w:tab w:val="clear" w:pos="720"/>
        </w:tabs>
        <w:spacing w:after="120"/>
        <w:ind w:left="0" w:firstLine="0"/>
        <w:jc w:val="left"/>
        <w:rPr>
          <w:rFonts w:ascii="Arial" w:hAnsi="Arial" w:cs="Arial"/>
          <w:lang w:eastAsia="en-AU"/>
        </w:rPr>
      </w:pPr>
      <w:bookmarkStart w:id="3" w:name="_Hlk141084702"/>
      <w:bookmarkEnd w:id="1"/>
      <w:bookmarkEnd w:id="2"/>
      <w:r w:rsidRPr="00726177">
        <w:rPr>
          <w:rFonts w:ascii="Arial" w:hAnsi="Arial" w:cs="Arial"/>
        </w:rPr>
        <w:t>E</w:t>
      </w:r>
      <w:r w:rsidR="00F55C41" w:rsidRPr="00726177">
        <w:rPr>
          <w:rFonts w:ascii="Arial" w:hAnsi="Arial" w:cs="Arial"/>
          <w:lang w:eastAsia="en-AU"/>
        </w:rPr>
        <w:t xml:space="preserve">ntities </w:t>
      </w:r>
      <w:r w:rsidRPr="00726177">
        <w:rPr>
          <w:rFonts w:ascii="Arial" w:hAnsi="Arial" w:cs="Arial"/>
          <w:lang w:eastAsia="en-AU"/>
        </w:rPr>
        <w:t>who were exempt</w:t>
      </w:r>
      <w:r w:rsidR="007A7423" w:rsidRPr="00726177">
        <w:rPr>
          <w:rFonts w:ascii="Arial" w:hAnsi="Arial" w:cs="Arial"/>
          <w:lang w:eastAsia="en-AU"/>
        </w:rPr>
        <w:t>ed</w:t>
      </w:r>
      <w:r w:rsidRPr="00726177">
        <w:rPr>
          <w:rFonts w:ascii="Arial" w:hAnsi="Arial" w:cs="Arial"/>
          <w:lang w:eastAsia="en-AU"/>
        </w:rPr>
        <w:t xml:space="preserve"> under the 2024 D</w:t>
      </w:r>
      <w:r w:rsidR="00F55C41" w:rsidRPr="00726177">
        <w:rPr>
          <w:rFonts w:ascii="Arial" w:hAnsi="Arial" w:cs="Arial"/>
          <w:lang w:eastAsia="en-AU"/>
        </w:rPr>
        <w:t>etermination will</w:t>
      </w:r>
      <w:r w:rsidRPr="00726177">
        <w:rPr>
          <w:rFonts w:ascii="Arial" w:hAnsi="Arial" w:cs="Arial"/>
          <w:lang w:eastAsia="en-AU"/>
        </w:rPr>
        <w:t xml:space="preserve"> continue to</w:t>
      </w:r>
      <w:r w:rsidR="00F55C41" w:rsidRPr="00726177">
        <w:rPr>
          <w:rFonts w:ascii="Arial" w:hAnsi="Arial" w:cs="Arial"/>
          <w:lang w:eastAsia="en-AU"/>
        </w:rPr>
        <w:t xml:space="preserve"> </w:t>
      </w:r>
      <w:r w:rsidRPr="00726177">
        <w:rPr>
          <w:rFonts w:ascii="Arial" w:hAnsi="Arial" w:cs="Arial"/>
          <w:lang w:eastAsia="en-AU"/>
        </w:rPr>
        <w:t xml:space="preserve">be exempt under </w:t>
      </w:r>
      <w:r w:rsidR="00F55C41" w:rsidRPr="00726177">
        <w:rPr>
          <w:rFonts w:ascii="Arial" w:hAnsi="Arial" w:cs="Arial"/>
          <w:lang w:eastAsia="en-AU"/>
        </w:rPr>
        <w:t>this instrument.</w:t>
      </w:r>
    </w:p>
    <w:p w14:paraId="1C9DD462" w14:textId="52177149" w:rsidR="0052790B" w:rsidRPr="00726177" w:rsidRDefault="0052790B" w:rsidP="00F73DA7">
      <w:pPr>
        <w:spacing w:after="120"/>
        <w:rPr>
          <w:rFonts w:ascii="Arial" w:hAnsi="Arial" w:cs="Arial"/>
        </w:rPr>
      </w:pPr>
    </w:p>
    <w:p w14:paraId="6DE97B61" w14:textId="4E7D087C" w:rsidR="0052790B" w:rsidRPr="00726177" w:rsidRDefault="0052790B" w:rsidP="00F73DA7">
      <w:pPr>
        <w:pStyle w:val="Heading3"/>
        <w:spacing w:before="0" w:after="120"/>
        <w:rPr>
          <w:i/>
          <w:iCs/>
          <w:sz w:val="22"/>
          <w:szCs w:val="22"/>
        </w:rPr>
      </w:pPr>
      <w:r w:rsidRPr="00726177">
        <w:rPr>
          <w:i/>
          <w:iCs/>
          <w:sz w:val="22"/>
          <w:szCs w:val="22"/>
        </w:rPr>
        <w:t xml:space="preserve">The reporting exemption provided by section </w:t>
      </w:r>
      <w:r w:rsidR="52D2EF80" w:rsidRPr="00726177">
        <w:rPr>
          <w:i/>
          <w:iCs/>
          <w:sz w:val="22"/>
          <w:szCs w:val="22"/>
        </w:rPr>
        <w:t>6</w:t>
      </w:r>
    </w:p>
    <w:p w14:paraId="312F38E4" w14:textId="2DBB68DF" w:rsidR="0052790B" w:rsidRPr="00726177" w:rsidRDefault="00AA2E25"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Section </w:t>
      </w:r>
      <w:r w:rsidR="20033556" w:rsidRPr="00726177">
        <w:rPr>
          <w:rFonts w:ascii="Arial" w:hAnsi="Arial" w:cs="Arial"/>
        </w:rPr>
        <w:t>6</w:t>
      </w:r>
      <w:r w:rsidRPr="00726177">
        <w:rPr>
          <w:rFonts w:ascii="Arial" w:hAnsi="Arial" w:cs="Arial"/>
        </w:rPr>
        <w:t xml:space="preserve"> of this instrument applies in circumstances where a supply is made through more than one EDP. It reduces the likelihood that the same transaction will be reported </w:t>
      </w:r>
      <w:r w:rsidR="006F1C56" w:rsidRPr="00726177">
        <w:rPr>
          <w:rFonts w:ascii="Arial" w:hAnsi="Arial" w:cs="Arial"/>
        </w:rPr>
        <w:t xml:space="preserve">to the </w:t>
      </w:r>
      <w:r w:rsidR="006F1C56" w:rsidRPr="00C2733A">
        <w:rPr>
          <w:rFonts w:ascii="Arial" w:hAnsi="Arial" w:cs="Arial"/>
        </w:rPr>
        <w:t>Commissioner</w:t>
      </w:r>
      <w:r w:rsidR="006F1C56" w:rsidRPr="00726177">
        <w:rPr>
          <w:rFonts w:ascii="Arial" w:hAnsi="Arial" w:cs="Arial"/>
        </w:rPr>
        <w:t xml:space="preserve"> </w:t>
      </w:r>
      <w:r w:rsidRPr="00726177">
        <w:rPr>
          <w:rFonts w:ascii="Arial" w:hAnsi="Arial" w:cs="Arial"/>
        </w:rPr>
        <w:t>by more than one EDP operator</w:t>
      </w:r>
      <w:r w:rsidR="002A178D" w:rsidRPr="00726177">
        <w:rPr>
          <w:rFonts w:ascii="Arial" w:hAnsi="Arial" w:cs="Arial"/>
        </w:rPr>
        <w:t>,</w:t>
      </w:r>
      <w:r w:rsidRPr="00726177">
        <w:rPr>
          <w:rFonts w:ascii="Arial" w:hAnsi="Arial" w:cs="Arial"/>
        </w:rPr>
        <w:t xml:space="preserve"> by placing the obligation to report the transaction on EDPs that provide</w:t>
      </w:r>
      <w:r w:rsidR="006F1C56" w:rsidRPr="00726177">
        <w:rPr>
          <w:rFonts w:ascii="Arial" w:hAnsi="Arial" w:cs="Arial"/>
        </w:rPr>
        <w:t>s</w:t>
      </w:r>
      <w:r w:rsidRPr="00726177">
        <w:rPr>
          <w:rFonts w:ascii="Arial" w:hAnsi="Arial" w:cs="Arial"/>
        </w:rPr>
        <w:t xml:space="preserve"> all or part of the consideration they receive in relation to the supply directly to the supplier. It does this by exempting the operator of an EDP (the first platform) from having to report a transaction made through that EDP to the </w:t>
      </w:r>
      <w:r w:rsidRPr="00C2733A">
        <w:rPr>
          <w:rFonts w:ascii="Arial" w:hAnsi="Arial" w:cs="Arial"/>
        </w:rPr>
        <w:t>Commissioner</w:t>
      </w:r>
      <w:r w:rsidRPr="00726177">
        <w:rPr>
          <w:rFonts w:ascii="Arial" w:hAnsi="Arial" w:cs="Arial"/>
        </w:rPr>
        <w:t xml:space="preserve"> where:</w:t>
      </w:r>
    </w:p>
    <w:p w14:paraId="44EBAD29" w14:textId="77777777" w:rsidR="00601CD5" w:rsidRPr="00726177" w:rsidRDefault="0052790B" w:rsidP="00447772">
      <w:pPr>
        <w:pStyle w:val="ListParagraph"/>
        <w:numPr>
          <w:ilvl w:val="0"/>
          <w:numId w:val="2"/>
        </w:numPr>
        <w:spacing w:after="120" w:line="240" w:lineRule="auto"/>
        <w:ind w:left="1418" w:hanging="709"/>
        <w:rPr>
          <w:rFonts w:ascii="Arial" w:hAnsi="Arial" w:cs="Arial"/>
        </w:rPr>
      </w:pPr>
      <w:r w:rsidRPr="00726177">
        <w:rPr>
          <w:rFonts w:ascii="Arial" w:hAnsi="Arial" w:cs="Arial"/>
        </w:rPr>
        <w:t>the supply is also made through at least one other EDP</w:t>
      </w:r>
      <w:r w:rsidR="00480F0A" w:rsidRPr="00726177">
        <w:rPr>
          <w:rFonts w:ascii="Arial" w:hAnsi="Arial" w:cs="Arial"/>
        </w:rPr>
        <w:t>;</w:t>
      </w:r>
    </w:p>
    <w:p w14:paraId="378BA5D0" w14:textId="0E4D420D" w:rsidR="0052790B" w:rsidRPr="00726177" w:rsidRDefault="0052790B" w:rsidP="00447772">
      <w:pPr>
        <w:pStyle w:val="ListParagraph"/>
        <w:numPr>
          <w:ilvl w:val="0"/>
          <w:numId w:val="2"/>
        </w:numPr>
        <w:spacing w:after="120" w:line="240" w:lineRule="auto"/>
        <w:ind w:left="1418" w:hanging="709"/>
        <w:rPr>
          <w:rFonts w:ascii="Arial" w:hAnsi="Arial" w:cs="Arial"/>
        </w:rPr>
      </w:pPr>
      <w:r w:rsidRPr="00726177">
        <w:rPr>
          <w:rFonts w:ascii="Arial" w:hAnsi="Arial" w:cs="Arial"/>
        </w:rPr>
        <w:t xml:space="preserve">the first platform </w:t>
      </w:r>
      <w:r w:rsidR="002A178D" w:rsidRPr="00726177">
        <w:rPr>
          <w:rFonts w:ascii="Arial" w:hAnsi="Arial" w:cs="Arial"/>
        </w:rPr>
        <w:t xml:space="preserve">does </w:t>
      </w:r>
      <w:r w:rsidRPr="00726177">
        <w:rPr>
          <w:rFonts w:ascii="Arial" w:hAnsi="Arial" w:cs="Arial"/>
        </w:rPr>
        <w:t>not itself p</w:t>
      </w:r>
      <w:r w:rsidR="0013019A" w:rsidRPr="00726177">
        <w:rPr>
          <w:rFonts w:ascii="Arial" w:hAnsi="Arial" w:cs="Arial"/>
        </w:rPr>
        <w:t>rovide</w:t>
      </w:r>
      <w:r w:rsidRPr="00726177">
        <w:rPr>
          <w:rFonts w:ascii="Arial" w:hAnsi="Arial" w:cs="Arial"/>
        </w:rPr>
        <w:t xml:space="preserve"> any consideration it receives in relation to the supply directly to the supplier</w:t>
      </w:r>
      <w:r w:rsidR="00480F0A" w:rsidRPr="00726177">
        <w:rPr>
          <w:rFonts w:ascii="Arial" w:hAnsi="Arial" w:cs="Arial"/>
        </w:rPr>
        <w:t xml:space="preserve">; </w:t>
      </w:r>
      <w:r w:rsidRPr="00726177">
        <w:rPr>
          <w:rFonts w:ascii="Arial" w:hAnsi="Arial" w:cs="Arial"/>
        </w:rPr>
        <w:t>and</w:t>
      </w:r>
    </w:p>
    <w:p w14:paraId="0364E8EB" w14:textId="48E7DC07" w:rsidR="0052790B" w:rsidRPr="00726177" w:rsidRDefault="0052790B" w:rsidP="00447772">
      <w:pPr>
        <w:pStyle w:val="ListParagraph"/>
        <w:numPr>
          <w:ilvl w:val="0"/>
          <w:numId w:val="2"/>
        </w:numPr>
        <w:spacing w:after="120" w:line="240" w:lineRule="auto"/>
        <w:ind w:left="1418" w:hanging="709"/>
        <w:rPr>
          <w:rFonts w:ascii="Arial" w:hAnsi="Arial" w:cs="Arial"/>
        </w:rPr>
      </w:pPr>
      <w:r w:rsidRPr="00726177">
        <w:rPr>
          <w:rFonts w:ascii="Arial" w:hAnsi="Arial" w:cs="Arial"/>
        </w:rPr>
        <w:t>the operator of another EDP p</w:t>
      </w:r>
      <w:r w:rsidR="0013019A" w:rsidRPr="00726177">
        <w:rPr>
          <w:rFonts w:ascii="Arial" w:hAnsi="Arial" w:cs="Arial"/>
        </w:rPr>
        <w:t>rovides</w:t>
      </w:r>
      <w:r w:rsidRPr="00726177">
        <w:rPr>
          <w:rFonts w:ascii="Arial" w:hAnsi="Arial" w:cs="Arial"/>
        </w:rPr>
        <w:t xml:space="preserve"> all or part of the consideration given by the recipient of the supply to the supplier and has a reporting obligation under table item</w:t>
      </w:r>
      <w:r w:rsidR="00C2733A">
        <w:rPr>
          <w:rFonts w:ascii="Arial" w:hAnsi="Arial" w:cs="Arial"/>
        </w:rPr>
        <w:t> </w:t>
      </w:r>
      <w:r w:rsidRPr="00726177">
        <w:rPr>
          <w:rFonts w:ascii="Arial" w:hAnsi="Arial" w:cs="Arial"/>
        </w:rPr>
        <w:t xml:space="preserve">15 in section 396-55 </w:t>
      </w:r>
      <w:r w:rsidR="008336F7" w:rsidRPr="00726177">
        <w:rPr>
          <w:rFonts w:ascii="Arial" w:hAnsi="Arial" w:cs="Arial"/>
        </w:rPr>
        <w:t xml:space="preserve">in Schedule 1 to the Act </w:t>
      </w:r>
      <w:r w:rsidRPr="00726177">
        <w:rPr>
          <w:rFonts w:ascii="Arial" w:hAnsi="Arial" w:cs="Arial"/>
        </w:rPr>
        <w:t>in relation to that transaction.</w:t>
      </w:r>
    </w:p>
    <w:p w14:paraId="5148365E" w14:textId="6EADD40A" w:rsidR="0052790B" w:rsidRPr="00726177" w:rsidRDefault="00142C39"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Where </w:t>
      </w:r>
      <w:r w:rsidR="00DD4B55" w:rsidRPr="00726177">
        <w:rPr>
          <w:rFonts w:ascii="Arial" w:hAnsi="Arial" w:cs="Arial"/>
        </w:rPr>
        <w:t>the</w:t>
      </w:r>
      <w:r w:rsidR="0052790B" w:rsidRPr="00726177">
        <w:rPr>
          <w:rFonts w:ascii="Arial" w:hAnsi="Arial" w:cs="Arial"/>
        </w:rPr>
        <w:t xml:space="preserve"> operator of the first platform is seeking to apply this exemption in relation to a transaction but is unsure whether another entity has a reporting obligation in relation to the transaction under table item 15 in section 396-55</w:t>
      </w:r>
      <w:r w:rsidR="00FB790A" w:rsidRPr="00726177">
        <w:rPr>
          <w:rFonts w:ascii="Arial" w:hAnsi="Arial" w:cs="Arial"/>
        </w:rPr>
        <w:t xml:space="preserve"> in Schedule 1 to the Act</w:t>
      </w:r>
      <w:r w:rsidR="0052790B" w:rsidRPr="00726177">
        <w:rPr>
          <w:rFonts w:ascii="Arial" w:hAnsi="Arial" w:cs="Arial"/>
        </w:rPr>
        <w:t>, they should seek to confirm this with th</w:t>
      </w:r>
      <w:r w:rsidR="002A178D" w:rsidRPr="00726177">
        <w:rPr>
          <w:rFonts w:ascii="Arial" w:hAnsi="Arial" w:cs="Arial"/>
        </w:rPr>
        <w:t>e other</w:t>
      </w:r>
      <w:r w:rsidR="0052790B" w:rsidRPr="00726177">
        <w:rPr>
          <w:rFonts w:ascii="Arial" w:hAnsi="Arial" w:cs="Arial"/>
        </w:rPr>
        <w:t xml:space="preserve"> entity before they apply the exemption. That is, </w:t>
      </w:r>
      <w:r w:rsidR="00D740C0" w:rsidRPr="00726177">
        <w:rPr>
          <w:rFonts w:ascii="Arial" w:hAnsi="Arial" w:cs="Arial"/>
        </w:rPr>
        <w:t>if an EDP</w:t>
      </w:r>
      <w:r w:rsidR="00AA43D3" w:rsidRPr="00726177">
        <w:rPr>
          <w:rFonts w:ascii="Arial" w:hAnsi="Arial" w:cs="Arial"/>
        </w:rPr>
        <w:t xml:space="preserve"> operator</w:t>
      </w:r>
      <w:r w:rsidR="00D740C0" w:rsidRPr="00726177">
        <w:rPr>
          <w:rFonts w:ascii="Arial" w:hAnsi="Arial" w:cs="Arial"/>
        </w:rPr>
        <w:t xml:space="preserve"> is unsure whether another EDP </w:t>
      </w:r>
      <w:r w:rsidR="00110A42" w:rsidRPr="00726177">
        <w:rPr>
          <w:rFonts w:ascii="Arial" w:hAnsi="Arial" w:cs="Arial"/>
        </w:rPr>
        <w:t xml:space="preserve">operator </w:t>
      </w:r>
      <w:r w:rsidR="00D740C0" w:rsidRPr="00726177">
        <w:rPr>
          <w:rFonts w:ascii="Arial" w:hAnsi="Arial" w:cs="Arial"/>
        </w:rPr>
        <w:t>is responsible for reporting a transaction, they should take reasonable steps to confirm this with the other EDP</w:t>
      </w:r>
      <w:r w:rsidR="00AA43D3" w:rsidRPr="00726177">
        <w:rPr>
          <w:rFonts w:ascii="Arial" w:hAnsi="Arial" w:cs="Arial"/>
        </w:rPr>
        <w:t xml:space="preserve"> operator</w:t>
      </w:r>
      <w:r w:rsidR="00D740C0" w:rsidRPr="00726177">
        <w:rPr>
          <w:rFonts w:ascii="Arial" w:hAnsi="Arial" w:cs="Arial"/>
        </w:rPr>
        <w:t xml:space="preserve"> before relying on this exemption.</w:t>
      </w:r>
    </w:p>
    <w:p w14:paraId="72BD8B00" w14:textId="77777777" w:rsidR="00601CD5" w:rsidRPr="00726177" w:rsidRDefault="0018304F" w:rsidP="00F73DA7">
      <w:pPr>
        <w:numPr>
          <w:ilvl w:val="0"/>
          <w:numId w:val="1"/>
        </w:numPr>
        <w:tabs>
          <w:tab w:val="clear" w:pos="720"/>
        </w:tabs>
        <w:spacing w:after="120"/>
        <w:ind w:left="0" w:firstLine="0"/>
        <w:jc w:val="left"/>
        <w:rPr>
          <w:rFonts w:ascii="Arial" w:hAnsi="Arial" w:cs="Arial"/>
          <w:color w:val="000000"/>
        </w:rPr>
      </w:pPr>
      <w:r w:rsidRPr="00726177">
        <w:rPr>
          <w:rFonts w:ascii="Arial" w:hAnsi="Arial" w:cs="Arial"/>
          <w:color w:val="000000"/>
        </w:rPr>
        <w:t>If an EDP</w:t>
      </w:r>
      <w:r w:rsidR="00AA43D3" w:rsidRPr="00726177">
        <w:rPr>
          <w:rFonts w:ascii="Arial" w:hAnsi="Arial" w:cs="Arial"/>
          <w:color w:val="000000"/>
        </w:rPr>
        <w:t xml:space="preserve"> operator </w:t>
      </w:r>
      <w:r w:rsidRPr="00726177">
        <w:rPr>
          <w:rFonts w:ascii="Arial" w:hAnsi="Arial" w:cs="Arial"/>
          <w:color w:val="000000"/>
        </w:rPr>
        <w:t>intends to apply this exemption</w:t>
      </w:r>
      <w:r w:rsidR="005B58A9" w:rsidRPr="00726177">
        <w:rPr>
          <w:rFonts w:ascii="Arial" w:hAnsi="Arial" w:cs="Arial"/>
          <w:color w:val="000000"/>
        </w:rPr>
        <w:t xml:space="preserve"> in relation to </w:t>
      </w:r>
      <w:r w:rsidR="00AA43D3" w:rsidRPr="00726177">
        <w:rPr>
          <w:rFonts w:ascii="Arial" w:hAnsi="Arial" w:cs="Arial"/>
          <w:color w:val="000000"/>
        </w:rPr>
        <w:t>supplies</w:t>
      </w:r>
      <w:r w:rsidR="005B58A9" w:rsidRPr="00726177">
        <w:rPr>
          <w:rFonts w:ascii="Arial" w:hAnsi="Arial" w:cs="Arial"/>
          <w:color w:val="000000"/>
        </w:rPr>
        <w:t xml:space="preserve"> </w:t>
      </w:r>
      <w:r w:rsidR="00AA43D3" w:rsidRPr="00726177">
        <w:rPr>
          <w:rFonts w:ascii="Arial" w:hAnsi="Arial" w:cs="Arial"/>
          <w:color w:val="000000"/>
        </w:rPr>
        <w:t xml:space="preserve">made through its EDP and </w:t>
      </w:r>
      <w:r w:rsidR="005B58A9" w:rsidRPr="00726177">
        <w:rPr>
          <w:rFonts w:ascii="Arial" w:hAnsi="Arial" w:cs="Arial"/>
          <w:color w:val="000000"/>
        </w:rPr>
        <w:t>another EDP</w:t>
      </w:r>
      <w:r w:rsidR="00110A42" w:rsidRPr="00726177">
        <w:rPr>
          <w:rFonts w:ascii="Arial" w:hAnsi="Arial" w:cs="Arial"/>
          <w:color w:val="000000"/>
        </w:rPr>
        <w:t>,</w:t>
      </w:r>
      <w:r w:rsidRPr="00726177">
        <w:rPr>
          <w:rFonts w:ascii="Arial" w:hAnsi="Arial" w:cs="Arial"/>
          <w:color w:val="000000"/>
        </w:rPr>
        <w:t xml:space="preserve"> they must notify the </w:t>
      </w:r>
      <w:r w:rsidRPr="00C2733A">
        <w:rPr>
          <w:rFonts w:ascii="Arial" w:hAnsi="Arial" w:cs="Arial"/>
          <w:color w:val="000000"/>
        </w:rPr>
        <w:t>Commissioner</w:t>
      </w:r>
      <w:r w:rsidRPr="00726177">
        <w:rPr>
          <w:rFonts w:ascii="Arial" w:hAnsi="Arial" w:cs="Arial"/>
          <w:color w:val="000000"/>
        </w:rPr>
        <w:t xml:space="preserve"> in writing that they will be </w:t>
      </w:r>
      <w:r w:rsidR="005B58A9" w:rsidRPr="00726177">
        <w:rPr>
          <w:rFonts w:ascii="Arial" w:hAnsi="Arial" w:cs="Arial"/>
          <w:color w:val="000000"/>
        </w:rPr>
        <w:t xml:space="preserve">relying on the exemption </w:t>
      </w:r>
      <w:r w:rsidR="00AA43D3" w:rsidRPr="00726177">
        <w:rPr>
          <w:rFonts w:ascii="Arial" w:hAnsi="Arial" w:cs="Arial"/>
          <w:color w:val="000000"/>
        </w:rPr>
        <w:t>and not reporting those transactions</w:t>
      </w:r>
      <w:r w:rsidRPr="00726177">
        <w:rPr>
          <w:rFonts w:ascii="Arial" w:hAnsi="Arial" w:cs="Arial"/>
          <w:color w:val="000000"/>
        </w:rPr>
        <w:t xml:space="preserve">. They must </w:t>
      </w:r>
      <w:r w:rsidR="00AA43D3" w:rsidRPr="00726177">
        <w:rPr>
          <w:rFonts w:ascii="Arial" w:hAnsi="Arial" w:cs="Arial"/>
          <w:color w:val="000000"/>
        </w:rPr>
        <w:t>do so</w:t>
      </w:r>
      <w:r w:rsidRPr="00726177">
        <w:rPr>
          <w:rFonts w:ascii="Arial" w:hAnsi="Arial" w:cs="Arial"/>
          <w:color w:val="000000"/>
        </w:rPr>
        <w:t xml:space="preserve"> either on or before the day that they would otherwise be required to give a report for a period under paragraph 396-55(b) in Schedule 1 to the Act, or (if they ask the </w:t>
      </w:r>
      <w:r w:rsidRPr="00C2733A">
        <w:rPr>
          <w:rFonts w:ascii="Arial" w:hAnsi="Arial" w:cs="Arial"/>
          <w:color w:val="000000"/>
        </w:rPr>
        <w:t>Commissioner</w:t>
      </w:r>
      <w:r w:rsidRPr="00726177">
        <w:rPr>
          <w:rFonts w:ascii="Arial" w:hAnsi="Arial" w:cs="Arial"/>
          <w:color w:val="000000"/>
        </w:rPr>
        <w:t xml:space="preserve"> for an extension of time and the </w:t>
      </w:r>
      <w:r w:rsidRPr="00C2733A">
        <w:rPr>
          <w:rFonts w:ascii="Arial" w:hAnsi="Arial" w:cs="Arial"/>
          <w:color w:val="000000"/>
        </w:rPr>
        <w:t>Commissioner</w:t>
      </w:r>
      <w:r w:rsidRPr="00726177">
        <w:rPr>
          <w:rFonts w:ascii="Arial" w:hAnsi="Arial" w:cs="Arial"/>
          <w:color w:val="000000"/>
        </w:rPr>
        <w:t xml:space="preserve"> agrees) a day notified by the </w:t>
      </w:r>
      <w:r w:rsidRPr="00C2733A">
        <w:rPr>
          <w:rFonts w:ascii="Arial" w:hAnsi="Arial" w:cs="Arial"/>
          <w:color w:val="000000"/>
        </w:rPr>
        <w:t>Commissioner</w:t>
      </w:r>
      <w:r w:rsidRPr="00726177">
        <w:rPr>
          <w:rFonts w:ascii="Arial" w:hAnsi="Arial" w:cs="Arial"/>
          <w:color w:val="000000"/>
        </w:rPr>
        <w:t xml:space="preserve"> in writing.</w:t>
      </w:r>
    </w:p>
    <w:p w14:paraId="68148303" w14:textId="205EDFD4" w:rsidR="00DF15AE" w:rsidRPr="00726177" w:rsidRDefault="00DF15AE" w:rsidP="00F73DA7">
      <w:pPr>
        <w:spacing w:after="120"/>
        <w:rPr>
          <w:rFonts w:ascii="Arial" w:hAnsi="Arial" w:cs="Arial"/>
        </w:rPr>
      </w:pPr>
    </w:p>
    <w:p w14:paraId="60E31F1D" w14:textId="09B30091" w:rsidR="0052790B" w:rsidRPr="00726177" w:rsidRDefault="00F27447" w:rsidP="00F73DA7">
      <w:pPr>
        <w:pStyle w:val="Heading3"/>
        <w:spacing w:before="0" w:after="120"/>
        <w:rPr>
          <w:i/>
          <w:iCs/>
          <w:sz w:val="22"/>
          <w:szCs w:val="22"/>
        </w:rPr>
      </w:pPr>
      <w:r w:rsidRPr="00726177">
        <w:rPr>
          <w:i/>
          <w:iCs/>
          <w:sz w:val="22"/>
          <w:szCs w:val="22"/>
        </w:rPr>
        <w:t>R</w:t>
      </w:r>
      <w:r w:rsidR="0052790B" w:rsidRPr="00726177">
        <w:rPr>
          <w:i/>
          <w:iCs/>
          <w:sz w:val="22"/>
          <w:szCs w:val="22"/>
        </w:rPr>
        <w:t>eporting exemption</w:t>
      </w:r>
      <w:r w:rsidR="004372DB" w:rsidRPr="00726177">
        <w:rPr>
          <w:i/>
          <w:iCs/>
          <w:sz w:val="22"/>
          <w:szCs w:val="22"/>
        </w:rPr>
        <w:t>s</w:t>
      </w:r>
      <w:r w:rsidR="0052790B" w:rsidRPr="00726177">
        <w:rPr>
          <w:i/>
          <w:iCs/>
          <w:sz w:val="22"/>
          <w:szCs w:val="22"/>
        </w:rPr>
        <w:t xml:space="preserve"> provided by section </w:t>
      </w:r>
      <w:r w:rsidR="5D22B9B6" w:rsidRPr="00726177">
        <w:rPr>
          <w:i/>
          <w:iCs/>
          <w:sz w:val="22"/>
          <w:szCs w:val="22"/>
        </w:rPr>
        <w:t>7</w:t>
      </w:r>
      <w:r w:rsidR="00A53379" w:rsidRPr="00726177">
        <w:rPr>
          <w:i/>
          <w:iCs/>
          <w:sz w:val="22"/>
          <w:szCs w:val="22"/>
        </w:rPr>
        <w:t xml:space="preserve"> – transactions</w:t>
      </w:r>
      <w:r w:rsidRPr="00726177">
        <w:rPr>
          <w:i/>
          <w:iCs/>
          <w:sz w:val="22"/>
          <w:szCs w:val="22"/>
        </w:rPr>
        <w:t xml:space="preserve"> involving certain types of suppliers</w:t>
      </w:r>
    </w:p>
    <w:p w14:paraId="70D5C943" w14:textId="505EF48B" w:rsidR="00601CD5" w:rsidRPr="00726177" w:rsidRDefault="004372DB"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Section </w:t>
      </w:r>
      <w:r w:rsidR="601B7C76" w:rsidRPr="00726177">
        <w:rPr>
          <w:rFonts w:ascii="Arial" w:hAnsi="Arial" w:cs="Arial"/>
        </w:rPr>
        <w:t>7</w:t>
      </w:r>
      <w:r w:rsidRPr="00726177">
        <w:rPr>
          <w:rFonts w:ascii="Arial" w:hAnsi="Arial" w:cs="Arial"/>
        </w:rPr>
        <w:t xml:space="preserve"> </w:t>
      </w:r>
      <w:r w:rsidR="00FB790A" w:rsidRPr="00726177">
        <w:rPr>
          <w:rFonts w:ascii="Arial" w:hAnsi="Arial" w:cs="Arial"/>
        </w:rPr>
        <w:t>of th</w:t>
      </w:r>
      <w:r w:rsidR="00B81185" w:rsidRPr="00726177">
        <w:rPr>
          <w:rFonts w:ascii="Arial" w:hAnsi="Arial" w:cs="Arial"/>
        </w:rPr>
        <w:t>is</w:t>
      </w:r>
      <w:r w:rsidR="00FB790A" w:rsidRPr="00726177">
        <w:rPr>
          <w:rFonts w:ascii="Arial" w:hAnsi="Arial" w:cs="Arial"/>
        </w:rPr>
        <w:t xml:space="preserve"> instrument </w:t>
      </w:r>
      <w:r w:rsidRPr="00726177">
        <w:rPr>
          <w:rFonts w:ascii="Arial" w:hAnsi="Arial" w:cs="Arial"/>
        </w:rPr>
        <w:t xml:space="preserve">exempts the operator of </w:t>
      </w:r>
      <w:r w:rsidR="00A26841" w:rsidRPr="00726177">
        <w:rPr>
          <w:rFonts w:ascii="Arial" w:hAnsi="Arial" w:cs="Arial"/>
        </w:rPr>
        <w:t xml:space="preserve">an </w:t>
      </w:r>
      <w:r w:rsidRPr="00726177">
        <w:rPr>
          <w:rFonts w:ascii="Arial" w:hAnsi="Arial" w:cs="Arial"/>
        </w:rPr>
        <w:t xml:space="preserve">EDP from reporting transactions </w:t>
      </w:r>
      <w:r w:rsidR="00DD4B55" w:rsidRPr="00726177">
        <w:rPr>
          <w:rFonts w:ascii="Arial" w:hAnsi="Arial" w:cs="Arial"/>
        </w:rPr>
        <w:t>i</w:t>
      </w:r>
      <w:r w:rsidR="004A59E1" w:rsidRPr="00726177">
        <w:rPr>
          <w:rFonts w:ascii="Arial" w:hAnsi="Arial" w:cs="Arial"/>
        </w:rPr>
        <w:t xml:space="preserve">nvolving certain </w:t>
      </w:r>
      <w:r w:rsidR="00677A71" w:rsidRPr="00726177">
        <w:rPr>
          <w:rFonts w:ascii="Arial" w:hAnsi="Arial" w:cs="Arial"/>
        </w:rPr>
        <w:t xml:space="preserve">types </w:t>
      </w:r>
      <w:r w:rsidR="004A59E1" w:rsidRPr="00726177">
        <w:rPr>
          <w:rFonts w:ascii="Arial" w:hAnsi="Arial" w:cs="Arial"/>
        </w:rPr>
        <w:t>of supplier</w:t>
      </w:r>
      <w:r w:rsidR="003C4B0E" w:rsidRPr="00726177">
        <w:rPr>
          <w:rFonts w:ascii="Arial" w:hAnsi="Arial" w:cs="Arial"/>
        </w:rPr>
        <w:t>s</w:t>
      </w:r>
      <w:r w:rsidR="004A59E1" w:rsidRPr="00726177">
        <w:rPr>
          <w:rFonts w:ascii="Arial" w:hAnsi="Arial" w:cs="Arial"/>
        </w:rPr>
        <w:t xml:space="preserve">. These transactions </w:t>
      </w:r>
      <w:r w:rsidR="00677A71" w:rsidRPr="00726177">
        <w:rPr>
          <w:rFonts w:ascii="Arial" w:hAnsi="Arial" w:cs="Arial"/>
        </w:rPr>
        <w:t xml:space="preserve">are </w:t>
      </w:r>
      <w:r w:rsidR="004A59E1" w:rsidRPr="00726177">
        <w:rPr>
          <w:rFonts w:ascii="Arial" w:hAnsi="Arial" w:cs="Arial"/>
        </w:rPr>
        <w:t xml:space="preserve">exempted </w:t>
      </w:r>
      <w:r w:rsidR="00B67AAE" w:rsidRPr="00726177">
        <w:rPr>
          <w:rFonts w:ascii="Arial" w:hAnsi="Arial" w:cs="Arial"/>
        </w:rPr>
        <w:t xml:space="preserve">because the </w:t>
      </w:r>
      <w:r w:rsidR="004A59E1" w:rsidRPr="00726177">
        <w:rPr>
          <w:rFonts w:ascii="Arial" w:hAnsi="Arial" w:cs="Arial"/>
        </w:rPr>
        <w:t xml:space="preserve">suppliers are </w:t>
      </w:r>
      <w:r w:rsidR="00EC2DEF" w:rsidRPr="00726177">
        <w:rPr>
          <w:rFonts w:ascii="Arial" w:hAnsi="Arial" w:cs="Arial"/>
        </w:rPr>
        <w:t xml:space="preserve">less </w:t>
      </w:r>
      <w:r w:rsidR="004A59E1" w:rsidRPr="00726177">
        <w:rPr>
          <w:rFonts w:ascii="Arial" w:hAnsi="Arial" w:cs="Arial"/>
        </w:rPr>
        <w:t xml:space="preserve">likely to be sharing economy participants, are </w:t>
      </w:r>
      <w:r w:rsidR="00677A71" w:rsidRPr="00726177">
        <w:rPr>
          <w:rFonts w:ascii="Arial" w:hAnsi="Arial" w:cs="Arial"/>
        </w:rPr>
        <w:t xml:space="preserve">generally </w:t>
      </w:r>
      <w:r w:rsidR="00447772">
        <w:rPr>
          <w:rFonts w:ascii="Arial" w:hAnsi="Arial" w:cs="Arial"/>
        </w:rPr>
        <w:t xml:space="preserve">likely to be compliant with their tax obligations or are </w:t>
      </w:r>
      <w:r w:rsidR="004A59E1" w:rsidRPr="00726177">
        <w:rPr>
          <w:rFonts w:ascii="Arial" w:hAnsi="Arial" w:cs="Arial"/>
        </w:rPr>
        <w:t>subject to other regulatory or reporting regimes</w:t>
      </w:r>
      <w:r w:rsidRPr="00726177">
        <w:rPr>
          <w:rFonts w:ascii="Arial" w:hAnsi="Arial" w:cs="Arial"/>
        </w:rPr>
        <w:t>.</w:t>
      </w:r>
    </w:p>
    <w:p w14:paraId="35433ABE" w14:textId="1B816A9B" w:rsidR="004242F0" w:rsidRPr="00726177" w:rsidRDefault="004242F0"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If transactions involving a supplier do not need to be reported under section </w:t>
      </w:r>
      <w:r w:rsidR="46524CAF" w:rsidRPr="00726177">
        <w:rPr>
          <w:rFonts w:ascii="Arial" w:hAnsi="Arial" w:cs="Arial"/>
        </w:rPr>
        <w:t>7</w:t>
      </w:r>
      <w:r w:rsidRPr="00726177">
        <w:rPr>
          <w:rFonts w:ascii="Arial" w:hAnsi="Arial" w:cs="Arial"/>
        </w:rPr>
        <w:t xml:space="preserve">, the EDP will not need </w:t>
      </w:r>
      <w:r w:rsidR="006A6A5E" w:rsidRPr="00726177">
        <w:rPr>
          <w:rFonts w:ascii="Arial" w:hAnsi="Arial" w:cs="Arial"/>
        </w:rPr>
        <w:t>to</w:t>
      </w:r>
      <w:r w:rsidRPr="00726177">
        <w:rPr>
          <w:rFonts w:ascii="Arial" w:hAnsi="Arial" w:cs="Arial"/>
        </w:rPr>
        <w:t xml:space="preserve"> consider whether other more specific exemptions</w:t>
      </w:r>
      <w:r w:rsidR="009C5C59" w:rsidRPr="00726177">
        <w:rPr>
          <w:rFonts w:ascii="Arial" w:hAnsi="Arial" w:cs="Arial"/>
        </w:rPr>
        <w:t xml:space="preserve"> (such as those in section </w:t>
      </w:r>
      <w:r w:rsidR="3B40B1CF" w:rsidRPr="00726177">
        <w:rPr>
          <w:rFonts w:ascii="Arial" w:hAnsi="Arial" w:cs="Arial"/>
        </w:rPr>
        <w:t>8</w:t>
      </w:r>
      <w:r w:rsidR="009C5C59" w:rsidRPr="00726177">
        <w:rPr>
          <w:rFonts w:ascii="Arial" w:hAnsi="Arial" w:cs="Arial"/>
        </w:rPr>
        <w:t>)</w:t>
      </w:r>
      <w:r w:rsidRPr="00726177">
        <w:rPr>
          <w:rFonts w:ascii="Arial" w:hAnsi="Arial" w:cs="Arial"/>
        </w:rPr>
        <w:t xml:space="preserve"> apply to transactions involving that supplier.</w:t>
      </w:r>
    </w:p>
    <w:p w14:paraId="1A4A5196" w14:textId="4EE38A29" w:rsidR="004372DB" w:rsidRPr="00726177" w:rsidRDefault="00AE352F" w:rsidP="00F73DA7">
      <w:pPr>
        <w:keepNext/>
        <w:numPr>
          <w:ilvl w:val="0"/>
          <w:numId w:val="1"/>
        </w:numPr>
        <w:tabs>
          <w:tab w:val="clear" w:pos="720"/>
        </w:tabs>
        <w:spacing w:after="120"/>
        <w:ind w:left="0" w:firstLine="0"/>
        <w:jc w:val="left"/>
        <w:rPr>
          <w:rFonts w:ascii="Arial" w:hAnsi="Arial" w:cs="Arial"/>
        </w:rPr>
      </w:pPr>
      <w:r w:rsidRPr="00726177">
        <w:rPr>
          <w:rFonts w:ascii="Arial" w:hAnsi="Arial" w:cs="Arial"/>
        </w:rPr>
        <w:lastRenderedPageBreak/>
        <w:t>U</w:t>
      </w:r>
      <w:r w:rsidR="004A59E1" w:rsidRPr="00726177">
        <w:rPr>
          <w:rFonts w:ascii="Arial" w:hAnsi="Arial" w:cs="Arial"/>
        </w:rPr>
        <w:t xml:space="preserve">nder </w:t>
      </w:r>
      <w:r w:rsidR="00586DDA" w:rsidRPr="00726177">
        <w:rPr>
          <w:rFonts w:ascii="Arial" w:hAnsi="Arial" w:cs="Arial"/>
        </w:rPr>
        <w:t>subsection</w:t>
      </w:r>
      <w:r w:rsidR="004A59E1" w:rsidRPr="00726177">
        <w:rPr>
          <w:rFonts w:ascii="Arial" w:hAnsi="Arial" w:cs="Arial"/>
        </w:rPr>
        <w:t xml:space="preserve"> </w:t>
      </w:r>
      <w:r w:rsidR="6A0F67F5" w:rsidRPr="00726177">
        <w:rPr>
          <w:rFonts w:ascii="Arial" w:hAnsi="Arial" w:cs="Arial"/>
        </w:rPr>
        <w:t>7</w:t>
      </w:r>
      <w:r w:rsidR="00074F04" w:rsidRPr="00726177">
        <w:rPr>
          <w:rFonts w:ascii="Arial" w:hAnsi="Arial" w:cs="Arial"/>
        </w:rPr>
        <w:t>(1)</w:t>
      </w:r>
      <w:r w:rsidRPr="00726177">
        <w:rPr>
          <w:rFonts w:ascii="Arial" w:hAnsi="Arial" w:cs="Arial"/>
        </w:rPr>
        <w:t>,</w:t>
      </w:r>
      <w:r w:rsidR="00074F04" w:rsidRPr="00726177">
        <w:rPr>
          <w:rFonts w:ascii="Arial" w:hAnsi="Arial" w:cs="Arial"/>
        </w:rPr>
        <w:t xml:space="preserve"> </w:t>
      </w:r>
      <w:r w:rsidR="005F7DC6" w:rsidRPr="00726177">
        <w:rPr>
          <w:rFonts w:ascii="Arial" w:hAnsi="Arial" w:cs="Arial"/>
        </w:rPr>
        <w:t>an operator of an</w:t>
      </w:r>
      <w:r w:rsidR="00EC2DEF" w:rsidRPr="00726177">
        <w:rPr>
          <w:rFonts w:ascii="Arial" w:hAnsi="Arial" w:cs="Arial"/>
        </w:rPr>
        <w:t xml:space="preserve"> </w:t>
      </w:r>
      <w:r w:rsidR="00A53379" w:rsidRPr="00726177">
        <w:rPr>
          <w:rFonts w:ascii="Arial" w:hAnsi="Arial" w:cs="Arial"/>
        </w:rPr>
        <w:t>EDP will be exempted from</w:t>
      </w:r>
      <w:r w:rsidR="00E964FB" w:rsidRPr="00726177">
        <w:rPr>
          <w:rFonts w:ascii="Arial" w:hAnsi="Arial" w:cs="Arial"/>
        </w:rPr>
        <w:t xml:space="preserve"> reporting </w:t>
      </w:r>
      <w:r w:rsidR="00A53379" w:rsidRPr="00726177">
        <w:rPr>
          <w:rFonts w:ascii="Arial" w:hAnsi="Arial" w:cs="Arial"/>
        </w:rPr>
        <w:t>transactions where the supplier is:</w:t>
      </w:r>
    </w:p>
    <w:p w14:paraId="486E6B3C" w14:textId="0A38162C" w:rsidR="00A20883" w:rsidRPr="00726177" w:rsidRDefault="00261C78" w:rsidP="00447772">
      <w:pPr>
        <w:pStyle w:val="ListParagraph"/>
        <w:numPr>
          <w:ilvl w:val="0"/>
          <w:numId w:val="7"/>
        </w:numPr>
        <w:spacing w:after="120" w:line="240" w:lineRule="auto"/>
        <w:ind w:left="1418" w:hanging="709"/>
        <w:rPr>
          <w:rFonts w:ascii="Arial" w:hAnsi="Arial" w:cs="Arial"/>
        </w:rPr>
      </w:pPr>
      <w:r w:rsidRPr="00726177">
        <w:rPr>
          <w:rFonts w:ascii="Arial" w:hAnsi="Arial" w:cs="Arial"/>
        </w:rPr>
        <w:t>A</w:t>
      </w:r>
      <w:r w:rsidR="00A53379" w:rsidRPr="00726177">
        <w:rPr>
          <w:rFonts w:ascii="Arial" w:hAnsi="Arial" w:cs="Arial"/>
        </w:rPr>
        <w:t>n entity that is a</w:t>
      </w:r>
      <w:r w:rsidR="005F7DC6" w:rsidRPr="00726177">
        <w:rPr>
          <w:rFonts w:ascii="Arial" w:hAnsi="Arial" w:cs="Arial"/>
        </w:rPr>
        <w:t xml:space="preserve"> listed entity or a</w:t>
      </w:r>
      <w:r w:rsidR="00A53379" w:rsidRPr="00726177">
        <w:rPr>
          <w:rFonts w:ascii="Arial" w:hAnsi="Arial" w:cs="Arial"/>
        </w:rPr>
        <w:t xml:space="preserve"> wholly owned subsidiary of </w:t>
      </w:r>
      <w:r w:rsidR="005F7DC6" w:rsidRPr="00726177">
        <w:rPr>
          <w:rFonts w:ascii="Arial" w:hAnsi="Arial" w:cs="Arial"/>
        </w:rPr>
        <w:t>a listed entity</w:t>
      </w:r>
      <w:r w:rsidR="00A53379" w:rsidRPr="00726177">
        <w:rPr>
          <w:rFonts w:ascii="Arial" w:hAnsi="Arial" w:cs="Arial"/>
        </w:rPr>
        <w:t xml:space="preserve"> (</w:t>
      </w:r>
      <w:r w:rsidR="00010266" w:rsidRPr="00726177">
        <w:rPr>
          <w:rFonts w:ascii="Arial" w:hAnsi="Arial" w:cs="Arial"/>
        </w:rPr>
        <w:t xml:space="preserve">paragraph </w:t>
      </w:r>
      <w:r w:rsidR="7E77620D" w:rsidRPr="00726177">
        <w:rPr>
          <w:rFonts w:ascii="Arial" w:hAnsi="Arial" w:cs="Arial"/>
        </w:rPr>
        <w:t>7</w:t>
      </w:r>
      <w:r w:rsidR="00EC2DEF" w:rsidRPr="00726177">
        <w:rPr>
          <w:rFonts w:ascii="Arial" w:hAnsi="Arial" w:cs="Arial"/>
        </w:rPr>
        <w:t>(</w:t>
      </w:r>
      <w:r w:rsidR="005F7DC6" w:rsidRPr="00726177">
        <w:rPr>
          <w:rFonts w:ascii="Arial" w:hAnsi="Arial" w:cs="Arial"/>
        </w:rPr>
        <w:t>1</w:t>
      </w:r>
      <w:r w:rsidR="00EC2DEF" w:rsidRPr="00726177">
        <w:rPr>
          <w:rFonts w:ascii="Arial" w:hAnsi="Arial" w:cs="Arial"/>
        </w:rPr>
        <w:t>)(</w:t>
      </w:r>
      <w:r w:rsidR="003C709C" w:rsidRPr="00726177">
        <w:rPr>
          <w:rFonts w:ascii="Arial" w:hAnsi="Arial" w:cs="Arial"/>
        </w:rPr>
        <w:t>a</w:t>
      </w:r>
      <w:r w:rsidR="00EC2DEF" w:rsidRPr="00726177">
        <w:rPr>
          <w:rFonts w:ascii="Arial" w:hAnsi="Arial" w:cs="Arial"/>
        </w:rPr>
        <w:t>))</w:t>
      </w:r>
      <w:r w:rsidR="003C709C" w:rsidRPr="00726177">
        <w:rPr>
          <w:rFonts w:ascii="Arial" w:hAnsi="Arial" w:cs="Arial"/>
        </w:rPr>
        <w:t>.</w:t>
      </w:r>
      <w:r w:rsidR="003C709C" w:rsidRPr="00726177">
        <w:rPr>
          <w:rFonts w:ascii="Arial" w:hAnsi="Arial" w:cs="Arial"/>
          <w:i/>
          <w:iCs/>
        </w:rPr>
        <w:t xml:space="preserve"> </w:t>
      </w:r>
      <w:r w:rsidR="003C709C" w:rsidRPr="00726177">
        <w:rPr>
          <w:rFonts w:ascii="Arial" w:hAnsi="Arial" w:cs="Arial"/>
        </w:rPr>
        <w:t xml:space="preserve">For the purposes of this instrument, a listed entity is an entity whose membership interests are publicly traded on an approved stock exchange within the meaning of section 995-1 of the </w:t>
      </w:r>
      <w:r w:rsidR="003C709C" w:rsidRPr="00726177">
        <w:rPr>
          <w:rFonts w:ascii="Arial" w:hAnsi="Arial" w:cs="Arial"/>
          <w:i/>
          <w:iCs/>
        </w:rPr>
        <w:t>Income Tax Assessment Act 1997</w:t>
      </w:r>
      <w:r w:rsidR="00480F0A" w:rsidRPr="00726177">
        <w:rPr>
          <w:rFonts w:ascii="Arial" w:hAnsi="Arial" w:cs="Arial"/>
        </w:rPr>
        <w:t>; or</w:t>
      </w:r>
    </w:p>
    <w:p w14:paraId="52CD41B5" w14:textId="24B75035" w:rsidR="00601CD5" w:rsidRPr="00726177" w:rsidRDefault="003C709C" w:rsidP="00447772">
      <w:pPr>
        <w:pStyle w:val="ListParagraph"/>
        <w:numPr>
          <w:ilvl w:val="0"/>
          <w:numId w:val="7"/>
        </w:numPr>
        <w:spacing w:after="120" w:line="240" w:lineRule="auto"/>
        <w:ind w:left="1418" w:hanging="709"/>
        <w:rPr>
          <w:rFonts w:ascii="Arial" w:hAnsi="Arial" w:cs="Arial"/>
        </w:rPr>
      </w:pPr>
      <w:r w:rsidRPr="00726177">
        <w:rPr>
          <w:rFonts w:ascii="Arial" w:hAnsi="Arial" w:cs="Arial"/>
        </w:rPr>
        <w:t>A</w:t>
      </w:r>
      <w:r w:rsidR="00A53379" w:rsidRPr="00726177">
        <w:rPr>
          <w:rFonts w:ascii="Arial" w:hAnsi="Arial" w:cs="Arial"/>
        </w:rPr>
        <w:t xml:space="preserve"> </w:t>
      </w:r>
      <w:r w:rsidR="00A53379" w:rsidRPr="00C2733A">
        <w:rPr>
          <w:rFonts w:ascii="Arial" w:hAnsi="Arial" w:cs="Arial"/>
        </w:rPr>
        <w:t>government</w:t>
      </w:r>
      <w:r w:rsidR="00A53379" w:rsidRPr="00726177">
        <w:rPr>
          <w:rFonts w:ascii="Arial" w:hAnsi="Arial" w:cs="Arial"/>
        </w:rPr>
        <w:t xml:space="preserve"> department, agency, </w:t>
      </w:r>
      <w:r w:rsidR="00E5182D" w:rsidRPr="00726177">
        <w:rPr>
          <w:rFonts w:ascii="Arial" w:hAnsi="Arial" w:cs="Arial"/>
        </w:rPr>
        <w:t xml:space="preserve">authority, </w:t>
      </w:r>
      <w:r w:rsidR="00A53379" w:rsidRPr="00726177">
        <w:rPr>
          <w:rFonts w:ascii="Arial" w:hAnsi="Arial" w:cs="Arial"/>
        </w:rPr>
        <w:t xml:space="preserve">or entity wholly owned by the </w:t>
      </w:r>
      <w:r w:rsidR="00A53379" w:rsidRPr="00C2733A">
        <w:rPr>
          <w:rFonts w:ascii="Arial" w:hAnsi="Arial" w:cs="Arial"/>
        </w:rPr>
        <w:t>government</w:t>
      </w:r>
      <w:r w:rsidR="00A53379" w:rsidRPr="00726177">
        <w:rPr>
          <w:rFonts w:ascii="Arial" w:hAnsi="Arial" w:cs="Arial"/>
        </w:rPr>
        <w:t xml:space="preserve"> (</w:t>
      </w:r>
      <w:r w:rsidR="00010266" w:rsidRPr="00726177">
        <w:rPr>
          <w:rFonts w:ascii="Arial" w:hAnsi="Arial" w:cs="Arial"/>
        </w:rPr>
        <w:t xml:space="preserve">paragraph </w:t>
      </w:r>
      <w:r w:rsidR="51C66CDB" w:rsidRPr="00726177">
        <w:rPr>
          <w:rFonts w:ascii="Arial" w:hAnsi="Arial" w:cs="Arial"/>
        </w:rPr>
        <w:t>7</w:t>
      </w:r>
      <w:r w:rsidR="00EC2DEF" w:rsidRPr="00726177">
        <w:rPr>
          <w:rFonts w:ascii="Arial" w:hAnsi="Arial" w:cs="Arial"/>
        </w:rPr>
        <w:t>(</w:t>
      </w:r>
      <w:r w:rsidR="005F7DC6" w:rsidRPr="00726177">
        <w:rPr>
          <w:rFonts w:ascii="Arial" w:hAnsi="Arial" w:cs="Arial"/>
        </w:rPr>
        <w:t>1</w:t>
      </w:r>
      <w:r w:rsidR="00EC2DEF" w:rsidRPr="00726177">
        <w:rPr>
          <w:rFonts w:ascii="Arial" w:hAnsi="Arial" w:cs="Arial"/>
        </w:rPr>
        <w:t>)(</w:t>
      </w:r>
      <w:r w:rsidR="005F7DC6" w:rsidRPr="00726177">
        <w:rPr>
          <w:rFonts w:ascii="Arial" w:hAnsi="Arial" w:cs="Arial"/>
        </w:rPr>
        <w:t>b</w:t>
      </w:r>
      <w:r w:rsidR="00EC2DEF" w:rsidRPr="00726177">
        <w:rPr>
          <w:rFonts w:ascii="Arial" w:hAnsi="Arial" w:cs="Arial"/>
        </w:rPr>
        <w:t>))</w:t>
      </w:r>
      <w:r w:rsidR="00E5182D" w:rsidRPr="00726177">
        <w:rPr>
          <w:rFonts w:ascii="Arial" w:hAnsi="Arial" w:cs="Arial"/>
        </w:rPr>
        <w:t>.</w:t>
      </w:r>
      <w:r w:rsidR="00AE352F" w:rsidRPr="00726177">
        <w:rPr>
          <w:rFonts w:ascii="Arial" w:hAnsi="Arial" w:cs="Arial"/>
        </w:rPr>
        <w:t xml:space="preserve"> This is intended to capture </w:t>
      </w:r>
      <w:r w:rsidR="00AE352F" w:rsidRPr="00C2733A">
        <w:rPr>
          <w:rFonts w:ascii="Arial" w:hAnsi="Arial" w:cs="Arial"/>
        </w:rPr>
        <w:t>government</w:t>
      </w:r>
      <w:r w:rsidR="00AE352F" w:rsidRPr="00726177">
        <w:rPr>
          <w:rFonts w:ascii="Arial" w:hAnsi="Arial" w:cs="Arial"/>
        </w:rPr>
        <w:t xml:space="preserve"> bodies (including foreign bodies) at all levels of </w:t>
      </w:r>
      <w:r w:rsidR="00AE352F" w:rsidRPr="00C2733A">
        <w:rPr>
          <w:rFonts w:ascii="Arial" w:hAnsi="Arial" w:cs="Arial"/>
        </w:rPr>
        <w:t>government</w:t>
      </w:r>
      <w:r w:rsidR="00A0065C" w:rsidRPr="00726177">
        <w:rPr>
          <w:rFonts w:ascii="Arial" w:hAnsi="Arial" w:cs="Arial"/>
        </w:rPr>
        <w:t>,</w:t>
      </w:r>
      <w:r w:rsidR="00AE352F" w:rsidRPr="00726177">
        <w:rPr>
          <w:rFonts w:ascii="Arial" w:hAnsi="Arial" w:cs="Arial"/>
        </w:rPr>
        <w:t xml:space="preserve"> including local </w:t>
      </w:r>
      <w:r w:rsidR="00AE352F" w:rsidRPr="00C2733A">
        <w:rPr>
          <w:rFonts w:ascii="Arial" w:hAnsi="Arial" w:cs="Arial"/>
        </w:rPr>
        <w:t>government</w:t>
      </w:r>
      <w:r w:rsidR="00AE352F" w:rsidRPr="00726177">
        <w:rPr>
          <w:rFonts w:ascii="Arial" w:hAnsi="Arial" w:cs="Arial"/>
        </w:rPr>
        <w:t>.</w:t>
      </w:r>
    </w:p>
    <w:p w14:paraId="74D4FF17" w14:textId="0C8E8470" w:rsidR="00601CD5" w:rsidRPr="00726177" w:rsidRDefault="009A3A1A"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Subsection </w:t>
      </w:r>
      <w:r w:rsidR="373F8A93" w:rsidRPr="00726177">
        <w:rPr>
          <w:rFonts w:ascii="Arial" w:hAnsi="Arial" w:cs="Arial"/>
        </w:rPr>
        <w:t>7</w:t>
      </w:r>
      <w:r w:rsidRPr="00726177">
        <w:rPr>
          <w:rFonts w:ascii="Arial" w:hAnsi="Arial" w:cs="Arial"/>
        </w:rPr>
        <w:t>(2) exempts the operat</w:t>
      </w:r>
      <w:r w:rsidR="00923B1B" w:rsidRPr="00726177">
        <w:rPr>
          <w:rFonts w:ascii="Arial" w:hAnsi="Arial" w:cs="Arial"/>
        </w:rPr>
        <w:t>or</w:t>
      </w:r>
      <w:r w:rsidRPr="00726177">
        <w:rPr>
          <w:rFonts w:ascii="Arial" w:hAnsi="Arial" w:cs="Arial"/>
        </w:rPr>
        <w:t xml:space="preserve"> of an EDP from having to report transactions if the supplier is a </w:t>
      </w:r>
      <w:r w:rsidR="006F1C56" w:rsidRPr="00726177">
        <w:rPr>
          <w:rFonts w:ascii="Arial" w:hAnsi="Arial" w:cs="Arial"/>
        </w:rPr>
        <w:t>‘</w:t>
      </w:r>
      <w:r w:rsidRPr="00726177">
        <w:rPr>
          <w:rFonts w:ascii="Arial" w:hAnsi="Arial" w:cs="Arial"/>
        </w:rPr>
        <w:t>substantial supplier</w:t>
      </w:r>
      <w:r w:rsidR="006F1C56" w:rsidRPr="00726177">
        <w:rPr>
          <w:rFonts w:ascii="Arial" w:hAnsi="Arial" w:cs="Arial"/>
        </w:rPr>
        <w:t>’</w:t>
      </w:r>
      <w:r w:rsidRPr="00726177">
        <w:rPr>
          <w:rFonts w:ascii="Arial" w:hAnsi="Arial" w:cs="Arial"/>
        </w:rPr>
        <w:t xml:space="preserve">. </w:t>
      </w:r>
      <w:r w:rsidR="00417835" w:rsidRPr="00726177">
        <w:rPr>
          <w:rFonts w:ascii="Arial" w:hAnsi="Arial" w:cs="Arial"/>
        </w:rPr>
        <w:t xml:space="preserve">For the purposes of this instrument, a substantial supplier is </w:t>
      </w:r>
      <w:r w:rsidR="00D740C0" w:rsidRPr="00726177">
        <w:rPr>
          <w:rFonts w:ascii="Arial" w:hAnsi="Arial" w:cs="Arial"/>
        </w:rPr>
        <w:t xml:space="preserve">a supplier </w:t>
      </w:r>
      <w:r w:rsidR="00923B1B" w:rsidRPr="00726177">
        <w:rPr>
          <w:rFonts w:ascii="Arial" w:hAnsi="Arial" w:cs="Arial"/>
        </w:rPr>
        <w:t>that</w:t>
      </w:r>
      <w:r w:rsidR="00D740C0" w:rsidRPr="00726177">
        <w:rPr>
          <w:rFonts w:ascii="Arial" w:hAnsi="Arial" w:cs="Arial"/>
        </w:rPr>
        <w:t xml:space="preserve">, in relation to a reporting period and an EDP, </w:t>
      </w:r>
      <w:r w:rsidR="00923B1B" w:rsidRPr="00726177">
        <w:rPr>
          <w:rFonts w:ascii="Arial" w:hAnsi="Arial" w:cs="Arial"/>
        </w:rPr>
        <w:t>made a total value of supplies facilitated by th</w:t>
      </w:r>
      <w:r w:rsidR="004A4516" w:rsidRPr="00726177">
        <w:rPr>
          <w:rFonts w:ascii="Arial" w:hAnsi="Arial" w:cs="Arial"/>
        </w:rPr>
        <w:t>at</w:t>
      </w:r>
      <w:r w:rsidR="00923B1B" w:rsidRPr="00726177">
        <w:rPr>
          <w:rFonts w:ascii="Arial" w:hAnsi="Arial" w:cs="Arial"/>
        </w:rPr>
        <w:t xml:space="preserve"> </w:t>
      </w:r>
      <w:r w:rsidR="004A4516" w:rsidRPr="00726177">
        <w:rPr>
          <w:rFonts w:ascii="Arial" w:hAnsi="Arial" w:cs="Arial"/>
        </w:rPr>
        <w:t>EDP</w:t>
      </w:r>
      <w:r w:rsidR="00923B1B" w:rsidRPr="00726177">
        <w:rPr>
          <w:rFonts w:ascii="Arial" w:hAnsi="Arial" w:cs="Arial"/>
        </w:rPr>
        <w:t xml:space="preserve"> of </w:t>
      </w:r>
      <w:r w:rsidR="00D740C0" w:rsidRPr="00726177">
        <w:rPr>
          <w:rFonts w:ascii="Arial" w:hAnsi="Arial" w:cs="Arial"/>
        </w:rPr>
        <w:t>at least $1</w:t>
      </w:r>
      <w:r w:rsidR="00563EA8">
        <w:rPr>
          <w:rFonts w:ascii="Arial" w:hAnsi="Arial" w:cs="Arial"/>
        </w:rPr>
        <w:t xml:space="preserve"> </w:t>
      </w:r>
      <w:r w:rsidR="00E37546">
        <w:rPr>
          <w:rFonts w:ascii="Arial" w:hAnsi="Arial" w:cs="Arial"/>
        </w:rPr>
        <w:t>million</w:t>
      </w:r>
      <w:r w:rsidR="00D740C0" w:rsidRPr="00726177">
        <w:rPr>
          <w:rFonts w:ascii="Arial" w:hAnsi="Arial" w:cs="Arial"/>
        </w:rPr>
        <w:t xml:space="preserve"> (including GST)</w:t>
      </w:r>
      <w:r w:rsidR="009D73DD" w:rsidRPr="00726177">
        <w:rPr>
          <w:rFonts w:ascii="Arial" w:hAnsi="Arial" w:cs="Arial"/>
        </w:rPr>
        <w:t>.</w:t>
      </w:r>
    </w:p>
    <w:p w14:paraId="1ECE91F5" w14:textId="77777777" w:rsidR="00601CD5" w:rsidRPr="00726177" w:rsidRDefault="009D73DD"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If the supplier</w:t>
      </w:r>
      <w:r w:rsidR="004A4516" w:rsidRPr="00726177">
        <w:rPr>
          <w:rFonts w:ascii="Arial" w:hAnsi="Arial" w:cs="Arial"/>
        </w:rPr>
        <w:t xml:space="preserve"> first started using the platform in the 12 months ending on the last day of the reporting period and </w:t>
      </w:r>
      <w:r w:rsidR="00923B1B" w:rsidRPr="00726177">
        <w:rPr>
          <w:rFonts w:ascii="Arial" w:hAnsi="Arial" w:cs="Arial"/>
        </w:rPr>
        <w:t>did not use the platform for th</w:t>
      </w:r>
      <w:r w:rsidR="004A4516" w:rsidRPr="00726177">
        <w:rPr>
          <w:rFonts w:ascii="Arial" w:hAnsi="Arial" w:cs="Arial"/>
        </w:rPr>
        <w:t xml:space="preserve">at </w:t>
      </w:r>
      <w:r w:rsidR="00923B1B" w:rsidRPr="00726177">
        <w:rPr>
          <w:rFonts w:ascii="Arial" w:hAnsi="Arial" w:cs="Arial"/>
        </w:rPr>
        <w:t xml:space="preserve">entire </w:t>
      </w:r>
      <w:proofErr w:type="gramStart"/>
      <w:r w:rsidR="004A4516" w:rsidRPr="00726177">
        <w:rPr>
          <w:rFonts w:ascii="Arial" w:hAnsi="Arial" w:cs="Arial"/>
        </w:rPr>
        <w:t>12 month</w:t>
      </w:r>
      <w:proofErr w:type="gramEnd"/>
      <w:r w:rsidR="004A4516" w:rsidRPr="00726177">
        <w:rPr>
          <w:rFonts w:ascii="Arial" w:hAnsi="Arial" w:cs="Arial"/>
        </w:rPr>
        <w:t xml:space="preserve"> </w:t>
      </w:r>
      <w:r w:rsidR="00923B1B" w:rsidRPr="00726177">
        <w:rPr>
          <w:rFonts w:ascii="Arial" w:hAnsi="Arial" w:cs="Arial"/>
        </w:rPr>
        <w:t>period</w:t>
      </w:r>
      <w:r w:rsidRPr="00726177">
        <w:rPr>
          <w:rFonts w:ascii="Arial" w:hAnsi="Arial" w:cs="Arial"/>
        </w:rPr>
        <w:t xml:space="preserve">, the </w:t>
      </w:r>
      <w:r w:rsidR="00E96EB8" w:rsidRPr="00726177">
        <w:rPr>
          <w:rFonts w:ascii="Arial" w:hAnsi="Arial" w:cs="Arial"/>
        </w:rPr>
        <w:t xml:space="preserve">value of the transactions </w:t>
      </w:r>
      <w:r w:rsidR="00252AF5" w:rsidRPr="00726177">
        <w:rPr>
          <w:rFonts w:ascii="Arial" w:hAnsi="Arial" w:cs="Arial"/>
        </w:rPr>
        <w:t xml:space="preserve">required </w:t>
      </w:r>
      <w:r w:rsidRPr="00726177">
        <w:rPr>
          <w:rFonts w:ascii="Arial" w:hAnsi="Arial" w:cs="Arial"/>
        </w:rPr>
        <w:t xml:space="preserve">to meet the definition of substantial </w:t>
      </w:r>
      <w:r w:rsidR="00E96EB8" w:rsidRPr="00726177">
        <w:rPr>
          <w:rFonts w:ascii="Arial" w:hAnsi="Arial" w:cs="Arial"/>
        </w:rPr>
        <w:t xml:space="preserve">supplier </w:t>
      </w:r>
      <w:r w:rsidRPr="00726177">
        <w:rPr>
          <w:rFonts w:ascii="Arial" w:hAnsi="Arial" w:cs="Arial"/>
        </w:rPr>
        <w:t>is proportionally adjusted to reflect the shortened period that the platform was used</w:t>
      </w:r>
      <w:r w:rsidR="00FC6470" w:rsidRPr="00726177">
        <w:rPr>
          <w:rFonts w:ascii="Arial" w:hAnsi="Arial" w:cs="Arial"/>
        </w:rPr>
        <w:t xml:space="preserve"> in that </w:t>
      </w:r>
      <w:r w:rsidR="004A4516" w:rsidRPr="00726177">
        <w:rPr>
          <w:rFonts w:ascii="Arial" w:hAnsi="Arial" w:cs="Arial"/>
        </w:rPr>
        <w:t>12 month</w:t>
      </w:r>
      <w:r w:rsidR="00FC6470" w:rsidRPr="00726177">
        <w:rPr>
          <w:rFonts w:ascii="Arial" w:hAnsi="Arial" w:cs="Arial"/>
        </w:rPr>
        <w:t xml:space="preserve"> period</w:t>
      </w:r>
      <w:r w:rsidRPr="00726177">
        <w:rPr>
          <w:rFonts w:ascii="Arial" w:hAnsi="Arial" w:cs="Arial"/>
        </w:rPr>
        <w:t>.</w:t>
      </w:r>
    </w:p>
    <w:p w14:paraId="53A30CC1" w14:textId="2A4B1E1A" w:rsidR="004A4516" w:rsidRPr="00726177" w:rsidRDefault="00610A2C"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Whether a supplier is a substantial supplier is determined on a platform-by-platform basis</w:t>
      </w:r>
      <w:r w:rsidR="00C53531" w:rsidRPr="00726177">
        <w:rPr>
          <w:rFonts w:ascii="Arial" w:hAnsi="Arial" w:cs="Arial"/>
        </w:rPr>
        <w:t>.</w:t>
      </w:r>
      <w:r w:rsidRPr="00726177">
        <w:rPr>
          <w:rFonts w:ascii="Arial" w:hAnsi="Arial" w:cs="Arial"/>
        </w:rPr>
        <w:t xml:space="preserve"> </w:t>
      </w:r>
      <w:r w:rsidR="004A4516" w:rsidRPr="00726177">
        <w:rPr>
          <w:rFonts w:ascii="Arial" w:hAnsi="Arial" w:cs="Arial"/>
        </w:rPr>
        <w:t>Transactions made through an EDP cannot be aggregated with transactions made through another, separate EDP for the purpose of this exemption, even where all those transactions are in relation to the same supplier. This makes it simpler for the operator of an EDP to determine whether the exemption applies.</w:t>
      </w:r>
    </w:p>
    <w:p w14:paraId="6BA535FE" w14:textId="77777777" w:rsidR="00ED5D75" w:rsidRPr="00726177" w:rsidRDefault="74C75CD2"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Subsection </w:t>
      </w:r>
      <w:r w:rsidR="4F52CF63" w:rsidRPr="00726177">
        <w:rPr>
          <w:rFonts w:ascii="Arial" w:hAnsi="Arial" w:cs="Arial"/>
        </w:rPr>
        <w:t>7</w:t>
      </w:r>
      <w:r w:rsidRPr="00726177">
        <w:rPr>
          <w:rFonts w:ascii="Arial" w:hAnsi="Arial" w:cs="Arial"/>
        </w:rPr>
        <w:t>(3) exempts</w:t>
      </w:r>
      <w:r w:rsidR="4DAC0653" w:rsidRPr="00726177">
        <w:rPr>
          <w:rFonts w:ascii="Arial" w:hAnsi="Arial" w:cs="Arial"/>
        </w:rPr>
        <w:t xml:space="preserve"> </w:t>
      </w:r>
      <w:r w:rsidR="00395C85" w:rsidRPr="00726177">
        <w:rPr>
          <w:rFonts w:ascii="Arial" w:hAnsi="Arial" w:cs="Arial"/>
        </w:rPr>
        <w:t xml:space="preserve">an </w:t>
      </w:r>
      <w:r w:rsidR="4DAC0653" w:rsidRPr="00726177">
        <w:rPr>
          <w:rFonts w:ascii="Arial" w:hAnsi="Arial" w:cs="Arial"/>
        </w:rPr>
        <w:t xml:space="preserve">EDP operator in relation to transactions where the operator is treated as </w:t>
      </w:r>
      <w:r w:rsidR="00291958" w:rsidRPr="00726177">
        <w:rPr>
          <w:rFonts w:ascii="Arial" w:hAnsi="Arial" w:cs="Arial"/>
        </w:rPr>
        <w:t>being</w:t>
      </w:r>
      <w:r w:rsidR="4DAC0653" w:rsidRPr="00726177">
        <w:rPr>
          <w:rFonts w:ascii="Arial" w:hAnsi="Arial" w:cs="Arial"/>
        </w:rPr>
        <w:t xml:space="preserve"> </w:t>
      </w:r>
      <w:r w:rsidR="00291958" w:rsidRPr="00726177">
        <w:rPr>
          <w:rFonts w:ascii="Arial" w:hAnsi="Arial" w:cs="Arial"/>
        </w:rPr>
        <w:t>the</w:t>
      </w:r>
      <w:r w:rsidR="4DAC0653" w:rsidRPr="00726177">
        <w:rPr>
          <w:rFonts w:ascii="Arial" w:hAnsi="Arial" w:cs="Arial"/>
        </w:rPr>
        <w:t xml:space="preserve"> supplier</w:t>
      </w:r>
      <w:r w:rsidR="00B36992" w:rsidRPr="00726177">
        <w:rPr>
          <w:rFonts w:ascii="Arial" w:hAnsi="Arial" w:cs="Arial"/>
        </w:rPr>
        <w:t>, instead of the actual supplier,</w:t>
      </w:r>
      <w:r w:rsidR="4DAC0653" w:rsidRPr="00726177">
        <w:rPr>
          <w:rFonts w:ascii="Arial" w:hAnsi="Arial" w:cs="Arial"/>
        </w:rPr>
        <w:t xml:space="preserve"> under section 84-55 of the GST Act</w:t>
      </w:r>
      <w:r w:rsidR="007B65B3" w:rsidRPr="00726177">
        <w:rPr>
          <w:rFonts w:ascii="Arial" w:hAnsi="Arial" w:cs="Arial"/>
        </w:rPr>
        <w:t>.</w:t>
      </w:r>
    </w:p>
    <w:p w14:paraId="18EF068D" w14:textId="209EFE1F" w:rsidR="00ED5D75" w:rsidRPr="00726177" w:rsidRDefault="007B65B3"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However, </w:t>
      </w:r>
      <w:r w:rsidR="007F1151" w:rsidRPr="00726177">
        <w:rPr>
          <w:rFonts w:ascii="Arial" w:hAnsi="Arial" w:cs="Arial"/>
        </w:rPr>
        <w:t>subsection 7(3) does</w:t>
      </w:r>
      <w:r w:rsidRPr="00726177">
        <w:rPr>
          <w:rFonts w:ascii="Arial" w:hAnsi="Arial" w:cs="Arial"/>
        </w:rPr>
        <w:t xml:space="preserve"> not exempt </w:t>
      </w:r>
      <w:r w:rsidR="00291958" w:rsidRPr="00726177">
        <w:rPr>
          <w:rFonts w:ascii="Arial" w:hAnsi="Arial" w:cs="Arial"/>
        </w:rPr>
        <w:t xml:space="preserve">an EDP </w:t>
      </w:r>
      <w:r w:rsidRPr="00726177">
        <w:rPr>
          <w:rFonts w:ascii="Arial" w:hAnsi="Arial" w:cs="Arial"/>
        </w:rPr>
        <w:t xml:space="preserve">operator from reporting </w:t>
      </w:r>
      <w:r w:rsidR="00C21C59" w:rsidRPr="00726177">
        <w:rPr>
          <w:rFonts w:ascii="Arial" w:hAnsi="Arial" w:cs="Arial"/>
        </w:rPr>
        <w:t xml:space="preserve">transactions </w:t>
      </w:r>
      <w:r w:rsidRPr="00726177">
        <w:rPr>
          <w:rFonts w:ascii="Arial" w:hAnsi="Arial" w:cs="Arial"/>
        </w:rPr>
        <w:t xml:space="preserve">where the operator is treated as </w:t>
      </w:r>
      <w:r w:rsidR="00C21C59" w:rsidRPr="00726177">
        <w:rPr>
          <w:rFonts w:ascii="Arial" w:hAnsi="Arial" w:cs="Arial"/>
        </w:rPr>
        <w:t xml:space="preserve">being </w:t>
      </w:r>
      <w:r w:rsidRPr="00726177">
        <w:rPr>
          <w:rFonts w:ascii="Arial" w:hAnsi="Arial" w:cs="Arial"/>
        </w:rPr>
        <w:t>the supplier because of an agreement made under section</w:t>
      </w:r>
      <w:r w:rsidR="00E37546">
        <w:rPr>
          <w:rFonts w:ascii="Arial" w:hAnsi="Arial" w:cs="Arial"/>
        </w:rPr>
        <w:t> </w:t>
      </w:r>
      <w:r w:rsidRPr="00726177">
        <w:rPr>
          <w:rFonts w:ascii="Arial" w:hAnsi="Arial" w:cs="Arial"/>
        </w:rPr>
        <w:t xml:space="preserve">84-60 of the GST Act. </w:t>
      </w:r>
      <w:r w:rsidR="008F3FE9" w:rsidRPr="00726177">
        <w:rPr>
          <w:rFonts w:ascii="Arial" w:hAnsi="Arial" w:cs="Arial"/>
        </w:rPr>
        <w:t>Broadly, t</w:t>
      </w:r>
      <w:r w:rsidRPr="00726177">
        <w:rPr>
          <w:rFonts w:ascii="Arial" w:hAnsi="Arial" w:cs="Arial"/>
        </w:rPr>
        <w:t xml:space="preserve">ransactions covered by section 84-60 of the GST Act are transactions between an Australian based supplier and an </w:t>
      </w:r>
      <w:r w:rsidRPr="00C2733A">
        <w:rPr>
          <w:rFonts w:ascii="Arial" w:hAnsi="Arial" w:cs="Arial"/>
        </w:rPr>
        <w:t>Australian resident</w:t>
      </w:r>
      <w:r w:rsidRPr="00726177">
        <w:rPr>
          <w:rFonts w:ascii="Arial" w:hAnsi="Arial" w:cs="Arial"/>
        </w:rPr>
        <w:t xml:space="preserve">. </w:t>
      </w:r>
      <w:r w:rsidR="009D27B8" w:rsidRPr="00726177">
        <w:rPr>
          <w:rFonts w:ascii="Arial" w:hAnsi="Arial" w:cs="Arial"/>
        </w:rPr>
        <w:t>As s</w:t>
      </w:r>
      <w:r w:rsidRPr="00726177">
        <w:rPr>
          <w:rFonts w:ascii="Arial" w:hAnsi="Arial" w:cs="Arial"/>
        </w:rPr>
        <w:t xml:space="preserve">ubsection 7(3) disregards </w:t>
      </w:r>
      <w:r w:rsidR="00B36992" w:rsidRPr="00726177">
        <w:rPr>
          <w:rFonts w:ascii="Arial" w:hAnsi="Arial" w:cs="Arial"/>
        </w:rPr>
        <w:t xml:space="preserve">the operation of </w:t>
      </w:r>
      <w:r w:rsidRPr="00726177">
        <w:rPr>
          <w:rFonts w:ascii="Arial" w:hAnsi="Arial" w:cs="Arial"/>
        </w:rPr>
        <w:t>section 84-60 of the GST Act</w:t>
      </w:r>
      <w:r w:rsidR="00C21C59" w:rsidRPr="00726177">
        <w:rPr>
          <w:rFonts w:ascii="Arial" w:hAnsi="Arial" w:cs="Arial"/>
        </w:rPr>
        <w:t>,</w:t>
      </w:r>
      <w:r w:rsidRPr="00726177">
        <w:rPr>
          <w:rFonts w:ascii="Arial" w:hAnsi="Arial" w:cs="Arial"/>
        </w:rPr>
        <w:t xml:space="preserve"> these transactions must continue to be reported by the EDP operator (unless a different exemption applies)</w:t>
      </w:r>
      <w:r w:rsidR="4DAC0653" w:rsidRPr="00726177">
        <w:rPr>
          <w:rFonts w:ascii="Arial" w:hAnsi="Arial" w:cs="Arial"/>
        </w:rPr>
        <w:t>.</w:t>
      </w:r>
      <w:r w:rsidR="003B0B87" w:rsidRPr="00726177">
        <w:rPr>
          <w:rFonts w:ascii="Arial" w:hAnsi="Arial" w:cs="Arial"/>
        </w:rPr>
        <w:t xml:space="preserve"> These transactions are not exempt because the suppliers are residents of Australia and are likely to have an income tax liability in relation to these transactions.</w:t>
      </w:r>
    </w:p>
    <w:p w14:paraId="4ABB701E" w14:textId="3C1551C7" w:rsidR="2A862FB5" w:rsidRPr="00726177" w:rsidRDefault="00514269"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As a result</w:t>
      </w:r>
      <w:r w:rsidR="4DAC0653" w:rsidRPr="00726177">
        <w:rPr>
          <w:rFonts w:ascii="Arial" w:hAnsi="Arial" w:cs="Arial"/>
        </w:rPr>
        <w:t xml:space="preserve">, </w:t>
      </w:r>
      <w:r w:rsidR="0040253E" w:rsidRPr="00726177">
        <w:rPr>
          <w:rFonts w:ascii="Arial" w:hAnsi="Arial" w:cs="Arial"/>
        </w:rPr>
        <w:t>t</w:t>
      </w:r>
      <w:r w:rsidR="4DAC0653" w:rsidRPr="00726177">
        <w:rPr>
          <w:rFonts w:ascii="Arial" w:hAnsi="Arial" w:cs="Arial"/>
        </w:rPr>
        <w:t>h</w:t>
      </w:r>
      <w:r w:rsidR="005E30B1" w:rsidRPr="00726177">
        <w:rPr>
          <w:rFonts w:ascii="Arial" w:hAnsi="Arial" w:cs="Arial"/>
        </w:rPr>
        <w:t>e</w:t>
      </w:r>
      <w:r w:rsidR="4DAC0653" w:rsidRPr="00726177">
        <w:rPr>
          <w:rFonts w:ascii="Arial" w:hAnsi="Arial" w:cs="Arial"/>
        </w:rPr>
        <w:t xml:space="preserve"> exemption </w:t>
      </w:r>
      <w:r w:rsidR="005E30B1" w:rsidRPr="00726177">
        <w:rPr>
          <w:rFonts w:ascii="Arial" w:hAnsi="Arial" w:cs="Arial"/>
        </w:rPr>
        <w:t>in subsection 7(3)</w:t>
      </w:r>
      <w:r w:rsidR="4DAC0653" w:rsidRPr="00726177">
        <w:rPr>
          <w:rFonts w:ascii="Arial" w:hAnsi="Arial" w:cs="Arial"/>
        </w:rPr>
        <w:t xml:space="preserve"> appl</w:t>
      </w:r>
      <w:r w:rsidR="00CC09CD" w:rsidRPr="00726177">
        <w:rPr>
          <w:rFonts w:ascii="Arial" w:hAnsi="Arial" w:cs="Arial"/>
        </w:rPr>
        <w:t>ies</w:t>
      </w:r>
      <w:r w:rsidR="4DAC0653" w:rsidRPr="00726177">
        <w:rPr>
          <w:rFonts w:ascii="Arial" w:hAnsi="Arial" w:cs="Arial"/>
        </w:rPr>
        <w:t xml:space="preserve"> to transactions where:</w:t>
      </w:r>
    </w:p>
    <w:p w14:paraId="13C9079E" w14:textId="631598DC" w:rsidR="2A862FB5" w:rsidRPr="00726177" w:rsidRDefault="00AE7CE3" w:rsidP="00447772">
      <w:pPr>
        <w:pStyle w:val="ListParagraph"/>
        <w:numPr>
          <w:ilvl w:val="0"/>
          <w:numId w:val="9"/>
        </w:numPr>
        <w:spacing w:after="120" w:line="240" w:lineRule="auto"/>
        <w:ind w:left="1418" w:hanging="709"/>
        <w:rPr>
          <w:rFonts w:ascii="Arial" w:hAnsi="Arial" w:cs="Arial"/>
        </w:rPr>
      </w:pPr>
      <w:r w:rsidRPr="00726177">
        <w:rPr>
          <w:rFonts w:ascii="Arial" w:hAnsi="Arial" w:cs="Arial"/>
        </w:rPr>
        <w:t>t</w:t>
      </w:r>
      <w:r w:rsidR="4DAC0653" w:rsidRPr="00726177">
        <w:rPr>
          <w:rFonts w:ascii="Arial" w:hAnsi="Arial" w:cs="Arial"/>
        </w:rPr>
        <w:t xml:space="preserve">he supply is </w:t>
      </w:r>
      <w:r w:rsidR="008F3FE9" w:rsidRPr="00726177">
        <w:rPr>
          <w:rFonts w:ascii="Arial" w:hAnsi="Arial" w:cs="Arial"/>
        </w:rPr>
        <w:t xml:space="preserve">a </w:t>
      </w:r>
      <w:r w:rsidR="000D133C" w:rsidRPr="00CE74B8">
        <w:rPr>
          <w:rFonts w:ascii="Arial" w:hAnsi="Arial" w:cs="Arial"/>
          <w:b/>
          <w:bCs/>
        </w:rPr>
        <w:t>digital product or digital service</w:t>
      </w:r>
      <w:r w:rsidR="000D133C" w:rsidRPr="00726177">
        <w:rPr>
          <w:rFonts w:ascii="Arial" w:hAnsi="Arial" w:cs="Arial"/>
        </w:rPr>
        <w:t xml:space="preserve"> (</w:t>
      </w:r>
      <w:r w:rsidR="0040253E" w:rsidRPr="00726177">
        <w:rPr>
          <w:rFonts w:ascii="Arial" w:hAnsi="Arial" w:cs="Arial"/>
        </w:rPr>
        <w:t>such as</w:t>
      </w:r>
      <w:r w:rsidR="000D133C" w:rsidRPr="00726177">
        <w:rPr>
          <w:rFonts w:ascii="Arial" w:hAnsi="Arial" w:cs="Arial"/>
        </w:rPr>
        <w:t xml:space="preserve"> e-book</w:t>
      </w:r>
      <w:r w:rsidR="0040253E" w:rsidRPr="00726177">
        <w:rPr>
          <w:rFonts w:ascii="Arial" w:hAnsi="Arial" w:cs="Arial"/>
        </w:rPr>
        <w:t>s</w:t>
      </w:r>
      <w:r w:rsidR="005E30B1" w:rsidRPr="00726177">
        <w:rPr>
          <w:rFonts w:ascii="Arial" w:hAnsi="Arial" w:cs="Arial"/>
        </w:rPr>
        <w:t xml:space="preserve">, apps </w:t>
      </w:r>
      <w:r w:rsidR="0040253E" w:rsidRPr="00726177">
        <w:rPr>
          <w:rFonts w:ascii="Arial" w:hAnsi="Arial" w:cs="Arial"/>
        </w:rPr>
        <w:t xml:space="preserve">and </w:t>
      </w:r>
      <w:r w:rsidR="005E30B1" w:rsidRPr="00726177">
        <w:rPr>
          <w:rFonts w:ascii="Arial" w:hAnsi="Arial" w:cs="Arial"/>
        </w:rPr>
        <w:t>online games</w:t>
      </w:r>
      <w:proofErr w:type="gramStart"/>
      <w:r w:rsidR="000D133C" w:rsidRPr="00726177">
        <w:rPr>
          <w:rFonts w:ascii="Arial" w:hAnsi="Arial" w:cs="Arial"/>
        </w:rPr>
        <w:t>)</w:t>
      </w:r>
      <w:r w:rsidR="001637FB" w:rsidRPr="00726177">
        <w:rPr>
          <w:rFonts w:ascii="Arial" w:hAnsi="Arial" w:cs="Arial"/>
        </w:rPr>
        <w:t>;</w:t>
      </w:r>
      <w:proofErr w:type="gramEnd"/>
    </w:p>
    <w:p w14:paraId="2235EE46" w14:textId="37588D24" w:rsidR="2A862FB5" w:rsidRPr="00726177" w:rsidRDefault="00AE7CE3" w:rsidP="00447772">
      <w:pPr>
        <w:pStyle w:val="ListParagraph"/>
        <w:numPr>
          <w:ilvl w:val="0"/>
          <w:numId w:val="9"/>
        </w:numPr>
        <w:spacing w:after="120" w:line="240" w:lineRule="auto"/>
        <w:ind w:left="1418" w:hanging="709"/>
        <w:rPr>
          <w:rFonts w:ascii="Arial" w:hAnsi="Arial" w:cs="Arial"/>
        </w:rPr>
      </w:pPr>
      <w:r w:rsidRPr="00726177">
        <w:rPr>
          <w:rFonts w:ascii="Arial" w:hAnsi="Arial" w:cs="Arial"/>
        </w:rPr>
        <w:t>t</w:t>
      </w:r>
      <w:r w:rsidR="4DAC0653" w:rsidRPr="00726177">
        <w:rPr>
          <w:rFonts w:ascii="Arial" w:hAnsi="Arial" w:cs="Arial"/>
        </w:rPr>
        <w:t>he supply is made through an enterprise carried on outside Australia</w:t>
      </w:r>
      <w:r w:rsidR="000D133C" w:rsidRPr="00726177">
        <w:rPr>
          <w:rFonts w:ascii="Arial" w:hAnsi="Arial" w:cs="Arial"/>
        </w:rPr>
        <w:t xml:space="preserve"> (</w:t>
      </w:r>
      <w:r w:rsidR="00BC04E3" w:rsidRPr="00C2733A">
        <w:rPr>
          <w:rFonts w:ascii="Arial" w:hAnsi="Arial" w:cs="Arial"/>
        </w:rPr>
        <w:t xml:space="preserve">for example, </w:t>
      </w:r>
      <w:r w:rsidR="003244F7" w:rsidRPr="00726177">
        <w:rPr>
          <w:rFonts w:ascii="Arial" w:hAnsi="Arial" w:cs="Arial"/>
        </w:rPr>
        <w:t xml:space="preserve">typically </w:t>
      </w:r>
      <w:r w:rsidR="000D133C" w:rsidRPr="00726177">
        <w:rPr>
          <w:rFonts w:ascii="Arial" w:hAnsi="Arial" w:cs="Arial"/>
        </w:rPr>
        <w:t>a foreign supplier</w:t>
      </w:r>
      <w:r w:rsidR="003244F7" w:rsidRPr="00726177">
        <w:rPr>
          <w:rFonts w:ascii="Arial" w:hAnsi="Arial" w:cs="Arial"/>
        </w:rPr>
        <w:t xml:space="preserve"> with no presence in Australia</w:t>
      </w:r>
      <w:r w:rsidR="000D133C" w:rsidRPr="00726177">
        <w:rPr>
          <w:rFonts w:ascii="Arial" w:hAnsi="Arial" w:cs="Arial"/>
        </w:rPr>
        <w:t>)</w:t>
      </w:r>
      <w:r w:rsidR="4DAC0653" w:rsidRPr="00726177">
        <w:rPr>
          <w:rFonts w:ascii="Arial" w:hAnsi="Arial" w:cs="Arial"/>
        </w:rPr>
        <w:t>;</w:t>
      </w:r>
    </w:p>
    <w:p w14:paraId="0A02BDE9" w14:textId="37F428C4" w:rsidR="2A862FB5" w:rsidRPr="00726177" w:rsidRDefault="00AE7CE3" w:rsidP="00447772">
      <w:pPr>
        <w:pStyle w:val="ListParagraph"/>
        <w:numPr>
          <w:ilvl w:val="0"/>
          <w:numId w:val="9"/>
        </w:numPr>
        <w:spacing w:after="120" w:line="240" w:lineRule="auto"/>
        <w:ind w:left="1418" w:hanging="709"/>
        <w:rPr>
          <w:rFonts w:ascii="Arial" w:hAnsi="Arial" w:cs="Arial"/>
        </w:rPr>
      </w:pPr>
      <w:r w:rsidRPr="00726177">
        <w:rPr>
          <w:rFonts w:ascii="Arial" w:hAnsi="Arial" w:cs="Arial"/>
        </w:rPr>
        <w:t>t</w:t>
      </w:r>
      <w:r w:rsidR="4DAC0653" w:rsidRPr="00726177">
        <w:rPr>
          <w:rFonts w:ascii="Arial" w:hAnsi="Arial" w:cs="Arial"/>
        </w:rPr>
        <w:t>he end user</w:t>
      </w:r>
      <w:r w:rsidRPr="00726177">
        <w:rPr>
          <w:rFonts w:ascii="Arial" w:hAnsi="Arial" w:cs="Arial"/>
        </w:rPr>
        <w:t xml:space="preserve"> or </w:t>
      </w:r>
      <w:r w:rsidR="4DAC0653" w:rsidRPr="00726177">
        <w:rPr>
          <w:rFonts w:ascii="Arial" w:hAnsi="Arial" w:cs="Arial"/>
        </w:rPr>
        <w:t xml:space="preserve">buyer is </w:t>
      </w:r>
      <w:r w:rsidR="000D133C" w:rsidRPr="00726177">
        <w:rPr>
          <w:rFonts w:ascii="Arial" w:hAnsi="Arial" w:cs="Arial"/>
        </w:rPr>
        <w:t>a resident of</w:t>
      </w:r>
      <w:r w:rsidR="4DAC0653" w:rsidRPr="00726177">
        <w:rPr>
          <w:rFonts w:ascii="Arial" w:hAnsi="Arial" w:cs="Arial"/>
        </w:rPr>
        <w:t xml:space="preserve"> Australia; and</w:t>
      </w:r>
    </w:p>
    <w:p w14:paraId="263C5C40" w14:textId="4C0A30BD" w:rsidR="2A862FB5" w:rsidRPr="00726177" w:rsidRDefault="00AE7CE3" w:rsidP="00447772">
      <w:pPr>
        <w:pStyle w:val="ListParagraph"/>
        <w:numPr>
          <w:ilvl w:val="0"/>
          <w:numId w:val="9"/>
        </w:numPr>
        <w:spacing w:after="120" w:line="240" w:lineRule="auto"/>
        <w:ind w:left="1418" w:hanging="709"/>
        <w:rPr>
          <w:rFonts w:ascii="Arial" w:hAnsi="Arial" w:cs="Arial"/>
        </w:rPr>
      </w:pPr>
      <w:r w:rsidRPr="00726177">
        <w:rPr>
          <w:rFonts w:ascii="Arial" w:hAnsi="Arial" w:cs="Arial"/>
        </w:rPr>
        <w:t>t</w:t>
      </w:r>
      <w:r w:rsidR="4DAC0653" w:rsidRPr="00726177">
        <w:rPr>
          <w:rFonts w:ascii="Arial" w:hAnsi="Arial" w:cs="Arial"/>
        </w:rPr>
        <w:t xml:space="preserve">he EDP </w:t>
      </w:r>
      <w:r w:rsidR="00E929A9" w:rsidRPr="00726177">
        <w:rPr>
          <w:rFonts w:ascii="Arial" w:hAnsi="Arial" w:cs="Arial"/>
        </w:rPr>
        <w:t xml:space="preserve">is liable for any </w:t>
      </w:r>
      <w:r w:rsidR="4DAC0653" w:rsidRPr="00726177">
        <w:rPr>
          <w:rFonts w:ascii="Arial" w:hAnsi="Arial" w:cs="Arial"/>
        </w:rPr>
        <w:t xml:space="preserve">GST </w:t>
      </w:r>
      <w:r w:rsidR="00E929A9" w:rsidRPr="00726177">
        <w:rPr>
          <w:rFonts w:ascii="Arial" w:hAnsi="Arial" w:cs="Arial"/>
        </w:rPr>
        <w:t xml:space="preserve">on </w:t>
      </w:r>
      <w:r w:rsidR="4DAC0653" w:rsidRPr="00726177">
        <w:rPr>
          <w:rFonts w:ascii="Arial" w:hAnsi="Arial" w:cs="Arial"/>
        </w:rPr>
        <w:t>the supply.</w:t>
      </w:r>
    </w:p>
    <w:p w14:paraId="6C62BC98" w14:textId="409AE191" w:rsidR="50250C29" w:rsidRPr="00726177" w:rsidRDefault="00ED7B7C"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Such</w:t>
      </w:r>
      <w:r w:rsidR="711DD61A" w:rsidRPr="00726177">
        <w:rPr>
          <w:rFonts w:ascii="Arial" w:hAnsi="Arial" w:cs="Arial"/>
        </w:rPr>
        <w:t xml:space="preserve"> transactions are exempted because the</w:t>
      </w:r>
      <w:r w:rsidR="000D133C" w:rsidRPr="00726177">
        <w:rPr>
          <w:rFonts w:ascii="Arial" w:hAnsi="Arial" w:cs="Arial"/>
        </w:rPr>
        <w:t>se</w:t>
      </w:r>
      <w:r w:rsidR="711DD61A" w:rsidRPr="00726177">
        <w:rPr>
          <w:rFonts w:ascii="Arial" w:hAnsi="Arial" w:cs="Arial"/>
        </w:rPr>
        <w:t xml:space="preserve"> foreign </w:t>
      </w:r>
      <w:r w:rsidR="000D133C" w:rsidRPr="00726177">
        <w:rPr>
          <w:rFonts w:ascii="Arial" w:hAnsi="Arial" w:cs="Arial"/>
        </w:rPr>
        <w:t>suppliers</w:t>
      </w:r>
      <w:r w:rsidR="711DD61A" w:rsidRPr="00726177">
        <w:rPr>
          <w:rFonts w:ascii="Arial" w:hAnsi="Arial" w:cs="Arial"/>
        </w:rPr>
        <w:t xml:space="preserve"> are unlikely to have a</w:t>
      </w:r>
      <w:r w:rsidR="009E19E9" w:rsidRPr="00726177">
        <w:rPr>
          <w:rFonts w:ascii="Arial" w:hAnsi="Arial" w:cs="Arial"/>
        </w:rPr>
        <w:t xml:space="preserve"> GST obligation on those transactions or a</w:t>
      </w:r>
      <w:r w:rsidR="711DD61A" w:rsidRPr="00726177">
        <w:rPr>
          <w:rFonts w:ascii="Arial" w:hAnsi="Arial" w:cs="Arial"/>
        </w:rPr>
        <w:t>n income tax obligation</w:t>
      </w:r>
      <w:r w:rsidR="009E19E9" w:rsidRPr="00726177">
        <w:rPr>
          <w:rFonts w:ascii="Arial" w:hAnsi="Arial" w:cs="Arial"/>
        </w:rPr>
        <w:t xml:space="preserve">. It is the </w:t>
      </w:r>
      <w:r w:rsidR="711DD61A" w:rsidRPr="00726177">
        <w:rPr>
          <w:rFonts w:ascii="Arial" w:hAnsi="Arial" w:cs="Arial"/>
        </w:rPr>
        <w:t>EDP</w:t>
      </w:r>
      <w:r w:rsidR="000D133C" w:rsidRPr="00726177">
        <w:rPr>
          <w:rFonts w:ascii="Arial" w:hAnsi="Arial" w:cs="Arial"/>
        </w:rPr>
        <w:t xml:space="preserve"> operator, and not the supplier,</w:t>
      </w:r>
      <w:r w:rsidR="711DD61A" w:rsidRPr="00726177">
        <w:rPr>
          <w:rFonts w:ascii="Arial" w:hAnsi="Arial" w:cs="Arial"/>
        </w:rPr>
        <w:t xml:space="preserve"> </w:t>
      </w:r>
      <w:r w:rsidR="009E19E9" w:rsidRPr="00726177">
        <w:rPr>
          <w:rFonts w:ascii="Arial" w:hAnsi="Arial" w:cs="Arial"/>
        </w:rPr>
        <w:t xml:space="preserve">that </w:t>
      </w:r>
      <w:r w:rsidR="000D133C" w:rsidRPr="00726177">
        <w:rPr>
          <w:rFonts w:ascii="Arial" w:hAnsi="Arial" w:cs="Arial"/>
        </w:rPr>
        <w:t>is liable for any GST on these transactions</w:t>
      </w:r>
      <w:r w:rsidR="009723D2" w:rsidRPr="00726177">
        <w:rPr>
          <w:rFonts w:ascii="Arial" w:hAnsi="Arial" w:cs="Arial"/>
        </w:rPr>
        <w:t xml:space="preserve">, and will </w:t>
      </w:r>
      <w:r w:rsidR="004F5EF3" w:rsidRPr="00726177">
        <w:rPr>
          <w:rFonts w:ascii="Arial" w:hAnsi="Arial" w:cs="Arial"/>
        </w:rPr>
        <w:t>report these transactions in their BAS.</w:t>
      </w:r>
    </w:p>
    <w:p w14:paraId="0D78CA31" w14:textId="4D2C04BA" w:rsidR="00B36992" w:rsidRPr="00726177" w:rsidRDefault="00B36992"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EDP operators will still be required to report on transactions </w:t>
      </w:r>
      <w:r w:rsidR="004920D8" w:rsidRPr="00726177">
        <w:rPr>
          <w:rFonts w:ascii="Arial" w:hAnsi="Arial" w:cs="Arial"/>
        </w:rPr>
        <w:t xml:space="preserve">involving </w:t>
      </w:r>
      <w:r w:rsidRPr="00726177">
        <w:rPr>
          <w:rFonts w:ascii="Arial" w:hAnsi="Arial" w:cs="Arial"/>
        </w:rPr>
        <w:t xml:space="preserve">inbound intangible consumer supplies </w:t>
      </w:r>
      <w:r w:rsidR="004920D8" w:rsidRPr="00726177">
        <w:rPr>
          <w:rFonts w:ascii="Arial" w:hAnsi="Arial" w:cs="Arial"/>
        </w:rPr>
        <w:t xml:space="preserve">that are </w:t>
      </w:r>
      <w:r w:rsidRPr="00CE74B8">
        <w:rPr>
          <w:rFonts w:ascii="Arial" w:hAnsi="Arial" w:cs="Arial"/>
          <w:b/>
          <w:bCs/>
        </w:rPr>
        <w:t>not digital supplies</w:t>
      </w:r>
      <w:r w:rsidR="0040253E" w:rsidRPr="00726177">
        <w:rPr>
          <w:rFonts w:ascii="Arial" w:hAnsi="Arial" w:cs="Arial"/>
        </w:rPr>
        <w:t>. This is because</w:t>
      </w:r>
      <w:r w:rsidRPr="00726177">
        <w:rPr>
          <w:rFonts w:ascii="Arial" w:hAnsi="Arial" w:cs="Arial"/>
        </w:rPr>
        <w:t xml:space="preserve"> </w:t>
      </w:r>
      <w:r w:rsidR="00514269" w:rsidRPr="00726177">
        <w:rPr>
          <w:rFonts w:ascii="Arial" w:hAnsi="Arial" w:cs="Arial"/>
        </w:rPr>
        <w:t xml:space="preserve">while </w:t>
      </w:r>
      <w:r w:rsidRPr="00726177">
        <w:rPr>
          <w:rFonts w:ascii="Arial" w:hAnsi="Arial" w:cs="Arial"/>
        </w:rPr>
        <w:t>these supplies are subject to GST</w:t>
      </w:r>
      <w:r w:rsidR="00514269" w:rsidRPr="00726177">
        <w:rPr>
          <w:rFonts w:ascii="Arial" w:hAnsi="Arial" w:cs="Arial"/>
        </w:rPr>
        <w:t xml:space="preserve">, </w:t>
      </w:r>
      <w:r w:rsidRPr="00726177">
        <w:rPr>
          <w:rFonts w:ascii="Arial" w:hAnsi="Arial" w:cs="Arial"/>
        </w:rPr>
        <w:t xml:space="preserve">the operator of the EDP is not liable for the GST on these supplies. </w:t>
      </w:r>
      <w:r w:rsidR="00514269" w:rsidRPr="00726177">
        <w:rPr>
          <w:rFonts w:ascii="Arial" w:hAnsi="Arial" w:cs="Arial"/>
        </w:rPr>
        <w:t>Reportable t</w:t>
      </w:r>
      <w:r w:rsidRPr="00726177">
        <w:rPr>
          <w:rFonts w:ascii="Arial" w:hAnsi="Arial" w:cs="Arial"/>
        </w:rPr>
        <w:t xml:space="preserve">ransactions include </w:t>
      </w:r>
      <w:r w:rsidR="00514269" w:rsidRPr="00726177">
        <w:rPr>
          <w:rFonts w:ascii="Arial" w:hAnsi="Arial" w:cs="Arial"/>
        </w:rPr>
        <w:t xml:space="preserve">offshore </w:t>
      </w:r>
      <w:r w:rsidRPr="00726177">
        <w:rPr>
          <w:rFonts w:ascii="Arial" w:hAnsi="Arial" w:cs="Arial"/>
        </w:rPr>
        <w:t xml:space="preserve">services carried out by a human </w:t>
      </w:r>
      <w:r w:rsidR="004920D8" w:rsidRPr="00726177">
        <w:rPr>
          <w:rFonts w:ascii="Arial" w:hAnsi="Arial" w:cs="Arial"/>
        </w:rPr>
        <w:t xml:space="preserve">that are </w:t>
      </w:r>
      <w:r w:rsidRPr="00726177">
        <w:rPr>
          <w:rFonts w:ascii="Arial" w:hAnsi="Arial" w:cs="Arial"/>
        </w:rPr>
        <w:t>not automated</w:t>
      </w:r>
      <w:r w:rsidR="004920D8" w:rsidRPr="00726177">
        <w:rPr>
          <w:rFonts w:ascii="Arial" w:hAnsi="Arial" w:cs="Arial"/>
        </w:rPr>
        <w:t xml:space="preserve"> or pre-recorded</w:t>
      </w:r>
      <w:r w:rsidRPr="00726177">
        <w:rPr>
          <w:rFonts w:ascii="Arial" w:hAnsi="Arial" w:cs="Arial"/>
        </w:rPr>
        <w:t xml:space="preserve"> </w:t>
      </w:r>
      <w:r w:rsidR="004920D8" w:rsidRPr="00726177">
        <w:rPr>
          <w:rFonts w:ascii="Arial" w:hAnsi="Arial" w:cs="Arial"/>
        </w:rPr>
        <w:t>such as</w:t>
      </w:r>
      <w:r w:rsidRPr="00726177">
        <w:rPr>
          <w:rFonts w:ascii="Arial" w:hAnsi="Arial" w:cs="Arial"/>
        </w:rPr>
        <w:t xml:space="preserve"> </w:t>
      </w:r>
      <w:r w:rsidR="004920D8" w:rsidRPr="00726177">
        <w:rPr>
          <w:rFonts w:ascii="Arial" w:hAnsi="Arial" w:cs="Arial"/>
        </w:rPr>
        <w:t xml:space="preserve">‘live’ online </w:t>
      </w:r>
      <w:r w:rsidRPr="00726177">
        <w:rPr>
          <w:rFonts w:ascii="Arial" w:hAnsi="Arial" w:cs="Arial"/>
        </w:rPr>
        <w:t>tutoring services and legal services.</w:t>
      </w:r>
    </w:p>
    <w:p w14:paraId="3912B3BD" w14:textId="77777777" w:rsidR="00ED5D75" w:rsidRPr="00726177" w:rsidRDefault="003219AF" w:rsidP="00F73DA7">
      <w:pPr>
        <w:numPr>
          <w:ilvl w:val="0"/>
          <w:numId w:val="1"/>
        </w:numPr>
        <w:tabs>
          <w:tab w:val="clear" w:pos="720"/>
        </w:tabs>
        <w:spacing w:after="120"/>
        <w:ind w:left="0" w:firstLine="0"/>
        <w:jc w:val="left"/>
        <w:rPr>
          <w:rFonts w:ascii="Arial" w:hAnsi="Arial" w:cs="Arial"/>
        </w:rPr>
      </w:pPr>
      <w:r w:rsidRPr="00726177">
        <w:rPr>
          <w:rFonts w:ascii="Arial" w:hAnsi="Arial" w:cs="Arial"/>
        </w:rPr>
        <w:lastRenderedPageBreak/>
        <w:t>An ‘inbound intangible consumer supply</w:t>
      </w:r>
      <w:r w:rsidR="00CC09CD" w:rsidRPr="00726177">
        <w:rPr>
          <w:rFonts w:ascii="Arial" w:hAnsi="Arial" w:cs="Arial"/>
        </w:rPr>
        <w:t>’ as defined in</w:t>
      </w:r>
      <w:r w:rsidRPr="00726177">
        <w:rPr>
          <w:rFonts w:ascii="Arial" w:hAnsi="Arial" w:cs="Arial"/>
        </w:rPr>
        <w:t xml:space="preserve"> the GST Act is</w:t>
      </w:r>
      <w:r w:rsidR="00CC09CD" w:rsidRPr="00726177">
        <w:rPr>
          <w:rFonts w:ascii="Arial" w:hAnsi="Arial" w:cs="Arial"/>
        </w:rPr>
        <w:t>,</w:t>
      </w:r>
      <w:r w:rsidRPr="00726177">
        <w:rPr>
          <w:rFonts w:ascii="Arial" w:hAnsi="Arial" w:cs="Arial"/>
        </w:rPr>
        <w:t xml:space="preserve"> broadly</w:t>
      </w:r>
      <w:r w:rsidR="00CC09CD" w:rsidRPr="00726177">
        <w:rPr>
          <w:rFonts w:ascii="Arial" w:hAnsi="Arial" w:cs="Arial"/>
        </w:rPr>
        <w:t>,</w:t>
      </w:r>
      <w:r w:rsidRPr="00726177">
        <w:rPr>
          <w:rFonts w:ascii="Arial" w:hAnsi="Arial" w:cs="Arial"/>
        </w:rPr>
        <w:t xml:space="preserve"> a supply of something other than goods or real property to an Australian consumer</w:t>
      </w:r>
      <w:r w:rsidR="00CC09CD" w:rsidRPr="00726177">
        <w:rPr>
          <w:rFonts w:ascii="Arial" w:hAnsi="Arial" w:cs="Arial"/>
        </w:rPr>
        <w:t xml:space="preserve"> by a supplier from outside Australia</w:t>
      </w:r>
      <w:r w:rsidRPr="00726177">
        <w:rPr>
          <w:rFonts w:ascii="Arial" w:hAnsi="Arial" w:cs="Arial"/>
        </w:rPr>
        <w:t>.</w:t>
      </w:r>
    </w:p>
    <w:p w14:paraId="68B433BE" w14:textId="2AF5F708" w:rsidR="77B16C2A" w:rsidRPr="00726177" w:rsidRDefault="77B16C2A" w:rsidP="00F73DA7">
      <w:pPr>
        <w:spacing w:after="120"/>
        <w:jc w:val="left"/>
        <w:rPr>
          <w:rFonts w:ascii="Arial" w:hAnsi="Arial" w:cs="Arial"/>
        </w:rPr>
      </w:pPr>
    </w:p>
    <w:p w14:paraId="6431FBE1" w14:textId="4604D6AD" w:rsidR="144D1931" w:rsidRPr="00726177" w:rsidRDefault="5EB84E5B" w:rsidP="00726177">
      <w:pPr>
        <w:spacing w:after="120"/>
        <w:ind w:left="709"/>
        <w:jc w:val="left"/>
        <w:rPr>
          <w:rFonts w:ascii="Arial" w:eastAsia="Calibri" w:hAnsi="Arial" w:cs="Arial"/>
          <w:b/>
          <w:bCs/>
        </w:rPr>
      </w:pPr>
      <w:r w:rsidRPr="00726177">
        <w:rPr>
          <w:rFonts w:ascii="Arial" w:eastAsia="Calibri" w:hAnsi="Arial" w:cs="Arial"/>
          <w:b/>
          <w:bCs/>
        </w:rPr>
        <w:t>Example 1: Exempt intangible supply</w:t>
      </w:r>
      <w:r w:rsidR="003244F7" w:rsidRPr="00726177">
        <w:rPr>
          <w:rFonts w:ascii="Arial" w:eastAsia="Calibri" w:hAnsi="Arial" w:cs="Arial"/>
          <w:b/>
          <w:bCs/>
        </w:rPr>
        <w:t xml:space="preserve"> (digital supply)</w:t>
      </w:r>
    </w:p>
    <w:p w14:paraId="6C98CA3E" w14:textId="0E87A4A9" w:rsidR="144D1931" w:rsidRPr="00726177" w:rsidRDefault="5EB84E5B" w:rsidP="00F73DA7">
      <w:pPr>
        <w:spacing w:after="120"/>
        <w:ind w:left="709"/>
        <w:jc w:val="left"/>
        <w:rPr>
          <w:rFonts w:ascii="Arial" w:hAnsi="Arial" w:cs="Arial"/>
        </w:rPr>
      </w:pPr>
      <w:r w:rsidRPr="00726177">
        <w:rPr>
          <w:rFonts w:ascii="Arial" w:hAnsi="Arial" w:cs="Arial"/>
        </w:rPr>
        <w:t xml:space="preserve">APPS </w:t>
      </w:r>
      <w:r w:rsidR="00B12CC2" w:rsidRPr="00726177">
        <w:rPr>
          <w:rFonts w:ascii="Arial" w:hAnsi="Arial" w:cs="Arial"/>
        </w:rPr>
        <w:t xml:space="preserve">platform </w:t>
      </w:r>
      <w:r w:rsidRPr="00726177">
        <w:rPr>
          <w:rFonts w:ascii="Arial" w:hAnsi="Arial" w:cs="Arial"/>
        </w:rPr>
        <w:t xml:space="preserve">is an EDP which enables customers to purchase </w:t>
      </w:r>
      <w:r w:rsidR="00B12CC2" w:rsidRPr="00726177">
        <w:rPr>
          <w:rFonts w:ascii="Arial" w:hAnsi="Arial" w:cs="Arial"/>
        </w:rPr>
        <w:t xml:space="preserve">digital </w:t>
      </w:r>
      <w:r w:rsidRPr="00726177">
        <w:rPr>
          <w:rFonts w:ascii="Arial" w:hAnsi="Arial" w:cs="Arial"/>
        </w:rPr>
        <w:t>app</w:t>
      </w:r>
      <w:r w:rsidR="00CF2D69" w:rsidRPr="00726177">
        <w:rPr>
          <w:rFonts w:ascii="Arial" w:hAnsi="Arial" w:cs="Arial"/>
        </w:rPr>
        <w:t>lication</w:t>
      </w:r>
      <w:r w:rsidRPr="00726177">
        <w:rPr>
          <w:rFonts w:ascii="Arial" w:hAnsi="Arial" w:cs="Arial"/>
        </w:rPr>
        <w:t xml:space="preserve">s from app developers. Mani, who lives in Australia, uses the APPS platform to purchase an </w:t>
      </w:r>
      <w:r w:rsidR="00CF2D69" w:rsidRPr="00726177">
        <w:rPr>
          <w:rFonts w:ascii="Arial" w:hAnsi="Arial" w:cs="Arial"/>
        </w:rPr>
        <w:t>application</w:t>
      </w:r>
      <w:r w:rsidRPr="00726177">
        <w:rPr>
          <w:rFonts w:ascii="Arial" w:hAnsi="Arial" w:cs="Arial"/>
        </w:rPr>
        <w:t xml:space="preserve"> from an app developer in Japan. Under </w:t>
      </w:r>
      <w:r w:rsidR="00B12CC2" w:rsidRPr="00726177">
        <w:rPr>
          <w:rFonts w:ascii="Arial" w:hAnsi="Arial" w:cs="Arial"/>
        </w:rPr>
        <w:t xml:space="preserve">section </w:t>
      </w:r>
      <w:r w:rsidRPr="00726177">
        <w:rPr>
          <w:rFonts w:ascii="Arial" w:hAnsi="Arial" w:cs="Arial"/>
        </w:rPr>
        <w:t>84-</w:t>
      </w:r>
      <w:r w:rsidR="00B12CC2" w:rsidRPr="00726177">
        <w:rPr>
          <w:rFonts w:ascii="Arial" w:hAnsi="Arial" w:cs="Arial"/>
        </w:rPr>
        <w:t xml:space="preserve">55 </w:t>
      </w:r>
      <w:r w:rsidRPr="00726177">
        <w:rPr>
          <w:rFonts w:ascii="Arial" w:hAnsi="Arial" w:cs="Arial"/>
        </w:rPr>
        <w:t>of the GST Act</w:t>
      </w:r>
      <w:r w:rsidR="00E37546">
        <w:rPr>
          <w:rFonts w:ascii="Arial" w:hAnsi="Arial" w:cs="Arial"/>
        </w:rPr>
        <w:t>,</w:t>
      </w:r>
      <w:r w:rsidRPr="00726177">
        <w:rPr>
          <w:rFonts w:ascii="Arial" w:hAnsi="Arial" w:cs="Arial"/>
        </w:rPr>
        <w:t xml:space="preserve"> APPS is treated as the supplier for this transaction and remits the GST.</w:t>
      </w:r>
    </w:p>
    <w:p w14:paraId="2813DDF2" w14:textId="77777777" w:rsidR="00ED5D75" w:rsidRPr="00726177" w:rsidRDefault="5EB84E5B" w:rsidP="00F73DA7">
      <w:pPr>
        <w:spacing w:after="120"/>
        <w:ind w:left="709"/>
        <w:jc w:val="left"/>
        <w:rPr>
          <w:rFonts w:ascii="Arial" w:hAnsi="Arial" w:cs="Arial"/>
        </w:rPr>
      </w:pPr>
      <w:r w:rsidRPr="00726177">
        <w:rPr>
          <w:rFonts w:ascii="Arial" w:hAnsi="Arial" w:cs="Arial"/>
        </w:rPr>
        <w:t>Under the current law the operator of the APPS platform would be required to report this transaction under SERR despite the supplier being unlikely to have an income tax obligation and the operator of the APPS platform</w:t>
      </w:r>
      <w:r w:rsidR="00B12CC2" w:rsidRPr="00726177">
        <w:rPr>
          <w:rFonts w:ascii="Arial" w:hAnsi="Arial" w:cs="Arial"/>
        </w:rPr>
        <w:t xml:space="preserve">, and not </w:t>
      </w:r>
      <w:r w:rsidR="003318DA" w:rsidRPr="00726177">
        <w:rPr>
          <w:rFonts w:ascii="Arial" w:hAnsi="Arial" w:cs="Arial"/>
        </w:rPr>
        <w:t>t</w:t>
      </w:r>
      <w:r w:rsidR="00B12CC2" w:rsidRPr="00726177">
        <w:rPr>
          <w:rFonts w:ascii="Arial" w:hAnsi="Arial" w:cs="Arial"/>
        </w:rPr>
        <w:t xml:space="preserve">he supplier, </w:t>
      </w:r>
      <w:r w:rsidRPr="00726177">
        <w:rPr>
          <w:rFonts w:ascii="Arial" w:hAnsi="Arial" w:cs="Arial"/>
        </w:rPr>
        <w:t xml:space="preserve">being </w:t>
      </w:r>
      <w:r w:rsidR="00B12CC2" w:rsidRPr="00726177">
        <w:rPr>
          <w:rFonts w:ascii="Arial" w:hAnsi="Arial" w:cs="Arial"/>
        </w:rPr>
        <w:t xml:space="preserve">liable for the </w:t>
      </w:r>
      <w:r w:rsidRPr="00726177">
        <w:rPr>
          <w:rFonts w:ascii="Arial" w:hAnsi="Arial" w:cs="Arial"/>
        </w:rPr>
        <w:t>GST</w:t>
      </w:r>
      <w:r w:rsidR="00B12CC2" w:rsidRPr="00726177">
        <w:rPr>
          <w:rFonts w:ascii="Arial" w:hAnsi="Arial" w:cs="Arial"/>
        </w:rPr>
        <w:t xml:space="preserve"> on this transaction</w:t>
      </w:r>
      <w:r w:rsidRPr="00726177">
        <w:rPr>
          <w:rFonts w:ascii="Arial" w:hAnsi="Arial" w:cs="Arial"/>
        </w:rPr>
        <w:t>. Under the exemption, the operator of the APPS platform would not be required to report this transaction</w:t>
      </w:r>
      <w:r w:rsidR="003244F7" w:rsidRPr="00726177">
        <w:rPr>
          <w:rFonts w:ascii="Arial" w:hAnsi="Arial" w:cs="Arial"/>
        </w:rPr>
        <w:t xml:space="preserve"> under SERR</w:t>
      </w:r>
      <w:r w:rsidRPr="00726177">
        <w:rPr>
          <w:rFonts w:ascii="Arial" w:hAnsi="Arial" w:cs="Arial"/>
        </w:rPr>
        <w:t>.</w:t>
      </w:r>
    </w:p>
    <w:p w14:paraId="03D8610D" w14:textId="3B9396FB" w:rsidR="77B16C2A" w:rsidRPr="00726177" w:rsidRDefault="77B16C2A" w:rsidP="00726177">
      <w:pPr>
        <w:spacing w:after="120"/>
        <w:jc w:val="left"/>
        <w:rPr>
          <w:rFonts w:ascii="Arial" w:hAnsi="Arial" w:cs="Arial"/>
        </w:rPr>
      </w:pPr>
    </w:p>
    <w:p w14:paraId="1F0FE885" w14:textId="2B4E20D4" w:rsidR="144D1931" w:rsidRPr="00726177" w:rsidRDefault="5EB84E5B" w:rsidP="00726177">
      <w:pPr>
        <w:spacing w:after="120"/>
        <w:ind w:left="709"/>
        <w:jc w:val="left"/>
        <w:rPr>
          <w:rFonts w:ascii="Arial" w:hAnsi="Arial" w:cs="Arial"/>
          <w:b/>
          <w:bCs/>
        </w:rPr>
      </w:pPr>
      <w:r w:rsidRPr="00726177">
        <w:rPr>
          <w:rFonts w:ascii="Arial" w:hAnsi="Arial" w:cs="Arial"/>
          <w:b/>
          <w:bCs/>
        </w:rPr>
        <w:t>Example 2: Non-exempt intangible supply</w:t>
      </w:r>
      <w:r w:rsidR="003244F7" w:rsidRPr="00726177">
        <w:rPr>
          <w:rFonts w:ascii="Arial" w:hAnsi="Arial" w:cs="Arial"/>
          <w:b/>
          <w:bCs/>
        </w:rPr>
        <w:t xml:space="preserve"> (digital supply)</w:t>
      </w:r>
    </w:p>
    <w:p w14:paraId="4A27F643" w14:textId="77777777" w:rsidR="00ED5D75" w:rsidRPr="00726177" w:rsidRDefault="5EB84E5B" w:rsidP="00F73DA7">
      <w:pPr>
        <w:spacing w:after="120"/>
        <w:ind w:left="709"/>
        <w:jc w:val="left"/>
        <w:rPr>
          <w:rFonts w:ascii="Arial" w:hAnsi="Arial" w:cs="Arial"/>
        </w:rPr>
      </w:pPr>
      <w:r w:rsidRPr="00726177">
        <w:rPr>
          <w:rFonts w:ascii="Arial" w:hAnsi="Arial" w:cs="Arial"/>
        </w:rPr>
        <w:t xml:space="preserve">Mani also uses the APPS platform to purchase an </w:t>
      </w:r>
      <w:r w:rsidR="00CF2D69" w:rsidRPr="00726177">
        <w:rPr>
          <w:rFonts w:ascii="Arial" w:hAnsi="Arial" w:cs="Arial"/>
        </w:rPr>
        <w:t>application</w:t>
      </w:r>
      <w:r w:rsidRPr="00726177">
        <w:rPr>
          <w:rFonts w:ascii="Arial" w:hAnsi="Arial" w:cs="Arial"/>
        </w:rPr>
        <w:t xml:space="preserve"> from a local Australian app developer. </w:t>
      </w:r>
      <w:r w:rsidR="003244F7" w:rsidRPr="00726177">
        <w:rPr>
          <w:rFonts w:ascii="Arial" w:hAnsi="Arial" w:cs="Arial"/>
        </w:rPr>
        <w:t xml:space="preserve">This is a transaction </w:t>
      </w:r>
      <w:r w:rsidR="004F08AF" w:rsidRPr="00726177">
        <w:rPr>
          <w:rFonts w:ascii="Arial" w:hAnsi="Arial" w:cs="Arial"/>
        </w:rPr>
        <w:t xml:space="preserve">the operator of </w:t>
      </w:r>
      <w:r w:rsidR="003244F7" w:rsidRPr="00726177">
        <w:rPr>
          <w:rFonts w:ascii="Arial" w:hAnsi="Arial" w:cs="Arial"/>
        </w:rPr>
        <w:t>APPS platform is not automatically liable for GST on</w:t>
      </w:r>
      <w:r w:rsidR="004F08AF" w:rsidRPr="00726177">
        <w:rPr>
          <w:rFonts w:ascii="Arial" w:hAnsi="Arial" w:cs="Arial"/>
        </w:rPr>
        <w:t xml:space="preserve"> given it’s not a supply from offshore and there</w:t>
      </w:r>
      <w:r w:rsidR="00F931B8" w:rsidRPr="00726177">
        <w:rPr>
          <w:rFonts w:ascii="Arial" w:hAnsi="Arial" w:cs="Arial"/>
        </w:rPr>
        <w:t>fore</w:t>
      </w:r>
      <w:r w:rsidR="004F08AF" w:rsidRPr="00726177">
        <w:rPr>
          <w:rFonts w:ascii="Arial" w:hAnsi="Arial" w:cs="Arial"/>
        </w:rPr>
        <w:t xml:space="preserve"> not </w:t>
      </w:r>
      <w:r w:rsidR="003244F7" w:rsidRPr="00726177">
        <w:rPr>
          <w:rFonts w:ascii="Arial" w:hAnsi="Arial" w:cs="Arial"/>
        </w:rPr>
        <w:t xml:space="preserve">an inbound intangible consumer supply. </w:t>
      </w:r>
      <w:r w:rsidR="004F08AF" w:rsidRPr="00726177">
        <w:rPr>
          <w:rFonts w:ascii="Arial" w:hAnsi="Arial" w:cs="Arial"/>
        </w:rPr>
        <w:t xml:space="preserve">However, the operator of the APPS platform has entered into an agreement with the Australian app developer under </w:t>
      </w:r>
      <w:r w:rsidRPr="00726177">
        <w:rPr>
          <w:rFonts w:ascii="Arial" w:hAnsi="Arial" w:cs="Arial"/>
        </w:rPr>
        <w:t>section 84-60 of the GST Act whereby the operator of APPS is treated as the supplier under section 84-55 of the GST Act.</w:t>
      </w:r>
    </w:p>
    <w:p w14:paraId="1A71A4F3" w14:textId="77777777" w:rsidR="00ED5D75" w:rsidRPr="00726177" w:rsidRDefault="004F08AF" w:rsidP="00F73DA7">
      <w:pPr>
        <w:spacing w:after="120"/>
        <w:ind w:left="709"/>
        <w:jc w:val="left"/>
        <w:rPr>
          <w:rFonts w:ascii="Arial" w:hAnsi="Arial" w:cs="Arial"/>
        </w:rPr>
      </w:pPr>
      <w:r w:rsidRPr="00726177">
        <w:rPr>
          <w:rFonts w:ascii="Arial" w:hAnsi="Arial" w:cs="Arial"/>
        </w:rPr>
        <w:t>T</w:t>
      </w:r>
      <w:r w:rsidR="5EB84E5B" w:rsidRPr="00726177">
        <w:rPr>
          <w:rFonts w:ascii="Arial" w:hAnsi="Arial" w:cs="Arial"/>
        </w:rPr>
        <w:t xml:space="preserve">he operator of the APPS platform will still be required to report this </w:t>
      </w:r>
      <w:r w:rsidRPr="00726177">
        <w:rPr>
          <w:rFonts w:ascii="Arial" w:hAnsi="Arial" w:cs="Arial"/>
        </w:rPr>
        <w:t xml:space="preserve">domestic </w:t>
      </w:r>
      <w:r w:rsidR="5EB84E5B" w:rsidRPr="00726177">
        <w:rPr>
          <w:rFonts w:ascii="Arial" w:hAnsi="Arial" w:cs="Arial"/>
        </w:rPr>
        <w:t>transaction</w:t>
      </w:r>
      <w:r w:rsidRPr="00726177">
        <w:rPr>
          <w:rFonts w:ascii="Arial" w:hAnsi="Arial" w:cs="Arial"/>
        </w:rPr>
        <w:t xml:space="preserve"> under SERR. Any agreement under section 84-60 is to be disregarded in considering which transactions are exempted under </w:t>
      </w:r>
      <w:r w:rsidR="00E83093" w:rsidRPr="00726177">
        <w:rPr>
          <w:rFonts w:ascii="Arial" w:hAnsi="Arial" w:cs="Arial"/>
        </w:rPr>
        <w:t>subsection 7(3</w:t>
      </w:r>
      <w:r w:rsidRPr="00726177">
        <w:rPr>
          <w:rFonts w:ascii="Arial" w:hAnsi="Arial" w:cs="Arial"/>
        </w:rPr>
        <w:t>)</w:t>
      </w:r>
      <w:r w:rsidR="00631CF2" w:rsidRPr="00726177">
        <w:rPr>
          <w:rFonts w:ascii="Arial" w:hAnsi="Arial" w:cs="Arial"/>
        </w:rPr>
        <w:t xml:space="preserve"> as the suppliers are likely to have an income tax liability for these supplies</w:t>
      </w:r>
      <w:r w:rsidRPr="00726177">
        <w:rPr>
          <w:rFonts w:ascii="Arial" w:hAnsi="Arial" w:cs="Arial"/>
        </w:rPr>
        <w:t>. As such the operator of the APPS platform must report the transaction between the local Australian app developer and Mani regardless of whether the operator</w:t>
      </w:r>
      <w:r w:rsidR="00F931B8" w:rsidRPr="00726177">
        <w:rPr>
          <w:rFonts w:ascii="Arial" w:hAnsi="Arial" w:cs="Arial"/>
        </w:rPr>
        <w:t xml:space="preserve"> </w:t>
      </w:r>
      <w:r w:rsidRPr="00726177">
        <w:rPr>
          <w:rFonts w:ascii="Arial" w:hAnsi="Arial" w:cs="Arial"/>
        </w:rPr>
        <w:t>is liable for GST on this transaction due to an agreement under section 84-60 of the GST Act.</w:t>
      </w:r>
    </w:p>
    <w:p w14:paraId="03B80D26" w14:textId="7A1F3643" w:rsidR="003244F7" w:rsidRPr="00726177" w:rsidRDefault="003244F7" w:rsidP="00726177">
      <w:pPr>
        <w:spacing w:after="120"/>
        <w:jc w:val="left"/>
        <w:rPr>
          <w:rFonts w:ascii="Arial" w:hAnsi="Arial" w:cs="Arial"/>
        </w:rPr>
      </w:pPr>
    </w:p>
    <w:p w14:paraId="062BF252" w14:textId="387D3FD0" w:rsidR="003244F7" w:rsidRPr="00726177" w:rsidRDefault="003244F7" w:rsidP="00726177">
      <w:pPr>
        <w:spacing w:after="120"/>
        <w:ind w:left="709"/>
        <w:jc w:val="left"/>
        <w:rPr>
          <w:rFonts w:ascii="Arial" w:hAnsi="Arial" w:cs="Arial"/>
          <w:b/>
          <w:bCs/>
        </w:rPr>
      </w:pPr>
      <w:r w:rsidRPr="00726177">
        <w:rPr>
          <w:rFonts w:ascii="Arial" w:hAnsi="Arial" w:cs="Arial"/>
          <w:b/>
          <w:bCs/>
        </w:rPr>
        <w:t>Example 3: Non-exempt intangible supply (not a digital supply)</w:t>
      </w:r>
    </w:p>
    <w:p w14:paraId="4C048621" w14:textId="025C4A8F" w:rsidR="00ED5D75" w:rsidRPr="00726177" w:rsidRDefault="003244F7" w:rsidP="00F73DA7">
      <w:pPr>
        <w:spacing w:after="120"/>
        <w:ind w:left="709"/>
        <w:jc w:val="left"/>
        <w:rPr>
          <w:rFonts w:ascii="Arial" w:hAnsi="Arial" w:cs="Arial"/>
        </w:rPr>
      </w:pPr>
      <w:r w:rsidRPr="00726177">
        <w:rPr>
          <w:rFonts w:ascii="Arial" w:hAnsi="Arial" w:cs="Arial"/>
        </w:rPr>
        <w:t xml:space="preserve">Mani also uses the APPS platform to purchase </w:t>
      </w:r>
      <w:r w:rsidR="00B17C95" w:rsidRPr="00726177">
        <w:rPr>
          <w:rFonts w:ascii="Arial" w:hAnsi="Arial" w:cs="Arial"/>
        </w:rPr>
        <w:t xml:space="preserve">the services of developing an app from a software developer in Sri Lanka who supplies the services from </w:t>
      </w:r>
      <w:r w:rsidR="00F931B8" w:rsidRPr="00726177">
        <w:rPr>
          <w:rFonts w:ascii="Arial" w:hAnsi="Arial" w:cs="Arial"/>
        </w:rPr>
        <w:t xml:space="preserve">an </w:t>
      </w:r>
      <w:r w:rsidR="00B17C95" w:rsidRPr="00726177">
        <w:rPr>
          <w:rFonts w:ascii="Arial" w:hAnsi="Arial" w:cs="Arial"/>
        </w:rPr>
        <w:t xml:space="preserve">enterprise based in Sri Lanka. </w:t>
      </w:r>
      <w:r w:rsidR="00B17C95" w:rsidRPr="00C2733A">
        <w:rPr>
          <w:rFonts w:ascii="Arial" w:hAnsi="Arial" w:cs="Arial"/>
        </w:rPr>
        <w:t>Whil</w:t>
      </w:r>
      <w:r w:rsidR="00BC04E3" w:rsidRPr="00C2733A">
        <w:rPr>
          <w:rFonts w:ascii="Arial" w:hAnsi="Arial" w:cs="Arial"/>
        </w:rPr>
        <w:t>e</w:t>
      </w:r>
      <w:r w:rsidR="00B17C95" w:rsidRPr="00726177">
        <w:rPr>
          <w:rFonts w:ascii="Arial" w:hAnsi="Arial" w:cs="Arial"/>
        </w:rPr>
        <w:t xml:space="preserve"> the supply of services is an inbound intangible consumer supply (as the services are suppl</w:t>
      </w:r>
      <w:r w:rsidR="00F931B8" w:rsidRPr="00726177">
        <w:rPr>
          <w:rFonts w:ascii="Arial" w:hAnsi="Arial" w:cs="Arial"/>
        </w:rPr>
        <w:t>ied</w:t>
      </w:r>
      <w:r w:rsidR="00B17C95" w:rsidRPr="00726177">
        <w:rPr>
          <w:rFonts w:ascii="Arial" w:hAnsi="Arial" w:cs="Arial"/>
        </w:rPr>
        <w:t xml:space="preserve"> from outside Australia directly to Mani) the supply is not a digital supply which means the APPS platform is not</w:t>
      </w:r>
      <w:r w:rsidR="00697973" w:rsidRPr="00726177">
        <w:rPr>
          <w:rFonts w:ascii="Arial" w:hAnsi="Arial" w:cs="Arial"/>
        </w:rPr>
        <w:t xml:space="preserve"> supplying a service that is subject to the EDP rules </w:t>
      </w:r>
      <w:r w:rsidR="00F931B8" w:rsidRPr="00726177">
        <w:rPr>
          <w:rFonts w:ascii="Arial" w:hAnsi="Arial" w:cs="Arial"/>
        </w:rPr>
        <w:t>under</w:t>
      </w:r>
      <w:r w:rsidR="00697973" w:rsidRPr="00726177">
        <w:rPr>
          <w:rFonts w:ascii="Arial" w:hAnsi="Arial" w:cs="Arial"/>
        </w:rPr>
        <w:t xml:space="preserve"> the GST Act </w:t>
      </w:r>
      <w:r w:rsidR="00B17C95" w:rsidRPr="00726177">
        <w:rPr>
          <w:rFonts w:ascii="Arial" w:hAnsi="Arial" w:cs="Arial"/>
        </w:rPr>
        <w:t xml:space="preserve">(section 84-70(1)(c) of the GST is not satisfied). </w:t>
      </w:r>
      <w:r w:rsidR="00697973" w:rsidRPr="00726177">
        <w:rPr>
          <w:rFonts w:ascii="Arial" w:hAnsi="Arial" w:cs="Arial"/>
        </w:rPr>
        <w:t xml:space="preserve">Given the </w:t>
      </w:r>
      <w:r w:rsidRPr="00726177">
        <w:rPr>
          <w:rFonts w:ascii="Arial" w:hAnsi="Arial" w:cs="Arial"/>
        </w:rPr>
        <w:t xml:space="preserve">operator of APPS is </w:t>
      </w:r>
      <w:r w:rsidR="00697973" w:rsidRPr="00726177">
        <w:rPr>
          <w:rFonts w:ascii="Arial" w:hAnsi="Arial" w:cs="Arial"/>
        </w:rPr>
        <w:t xml:space="preserve">not </w:t>
      </w:r>
      <w:r w:rsidRPr="00726177">
        <w:rPr>
          <w:rFonts w:ascii="Arial" w:hAnsi="Arial" w:cs="Arial"/>
        </w:rPr>
        <w:t>treated as the supplier under section 84-55 of the GST Act</w:t>
      </w:r>
      <w:r w:rsidR="00F931B8" w:rsidRPr="00726177">
        <w:rPr>
          <w:rFonts w:ascii="Arial" w:hAnsi="Arial" w:cs="Arial"/>
        </w:rPr>
        <w:t xml:space="preserve">, </w:t>
      </w:r>
      <w:r w:rsidR="00697973" w:rsidRPr="00726177">
        <w:rPr>
          <w:rFonts w:ascii="Arial" w:hAnsi="Arial" w:cs="Arial"/>
        </w:rPr>
        <w:t xml:space="preserve">the supply is not exempt under </w:t>
      </w:r>
      <w:r w:rsidR="00E83093" w:rsidRPr="00726177">
        <w:rPr>
          <w:rFonts w:ascii="Arial" w:hAnsi="Arial" w:cs="Arial"/>
        </w:rPr>
        <w:t>subsection 7(3</w:t>
      </w:r>
      <w:r w:rsidR="00697973" w:rsidRPr="00726177">
        <w:rPr>
          <w:rFonts w:ascii="Arial" w:hAnsi="Arial" w:cs="Arial"/>
        </w:rPr>
        <w:t>)</w:t>
      </w:r>
      <w:r w:rsidRPr="00726177">
        <w:rPr>
          <w:rFonts w:ascii="Arial" w:hAnsi="Arial" w:cs="Arial"/>
        </w:rPr>
        <w:t xml:space="preserve">. </w:t>
      </w:r>
      <w:r w:rsidR="00647C79" w:rsidRPr="00726177">
        <w:rPr>
          <w:rFonts w:ascii="Arial" w:hAnsi="Arial" w:cs="Arial"/>
        </w:rPr>
        <w:t xml:space="preserve">Although the supplier is not an </w:t>
      </w:r>
      <w:r w:rsidR="00647C79" w:rsidRPr="00C2733A">
        <w:rPr>
          <w:rFonts w:ascii="Arial" w:hAnsi="Arial" w:cs="Arial"/>
        </w:rPr>
        <w:t>Australian resident</w:t>
      </w:r>
      <w:r w:rsidR="00647C79" w:rsidRPr="00726177">
        <w:rPr>
          <w:rFonts w:ascii="Arial" w:hAnsi="Arial" w:cs="Arial"/>
        </w:rPr>
        <w:t xml:space="preserve"> and is therefore unlikely to have an income tax obligation in relation to the transaction, the data collected will assist us to determine whether the supplier has a GST obligation.</w:t>
      </w:r>
    </w:p>
    <w:p w14:paraId="19B0860A" w14:textId="14D1B474" w:rsidR="003244F7" w:rsidRPr="00726177" w:rsidRDefault="00697973" w:rsidP="00F73DA7">
      <w:pPr>
        <w:spacing w:after="120"/>
        <w:ind w:left="709"/>
        <w:jc w:val="left"/>
        <w:rPr>
          <w:rFonts w:ascii="Arial" w:hAnsi="Arial" w:cs="Arial"/>
        </w:rPr>
      </w:pPr>
      <w:r w:rsidRPr="00726177">
        <w:rPr>
          <w:rFonts w:ascii="Arial" w:hAnsi="Arial" w:cs="Arial"/>
        </w:rPr>
        <w:t>T</w:t>
      </w:r>
      <w:r w:rsidR="003244F7" w:rsidRPr="00726177">
        <w:rPr>
          <w:rFonts w:ascii="Arial" w:hAnsi="Arial" w:cs="Arial"/>
        </w:rPr>
        <w:t xml:space="preserve">he </w:t>
      </w:r>
      <w:r w:rsidRPr="00726177">
        <w:rPr>
          <w:rFonts w:ascii="Arial" w:hAnsi="Arial" w:cs="Arial"/>
        </w:rPr>
        <w:t xml:space="preserve">operator of the </w:t>
      </w:r>
      <w:r w:rsidR="003244F7" w:rsidRPr="00726177">
        <w:rPr>
          <w:rFonts w:ascii="Arial" w:hAnsi="Arial" w:cs="Arial"/>
        </w:rPr>
        <w:t xml:space="preserve">APPS platform will still be required to report this </w:t>
      </w:r>
      <w:r w:rsidRPr="00726177">
        <w:rPr>
          <w:rFonts w:ascii="Arial" w:hAnsi="Arial" w:cs="Arial"/>
        </w:rPr>
        <w:t xml:space="preserve">offshore </w:t>
      </w:r>
      <w:r w:rsidR="003244F7" w:rsidRPr="00726177">
        <w:rPr>
          <w:rFonts w:ascii="Arial" w:hAnsi="Arial" w:cs="Arial"/>
        </w:rPr>
        <w:t>transaction.</w:t>
      </w:r>
    </w:p>
    <w:p w14:paraId="68370A30" w14:textId="3471AEAC" w:rsidR="00F27447" w:rsidRPr="00726177" w:rsidRDefault="00F27447" w:rsidP="00F73DA7">
      <w:pPr>
        <w:spacing w:after="120"/>
        <w:jc w:val="left"/>
        <w:rPr>
          <w:rFonts w:ascii="Arial" w:hAnsi="Arial" w:cs="Arial"/>
        </w:rPr>
      </w:pPr>
    </w:p>
    <w:p w14:paraId="427BF5B4" w14:textId="0822CBEE" w:rsidR="00F27447" w:rsidRPr="00726177" w:rsidRDefault="00F27447" w:rsidP="00F73DA7">
      <w:pPr>
        <w:pStyle w:val="Heading3"/>
        <w:spacing w:before="0" w:after="120"/>
        <w:rPr>
          <w:i/>
          <w:iCs/>
          <w:sz w:val="22"/>
          <w:szCs w:val="22"/>
        </w:rPr>
      </w:pPr>
      <w:r w:rsidRPr="00726177">
        <w:rPr>
          <w:i/>
          <w:iCs/>
          <w:sz w:val="22"/>
          <w:szCs w:val="22"/>
        </w:rPr>
        <w:t xml:space="preserve">Reporting exemptions provided by section </w:t>
      </w:r>
      <w:r w:rsidR="7E4EB7A2" w:rsidRPr="00726177">
        <w:rPr>
          <w:i/>
          <w:iCs/>
          <w:sz w:val="22"/>
          <w:szCs w:val="22"/>
        </w:rPr>
        <w:t>8</w:t>
      </w:r>
      <w:r w:rsidRPr="00726177">
        <w:rPr>
          <w:i/>
          <w:iCs/>
          <w:sz w:val="22"/>
          <w:szCs w:val="22"/>
        </w:rPr>
        <w:t xml:space="preserve"> – transactions involving certain types of supplies</w:t>
      </w:r>
    </w:p>
    <w:p w14:paraId="20D40EE3" w14:textId="77777777" w:rsidR="00726177" w:rsidRPr="00726177" w:rsidRDefault="00B67AAE"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Section </w:t>
      </w:r>
      <w:r w:rsidR="48A7A2ED" w:rsidRPr="00726177">
        <w:rPr>
          <w:rFonts w:ascii="Arial" w:hAnsi="Arial" w:cs="Arial"/>
        </w:rPr>
        <w:t>8</w:t>
      </w:r>
      <w:r w:rsidRPr="00726177">
        <w:rPr>
          <w:rFonts w:ascii="Arial" w:hAnsi="Arial" w:cs="Arial"/>
        </w:rPr>
        <w:t xml:space="preserve"> </w:t>
      </w:r>
      <w:r w:rsidR="00FB790A" w:rsidRPr="00726177">
        <w:rPr>
          <w:rFonts w:ascii="Arial" w:hAnsi="Arial" w:cs="Arial"/>
        </w:rPr>
        <w:t>of th</w:t>
      </w:r>
      <w:r w:rsidR="00B81185" w:rsidRPr="00726177">
        <w:rPr>
          <w:rFonts w:ascii="Arial" w:hAnsi="Arial" w:cs="Arial"/>
        </w:rPr>
        <w:t>is</w:t>
      </w:r>
      <w:r w:rsidR="00FB790A" w:rsidRPr="00726177">
        <w:rPr>
          <w:rFonts w:ascii="Arial" w:hAnsi="Arial" w:cs="Arial"/>
        </w:rPr>
        <w:t xml:space="preserve"> instrument </w:t>
      </w:r>
      <w:r w:rsidRPr="00726177">
        <w:rPr>
          <w:rFonts w:ascii="Arial" w:hAnsi="Arial" w:cs="Arial"/>
        </w:rPr>
        <w:t>exempts certain types of transactions</w:t>
      </w:r>
      <w:r w:rsidR="00E6152A" w:rsidRPr="00726177">
        <w:rPr>
          <w:rFonts w:ascii="Arial" w:hAnsi="Arial" w:cs="Arial"/>
        </w:rPr>
        <w:t xml:space="preserve"> </w:t>
      </w:r>
      <w:r w:rsidR="00714171" w:rsidRPr="00726177">
        <w:rPr>
          <w:rFonts w:ascii="Arial" w:hAnsi="Arial" w:cs="Arial"/>
        </w:rPr>
        <w:t>where</w:t>
      </w:r>
      <w:r w:rsidR="00E6152A" w:rsidRPr="00726177">
        <w:rPr>
          <w:rFonts w:ascii="Arial" w:hAnsi="Arial" w:cs="Arial"/>
        </w:rPr>
        <w:t>:</w:t>
      </w:r>
    </w:p>
    <w:p w14:paraId="35081B9B" w14:textId="77777777" w:rsidR="00726177" w:rsidRPr="00726177" w:rsidRDefault="00714171" w:rsidP="00447772">
      <w:pPr>
        <w:pStyle w:val="ListParagraph"/>
        <w:numPr>
          <w:ilvl w:val="0"/>
          <w:numId w:val="11"/>
        </w:numPr>
        <w:spacing w:after="120" w:line="240" w:lineRule="auto"/>
        <w:ind w:left="1418" w:hanging="709"/>
        <w:rPr>
          <w:rFonts w:ascii="Arial" w:hAnsi="Arial" w:cs="Arial"/>
        </w:rPr>
      </w:pPr>
      <w:r w:rsidRPr="00726177">
        <w:rPr>
          <w:rFonts w:ascii="Arial" w:hAnsi="Arial" w:cs="Arial"/>
        </w:rPr>
        <w:t xml:space="preserve">the transactions </w:t>
      </w:r>
      <w:r w:rsidR="00B67AAE" w:rsidRPr="00726177">
        <w:rPr>
          <w:rFonts w:ascii="Arial" w:hAnsi="Arial" w:cs="Arial"/>
        </w:rPr>
        <w:t>are</w:t>
      </w:r>
      <w:r w:rsidRPr="00726177">
        <w:rPr>
          <w:rFonts w:ascii="Arial" w:hAnsi="Arial" w:cs="Arial"/>
        </w:rPr>
        <w:t xml:space="preserve"> considered</w:t>
      </w:r>
      <w:r w:rsidR="00B67AAE" w:rsidRPr="00726177">
        <w:rPr>
          <w:rFonts w:ascii="Arial" w:hAnsi="Arial" w:cs="Arial"/>
        </w:rPr>
        <w:t xml:space="preserve"> less likely to be sharing economy transactions</w:t>
      </w:r>
      <w:r w:rsidR="00E6152A" w:rsidRPr="00726177">
        <w:rPr>
          <w:rFonts w:ascii="Arial" w:hAnsi="Arial" w:cs="Arial"/>
        </w:rPr>
        <w:t>;</w:t>
      </w:r>
    </w:p>
    <w:p w14:paraId="1607B644" w14:textId="77777777" w:rsidR="00726177" w:rsidRPr="00726177" w:rsidRDefault="00B67AAE" w:rsidP="00447772">
      <w:pPr>
        <w:pStyle w:val="ListParagraph"/>
        <w:numPr>
          <w:ilvl w:val="0"/>
          <w:numId w:val="11"/>
        </w:numPr>
        <w:spacing w:after="120" w:line="240" w:lineRule="auto"/>
        <w:ind w:left="1418" w:hanging="709"/>
        <w:rPr>
          <w:rFonts w:ascii="Arial" w:hAnsi="Arial" w:cs="Arial"/>
        </w:rPr>
      </w:pPr>
      <w:r w:rsidRPr="00726177">
        <w:rPr>
          <w:rFonts w:ascii="Arial" w:hAnsi="Arial" w:cs="Arial"/>
        </w:rPr>
        <w:lastRenderedPageBreak/>
        <w:t>the suppliers of those transactions are likely to be compliant with their taxation obligations</w:t>
      </w:r>
      <w:r w:rsidR="00E6152A" w:rsidRPr="00726177">
        <w:rPr>
          <w:rFonts w:ascii="Arial" w:hAnsi="Arial" w:cs="Arial"/>
        </w:rPr>
        <w:t>;</w:t>
      </w:r>
    </w:p>
    <w:p w14:paraId="0DD45F6C" w14:textId="1317E061" w:rsidR="00E6152A" w:rsidRPr="00726177" w:rsidRDefault="00E6152A" w:rsidP="00447772">
      <w:pPr>
        <w:pStyle w:val="ListParagraph"/>
        <w:numPr>
          <w:ilvl w:val="0"/>
          <w:numId w:val="11"/>
        </w:numPr>
        <w:spacing w:after="120" w:line="240" w:lineRule="auto"/>
        <w:ind w:left="1418" w:hanging="709"/>
        <w:rPr>
          <w:rFonts w:ascii="Arial" w:hAnsi="Arial" w:cs="Arial"/>
        </w:rPr>
      </w:pPr>
      <w:r w:rsidRPr="00726177">
        <w:rPr>
          <w:rFonts w:ascii="Arial" w:hAnsi="Arial" w:cs="Arial"/>
        </w:rPr>
        <w:t>the</w:t>
      </w:r>
      <w:r w:rsidR="00B67AAE" w:rsidRPr="00726177">
        <w:rPr>
          <w:rFonts w:ascii="Arial" w:hAnsi="Arial" w:cs="Arial"/>
        </w:rPr>
        <w:t xml:space="preserve"> transactions are otherwise considered low risk</w:t>
      </w:r>
      <w:r w:rsidRPr="00726177">
        <w:rPr>
          <w:rFonts w:ascii="Arial" w:hAnsi="Arial" w:cs="Arial"/>
        </w:rPr>
        <w:t>;</w:t>
      </w:r>
    </w:p>
    <w:p w14:paraId="36D69E96" w14:textId="5A1F1669" w:rsidR="00E6152A" w:rsidRPr="00726177" w:rsidRDefault="00E6152A" w:rsidP="00447772">
      <w:pPr>
        <w:pStyle w:val="ListParagraph"/>
        <w:numPr>
          <w:ilvl w:val="0"/>
          <w:numId w:val="11"/>
        </w:numPr>
        <w:spacing w:after="120" w:line="240" w:lineRule="auto"/>
        <w:ind w:left="1418" w:hanging="709"/>
        <w:rPr>
          <w:rFonts w:ascii="Arial" w:hAnsi="Arial" w:cs="Arial"/>
        </w:rPr>
      </w:pPr>
      <w:r w:rsidRPr="00726177">
        <w:rPr>
          <w:rFonts w:ascii="Arial" w:hAnsi="Arial" w:cs="Arial"/>
        </w:rPr>
        <w:t xml:space="preserve">the </w:t>
      </w:r>
      <w:r w:rsidR="00B67AAE" w:rsidRPr="00726177">
        <w:rPr>
          <w:rFonts w:ascii="Arial" w:hAnsi="Arial" w:cs="Arial"/>
        </w:rPr>
        <w:t xml:space="preserve">information from those transactions is not currently required by the </w:t>
      </w:r>
      <w:r w:rsidR="00B67AAE" w:rsidRPr="00C2733A">
        <w:rPr>
          <w:rFonts w:ascii="Arial" w:hAnsi="Arial" w:cs="Arial"/>
        </w:rPr>
        <w:t>Commissioner</w:t>
      </w:r>
      <w:r w:rsidRPr="00726177">
        <w:rPr>
          <w:rFonts w:ascii="Arial" w:hAnsi="Arial" w:cs="Arial"/>
        </w:rPr>
        <w:t>; or</w:t>
      </w:r>
    </w:p>
    <w:p w14:paraId="421BF408" w14:textId="0145269C" w:rsidR="00ED5D75" w:rsidRPr="00726177" w:rsidRDefault="00E6152A" w:rsidP="00447772">
      <w:pPr>
        <w:pStyle w:val="ListParagraph"/>
        <w:numPr>
          <w:ilvl w:val="0"/>
          <w:numId w:val="11"/>
        </w:numPr>
        <w:spacing w:after="120" w:line="240" w:lineRule="auto"/>
        <w:ind w:left="1418" w:hanging="709"/>
        <w:rPr>
          <w:rFonts w:ascii="Arial" w:hAnsi="Arial" w:cs="Arial"/>
        </w:rPr>
      </w:pPr>
      <w:r w:rsidRPr="00726177">
        <w:rPr>
          <w:rFonts w:ascii="Arial" w:hAnsi="Arial" w:cs="Arial"/>
        </w:rPr>
        <w:t xml:space="preserve">the information that would be reported is incomplete or </w:t>
      </w:r>
      <w:r w:rsidR="00FD7F9E" w:rsidRPr="00726177">
        <w:rPr>
          <w:rFonts w:ascii="Arial" w:hAnsi="Arial" w:cs="Arial"/>
        </w:rPr>
        <w:t>is otherwise poor quality.</w:t>
      </w:r>
    </w:p>
    <w:p w14:paraId="2296A950" w14:textId="1D863E97" w:rsidR="00ED5D75" w:rsidRPr="00726177" w:rsidRDefault="004A5051" w:rsidP="00F73DA7">
      <w:pPr>
        <w:numPr>
          <w:ilvl w:val="0"/>
          <w:numId w:val="1"/>
        </w:numPr>
        <w:tabs>
          <w:tab w:val="clear" w:pos="720"/>
        </w:tabs>
        <w:spacing w:after="120"/>
        <w:ind w:left="0" w:firstLine="0"/>
        <w:jc w:val="left"/>
        <w:rPr>
          <w:rFonts w:ascii="Arial" w:hAnsi="Arial" w:cs="Arial"/>
        </w:rPr>
      </w:pPr>
      <w:bookmarkStart w:id="4" w:name="_Hlk165014886"/>
      <w:r w:rsidRPr="00726177">
        <w:rPr>
          <w:rFonts w:ascii="Arial" w:hAnsi="Arial" w:cs="Arial"/>
        </w:rPr>
        <w:t xml:space="preserve">Some of the exemptions provided in </w:t>
      </w:r>
      <w:r w:rsidR="00811C91" w:rsidRPr="00726177">
        <w:rPr>
          <w:rFonts w:ascii="Arial" w:hAnsi="Arial" w:cs="Arial"/>
        </w:rPr>
        <w:t>section 8</w:t>
      </w:r>
      <w:r w:rsidRPr="00726177">
        <w:rPr>
          <w:rFonts w:ascii="Arial" w:hAnsi="Arial" w:cs="Arial"/>
        </w:rPr>
        <w:t xml:space="preserve"> apply only to transactions where the supplier meets certain threshold requirements. Suppliers who meet these thresholds are unlikely to be sharing economy participants and are likely to have a lower risk of non-compliance with their tax obligations. The threshold tests have been set based on information and insights gained through consultation with relevant industry stakeholders.</w:t>
      </w:r>
    </w:p>
    <w:p w14:paraId="4B997878" w14:textId="1D495D8D" w:rsidR="00714171" w:rsidRPr="00726177" w:rsidRDefault="00714171" w:rsidP="00F73DA7">
      <w:pPr>
        <w:spacing w:after="120"/>
        <w:jc w:val="left"/>
        <w:rPr>
          <w:rFonts w:ascii="Arial" w:hAnsi="Arial" w:cs="Arial"/>
        </w:rPr>
      </w:pPr>
    </w:p>
    <w:bookmarkEnd w:id="4"/>
    <w:p w14:paraId="5D86C0C4" w14:textId="77777777" w:rsidR="00601CD5" w:rsidRPr="00726177" w:rsidRDefault="002849DE" w:rsidP="00F73DA7">
      <w:pPr>
        <w:pStyle w:val="Heading4"/>
        <w:spacing w:before="0" w:after="120"/>
        <w:rPr>
          <w:rFonts w:ascii="Arial" w:hAnsi="Arial" w:cs="Arial"/>
          <w:color w:val="auto"/>
        </w:rPr>
      </w:pPr>
      <w:r w:rsidRPr="00726177">
        <w:rPr>
          <w:rFonts w:ascii="Arial" w:hAnsi="Arial" w:cs="Arial"/>
          <w:color w:val="auto"/>
        </w:rPr>
        <w:t>Supplies of</w:t>
      </w:r>
      <w:r w:rsidR="00F27447" w:rsidRPr="00726177">
        <w:rPr>
          <w:rFonts w:ascii="Arial" w:hAnsi="Arial" w:cs="Arial"/>
          <w:color w:val="auto"/>
        </w:rPr>
        <w:t xml:space="preserve"> </w:t>
      </w:r>
      <w:r w:rsidR="009165DC" w:rsidRPr="00726177">
        <w:rPr>
          <w:rFonts w:ascii="Arial" w:hAnsi="Arial" w:cs="Arial"/>
          <w:color w:val="auto"/>
        </w:rPr>
        <w:t>s</w:t>
      </w:r>
      <w:r w:rsidR="00F27447" w:rsidRPr="00726177">
        <w:rPr>
          <w:rFonts w:ascii="Arial" w:hAnsi="Arial" w:cs="Arial"/>
          <w:color w:val="auto"/>
        </w:rPr>
        <w:t xml:space="preserve">ubstantial </w:t>
      </w:r>
      <w:r w:rsidR="009165DC" w:rsidRPr="00726177">
        <w:rPr>
          <w:rFonts w:ascii="Arial" w:hAnsi="Arial" w:cs="Arial"/>
          <w:color w:val="auto"/>
        </w:rPr>
        <w:t>p</w:t>
      </w:r>
      <w:r w:rsidR="00F27447" w:rsidRPr="00726177">
        <w:rPr>
          <w:rFonts w:ascii="Arial" w:hAnsi="Arial" w:cs="Arial"/>
          <w:color w:val="auto"/>
        </w:rPr>
        <w:t>roperties</w:t>
      </w:r>
    </w:p>
    <w:p w14:paraId="2D47B71C" w14:textId="326B2991" w:rsidR="002F3782" w:rsidRPr="00726177" w:rsidRDefault="00E729FA"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Some </w:t>
      </w:r>
      <w:r w:rsidR="002F3782" w:rsidRPr="00726177">
        <w:rPr>
          <w:rFonts w:ascii="Arial" w:hAnsi="Arial" w:cs="Arial"/>
          <w:color w:val="000000" w:themeColor="text1"/>
        </w:rPr>
        <w:t xml:space="preserve">transactions involving larger hotels and traditional forms of short-term accommodation </w:t>
      </w:r>
      <w:r w:rsidRPr="00726177">
        <w:rPr>
          <w:rFonts w:ascii="Arial" w:hAnsi="Arial" w:cs="Arial"/>
          <w:color w:val="000000" w:themeColor="text1"/>
        </w:rPr>
        <w:t>will already be</w:t>
      </w:r>
      <w:r w:rsidR="002F3782" w:rsidRPr="00726177">
        <w:rPr>
          <w:rFonts w:ascii="Arial" w:hAnsi="Arial" w:cs="Arial"/>
          <w:color w:val="000000" w:themeColor="text1"/>
        </w:rPr>
        <w:t xml:space="preserve"> exempted under </w:t>
      </w:r>
      <w:r w:rsidR="00A84C31" w:rsidRPr="00726177">
        <w:rPr>
          <w:rFonts w:ascii="Arial" w:hAnsi="Arial" w:cs="Arial"/>
          <w:color w:val="000000" w:themeColor="text1"/>
        </w:rPr>
        <w:t xml:space="preserve">subsection </w:t>
      </w:r>
      <w:r w:rsidR="72E34FA5" w:rsidRPr="00726177">
        <w:rPr>
          <w:rFonts w:ascii="Arial" w:hAnsi="Arial" w:cs="Arial"/>
          <w:color w:val="000000" w:themeColor="text1"/>
        </w:rPr>
        <w:t>7</w:t>
      </w:r>
      <w:r w:rsidR="002F3782" w:rsidRPr="00726177">
        <w:rPr>
          <w:rFonts w:ascii="Arial" w:hAnsi="Arial" w:cs="Arial"/>
          <w:color w:val="000000" w:themeColor="text1"/>
        </w:rPr>
        <w:t>(</w:t>
      </w:r>
      <w:r w:rsidRPr="00726177">
        <w:rPr>
          <w:rFonts w:ascii="Arial" w:hAnsi="Arial" w:cs="Arial"/>
          <w:color w:val="000000" w:themeColor="text1"/>
        </w:rPr>
        <w:t>2</w:t>
      </w:r>
      <w:r w:rsidR="002F3782" w:rsidRPr="00726177">
        <w:rPr>
          <w:rFonts w:ascii="Arial" w:hAnsi="Arial" w:cs="Arial"/>
          <w:color w:val="000000" w:themeColor="text1"/>
        </w:rPr>
        <w:t>)</w:t>
      </w:r>
      <w:r w:rsidRPr="00726177">
        <w:rPr>
          <w:rFonts w:ascii="Arial" w:hAnsi="Arial" w:cs="Arial"/>
          <w:color w:val="000000" w:themeColor="text1"/>
        </w:rPr>
        <w:t xml:space="preserve">. </w:t>
      </w:r>
      <w:r w:rsidR="00261C78" w:rsidRPr="00726177">
        <w:rPr>
          <w:rFonts w:ascii="Arial" w:hAnsi="Arial" w:cs="Arial"/>
          <w:color w:val="000000" w:themeColor="text1"/>
        </w:rPr>
        <w:t>P</w:t>
      </w:r>
      <w:r w:rsidRPr="00726177">
        <w:rPr>
          <w:rFonts w:ascii="Arial" w:hAnsi="Arial" w:cs="Arial"/>
          <w:color w:val="000000" w:themeColor="text1"/>
        </w:rPr>
        <w:t xml:space="preserve">aragraph </w:t>
      </w:r>
      <w:r w:rsidR="65E106B9" w:rsidRPr="00726177">
        <w:rPr>
          <w:rFonts w:ascii="Arial" w:hAnsi="Arial" w:cs="Arial"/>
          <w:color w:val="000000" w:themeColor="text1"/>
        </w:rPr>
        <w:t>8</w:t>
      </w:r>
      <w:r w:rsidRPr="00726177">
        <w:rPr>
          <w:rFonts w:ascii="Arial" w:hAnsi="Arial" w:cs="Arial"/>
          <w:color w:val="000000" w:themeColor="text1"/>
        </w:rPr>
        <w:t>(a) contains a further</w:t>
      </w:r>
      <w:r w:rsidR="002F3782" w:rsidRPr="00726177">
        <w:rPr>
          <w:rFonts w:ascii="Arial" w:hAnsi="Arial" w:cs="Arial"/>
          <w:color w:val="000000" w:themeColor="text1"/>
        </w:rPr>
        <w:t xml:space="preserve"> specific exemption </w:t>
      </w:r>
      <w:r w:rsidRPr="00726177">
        <w:rPr>
          <w:rFonts w:ascii="Arial" w:hAnsi="Arial" w:cs="Arial"/>
          <w:color w:val="000000" w:themeColor="text1"/>
        </w:rPr>
        <w:t xml:space="preserve">for </w:t>
      </w:r>
      <w:r w:rsidR="002F3782" w:rsidRPr="00726177">
        <w:rPr>
          <w:rFonts w:ascii="Arial" w:hAnsi="Arial" w:cs="Arial"/>
          <w:color w:val="000000" w:themeColor="text1"/>
        </w:rPr>
        <w:t xml:space="preserve">transactions </w:t>
      </w:r>
      <w:r w:rsidRPr="00726177">
        <w:rPr>
          <w:rFonts w:ascii="Arial" w:hAnsi="Arial" w:cs="Arial"/>
          <w:color w:val="000000" w:themeColor="text1"/>
        </w:rPr>
        <w:t xml:space="preserve">involving </w:t>
      </w:r>
      <w:r w:rsidR="002F3782" w:rsidRPr="00726177">
        <w:rPr>
          <w:rFonts w:ascii="Arial" w:hAnsi="Arial" w:cs="Arial"/>
          <w:color w:val="000000" w:themeColor="text1"/>
        </w:rPr>
        <w:t>a ‘substantial property’.</w:t>
      </w:r>
    </w:p>
    <w:p w14:paraId="1CB2A279" w14:textId="77777777" w:rsidR="00ED5D75" w:rsidRPr="00726177" w:rsidRDefault="002F3782" w:rsidP="00F73DA7">
      <w:pPr>
        <w:numPr>
          <w:ilvl w:val="0"/>
          <w:numId w:val="1"/>
        </w:numPr>
        <w:tabs>
          <w:tab w:val="clear" w:pos="720"/>
        </w:tabs>
        <w:spacing w:after="120"/>
        <w:ind w:left="0" w:firstLine="0"/>
        <w:jc w:val="left"/>
        <w:rPr>
          <w:rFonts w:ascii="Arial" w:hAnsi="Arial" w:cs="Arial"/>
          <w:color w:val="000000" w:themeColor="text1"/>
        </w:rPr>
      </w:pPr>
      <w:r w:rsidRPr="00726177">
        <w:rPr>
          <w:rFonts w:ascii="Arial" w:hAnsi="Arial" w:cs="Arial"/>
          <w:color w:val="000000" w:themeColor="text1"/>
        </w:rPr>
        <w:t>A substantial property is a property where, for a reporting period, at least 2,000 transactions were facilitated by the EDP in relation to that property in the 12</w:t>
      </w:r>
      <w:r w:rsidR="00EB4644" w:rsidRPr="00726177">
        <w:rPr>
          <w:rFonts w:ascii="Arial" w:hAnsi="Arial" w:cs="Arial"/>
          <w:color w:val="000000" w:themeColor="text1"/>
        </w:rPr>
        <w:t xml:space="preserve"> </w:t>
      </w:r>
      <w:r w:rsidRPr="00726177">
        <w:rPr>
          <w:rFonts w:ascii="Arial" w:hAnsi="Arial" w:cs="Arial"/>
          <w:color w:val="000000" w:themeColor="text1"/>
        </w:rPr>
        <w:t>month</w:t>
      </w:r>
      <w:r w:rsidR="00745520" w:rsidRPr="00726177">
        <w:rPr>
          <w:rFonts w:ascii="Arial" w:hAnsi="Arial" w:cs="Arial"/>
          <w:color w:val="000000" w:themeColor="text1"/>
        </w:rPr>
        <w:t>s</w:t>
      </w:r>
      <w:r w:rsidRPr="00726177">
        <w:rPr>
          <w:rFonts w:ascii="Arial" w:hAnsi="Arial" w:cs="Arial"/>
          <w:color w:val="000000" w:themeColor="text1"/>
        </w:rPr>
        <w:t xml:space="preserve"> ending on the last day of that reporting period</w:t>
      </w:r>
      <w:r w:rsidR="00E729FA" w:rsidRPr="00726177">
        <w:rPr>
          <w:rFonts w:ascii="Arial" w:hAnsi="Arial" w:cs="Arial"/>
          <w:color w:val="000000" w:themeColor="text1"/>
        </w:rPr>
        <w:t>.</w:t>
      </w:r>
      <w:r w:rsidR="00E6152A" w:rsidRPr="00726177">
        <w:rPr>
          <w:rFonts w:ascii="Arial" w:hAnsi="Arial" w:cs="Arial"/>
          <w:color w:val="000000" w:themeColor="text1"/>
        </w:rPr>
        <w:t xml:space="preserve"> </w:t>
      </w:r>
      <w:r w:rsidR="00811C91" w:rsidRPr="00726177">
        <w:rPr>
          <w:rFonts w:ascii="Arial" w:hAnsi="Arial" w:cs="Arial"/>
          <w:color w:val="000000" w:themeColor="text1"/>
        </w:rPr>
        <w:t>These transactions are exempt as suppliers with this volume of transactions are unlikely to be sharing economy participants and are more likely to be aware of, and compliant with, their taxation obligations.</w:t>
      </w:r>
    </w:p>
    <w:p w14:paraId="179C24BB" w14:textId="08EA39A8" w:rsidR="00601CD5" w:rsidRPr="00726177" w:rsidRDefault="002F3782" w:rsidP="00F73DA7">
      <w:pPr>
        <w:numPr>
          <w:ilvl w:val="0"/>
          <w:numId w:val="1"/>
        </w:numPr>
        <w:tabs>
          <w:tab w:val="clear" w:pos="720"/>
        </w:tabs>
        <w:spacing w:after="120"/>
        <w:ind w:left="0" w:firstLine="0"/>
        <w:jc w:val="left"/>
        <w:rPr>
          <w:rFonts w:ascii="Arial" w:hAnsi="Arial" w:cs="Arial"/>
          <w:color w:val="000000"/>
        </w:rPr>
      </w:pPr>
      <w:r w:rsidRPr="00726177">
        <w:rPr>
          <w:rFonts w:ascii="Arial" w:hAnsi="Arial" w:cs="Arial"/>
          <w:color w:val="000000"/>
        </w:rPr>
        <w:t xml:space="preserve">If the property </w:t>
      </w:r>
      <w:r w:rsidR="00FC6470" w:rsidRPr="00726177">
        <w:rPr>
          <w:rFonts w:ascii="Arial" w:hAnsi="Arial" w:cs="Arial"/>
          <w:color w:val="000000"/>
        </w:rPr>
        <w:t>was</w:t>
      </w:r>
      <w:r w:rsidR="004A4516" w:rsidRPr="00726177">
        <w:rPr>
          <w:rFonts w:ascii="Arial" w:hAnsi="Arial" w:cs="Arial"/>
          <w:color w:val="000000"/>
        </w:rPr>
        <w:t xml:space="preserve"> first</w:t>
      </w:r>
      <w:r w:rsidR="00FC6470" w:rsidRPr="00726177">
        <w:rPr>
          <w:rFonts w:ascii="Arial" w:hAnsi="Arial" w:cs="Arial"/>
          <w:color w:val="000000"/>
        </w:rPr>
        <w:t xml:space="preserve"> listed on the platform</w:t>
      </w:r>
      <w:r w:rsidR="004A4516" w:rsidRPr="00726177">
        <w:rPr>
          <w:rFonts w:ascii="Arial" w:hAnsi="Arial" w:cs="Arial"/>
          <w:color w:val="000000"/>
        </w:rPr>
        <w:t xml:space="preserve"> in the 12 months ending on the last day of the reporting period and</w:t>
      </w:r>
      <w:r w:rsidR="00FC6470" w:rsidRPr="00726177">
        <w:rPr>
          <w:rFonts w:ascii="Arial" w:hAnsi="Arial" w:cs="Arial"/>
          <w:color w:val="000000"/>
        </w:rPr>
        <w:t xml:space="preserve"> it </w:t>
      </w:r>
      <w:r w:rsidR="00E729FA" w:rsidRPr="00726177">
        <w:rPr>
          <w:rFonts w:ascii="Arial" w:hAnsi="Arial" w:cs="Arial"/>
          <w:color w:val="000000"/>
        </w:rPr>
        <w:t>was not listed on the platform for th</w:t>
      </w:r>
      <w:r w:rsidR="004A4516" w:rsidRPr="00726177">
        <w:rPr>
          <w:rFonts w:ascii="Arial" w:hAnsi="Arial" w:cs="Arial"/>
          <w:color w:val="000000"/>
        </w:rPr>
        <w:t>at</w:t>
      </w:r>
      <w:r w:rsidR="00E729FA" w:rsidRPr="00726177">
        <w:rPr>
          <w:rFonts w:ascii="Arial" w:hAnsi="Arial" w:cs="Arial"/>
          <w:color w:val="000000"/>
        </w:rPr>
        <w:t xml:space="preserve"> entire </w:t>
      </w:r>
      <w:proofErr w:type="gramStart"/>
      <w:r w:rsidR="004A4516" w:rsidRPr="00726177">
        <w:rPr>
          <w:rFonts w:ascii="Arial" w:hAnsi="Arial" w:cs="Arial"/>
          <w:color w:val="000000"/>
        </w:rPr>
        <w:t>12 month</w:t>
      </w:r>
      <w:proofErr w:type="gramEnd"/>
      <w:r w:rsidR="004A4516" w:rsidRPr="00726177">
        <w:rPr>
          <w:rFonts w:ascii="Arial" w:hAnsi="Arial" w:cs="Arial"/>
          <w:color w:val="000000"/>
        </w:rPr>
        <w:t xml:space="preserve"> </w:t>
      </w:r>
      <w:r w:rsidRPr="00726177">
        <w:rPr>
          <w:rFonts w:ascii="Arial" w:hAnsi="Arial" w:cs="Arial"/>
          <w:color w:val="000000"/>
        </w:rPr>
        <w:t xml:space="preserve">period, the number of transactions required to meet the definition of substantial property is proportionally adjusted to reflect the shortened period that the </w:t>
      </w:r>
      <w:r w:rsidR="004A4516" w:rsidRPr="00726177">
        <w:rPr>
          <w:rFonts w:ascii="Arial" w:hAnsi="Arial" w:cs="Arial"/>
          <w:color w:val="000000"/>
        </w:rPr>
        <w:t>property was listed in that 12 month period</w:t>
      </w:r>
      <w:r w:rsidRPr="00726177">
        <w:rPr>
          <w:rFonts w:ascii="Arial" w:hAnsi="Arial" w:cs="Arial"/>
          <w:color w:val="000000"/>
        </w:rPr>
        <w:t>.</w:t>
      </w:r>
    </w:p>
    <w:p w14:paraId="34BC96B3" w14:textId="7BE1919D" w:rsidR="0052790B" w:rsidRPr="00726177" w:rsidRDefault="0052790B"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To calculate the number of transactions that were made through an EDP in relation to a property, each distinct address is considered a separate property. This means that all transactions in relation to multiple rooms at a single address (such as in a hotel</w:t>
      </w:r>
      <w:r w:rsidR="00B34C84" w:rsidRPr="00726177">
        <w:rPr>
          <w:rFonts w:ascii="Arial" w:hAnsi="Arial" w:cs="Arial"/>
        </w:rPr>
        <w:t xml:space="preserve">, or </w:t>
      </w:r>
      <w:r w:rsidR="00CC235E" w:rsidRPr="00726177">
        <w:rPr>
          <w:rFonts w:ascii="Arial" w:hAnsi="Arial" w:cs="Arial"/>
        </w:rPr>
        <w:t>shared</w:t>
      </w:r>
      <w:r w:rsidR="00B34C84" w:rsidRPr="00726177">
        <w:rPr>
          <w:rFonts w:ascii="Arial" w:hAnsi="Arial" w:cs="Arial"/>
        </w:rPr>
        <w:t xml:space="preserve"> </w:t>
      </w:r>
      <w:r w:rsidR="00E964FB" w:rsidRPr="00726177">
        <w:rPr>
          <w:rFonts w:ascii="Arial" w:hAnsi="Arial" w:cs="Arial"/>
        </w:rPr>
        <w:t>workspace</w:t>
      </w:r>
      <w:r w:rsidRPr="00726177">
        <w:rPr>
          <w:rFonts w:ascii="Arial" w:hAnsi="Arial" w:cs="Arial"/>
        </w:rPr>
        <w:t>) would be counted towards a single property, whereas transactions in relation to separate addresses within a building (such as apartments in a building or complex) would be counted as being in relation to separate properties.</w:t>
      </w:r>
    </w:p>
    <w:p w14:paraId="265AE365" w14:textId="3FA91705" w:rsidR="00C10203" w:rsidRPr="00726177" w:rsidRDefault="0052790B"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Whether a property is a substantial property is determined on a</w:t>
      </w:r>
      <w:r w:rsidR="00B34C84" w:rsidRPr="00726177">
        <w:rPr>
          <w:rFonts w:ascii="Arial" w:hAnsi="Arial" w:cs="Arial"/>
        </w:rPr>
        <w:t xml:space="preserve"> property</w:t>
      </w:r>
      <w:r w:rsidR="00745520" w:rsidRPr="00726177">
        <w:rPr>
          <w:rFonts w:ascii="Arial" w:hAnsi="Arial" w:cs="Arial"/>
        </w:rPr>
        <w:t>-</w:t>
      </w:r>
      <w:r w:rsidR="00B34C84" w:rsidRPr="00726177">
        <w:rPr>
          <w:rFonts w:ascii="Arial" w:hAnsi="Arial" w:cs="Arial"/>
        </w:rPr>
        <w:t>by</w:t>
      </w:r>
      <w:r w:rsidR="00745520" w:rsidRPr="00726177">
        <w:rPr>
          <w:rFonts w:ascii="Arial" w:hAnsi="Arial" w:cs="Arial"/>
        </w:rPr>
        <w:t>-</w:t>
      </w:r>
      <w:r w:rsidR="00B34C84" w:rsidRPr="00726177">
        <w:rPr>
          <w:rFonts w:ascii="Arial" w:hAnsi="Arial" w:cs="Arial"/>
        </w:rPr>
        <w:t>property and</w:t>
      </w:r>
      <w:r w:rsidRPr="00726177">
        <w:rPr>
          <w:rFonts w:ascii="Arial" w:hAnsi="Arial" w:cs="Arial"/>
        </w:rPr>
        <w:t xml:space="preserve"> platform-by-platform basis, based on the number of transactions for the property made through the platform. Transactions made through an EDP cannot be aggregated with transactions made through another, separate EDP, even where all those transactions are in relation to the same property. </w:t>
      </w:r>
      <w:r w:rsidR="00B34C84" w:rsidRPr="00726177">
        <w:rPr>
          <w:rFonts w:ascii="Arial" w:hAnsi="Arial" w:cs="Arial"/>
        </w:rPr>
        <w:t xml:space="preserve">In calculating </w:t>
      </w:r>
      <w:r w:rsidR="00C10203" w:rsidRPr="00726177">
        <w:rPr>
          <w:rFonts w:ascii="Arial" w:hAnsi="Arial" w:cs="Arial"/>
        </w:rPr>
        <w:t>the number of transactions</w:t>
      </w:r>
      <w:r w:rsidR="00B34C84" w:rsidRPr="00726177">
        <w:rPr>
          <w:rFonts w:ascii="Arial" w:hAnsi="Arial" w:cs="Arial"/>
        </w:rPr>
        <w:t xml:space="preserve">, an EDP does not aggregate transactions involving the same supplier, but different properties. </w:t>
      </w:r>
      <w:r w:rsidRPr="00726177">
        <w:rPr>
          <w:rFonts w:ascii="Arial" w:hAnsi="Arial" w:cs="Arial"/>
        </w:rPr>
        <w:t>This makes it simpler for the operator of an EDP to determine whether the exemption applies</w:t>
      </w:r>
      <w:r w:rsidR="00C10203" w:rsidRPr="00726177">
        <w:rPr>
          <w:rFonts w:ascii="Arial" w:hAnsi="Arial" w:cs="Arial"/>
        </w:rPr>
        <w:t>.</w:t>
      </w:r>
    </w:p>
    <w:p w14:paraId="3082B62B" w14:textId="77777777" w:rsidR="006A04C6" w:rsidRPr="00726177" w:rsidRDefault="006A04C6" w:rsidP="00726177">
      <w:pPr>
        <w:spacing w:after="120"/>
        <w:jc w:val="left"/>
        <w:rPr>
          <w:rFonts w:ascii="Arial" w:hAnsi="Arial" w:cs="Arial"/>
        </w:rPr>
      </w:pPr>
    </w:p>
    <w:p w14:paraId="41EE0F98" w14:textId="6B2C413A" w:rsidR="0052790B" w:rsidRPr="00726177" w:rsidRDefault="001375F5" w:rsidP="00F73DA7">
      <w:pPr>
        <w:pStyle w:val="Heading4"/>
        <w:spacing w:before="0" w:after="120"/>
        <w:rPr>
          <w:rFonts w:ascii="Arial" w:hAnsi="Arial" w:cs="Arial"/>
          <w:color w:val="auto"/>
        </w:rPr>
      </w:pPr>
      <w:r w:rsidRPr="00726177">
        <w:rPr>
          <w:rFonts w:ascii="Arial" w:hAnsi="Arial" w:cs="Arial"/>
          <w:color w:val="auto"/>
        </w:rPr>
        <w:t xml:space="preserve">Supplies </w:t>
      </w:r>
      <w:r w:rsidR="004242F0" w:rsidRPr="00726177">
        <w:rPr>
          <w:rFonts w:ascii="Arial" w:hAnsi="Arial" w:cs="Arial"/>
          <w:color w:val="auto"/>
        </w:rPr>
        <w:t>of certain services outside Australia</w:t>
      </w:r>
    </w:p>
    <w:p w14:paraId="352BF804" w14:textId="3D395A18" w:rsidR="005544A9" w:rsidRPr="00726177" w:rsidRDefault="00AB1480"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Paragraph </w:t>
      </w:r>
      <w:r w:rsidR="0329D19A" w:rsidRPr="00726177">
        <w:rPr>
          <w:rFonts w:ascii="Arial" w:hAnsi="Arial" w:cs="Arial"/>
        </w:rPr>
        <w:t>8</w:t>
      </w:r>
      <w:r w:rsidR="005544A9" w:rsidRPr="00726177">
        <w:rPr>
          <w:rFonts w:ascii="Arial" w:hAnsi="Arial" w:cs="Arial"/>
        </w:rPr>
        <w:t>(</w:t>
      </w:r>
      <w:r w:rsidR="00292F7C" w:rsidRPr="00726177">
        <w:rPr>
          <w:rFonts w:ascii="Arial" w:hAnsi="Arial" w:cs="Arial"/>
        </w:rPr>
        <w:t>b</w:t>
      </w:r>
      <w:r w:rsidR="005544A9" w:rsidRPr="00726177">
        <w:rPr>
          <w:rFonts w:ascii="Arial" w:hAnsi="Arial" w:cs="Arial"/>
        </w:rPr>
        <w:t xml:space="preserve">) of the instrument </w:t>
      </w:r>
      <w:r w:rsidR="006D7AE6" w:rsidRPr="00726177">
        <w:rPr>
          <w:rFonts w:ascii="Arial" w:hAnsi="Arial" w:cs="Arial"/>
        </w:rPr>
        <w:t>exempts the operator of an EDP from having to report transactions where:</w:t>
      </w:r>
    </w:p>
    <w:p w14:paraId="3E18ED0B" w14:textId="4EB43170" w:rsidR="00A20883" w:rsidRPr="00726177" w:rsidRDefault="005544A9" w:rsidP="00447772">
      <w:pPr>
        <w:pStyle w:val="ListParagraph"/>
        <w:numPr>
          <w:ilvl w:val="0"/>
          <w:numId w:val="8"/>
        </w:numPr>
        <w:spacing w:after="120" w:line="240" w:lineRule="auto"/>
        <w:ind w:left="1418" w:hanging="709"/>
        <w:rPr>
          <w:rFonts w:ascii="Arial" w:hAnsi="Arial" w:cs="Arial"/>
        </w:rPr>
      </w:pPr>
      <w:r w:rsidRPr="00726177">
        <w:rPr>
          <w:rFonts w:ascii="Arial" w:hAnsi="Arial" w:cs="Arial"/>
        </w:rPr>
        <w:t xml:space="preserve">the service was not delivered </w:t>
      </w:r>
      <w:r w:rsidR="001622AB" w:rsidRPr="00726177">
        <w:rPr>
          <w:rFonts w:ascii="Arial" w:hAnsi="Arial" w:cs="Arial"/>
        </w:rPr>
        <w:t>within the indirect tax zone</w:t>
      </w:r>
      <w:r w:rsidR="00480F0A" w:rsidRPr="00726177">
        <w:rPr>
          <w:rFonts w:ascii="Arial" w:hAnsi="Arial" w:cs="Arial"/>
        </w:rPr>
        <w:t>;</w:t>
      </w:r>
    </w:p>
    <w:p w14:paraId="74FD8AF9" w14:textId="71D965C8" w:rsidR="0052790B" w:rsidRPr="00726177" w:rsidRDefault="0052790B" w:rsidP="00447772">
      <w:pPr>
        <w:pStyle w:val="ListParagraph"/>
        <w:numPr>
          <w:ilvl w:val="0"/>
          <w:numId w:val="8"/>
        </w:numPr>
        <w:spacing w:after="120" w:line="240" w:lineRule="auto"/>
        <w:ind w:left="1418" w:hanging="709"/>
        <w:rPr>
          <w:rFonts w:ascii="Arial" w:hAnsi="Arial" w:cs="Arial"/>
        </w:rPr>
      </w:pPr>
      <w:r w:rsidRPr="00726177">
        <w:rPr>
          <w:rFonts w:ascii="Arial" w:hAnsi="Arial" w:cs="Arial"/>
        </w:rPr>
        <w:t>the supplier has provided the operator with one or more addresses, and none of those addresses are within the indirect tax zone</w:t>
      </w:r>
      <w:r w:rsidR="00480F0A" w:rsidRPr="00726177">
        <w:rPr>
          <w:rFonts w:ascii="Arial" w:hAnsi="Arial" w:cs="Arial"/>
        </w:rPr>
        <w:t>;</w:t>
      </w:r>
    </w:p>
    <w:p w14:paraId="7512659F" w14:textId="3C22B087" w:rsidR="0052790B" w:rsidRPr="00726177" w:rsidRDefault="0052790B" w:rsidP="00447772">
      <w:pPr>
        <w:pStyle w:val="ListParagraph"/>
        <w:numPr>
          <w:ilvl w:val="0"/>
          <w:numId w:val="8"/>
        </w:numPr>
        <w:spacing w:after="120" w:line="240" w:lineRule="auto"/>
        <w:ind w:left="1418" w:hanging="709"/>
        <w:rPr>
          <w:rFonts w:ascii="Arial" w:hAnsi="Arial" w:cs="Arial"/>
        </w:rPr>
      </w:pPr>
      <w:r w:rsidRPr="00726177">
        <w:rPr>
          <w:rFonts w:ascii="Arial" w:hAnsi="Arial" w:cs="Arial"/>
        </w:rPr>
        <w:t>the consideration provided to the supplier in relation to the transaction was not paid to an account held with a financial institution in the indirect tax zone</w:t>
      </w:r>
      <w:r w:rsidR="00480F0A" w:rsidRPr="00726177">
        <w:rPr>
          <w:rFonts w:ascii="Arial" w:hAnsi="Arial" w:cs="Arial"/>
        </w:rPr>
        <w:t xml:space="preserve">; </w:t>
      </w:r>
      <w:r w:rsidRPr="00726177">
        <w:rPr>
          <w:rFonts w:ascii="Arial" w:hAnsi="Arial" w:cs="Arial"/>
        </w:rPr>
        <w:t>and</w:t>
      </w:r>
    </w:p>
    <w:p w14:paraId="29D4CD78" w14:textId="2E9ACA82" w:rsidR="005544A9" w:rsidRPr="00726177" w:rsidRDefault="0052790B" w:rsidP="00447772">
      <w:pPr>
        <w:pStyle w:val="ListParagraph"/>
        <w:numPr>
          <w:ilvl w:val="0"/>
          <w:numId w:val="8"/>
        </w:numPr>
        <w:spacing w:after="120" w:line="240" w:lineRule="auto"/>
        <w:ind w:left="1418" w:hanging="709"/>
        <w:rPr>
          <w:rFonts w:ascii="Arial" w:hAnsi="Arial" w:cs="Arial"/>
        </w:rPr>
      </w:pPr>
      <w:r w:rsidRPr="00726177">
        <w:rPr>
          <w:rFonts w:ascii="Arial" w:hAnsi="Arial" w:cs="Arial"/>
        </w:rPr>
        <w:lastRenderedPageBreak/>
        <w:t xml:space="preserve">there is no other information available to the operator that indicates that the supplier </w:t>
      </w:r>
      <w:r w:rsidR="0022027D" w:rsidRPr="00726177">
        <w:rPr>
          <w:rFonts w:ascii="Arial" w:hAnsi="Arial" w:cs="Arial"/>
        </w:rPr>
        <w:t>resides in the indirect tax zone</w:t>
      </w:r>
      <w:r w:rsidRPr="00726177">
        <w:rPr>
          <w:rFonts w:ascii="Arial" w:hAnsi="Arial" w:cs="Arial"/>
        </w:rPr>
        <w:t>.</w:t>
      </w:r>
    </w:p>
    <w:p w14:paraId="14F1FD2F" w14:textId="54E6DF86" w:rsidR="005544A9" w:rsidRPr="00726177" w:rsidRDefault="00C04353"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In the GST Act, indirect tax zone means the tax definition of Australia</w:t>
      </w:r>
      <w:r w:rsidR="008E53DA" w:rsidRPr="00726177">
        <w:rPr>
          <w:rFonts w:ascii="Arial" w:hAnsi="Arial" w:cs="Arial"/>
        </w:rPr>
        <w:t xml:space="preserve"> (within the meaning of the </w:t>
      </w:r>
      <w:r w:rsidR="008E53DA" w:rsidRPr="00726177">
        <w:rPr>
          <w:rFonts w:ascii="Arial" w:hAnsi="Arial" w:cs="Arial"/>
          <w:i/>
          <w:iCs/>
        </w:rPr>
        <w:t>Income Tax Assessment Act 1997</w:t>
      </w:r>
      <w:r w:rsidR="008E53DA" w:rsidRPr="00726177">
        <w:rPr>
          <w:rFonts w:ascii="Arial" w:hAnsi="Arial" w:cs="Arial"/>
        </w:rPr>
        <w:t>)</w:t>
      </w:r>
      <w:r w:rsidRPr="00726177">
        <w:rPr>
          <w:rFonts w:ascii="Arial" w:hAnsi="Arial" w:cs="Arial"/>
        </w:rPr>
        <w:t xml:space="preserve"> but with the external </w:t>
      </w:r>
      <w:r w:rsidR="00FB2481" w:rsidRPr="00726177">
        <w:rPr>
          <w:rFonts w:ascii="Arial" w:hAnsi="Arial" w:cs="Arial"/>
        </w:rPr>
        <w:t>T</w:t>
      </w:r>
      <w:r w:rsidRPr="00726177">
        <w:rPr>
          <w:rFonts w:ascii="Arial" w:hAnsi="Arial" w:cs="Arial"/>
        </w:rPr>
        <w:t xml:space="preserve">erritories excluded. </w:t>
      </w:r>
      <w:r w:rsidR="003E6F02" w:rsidRPr="00726177">
        <w:rPr>
          <w:rFonts w:ascii="Arial" w:hAnsi="Arial" w:cs="Arial"/>
        </w:rPr>
        <w:t xml:space="preserve">For the purposes of this instrument, indirect tax zone has the same meaning as in the GST Act, but </w:t>
      </w:r>
      <w:r w:rsidR="008E53DA" w:rsidRPr="00726177">
        <w:rPr>
          <w:rFonts w:ascii="Arial" w:hAnsi="Arial" w:cs="Arial"/>
        </w:rPr>
        <w:t xml:space="preserve">also includes </w:t>
      </w:r>
      <w:r w:rsidR="003E6F02" w:rsidRPr="00726177">
        <w:rPr>
          <w:rFonts w:ascii="Arial" w:hAnsi="Arial" w:cs="Arial"/>
        </w:rPr>
        <w:t xml:space="preserve">the external </w:t>
      </w:r>
      <w:r w:rsidR="00FB2481" w:rsidRPr="00726177">
        <w:rPr>
          <w:rFonts w:ascii="Arial" w:hAnsi="Arial" w:cs="Arial"/>
        </w:rPr>
        <w:t>T</w:t>
      </w:r>
      <w:r w:rsidR="003E6F02" w:rsidRPr="00726177">
        <w:rPr>
          <w:rFonts w:ascii="Arial" w:hAnsi="Arial" w:cs="Arial"/>
        </w:rPr>
        <w:t>erritories.</w:t>
      </w:r>
    </w:p>
    <w:p w14:paraId="319DFA67" w14:textId="1F7D2ABF" w:rsidR="00601CD5" w:rsidRPr="00726177" w:rsidRDefault="005544A9"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These transactions are exempt as they are unlikely to have any Australian income tax or GST consequences</w:t>
      </w:r>
      <w:r w:rsidR="00811C91" w:rsidRPr="00726177">
        <w:rPr>
          <w:rFonts w:ascii="Arial" w:hAnsi="Arial" w:cs="Arial"/>
        </w:rPr>
        <w:t xml:space="preserve"> which means that the </w:t>
      </w:r>
      <w:r w:rsidR="00811C91" w:rsidRPr="00C2733A">
        <w:rPr>
          <w:rFonts w:ascii="Arial" w:hAnsi="Arial" w:cs="Arial"/>
        </w:rPr>
        <w:t>Commissioner</w:t>
      </w:r>
      <w:r w:rsidR="00811C91" w:rsidRPr="00726177">
        <w:rPr>
          <w:rFonts w:ascii="Arial" w:hAnsi="Arial" w:cs="Arial"/>
        </w:rPr>
        <w:t xml:space="preserve"> does not require the information</w:t>
      </w:r>
      <w:r w:rsidRPr="00726177">
        <w:rPr>
          <w:rFonts w:ascii="Arial" w:hAnsi="Arial" w:cs="Arial"/>
        </w:rPr>
        <w:t>.</w:t>
      </w:r>
    </w:p>
    <w:p w14:paraId="2C206255" w14:textId="5C4CE232" w:rsidR="00E97D38" w:rsidRPr="00726177" w:rsidRDefault="00091449"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Further</w:t>
      </w:r>
      <w:r w:rsidR="00FE5BF2" w:rsidRPr="00726177">
        <w:rPr>
          <w:rFonts w:ascii="Arial" w:hAnsi="Arial" w:cs="Arial"/>
        </w:rPr>
        <w:t xml:space="preserve">, </w:t>
      </w:r>
      <w:r w:rsidR="00E97D38" w:rsidRPr="00726177">
        <w:rPr>
          <w:rFonts w:ascii="Arial" w:hAnsi="Arial" w:cs="Arial"/>
        </w:rPr>
        <w:t>a transaction for the supply of real property</w:t>
      </w:r>
      <w:r w:rsidR="00B75A07" w:rsidRPr="00726177">
        <w:rPr>
          <w:rFonts w:ascii="Arial" w:hAnsi="Arial" w:cs="Arial"/>
        </w:rPr>
        <w:t xml:space="preserve"> – </w:t>
      </w:r>
      <w:r w:rsidR="001D1941" w:rsidRPr="00726177">
        <w:rPr>
          <w:rFonts w:ascii="Arial" w:hAnsi="Arial" w:cs="Arial"/>
        </w:rPr>
        <w:t>for example</w:t>
      </w:r>
      <w:r w:rsidR="00B75A07" w:rsidRPr="00726177">
        <w:rPr>
          <w:rFonts w:ascii="Arial" w:hAnsi="Arial" w:cs="Arial"/>
        </w:rPr>
        <w:t>,</w:t>
      </w:r>
      <w:r w:rsidR="00AA43D3" w:rsidRPr="00726177">
        <w:rPr>
          <w:rFonts w:ascii="Arial" w:hAnsi="Arial" w:cs="Arial"/>
        </w:rPr>
        <w:t xml:space="preserve"> by way o</w:t>
      </w:r>
      <w:r w:rsidR="00710099">
        <w:rPr>
          <w:rFonts w:ascii="Arial" w:hAnsi="Arial" w:cs="Arial"/>
        </w:rPr>
        <w:t>f</w:t>
      </w:r>
      <w:r w:rsidR="00AA43D3" w:rsidRPr="00726177">
        <w:rPr>
          <w:rFonts w:ascii="Arial" w:hAnsi="Arial" w:cs="Arial"/>
        </w:rPr>
        <w:t xml:space="preserve"> lease or </w:t>
      </w:r>
      <w:r w:rsidR="00AA43D3" w:rsidRPr="00C2733A">
        <w:rPr>
          <w:rFonts w:ascii="Arial" w:hAnsi="Arial" w:cs="Arial"/>
        </w:rPr>
        <w:t>license</w:t>
      </w:r>
      <w:r w:rsidR="00E97D38" w:rsidRPr="00726177">
        <w:rPr>
          <w:rFonts w:ascii="Arial" w:hAnsi="Arial" w:cs="Arial"/>
        </w:rPr>
        <w:t>, including a supply of short-term accommodation</w:t>
      </w:r>
      <w:r w:rsidR="00B75A07" w:rsidRPr="00726177">
        <w:rPr>
          <w:rFonts w:ascii="Arial" w:hAnsi="Arial" w:cs="Arial"/>
        </w:rPr>
        <w:t xml:space="preserve"> – </w:t>
      </w:r>
      <w:r w:rsidR="00E97D38" w:rsidRPr="00726177">
        <w:rPr>
          <w:rFonts w:ascii="Arial" w:hAnsi="Arial" w:cs="Arial"/>
        </w:rPr>
        <w:t xml:space="preserve">is only reportable </w:t>
      </w:r>
      <w:r w:rsidR="001D1941" w:rsidRPr="00726177">
        <w:rPr>
          <w:rFonts w:ascii="Arial" w:hAnsi="Arial" w:cs="Arial"/>
        </w:rPr>
        <w:t xml:space="preserve">under table item 15 in section 396-55 in Schedule 1 to the Act </w:t>
      </w:r>
      <w:r w:rsidR="00E97D38" w:rsidRPr="00726177">
        <w:rPr>
          <w:rFonts w:ascii="Arial" w:hAnsi="Arial" w:cs="Arial"/>
        </w:rPr>
        <w:t xml:space="preserve">if the </w:t>
      </w:r>
      <w:r w:rsidR="00FE5BF2" w:rsidRPr="00726177">
        <w:rPr>
          <w:rFonts w:ascii="Arial" w:hAnsi="Arial" w:cs="Arial"/>
        </w:rPr>
        <w:t>property is in the indirect tax zone</w:t>
      </w:r>
      <w:r w:rsidR="00AA43D3" w:rsidRPr="00726177">
        <w:rPr>
          <w:rFonts w:ascii="Arial" w:hAnsi="Arial" w:cs="Arial"/>
        </w:rPr>
        <w:t xml:space="preserve">. </w:t>
      </w:r>
      <w:r w:rsidR="001D1941" w:rsidRPr="00726177">
        <w:rPr>
          <w:rFonts w:ascii="Arial" w:hAnsi="Arial" w:cs="Arial"/>
        </w:rPr>
        <w:t>A s</w:t>
      </w:r>
      <w:r w:rsidR="00AA43D3" w:rsidRPr="00726177">
        <w:rPr>
          <w:rFonts w:ascii="Arial" w:hAnsi="Arial" w:cs="Arial"/>
        </w:rPr>
        <w:t>upply of</w:t>
      </w:r>
      <w:r w:rsidR="001D1941" w:rsidRPr="00726177">
        <w:rPr>
          <w:rFonts w:ascii="Arial" w:hAnsi="Arial" w:cs="Arial"/>
        </w:rPr>
        <w:t xml:space="preserve"> </w:t>
      </w:r>
      <w:r w:rsidR="00AA43D3" w:rsidRPr="00726177">
        <w:rPr>
          <w:rFonts w:ascii="Arial" w:hAnsi="Arial" w:cs="Arial"/>
        </w:rPr>
        <w:t>real property</w:t>
      </w:r>
      <w:r w:rsidR="001D1941" w:rsidRPr="00726177">
        <w:rPr>
          <w:rFonts w:ascii="Arial" w:hAnsi="Arial" w:cs="Arial"/>
        </w:rPr>
        <w:t xml:space="preserve"> located</w:t>
      </w:r>
      <w:r w:rsidR="00AA43D3" w:rsidRPr="00726177">
        <w:rPr>
          <w:rFonts w:ascii="Arial" w:hAnsi="Arial" w:cs="Arial"/>
        </w:rPr>
        <w:t xml:space="preserve"> outside </w:t>
      </w:r>
      <w:r w:rsidR="001C25D9" w:rsidRPr="00726177">
        <w:rPr>
          <w:rFonts w:ascii="Arial" w:hAnsi="Arial" w:cs="Arial"/>
        </w:rPr>
        <w:t>the indirect tax zone</w:t>
      </w:r>
      <w:r w:rsidR="00AA43D3" w:rsidRPr="00726177">
        <w:rPr>
          <w:rFonts w:ascii="Arial" w:hAnsi="Arial" w:cs="Arial"/>
        </w:rPr>
        <w:t xml:space="preserve"> is not reportable</w:t>
      </w:r>
      <w:r w:rsidR="001D1941" w:rsidRPr="00726177">
        <w:rPr>
          <w:rFonts w:ascii="Arial" w:hAnsi="Arial" w:cs="Arial"/>
        </w:rPr>
        <w:t xml:space="preserve"> under table item 15 in section 396-55 in Schedule 1 to the Act</w:t>
      </w:r>
      <w:r w:rsidR="00AA43D3" w:rsidRPr="00726177">
        <w:rPr>
          <w:rFonts w:ascii="Arial" w:hAnsi="Arial" w:cs="Arial"/>
        </w:rPr>
        <w:t>, regardless of the tax residence of the owner of that property</w:t>
      </w:r>
      <w:r w:rsidR="00B75A07" w:rsidRPr="00726177">
        <w:rPr>
          <w:rFonts w:ascii="Arial" w:hAnsi="Arial" w:cs="Arial"/>
        </w:rPr>
        <w:t>,</w:t>
      </w:r>
      <w:r w:rsidR="001D1941" w:rsidRPr="00726177">
        <w:rPr>
          <w:rFonts w:ascii="Arial" w:hAnsi="Arial" w:cs="Arial"/>
        </w:rPr>
        <w:t xml:space="preserve"> and this exemption does not need to be applied in relation to these suppl</w:t>
      </w:r>
      <w:r w:rsidR="001C25D9" w:rsidRPr="00726177">
        <w:rPr>
          <w:rFonts w:ascii="Arial" w:hAnsi="Arial" w:cs="Arial"/>
        </w:rPr>
        <w:t>ies</w:t>
      </w:r>
      <w:r w:rsidR="001D1941" w:rsidRPr="00726177">
        <w:rPr>
          <w:rFonts w:ascii="Arial" w:hAnsi="Arial" w:cs="Arial"/>
        </w:rPr>
        <w:t>.</w:t>
      </w:r>
    </w:p>
    <w:p w14:paraId="31B74D70" w14:textId="77777777" w:rsidR="006D7AE6" w:rsidRPr="00726177" w:rsidRDefault="006D7AE6" w:rsidP="00F73DA7">
      <w:pPr>
        <w:spacing w:after="120"/>
        <w:jc w:val="left"/>
        <w:rPr>
          <w:rFonts w:ascii="Arial" w:hAnsi="Arial" w:cs="Arial"/>
        </w:rPr>
      </w:pPr>
    </w:p>
    <w:p w14:paraId="7EAA8F9B" w14:textId="714D6A70" w:rsidR="00845200" w:rsidRPr="00726177" w:rsidRDefault="00845200" w:rsidP="00726177">
      <w:pPr>
        <w:spacing w:after="120"/>
        <w:ind w:left="709"/>
        <w:jc w:val="left"/>
        <w:rPr>
          <w:rFonts w:ascii="Arial" w:hAnsi="Arial" w:cs="Arial"/>
          <w:b/>
          <w:bCs/>
        </w:rPr>
      </w:pPr>
      <w:r w:rsidRPr="00726177">
        <w:rPr>
          <w:rFonts w:ascii="Arial" w:hAnsi="Arial" w:cs="Arial"/>
          <w:b/>
          <w:bCs/>
        </w:rPr>
        <w:t>Example</w:t>
      </w:r>
      <w:r w:rsidR="007F1341" w:rsidRPr="00726177">
        <w:rPr>
          <w:rFonts w:ascii="Arial" w:hAnsi="Arial" w:cs="Arial"/>
          <w:b/>
          <w:bCs/>
        </w:rPr>
        <w:t xml:space="preserve"> </w:t>
      </w:r>
      <w:r w:rsidR="004A3FDD" w:rsidRPr="00726177">
        <w:rPr>
          <w:rFonts w:ascii="Arial" w:hAnsi="Arial" w:cs="Arial"/>
          <w:b/>
          <w:bCs/>
        </w:rPr>
        <w:t>4</w:t>
      </w:r>
      <w:r w:rsidRPr="00726177">
        <w:rPr>
          <w:rFonts w:ascii="Arial" w:hAnsi="Arial" w:cs="Arial"/>
          <w:b/>
          <w:bCs/>
        </w:rPr>
        <w:t>: transaction exempt due to supply being made outside the indirect tax zone</w:t>
      </w:r>
    </w:p>
    <w:p w14:paraId="41F15A1E" w14:textId="3AFFB895" w:rsidR="00601CD5" w:rsidRPr="00726177" w:rsidRDefault="00E941E4" w:rsidP="00F73DA7">
      <w:pPr>
        <w:spacing w:after="120"/>
        <w:ind w:left="709"/>
        <w:jc w:val="left"/>
        <w:rPr>
          <w:rFonts w:ascii="Arial" w:hAnsi="Arial" w:cs="Arial"/>
        </w:rPr>
      </w:pPr>
      <w:r w:rsidRPr="00726177">
        <w:rPr>
          <w:rFonts w:ascii="Arial" w:hAnsi="Arial" w:cs="Arial"/>
        </w:rPr>
        <w:t xml:space="preserve">Dorian </w:t>
      </w:r>
      <w:r w:rsidR="00845200" w:rsidRPr="00726177">
        <w:rPr>
          <w:rFonts w:ascii="Arial" w:hAnsi="Arial" w:cs="Arial"/>
        </w:rPr>
        <w:t xml:space="preserve">is an </w:t>
      </w:r>
      <w:r w:rsidR="00845200" w:rsidRPr="00C2733A">
        <w:rPr>
          <w:rFonts w:ascii="Arial" w:hAnsi="Arial" w:cs="Arial"/>
        </w:rPr>
        <w:t>Australian resident</w:t>
      </w:r>
      <w:r w:rsidR="00845200" w:rsidRPr="00726177">
        <w:rPr>
          <w:rFonts w:ascii="Arial" w:hAnsi="Arial" w:cs="Arial"/>
        </w:rPr>
        <w:t xml:space="preserve"> planning a trip to France. Before he departs, he </w:t>
      </w:r>
      <w:r w:rsidR="001375F5" w:rsidRPr="00726177">
        <w:rPr>
          <w:rFonts w:ascii="Arial" w:hAnsi="Arial" w:cs="Arial"/>
        </w:rPr>
        <w:t>uses the Easy Tour Bookings platform to</w:t>
      </w:r>
      <w:r w:rsidR="00845200" w:rsidRPr="00726177">
        <w:rPr>
          <w:rFonts w:ascii="Arial" w:hAnsi="Arial" w:cs="Arial"/>
        </w:rPr>
        <w:t xml:space="preserve"> </w:t>
      </w:r>
      <w:r w:rsidR="001375F5" w:rsidRPr="00726177">
        <w:rPr>
          <w:rFonts w:ascii="Arial" w:hAnsi="Arial" w:cs="Arial"/>
        </w:rPr>
        <w:t>book</w:t>
      </w:r>
      <w:r w:rsidR="00845200" w:rsidRPr="00726177">
        <w:rPr>
          <w:rFonts w:ascii="Arial" w:hAnsi="Arial" w:cs="Arial"/>
        </w:rPr>
        <w:t xml:space="preserve"> a </w:t>
      </w:r>
      <w:r w:rsidR="00BC04E3" w:rsidRPr="00C2733A">
        <w:rPr>
          <w:rFonts w:ascii="Arial" w:hAnsi="Arial" w:cs="Arial"/>
        </w:rPr>
        <w:t>3</w:t>
      </w:r>
      <w:r w:rsidR="00C97650" w:rsidRPr="00726177">
        <w:rPr>
          <w:rFonts w:ascii="Arial" w:hAnsi="Arial" w:cs="Arial"/>
        </w:rPr>
        <w:t>-day</w:t>
      </w:r>
      <w:r w:rsidR="00845200" w:rsidRPr="00726177">
        <w:rPr>
          <w:rFonts w:ascii="Arial" w:hAnsi="Arial" w:cs="Arial"/>
        </w:rPr>
        <w:t xml:space="preserve"> tour of the vineyards in the Champagne region through </w:t>
      </w:r>
      <w:r w:rsidR="001375F5" w:rsidRPr="00726177">
        <w:rPr>
          <w:rFonts w:ascii="Arial" w:hAnsi="Arial" w:cs="Arial"/>
        </w:rPr>
        <w:t>an online platform. The supplier:</w:t>
      </w:r>
    </w:p>
    <w:p w14:paraId="74037C30" w14:textId="149C0ED2" w:rsidR="001375F5" w:rsidRPr="00726177" w:rsidRDefault="001375F5" w:rsidP="00447772">
      <w:pPr>
        <w:pStyle w:val="ListParagraph"/>
        <w:numPr>
          <w:ilvl w:val="0"/>
          <w:numId w:val="12"/>
        </w:numPr>
        <w:spacing w:after="120" w:line="240" w:lineRule="auto"/>
        <w:ind w:left="1418" w:hanging="709"/>
        <w:rPr>
          <w:rFonts w:ascii="Arial" w:hAnsi="Arial" w:cs="Arial"/>
          <w:u w:val="single"/>
        </w:rPr>
      </w:pPr>
      <w:r w:rsidRPr="00726177">
        <w:rPr>
          <w:rFonts w:ascii="Arial" w:hAnsi="Arial" w:cs="Arial"/>
        </w:rPr>
        <w:t xml:space="preserve">is </w:t>
      </w:r>
      <w:r w:rsidR="004242F0" w:rsidRPr="00726177">
        <w:rPr>
          <w:rFonts w:ascii="Arial" w:hAnsi="Arial" w:cs="Arial"/>
        </w:rPr>
        <w:t xml:space="preserve">a </w:t>
      </w:r>
      <w:r w:rsidRPr="00726177">
        <w:rPr>
          <w:rFonts w:ascii="Arial" w:hAnsi="Arial" w:cs="Arial"/>
        </w:rPr>
        <w:t>company that is incorporated in, and resident of</w:t>
      </w:r>
      <w:r w:rsidR="000B2BD0" w:rsidRPr="00726177">
        <w:rPr>
          <w:rFonts w:ascii="Arial" w:hAnsi="Arial" w:cs="Arial"/>
        </w:rPr>
        <w:t>,</w:t>
      </w:r>
      <w:r w:rsidRPr="00726177">
        <w:rPr>
          <w:rFonts w:ascii="Arial" w:hAnsi="Arial" w:cs="Arial"/>
        </w:rPr>
        <w:t xml:space="preserve"> France</w:t>
      </w:r>
      <w:r w:rsidR="00480F0A" w:rsidRPr="00726177">
        <w:rPr>
          <w:rFonts w:ascii="Arial" w:hAnsi="Arial" w:cs="Arial"/>
        </w:rPr>
        <w:t>;</w:t>
      </w:r>
    </w:p>
    <w:p w14:paraId="4ABE5FDA" w14:textId="14E2A96B" w:rsidR="0052790B" w:rsidRPr="00726177" w:rsidRDefault="001375F5" w:rsidP="00447772">
      <w:pPr>
        <w:pStyle w:val="ListParagraph"/>
        <w:numPr>
          <w:ilvl w:val="0"/>
          <w:numId w:val="12"/>
        </w:numPr>
        <w:spacing w:after="120" w:line="240" w:lineRule="auto"/>
        <w:ind w:left="1418" w:hanging="709"/>
        <w:rPr>
          <w:rFonts w:ascii="Arial" w:hAnsi="Arial" w:cs="Arial"/>
          <w:u w:val="single"/>
        </w:rPr>
      </w:pPr>
      <w:r w:rsidRPr="00726177">
        <w:rPr>
          <w:rFonts w:ascii="Arial" w:hAnsi="Arial" w:cs="Arial"/>
        </w:rPr>
        <w:t>ha</w:t>
      </w:r>
      <w:r w:rsidR="004242F0" w:rsidRPr="00726177">
        <w:rPr>
          <w:rFonts w:ascii="Arial" w:hAnsi="Arial" w:cs="Arial"/>
        </w:rPr>
        <w:t>s</w:t>
      </w:r>
      <w:r w:rsidRPr="00726177">
        <w:rPr>
          <w:rFonts w:ascii="Arial" w:hAnsi="Arial" w:cs="Arial"/>
        </w:rPr>
        <w:t xml:space="preserve"> provided the Easy Tour Bookings platform with only one address which is in France</w:t>
      </w:r>
      <w:r w:rsidR="00480F0A" w:rsidRPr="00726177">
        <w:rPr>
          <w:rFonts w:ascii="Arial" w:hAnsi="Arial" w:cs="Arial"/>
        </w:rPr>
        <w:t xml:space="preserve">; </w:t>
      </w:r>
      <w:r w:rsidRPr="00726177">
        <w:rPr>
          <w:rFonts w:ascii="Arial" w:hAnsi="Arial" w:cs="Arial"/>
        </w:rPr>
        <w:t>and</w:t>
      </w:r>
    </w:p>
    <w:p w14:paraId="754C8642" w14:textId="7BD7643E" w:rsidR="001375F5" w:rsidRPr="00726177" w:rsidRDefault="001375F5" w:rsidP="00447772">
      <w:pPr>
        <w:pStyle w:val="ListParagraph"/>
        <w:numPr>
          <w:ilvl w:val="0"/>
          <w:numId w:val="12"/>
        </w:numPr>
        <w:spacing w:after="120" w:line="240" w:lineRule="auto"/>
        <w:ind w:left="1418" w:hanging="709"/>
        <w:rPr>
          <w:rFonts w:ascii="Arial" w:hAnsi="Arial" w:cs="Arial"/>
          <w:u w:val="single"/>
        </w:rPr>
      </w:pPr>
      <w:r w:rsidRPr="00726177">
        <w:rPr>
          <w:rFonts w:ascii="Arial" w:hAnsi="Arial" w:cs="Arial"/>
        </w:rPr>
        <w:t>receives payment of the consideration for the booking in a bank account they hold with a financial institution</w:t>
      </w:r>
      <w:r w:rsidR="000B2BD0" w:rsidRPr="00726177">
        <w:rPr>
          <w:rFonts w:ascii="Arial" w:hAnsi="Arial" w:cs="Arial"/>
        </w:rPr>
        <w:t xml:space="preserve"> in France</w:t>
      </w:r>
      <w:r w:rsidRPr="00726177">
        <w:rPr>
          <w:rFonts w:ascii="Arial" w:hAnsi="Arial" w:cs="Arial"/>
        </w:rPr>
        <w:t>.</w:t>
      </w:r>
    </w:p>
    <w:p w14:paraId="724FA2EC" w14:textId="41F93263" w:rsidR="00FE5BF2" w:rsidRPr="00726177" w:rsidRDefault="001375F5" w:rsidP="00F73DA7">
      <w:pPr>
        <w:spacing w:after="120"/>
        <w:ind w:left="709"/>
        <w:jc w:val="left"/>
        <w:rPr>
          <w:rFonts w:ascii="Arial" w:hAnsi="Arial" w:cs="Arial"/>
        </w:rPr>
      </w:pPr>
      <w:r w:rsidRPr="00726177">
        <w:rPr>
          <w:rFonts w:ascii="Arial" w:hAnsi="Arial" w:cs="Arial"/>
        </w:rPr>
        <w:t>Easy Tour Bookings is not required to report this transaction as the supply was made outside the indirect tax zone</w:t>
      </w:r>
      <w:r w:rsidR="00005ACF" w:rsidRPr="00726177">
        <w:rPr>
          <w:rFonts w:ascii="Arial" w:hAnsi="Arial" w:cs="Arial"/>
        </w:rPr>
        <w:t>,</w:t>
      </w:r>
      <w:r w:rsidRPr="00726177">
        <w:rPr>
          <w:rFonts w:ascii="Arial" w:hAnsi="Arial" w:cs="Arial"/>
        </w:rPr>
        <w:t xml:space="preserve"> and </w:t>
      </w:r>
      <w:r w:rsidR="00261C78" w:rsidRPr="00726177">
        <w:rPr>
          <w:rFonts w:ascii="Arial" w:hAnsi="Arial" w:cs="Arial"/>
        </w:rPr>
        <w:t xml:space="preserve">the other requirements in paragraph </w:t>
      </w:r>
      <w:r w:rsidR="6BBE979F" w:rsidRPr="00726177">
        <w:rPr>
          <w:rFonts w:ascii="Arial" w:hAnsi="Arial" w:cs="Arial"/>
        </w:rPr>
        <w:t>8</w:t>
      </w:r>
      <w:r w:rsidR="00261C78" w:rsidRPr="00726177">
        <w:rPr>
          <w:rFonts w:ascii="Arial" w:hAnsi="Arial" w:cs="Arial"/>
        </w:rPr>
        <w:t>(b) of the instrument are met</w:t>
      </w:r>
      <w:r w:rsidRPr="00726177">
        <w:rPr>
          <w:rFonts w:ascii="Arial" w:hAnsi="Arial" w:cs="Arial"/>
        </w:rPr>
        <w:t>.</w:t>
      </w:r>
    </w:p>
    <w:p w14:paraId="11176FF9" w14:textId="77777777" w:rsidR="00FE5BF2" w:rsidRPr="00726177" w:rsidRDefault="00FE5BF2" w:rsidP="00F73DA7">
      <w:pPr>
        <w:spacing w:after="120"/>
        <w:jc w:val="left"/>
        <w:rPr>
          <w:rFonts w:ascii="Arial" w:hAnsi="Arial" w:cs="Arial"/>
        </w:rPr>
      </w:pPr>
    </w:p>
    <w:p w14:paraId="0F9A648E" w14:textId="27056BA5" w:rsidR="00FE5BF2" w:rsidRPr="00726177" w:rsidRDefault="00FE5BF2" w:rsidP="00726177">
      <w:pPr>
        <w:spacing w:after="120"/>
        <w:ind w:left="709"/>
        <w:jc w:val="left"/>
        <w:rPr>
          <w:rFonts w:ascii="Arial" w:hAnsi="Arial" w:cs="Arial"/>
          <w:b/>
          <w:bCs/>
        </w:rPr>
      </w:pPr>
      <w:r w:rsidRPr="00726177">
        <w:rPr>
          <w:rFonts w:ascii="Arial" w:hAnsi="Arial" w:cs="Arial"/>
          <w:b/>
          <w:bCs/>
        </w:rPr>
        <w:t xml:space="preserve">Example </w:t>
      </w:r>
      <w:r w:rsidR="004A3FDD" w:rsidRPr="00726177">
        <w:rPr>
          <w:rFonts w:ascii="Arial" w:hAnsi="Arial" w:cs="Arial"/>
          <w:b/>
          <w:bCs/>
        </w:rPr>
        <w:t>5</w:t>
      </w:r>
      <w:r w:rsidRPr="00726177">
        <w:rPr>
          <w:rFonts w:ascii="Arial" w:hAnsi="Arial" w:cs="Arial"/>
          <w:b/>
          <w:bCs/>
        </w:rPr>
        <w:t xml:space="preserve">: transaction involving supply of </w:t>
      </w:r>
      <w:r w:rsidR="001C25D9" w:rsidRPr="00726177">
        <w:rPr>
          <w:rFonts w:ascii="Arial" w:hAnsi="Arial" w:cs="Arial"/>
          <w:b/>
          <w:bCs/>
        </w:rPr>
        <w:t>short-term</w:t>
      </w:r>
      <w:r w:rsidR="002A19C0" w:rsidRPr="00726177">
        <w:rPr>
          <w:rFonts w:ascii="Arial" w:hAnsi="Arial" w:cs="Arial"/>
          <w:b/>
          <w:bCs/>
        </w:rPr>
        <w:t xml:space="preserve"> accommodation</w:t>
      </w:r>
      <w:r w:rsidRPr="00726177">
        <w:rPr>
          <w:rFonts w:ascii="Arial" w:hAnsi="Arial" w:cs="Arial"/>
          <w:b/>
          <w:bCs/>
        </w:rPr>
        <w:t xml:space="preserve"> outside of the indirect tax zone</w:t>
      </w:r>
    </w:p>
    <w:p w14:paraId="1E6F523B" w14:textId="77777777" w:rsidR="00601CD5" w:rsidRPr="00726177" w:rsidRDefault="002A19C0" w:rsidP="00F73DA7">
      <w:pPr>
        <w:spacing w:after="120"/>
        <w:ind w:left="709"/>
        <w:jc w:val="left"/>
        <w:rPr>
          <w:rFonts w:ascii="Arial" w:hAnsi="Arial" w:cs="Arial"/>
        </w:rPr>
      </w:pPr>
      <w:r w:rsidRPr="00726177">
        <w:rPr>
          <w:rFonts w:ascii="Arial" w:hAnsi="Arial" w:cs="Arial"/>
        </w:rPr>
        <w:t>Toby uses the Japan Super Holiday Rentals</w:t>
      </w:r>
      <w:r w:rsidR="008C08A7" w:rsidRPr="00726177">
        <w:rPr>
          <w:rFonts w:ascii="Arial" w:hAnsi="Arial" w:cs="Arial"/>
        </w:rPr>
        <w:t xml:space="preserve"> website</w:t>
      </w:r>
      <w:r w:rsidRPr="00726177">
        <w:rPr>
          <w:rFonts w:ascii="Arial" w:hAnsi="Arial" w:cs="Arial"/>
        </w:rPr>
        <w:t xml:space="preserve"> to rent an apartment in Tokyo</w:t>
      </w:r>
      <w:r w:rsidR="00234958" w:rsidRPr="00726177">
        <w:rPr>
          <w:rFonts w:ascii="Arial" w:hAnsi="Arial" w:cs="Arial"/>
        </w:rPr>
        <w:t>, Japan,</w:t>
      </w:r>
      <w:r w:rsidRPr="00726177">
        <w:rPr>
          <w:rFonts w:ascii="Arial" w:hAnsi="Arial" w:cs="Arial"/>
        </w:rPr>
        <w:t xml:space="preserve"> for 7 nights. The apartment is owne</w:t>
      </w:r>
      <w:r w:rsidR="008C08A7" w:rsidRPr="00726177">
        <w:rPr>
          <w:rFonts w:ascii="Arial" w:hAnsi="Arial" w:cs="Arial"/>
        </w:rPr>
        <w:t xml:space="preserve">d and supplied by </w:t>
      </w:r>
      <w:r w:rsidRPr="00726177">
        <w:rPr>
          <w:rFonts w:ascii="Arial" w:hAnsi="Arial" w:cs="Arial"/>
        </w:rPr>
        <w:t xml:space="preserve">Jack, who is an </w:t>
      </w:r>
      <w:r w:rsidRPr="00C2733A">
        <w:rPr>
          <w:rFonts w:ascii="Arial" w:hAnsi="Arial" w:cs="Arial"/>
        </w:rPr>
        <w:t>Australian resident</w:t>
      </w:r>
      <w:r w:rsidR="00A514B5" w:rsidRPr="00726177">
        <w:rPr>
          <w:rFonts w:ascii="Arial" w:hAnsi="Arial" w:cs="Arial"/>
        </w:rPr>
        <w:t>.</w:t>
      </w:r>
    </w:p>
    <w:p w14:paraId="6C7246A2" w14:textId="77777777" w:rsidR="00601CD5" w:rsidRPr="00726177" w:rsidRDefault="00BB64CD" w:rsidP="00F73DA7">
      <w:pPr>
        <w:spacing w:after="120"/>
        <w:ind w:left="709"/>
        <w:jc w:val="left"/>
        <w:rPr>
          <w:rFonts w:ascii="Arial" w:hAnsi="Arial" w:cs="Arial"/>
        </w:rPr>
      </w:pPr>
      <w:r w:rsidRPr="00726177">
        <w:rPr>
          <w:rFonts w:ascii="Arial" w:hAnsi="Arial" w:cs="Arial"/>
        </w:rPr>
        <w:t xml:space="preserve">Toby accepts the </w:t>
      </w:r>
      <w:r w:rsidR="008C08A7" w:rsidRPr="00726177">
        <w:rPr>
          <w:rFonts w:ascii="Arial" w:hAnsi="Arial" w:cs="Arial"/>
        </w:rPr>
        <w:t>agreement and pay</w:t>
      </w:r>
      <w:r w:rsidRPr="00726177">
        <w:rPr>
          <w:rFonts w:ascii="Arial" w:hAnsi="Arial" w:cs="Arial"/>
        </w:rPr>
        <w:t>s</w:t>
      </w:r>
      <w:r w:rsidR="008C08A7" w:rsidRPr="00726177">
        <w:rPr>
          <w:rFonts w:ascii="Arial" w:hAnsi="Arial" w:cs="Arial"/>
        </w:rPr>
        <w:t xml:space="preserve"> for the rental at the time of the booking through the Japan Super Holiday Rentals</w:t>
      </w:r>
      <w:r w:rsidR="008F5F7B" w:rsidRPr="00726177">
        <w:rPr>
          <w:rFonts w:ascii="Arial" w:hAnsi="Arial" w:cs="Arial"/>
        </w:rPr>
        <w:t xml:space="preserve"> website.</w:t>
      </w:r>
    </w:p>
    <w:p w14:paraId="2B840BF0" w14:textId="382E31B9" w:rsidR="00FE5BF2" w:rsidRPr="00726177" w:rsidRDefault="008C08A7" w:rsidP="00F73DA7">
      <w:pPr>
        <w:spacing w:after="120"/>
        <w:ind w:left="709"/>
        <w:jc w:val="left"/>
        <w:rPr>
          <w:rFonts w:ascii="Arial" w:hAnsi="Arial" w:cs="Arial"/>
        </w:rPr>
      </w:pPr>
      <w:r w:rsidRPr="00726177">
        <w:rPr>
          <w:rFonts w:ascii="Arial" w:hAnsi="Arial" w:cs="Arial"/>
        </w:rPr>
        <w:t xml:space="preserve">While the supply is made through </w:t>
      </w:r>
      <w:r w:rsidR="002A19C0" w:rsidRPr="00726177">
        <w:rPr>
          <w:rFonts w:ascii="Arial" w:hAnsi="Arial" w:cs="Arial"/>
        </w:rPr>
        <w:t xml:space="preserve">Japan Super Holiday Rentals </w:t>
      </w:r>
      <w:r w:rsidRPr="00726177">
        <w:rPr>
          <w:rFonts w:ascii="Arial" w:hAnsi="Arial" w:cs="Arial"/>
        </w:rPr>
        <w:t xml:space="preserve">website which is an EDP, its operator </w:t>
      </w:r>
      <w:r w:rsidR="002A19C0" w:rsidRPr="00726177">
        <w:rPr>
          <w:rFonts w:ascii="Arial" w:hAnsi="Arial" w:cs="Arial"/>
        </w:rPr>
        <w:t>is not required to report this transaction</w:t>
      </w:r>
      <w:r w:rsidRPr="00726177">
        <w:rPr>
          <w:rFonts w:ascii="Arial" w:hAnsi="Arial" w:cs="Arial"/>
        </w:rPr>
        <w:t xml:space="preserve"> under table item 15 in section 396-55</w:t>
      </w:r>
      <w:r w:rsidR="00FB790A" w:rsidRPr="00726177">
        <w:rPr>
          <w:rFonts w:ascii="Arial" w:hAnsi="Arial" w:cs="Arial"/>
        </w:rPr>
        <w:t xml:space="preserve"> in Schedule 1 to the Act</w:t>
      </w:r>
      <w:r w:rsidRPr="00726177">
        <w:rPr>
          <w:rFonts w:ascii="Arial" w:hAnsi="Arial" w:cs="Arial"/>
        </w:rPr>
        <w:t xml:space="preserve"> </w:t>
      </w:r>
      <w:r w:rsidR="002A19C0" w:rsidRPr="00726177">
        <w:rPr>
          <w:rFonts w:ascii="Arial" w:hAnsi="Arial" w:cs="Arial"/>
        </w:rPr>
        <w:t>as it relate</w:t>
      </w:r>
      <w:r w:rsidR="00003106" w:rsidRPr="00726177">
        <w:rPr>
          <w:rFonts w:ascii="Arial" w:hAnsi="Arial" w:cs="Arial"/>
        </w:rPr>
        <w:t>s</w:t>
      </w:r>
      <w:r w:rsidR="002A19C0" w:rsidRPr="00726177">
        <w:rPr>
          <w:rFonts w:ascii="Arial" w:hAnsi="Arial" w:cs="Arial"/>
        </w:rPr>
        <w:t xml:space="preserve"> to the supply of real property located outside of the indirect tax zone.</w:t>
      </w:r>
      <w:r w:rsidRPr="00726177">
        <w:rPr>
          <w:rFonts w:ascii="Arial" w:hAnsi="Arial" w:cs="Arial"/>
        </w:rPr>
        <w:t xml:space="preserve"> </w:t>
      </w:r>
      <w:r w:rsidR="00006737" w:rsidRPr="00726177">
        <w:rPr>
          <w:rFonts w:ascii="Arial" w:hAnsi="Arial" w:cs="Arial"/>
        </w:rPr>
        <w:t>Because the transaction is not reportable, t</w:t>
      </w:r>
      <w:r w:rsidRPr="00726177">
        <w:rPr>
          <w:rFonts w:ascii="Arial" w:hAnsi="Arial" w:cs="Arial"/>
        </w:rPr>
        <w:t>he operator of the Japan Super Holiday Rentals website does not need to rely on this exemption</w:t>
      </w:r>
      <w:r w:rsidR="00006737" w:rsidRPr="00726177">
        <w:rPr>
          <w:rFonts w:ascii="Arial" w:hAnsi="Arial" w:cs="Arial"/>
        </w:rPr>
        <w:t>.</w:t>
      </w:r>
    </w:p>
    <w:p w14:paraId="299F8E82" w14:textId="68F5559C" w:rsidR="001375F5" w:rsidRPr="00726177" w:rsidRDefault="001375F5" w:rsidP="00F73DA7">
      <w:pPr>
        <w:spacing w:after="120"/>
        <w:jc w:val="left"/>
        <w:rPr>
          <w:rFonts w:ascii="Arial" w:hAnsi="Arial" w:cs="Arial"/>
        </w:rPr>
      </w:pPr>
    </w:p>
    <w:p w14:paraId="25F01810" w14:textId="21B54C37" w:rsidR="00B34C84" w:rsidRPr="00726177" w:rsidRDefault="00FF3495" w:rsidP="00F73DA7">
      <w:pPr>
        <w:pStyle w:val="Heading4"/>
        <w:spacing w:before="0" w:after="120"/>
        <w:rPr>
          <w:rFonts w:ascii="Arial" w:hAnsi="Arial" w:cs="Arial"/>
          <w:color w:val="auto"/>
        </w:rPr>
      </w:pPr>
      <w:r w:rsidRPr="00726177">
        <w:rPr>
          <w:rFonts w:ascii="Arial" w:hAnsi="Arial" w:cs="Arial"/>
          <w:color w:val="auto"/>
        </w:rPr>
        <w:t xml:space="preserve">Mere </w:t>
      </w:r>
      <w:r w:rsidR="00DD3B9A" w:rsidRPr="00726177">
        <w:rPr>
          <w:rFonts w:ascii="Arial" w:hAnsi="Arial" w:cs="Arial"/>
          <w:color w:val="auto"/>
        </w:rPr>
        <w:t>r</w:t>
      </w:r>
      <w:r w:rsidRPr="00726177">
        <w:rPr>
          <w:rFonts w:ascii="Arial" w:hAnsi="Arial" w:cs="Arial"/>
          <w:color w:val="auto"/>
        </w:rPr>
        <w:t xml:space="preserve">eservations </w:t>
      </w:r>
      <w:r w:rsidR="009473C8" w:rsidRPr="00726177">
        <w:rPr>
          <w:rFonts w:ascii="Arial" w:hAnsi="Arial" w:cs="Arial"/>
          <w:color w:val="auto"/>
        </w:rPr>
        <w:t>or</w:t>
      </w:r>
      <w:r w:rsidRPr="00726177">
        <w:rPr>
          <w:rFonts w:ascii="Arial" w:hAnsi="Arial" w:cs="Arial"/>
          <w:color w:val="auto"/>
        </w:rPr>
        <w:t xml:space="preserve"> </w:t>
      </w:r>
      <w:r w:rsidR="00DD3B9A" w:rsidRPr="00726177">
        <w:rPr>
          <w:rFonts w:ascii="Arial" w:hAnsi="Arial" w:cs="Arial"/>
          <w:color w:val="auto"/>
        </w:rPr>
        <w:t>b</w:t>
      </w:r>
      <w:r w:rsidR="00B34C84" w:rsidRPr="00726177">
        <w:rPr>
          <w:rFonts w:ascii="Arial" w:hAnsi="Arial" w:cs="Arial"/>
          <w:color w:val="auto"/>
        </w:rPr>
        <w:t>ooking</w:t>
      </w:r>
      <w:r w:rsidRPr="00726177">
        <w:rPr>
          <w:rFonts w:ascii="Arial" w:hAnsi="Arial" w:cs="Arial"/>
          <w:color w:val="auto"/>
        </w:rPr>
        <w:t>s</w:t>
      </w:r>
    </w:p>
    <w:p w14:paraId="46A2994A" w14:textId="15FF5FC0" w:rsidR="00B34C84" w:rsidRPr="00726177" w:rsidRDefault="00AB1480"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Paragraph </w:t>
      </w:r>
      <w:r w:rsidR="0FC0FA77" w:rsidRPr="00726177">
        <w:rPr>
          <w:rFonts w:ascii="Arial" w:hAnsi="Arial" w:cs="Arial"/>
        </w:rPr>
        <w:t>8</w:t>
      </w:r>
      <w:r w:rsidR="00B34C84" w:rsidRPr="00726177">
        <w:rPr>
          <w:rFonts w:ascii="Arial" w:hAnsi="Arial" w:cs="Arial"/>
        </w:rPr>
        <w:t>(</w:t>
      </w:r>
      <w:r w:rsidR="00B07ED6" w:rsidRPr="00726177">
        <w:rPr>
          <w:rFonts w:ascii="Arial" w:hAnsi="Arial" w:cs="Arial"/>
        </w:rPr>
        <w:t>c</w:t>
      </w:r>
      <w:r w:rsidR="00B34C84" w:rsidRPr="00726177">
        <w:rPr>
          <w:rFonts w:ascii="Arial" w:hAnsi="Arial" w:cs="Arial"/>
        </w:rPr>
        <w:t xml:space="preserve">) of this instrument </w:t>
      </w:r>
      <w:r w:rsidR="002849DE" w:rsidRPr="00726177">
        <w:rPr>
          <w:rFonts w:ascii="Arial" w:hAnsi="Arial" w:cs="Arial"/>
        </w:rPr>
        <w:t xml:space="preserve">exempts </w:t>
      </w:r>
      <w:r w:rsidR="00B34C84" w:rsidRPr="00726177">
        <w:rPr>
          <w:rFonts w:ascii="Arial" w:hAnsi="Arial" w:cs="Arial"/>
        </w:rPr>
        <w:t xml:space="preserve">transactions where an EDP </w:t>
      </w:r>
      <w:r w:rsidR="00B07ED6" w:rsidRPr="00726177">
        <w:rPr>
          <w:rFonts w:ascii="Arial" w:hAnsi="Arial" w:cs="Arial"/>
        </w:rPr>
        <w:t xml:space="preserve">facilitates </w:t>
      </w:r>
      <w:r w:rsidR="00B34C84" w:rsidRPr="00726177">
        <w:rPr>
          <w:rFonts w:ascii="Arial" w:hAnsi="Arial" w:cs="Arial"/>
        </w:rPr>
        <w:t xml:space="preserve">a </w:t>
      </w:r>
      <w:r w:rsidR="00144912" w:rsidRPr="00726177">
        <w:rPr>
          <w:rFonts w:ascii="Arial" w:hAnsi="Arial" w:cs="Arial"/>
        </w:rPr>
        <w:t xml:space="preserve">mere </w:t>
      </w:r>
      <w:r w:rsidR="00B34C84" w:rsidRPr="00726177">
        <w:rPr>
          <w:rFonts w:ascii="Arial" w:hAnsi="Arial" w:cs="Arial"/>
        </w:rPr>
        <w:t>booking or reservation</w:t>
      </w:r>
      <w:r w:rsidR="00272B4C" w:rsidRPr="00726177">
        <w:rPr>
          <w:rFonts w:ascii="Arial" w:hAnsi="Arial" w:cs="Arial"/>
        </w:rPr>
        <w:t xml:space="preserve"> </w:t>
      </w:r>
      <w:r w:rsidR="00144912" w:rsidRPr="00726177">
        <w:rPr>
          <w:rFonts w:ascii="Arial" w:hAnsi="Arial" w:cs="Arial"/>
        </w:rPr>
        <w:t xml:space="preserve">but </w:t>
      </w:r>
      <w:r w:rsidR="00272B4C" w:rsidRPr="00726177">
        <w:rPr>
          <w:rFonts w:ascii="Arial" w:hAnsi="Arial" w:cs="Arial"/>
        </w:rPr>
        <w:t>does not otherwise facilitate the supply</w:t>
      </w:r>
      <w:r w:rsidR="00B34C84" w:rsidRPr="00726177">
        <w:rPr>
          <w:rFonts w:ascii="Arial" w:hAnsi="Arial" w:cs="Arial"/>
        </w:rPr>
        <w:t xml:space="preserve">. </w:t>
      </w:r>
      <w:r w:rsidR="00CD0D3D" w:rsidRPr="00726177">
        <w:rPr>
          <w:rFonts w:ascii="Arial" w:hAnsi="Arial" w:cs="Arial"/>
        </w:rPr>
        <w:t>It does</w:t>
      </w:r>
      <w:r w:rsidR="00272B4C" w:rsidRPr="00726177">
        <w:rPr>
          <w:rFonts w:ascii="Arial" w:hAnsi="Arial" w:cs="Arial"/>
        </w:rPr>
        <w:t xml:space="preserve"> this by</w:t>
      </w:r>
      <w:r w:rsidR="00B34C84" w:rsidRPr="00726177">
        <w:rPr>
          <w:rFonts w:ascii="Arial" w:hAnsi="Arial" w:cs="Arial"/>
        </w:rPr>
        <w:t xml:space="preserve"> </w:t>
      </w:r>
      <w:r w:rsidR="002849DE" w:rsidRPr="00726177">
        <w:rPr>
          <w:rFonts w:ascii="Arial" w:hAnsi="Arial" w:cs="Arial"/>
        </w:rPr>
        <w:t xml:space="preserve">exempting </w:t>
      </w:r>
      <w:r w:rsidR="00B34C84" w:rsidRPr="00726177">
        <w:rPr>
          <w:rFonts w:ascii="Arial" w:hAnsi="Arial" w:cs="Arial"/>
        </w:rPr>
        <w:t>transaction</w:t>
      </w:r>
      <w:r w:rsidR="00DD3B9A" w:rsidRPr="00726177">
        <w:rPr>
          <w:rFonts w:ascii="Arial" w:hAnsi="Arial" w:cs="Arial"/>
        </w:rPr>
        <w:t>s</w:t>
      </w:r>
      <w:r w:rsidR="00B34C84" w:rsidRPr="00726177">
        <w:rPr>
          <w:rFonts w:ascii="Arial" w:hAnsi="Arial" w:cs="Arial"/>
        </w:rPr>
        <w:t xml:space="preserve"> </w:t>
      </w:r>
      <w:r w:rsidR="002849DE" w:rsidRPr="00726177">
        <w:rPr>
          <w:rFonts w:ascii="Arial" w:hAnsi="Arial" w:cs="Arial"/>
        </w:rPr>
        <w:t>where</w:t>
      </w:r>
      <w:r w:rsidR="00B34C84" w:rsidRPr="00726177">
        <w:rPr>
          <w:rFonts w:ascii="Arial" w:hAnsi="Arial" w:cs="Arial"/>
        </w:rPr>
        <w:t>:</w:t>
      </w:r>
    </w:p>
    <w:p w14:paraId="7377728C" w14:textId="775F8407" w:rsidR="00A20883" w:rsidRPr="00726177" w:rsidDel="003966EF" w:rsidRDefault="004242F0" w:rsidP="00447772">
      <w:pPr>
        <w:pStyle w:val="ListParagraph"/>
        <w:numPr>
          <w:ilvl w:val="0"/>
          <w:numId w:val="5"/>
        </w:numPr>
        <w:spacing w:after="120" w:line="240" w:lineRule="auto"/>
        <w:ind w:left="1418" w:hanging="709"/>
        <w:rPr>
          <w:rFonts w:ascii="Arial" w:hAnsi="Arial" w:cs="Arial"/>
        </w:rPr>
      </w:pPr>
      <w:r w:rsidRPr="00726177" w:rsidDel="003966EF">
        <w:rPr>
          <w:rFonts w:ascii="Arial" w:hAnsi="Arial" w:cs="Arial"/>
        </w:rPr>
        <w:t xml:space="preserve">the consideration for the supply </w:t>
      </w:r>
      <w:r w:rsidR="00DD30E7" w:rsidRPr="00726177" w:rsidDel="003966EF">
        <w:rPr>
          <w:rFonts w:ascii="Arial" w:hAnsi="Arial" w:cs="Arial"/>
        </w:rPr>
        <w:t>was not specified at the time the booking or reservation was made</w:t>
      </w:r>
      <w:r w:rsidR="00480F0A" w:rsidRPr="00726177">
        <w:rPr>
          <w:rFonts w:ascii="Arial" w:hAnsi="Arial" w:cs="Arial"/>
        </w:rPr>
        <w:t>;</w:t>
      </w:r>
    </w:p>
    <w:p w14:paraId="2B13A177" w14:textId="3C81D389" w:rsidR="003966EF" w:rsidRPr="00726177" w:rsidRDefault="00E60B3F" w:rsidP="00447772">
      <w:pPr>
        <w:pStyle w:val="ListParagraph"/>
        <w:numPr>
          <w:ilvl w:val="0"/>
          <w:numId w:val="5"/>
        </w:numPr>
        <w:spacing w:after="120" w:line="240" w:lineRule="auto"/>
        <w:ind w:left="1418" w:hanging="709"/>
        <w:rPr>
          <w:rFonts w:ascii="Arial" w:hAnsi="Arial" w:cs="Arial"/>
        </w:rPr>
      </w:pPr>
      <w:r w:rsidRPr="00726177">
        <w:rPr>
          <w:rFonts w:ascii="Arial" w:hAnsi="Arial" w:cs="Arial"/>
        </w:rPr>
        <w:t xml:space="preserve">the </w:t>
      </w:r>
      <w:r w:rsidR="00144912" w:rsidRPr="00726177">
        <w:rPr>
          <w:rFonts w:ascii="Arial" w:hAnsi="Arial" w:cs="Arial"/>
        </w:rPr>
        <w:t>consideration for the supply will not be provided via the platform</w:t>
      </w:r>
      <w:r w:rsidR="00480F0A" w:rsidRPr="00726177">
        <w:rPr>
          <w:rFonts w:ascii="Arial" w:hAnsi="Arial" w:cs="Arial"/>
        </w:rPr>
        <w:t xml:space="preserve">; </w:t>
      </w:r>
      <w:r w:rsidRPr="00726177">
        <w:rPr>
          <w:rFonts w:ascii="Arial" w:hAnsi="Arial" w:cs="Arial"/>
        </w:rPr>
        <w:t>and</w:t>
      </w:r>
    </w:p>
    <w:p w14:paraId="0518F8BE" w14:textId="01136293" w:rsidR="00E60B3F" w:rsidRPr="00726177" w:rsidRDefault="00E60B3F" w:rsidP="00447772">
      <w:pPr>
        <w:pStyle w:val="ListParagraph"/>
        <w:numPr>
          <w:ilvl w:val="0"/>
          <w:numId w:val="5"/>
        </w:numPr>
        <w:spacing w:after="120" w:line="240" w:lineRule="auto"/>
        <w:ind w:left="1418" w:hanging="709"/>
        <w:rPr>
          <w:rFonts w:ascii="Arial" w:hAnsi="Arial" w:cs="Arial"/>
        </w:rPr>
      </w:pPr>
      <w:r w:rsidRPr="00726177">
        <w:rPr>
          <w:rFonts w:ascii="Arial" w:hAnsi="Arial" w:cs="Arial"/>
        </w:rPr>
        <w:lastRenderedPageBreak/>
        <w:t>the operator of the</w:t>
      </w:r>
      <w:r w:rsidR="00A93B5D" w:rsidRPr="00726177">
        <w:rPr>
          <w:rFonts w:ascii="Arial" w:hAnsi="Arial" w:cs="Arial"/>
        </w:rPr>
        <w:t xml:space="preserve"> platform</w:t>
      </w:r>
      <w:r w:rsidRPr="00726177">
        <w:rPr>
          <w:rFonts w:ascii="Arial" w:hAnsi="Arial" w:cs="Arial"/>
        </w:rPr>
        <w:t xml:space="preserve"> </w:t>
      </w:r>
      <w:r w:rsidR="00144912" w:rsidRPr="00726177">
        <w:rPr>
          <w:rFonts w:ascii="Arial" w:hAnsi="Arial" w:cs="Arial"/>
        </w:rPr>
        <w:t>will not have visibility of whether the supply is made in practice, or whether consideration is provided for it</w:t>
      </w:r>
      <w:r w:rsidRPr="00726177">
        <w:rPr>
          <w:rFonts w:ascii="Arial" w:hAnsi="Arial" w:cs="Arial"/>
        </w:rPr>
        <w:t>.</w:t>
      </w:r>
    </w:p>
    <w:p w14:paraId="52007907" w14:textId="77777777" w:rsidR="00ED5D75" w:rsidRPr="00726177" w:rsidRDefault="00E60B3F"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This e</w:t>
      </w:r>
      <w:r w:rsidR="00253124" w:rsidRPr="00726177">
        <w:rPr>
          <w:rFonts w:ascii="Arial" w:hAnsi="Arial" w:cs="Arial"/>
        </w:rPr>
        <w:t xml:space="preserve">xemption </w:t>
      </w:r>
      <w:r w:rsidR="006B3BA8" w:rsidRPr="00726177">
        <w:rPr>
          <w:rFonts w:ascii="Arial" w:hAnsi="Arial" w:cs="Arial"/>
        </w:rPr>
        <w:t xml:space="preserve">ensures </w:t>
      </w:r>
      <w:r w:rsidR="00253124" w:rsidRPr="00726177">
        <w:rPr>
          <w:rFonts w:ascii="Arial" w:hAnsi="Arial" w:cs="Arial"/>
        </w:rPr>
        <w:t xml:space="preserve">that an EDP is </w:t>
      </w:r>
      <w:r w:rsidR="00E8638E" w:rsidRPr="00726177">
        <w:rPr>
          <w:rFonts w:ascii="Arial" w:hAnsi="Arial" w:cs="Arial"/>
        </w:rPr>
        <w:t>only</w:t>
      </w:r>
      <w:r w:rsidR="00253124" w:rsidRPr="00726177">
        <w:rPr>
          <w:rFonts w:ascii="Arial" w:hAnsi="Arial" w:cs="Arial"/>
        </w:rPr>
        <w:t xml:space="preserve"> </w:t>
      </w:r>
      <w:r w:rsidR="006B3BA8" w:rsidRPr="00726177">
        <w:rPr>
          <w:rFonts w:ascii="Arial" w:hAnsi="Arial" w:cs="Arial"/>
        </w:rPr>
        <w:t>required</w:t>
      </w:r>
      <w:r w:rsidR="00F926F5" w:rsidRPr="00726177">
        <w:rPr>
          <w:rFonts w:ascii="Arial" w:hAnsi="Arial" w:cs="Arial"/>
        </w:rPr>
        <w:t xml:space="preserve"> to </w:t>
      </w:r>
      <w:r w:rsidR="00253124" w:rsidRPr="00726177">
        <w:rPr>
          <w:rFonts w:ascii="Arial" w:hAnsi="Arial" w:cs="Arial"/>
        </w:rPr>
        <w:t xml:space="preserve">report transactions </w:t>
      </w:r>
      <w:r w:rsidR="006B3BA8" w:rsidRPr="00726177">
        <w:rPr>
          <w:rFonts w:ascii="Arial" w:hAnsi="Arial" w:cs="Arial"/>
        </w:rPr>
        <w:t>for which they are</w:t>
      </w:r>
      <w:r w:rsidR="00253124" w:rsidRPr="00726177">
        <w:rPr>
          <w:rFonts w:ascii="Arial" w:hAnsi="Arial" w:cs="Arial"/>
        </w:rPr>
        <w:t xml:space="preserve"> likely to have complete or accurate data</w:t>
      </w:r>
      <w:r w:rsidR="006B3BA8" w:rsidRPr="00726177">
        <w:rPr>
          <w:rFonts w:ascii="Arial" w:hAnsi="Arial" w:cs="Arial"/>
        </w:rPr>
        <w:t>. It also ensures they do not need to report on transactions where the</w:t>
      </w:r>
      <w:r w:rsidR="003D6300" w:rsidRPr="00726177">
        <w:rPr>
          <w:rFonts w:ascii="Arial" w:hAnsi="Arial" w:cs="Arial"/>
        </w:rPr>
        <w:t>y</w:t>
      </w:r>
      <w:r w:rsidR="006B3BA8" w:rsidRPr="00726177">
        <w:rPr>
          <w:rFonts w:ascii="Arial" w:hAnsi="Arial" w:cs="Arial"/>
        </w:rPr>
        <w:t xml:space="preserve"> </w:t>
      </w:r>
      <w:r w:rsidR="00253124" w:rsidRPr="00726177">
        <w:rPr>
          <w:rFonts w:ascii="Arial" w:hAnsi="Arial" w:cs="Arial"/>
        </w:rPr>
        <w:t>act</w:t>
      </w:r>
      <w:r w:rsidR="006B3BA8" w:rsidRPr="00726177">
        <w:rPr>
          <w:rFonts w:ascii="Arial" w:hAnsi="Arial" w:cs="Arial"/>
        </w:rPr>
        <w:t xml:space="preserve"> only</w:t>
      </w:r>
      <w:r w:rsidR="00253124" w:rsidRPr="00726177">
        <w:rPr>
          <w:rFonts w:ascii="Arial" w:hAnsi="Arial" w:cs="Arial"/>
        </w:rPr>
        <w:t xml:space="preserve"> as a booking service for the transaction</w:t>
      </w:r>
      <w:r w:rsidR="00234958" w:rsidRPr="00726177">
        <w:rPr>
          <w:rFonts w:ascii="Arial" w:hAnsi="Arial" w:cs="Arial"/>
        </w:rPr>
        <w:t>.</w:t>
      </w:r>
    </w:p>
    <w:p w14:paraId="6853FD4B" w14:textId="5663A563" w:rsidR="00E60B3F" w:rsidRPr="00726177" w:rsidRDefault="00811C91"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These transactions are exempt because the information that would be reported would be low in quality due to it being incomplete </w:t>
      </w:r>
      <w:r w:rsidRPr="00C2733A">
        <w:rPr>
          <w:rFonts w:ascii="Arial" w:hAnsi="Arial" w:cs="Arial"/>
        </w:rPr>
        <w:t>or</w:t>
      </w:r>
      <w:r w:rsidRPr="00726177">
        <w:rPr>
          <w:rFonts w:ascii="Arial" w:hAnsi="Arial" w:cs="Arial"/>
        </w:rPr>
        <w:t xml:space="preserve"> inaccurate. </w:t>
      </w:r>
      <w:r w:rsidR="006B3BA8" w:rsidRPr="00726177">
        <w:rPr>
          <w:rFonts w:ascii="Arial" w:hAnsi="Arial" w:cs="Arial"/>
        </w:rPr>
        <w:t>The exemption strengthens the quality of the data collected under the SERR by ensuring that transactions are not reportable if</w:t>
      </w:r>
      <w:r w:rsidR="00234958" w:rsidRPr="00726177">
        <w:rPr>
          <w:rFonts w:ascii="Arial" w:hAnsi="Arial" w:cs="Arial"/>
        </w:rPr>
        <w:t xml:space="preserve"> the EDP </w:t>
      </w:r>
      <w:r w:rsidR="00253124" w:rsidRPr="00726177">
        <w:rPr>
          <w:rFonts w:ascii="Arial" w:hAnsi="Arial" w:cs="Arial"/>
        </w:rPr>
        <w:t>do</w:t>
      </w:r>
      <w:r w:rsidR="00234958" w:rsidRPr="00726177">
        <w:rPr>
          <w:rFonts w:ascii="Arial" w:hAnsi="Arial" w:cs="Arial"/>
        </w:rPr>
        <w:t>es</w:t>
      </w:r>
      <w:r w:rsidR="00253124" w:rsidRPr="00726177">
        <w:rPr>
          <w:rFonts w:ascii="Arial" w:hAnsi="Arial" w:cs="Arial"/>
        </w:rPr>
        <w:t xml:space="preserve"> not</w:t>
      </w:r>
      <w:r w:rsidR="00113581" w:rsidRPr="00726177">
        <w:rPr>
          <w:rFonts w:ascii="Arial" w:hAnsi="Arial" w:cs="Arial"/>
        </w:rPr>
        <w:t xml:space="preserve"> know whe</w:t>
      </w:r>
      <w:r w:rsidR="00234958" w:rsidRPr="00726177">
        <w:rPr>
          <w:rFonts w:ascii="Arial" w:hAnsi="Arial" w:cs="Arial"/>
        </w:rPr>
        <w:t>ther</w:t>
      </w:r>
      <w:r w:rsidR="00113581" w:rsidRPr="00726177">
        <w:rPr>
          <w:rFonts w:ascii="Arial" w:hAnsi="Arial" w:cs="Arial"/>
        </w:rPr>
        <w:t xml:space="preserve"> the supply is </w:t>
      </w:r>
      <w:proofErr w:type="gramStart"/>
      <w:r w:rsidR="00113581" w:rsidRPr="00726177">
        <w:rPr>
          <w:rFonts w:ascii="Arial" w:hAnsi="Arial" w:cs="Arial"/>
        </w:rPr>
        <w:t>actually made</w:t>
      </w:r>
      <w:proofErr w:type="gramEnd"/>
      <w:r w:rsidR="00113581" w:rsidRPr="00726177">
        <w:rPr>
          <w:rFonts w:ascii="Arial" w:hAnsi="Arial" w:cs="Arial"/>
        </w:rPr>
        <w:t>, do</w:t>
      </w:r>
      <w:r w:rsidR="00234958" w:rsidRPr="00726177">
        <w:rPr>
          <w:rFonts w:ascii="Arial" w:hAnsi="Arial" w:cs="Arial"/>
        </w:rPr>
        <w:t>es</w:t>
      </w:r>
      <w:r w:rsidR="00113581" w:rsidRPr="00726177">
        <w:rPr>
          <w:rFonts w:ascii="Arial" w:hAnsi="Arial" w:cs="Arial"/>
        </w:rPr>
        <w:t xml:space="preserve"> not</w:t>
      </w:r>
      <w:r w:rsidR="00253124" w:rsidRPr="00726177">
        <w:rPr>
          <w:rFonts w:ascii="Arial" w:hAnsi="Arial" w:cs="Arial"/>
        </w:rPr>
        <w:t xml:space="preserve"> </w:t>
      </w:r>
      <w:r w:rsidR="00003C1B" w:rsidRPr="00726177">
        <w:rPr>
          <w:rFonts w:ascii="Arial" w:hAnsi="Arial" w:cs="Arial"/>
        </w:rPr>
        <w:t xml:space="preserve">directly </w:t>
      </w:r>
      <w:r w:rsidR="00253124" w:rsidRPr="00726177">
        <w:rPr>
          <w:rFonts w:ascii="Arial" w:hAnsi="Arial" w:cs="Arial"/>
        </w:rPr>
        <w:t>facilitate</w:t>
      </w:r>
      <w:r w:rsidR="00003C1B" w:rsidRPr="00726177">
        <w:rPr>
          <w:rFonts w:ascii="Arial" w:hAnsi="Arial" w:cs="Arial"/>
        </w:rPr>
        <w:t xml:space="preserve"> or have visibility of</w:t>
      </w:r>
      <w:r w:rsidR="00253124" w:rsidRPr="00726177">
        <w:rPr>
          <w:rFonts w:ascii="Arial" w:hAnsi="Arial" w:cs="Arial"/>
        </w:rPr>
        <w:t xml:space="preserve"> </w:t>
      </w:r>
      <w:r w:rsidR="0066170F" w:rsidRPr="00726177">
        <w:rPr>
          <w:rFonts w:ascii="Arial" w:hAnsi="Arial" w:cs="Arial"/>
        </w:rPr>
        <w:t xml:space="preserve">the </w:t>
      </w:r>
      <w:r w:rsidR="00253124" w:rsidRPr="00726177">
        <w:rPr>
          <w:rFonts w:ascii="Arial" w:hAnsi="Arial" w:cs="Arial"/>
        </w:rPr>
        <w:t>payment</w:t>
      </w:r>
      <w:r w:rsidR="00003C1B" w:rsidRPr="00726177">
        <w:rPr>
          <w:rFonts w:ascii="Arial" w:hAnsi="Arial" w:cs="Arial"/>
        </w:rPr>
        <w:t xml:space="preserve"> being </w:t>
      </w:r>
      <w:r w:rsidR="00B5646C" w:rsidRPr="00726177">
        <w:rPr>
          <w:rFonts w:ascii="Arial" w:hAnsi="Arial" w:cs="Arial"/>
        </w:rPr>
        <w:t>made to the supplier</w:t>
      </w:r>
      <w:r w:rsidR="003D6300" w:rsidRPr="00726177">
        <w:rPr>
          <w:rFonts w:ascii="Arial" w:hAnsi="Arial" w:cs="Arial"/>
        </w:rPr>
        <w:t>,</w:t>
      </w:r>
      <w:r w:rsidR="00B62084" w:rsidRPr="00726177">
        <w:rPr>
          <w:rFonts w:ascii="Arial" w:hAnsi="Arial" w:cs="Arial"/>
        </w:rPr>
        <w:t xml:space="preserve"> </w:t>
      </w:r>
      <w:r w:rsidR="003D6300" w:rsidRPr="00726177">
        <w:rPr>
          <w:rFonts w:ascii="Arial" w:hAnsi="Arial" w:cs="Arial"/>
        </w:rPr>
        <w:t xml:space="preserve">and </w:t>
      </w:r>
      <w:r w:rsidR="00B62084" w:rsidRPr="00726177">
        <w:rPr>
          <w:rFonts w:ascii="Arial" w:hAnsi="Arial" w:cs="Arial"/>
        </w:rPr>
        <w:t xml:space="preserve">does not </w:t>
      </w:r>
      <w:r w:rsidR="00253124" w:rsidRPr="00726177">
        <w:rPr>
          <w:rFonts w:ascii="Arial" w:hAnsi="Arial" w:cs="Arial"/>
        </w:rPr>
        <w:t xml:space="preserve">provide any other assistance in relation to the supply. </w:t>
      </w:r>
      <w:r w:rsidR="00761B1C" w:rsidRPr="00726177">
        <w:rPr>
          <w:rFonts w:ascii="Arial" w:hAnsi="Arial" w:cs="Arial"/>
        </w:rPr>
        <w:t>For example, the exemption does not apply where the payment for a reportable supply is made through a payment system linked to the EDP operator</w:t>
      </w:r>
      <w:r w:rsidR="003D6300" w:rsidRPr="00726177">
        <w:rPr>
          <w:rFonts w:ascii="Arial" w:hAnsi="Arial" w:cs="Arial"/>
        </w:rPr>
        <w:t>’</w:t>
      </w:r>
      <w:r w:rsidR="00761B1C" w:rsidRPr="00726177">
        <w:rPr>
          <w:rFonts w:ascii="Arial" w:hAnsi="Arial" w:cs="Arial"/>
        </w:rPr>
        <w:t>s platform, that it uses to process the payment for the supply at the time of booking.</w:t>
      </w:r>
    </w:p>
    <w:p w14:paraId="01CF1DDF" w14:textId="77777777" w:rsidR="006D7AE6" w:rsidRPr="00726177" w:rsidRDefault="006D7AE6" w:rsidP="00F73DA7">
      <w:pPr>
        <w:spacing w:after="120"/>
        <w:jc w:val="left"/>
        <w:rPr>
          <w:rFonts w:ascii="Arial" w:hAnsi="Arial" w:cs="Arial"/>
        </w:rPr>
      </w:pPr>
    </w:p>
    <w:p w14:paraId="1CEEB9B0" w14:textId="547E43AD" w:rsidR="001900C8" w:rsidRPr="00726177" w:rsidRDefault="001900C8" w:rsidP="00726177">
      <w:pPr>
        <w:spacing w:after="120"/>
        <w:ind w:left="709"/>
        <w:jc w:val="left"/>
        <w:rPr>
          <w:rFonts w:ascii="Arial" w:hAnsi="Arial" w:cs="Arial"/>
          <w:b/>
          <w:bCs/>
        </w:rPr>
      </w:pPr>
      <w:r w:rsidRPr="00726177">
        <w:rPr>
          <w:rFonts w:ascii="Arial" w:hAnsi="Arial" w:cs="Arial"/>
          <w:b/>
          <w:bCs/>
        </w:rPr>
        <w:t>Example</w:t>
      </w:r>
      <w:r w:rsidR="007F1341" w:rsidRPr="00726177">
        <w:rPr>
          <w:rFonts w:ascii="Arial" w:hAnsi="Arial" w:cs="Arial"/>
          <w:b/>
          <w:bCs/>
        </w:rPr>
        <w:t xml:space="preserve"> </w:t>
      </w:r>
      <w:r w:rsidR="004A3FDD" w:rsidRPr="00726177">
        <w:rPr>
          <w:rFonts w:ascii="Arial" w:hAnsi="Arial" w:cs="Arial"/>
          <w:b/>
          <w:bCs/>
        </w:rPr>
        <w:t>6</w:t>
      </w:r>
      <w:r w:rsidR="002D450E" w:rsidRPr="00726177">
        <w:rPr>
          <w:rFonts w:ascii="Arial" w:hAnsi="Arial" w:cs="Arial"/>
          <w:b/>
          <w:bCs/>
        </w:rPr>
        <w:t xml:space="preserve"> </w:t>
      </w:r>
      <w:r w:rsidRPr="00726177">
        <w:rPr>
          <w:rFonts w:ascii="Arial" w:hAnsi="Arial" w:cs="Arial"/>
          <w:b/>
          <w:bCs/>
        </w:rPr>
        <w:t>– transaction exempt on the basis that the EDP is providing a booking service only</w:t>
      </w:r>
    </w:p>
    <w:p w14:paraId="3DFDA6A9" w14:textId="77777777" w:rsidR="00601CD5" w:rsidRPr="00726177" w:rsidRDefault="004242F0" w:rsidP="00F73DA7">
      <w:pPr>
        <w:spacing w:after="120"/>
        <w:ind w:left="709"/>
        <w:jc w:val="left"/>
        <w:rPr>
          <w:rFonts w:ascii="Arial" w:hAnsi="Arial" w:cs="Arial"/>
        </w:rPr>
      </w:pPr>
      <w:r w:rsidRPr="00726177">
        <w:rPr>
          <w:rFonts w:ascii="Arial" w:hAnsi="Arial" w:cs="Arial"/>
        </w:rPr>
        <w:t xml:space="preserve">Erica </w:t>
      </w:r>
      <w:r w:rsidR="001900C8" w:rsidRPr="00726177">
        <w:rPr>
          <w:rFonts w:ascii="Arial" w:hAnsi="Arial" w:cs="Arial"/>
        </w:rPr>
        <w:t xml:space="preserve">uses Taxi Booking Co’s </w:t>
      </w:r>
      <w:r w:rsidR="000B2BD0" w:rsidRPr="00726177">
        <w:rPr>
          <w:rFonts w:ascii="Arial" w:hAnsi="Arial" w:cs="Arial"/>
        </w:rPr>
        <w:t xml:space="preserve">mobile </w:t>
      </w:r>
      <w:r w:rsidR="001900C8" w:rsidRPr="00726177">
        <w:rPr>
          <w:rFonts w:ascii="Arial" w:hAnsi="Arial" w:cs="Arial"/>
        </w:rPr>
        <w:t>app</w:t>
      </w:r>
      <w:r w:rsidR="000B2BD0" w:rsidRPr="00726177">
        <w:rPr>
          <w:rFonts w:ascii="Arial" w:hAnsi="Arial" w:cs="Arial"/>
        </w:rPr>
        <w:t xml:space="preserve">lication </w:t>
      </w:r>
      <w:r w:rsidR="001900C8" w:rsidRPr="00726177">
        <w:rPr>
          <w:rFonts w:ascii="Arial" w:hAnsi="Arial" w:cs="Arial"/>
        </w:rPr>
        <w:t xml:space="preserve">to book a taxi. To make the booking, </w:t>
      </w:r>
      <w:r w:rsidRPr="00726177">
        <w:rPr>
          <w:rFonts w:ascii="Arial" w:hAnsi="Arial" w:cs="Arial"/>
        </w:rPr>
        <w:t xml:space="preserve">Erica </w:t>
      </w:r>
      <w:r w:rsidR="001900C8" w:rsidRPr="00726177">
        <w:rPr>
          <w:rFonts w:ascii="Arial" w:hAnsi="Arial" w:cs="Arial"/>
        </w:rPr>
        <w:t>provides her name, the address that she wants to be picked up from</w:t>
      </w:r>
      <w:r w:rsidR="00E941E4" w:rsidRPr="00726177">
        <w:rPr>
          <w:rFonts w:ascii="Arial" w:hAnsi="Arial" w:cs="Arial"/>
        </w:rPr>
        <w:t>,</w:t>
      </w:r>
      <w:r w:rsidR="001900C8" w:rsidRPr="00726177">
        <w:rPr>
          <w:rFonts w:ascii="Arial" w:hAnsi="Arial" w:cs="Arial"/>
        </w:rPr>
        <w:t xml:space="preserve"> and the date and time at which the taxi is to pick her up. Emma does not input any information about her intended destination. Taxi Booking Co arrange</w:t>
      </w:r>
      <w:r w:rsidR="001B4A16" w:rsidRPr="00726177">
        <w:rPr>
          <w:rFonts w:ascii="Arial" w:hAnsi="Arial" w:cs="Arial"/>
        </w:rPr>
        <w:t>s</w:t>
      </w:r>
      <w:r w:rsidR="001900C8" w:rsidRPr="00726177">
        <w:rPr>
          <w:rFonts w:ascii="Arial" w:hAnsi="Arial" w:cs="Arial"/>
        </w:rPr>
        <w:t xml:space="preserve"> for a taxi driver to collect Emma. Payment for the fare</w:t>
      </w:r>
      <w:r w:rsidR="003E4EA1" w:rsidRPr="00726177">
        <w:rPr>
          <w:rFonts w:ascii="Arial" w:hAnsi="Arial" w:cs="Arial"/>
        </w:rPr>
        <w:t xml:space="preserve"> is not</w:t>
      </w:r>
      <w:r w:rsidR="001900C8" w:rsidRPr="00726177">
        <w:rPr>
          <w:rFonts w:ascii="Arial" w:hAnsi="Arial" w:cs="Arial"/>
        </w:rPr>
        <w:t xml:space="preserve"> made through the app and must be made directly to the taxi driver at the end of the trip.</w:t>
      </w:r>
    </w:p>
    <w:p w14:paraId="6B9F86BE" w14:textId="32E6B3E8" w:rsidR="00601CD5" w:rsidRPr="00726177" w:rsidRDefault="001900C8" w:rsidP="00F73DA7">
      <w:pPr>
        <w:spacing w:after="120"/>
        <w:ind w:left="709"/>
        <w:jc w:val="left"/>
        <w:rPr>
          <w:rFonts w:ascii="Arial" w:hAnsi="Arial" w:cs="Arial"/>
        </w:rPr>
      </w:pPr>
      <w:r w:rsidRPr="00726177">
        <w:rPr>
          <w:rFonts w:ascii="Arial" w:hAnsi="Arial" w:cs="Arial"/>
        </w:rPr>
        <w:t>Taxi Booking Co ha</w:t>
      </w:r>
      <w:r w:rsidR="001B4A16" w:rsidRPr="00726177">
        <w:rPr>
          <w:rFonts w:ascii="Arial" w:hAnsi="Arial" w:cs="Arial"/>
        </w:rPr>
        <w:t>s</w:t>
      </w:r>
      <w:r w:rsidRPr="00726177">
        <w:rPr>
          <w:rFonts w:ascii="Arial" w:hAnsi="Arial" w:cs="Arial"/>
        </w:rPr>
        <w:t xml:space="preserve"> no way of knowing whether the taxi driver ever actually made the supply of taxi travel</w:t>
      </w:r>
      <w:r w:rsidR="006E05B8" w:rsidRPr="00726177">
        <w:rPr>
          <w:rFonts w:ascii="Arial" w:hAnsi="Arial" w:cs="Arial"/>
        </w:rPr>
        <w:t>,</w:t>
      </w:r>
      <w:r w:rsidRPr="00726177">
        <w:rPr>
          <w:rFonts w:ascii="Arial" w:hAnsi="Arial" w:cs="Arial"/>
        </w:rPr>
        <w:t xml:space="preserve"> or what the value of the consideration for the supply would have been</w:t>
      </w:r>
      <w:r w:rsidR="006E05B8" w:rsidRPr="00726177">
        <w:rPr>
          <w:rFonts w:ascii="Arial" w:hAnsi="Arial" w:cs="Arial"/>
        </w:rPr>
        <w:t xml:space="preserve">. It </w:t>
      </w:r>
      <w:r w:rsidR="00DD3B9A" w:rsidRPr="00726177">
        <w:rPr>
          <w:rFonts w:ascii="Arial" w:hAnsi="Arial" w:cs="Arial"/>
        </w:rPr>
        <w:t>is</w:t>
      </w:r>
      <w:r w:rsidRPr="00726177">
        <w:rPr>
          <w:rFonts w:ascii="Arial" w:hAnsi="Arial" w:cs="Arial"/>
        </w:rPr>
        <w:t xml:space="preserve"> not required to report this transaction.</w:t>
      </w:r>
    </w:p>
    <w:p w14:paraId="12F91DC9" w14:textId="46EF7670" w:rsidR="00003C1B" w:rsidRPr="00726177" w:rsidRDefault="00003C1B" w:rsidP="00F73DA7">
      <w:pPr>
        <w:spacing w:after="120"/>
        <w:jc w:val="left"/>
        <w:rPr>
          <w:rFonts w:ascii="Arial" w:hAnsi="Arial" w:cs="Arial"/>
        </w:rPr>
      </w:pPr>
    </w:p>
    <w:p w14:paraId="4AF6EE79" w14:textId="4679D7B8" w:rsidR="00003C1B" w:rsidRPr="00726177" w:rsidRDefault="00003C1B" w:rsidP="00F73DA7">
      <w:pPr>
        <w:spacing w:after="120"/>
        <w:ind w:left="720"/>
        <w:jc w:val="left"/>
        <w:rPr>
          <w:rFonts w:ascii="Arial" w:hAnsi="Arial" w:cs="Arial"/>
          <w:b/>
          <w:bCs/>
        </w:rPr>
      </w:pPr>
      <w:r w:rsidRPr="00726177">
        <w:rPr>
          <w:rFonts w:ascii="Arial" w:hAnsi="Arial" w:cs="Arial"/>
          <w:b/>
          <w:bCs/>
        </w:rPr>
        <w:t xml:space="preserve">Example </w:t>
      </w:r>
      <w:r w:rsidR="004A3FDD" w:rsidRPr="00726177">
        <w:rPr>
          <w:rFonts w:ascii="Arial" w:hAnsi="Arial" w:cs="Arial"/>
          <w:b/>
          <w:bCs/>
        </w:rPr>
        <w:t>7</w:t>
      </w:r>
      <w:r w:rsidRPr="00726177">
        <w:rPr>
          <w:rFonts w:ascii="Arial" w:hAnsi="Arial" w:cs="Arial"/>
          <w:b/>
          <w:bCs/>
        </w:rPr>
        <w:t xml:space="preserve"> – </w:t>
      </w:r>
      <w:r w:rsidR="0066170F" w:rsidRPr="00726177">
        <w:rPr>
          <w:rFonts w:ascii="Arial" w:hAnsi="Arial" w:cs="Arial"/>
          <w:b/>
          <w:bCs/>
        </w:rPr>
        <w:t>t</w:t>
      </w:r>
      <w:r w:rsidRPr="00726177">
        <w:rPr>
          <w:rFonts w:ascii="Arial" w:hAnsi="Arial" w:cs="Arial"/>
          <w:b/>
          <w:bCs/>
        </w:rPr>
        <w:t xml:space="preserve">ransaction not </w:t>
      </w:r>
      <w:r w:rsidR="00604395" w:rsidRPr="00726177">
        <w:rPr>
          <w:rFonts w:ascii="Arial" w:hAnsi="Arial" w:cs="Arial"/>
          <w:b/>
          <w:bCs/>
        </w:rPr>
        <w:t>a mere booking</w:t>
      </w:r>
      <w:r w:rsidRPr="00726177">
        <w:rPr>
          <w:rFonts w:ascii="Arial" w:hAnsi="Arial" w:cs="Arial"/>
          <w:b/>
          <w:bCs/>
        </w:rPr>
        <w:t xml:space="preserve"> </w:t>
      </w:r>
      <w:r w:rsidR="007F6F0C" w:rsidRPr="00726177">
        <w:rPr>
          <w:rFonts w:ascii="Arial" w:hAnsi="Arial" w:cs="Arial"/>
          <w:b/>
          <w:bCs/>
        </w:rPr>
        <w:t>and not exempt</w:t>
      </w:r>
    </w:p>
    <w:p w14:paraId="23823B89" w14:textId="04F2BC8D" w:rsidR="00604395" w:rsidRPr="00726177" w:rsidRDefault="00604395" w:rsidP="00F73DA7">
      <w:pPr>
        <w:spacing w:after="120"/>
        <w:ind w:left="709"/>
        <w:jc w:val="left"/>
        <w:rPr>
          <w:rFonts w:ascii="Arial" w:hAnsi="Arial" w:cs="Arial"/>
        </w:rPr>
      </w:pPr>
      <w:proofErr w:type="spellStart"/>
      <w:r w:rsidRPr="00726177">
        <w:rPr>
          <w:rFonts w:ascii="Arial" w:hAnsi="Arial" w:cs="Arial"/>
        </w:rPr>
        <w:t>Saferider</w:t>
      </w:r>
      <w:proofErr w:type="spellEnd"/>
      <w:r w:rsidRPr="00726177">
        <w:rPr>
          <w:rFonts w:ascii="Arial" w:hAnsi="Arial" w:cs="Arial"/>
        </w:rPr>
        <w:t xml:space="preserve"> is </w:t>
      </w:r>
      <w:r w:rsidR="000A7A3B" w:rsidRPr="00726177">
        <w:rPr>
          <w:rFonts w:ascii="Arial" w:hAnsi="Arial" w:cs="Arial"/>
        </w:rPr>
        <w:t>digital platform</w:t>
      </w:r>
      <w:r w:rsidRPr="00726177">
        <w:rPr>
          <w:rFonts w:ascii="Arial" w:hAnsi="Arial" w:cs="Arial"/>
        </w:rPr>
        <w:t xml:space="preserve"> that allows passengers to </w:t>
      </w:r>
      <w:r w:rsidR="000A7A3B" w:rsidRPr="00726177">
        <w:rPr>
          <w:rFonts w:ascii="Arial" w:hAnsi="Arial" w:cs="Arial"/>
        </w:rPr>
        <w:t>book</w:t>
      </w:r>
      <w:r w:rsidRPr="00726177">
        <w:rPr>
          <w:rFonts w:ascii="Arial" w:hAnsi="Arial" w:cs="Arial"/>
        </w:rPr>
        <w:t xml:space="preserve"> taxi </w:t>
      </w:r>
      <w:r w:rsidR="000A7A3B" w:rsidRPr="00726177">
        <w:rPr>
          <w:rFonts w:ascii="Arial" w:hAnsi="Arial" w:cs="Arial"/>
        </w:rPr>
        <w:t>travel.</w:t>
      </w:r>
      <w:r w:rsidRPr="00726177">
        <w:rPr>
          <w:rFonts w:ascii="Arial" w:hAnsi="Arial" w:cs="Arial"/>
        </w:rPr>
        <w:t xml:space="preserve"> Trisha wants to go to the</w:t>
      </w:r>
      <w:r w:rsidR="00E81DF0" w:rsidRPr="00726177">
        <w:rPr>
          <w:rFonts w:ascii="Arial" w:hAnsi="Arial" w:cs="Arial"/>
        </w:rPr>
        <w:t xml:space="preserve"> airport</w:t>
      </w:r>
      <w:r w:rsidRPr="00726177">
        <w:rPr>
          <w:rFonts w:ascii="Arial" w:hAnsi="Arial" w:cs="Arial"/>
        </w:rPr>
        <w:t xml:space="preserve">. She </w:t>
      </w:r>
      <w:r w:rsidR="00E81DF0" w:rsidRPr="00726177">
        <w:rPr>
          <w:rFonts w:ascii="Arial" w:hAnsi="Arial" w:cs="Arial"/>
        </w:rPr>
        <w:t>uses</w:t>
      </w:r>
      <w:r w:rsidRPr="00726177">
        <w:rPr>
          <w:rFonts w:ascii="Arial" w:hAnsi="Arial" w:cs="Arial"/>
        </w:rPr>
        <w:t xml:space="preserve"> the </w:t>
      </w:r>
      <w:proofErr w:type="spellStart"/>
      <w:r w:rsidRPr="00726177">
        <w:rPr>
          <w:rFonts w:ascii="Arial" w:hAnsi="Arial" w:cs="Arial"/>
        </w:rPr>
        <w:t>Saferider</w:t>
      </w:r>
      <w:proofErr w:type="spellEnd"/>
      <w:r w:rsidR="00E81DF0" w:rsidRPr="00726177">
        <w:rPr>
          <w:rFonts w:ascii="Arial" w:hAnsi="Arial" w:cs="Arial"/>
        </w:rPr>
        <w:t xml:space="preserve"> website</w:t>
      </w:r>
      <w:r w:rsidR="000A7A3B" w:rsidRPr="00726177">
        <w:rPr>
          <w:rFonts w:ascii="Arial" w:hAnsi="Arial" w:cs="Arial"/>
        </w:rPr>
        <w:t>,</w:t>
      </w:r>
      <w:r w:rsidRPr="00726177">
        <w:rPr>
          <w:rFonts w:ascii="Arial" w:hAnsi="Arial" w:cs="Arial"/>
        </w:rPr>
        <w:t xml:space="preserve"> </w:t>
      </w:r>
      <w:r w:rsidR="000A7A3B" w:rsidRPr="00726177">
        <w:rPr>
          <w:rFonts w:ascii="Arial" w:hAnsi="Arial" w:cs="Arial"/>
        </w:rPr>
        <w:t>enters</w:t>
      </w:r>
      <w:r w:rsidRPr="00726177">
        <w:rPr>
          <w:rFonts w:ascii="Arial" w:hAnsi="Arial" w:cs="Arial"/>
        </w:rPr>
        <w:t xml:space="preserve"> her pickup location</w:t>
      </w:r>
      <w:r w:rsidR="00E81DF0" w:rsidRPr="00726177">
        <w:rPr>
          <w:rFonts w:ascii="Arial" w:hAnsi="Arial" w:cs="Arial"/>
        </w:rPr>
        <w:t>, time</w:t>
      </w:r>
      <w:r w:rsidRPr="00726177">
        <w:rPr>
          <w:rFonts w:ascii="Arial" w:hAnsi="Arial" w:cs="Arial"/>
        </w:rPr>
        <w:t xml:space="preserve"> and destination.</w:t>
      </w:r>
    </w:p>
    <w:p w14:paraId="608176DE" w14:textId="77777777" w:rsidR="00601CD5" w:rsidRPr="00726177" w:rsidRDefault="00604395" w:rsidP="00F73DA7">
      <w:pPr>
        <w:spacing w:after="120"/>
        <w:ind w:left="709"/>
        <w:jc w:val="left"/>
        <w:rPr>
          <w:rFonts w:ascii="Arial" w:hAnsi="Arial" w:cs="Arial"/>
        </w:rPr>
      </w:pPr>
      <w:r w:rsidRPr="00726177">
        <w:rPr>
          <w:rFonts w:ascii="Arial" w:hAnsi="Arial" w:cs="Arial"/>
        </w:rPr>
        <w:t xml:space="preserve">The </w:t>
      </w:r>
      <w:r w:rsidR="00E81DF0" w:rsidRPr="00726177">
        <w:rPr>
          <w:rFonts w:ascii="Arial" w:hAnsi="Arial" w:cs="Arial"/>
        </w:rPr>
        <w:t>website</w:t>
      </w:r>
      <w:r w:rsidRPr="00726177">
        <w:rPr>
          <w:rFonts w:ascii="Arial" w:hAnsi="Arial" w:cs="Arial"/>
        </w:rPr>
        <w:t xml:space="preserve"> </w:t>
      </w:r>
      <w:r w:rsidR="000A7A3B" w:rsidRPr="00726177">
        <w:rPr>
          <w:rFonts w:ascii="Arial" w:hAnsi="Arial" w:cs="Arial"/>
        </w:rPr>
        <w:t xml:space="preserve">quotes </w:t>
      </w:r>
      <w:r w:rsidRPr="00726177">
        <w:rPr>
          <w:rFonts w:ascii="Arial" w:hAnsi="Arial" w:cs="Arial"/>
        </w:rPr>
        <w:t xml:space="preserve">her </w:t>
      </w:r>
      <w:r w:rsidR="000A7A3B" w:rsidRPr="00726177">
        <w:rPr>
          <w:rFonts w:ascii="Arial" w:hAnsi="Arial" w:cs="Arial"/>
        </w:rPr>
        <w:t>an estimated</w:t>
      </w:r>
      <w:r w:rsidRPr="00726177">
        <w:rPr>
          <w:rFonts w:ascii="Arial" w:hAnsi="Arial" w:cs="Arial"/>
        </w:rPr>
        <w:t xml:space="preserve"> price for the requested service. Trisha accepts</w:t>
      </w:r>
      <w:r w:rsidR="000A7A3B" w:rsidRPr="00726177">
        <w:rPr>
          <w:rFonts w:ascii="Arial" w:hAnsi="Arial" w:cs="Arial"/>
        </w:rPr>
        <w:t xml:space="preserve"> and a taxi is dispatched. On completion of the ride, the driver confirms </w:t>
      </w:r>
      <w:r w:rsidR="0066170F" w:rsidRPr="00726177">
        <w:rPr>
          <w:rFonts w:ascii="Arial" w:hAnsi="Arial" w:cs="Arial"/>
        </w:rPr>
        <w:t xml:space="preserve">the total fare </w:t>
      </w:r>
      <w:r w:rsidR="000A7A3B" w:rsidRPr="00726177">
        <w:rPr>
          <w:rFonts w:ascii="Arial" w:hAnsi="Arial" w:cs="Arial"/>
        </w:rPr>
        <w:t xml:space="preserve">through the </w:t>
      </w:r>
      <w:proofErr w:type="spellStart"/>
      <w:r w:rsidR="000A7A3B" w:rsidRPr="00726177">
        <w:rPr>
          <w:rFonts w:ascii="Arial" w:hAnsi="Arial" w:cs="Arial"/>
        </w:rPr>
        <w:t>Saferider</w:t>
      </w:r>
      <w:proofErr w:type="spellEnd"/>
      <w:r w:rsidR="000A7A3B" w:rsidRPr="00726177">
        <w:rPr>
          <w:rFonts w:ascii="Arial" w:hAnsi="Arial" w:cs="Arial"/>
        </w:rPr>
        <w:t xml:space="preserve"> platform. Trisha’s </w:t>
      </w:r>
      <w:r w:rsidRPr="00726177">
        <w:rPr>
          <w:rFonts w:ascii="Arial" w:hAnsi="Arial" w:cs="Arial"/>
        </w:rPr>
        <w:t>payment is</w:t>
      </w:r>
      <w:r w:rsidR="000A7A3B" w:rsidRPr="00726177">
        <w:rPr>
          <w:rFonts w:ascii="Arial" w:hAnsi="Arial" w:cs="Arial"/>
        </w:rPr>
        <w:t xml:space="preserve"> then</w:t>
      </w:r>
      <w:r w:rsidRPr="00726177">
        <w:rPr>
          <w:rFonts w:ascii="Arial" w:hAnsi="Arial" w:cs="Arial"/>
        </w:rPr>
        <w:t xml:space="preserve"> processed</w:t>
      </w:r>
      <w:r w:rsidR="000A7A3B" w:rsidRPr="00726177">
        <w:rPr>
          <w:rFonts w:ascii="Arial" w:hAnsi="Arial" w:cs="Arial"/>
        </w:rPr>
        <w:t xml:space="preserve"> by the </w:t>
      </w:r>
      <w:proofErr w:type="spellStart"/>
      <w:r w:rsidR="000A7A3B" w:rsidRPr="00726177">
        <w:rPr>
          <w:rFonts w:ascii="Arial" w:hAnsi="Arial" w:cs="Arial"/>
        </w:rPr>
        <w:t>Saferider</w:t>
      </w:r>
      <w:proofErr w:type="spellEnd"/>
      <w:r w:rsidR="000A7A3B" w:rsidRPr="00726177">
        <w:rPr>
          <w:rFonts w:ascii="Arial" w:hAnsi="Arial" w:cs="Arial"/>
        </w:rPr>
        <w:t xml:space="preserve"> platform</w:t>
      </w:r>
      <w:r w:rsidRPr="00726177">
        <w:rPr>
          <w:rFonts w:ascii="Arial" w:hAnsi="Arial" w:cs="Arial"/>
        </w:rPr>
        <w:t xml:space="preserve"> </w:t>
      </w:r>
      <w:r w:rsidR="000A7A3B" w:rsidRPr="00726177">
        <w:rPr>
          <w:rFonts w:ascii="Arial" w:hAnsi="Arial" w:cs="Arial"/>
        </w:rPr>
        <w:t>using a</w:t>
      </w:r>
      <w:r w:rsidRPr="00726177">
        <w:rPr>
          <w:rFonts w:ascii="Arial" w:hAnsi="Arial" w:cs="Arial"/>
        </w:rPr>
        <w:t xml:space="preserve"> </w:t>
      </w:r>
      <w:r w:rsidRPr="00C2733A">
        <w:rPr>
          <w:rFonts w:ascii="Arial" w:hAnsi="Arial" w:cs="Arial"/>
        </w:rPr>
        <w:t>third-party</w:t>
      </w:r>
      <w:r w:rsidRPr="00726177">
        <w:rPr>
          <w:rFonts w:ascii="Arial" w:hAnsi="Arial" w:cs="Arial"/>
        </w:rPr>
        <w:t xml:space="preserve"> payment provider</w:t>
      </w:r>
      <w:r w:rsidR="000A7A3B" w:rsidRPr="00726177">
        <w:rPr>
          <w:rFonts w:ascii="Arial" w:hAnsi="Arial" w:cs="Arial"/>
        </w:rPr>
        <w:t>.</w:t>
      </w:r>
    </w:p>
    <w:p w14:paraId="01A1A876" w14:textId="620121FB" w:rsidR="00604395" w:rsidRPr="00726177" w:rsidRDefault="000A7A3B" w:rsidP="00F73DA7">
      <w:pPr>
        <w:spacing w:after="120"/>
        <w:ind w:left="709"/>
        <w:jc w:val="left"/>
        <w:rPr>
          <w:rFonts w:ascii="Arial" w:hAnsi="Arial" w:cs="Arial"/>
        </w:rPr>
      </w:pPr>
      <w:r w:rsidRPr="00726177">
        <w:rPr>
          <w:rFonts w:ascii="Arial" w:hAnsi="Arial" w:cs="Arial"/>
        </w:rPr>
        <w:t xml:space="preserve">As the operator of the </w:t>
      </w:r>
      <w:proofErr w:type="spellStart"/>
      <w:r w:rsidRPr="00726177">
        <w:rPr>
          <w:rFonts w:ascii="Arial" w:hAnsi="Arial" w:cs="Arial"/>
        </w:rPr>
        <w:t>Saferider</w:t>
      </w:r>
      <w:proofErr w:type="spellEnd"/>
      <w:r w:rsidRPr="00726177">
        <w:rPr>
          <w:rFonts w:ascii="Arial" w:hAnsi="Arial" w:cs="Arial"/>
        </w:rPr>
        <w:t xml:space="preserve"> platform knows that the service was delivered and the amount of consideration that was actually paid, this exemption does not apply </w:t>
      </w:r>
      <w:r w:rsidR="00C062C1" w:rsidRPr="00726177">
        <w:rPr>
          <w:rFonts w:ascii="Arial" w:hAnsi="Arial" w:cs="Arial"/>
        </w:rPr>
        <w:t>to</w:t>
      </w:r>
      <w:r w:rsidRPr="00726177">
        <w:rPr>
          <w:rFonts w:ascii="Arial" w:hAnsi="Arial" w:cs="Arial"/>
        </w:rPr>
        <w:t xml:space="preserve"> this transaction</w:t>
      </w:r>
      <w:r w:rsidR="006E05B8" w:rsidRPr="00726177">
        <w:rPr>
          <w:rFonts w:ascii="Arial" w:hAnsi="Arial" w:cs="Arial"/>
        </w:rPr>
        <w:t>.</w:t>
      </w:r>
      <w:r w:rsidRPr="00726177">
        <w:rPr>
          <w:rFonts w:ascii="Arial" w:hAnsi="Arial" w:cs="Arial"/>
        </w:rPr>
        <w:t xml:space="preserve"> </w:t>
      </w:r>
      <w:r w:rsidR="006E05B8" w:rsidRPr="00726177">
        <w:rPr>
          <w:rFonts w:ascii="Arial" w:hAnsi="Arial" w:cs="Arial"/>
        </w:rPr>
        <w:t>T</w:t>
      </w:r>
      <w:r w:rsidR="00C062C1" w:rsidRPr="00726177">
        <w:rPr>
          <w:rFonts w:ascii="Arial" w:hAnsi="Arial" w:cs="Arial"/>
        </w:rPr>
        <w:t xml:space="preserve">he operator of the </w:t>
      </w:r>
      <w:proofErr w:type="spellStart"/>
      <w:r w:rsidR="00C062C1" w:rsidRPr="00726177">
        <w:rPr>
          <w:rFonts w:ascii="Arial" w:hAnsi="Arial" w:cs="Arial"/>
        </w:rPr>
        <w:t>Saferider</w:t>
      </w:r>
      <w:proofErr w:type="spellEnd"/>
      <w:r w:rsidR="00C062C1" w:rsidRPr="00726177">
        <w:rPr>
          <w:rFonts w:ascii="Arial" w:hAnsi="Arial" w:cs="Arial"/>
        </w:rPr>
        <w:t xml:space="preserve"> platform </w:t>
      </w:r>
      <w:r w:rsidRPr="00726177">
        <w:rPr>
          <w:rFonts w:ascii="Arial" w:hAnsi="Arial" w:cs="Arial"/>
        </w:rPr>
        <w:t xml:space="preserve">must </w:t>
      </w:r>
      <w:r w:rsidR="00C062C1" w:rsidRPr="00726177">
        <w:rPr>
          <w:rFonts w:ascii="Arial" w:hAnsi="Arial" w:cs="Arial"/>
        </w:rPr>
        <w:t>r</w:t>
      </w:r>
      <w:r w:rsidRPr="00726177">
        <w:rPr>
          <w:rFonts w:ascii="Arial" w:hAnsi="Arial" w:cs="Arial"/>
        </w:rPr>
        <w:t>epor</w:t>
      </w:r>
      <w:r w:rsidR="00C062C1" w:rsidRPr="00726177">
        <w:rPr>
          <w:rFonts w:ascii="Arial" w:hAnsi="Arial" w:cs="Arial"/>
        </w:rPr>
        <w:t>t the transaction</w:t>
      </w:r>
      <w:r w:rsidRPr="00726177">
        <w:rPr>
          <w:rFonts w:ascii="Arial" w:hAnsi="Arial" w:cs="Arial"/>
        </w:rPr>
        <w:t>.</w:t>
      </w:r>
    </w:p>
    <w:p w14:paraId="72C2EC05" w14:textId="77777777" w:rsidR="001900C8" w:rsidRPr="00726177" w:rsidRDefault="001900C8" w:rsidP="00F73DA7">
      <w:pPr>
        <w:spacing w:after="120"/>
        <w:jc w:val="left"/>
        <w:rPr>
          <w:rFonts w:ascii="Arial" w:hAnsi="Arial" w:cs="Arial"/>
        </w:rPr>
      </w:pPr>
    </w:p>
    <w:p w14:paraId="056C7DFB" w14:textId="2E689144" w:rsidR="009165DC" w:rsidRPr="00726177" w:rsidRDefault="00EF779C" w:rsidP="00F73DA7">
      <w:pPr>
        <w:pStyle w:val="Heading4"/>
        <w:spacing w:before="0" w:after="120"/>
        <w:rPr>
          <w:rFonts w:ascii="Arial" w:hAnsi="Arial" w:cs="Arial"/>
          <w:color w:val="auto"/>
        </w:rPr>
      </w:pPr>
      <w:r w:rsidRPr="00726177">
        <w:rPr>
          <w:rFonts w:ascii="Arial" w:hAnsi="Arial" w:cs="Arial"/>
          <w:color w:val="auto"/>
        </w:rPr>
        <w:t>Scheduled</w:t>
      </w:r>
      <w:r w:rsidR="009165DC" w:rsidRPr="00726177">
        <w:rPr>
          <w:rFonts w:ascii="Arial" w:hAnsi="Arial" w:cs="Arial"/>
          <w:color w:val="auto"/>
        </w:rPr>
        <w:t xml:space="preserve"> </w:t>
      </w:r>
      <w:r w:rsidR="00E959A2" w:rsidRPr="00726177">
        <w:rPr>
          <w:rFonts w:ascii="Arial" w:hAnsi="Arial" w:cs="Arial"/>
          <w:color w:val="auto"/>
        </w:rPr>
        <w:t>p</w:t>
      </w:r>
      <w:r w:rsidR="009165DC" w:rsidRPr="00726177">
        <w:rPr>
          <w:rFonts w:ascii="Arial" w:hAnsi="Arial" w:cs="Arial"/>
          <w:color w:val="auto"/>
        </w:rPr>
        <w:t>assenger travel services</w:t>
      </w:r>
    </w:p>
    <w:p w14:paraId="3B0ECB6E" w14:textId="275443A7" w:rsidR="00601CD5" w:rsidRPr="00726177" w:rsidRDefault="00AB1480"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Paragraph </w:t>
      </w:r>
      <w:r w:rsidR="0B2C707A" w:rsidRPr="00726177">
        <w:rPr>
          <w:rFonts w:ascii="Arial" w:hAnsi="Arial" w:cs="Arial"/>
        </w:rPr>
        <w:t>8</w:t>
      </w:r>
      <w:r w:rsidR="00B07ED6" w:rsidRPr="00726177">
        <w:rPr>
          <w:rFonts w:ascii="Arial" w:hAnsi="Arial" w:cs="Arial"/>
        </w:rPr>
        <w:t xml:space="preserve">(d) </w:t>
      </w:r>
      <w:r w:rsidR="00A84CB1" w:rsidRPr="00726177">
        <w:rPr>
          <w:rFonts w:ascii="Arial" w:hAnsi="Arial" w:cs="Arial"/>
        </w:rPr>
        <w:t xml:space="preserve">of this instrument exempts </w:t>
      </w:r>
      <w:r w:rsidR="00B07ED6" w:rsidRPr="00726177">
        <w:rPr>
          <w:rFonts w:ascii="Arial" w:hAnsi="Arial" w:cs="Arial"/>
        </w:rPr>
        <w:t>transactions involving the suppl</w:t>
      </w:r>
      <w:r w:rsidR="00DB0F3B" w:rsidRPr="00726177">
        <w:rPr>
          <w:rFonts w:ascii="Arial" w:hAnsi="Arial" w:cs="Arial"/>
        </w:rPr>
        <w:t>y</w:t>
      </w:r>
      <w:r w:rsidR="00B07ED6" w:rsidRPr="00726177">
        <w:rPr>
          <w:rFonts w:ascii="Arial" w:hAnsi="Arial" w:cs="Arial"/>
        </w:rPr>
        <w:t xml:space="preserve"> of certain </w:t>
      </w:r>
      <w:r w:rsidR="00D54BEE" w:rsidRPr="00726177">
        <w:rPr>
          <w:rFonts w:ascii="Arial" w:hAnsi="Arial" w:cs="Arial"/>
        </w:rPr>
        <w:t xml:space="preserve">scheduled </w:t>
      </w:r>
      <w:r w:rsidR="009165DC" w:rsidRPr="00726177">
        <w:rPr>
          <w:rFonts w:ascii="Arial" w:hAnsi="Arial" w:cs="Arial"/>
        </w:rPr>
        <w:t>passenger travel services.</w:t>
      </w:r>
    </w:p>
    <w:p w14:paraId="0F52699F" w14:textId="77777777" w:rsidR="00601CD5" w:rsidRPr="00726177" w:rsidRDefault="00B07ED6"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A supply is one of </w:t>
      </w:r>
      <w:r w:rsidR="00D54BEE" w:rsidRPr="00726177">
        <w:rPr>
          <w:rFonts w:ascii="Arial" w:hAnsi="Arial" w:cs="Arial"/>
        </w:rPr>
        <w:t>scheduled</w:t>
      </w:r>
      <w:r w:rsidRPr="00726177">
        <w:rPr>
          <w:rFonts w:ascii="Arial" w:hAnsi="Arial" w:cs="Arial"/>
        </w:rPr>
        <w:t xml:space="preserve"> passenger travel service if</w:t>
      </w:r>
      <w:r w:rsidR="261314A9" w:rsidRPr="00726177">
        <w:rPr>
          <w:rFonts w:ascii="Arial" w:hAnsi="Arial" w:cs="Arial"/>
        </w:rPr>
        <w:t>:</w:t>
      </w:r>
    </w:p>
    <w:p w14:paraId="11D48A60" w14:textId="419F176C" w:rsidR="00B07ED6" w:rsidRPr="00726177" w:rsidRDefault="00B07ED6" w:rsidP="00447772">
      <w:pPr>
        <w:pStyle w:val="ListParagraph"/>
        <w:numPr>
          <w:ilvl w:val="0"/>
          <w:numId w:val="6"/>
        </w:numPr>
        <w:spacing w:after="120" w:line="240" w:lineRule="auto"/>
        <w:ind w:left="1418" w:hanging="709"/>
        <w:rPr>
          <w:rFonts w:ascii="Arial" w:hAnsi="Arial" w:cs="Arial"/>
        </w:rPr>
      </w:pPr>
      <w:r w:rsidRPr="00726177">
        <w:rPr>
          <w:rFonts w:ascii="Arial" w:hAnsi="Arial" w:cs="Arial"/>
        </w:rPr>
        <w:t xml:space="preserve">it is a passenger travel service </w:t>
      </w:r>
      <w:r w:rsidR="007312F3" w:rsidRPr="00726177">
        <w:rPr>
          <w:rFonts w:ascii="Arial" w:hAnsi="Arial" w:cs="Arial"/>
        </w:rPr>
        <w:t>(including</w:t>
      </w:r>
      <w:r w:rsidRPr="00726177">
        <w:rPr>
          <w:rFonts w:ascii="Arial" w:hAnsi="Arial" w:cs="Arial"/>
        </w:rPr>
        <w:t xml:space="preserve"> arranged tour</w:t>
      </w:r>
      <w:r w:rsidR="007312F3" w:rsidRPr="00726177">
        <w:rPr>
          <w:rFonts w:ascii="Arial" w:hAnsi="Arial" w:cs="Arial"/>
        </w:rPr>
        <w:t>s</w:t>
      </w:r>
      <w:r w:rsidRPr="00726177">
        <w:rPr>
          <w:rFonts w:ascii="Arial" w:hAnsi="Arial" w:cs="Arial"/>
        </w:rPr>
        <w:t xml:space="preserve"> </w:t>
      </w:r>
      <w:r w:rsidR="007312F3" w:rsidRPr="00726177">
        <w:rPr>
          <w:rFonts w:ascii="Arial" w:hAnsi="Arial" w:cs="Arial"/>
        </w:rPr>
        <w:t xml:space="preserve">and </w:t>
      </w:r>
      <w:r w:rsidRPr="00726177">
        <w:rPr>
          <w:rFonts w:ascii="Arial" w:hAnsi="Arial" w:cs="Arial"/>
        </w:rPr>
        <w:t xml:space="preserve">cruises) </w:t>
      </w:r>
      <w:r w:rsidR="007312F3" w:rsidRPr="00726177">
        <w:rPr>
          <w:rFonts w:ascii="Arial" w:hAnsi="Arial" w:cs="Arial"/>
        </w:rPr>
        <w:t xml:space="preserve">that is </w:t>
      </w:r>
      <w:r w:rsidRPr="00726177">
        <w:rPr>
          <w:rFonts w:ascii="Arial" w:hAnsi="Arial" w:cs="Arial"/>
        </w:rPr>
        <w:t xml:space="preserve">supplied as </w:t>
      </w:r>
      <w:r w:rsidR="00D54BEE" w:rsidRPr="00726177">
        <w:rPr>
          <w:rFonts w:ascii="Arial" w:hAnsi="Arial" w:cs="Arial"/>
        </w:rPr>
        <w:t xml:space="preserve">a </w:t>
      </w:r>
      <w:r w:rsidRPr="00726177">
        <w:rPr>
          <w:rFonts w:ascii="Arial" w:hAnsi="Arial" w:cs="Arial"/>
        </w:rPr>
        <w:t>scheduled service on</w:t>
      </w:r>
      <w:r w:rsidR="00D54BEE" w:rsidRPr="00726177">
        <w:rPr>
          <w:rFonts w:ascii="Arial" w:hAnsi="Arial" w:cs="Arial"/>
        </w:rPr>
        <w:t xml:space="preserve"> a</w:t>
      </w:r>
      <w:r w:rsidRPr="00726177">
        <w:rPr>
          <w:rFonts w:ascii="Arial" w:hAnsi="Arial" w:cs="Arial"/>
        </w:rPr>
        <w:t xml:space="preserve"> pre-defined route operated by the supplier</w:t>
      </w:r>
      <w:r w:rsidR="00480F0A" w:rsidRPr="00726177">
        <w:rPr>
          <w:rFonts w:ascii="Arial" w:hAnsi="Arial" w:cs="Arial"/>
        </w:rPr>
        <w:t>;</w:t>
      </w:r>
    </w:p>
    <w:p w14:paraId="7E4C0A00" w14:textId="58ADA818" w:rsidR="00B07ED6" w:rsidRPr="00726177" w:rsidRDefault="00B07ED6" w:rsidP="00447772">
      <w:pPr>
        <w:pStyle w:val="ListParagraph"/>
        <w:numPr>
          <w:ilvl w:val="0"/>
          <w:numId w:val="6"/>
        </w:numPr>
        <w:spacing w:after="120" w:line="240" w:lineRule="auto"/>
        <w:ind w:left="1418" w:hanging="709"/>
        <w:rPr>
          <w:rFonts w:ascii="Arial" w:hAnsi="Arial" w:cs="Arial"/>
        </w:rPr>
      </w:pPr>
      <w:r w:rsidRPr="00726177">
        <w:rPr>
          <w:rFonts w:ascii="Arial" w:hAnsi="Arial" w:cs="Arial"/>
        </w:rPr>
        <w:t>the price is set by the supplier</w:t>
      </w:r>
      <w:r w:rsidR="00480F0A" w:rsidRPr="00726177">
        <w:rPr>
          <w:rFonts w:ascii="Arial" w:hAnsi="Arial" w:cs="Arial"/>
        </w:rPr>
        <w:t>;</w:t>
      </w:r>
    </w:p>
    <w:p w14:paraId="409E2BDE" w14:textId="77777777" w:rsidR="00601CD5" w:rsidRPr="00726177" w:rsidRDefault="00395E28" w:rsidP="00447772">
      <w:pPr>
        <w:pStyle w:val="ListParagraph"/>
        <w:numPr>
          <w:ilvl w:val="0"/>
          <w:numId w:val="6"/>
        </w:numPr>
        <w:spacing w:after="120" w:line="240" w:lineRule="auto"/>
        <w:ind w:left="1418" w:hanging="709"/>
        <w:rPr>
          <w:rFonts w:ascii="Arial" w:hAnsi="Arial" w:cs="Arial"/>
        </w:rPr>
      </w:pPr>
      <w:r w:rsidRPr="00726177">
        <w:rPr>
          <w:rFonts w:ascii="Arial" w:hAnsi="Arial" w:cs="Arial"/>
        </w:rPr>
        <w:t xml:space="preserve">the </w:t>
      </w:r>
      <w:r w:rsidR="007312F3" w:rsidRPr="00726177">
        <w:rPr>
          <w:rFonts w:ascii="Arial" w:hAnsi="Arial" w:cs="Arial"/>
        </w:rPr>
        <w:t>terms</w:t>
      </w:r>
      <w:r w:rsidR="0076069D" w:rsidRPr="00726177">
        <w:rPr>
          <w:rFonts w:ascii="Arial" w:hAnsi="Arial" w:cs="Arial"/>
        </w:rPr>
        <w:t xml:space="preserve"> </w:t>
      </w:r>
      <w:r w:rsidR="00A93B5D" w:rsidRPr="00726177">
        <w:rPr>
          <w:rFonts w:ascii="Arial" w:hAnsi="Arial" w:cs="Arial"/>
        </w:rPr>
        <w:t xml:space="preserve">and conditions </w:t>
      </w:r>
      <w:r w:rsidR="0076069D" w:rsidRPr="00726177">
        <w:rPr>
          <w:rFonts w:ascii="Arial" w:hAnsi="Arial" w:cs="Arial"/>
        </w:rPr>
        <w:t>of the supply are</w:t>
      </w:r>
      <w:r w:rsidR="007312F3" w:rsidRPr="00726177">
        <w:rPr>
          <w:rFonts w:ascii="Arial" w:hAnsi="Arial" w:cs="Arial"/>
        </w:rPr>
        <w:t xml:space="preserve"> set by the supplier</w:t>
      </w:r>
      <w:r w:rsidR="00480F0A" w:rsidRPr="00726177">
        <w:rPr>
          <w:rFonts w:ascii="Arial" w:hAnsi="Arial" w:cs="Arial"/>
        </w:rPr>
        <w:t xml:space="preserve">; </w:t>
      </w:r>
      <w:r w:rsidR="00B56897" w:rsidRPr="00726177">
        <w:rPr>
          <w:rFonts w:ascii="Arial" w:hAnsi="Arial" w:cs="Arial"/>
        </w:rPr>
        <w:t>and</w:t>
      </w:r>
    </w:p>
    <w:p w14:paraId="7E455542" w14:textId="549704C0" w:rsidR="00B07ED6" w:rsidRPr="00726177" w:rsidRDefault="00B07ED6" w:rsidP="00447772">
      <w:pPr>
        <w:pStyle w:val="ListParagraph"/>
        <w:numPr>
          <w:ilvl w:val="0"/>
          <w:numId w:val="6"/>
        </w:numPr>
        <w:spacing w:after="120" w:line="240" w:lineRule="auto"/>
        <w:ind w:left="1418" w:hanging="709"/>
        <w:rPr>
          <w:rFonts w:ascii="Arial" w:hAnsi="Arial" w:cs="Arial"/>
        </w:rPr>
      </w:pPr>
      <w:r w:rsidRPr="00726177">
        <w:rPr>
          <w:rFonts w:ascii="Arial" w:hAnsi="Arial" w:cs="Arial"/>
        </w:rPr>
        <w:t xml:space="preserve">any member of the public may </w:t>
      </w:r>
      <w:r w:rsidR="00CA011F" w:rsidRPr="00726177">
        <w:rPr>
          <w:rFonts w:ascii="Arial" w:hAnsi="Arial" w:cs="Arial"/>
        </w:rPr>
        <w:t>book passage</w:t>
      </w:r>
      <w:r w:rsidR="00CB7745" w:rsidRPr="00726177">
        <w:rPr>
          <w:rFonts w:ascii="Arial" w:hAnsi="Arial" w:cs="Arial"/>
        </w:rPr>
        <w:t xml:space="preserve"> on it</w:t>
      </w:r>
      <w:r w:rsidRPr="00726177">
        <w:rPr>
          <w:rFonts w:ascii="Arial" w:hAnsi="Arial" w:cs="Arial"/>
        </w:rPr>
        <w:t>.</w:t>
      </w:r>
    </w:p>
    <w:p w14:paraId="2A161959" w14:textId="2E80BD24" w:rsidR="00D54BEE" w:rsidRPr="00726177" w:rsidRDefault="00D54BEE" w:rsidP="00F73DA7">
      <w:pPr>
        <w:numPr>
          <w:ilvl w:val="0"/>
          <w:numId w:val="1"/>
        </w:numPr>
        <w:tabs>
          <w:tab w:val="clear" w:pos="720"/>
        </w:tabs>
        <w:spacing w:after="120"/>
        <w:ind w:left="0" w:firstLine="0"/>
        <w:jc w:val="left"/>
        <w:rPr>
          <w:rFonts w:ascii="Arial" w:hAnsi="Arial" w:cs="Arial"/>
        </w:rPr>
      </w:pPr>
      <w:r w:rsidRPr="00726177">
        <w:rPr>
          <w:rFonts w:ascii="Arial" w:hAnsi="Arial" w:cs="Arial"/>
        </w:rPr>
        <w:lastRenderedPageBreak/>
        <w:t xml:space="preserve">A service does not cease to be a scheduled passenger travel service merely because the service itself may be cancelled or rescheduled, the price may be varied from time to time, or boarding may be denied </w:t>
      </w:r>
      <w:r w:rsidR="00CA011F" w:rsidRPr="00726177">
        <w:rPr>
          <w:rFonts w:ascii="Arial" w:hAnsi="Arial" w:cs="Arial"/>
        </w:rPr>
        <w:t xml:space="preserve">at </w:t>
      </w:r>
      <w:r w:rsidRPr="00726177">
        <w:rPr>
          <w:rFonts w:ascii="Arial" w:hAnsi="Arial" w:cs="Arial"/>
        </w:rPr>
        <w:t xml:space="preserve">the time of travel </w:t>
      </w:r>
      <w:r w:rsidR="00CA011F" w:rsidRPr="00726177">
        <w:rPr>
          <w:rFonts w:ascii="Arial" w:hAnsi="Arial" w:cs="Arial"/>
        </w:rPr>
        <w:t>(</w:t>
      </w:r>
      <w:r w:rsidRPr="00726177">
        <w:rPr>
          <w:rFonts w:ascii="Arial" w:hAnsi="Arial" w:cs="Arial"/>
        </w:rPr>
        <w:t>for example</w:t>
      </w:r>
      <w:r w:rsidR="00E94842" w:rsidRPr="00726177">
        <w:rPr>
          <w:rFonts w:ascii="Arial" w:hAnsi="Arial" w:cs="Arial"/>
        </w:rPr>
        <w:t>,</w:t>
      </w:r>
      <w:r w:rsidRPr="00726177">
        <w:rPr>
          <w:rFonts w:ascii="Arial" w:hAnsi="Arial" w:cs="Arial"/>
        </w:rPr>
        <w:t xml:space="preserve"> due to the behaviour of a</w:t>
      </w:r>
      <w:r w:rsidR="00CA011F" w:rsidRPr="00726177">
        <w:rPr>
          <w:rFonts w:ascii="Arial" w:hAnsi="Arial" w:cs="Arial"/>
        </w:rPr>
        <w:t xml:space="preserve"> </w:t>
      </w:r>
      <w:r w:rsidRPr="00726177">
        <w:rPr>
          <w:rFonts w:ascii="Arial" w:hAnsi="Arial" w:cs="Arial"/>
        </w:rPr>
        <w:t>passenger, weather, or overbooking</w:t>
      </w:r>
      <w:r w:rsidR="00CA011F" w:rsidRPr="00726177">
        <w:rPr>
          <w:rFonts w:ascii="Arial" w:hAnsi="Arial" w:cs="Arial"/>
        </w:rPr>
        <w:t>)</w:t>
      </w:r>
      <w:r w:rsidRPr="00726177">
        <w:rPr>
          <w:rFonts w:ascii="Arial" w:hAnsi="Arial" w:cs="Arial"/>
        </w:rPr>
        <w:t>.</w:t>
      </w:r>
    </w:p>
    <w:p w14:paraId="0739E885" w14:textId="77777777" w:rsidR="00601CD5" w:rsidRPr="00726177" w:rsidRDefault="00F24A5E"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The exemption for the supply of a scheduled passenger travel service does not apply to charter services, taxi travel, or situations where the supplier had made 9 or less places for the service available for booking through the EDP.</w:t>
      </w:r>
    </w:p>
    <w:p w14:paraId="663D6B77" w14:textId="55EB7ACB" w:rsidR="00F24A5E" w:rsidRPr="00726177" w:rsidRDefault="00F24A5E"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For the purposes of this instrument, a charter service means a passenger travel service where the customer</w:t>
      </w:r>
      <w:r w:rsidRPr="00726177">
        <w:rPr>
          <w:rFonts w:ascii="Arial" w:hAnsi="Arial" w:cs="Arial"/>
          <w:i/>
          <w:iCs/>
        </w:rPr>
        <w:t xml:space="preserve"> </w:t>
      </w:r>
      <w:r w:rsidRPr="00726177">
        <w:rPr>
          <w:rFonts w:ascii="Arial" w:hAnsi="Arial" w:cs="Arial"/>
        </w:rPr>
        <w:t xml:space="preserve">hires an entire aircraft, motor vehicle or vessel, and can specify or negotiate some or all of the conditions, or the nature of the services to be provided. A passenger travel service does not become a charter service merely because the passenger may select from pre-defined options set by the service provider – </w:t>
      </w:r>
      <w:r w:rsidR="00231E69" w:rsidRPr="00726177">
        <w:rPr>
          <w:rFonts w:ascii="Arial" w:hAnsi="Arial" w:cs="Arial"/>
        </w:rPr>
        <w:t>for example</w:t>
      </w:r>
      <w:r w:rsidRPr="00726177">
        <w:rPr>
          <w:rFonts w:ascii="Arial" w:hAnsi="Arial" w:cs="Arial"/>
        </w:rPr>
        <w:t>, different classes of booking, seat, or meal selection.</w:t>
      </w:r>
    </w:p>
    <w:p w14:paraId="3047A1BF" w14:textId="1FDB526E" w:rsidR="00811C91" w:rsidRPr="00726177" w:rsidRDefault="00811C91"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The transactions which are exempt under paragraph 8(d) are l</w:t>
      </w:r>
      <w:r w:rsidR="001F46FF" w:rsidRPr="00726177">
        <w:rPr>
          <w:rFonts w:ascii="Arial" w:hAnsi="Arial" w:cs="Arial"/>
        </w:rPr>
        <w:t xml:space="preserve">ess likely to involve sharing economy participants and are more likely to involve traditional travel and transit </w:t>
      </w:r>
      <w:r w:rsidR="001F46FF" w:rsidRPr="00C2733A">
        <w:rPr>
          <w:rFonts w:ascii="Arial" w:hAnsi="Arial" w:cs="Arial"/>
        </w:rPr>
        <w:t>businesses</w:t>
      </w:r>
      <w:r w:rsidR="001F46FF" w:rsidRPr="00726177">
        <w:rPr>
          <w:rFonts w:ascii="Arial" w:hAnsi="Arial" w:cs="Arial"/>
        </w:rPr>
        <w:t xml:space="preserve"> which have a lower risk of non-compliance.</w:t>
      </w:r>
    </w:p>
    <w:p w14:paraId="5D50AF90" w14:textId="77777777" w:rsidR="00F24A5E" w:rsidRPr="00726177" w:rsidRDefault="00F24A5E" w:rsidP="00F73DA7">
      <w:pPr>
        <w:spacing w:after="120"/>
        <w:jc w:val="left"/>
        <w:rPr>
          <w:rFonts w:ascii="Arial" w:hAnsi="Arial" w:cs="Arial"/>
        </w:rPr>
      </w:pPr>
    </w:p>
    <w:p w14:paraId="7B6C0066" w14:textId="675EAC5D" w:rsidR="00F24A5E" w:rsidRPr="00726177" w:rsidRDefault="00F24A5E" w:rsidP="00726177">
      <w:pPr>
        <w:spacing w:after="120"/>
        <w:ind w:left="709"/>
        <w:jc w:val="left"/>
        <w:rPr>
          <w:rFonts w:ascii="Arial" w:hAnsi="Arial" w:cs="Arial"/>
          <w:b/>
          <w:bCs/>
        </w:rPr>
      </w:pPr>
      <w:r w:rsidRPr="00726177">
        <w:rPr>
          <w:rFonts w:ascii="Arial" w:hAnsi="Arial" w:cs="Arial"/>
          <w:b/>
          <w:bCs/>
        </w:rPr>
        <w:t xml:space="preserve">Example </w:t>
      </w:r>
      <w:r w:rsidR="004A3FDD" w:rsidRPr="00726177">
        <w:rPr>
          <w:rFonts w:ascii="Arial" w:hAnsi="Arial" w:cs="Arial"/>
          <w:b/>
          <w:bCs/>
        </w:rPr>
        <w:t>8</w:t>
      </w:r>
      <w:r w:rsidRPr="00726177">
        <w:rPr>
          <w:rFonts w:ascii="Arial" w:hAnsi="Arial" w:cs="Arial"/>
          <w:b/>
          <w:bCs/>
        </w:rPr>
        <w:t xml:space="preserve"> – exempt booking for scheduled passenger travel service</w:t>
      </w:r>
    </w:p>
    <w:p w14:paraId="520CC988" w14:textId="77777777" w:rsidR="00601CD5" w:rsidRPr="00726177" w:rsidRDefault="00F24A5E" w:rsidP="00F73DA7">
      <w:pPr>
        <w:spacing w:after="120"/>
        <w:ind w:left="709"/>
        <w:jc w:val="left"/>
        <w:rPr>
          <w:rFonts w:ascii="Arial" w:hAnsi="Arial" w:cs="Arial"/>
        </w:rPr>
      </w:pPr>
      <w:r w:rsidRPr="00726177">
        <w:rPr>
          <w:rFonts w:ascii="Arial" w:hAnsi="Arial" w:cs="Arial"/>
        </w:rPr>
        <w:t>Karen uses the Great Holiday Deals platform to book a 5-night cruise from Melbourne to Hobart on the Very Big Cruise Ship cruise liner. The Very Big Cruise Ship operates cruise liner services on this route on a weekly basis, departing at 9am every Wednesday, and tickets are purchasable by members of the public at rates set by the supplier. Great Holiday Deals does not have to report this transaction as it is for the supply of a scheduled passenger travel service.</w:t>
      </w:r>
    </w:p>
    <w:p w14:paraId="4AD41C97" w14:textId="5399E5AC" w:rsidR="00F24A5E" w:rsidRPr="00726177" w:rsidRDefault="00F24A5E" w:rsidP="00F73DA7">
      <w:pPr>
        <w:spacing w:after="120"/>
        <w:jc w:val="left"/>
        <w:rPr>
          <w:rFonts w:ascii="Arial" w:hAnsi="Arial" w:cs="Arial"/>
        </w:rPr>
      </w:pPr>
    </w:p>
    <w:p w14:paraId="46599769" w14:textId="55A13C43" w:rsidR="00F24A5E" w:rsidRPr="00726177" w:rsidRDefault="00F24A5E" w:rsidP="00726177">
      <w:pPr>
        <w:spacing w:after="120"/>
        <w:ind w:left="709"/>
        <w:jc w:val="left"/>
        <w:rPr>
          <w:rFonts w:ascii="Arial" w:hAnsi="Arial" w:cs="Arial"/>
          <w:b/>
          <w:bCs/>
        </w:rPr>
      </w:pPr>
      <w:r w:rsidRPr="00726177">
        <w:rPr>
          <w:rFonts w:ascii="Arial" w:hAnsi="Arial" w:cs="Arial"/>
          <w:b/>
          <w:bCs/>
        </w:rPr>
        <w:t xml:space="preserve">Example </w:t>
      </w:r>
      <w:r w:rsidR="004A3FDD" w:rsidRPr="00726177">
        <w:rPr>
          <w:rFonts w:ascii="Arial" w:hAnsi="Arial" w:cs="Arial"/>
          <w:b/>
          <w:bCs/>
        </w:rPr>
        <w:t>9</w:t>
      </w:r>
      <w:r w:rsidRPr="00726177">
        <w:rPr>
          <w:rFonts w:ascii="Arial" w:hAnsi="Arial" w:cs="Arial"/>
          <w:b/>
          <w:bCs/>
        </w:rPr>
        <w:t xml:space="preserve"> – reportable transaction for chartered travel</w:t>
      </w:r>
    </w:p>
    <w:p w14:paraId="761266B7" w14:textId="77777777" w:rsidR="00F24A5E" w:rsidRPr="00726177" w:rsidRDefault="00F24A5E" w:rsidP="00F73DA7">
      <w:pPr>
        <w:spacing w:after="120"/>
        <w:ind w:left="709"/>
        <w:jc w:val="left"/>
        <w:rPr>
          <w:rFonts w:ascii="Arial" w:hAnsi="Arial" w:cs="Arial"/>
        </w:rPr>
      </w:pPr>
      <w:r w:rsidRPr="00726177">
        <w:rPr>
          <w:rFonts w:ascii="Arial" w:hAnsi="Arial" w:cs="Arial"/>
        </w:rPr>
        <w:t>Victor uses the Great Holiday Deals platform to book a scenic flight over the Hunter Valley, which is operated by local pilot, Krystal. Using the platform, Victor and Krystal negotiate the time, duration and cost of the flight and they agree that no other bookings will be taken for this flight. This transaction is a reportable transaction as it involves a charter service. It was not a scheduled passenger travel service because the flight was a not operated on a regular schedule, with a pre-defined route and a price set by the platform.</w:t>
      </w:r>
    </w:p>
    <w:p w14:paraId="32ECB757" w14:textId="77777777" w:rsidR="00F24A5E" w:rsidRPr="00726177" w:rsidRDefault="00F24A5E" w:rsidP="00F73DA7">
      <w:pPr>
        <w:spacing w:after="120"/>
        <w:jc w:val="left"/>
        <w:rPr>
          <w:rFonts w:ascii="Arial" w:hAnsi="Arial" w:cs="Arial"/>
        </w:rPr>
      </w:pPr>
    </w:p>
    <w:p w14:paraId="67470594" w14:textId="10D852EA" w:rsidR="00F24A5E" w:rsidRPr="00726177" w:rsidRDefault="00F24A5E" w:rsidP="00F73DA7">
      <w:pPr>
        <w:pStyle w:val="Heading4"/>
        <w:spacing w:before="0" w:after="120"/>
        <w:rPr>
          <w:rFonts w:ascii="Arial" w:hAnsi="Arial" w:cs="Arial"/>
          <w:color w:val="auto"/>
        </w:rPr>
      </w:pPr>
      <w:r w:rsidRPr="00726177">
        <w:rPr>
          <w:rFonts w:ascii="Arial" w:hAnsi="Arial" w:cs="Arial"/>
          <w:color w:val="auto"/>
        </w:rPr>
        <w:t>Scheduled events</w:t>
      </w:r>
    </w:p>
    <w:p w14:paraId="043936AC" w14:textId="77777777" w:rsidR="00ED5D75" w:rsidRPr="00726177" w:rsidRDefault="00F24A5E"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Paragraph </w:t>
      </w:r>
      <w:r w:rsidR="6C7FD5ED" w:rsidRPr="00726177">
        <w:rPr>
          <w:rFonts w:ascii="Arial" w:hAnsi="Arial" w:cs="Arial"/>
        </w:rPr>
        <w:t>8</w:t>
      </w:r>
      <w:r w:rsidRPr="00726177">
        <w:rPr>
          <w:rFonts w:ascii="Arial" w:hAnsi="Arial" w:cs="Arial"/>
        </w:rPr>
        <w:t>(e) of this instrument provides an exemption for a transaction involving the supply of a</w:t>
      </w:r>
      <w:r w:rsidR="00C620CF" w:rsidRPr="00726177">
        <w:rPr>
          <w:rFonts w:ascii="Arial" w:hAnsi="Arial" w:cs="Arial"/>
        </w:rPr>
        <w:t xml:space="preserve"> right to attend </w:t>
      </w:r>
      <w:r w:rsidR="00EE470A" w:rsidRPr="00726177">
        <w:rPr>
          <w:rFonts w:ascii="Arial" w:hAnsi="Arial" w:cs="Arial"/>
        </w:rPr>
        <w:t xml:space="preserve">or participate in </w:t>
      </w:r>
      <w:r w:rsidR="00C620CF" w:rsidRPr="00726177">
        <w:rPr>
          <w:rFonts w:ascii="Arial" w:hAnsi="Arial" w:cs="Arial"/>
        </w:rPr>
        <w:t xml:space="preserve">a </w:t>
      </w:r>
      <w:r w:rsidRPr="00726177">
        <w:rPr>
          <w:rFonts w:ascii="Arial" w:hAnsi="Arial" w:cs="Arial"/>
        </w:rPr>
        <w:t>scheduled event</w:t>
      </w:r>
      <w:r w:rsidR="00EE470A" w:rsidRPr="00726177">
        <w:rPr>
          <w:rFonts w:ascii="Arial" w:hAnsi="Arial" w:cs="Arial"/>
        </w:rPr>
        <w:t xml:space="preserve"> in certain circumstances</w:t>
      </w:r>
      <w:r w:rsidR="00C620CF" w:rsidRPr="00726177">
        <w:rPr>
          <w:rFonts w:ascii="Arial" w:hAnsi="Arial" w:cs="Arial"/>
        </w:rPr>
        <w:t xml:space="preserve">. The exemption </w:t>
      </w:r>
      <w:r w:rsidR="00480F0A" w:rsidRPr="00726177">
        <w:rPr>
          <w:rFonts w:ascii="Arial" w:hAnsi="Arial" w:cs="Arial"/>
        </w:rPr>
        <w:t>applies to events for which the</w:t>
      </w:r>
      <w:r w:rsidR="00C620CF" w:rsidRPr="00726177">
        <w:rPr>
          <w:rFonts w:ascii="Arial" w:hAnsi="Arial" w:cs="Arial"/>
        </w:rPr>
        <w:t xml:space="preserve"> </w:t>
      </w:r>
      <w:r w:rsidRPr="00726177">
        <w:rPr>
          <w:rFonts w:ascii="Arial" w:hAnsi="Arial" w:cs="Arial"/>
        </w:rPr>
        <w:t>supplier ha</w:t>
      </w:r>
      <w:r w:rsidR="00480F0A" w:rsidRPr="00726177">
        <w:rPr>
          <w:rFonts w:ascii="Arial" w:hAnsi="Arial" w:cs="Arial"/>
        </w:rPr>
        <w:t>s</w:t>
      </w:r>
      <w:r w:rsidRPr="00726177">
        <w:rPr>
          <w:rFonts w:ascii="Arial" w:hAnsi="Arial" w:cs="Arial"/>
        </w:rPr>
        <w:t xml:space="preserve"> made 200 or </w:t>
      </w:r>
      <w:r w:rsidR="00480F0A" w:rsidRPr="00726177">
        <w:rPr>
          <w:rFonts w:ascii="Arial" w:hAnsi="Arial" w:cs="Arial"/>
        </w:rPr>
        <w:t>more</w:t>
      </w:r>
      <w:r w:rsidRPr="00726177">
        <w:rPr>
          <w:rFonts w:ascii="Arial" w:hAnsi="Arial" w:cs="Arial"/>
        </w:rPr>
        <w:t xml:space="preserve"> places for the event available for booking on the platform.</w:t>
      </w:r>
    </w:p>
    <w:p w14:paraId="2F8C1A16" w14:textId="772FEA37" w:rsidR="00601CD5" w:rsidRPr="00726177" w:rsidRDefault="00480F0A"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Under the definition in section 4, an event is a scheduled event if</w:t>
      </w:r>
      <w:r w:rsidR="00537A10" w:rsidRPr="00726177">
        <w:rPr>
          <w:rFonts w:ascii="Arial" w:hAnsi="Arial" w:cs="Arial"/>
        </w:rPr>
        <w:t xml:space="preserve"> it is a one-off or temporary series of events in a particular location, and</w:t>
      </w:r>
      <w:r w:rsidRPr="00726177">
        <w:rPr>
          <w:rFonts w:ascii="Arial" w:hAnsi="Arial" w:cs="Arial"/>
        </w:rPr>
        <w:t>:</w:t>
      </w:r>
    </w:p>
    <w:p w14:paraId="7CD7D949" w14:textId="77777777" w:rsidR="00601CD5" w:rsidRPr="00726177" w:rsidRDefault="00D714F7" w:rsidP="00447772">
      <w:pPr>
        <w:pStyle w:val="ListParagraph"/>
        <w:numPr>
          <w:ilvl w:val="0"/>
          <w:numId w:val="3"/>
        </w:numPr>
        <w:spacing w:after="120" w:line="240" w:lineRule="auto"/>
        <w:ind w:left="1418" w:hanging="709"/>
        <w:rPr>
          <w:rFonts w:ascii="Arial" w:hAnsi="Arial" w:cs="Arial"/>
        </w:rPr>
      </w:pPr>
      <w:r w:rsidRPr="00726177">
        <w:rPr>
          <w:rFonts w:ascii="Arial" w:hAnsi="Arial" w:cs="Arial"/>
        </w:rPr>
        <w:t>the time</w:t>
      </w:r>
      <w:r w:rsidR="00B210D4" w:rsidRPr="00726177">
        <w:rPr>
          <w:rFonts w:ascii="Arial" w:hAnsi="Arial" w:cs="Arial"/>
        </w:rPr>
        <w:t xml:space="preserve">, price, and terms and conditions are </w:t>
      </w:r>
      <w:r w:rsidRPr="00726177">
        <w:rPr>
          <w:rFonts w:ascii="Arial" w:hAnsi="Arial" w:cs="Arial"/>
        </w:rPr>
        <w:t>set by the supplier</w:t>
      </w:r>
      <w:r w:rsidR="00BB1E00" w:rsidRPr="00726177">
        <w:rPr>
          <w:rFonts w:ascii="Arial" w:hAnsi="Arial" w:cs="Arial"/>
        </w:rPr>
        <w:t>;</w:t>
      </w:r>
      <w:r w:rsidR="00B210D4" w:rsidRPr="00726177">
        <w:rPr>
          <w:rFonts w:ascii="Arial" w:hAnsi="Arial" w:cs="Arial"/>
        </w:rPr>
        <w:t xml:space="preserve"> and</w:t>
      </w:r>
    </w:p>
    <w:p w14:paraId="41A79560" w14:textId="45D2A4EC" w:rsidR="00D714F7" w:rsidRPr="00726177" w:rsidRDefault="009B782A" w:rsidP="00447772">
      <w:pPr>
        <w:pStyle w:val="ListParagraph"/>
        <w:numPr>
          <w:ilvl w:val="0"/>
          <w:numId w:val="3"/>
        </w:numPr>
        <w:spacing w:after="120" w:line="240" w:lineRule="auto"/>
        <w:ind w:left="1418" w:hanging="709"/>
        <w:rPr>
          <w:rFonts w:ascii="Arial" w:hAnsi="Arial" w:cs="Arial"/>
        </w:rPr>
      </w:pPr>
      <w:r w:rsidRPr="00726177">
        <w:rPr>
          <w:rFonts w:ascii="Arial" w:hAnsi="Arial" w:cs="Arial"/>
        </w:rPr>
        <w:t xml:space="preserve">any </w:t>
      </w:r>
      <w:r w:rsidR="00D714F7" w:rsidRPr="00726177">
        <w:rPr>
          <w:rFonts w:ascii="Arial" w:hAnsi="Arial" w:cs="Arial"/>
        </w:rPr>
        <w:t>member of the public may book a</w:t>
      </w:r>
      <w:r w:rsidR="0016766F" w:rsidRPr="00726177">
        <w:rPr>
          <w:rFonts w:ascii="Arial" w:hAnsi="Arial" w:cs="Arial"/>
        </w:rPr>
        <w:t xml:space="preserve"> right (</w:t>
      </w:r>
      <w:r w:rsidR="00231E69" w:rsidRPr="00726177">
        <w:rPr>
          <w:rFonts w:ascii="Arial" w:hAnsi="Arial" w:cs="Arial"/>
        </w:rPr>
        <w:t>for example,</w:t>
      </w:r>
      <w:r w:rsidR="0016766F" w:rsidRPr="00726177">
        <w:rPr>
          <w:rFonts w:ascii="Arial" w:hAnsi="Arial" w:cs="Arial"/>
        </w:rPr>
        <w:t xml:space="preserve"> by </w:t>
      </w:r>
      <w:r w:rsidR="00537A10" w:rsidRPr="00726177">
        <w:rPr>
          <w:rFonts w:ascii="Arial" w:hAnsi="Arial" w:cs="Arial"/>
        </w:rPr>
        <w:t xml:space="preserve">buying </w:t>
      </w:r>
      <w:r w:rsidR="0016766F" w:rsidRPr="00726177">
        <w:rPr>
          <w:rFonts w:ascii="Arial" w:hAnsi="Arial" w:cs="Arial"/>
        </w:rPr>
        <w:t xml:space="preserve">a </w:t>
      </w:r>
      <w:r w:rsidR="00D714F7" w:rsidRPr="00726177">
        <w:rPr>
          <w:rFonts w:ascii="Arial" w:hAnsi="Arial" w:cs="Arial"/>
        </w:rPr>
        <w:t>ticket</w:t>
      </w:r>
      <w:r w:rsidR="0016766F" w:rsidRPr="00726177">
        <w:rPr>
          <w:rFonts w:ascii="Arial" w:hAnsi="Arial" w:cs="Arial"/>
        </w:rPr>
        <w:t>)</w:t>
      </w:r>
      <w:r w:rsidR="00D714F7" w:rsidRPr="00726177">
        <w:rPr>
          <w:rFonts w:ascii="Arial" w:hAnsi="Arial" w:cs="Arial"/>
        </w:rPr>
        <w:t xml:space="preserve"> to </w:t>
      </w:r>
      <w:r w:rsidR="00C620CF" w:rsidRPr="00726177">
        <w:rPr>
          <w:rFonts w:ascii="Arial" w:hAnsi="Arial" w:cs="Arial"/>
        </w:rPr>
        <w:t xml:space="preserve">attend </w:t>
      </w:r>
      <w:r w:rsidR="00B064DF" w:rsidRPr="00726177">
        <w:rPr>
          <w:rFonts w:ascii="Arial" w:hAnsi="Arial" w:cs="Arial"/>
        </w:rPr>
        <w:t xml:space="preserve">or participate in </w:t>
      </w:r>
      <w:r w:rsidR="00D714F7" w:rsidRPr="00726177">
        <w:rPr>
          <w:rFonts w:ascii="Arial" w:hAnsi="Arial" w:cs="Arial"/>
        </w:rPr>
        <w:t>the event</w:t>
      </w:r>
      <w:r w:rsidR="00091449" w:rsidRPr="00726177">
        <w:rPr>
          <w:rFonts w:ascii="Arial" w:hAnsi="Arial" w:cs="Arial"/>
        </w:rPr>
        <w:t>.</w:t>
      </w:r>
    </w:p>
    <w:p w14:paraId="1C8A50A9" w14:textId="77777777" w:rsidR="00ED5D75" w:rsidRPr="00726177" w:rsidRDefault="006A3514"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This includes things such as concerts, sporting events and festivals</w:t>
      </w:r>
      <w:r w:rsidR="00480F0A" w:rsidRPr="00726177">
        <w:rPr>
          <w:rFonts w:ascii="Arial" w:hAnsi="Arial" w:cs="Arial"/>
        </w:rPr>
        <w:t>.</w:t>
      </w:r>
      <w:r w:rsidR="001F46FF" w:rsidRPr="00726177">
        <w:rPr>
          <w:rFonts w:ascii="Arial" w:hAnsi="Arial" w:cs="Arial"/>
        </w:rPr>
        <w:t xml:space="preserve"> These transactions are exempt as events of this size and scale are unlikely to be operated by sharing economy participants.</w:t>
      </w:r>
    </w:p>
    <w:p w14:paraId="63695D29" w14:textId="3E995CCF" w:rsidR="006A3514" w:rsidRPr="00726177" w:rsidRDefault="006A3514" w:rsidP="00726177">
      <w:pPr>
        <w:spacing w:after="120"/>
        <w:jc w:val="left"/>
        <w:rPr>
          <w:rFonts w:ascii="Arial" w:hAnsi="Arial" w:cs="Arial"/>
        </w:rPr>
      </w:pPr>
    </w:p>
    <w:p w14:paraId="45D616A6" w14:textId="77777777" w:rsidR="00601CD5" w:rsidRPr="00726177" w:rsidRDefault="00F24A5E" w:rsidP="00F73DA7">
      <w:pPr>
        <w:pStyle w:val="Heading4"/>
        <w:spacing w:before="0" w:after="120"/>
        <w:rPr>
          <w:rFonts w:ascii="Arial" w:hAnsi="Arial" w:cs="Arial"/>
          <w:color w:val="auto"/>
        </w:rPr>
      </w:pPr>
      <w:r w:rsidRPr="00726177">
        <w:rPr>
          <w:rFonts w:ascii="Arial" w:hAnsi="Arial" w:cs="Arial"/>
          <w:color w:val="auto"/>
        </w:rPr>
        <w:lastRenderedPageBreak/>
        <w:t>Permanent attractions and experiences</w:t>
      </w:r>
    </w:p>
    <w:p w14:paraId="6005A61C" w14:textId="6356ECE7" w:rsidR="00601CD5" w:rsidRPr="00726177" w:rsidRDefault="00F24A5E"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Paragraph </w:t>
      </w:r>
      <w:r w:rsidR="02C212AF" w:rsidRPr="00726177">
        <w:rPr>
          <w:rFonts w:ascii="Arial" w:hAnsi="Arial" w:cs="Arial"/>
        </w:rPr>
        <w:t>8</w:t>
      </w:r>
      <w:r w:rsidRPr="00726177">
        <w:rPr>
          <w:rFonts w:ascii="Arial" w:hAnsi="Arial" w:cs="Arial"/>
        </w:rPr>
        <w:t xml:space="preserve">(f) of this instrument provides an exemption for a transaction involving the supply </w:t>
      </w:r>
      <w:r w:rsidR="001411E2" w:rsidRPr="00726177">
        <w:rPr>
          <w:rFonts w:ascii="Arial" w:hAnsi="Arial" w:cs="Arial"/>
        </w:rPr>
        <w:t>of a</w:t>
      </w:r>
      <w:r w:rsidR="007F76AF" w:rsidRPr="00726177">
        <w:rPr>
          <w:rFonts w:ascii="Arial" w:hAnsi="Arial" w:cs="Arial"/>
        </w:rPr>
        <w:t xml:space="preserve"> right to </w:t>
      </w:r>
      <w:r w:rsidR="00B210D4" w:rsidRPr="00726177">
        <w:rPr>
          <w:rFonts w:ascii="Arial" w:hAnsi="Arial" w:cs="Arial"/>
        </w:rPr>
        <w:t xml:space="preserve">attend or participate </w:t>
      </w:r>
      <w:r w:rsidR="004A43C9" w:rsidRPr="00726177">
        <w:rPr>
          <w:rFonts w:ascii="Arial" w:hAnsi="Arial" w:cs="Arial"/>
        </w:rPr>
        <w:t>in</w:t>
      </w:r>
      <w:r w:rsidR="00B210D4" w:rsidRPr="00726177">
        <w:rPr>
          <w:rFonts w:ascii="Arial" w:hAnsi="Arial" w:cs="Arial"/>
        </w:rPr>
        <w:t xml:space="preserve"> a</w:t>
      </w:r>
      <w:r w:rsidR="001411E2" w:rsidRPr="00726177">
        <w:rPr>
          <w:rFonts w:ascii="Arial" w:hAnsi="Arial" w:cs="Arial"/>
        </w:rPr>
        <w:t xml:space="preserve"> permanent attraction or experience</w:t>
      </w:r>
      <w:r w:rsidR="00B210D4" w:rsidRPr="00726177">
        <w:rPr>
          <w:rFonts w:ascii="Arial" w:hAnsi="Arial" w:cs="Arial"/>
        </w:rPr>
        <w:t xml:space="preserve"> in certain circumstances</w:t>
      </w:r>
      <w:r w:rsidR="00C620CF" w:rsidRPr="00726177">
        <w:rPr>
          <w:rFonts w:ascii="Arial" w:hAnsi="Arial" w:cs="Arial"/>
        </w:rPr>
        <w:t xml:space="preserve">. The exemption </w:t>
      </w:r>
      <w:r w:rsidR="00480F0A" w:rsidRPr="00726177">
        <w:rPr>
          <w:rFonts w:ascii="Arial" w:hAnsi="Arial" w:cs="Arial"/>
        </w:rPr>
        <w:t>applies if</w:t>
      </w:r>
      <w:r w:rsidR="001411E2" w:rsidRPr="00726177">
        <w:rPr>
          <w:rFonts w:ascii="Arial" w:hAnsi="Arial" w:cs="Arial"/>
        </w:rPr>
        <w:t xml:space="preserve"> the supplier ha</w:t>
      </w:r>
      <w:r w:rsidR="00480F0A" w:rsidRPr="00726177">
        <w:rPr>
          <w:rFonts w:ascii="Arial" w:hAnsi="Arial" w:cs="Arial"/>
        </w:rPr>
        <w:t>s</w:t>
      </w:r>
      <w:r w:rsidR="001411E2" w:rsidRPr="00726177">
        <w:rPr>
          <w:rFonts w:ascii="Arial" w:hAnsi="Arial" w:cs="Arial"/>
        </w:rPr>
        <w:t xml:space="preserve"> made 50 or </w:t>
      </w:r>
      <w:r w:rsidR="00480F0A" w:rsidRPr="00726177">
        <w:rPr>
          <w:rFonts w:ascii="Arial" w:hAnsi="Arial" w:cs="Arial"/>
        </w:rPr>
        <w:t>more</w:t>
      </w:r>
      <w:r w:rsidR="001411E2" w:rsidRPr="00726177">
        <w:rPr>
          <w:rFonts w:ascii="Arial" w:hAnsi="Arial" w:cs="Arial"/>
        </w:rPr>
        <w:t xml:space="preserve"> places for that attraction or experience available for booking on the platform each day it was open during the reporting period.</w:t>
      </w:r>
    </w:p>
    <w:p w14:paraId="650C13D7" w14:textId="77777777" w:rsidR="00601CD5" w:rsidRPr="00726177" w:rsidRDefault="0016766F"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A</w:t>
      </w:r>
      <w:r w:rsidR="00000FB5" w:rsidRPr="00726177">
        <w:rPr>
          <w:rFonts w:ascii="Arial" w:hAnsi="Arial" w:cs="Arial"/>
        </w:rPr>
        <w:t xml:space="preserve"> permanent </w:t>
      </w:r>
      <w:r w:rsidRPr="00726177">
        <w:rPr>
          <w:rFonts w:ascii="Arial" w:hAnsi="Arial" w:cs="Arial"/>
        </w:rPr>
        <w:t xml:space="preserve">attraction or experience is </w:t>
      </w:r>
      <w:r w:rsidR="00000FB5" w:rsidRPr="00726177">
        <w:rPr>
          <w:rFonts w:ascii="Arial" w:hAnsi="Arial" w:cs="Arial"/>
        </w:rPr>
        <w:t xml:space="preserve">defined </w:t>
      </w:r>
      <w:r w:rsidR="007A24AD" w:rsidRPr="00726177">
        <w:rPr>
          <w:rFonts w:ascii="Arial" w:hAnsi="Arial" w:cs="Arial"/>
        </w:rPr>
        <w:t xml:space="preserve">in section 4 </w:t>
      </w:r>
      <w:r w:rsidR="00000FB5" w:rsidRPr="00726177">
        <w:rPr>
          <w:rFonts w:ascii="Arial" w:hAnsi="Arial" w:cs="Arial"/>
        </w:rPr>
        <w:t>to mean an attraction or experience that is open to the public on a regular and ongoing basis, for which</w:t>
      </w:r>
      <w:r w:rsidRPr="00726177">
        <w:rPr>
          <w:rFonts w:ascii="Arial" w:hAnsi="Arial" w:cs="Arial"/>
        </w:rPr>
        <w:t>:</w:t>
      </w:r>
    </w:p>
    <w:p w14:paraId="1E40EC68" w14:textId="77777777" w:rsidR="00601CD5" w:rsidRPr="00726177" w:rsidRDefault="0016766F" w:rsidP="00447772">
      <w:pPr>
        <w:pStyle w:val="ListParagraph"/>
        <w:numPr>
          <w:ilvl w:val="0"/>
          <w:numId w:val="10"/>
        </w:numPr>
        <w:spacing w:after="120" w:line="240" w:lineRule="auto"/>
        <w:ind w:left="1418" w:hanging="709"/>
        <w:rPr>
          <w:rFonts w:ascii="Arial" w:hAnsi="Arial" w:cs="Arial"/>
        </w:rPr>
      </w:pPr>
      <w:r w:rsidRPr="00726177">
        <w:rPr>
          <w:rFonts w:ascii="Arial" w:hAnsi="Arial" w:cs="Arial"/>
        </w:rPr>
        <w:t xml:space="preserve">the </w:t>
      </w:r>
      <w:r w:rsidR="00000FB5" w:rsidRPr="00726177">
        <w:rPr>
          <w:rFonts w:ascii="Arial" w:hAnsi="Arial" w:cs="Arial"/>
        </w:rPr>
        <w:t xml:space="preserve">opening </w:t>
      </w:r>
      <w:r w:rsidRPr="00726177">
        <w:rPr>
          <w:rFonts w:ascii="Arial" w:hAnsi="Arial" w:cs="Arial"/>
        </w:rPr>
        <w:t>times</w:t>
      </w:r>
      <w:r w:rsidR="00000FB5" w:rsidRPr="00726177">
        <w:rPr>
          <w:rFonts w:ascii="Arial" w:hAnsi="Arial" w:cs="Arial"/>
        </w:rPr>
        <w:t xml:space="preserve">, price and terms and conditions are </w:t>
      </w:r>
      <w:r w:rsidRPr="00726177">
        <w:rPr>
          <w:rFonts w:ascii="Arial" w:hAnsi="Arial" w:cs="Arial"/>
        </w:rPr>
        <w:t>set by the supplier</w:t>
      </w:r>
      <w:r w:rsidR="00537A10" w:rsidRPr="00726177">
        <w:rPr>
          <w:rFonts w:ascii="Arial" w:hAnsi="Arial" w:cs="Arial"/>
        </w:rPr>
        <w:t>;</w:t>
      </w:r>
      <w:r w:rsidR="00000FB5" w:rsidRPr="00726177">
        <w:rPr>
          <w:rFonts w:ascii="Arial" w:hAnsi="Arial" w:cs="Arial"/>
        </w:rPr>
        <w:t xml:space="preserve"> and</w:t>
      </w:r>
    </w:p>
    <w:p w14:paraId="39EB5938" w14:textId="3D0DD025" w:rsidR="0016766F" w:rsidRPr="00726177" w:rsidRDefault="0016766F" w:rsidP="00447772">
      <w:pPr>
        <w:pStyle w:val="ListParagraph"/>
        <w:numPr>
          <w:ilvl w:val="0"/>
          <w:numId w:val="10"/>
        </w:numPr>
        <w:spacing w:after="120" w:line="240" w:lineRule="auto"/>
        <w:ind w:left="1418" w:hanging="709"/>
        <w:rPr>
          <w:rFonts w:ascii="Arial" w:hAnsi="Arial" w:cs="Arial"/>
        </w:rPr>
      </w:pPr>
      <w:r w:rsidRPr="00726177">
        <w:rPr>
          <w:rFonts w:ascii="Arial" w:hAnsi="Arial" w:cs="Arial"/>
        </w:rPr>
        <w:t>a</w:t>
      </w:r>
      <w:r w:rsidR="009B782A" w:rsidRPr="00726177">
        <w:rPr>
          <w:rFonts w:ascii="Arial" w:hAnsi="Arial" w:cs="Arial"/>
        </w:rPr>
        <w:t>ny</w:t>
      </w:r>
      <w:r w:rsidR="00E07D85" w:rsidRPr="00726177">
        <w:rPr>
          <w:rFonts w:ascii="Arial" w:hAnsi="Arial" w:cs="Arial"/>
        </w:rPr>
        <w:t xml:space="preserve"> </w:t>
      </w:r>
      <w:r w:rsidRPr="00726177">
        <w:rPr>
          <w:rFonts w:ascii="Arial" w:hAnsi="Arial" w:cs="Arial"/>
        </w:rPr>
        <w:t xml:space="preserve">member of the public may </w:t>
      </w:r>
      <w:r w:rsidR="00000FB5" w:rsidRPr="00726177">
        <w:rPr>
          <w:rFonts w:ascii="Arial" w:hAnsi="Arial" w:cs="Arial"/>
        </w:rPr>
        <w:t>make a booking</w:t>
      </w:r>
      <w:r w:rsidR="00A45A85" w:rsidRPr="00726177">
        <w:rPr>
          <w:rFonts w:ascii="Arial" w:hAnsi="Arial" w:cs="Arial"/>
        </w:rPr>
        <w:t xml:space="preserve"> (</w:t>
      </w:r>
      <w:r w:rsidR="00231E69" w:rsidRPr="00726177">
        <w:rPr>
          <w:rFonts w:ascii="Arial" w:hAnsi="Arial" w:cs="Arial"/>
        </w:rPr>
        <w:t>for example</w:t>
      </w:r>
      <w:r w:rsidR="00B613C4" w:rsidRPr="00726177">
        <w:rPr>
          <w:rFonts w:ascii="Arial" w:hAnsi="Arial" w:cs="Arial"/>
        </w:rPr>
        <w:t>,</w:t>
      </w:r>
      <w:r w:rsidR="00A45A85" w:rsidRPr="00726177">
        <w:rPr>
          <w:rFonts w:ascii="Arial" w:hAnsi="Arial" w:cs="Arial"/>
        </w:rPr>
        <w:t xml:space="preserve"> by </w:t>
      </w:r>
      <w:r w:rsidR="00537A10" w:rsidRPr="00726177">
        <w:rPr>
          <w:rFonts w:ascii="Arial" w:hAnsi="Arial" w:cs="Arial"/>
        </w:rPr>
        <w:t xml:space="preserve">buying </w:t>
      </w:r>
      <w:r w:rsidR="00A45A85" w:rsidRPr="00726177">
        <w:rPr>
          <w:rFonts w:ascii="Arial" w:hAnsi="Arial" w:cs="Arial"/>
        </w:rPr>
        <w:t>a ticket)</w:t>
      </w:r>
      <w:r w:rsidRPr="00726177">
        <w:rPr>
          <w:rFonts w:ascii="Arial" w:hAnsi="Arial" w:cs="Arial"/>
        </w:rPr>
        <w:t>.</w:t>
      </w:r>
    </w:p>
    <w:p w14:paraId="6F480E85" w14:textId="77777777" w:rsidR="00601CD5" w:rsidRPr="00726177" w:rsidRDefault="00000FB5"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 xml:space="preserve">This includes things such as theme parks, museums, zoos, skydiving, or driving track day experiences that are offered on an ongoing basis. It does not include one-off or temporary attractions or experiences that are only offered for a limited period of time or on an ad hoc basis. These types of things are scheduled events, as described </w:t>
      </w:r>
      <w:r w:rsidRPr="00C2733A">
        <w:rPr>
          <w:rFonts w:ascii="Arial" w:hAnsi="Arial" w:cs="Arial"/>
        </w:rPr>
        <w:t>above</w:t>
      </w:r>
      <w:r w:rsidRPr="00726177">
        <w:rPr>
          <w:rFonts w:ascii="Arial" w:hAnsi="Arial" w:cs="Arial"/>
        </w:rPr>
        <w:t>.</w:t>
      </w:r>
    </w:p>
    <w:p w14:paraId="08BF0F89" w14:textId="0527755E" w:rsidR="001F46FF" w:rsidRPr="00726177" w:rsidRDefault="001F46FF" w:rsidP="00F73DA7">
      <w:pPr>
        <w:numPr>
          <w:ilvl w:val="0"/>
          <w:numId w:val="1"/>
        </w:numPr>
        <w:tabs>
          <w:tab w:val="clear" w:pos="720"/>
        </w:tabs>
        <w:spacing w:after="120"/>
        <w:ind w:left="0" w:firstLine="0"/>
        <w:jc w:val="left"/>
        <w:rPr>
          <w:rFonts w:ascii="Arial" w:hAnsi="Arial" w:cs="Arial"/>
        </w:rPr>
      </w:pPr>
      <w:r w:rsidRPr="00726177">
        <w:rPr>
          <w:rFonts w:ascii="Arial" w:hAnsi="Arial" w:cs="Arial"/>
        </w:rPr>
        <w:t>The transactions which are exempted under paragraph 8(f) are considered low risk as suppliers offering that volume of places for booking each day are likely to be carrying on a business and are unlikely to be sharing economy participants.</w:t>
      </w:r>
    </w:p>
    <w:p w14:paraId="0A8558E5" w14:textId="3BBA25C7" w:rsidR="00E66EEE" w:rsidRPr="00726177" w:rsidRDefault="00E66EEE" w:rsidP="00726177">
      <w:pPr>
        <w:spacing w:after="120"/>
        <w:jc w:val="left"/>
        <w:rPr>
          <w:rFonts w:ascii="Arial" w:hAnsi="Arial" w:cs="Arial"/>
        </w:rPr>
      </w:pPr>
    </w:p>
    <w:p w14:paraId="59B0DDF7" w14:textId="77777777" w:rsidR="00601CD5" w:rsidRPr="00726177" w:rsidRDefault="00473C3B" w:rsidP="00F73DA7">
      <w:pPr>
        <w:pStyle w:val="Heading4"/>
        <w:spacing w:before="0" w:after="120"/>
        <w:rPr>
          <w:rFonts w:ascii="Arial" w:hAnsi="Arial" w:cs="Arial"/>
          <w:color w:val="auto"/>
        </w:rPr>
      </w:pPr>
      <w:r w:rsidRPr="00726177">
        <w:rPr>
          <w:rFonts w:ascii="Arial" w:hAnsi="Arial" w:cs="Arial"/>
          <w:color w:val="auto"/>
        </w:rPr>
        <w:t>Supplies of certain assets</w:t>
      </w:r>
    </w:p>
    <w:p w14:paraId="44EF2264" w14:textId="0ABCDFCE" w:rsidR="00601CD5" w:rsidRPr="00726177" w:rsidRDefault="00AB1480" w:rsidP="00F73DA7">
      <w:pPr>
        <w:numPr>
          <w:ilvl w:val="0"/>
          <w:numId w:val="1"/>
        </w:numPr>
        <w:spacing w:after="120"/>
        <w:ind w:left="0" w:firstLine="0"/>
        <w:jc w:val="left"/>
        <w:rPr>
          <w:rFonts w:ascii="Arial" w:hAnsi="Arial" w:cs="Arial"/>
        </w:rPr>
      </w:pPr>
      <w:r w:rsidRPr="00726177">
        <w:rPr>
          <w:rFonts w:ascii="Arial" w:hAnsi="Arial" w:cs="Arial"/>
        </w:rPr>
        <w:t>Paragraph</w:t>
      </w:r>
      <w:r w:rsidR="4F9AC31E" w:rsidRPr="00726177">
        <w:rPr>
          <w:rFonts w:ascii="Arial" w:hAnsi="Arial" w:cs="Arial"/>
        </w:rPr>
        <w:t xml:space="preserve"> </w:t>
      </w:r>
      <w:r w:rsidR="7B52D591" w:rsidRPr="00726177">
        <w:rPr>
          <w:rFonts w:ascii="Arial" w:hAnsi="Arial" w:cs="Arial"/>
        </w:rPr>
        <w:t>8</w:t>
      </w:r>
      <w:r w:rsidR="4F9AC31E" w:rsidRPr="00726177">
        <w:rPr>
          <w:rFonts w:ascii="Arial" w:hAnsi="Arial" w:cs="Arial"/>
        </w:rPr>
        <w:t>(</w:t>
      </w:r>
      <w:r w:rsidR="00E308B6" w:rsidRPr="00726177">
        <w:rPr>
          <w:rFonts w:ascii="Arial" w:hAnsi="Arial" w:cs="Arial"/>
        </w:rPr>
        <w:t>g</w:t>
      </w:r>
      <w:r w:rsidR="4F9AC31E" w:rsidRPr="00726177">
        <w:rPr>
          <w:rFonts w:ascii="Arial" w:hAnsi="Arial" w:cs="Arial"/>
        </w:rPr>
        <w:t xml:space="preserve">) </w:t>
      </w:r>
      <w:r w:rsidR="004544CA" w:rsidRPr="00726177">
        <w:rPr>
          <w:rFonts w:ascii="Arial" w:hAnsi="Arial" w:cs="Arial"/>
        </w:rPr>
        <w:t xml:space="preserve">of this instrument </w:t>
      </w:r>
      <w:r w:rsidR="00AA4ACE" w:rsidRPr="00726177">
        <w:rPr>
          <w:rFonts w:ascii="Arial" w:hAnsi="Arial" w:cs="Arial"/>
        </w:rPr>
        <w:t xml:space="preserve">exempts </w:t>
      </w:r>
      <w:r w:rsidR="7D9EB533" w:rsidRPr="00726177">
        <w:rPr>
          <w:rFonts w:ascii="Arial" w:hAnsi="Arial" w:cs="Arial"/>
        </w:rPr>
        <w:t>transactions</w:t>
      </w:r>
      <w:r w:rsidR="007F3C91" w:rsidRPr="00726177">
        <w:rPr>
          <w:rFonts w:ascii="Arial" w:hAnsi="Arial" w:cs="Arial"/>
        </w:rPr>
        <w:t xml:space="preserve"> </w:t>
      </w:r>
      <w:r w:rsidR="7D9EB533" w:rsidRPr="00726177">
        <w:rPr>
          <w:rFonts w:ascii="Arial" w:hAnsi="Arial" w:cs="Arial"/>
        </w:rPr>
        <w:t>involving</w:t>
      </w:r>
      <w:r w:rsidR="00AA4ACE" w:rsidRPr="00726177">
        <w:rPr>
          <w:rFonts w:ascii="Arial" w:hAnsi="Arial" w:cs="Arial"/>
        </w:rPr>
        <w:t xml:space="preserve"> the</w:t>
      </w:r>
      <w:r w:rsidR="411EEBA1" w:rsidRPr="00726177">
        <w:rPr>
          <w:rFonts w:ascii="Arial" w:hAnsi="Arial" w:cs="Arial"/>
        </w:rPr>
        <w:t xml:space="preserve"> </w:t>
      </w:r>
      <w:r w:rsidR="7D9EB533" w:rsidRPr="00726177">
        <w:rPr>
          <w:rFonts w:ascii="Arial" w:hAnsi="Arial" w:cs="Arial"/>
        </w:rPr>
        <w:t>rental or lease of assets</w:t>
      </w:r>
      <w:r w:rsidR="00BD716B" w:rsidRPr="00726177">
        <w:rPr>
          <w:rFonts w:ascii="Arial" w:hAnsi="Arial" w:cs="Arial"/>
        </w:rPr>
        <w:t>,</w:t>
      </w:r>
      <w:r w:rsidR="7D9EB533" w:rsidRPr="00726177">
        <w:rPr>
          <w:rFonts w:ascii="Arial" w:hAnsi="Arial" w:cs="Arial"/>
        </w:rPr>
        <w:t xml:space="preserve"> other than real property</w:t>
      </w:r>
      <w:r w:rsidR="000421C2" w:rsidRPr="00726177">
        <w:rPr>
          <w:rFonts w:ascii="Arial" w:hAnsi="Arial" w:cs="Arial"/>
        </w:rPr>
        <w:t>,</w:t>
      </w:r>
      <w:r w:rsidR="411EEBA1" w:rsidRPr="00726177">
        <w:rPr>
          <w:rFonts w:ascii="Arial" w:hAnsi="Arial" w:cs="Arial"/>
        </w:rPr>
        <w:t xml:space="preserve"> </w:t>
      </w:r>
      <w:r w:rsidR="00AA4ACE" w:rsidRPr="00726177">
        <w:rPr>
          <w:rFonts w:ascii="Arial" w:hAnsi="Arial" w:cs="Arial"/>
        </w:rPr>
        <w:t>where:</w:t>
      </w:r>
    </w:p>
    <w:p w14:paraId="2208D9B0" w14:textId="77777777" w:rsidR="00601CD5" w:rsidRPr="00726177" w:rsidRDefault="008023FA" w:rsidP="00447772">
      <w:pPr>
        <w:pStyle w:val="ListParagraph"/>
        <w:numPr>
          <w:ilvl w:val="0"/>
          <w:numId w:val="4"/>
        </w:numPr>
        <w:spacing w:after="120" w:line="240" w:lineRule="auto"/>
        <w:ind w:left="1418" w:hanging="709"/>
        <w:rPr>
          <w:rFonts w:ascii="Arial" w:hAnsi="Arial" w:cs="Arial"/>
        </w:rPr>
      </w:pPr>
      <w:r w:rsidRPr="00726177">
        <w:rPr>
          <w:rFonts w:ascii="Arial" w:hAnsi="Arial" w:cs="Arial"/>
        </w:rPr>
        <w:t xml:space="preserve">the </w:t>
      </w:r>
      <w:r w:rsidR="00AA4ACE" w:rsidRPr="00726177">
        <w:rPr>
          <w:rFonts w:ascii="Arial" w:hAnsi="Arial" w:cs="Arial"/>
        </w:rPr>
        <w:t xml:space="preserve">supply was not of </w:t>
      </w:r>
      <w:r w:rsidRPr="00726177">
        <w:rPr>
          <w:rFonts w:ascii="Arial" w:hAnsi="Arial" w:cs="Arial"/>
        </w:rPr>
        <w:t>a specific asset</w:t>
      </w:r>
      <w:r w:rsidR="00685EC0" w:rsidRPr="00726177">
        <w:rPr>
          <w:rFonts w:ascii="Arial" w:hAnsi="Arial" w:cs="Arial"/>
        </w:rPr>
        <w:t xml:space="preserve"> (that is</w:t>
      </w:r>
      <w:r w:rsidR="00AB1480" w:rsidRPr="00726177">
        <w:rPr>
          <w:rFonts w:ascii="Arial" w:hAnsi="Arial" w:cs="Arial"/>
        </w:rPr>
        <w:t>, the terms of the rental are such that the renter will receive an asset of a particular kind or class rather than a specific asset</w:t>
      </w:r>
      <w:r w:rsidR="007B65B8" w:rsidRPr="00726177">
        <w:rPr>
          <w:rFonts w:ascii="Arial" w:hAnsi="Arial" w:cs="Arial"/>
        </w:rPr>
        <w:t xml:space="preserve">); </w:t>
      </w:r>
      <w:r w:rsidR="00AB1480" w:rsidRPr="00726177">
        <w:rPr>
          <w:rFonts w:ascii="Arial" w:hAnsi="Arial" w:cs="Arial"/>
        </w:rPr>
        <w:t>and</w:t>
      </w:r>
    </w:p>
    <w:p w14:paraId="0A8C9DF9" w14:textId="25073F01" w:rsidR="00AA4ACE" w:rsidRPr="00726177" w:rsidRDefault="00C60B37" w:rsidP="00447772">
      <w:pPr>
        <w:pStyle w:val="ListParagraph"/>
        <w:numPr>
          <w:ilvl w:val="0"/>
          <w:numId w:val="4"/>
        </w:numPr>
        <w:spacing w:after="120" w:line="240" w:lineRule="auto"/>
        <w:ind w:left="1440" w:hanging="709"/>
        <w:rPr>
          <w:rFonts w:ascii="Arial" w:hAnsi="Arial" w:cs="Arial"/>
        </w:rPr>
      </w:pPr>
      <w:r w:rsidRPr="00726177">
        <w:rPr>
          <w:rFonts w:ascii="Arial" w:hAnsi="Arial" w:cs="Arial"/>
        </w:rPr>
        <w:t>the supplier ha</w:t>
      </w:r>
      <w:r w:rsidR="008C4AA2" w:rsidRPr="00726177">
        <w:rPr>
          <w:rFonts w:ascii="Arial" w:hAnsi="Arial" w:cs="Arial"/>
        </w:rPr>
        <w:t>d</w:t>
      </w:r>
      <w:r w:rsidRPr="00726177">
        <w:rPr>
          <w:rFonts w:ascii="Arial" w:hAnsi="Arial" w:cs="Arial"/>
        </w:rPr>
        <w:t xml:space="preserve"> </w:t>
      </w:r>
      <w:r w:rsidR="00BD716B" w:rsidRPr="00726177">
        <w:rPr>
          <w:rFonts w:ascii="Arial" w:hAnsi="Arial" w:cs="Arial"/>
        </w:rPr>
        <w:t xml:space="preserve">at least 50 assets available for booking on the platform each </w:t>
      </w:r>
      <w:r w:rsidR="00E308B6" w:rsidRPr="00726177">
        <w:rPr>
          <w:rFonts w:ascii="Arial" w:hAnsi="Arial" w:cs="Arial"/>
        </w:rPr>
        <w:t xml:space="preserve">day it was open </w:t>
      </w:r>
      <w:r w:rsidR="00BD716B" w:rsidRPr="00726177">
        <w:rPr>
          <w:rFonts w:ascii="Arial" w:hAnsi="Arial" w:cs="Arial"/>
        </w:rPr>
        <w:t>during the reporting period</w:t>
      </w:r>
      <w:r w:rsidR="00B71471" w:rsidRPr="00726177">
        <w:rPr>
          <w:rFonts w:ascii="Arial" w:hAnsi="Arial" w:cs="Arial"/>
        </w:rPr>
        <w:t>.</w:t>
      </w:r>
    </w:p>
    <w:p w14:paraId="7169CC96" w14:textId="5B660A3E" w:rsidR="00601CD5" w:rsidRPr="00726177" w:rsidRDefault="00B71471" w:rsidP="00F73DA7">
      <w:pPr>
        <w:numPr>
          <w:ilvl w:val="0"/>
          <w:numId w:val="1"/>
        </w:numPr>
        <w:spacing w:after="120"/>
        <w:ind w:left="0" w:firstLine="0"/>
        <w:jc w:val="left"/>
        <w:rPr>
          <w:rFonts w:ascii="Arial" w:hAnsi="Arial" w:cs="Arial"/>
        </w:rPr>
      </w:pPr>
      <w:r w:rsidRPr="00726177">
        <w:rPr>
          <w:rFonts w:ascii="Arial" w:hAnsi="Arial" w:cs="Arial"/>
        </w:rPr>
        <w:t xml:space="preserve">For the purposes of </w:t>
      </w:r>
      <w:r w:rsidR="000421C2" w:rsidRPr="00726177">
        <w:rPr>
          <w:rFonts w:ascii="Arial" w:hAnsi="Arial" w:cs="Arial"/>
        </w:rPr>
        <w:t>sub</w:t>
      </w:r>
      <w:r w:rsidRPr="00726177">
        <w:rPr>
          <w:rFonts w:ascii="Arial" w:hAnsi="Arial" w:cs="Arial"/>
        </w:rPr>
        <w:t xml:space="preserve">paragraph </w:t>
      </w:r>
      <w:r w:rsidR="150B190E" w:rsidRPr="00726177">
        <w:rPr>
          <w:rFonts w:ascii="Arial" w:hAnsi="Arial" w:cs="Arial"/>
        </w:rPr>
        <w:t>8</w:t>
      </w:r>
      <w:r w:rsidRPr="00726177">
        <w:rPr>
          <w:rFonts w:ascii="Arial" w:hAnsi="Arial" w:cs="Arial"/>
        </w:rPr>
        <w:t>(</w:t>
      </w:r>
      <w:r w:rsidR="00E308B6" w:rsidRPr="00726177">
        <w:rPr>
          <w:rFonts w:ascii="Arial" w:hAnsi="Arial" w:cs="Arial"/>
        </w:rPr>
        <w:t>g</w:t>
      </w:r>
      <w:r w:rsidRPr="00726177">
        <w:rPr>
          <w:rFonts w:ascii="Arial" w:hAnsi="Arial" w:cs="Arial"/>
        </w:rPr>
        <w:t xml:space="preserve">)(ii) of this exemption, an asset is </w:t>
      </w:r>
      <w:r w:rsidR="001C09DA" w:rsidRPr="00726177">
        <w:rPr>
          <w:rFonts w:ascii="Arial" w:hAnsi="Arial" w:cs="Arial"/>
        </w:rPr>
        <w:t xml:space="preserve">treated </w:t>
      </w:r>
      <w:r w:rsidRPr="00726177">
        <w:rPr>
          <w:rFonts w:ascii="Arial" w:hAnsi="Arial" w:cs="Arial"/>
        </w:rPr>
        <w:t xml:space="preserve">as </w:t>
      </w:r>
      <w:r w:rsidR="000421C2" w:rsidRPr="00726177">
        <w:rPr>
          <w:rFonts w:ascii="Arial" w:hAnsi="Arial" w:cs="Arial"/>
        </w:rPr>
        <w:t xml:space="preserve">being </w:t>
      </w:r>
      <w:r w:rsidR="00BD716B" w:rsidRPr="00726177">
        <w:rPr>
          <w:rFonts w:ascii="Arial" w:hAnsi="Arial" w:cs="Arial"/>
        </w:rPr>
        <w:t xml:space="preserve">available for booking </w:t>
      </w:r>
      <w:r w:rsidRPr="00726177">
        <w:rPr>
          <w:rFonts w:ascii="Arial" w:hAnsi="Arial" w:cs="Arial"/>
        </w:rPr>
        <w:t xml:space="preserve">on an EDP </w:t>
      </w:r>
      <w:r w:rsidR="00BD716B" w:rsidRPr="00726177">
        <w:rPr>
          <w:rFonts w:ascii="Arial" w:hAnsi="Arial" w:cs="Arial"/>
        </w:rPr>
        <w:t xml:space="preserve">on a day </w:t>
      </w:r>
      <w:r w:rsidRPr="00726177">
        <w:rPr>
          <w:rFonts w:ascii="Arial" w:hAnsi="Arial" w:cs="Arial"/>
        </w:rPr>
        <w:t>if it had already been rented or leased</w:t>
      </w:r>
      <w:r w:rsidR="00D31283" w:rsidRPr="00726177">
        <w:rPr>
          <w:rFonts w:ascii="Arial" w:hAnsi="Arial" w:cs="Arial"/>
        </w:rPr>
        <w:t xml:space="preserve"> </w:t>
      </w:r>
      <w:r w:rsidR="001C09DA" w:rsidRPr="00726177">
        <w:rPr>
          <w:rFonts w:ascii="Arial" w:hAnsi="Arial" w:cs="Arial"/>
        </w:rPr>
        <w:t>for</w:t>
      </w:r>
      <w:r w:rsidR="00BD716B" w:rsidRPr="00726177">
        <w:rPr>
          <w:rFonts w:ascii="Arial" w:hAnsi="Arial" w:cs="Arial"/>
        </w:rPr>
        <w:t xml:space="preserve"> that </w:t>
      </w:r>
      <w:proofErr w:type="gramStart"/>
      <w:r w:rsidR="00BD716B" w:rsidRPr="00726177">
        <w:rPr>
          <w:rFonts w:ascii="Arial" w:hAnsi="Arial" w:cs="Arial"/>
        </w:rPr>
        <w:t xml:space="preserve">day, </w:t>
      </w:r>
      <w:r w:rsidR="00D31283" w:rsidRPr="00726177">
        <w:rPr>
          <w:rFonts w:ascii="Arial" w:hAnsi="Arial" w:cs="Arial"/>
        </w:rPr>
        <w:t>or</w:t>
      </w:r>
      <w:proofErr w:type="gramEnd"/>
      <w:r w:rsidR="00D31283" w:rsidRPr="00726177">
        <w:rPr>
          <w:rFonts w:ascii="Arial" w:hAnsi="Arial" w:cs="Arial"/>
        </w:rPr>
        <w:t xml:space="preserve"> is </w:t>
      </w:r>
      <w:r w:rsidR="007B65B8" w:rsidRPr="00726177">
        <w:rPr>
          <w:rFonts w:ascii="Arial" w:hAnsi="Arial" w:cs="Arial"/>
        </w:rPr>
        <w:t xml:space="preserve">otherwise </w:t>
      </w:r>
      <w:r w:rsidR="00D31283" w:rsidRPr="00726177">
        <w:rPr>
          <w:rFonts w:ascii="Arial" w:hAnsi="Arial" w:cs="Arial"/>
        </w:rPr>
        <w:t>temporarily</w:t>
      </w:r>
      <w:r w:rsidR="00003C1B" w:rsidRPr="00726177">
        <w:rPr>
          <w:rFonts w:ascii="Arial" w:hAnsi="Arial" w:cs="Arial"/>
        </w:rPr>
        <w:t xml:space="preserve"> unavailable</w:t>
      </w:r>
      <w:r w:rsidR="007B65B8" w:rsidRPr="00726177">
        <w:rPr>
          <w:rFonts w:ascii="Arial" w:hAnsi="Arial" w:cs="Arial"/>
        </w:rPr>
        <w:t xml:space="preserve"> for booking.</w:t>
      </w:r>
      <w:r w:rsidR="00410FFD" w:rsidRPr="00726177">
        <w:rPr>
          <w:rFonts w:ascii="Arial" w:hAnsi="Arial" w:cs="Arial"/>
        </w:rPr>
        <w:t xml:space="preserve"> </w:t>
      </w:r>
      <w:r w:rsidR="001F46FF" w:rsidRPr="00726177">
        <w:rPr>
          <w:rFonts w:ascii="Arial" w:hAnsi="Arial" w:cs="Arial"/>
        </w:rPr>
        <w:t>These transactions are exempted because the suppliers are unlikely to be sharing economy participants and are more likely to be compliant with their taxation obligations.</w:t>
      </w:r>
    </w:p>
    <w:p w14:paraId="0CC6241A" w14:textId="489403FD" w:rsidR="00B71471" w:rsidRPr="00726177" w:rsidRDefault="00B71471" w:rsidP="00F73DA7">
      <w:pPr>
        <w:spacing w:after="120"/>
        <w:jc w:val="left"/>
        <w:rPr>
          <w:rFonts w:ascii="Arial" w:hAnsi="Arial" w:cs="Arial"/>
        </w:rPr>
      </w:pPr>
    </w:p>
    <w:p w14:paraId="75D19867" w14:textId="46935429" w:rsidR="00AB1480" w:rsidRPr="00726177" w:rsidRDefault="00AB1480" w:rsidP="00726177">
      <w:pPr>
        <w:spacing w:after="120"/>
        <w:ind w:left="709"/>
        <w:jc w:val="left"/>
        <w:rPr>
          <w:rFonts w:ascii="Arial" w:hAnsi="Arial" w:cs="Arial"/>
          <w:b/>
          <w:bCs/>
        </w:rPr>
      </w:pPr>
      <w:r w:rsidRPr="00726177">
        <w:rPr>
          <w:rFonts w:ascii="Arial" w:hAnsi="Arial" w:cs="Arial"/>
          <w:b/>
          <w:bCs/>
        </w:rPr>
        <w:t>Example</w:t>
      </w:r>
      <w:r w:rsidR="007F1341" w:rsidRPr="00726177">
        <w:rPr>
          <w:rFonts w:ascii="Arial" w:hAnsi="Arial" w:cs="Arial"/>
          <w:b/>
          <w:bCs/>
        </w:rPr>
        <w:t xml:space="preserve"> </w:t>
      </w:r>
      <w:r w:rsidR="004A3FDD" w:rsidRPr="00726177">
        <w:rPr>
          <w:rFonts w:ascii="Arial" w:hAnsi="Arial" w:cs="Arial"/>
          <w:b/>
          <w:bCs/>
        </w:rPr>
        <w:t>10</w:t>
      </w:r>
      <w:r w:rsidR="002D450E" w:rsidRPr="00726177">
        <w:rPr>
          <w:rFonts w:ascii="Arial" w:hAnsi="Arial" w:cs="Arial"/>
          <w:b/>
          <w:bCs/>
        </w:rPr>
        <w:t xml:space="preserve"> </w:t>
      </w:r>
      <w:r w:rsidRPr="00726177">
        <w:rPr>
          <w:rFonts w:ascii="Arial" w:hAnsi="Arial" w:cs="Arial"/>
          <w:b/>
          <w:bCs/>
        </w:rPr>
        <w:t xml:space="preserve">– reportable transaction for </w:t>
      </w:r>
      <w:r w:rsidR="00AF3328" w:rsidRPr="00726177">
        <w:rPr>
          <w:rFonts w:ascii="Arial" w:hAnsi="Arial" w:cs="Arial"/>
          <w:b/>
          <w:bCs/>
        </w:rPr>
        <w:t xml:space="preserve">supply of </w:t>
      </w:r>
      <w:r w:rsidRPr="00726177">
        <w:rPr>
          <w:rFonts w:ascii="Arial" w:hAnsi="Arial" w:cs="Arial"/>
          <w:b/>
          <w:bCs/>
        </w:rPr>
        <w:t>asset hire</w:t>
      </w:r>
    </w:p>
    <w:p w14:paraId="5DC873C1" w14:textId="1D107B3E" w:rsidR="00282031" w:rsidRPr="00726177" w:rsidRDefault="00AF3328" w:rsidP="00F73DA7">
      <w:pPr>
        <w:spacing w:after="120"/>
        <w:ind w:left="709"/>
        <w:jc w:val="left"/>
        <w:rPr>
          <w:rFonts w:ascii="Arial" w:hAnsi="Arial" w:cs="Arial"/>
        </w:rPr>
      </w:pPr>
      <w:r w:rsidRPr="00726177">
        <w:rPr>
          <w:rFonts w:ascii="Arial" w:hAnsi="Arial" w:cs="Arial"/>
        </w:rPr>
        <w:t>Liz</w:t>
      </w:r>
      <w:r w:rsidR="00B26A5C" w:rsidRPr="00726177">
        <w:rPr>
          <w:rFonts w:ascii="Arial" w:hAnsi="Arial" w:cs="Arial"/>
        </w:rPr>
        <w:t>a</w:t>
      </w:r>
      <w:r w:rsidRPr="00726177">
        <w:rPr>
          <w:rFonts w:ascii="Arial" w:hAnsi="Arial" w:cs="Arial"/>
        </w:rPr>
        <w:t xml:space="preserve"> uses the Share My Ride platform to arrange a hire car for a few hours. Liz</w:t>
      </w:r>
      <w:r w:rsidR="00FC1BA9" w:rsidRPr="00726177">
        <w:rPr>
          <w:rFonts w:ascii="Arial" w:hAnsi="Arial" w:cs="Arial"/>
        </w:rPr>
        <w:t>a</w:t>
      </w:r>
      <w:r w:rsidRPr="00726177">
        <w:rPr>
          <w:rFonts w:ascii="Arial" w:hAnsi="Arial" w:cs="Arial"/>
        </w:rPr>
        <w:t xml:space="preserve"> uses the platform to view </w:t>
      </w:r>
      <w:r w:rsidR="00282031" w:rsidRPr="00726177">
        <w:rPr>
          <w:rFonts w:ascii="Arial" w:hAnsi="Arial" w:cs="Arial"/>
        </w:rPr>
        <w:t>cars listed as available at the time she needs and then contacts Mar</w:t>
      </w:r>
      <w:r w:rsidR="00FC1BA9" w:rsidRPr="00726177">
        <w:rPr>
          <w:rFonts w:ascii="Arial" w:hAnsi="Arial" w:cs="Arial"/>
        </w:rPr>
        <w:t>co</w:t>
      </w:r>
      <w:r w:rsidR="00282031" w:rsidRPr="00726177">
        <w:rPr>
          <w:rFonts w:ascii="Arial" w:hAnsi="Arial" w:cs="Arial"/>
        </w:rPr>
        <w:t xml:space="preserve"> to arrange to hire his Toyota Camry</w:t>
      </w:r>
      <w:r w:rsidR="00AA4ACE" w:rsidRPr="00726177">
        <w:rPr>
          <w:rFonts w:ascii="Arial" w:hAnsi="Arial" w:cs="Arial"/>
        </w:rPr>
        <w:t>.</w:t>
      </w:r>
      <w:r w:rsidR="00282031" w:rsidRPr="00726177">
        <w:rPr>
          <w:rFonts w:ascii="Arial" w:hAnsi="Arial" w:cs="Arial"/>
        </w:rPr>
        <w:t xml:space="preserve"> </w:t>
      </w:r>
      <w:r w:rsidR="00AA4ACE" w:rsidRPr="00726177">
        <w:rPr>
          <w:rFonts w:ascii="Arial" w:hAnsi="Arial" w:cs="Arial"/>
        </w:rPr>
        <w:t xml:space="preserve">Liza then </w:t>
      </w:r>
      <w:r w:rsidR="00282031" w:rsidRPr="00726177">
        <w:rPr>
          <w:rFonts w:ascii="Arial" w:hAnsi="Arial" w:cs="Arial"/>
        </w:rPr>
        <w:t xml:space="preserve">pays for the hire through the Share My Ride platform. </w:t>
      </w:r>
      <w:r w:rsidRPr="00726177">
        <w:rPr>
          <w:rFonts w:ascii="Arial" w:hAnsi="Arial" w:cs="Arial"/>
        </w:rPr>
        <w:t>Th</w:t>
      </w:r>
      <w:r w:rsidR="00282031" w:rsidRPr="00726177">
        <w:rPr>
          <w:rFonts w:ascii="Arial" w:hAnsi="Arial" w:cs="Arial"/>
        </w:rPr>
        <w:t xml:space="preserve">is transaction is not </w:t>
      </w:r>
      <w:r w:rsidRPr="00726177">
        <w:rPr>
          <w:rFonts w:ascii="Arial" w:hAnsi="Arial" w:cs="Arial"/>
        </w:rPr>
        <w:t xml:space="preserve">exempted under paragraph </w:t>
      </w:r>
      <w:r w:rsidR="02F86500" w:rsidRPr="00726177">
        <w:rPr>
          <w:rFonts w:ascii="Arial" w:hAnsi="Arial" w:cs="Arial"/>
        </w:rPr>
        <w:t>8</w:t>
      </w:r>
      <w:r w:rsidRPr="00726177">
        <w:rPr>
          <w:rFonts w:ascii="Arial" w:hAnsi="Arial" w:cs="Arial"/>
        </w:rPr>
        <w:t>(</w:t>
      </w:r>
      <w:r w:rsidR="00C44E82" w:rsidRPr="00726177">
        <w:rPr>
          <w:rFonts w:ascii="Arial" w:hAnsi="Arial" w:cs="Arial"/>
        </w:rPr>
        <w:t>g</w:t>
      </w:r>
      <w:r w:rsidRPr="00726177">
        <w:rPr>
          <w:rFonts w:ascii="Arial" w:hAnsi="Arial" w:cs="Arial"/>
        </w:rPr>
        <w:t xml:space="preserve">) </w:t>
      </w:r>
      <w:r w:rsidR="00282031" w:rsidRPr="00726177">
        <w:rPr>
          <w:rFonts w:ascii="Arial" w:hAnsi="Arial" w:cs="Arial"/>
        </w:rPr>
        <w:t>because the agreement between Mar</w:t>
      </w:r>
      <w:r w:rsidR="00FC1BA9" w:rsidRPr="00726177">
        <w:rPr>
          <w:rFonts w:ascii="Arial" w:hAnsi="Arial" w:cs="Arial"/>
        </w:rPr>
        <w:t>co</w:t>
      </w:r>
      <w:r w:rsidR="00282031" w:rsidRPr="00726177">
        <w:rPr>
          <w:rFonts w:ascii="Arial" w:hAnsi="Arial" w:cs="Arial"/>
        </w:rPr>
        <w:t xml:space="preserve"> and Liz</w:t>
      </w:r>
      <w:r w:rsidR="00FC1BA9" w:rsidRPr="00726177">
        <w:rPr>
          <w:rFonts w:ascii="Arial" w:hAnsi="Arial" w:cs="Arial"/>
        </w:rPr>
        <w:t>a</w:t>
      </w:r>
      <w:r w:rsidR="00282031" w:rsidRPr="00726177">
        <w:rPr>
          <w:rFonts w:ascii="Arial" w:hAnsi="Arial" w:cs="Arial"/>
        </w:rPr>
        <w:t xml:space="preserve"> relates to the supply of a specific car</w:t>
      </w:r>
      <w:r w:rsidR="00AA4ACE" w:rsidRPr="00726177">
        <w:rPr>
          <w:rFonts w:ascii="Arial" w:hAnsi="Arial" w:cs="Arial"/>
        </w:rPr>
        <w:t xml:space="preserve"> –</w:t>
      </w:r>
      <w:r w:rsidR="00282031" w:rsidRPr="00726177">
        <w:rPr>
          <w:rFonts w:ascii="Arial" w:hAnsi="Arial" w:cs="Arial"/>
        </w:rPr>
        <w:t xml:space="preserve"> </w:t>
      </w:r>
      <w:r w:rsidR="00003C1B" w:rsidRPr="00726177">
        <w:rPr>
          <w:rFonts w:ascii="Arial" w:hAnsi="Arial" w:cs="Arial"/>
        </w:rPr>
        <w:t>Marco’s</w:t>
      </w:r>
      <w:r w:rsidR="00282031" w:rsidRPr="00726177">
        <w:rPr>
          <w:rFonts w:ascii="Arial" w:hAnsi="Arial" w:cs="Arial"/>
        </w:rPr>
        <w:t xml:space="preserve"> Toyota Camry</w:t>
      </w:r>
      <w:r w:rsidR="00AA4ACE" w:rsidRPr="00726177">
        <w:rPr>
          <w:rFonts w:ascii="Arial" w:hAnsi="Arial" w:cs="Arial"/>
        </w:rPr>
        <w:t xml:space="preserve"> –</w:t>
      </w:r>
      <w:r w:rsidR="00282031" w:rsidRPr="00726177">
        <w:rPr>
          <w:rFonts w:ascii="Arial" w:hAnsi="Arial" w:cs="Arial"/>
        </w:rPr>
        <w:t xml:space="preserve"> rather than the supply of a vehicle that belongs to a particular class.</w:t>
      </w:r>
    </w:p>
    <w:p w14:paraId="130114C0" w14:textId="77777777" w:rsidR="00B26A5C" w:rsidRPr="00726177" w:rsidRDefault="00B26A5C" w:rsidP="00F73DA7">
      <w:pPr>
        <w:spacing w:after="120"/>
        <w:jc w:val="left"/>
        <w:rPr>
          <w:rFonts w:ascii="Arial" w:hAnsi="Arial" w:cs="Arial"/>
        </w:rPr>
      </w:pPr>
    </w:p>
    <w:p w14:paraId="209EF546" w14:textId="7B12A16A" w:rsidR="00AF3328" w:rsidRPr="00726177" w:rsidRDefault="00AF3328" w:rsidP="00726177">
      <w:pPr>
        <w:spacing w:after="120"/>
        <w:ind w:left="709"/>
        <w:jc w:val="left"/>
        <w:rPr>
          <w:rFonts w:ascii="Arial" w:hAnsi="Arial" w:cs="Arial"/>
          <w:b/>
          <w:bCs/>
        </w:rPr>
      </w:pPr>
      <w:r w:rsidRPr="00726177">
        <w:rPr>
          <w:rFonts w:ascii="Arial" w:hAnsi="Arial" w:cs="Arial"/>
          <w:b/>
          <w:bCs/>
        </w:rPr>
        <w:t>Example</w:t>
      </w:r>
      <w:r w:rsidR="007F1341" w:rsidRPr="00726177">
        <w:rPr>
          <w:rFonts w:ascii="Arial" w:hAnsi="Arial" w:cs="Arial"/>
          <w:b/>
          <w:bCs/>
        </w:rPr>
        <w:t xml:space="preserve"> </w:t>
      </w:r>
      <w:r w:rsidR="38401B0F" w:rsidRPr="00726177">
        <w:rPr>
          <w:rFonts w:ascii="Arial" w:hAnsi="Arial" w:cs="Arial"/>
          <w:b/>
          <w:bCs/>
        </w:rPr>
        <w:t>1</w:t>
      </w:r>
      <w:r w:rsidR="004A3FDD" w:rsidRPr="00726177">
        <w:rPr>
          <w:rFonts w:ascii="Arial" w:hAnsi="Arial" w:cs="Arial"/>
          <w:b/>
          <w:bCs/>
        </w:rPr>
        <w:t>1</w:t>
      </w:r>
      <w:r w:rsidR="002D450E" w:rsidRPr="00726177">
        <w:rPr>
          <w:rFonts w:ascii="Arial" w:hAnsi="Arial" w:cs="Arial"/>
          <w:b/>
          <w:bCs/>
        </w:rPr>
        <w:t xml:space="preserve"> </w:t>
      </w:r>
      <w:r w:rsidRPr="00726177">
        <w:rPr>
          <w:rFonts w:ascii="Arial" w:hAnsi="Arial" w:cs="Arial"/>
          <w:b/>
          <w:bCs/>
        </w:rPr>
        <w:t>– exempted transaction for supply of asset hire</w:t>
      </w:r>
    </w:p>
    <w:p w14:paraId="3AC76905" w14:textId="14C75500" w:rsidR="00282031" w:rsidRPr="00726177" w:rsidRDefault="00282031" w:rsidP="00F73DA7">
      <w:pPr>
        <w:spacing w:after="120"/>
        <w:ind w:left="709"/>
        <w:jc w:val="left"/>
        <w:rPr>
          <w:rFonts w:ascii="Arial" w:hAnsi="Arial" w:cs="Arial"/>
        </w:rPr>
      </w:pPr>
      <w:r w:rsidRPr="00726177">
        <w:rPr>
          <w:rFonts w:ascii="Arial" w:hAnsi="Arial" w:cs="Arial"/>
        </w:rPr>
        <w:t>A</w:t>
      </w:r>
      <w:r w:rsidR="00B26A5C" w:rsidRPr="00726177">
        <w:rPr>
          <w:rFonts w:ascii="Arial" w:hAnsi="Arial" w:cs="Arial"/>
        </w:rPr>
        <w:t>listair</w:t>
      </w:r>
      <w:r w:rsidRPr="00726177">
        <w:rPr>
          <w:rFonts w:ascii="Arial" w:hAnsi="Arial" w:cs="Arial"/>
        </w:rPr>
        <w:t xml:space="preserve"> </w:t>
      </w:r>
      <w:r w:rsidR="00490748" w:rsidRPr="00726177">
        <w:rPr>
          <w:rFonts w:ascii="Arial" w:hAnsi="Arial" w:cs="Arial"/>
        </w:rPr>
        <w:t>uses the Hire Cars 4 U website to book and pay for a hire car from Tropical Hire Cars R US for his upcoming holiday. Tropical Hire Cars R US has more than 50 cars listed as available for hire on the Hire Cars 4 U website</w:t>
      </w:r>
      <w:r w:rsidR="000421C2" w:rsidRPr="00726177">
        <w:rPr>
          <w:rFonts w:ascii="Arial" w:hAnsi="Arial" w:cs="Arial"/>
        </w:rPr>
        <w:t>. Further,</w:t>
      </w:r>
      <w:r w:rsidR="00490748" w:rsidRPr="00726177">
        <w:rPr>
          <w:rFonts w:ascii="Arial" w:hAnsi="Arial" w:cs="Arial"/>
        </w:rPr>
        <w:t xml:space="preserve"> the terms of the booking are such that A</w:t>
      </w:r>
      <w:r w:rsidR="00B26A5C" w:rsidRPr="00726177">
        <w:rPr>
          <w:rFonts w:ascii="Arial" w:hAnsi="Arial" w:cs="Arial"/>
        </w:rPr>
        <w:t>listair</w:t>
      </w:r>
      <w:r w:rsidR="00490748" w:rsidRPr="00726177">
        <w:rPr>
          <w:rFonts w:ascii="Arial" w:hAnsi="Arial" w:cs="Arial"/>
        </w:rPr>
        <w:t xml:space="preserve"> will be supplied with whichever 4 door automatic sedan the supplier has available at the time he arrives to collect the vehicle. Hire Cars 4 U are exempted from reporting this transaction as </w:t>
      </w:r>
      <w:r w:rsidR="000421C2" w:rsidRPr="00726177">
        <w:rPr>
          <w:rFonts w:ascii="Arial" w:hAnsi="Arial" w:cs="Arial"/>
        </w:rPr>
        <w:t xml:space="preserve">the requirements of paragraph </w:t>
      </w:r>
      <w:r w:rsidR="0270C402" w:rsidRPr="00726177">
        <w:rPr>
          <w:rFonts w:ascii="Arial" w:hAnsi="Arial" w:cs="Arial"/>
        </w:rPr>
        <w:t>8</w:t>
      </w:r>
      <w:r w:rsidR="000421C2" w:rsidRPr="00726177">
        <w:rPr>
          <w:rFonts w:ascii="Arial" w:hAnsi="Arial" w:cs="Arial"/>
        </w:rPr>
        <w:t>(</w:t>
      </w:r>
      <w:r w:rsidR="00C44E82" w:rsidRPr="00726177">
        <w:rPr>
          <w:rFonts w:ascii="Arial" w:hAnsi="Arial" w:cs="Arial"/>
        </w:rPr>
        <w:t>g</w:t>
      </w:r>
      <w:r w:rsidR="000421C2" w:rsidRPr="00726177">
        <w:rPr>
          <w:rFonts w:ascii="Arial" w:hAnsi="Arial" w:cs="Arial"/>
        </w:rPr>
        <w:t>) are met</w:t>
      </w:r>
      <w:r w:rsidR="0089314C" w:rsidRPr="00726177">
        <w:rPr>
          <w:rFonts w:ascii="Arial" w:hAnsi="Arial" w:cs="Arial"/>
        </w:rPr>
        <w:t>.</w:t>
      </w:r>
    </w:p>
    <w:p w14:paraId="70E8993D" w14:textId="7BA01DD8" w:rsidR="00E871DA" w:rsidRPr="00726177" w:rsidRDefault="00E871DA" w:rsidP="00F73DA7">
      <w:pPr>
        <w:spacing w:after="120"/>
        <w:jc w:val="left"/>
        <w:rPr>
          <w:rFonts w:ascii="Arial" w:hAnsi="Arial" w:cs="Arial"/>
        </w:rPr>
      </w:pPr>
    </w:p>
    <w:p w14:paraId="3EF8F66E" w14:textId="344C5568" w:rsidR="0052790B" w:rsidRPr="00726177" w:rsidRDefault="0052790B" w:rsidP="00F73DA7">
      <w:pPr>
        <w:pStyle w:val="Heading3"/>
        <w:spacing w:before="0" w:after="120"/>
        <w:rPr>
          <w:i/>
          <w:iCs/>
          <w:sz w:val="22"/>
          <w:szCs w:val="22"/>
        </w:rPr>
      </w:pPr>
      <w:r w:rsidRPr="00726177">
        <w:rPr>
          <w:i/>
          <w:iCs/>
          <w:sz w:val="22"/>
          <w:szCs w:val="22"/>
        </w:rPr>
        <w:t>Other information</w:t>
      </w:r>
    </w:p>
    <w:bookmarkEnd w:id="3"/>
    <w:p w14:paraId="7012BA64" w14:textId="1DD9530F" w:rsidR="0052790B" w:rsidRPr="00726177" w:rsidRDefault="0052790B" w:rsidP="00F73DA7">
      <w:pPr>
        <w:numPr>
          <w:ilvl w:val="0"/>
          <w:numId w:val="1"/>
        </w:numPr>
        <w:spacing w:after="120"/>
        <w:ind w:left="0" w:firstLine="0"/>
        <w:jc w:val="left"/>
        <w:rPr>
          <w:rFonts w:ascii="Arial" w:hAnsi="Arial" w:cs="Arial"/>
        </w:rPr>
      </w:pPr>
      <w:r w:rsidRPr="00726177">
        <w:rPr>
          <w:rFonts w:ascii="Arial" w:hAnsi="Arial" w:cs="Arial"/>
        </w:rPr>
        <w:t xml:space="preserve">This instrument </w:t>
      </w:r>
      <w:r w:rsidR="00AA4ACE" w:rsidRPr="00726177">
        <w:rPr>
          <w:rFonts w:ascii="Arial" w:hAnsi="Arial" w:cs="Arial"/>
        </w:rPr>
        <w:t xml:space="preserve">does </w:t>
      </w:r>
      <w:r w:rsidRPr="00726177">
        <w:rPr>
          <w:rFonts w:ascii="Arial" w:hAnsi="Arial" w:cs="Arial"/>
        </w:rPr>
        <w:t>not affect any other reporting requirements that reporting entities may have under section 396-55 in Schedule 1 to the Act.</w:t>
      </w:r>
    </w:p>
    <w:p w14:paraId="104AA59B" w14:textId="77777777" w:rsidR="00601CD5" w:rsidRPr="00726177" w:rsidRDefault="002D5803" w:rsidP="00F73DA7">
      <w:pPr>
        <w:numPr>
          <w:ilvl w:val="0"/>
          <w:numId w:val="1"/>
        </w:numPr>
        <w:spacing w:after="120"/>
        <w:ind w:left="0" w:firstLine="0"/>
        <w:jc w:val="left"/>
        <w:rPr>
          <w:rFonts w:ascii="Arial" w:hAnsi="Arial" w:cs="Arial"/>
        </w:rPr>
      </w:pPr>
      <w:r w:rsidRPr="00726177">
        <w:rPr>
          <w:rFonts w:ascii="Arial" w:hAnsi="Arial" w:cs="Arial"/>
        </w:rPr>
        <w:t xml:space="preserve">The exemptions in this instrument </w:t>
      </w:r>
      <w:r w:rsidR="008E4144" w:rsidRPr="00726177">
        <w:rPr>
          <w:rFonts w:ascii="Arial" w:hAnsi="Arial" w:cs="Arial"/>
        </w:rPr>
        <w:t xml:space="preserve">must be considered and </w:t>
      </w:r>
      <w:r w:rsidRPr="00726177">
        <w:rPr>
          <w:rFonts w:ascii="Arial" w:hAnsi="Arial" w:cs="Arial"/>
        </w:rPr>
        <w:t>appl</w:t>
      </w:r>
      <w:r w:rsidR="008E4144" w:rsidRPr="00726177">
        <w:rPr>
          <w:rFonts w:ascii="Arial" w:hAnsi="Arial" w:cs="Arial"/>
        </w:rPr>
        <w:t>ied by an EDP operator</w:t>
      </w:r>
      <w:r w:rsidRPr="00726177">
        <w:rPr>
          <w:rFonts w:ascii="Arial" w:hAnsi="Arial" w:cs="Arial"/>
        </w:rPr>
        <w:t xml:space="preserve"> on a </w:t>
      </w:r>
      <w:proofErr w:type="gramStart"/>
      <w:r w:rsidRPr="00726177">
        <w:rPr>
          <w:rFonts w:ascii="Arial" w:hAnsi="Arial" w:cs="Arial"/>
        </w:rPr>
        <w:t xml:space="preserve">transaction </w:t>
      </w:r>
      <w:r w:rsidR="008E4144" w:rsidRPr="00726177">
        <w:rPr>
          <w:rFonts w:ascii="Arial" w:hAnsi="Arial" w:cs="Arial"/>
        </w:rPr>
        <w:t>by transaction</w:t>
      </w:r>
      <w:proofErr w:type="gramEnd"/>
      <w:r w:rsidR="00956E0E" w:rsidRPr="00726177">
        <w:rPr>
          <w:rFonts w:ascii="Arial" w:hAnsi="Arial" w:cs="Arial"/>
        </w:rPr>
        <w:t xml:space="preserve"> basis</w:t>
      </w:r>
      <w:r w:rsidR="00A7005E" w:rsidRPr="00726177">
        <w:rPr>
          <w:rFonts w:ascii="Arial" w:hAnsi="Arial" w:cs="Arial"/>
        </w:rPr>
        <w:t>, and</w:t>
      </w:r>
      <w:r w:rsidR="00956E0E" w:rsidRPr="00726177">
        <w:rPr>
          <w:rFonts w:ascii="Arial" w:hAnsi="Arial" w:cs="Arial"/>
        </w:rPr>
        <w:t xml:space="preserve"> a</w:t>
      </w:r>
      <w:r w:rsidR="00A7005E" w:rsidRPr="00726177">
        <w:rPr>
          <w:rFonts w:ascii="Arial" w:hAnsi="Arial" w:cs="Arial"/>
        </w:rPr>
        <w:t xml:space="preserve"> reporting period by reporting period</w:t>
      </w:r>
      <w:r w:rsidR="008E4144" w:rsidRPr="00726177">
        <w:rPr>
          <w:rFonts w:ascii="Arial" w:hAnsi="Arial" w:cs="Arial"/>
        </w:rPr>
        <w:t xml:space="preserve"> </w:t>
      </w:r>
      <w:r w:rsidRPr="00726177">
        <w:rPr>
          <w:rFonts w:ascii="Arial" w:hAnsi="Arial" w:cs="Arial"/>
        </w:rPr>
        <w:t>basis</w:t>
      </w:r>
      <w:r w:rsidR="008E4144" w:rsidRPr="00726177">
        <w:rPr>
          <w:rFonts w:ascii="Arial" w:hAnsi="Arial" w:cs="Arial"/>
        </w:rPr>
        <w:t>.</w:t>
      </w:r>
      <w:r w:rsidRPr="00726177">
        <w:rPr>
          <w:rFonts w:ascii="Arial" w:hAnsi="Arial" w:cs="Arial"/>
        </w:rPr>
        <w:t xml:space="preserve"> </w:t>
      </w:r>
      <w:r w:rsidR="008E4144" w:rsidRPr="00726177">
        <w:rPr>
          <w:rFonts w:ascii="Arial" w:hAnsi="Arial" w:cs="Arial"/>
        </w:rPr>
        <w:t>For each reporting period in which an entity operates an EDP</w:t>
      </w:r>
      <w:r w:rsidR="007E1599" w:rsidRPr="00726177">
        <w:rPr>
          <w:rFonts w:ascii="Arial" w:hAnsi="Arial" w:cs="Arial"/>
        </w:rPr>
        <w:t>,</w:t>
      </w:r>
      <w:r w:rsidR="008E4144" w:rsidRPr="00726177">
        <w:rPr>
          <w:rFonts w:ascii="Arial" w:hAnsi="Arial" w:cs="Arial"/>
        </w:rPr>
        <w:t xml:space="preserve"> they need to consider whether they are obliged to report any supplies made through their EDP in that reporting period. This means that</w:t>
      </w:r>
      <w:r w:rsidR="00A7005E" w:rsidRPr="00726177">
        <w:rPr>
          <w:rFonts w:ascii="Arial" w:hAnsi="Arial" w:cs="Arial"/>
        </w:rPr>
        <w:t>:</w:t>
      </w:r>
    </w:p>
    <w:p w14:paraId="3364AD9C" w14:textId="1D102AE7" w:rsidR="008E4144" w:rsidRPr="00726177" w:rsidRDefault="00956E0E" w:rsidP="00447772">
      <w:pPr>
        <w:numPr>
          <w:ilvl w:val="1"/>
          <w:numId w:val="13"/>
        </w:numPr>
        <w:spacing w:after="120"/>
        <w:ind w:left="1389" w:hanging="709"/>
        <w:jc w:val="left"/>
        <w:rPr>
          <w:rFonts w:ascii="Arial" w:hAnsi="Arial" w:cs="Arial"/>
        </w:rPr>
      </w:pPr>
      <w:r w:rsidRPr="00726177">
        <w:rPr>
          <w:rFonts w:ascii="Arial" w:hAnsi="Arial" w:cs="Arial"/>
        </w:rPr>
        <w:t>f</w:t>
      </w:r>
      <w:r w:rsidR="008E4144" w:rsidRPr="00726177">
        <w:rPr>
          <w:rFonts w:ascii="Arial" w:hAnsi="Arial" w:cs="Arial"/>
        </w:rPr>
        <w:t>or any given reporting period</w:t>
      </w:r>
      <w:r w:rsidRPr="00726177">
        <w:rPr>
          <w:rFonts w:ascii="Arial" w:hAnsi="Arial" w:cs="Arial"/>
        </w:rPr>
        <w:t>,</w:t>
      </w:r>
      <w:r w:rsidR="008E4144" w:rsidRPr="00726177">
        <w:rPr>
          <w:rFonts w:ascii="Arial" w:hAnsi="Arial" w:cs="Arial"/>
        </w:rPr>
        <w:t xml:space="preserve"> an EDP operator may be required to report none, some or all the supplies made through its EDP</w:t>
      </w:r>
      <w:r w:rsidR="007B65B8" w:rsidRPr="00726177">
        <w:rPr>
          <w:rFonts w:ascii="Arial" w:hAnsi="Arial" w:cs="Arial"/>
        </w:rPr>
        <w:t>;</w:t>
      </w:r>
      <w:r w:rsidR="008E4144" w:rsidRPr="00726177">
        <w:rPr>
          <w:rFonts w:ascii="Arial" w:hAnsi="Arial" w:cs="Arial"/>
        </w:rPr>
        <w:t xml:space="preserve"> </w:t>
      </w:r>
      <w:r w:rsidR="00A7005E" w:rsidRPr="00726177">
        <w:rPr>
          <w:rFonts w:ascii="Arial" w:hAnsi="Arial" w:cs="Arial"/>
        </w:rPr>
        <w:t>and</w:t>
      </w:r>
    </w:p>
    <w:p w14:paraId="3554271D" w14:textId="430CDEA1" w:rsidR="002D5803" w:rsidRPr="00726177" w:rsidRDefault="008E4144" w:rsidP="00447772">
      <w:pPr>
        <w:numPr>
          <w:ilvl w:val="1"/>
          <w:numId w:val="13"/>
        </w:numPr>
        <w:spacing w:after="120"/>
        <w:ind w:left="1389" w:hanging="709"/>
        <w:jc w:val="left"/>
        <w:rPr>
          <w:rFonts w:ascii="Arial" w:hAnsi="Arial" w:cs="Arial"/>
        </w:rPr>
      </w:pPr>
      <w:r w:rsidRPr="00726177">
        <w:rPr>
          <w:rFonts w:ascii="Arial" w:hAnsi="Arial" w:cs="Arial"/>
        </w:rPr>
        <w:t>an EDP operator may not have a reporting obligation in relation</w:t>
      </w:r>
      <w:r w:rsidR="007E1599" w:rsidRPr="00726177">
        <w:rPr>
          <w:rFonts w:ascii="Arial" w:hAnsi="Arial" w:cs="Arial"/>
        </w:rPr>
        <w:t xml:space="preserve"> to</w:t>
      </w:r>
      <w:r w:rsidR="00A7005E" w:rsidRPr="00726177">
        <w:rPr>
          <w:rFonts w:ascii="Arial" w:hAnsi="Arial" w:cs="Arial"/>
        </w:rPr>
        <w:t xml:space="preserve"> any supplies made through its EDP in </w:t>
      </w:r>
      <w:r w:rsidRPr="00726177">
        <w:rPr>
          <w:rFonts w:ascii="Arial" w:hAnsi="Arial" w:cs="Arial"/>
        </w:rPr>
        <w:t xml:space="preserve">one reporting </w:t>
      </w:r>
      <w:proofErr w:type="gramStart"/>
      <w:r w:rsidRPr="00726177">
        <w:rPr>
          <w:rFonts w:ascii="Arial" w:hAnsi="Arial" w:cs="Arial"/>
        </w:rPr>
        <w:t>period</w:t>
      </w:r>
      <w:r w:rsidR="007E1599" w:rsidRPr="00726177">
        <w:rPr>
          <w:rFonts w:ascii="Arial" w:hAnsi="Arial" w:cs="Arial"/>
        </w:rPr>
        <w:t>,</w:t>
      </w:r>
      <w:r w:rsidRPr="00726177">
        <w:rPr>
          <w:rFonts w:ascii="Arial" w:hAnsi="Arial" w:cs="Arial"/>
        </w:rPr>
        <w:t xml:space="preserve"> but</w:t>
      </w:r>
      <w:proofErr w:type="gramEnd"/>
      <w:r w:rsidRPr="00726177">
        <w:rPr>
          <w:rFonts w:ascii="Arial" w:hAnsi="Arial" w:cs="Arial"/>
        </w:rPr>
        <w:t xml:space="preserve"> may have a reporting obligation in relation to </w:t>
      </w:r>
      <w:r w:rsidR="00A7005E" w:rsidRPr="00726177">
        <w:rPr>
          <w:rFonts w:ascii="Arial" w:hAnsi="Arial" w:cs="Arial"/>
        </w:rPr>
        <w:t xml:space="preserve">some or all of the supplies made through its EDP in </w:t>
      </w:r>
      <w:r w:rsidRPr="00726177">
        <w:rPr>
          <w:rFonts w:ascii="Arial" w:hAnsi="Arial" w:cs="Arial"/>
        </w:rPr>
        <w:t>a later reporting period (and vice versa).</w:t>
      </w:r>
    </w:p>
    <w:p w14:paraId="3B17D7D9" w14:textId="77777777" w:rsidR="001F46FF" w:rsidRPr="00726177" w:rsidRDefault="001F46FF" w:rsidP="00726177">
      <w:pPr>
        <w:spacing w:after="120"/>
        <w:jc w:val="left"/>
        <w:rPr>
          <w:rFonts w:ascii="Arial" w:hAnsi="Arial" w:cs="Arial"/>
        </w:rPr>
      </w:pPr>
    </w:p>
    <w:p w14:paraId="1CC066CB" w14:textId="0A36AD23" w:rsidR="001F46FF" w:rsidRPr="00726177" w:rsidRDefault="001F46FF" w:rsidP="00726177">
      <w:pPr>
        <w:spacing w:after="120"/>
        <w:ind w:left="709"/>
        <w:jc w:val="left"/>
        <w:rPr>
          <w:rFonts w:ascii="Arial" w:hAnsi="Arial" w:cs="Arial"/>
          <w:b/>
          <w:bCs/>
        </w:rPr>
      </w:pPr>
      <w:r w:rsidRPr="00726177">
        <w:rPr>
          <w:rFonts w:ascii="Arial" w:hAnsi="Arial" w:cs="Arial"/>
          <w:b/>
          <w:bCs/>
        </w:rPr>
        <w:t>Example 12 – application of threshold tests</w:t>
      </w:r>
    </w:p>
    <w:p w14:paraId="56B02938" w14:textId="2F966EA8" w:rsidR="00ED5D75" w:rsidRPr="00726177" w:rsidRDefault="00653526" w:rsidP="00F73DA7">
      <w:pPr>
        <w:spacing w:after="120"/>
        <w:ind w:left="709"/>
        <w:jc w:val="left"/>
        <w:rPr>
          <w:rFonts w:ascii="Arial" w:hAnsi="Arial" w:cs="Arial"/>
        </w:rPr>
      </w:pPr>
      <w:r w:rsidRPr="00726177">
        <w:rPr>
          <w:rFonts w:ascii="Arial" w:hAnsi="Arial" w:cs="Arial"/>
        </w:rPr>
        <w:t xml:space="preserve">The Very Fun Holiday </w:t>
      </w:r>
      <w:r w:rsidR="00DB7647" w:rsidRPr="00726177">
        <w:rPr>
          <w:rFonts w:ascii="Arial" w:hAnsi="Arial" w:cs="Arial"/>
        </w:rPr>
        <w:t>R</w:t>
      </w:r>
      <w:r w:rsidRPr="00726177">
        <w:rPr>
          <w:rFonts w:ascii="Arial" w:hAnsi="Arial" w:cs="Arial"/>
        </w:rPr>
        <w:t xml:space="preserve">esort in Far North Queensland makes hotel rooms </w:t>
      </w:r>
      <w:r w:rsidR="00714171" w:rsidRPr="00726177">
        <w:rPr>
          <w:rFonts w:ascii="Arial" w:hAnsi="Arial" w:cs="Arial"/>
        </w:rPr>
        <w:t xml:space="preserve">available </w:t>
      </w:r>
      <w:r w:rsidRPr="00726177">
        <w:rPr>
          <w:rFonts w:ascii="Arial" w:hAnsi="Arial" w:cs="Arial"/>
        </w:rPr>
        <w:t>for booking on the Hot Holiday Bookings platform all year</w:t>
      </w:r>
      <w:r w:rsidR="001F46FF" w:rsidRPr="00726177">
        <w:rPr>
          <w:rFonts w:ascii="Arial" w:hAnsi="Arial" w:cs="Arial"/>
        </w:rPr>
        <w:t>.</w:t>
      </w:r>
      <w:r w:rsidRPr="00726177">
        <w:rPr>
          <w:rFonts w:ascii="Arial" w:hAnsi="Arial" w:cs="Arial"/>
        </w:rPr>
        <w:t xml:space="preserve"> In one reporting period 2</w:t>
      </w:r>
      <w:r w:rsidR="00FB02E1">
        <w:rPr>
          <w:rFonts w:ascii="Arial" w:hAnsi="Arial" w:cs="Arial"/>
        </w:rPr>
        <w:t>,</w:t>
      </w:r>
      <w:r w:rsidRPr="00726177">
        <w:rPr>
          <w:rFonts w:ascii="Arial" w:hAnsi="Arial" w:cs="Arial"/>
        </w:rPr>
        <w:t>100 transactions for the supply of hotel accommodation at the resort are made on the Hot Holidays Bookings platform. However, in the subsequent reporting period only 900 transactions are made on the platform.</w:t>
      </w:r>
    </w:p>
    <w:p w14:paraId="4F7A8966" w14:textId="2187AB26" w:rsidR="00ED5D75" w:rsidRPr="00726177" w:rsidRDefault="00DB7647" w:rsidP="00F73DA7">
      <w:pPr>
        <w:spacing w:after="120"/>
        <w:ind w:left="709"/>
        <w:jc w:val="left"/>
        <w:rPr>
          <w:rFonts w:ascii="Arial" w:hAnsi="Arial" w:cs="Arial"/>
        </w:rPr>
      </w:pPr>
      <w:r w:rsidRPr="00726177">
        <w:rPr>
          <w:rFonts w:ascii="Arial" w:hAnsi="Arial" w:cs="Arial"/>
        </w:rPr>
        <w:t xml:space="preserve">The operator of </w:t>
      </w:r>
      <w:r w:rsidR="00653526" w:rsidRPr="00726177">
        <w:rPr>
          <w:rFonts w:ascii="Arial" w:hAnsi="Arial" w:cs="Arial"/>
        </w:rPr>
        <w:t>Hot Holiday Bookings</w:t>
      </w:r>
      <w:r w:rsidRPr="00726177">
        <w:rPr>
          <w:rFonts w:ascii="Arial" w:hAnsi="Arial" w:cs="Arial"/>
        </w:rPr>
        <w:t xml:space="preserve"> does</w:t>
      </w:r>
      <w:r w:rsidR="00653526" w:rsidRPr="00726177">
        <w:rPr>
          <w:rFonts w:ascii="Arial" w:hAnsi="Arial" w:cs="Arial"/>
        </w:rPr>
        <w:t xml:space="preserve"> not need to report on </w:t>
      </w:r>
      <w:r w:rsidRPr="00726177">
        <w:rPr>
          <w:rFonts w:ascii="Arial" w:hAnsi="Arial" w:cs="Arial"/>
        </w:rPr>
        <w:t>the transactions where Very Fun Holiday Resort is the supplier in the first reporting period as the number of transactions is over the threshold</w:t>
      </w:r>
      <w:r w:rsidR="00A74FD4" w:rsidRPr="00726177">
        <w:rPr>
          <w:rFonts w:ascii="Arial" w:hAnsi="Arial" w:cs="Arial"/>
        </w:rPr>
        <w:t xml:space="preserve"> (2</w:t>
      </w:r>
      <w:r w:rsidR="00FB02E1">
        <w:rPr>
          <w:rFonts w:ascii="Arial" w:hAnsi="Arial" w:cs="Arial"/>
        </w:rPr>
        <w:t>,</w:t>
      </w:r>
      <w:r w:rsidR="00A74FD4" w:rsidRPr="00726177">
        <w:rPr>
          <w:rFonts w:ascii="Arial" w:hAnsi="Arial" w:cs="Arial"/>
        </w:rPr>
        <w:t xml:space="preserve">100 in that reporting period plus those made in the preceding </w:t>
      </w:r>
      <w:r w:rsidR="00C2733A" w:rsidRPr="00C2733A">
        <w:rPr>
          <w:rFonts w:ascii="Arial" w:hAnsi="Arial" w:cs="Arial"/>
        </w:rPr>
        <w:t>6</w:t>
      </w:r>
      <w:r w:rsidR="00A74FD4" w:rsidRPr="00726177">
        <w:rPr>
          <w:rFonts w:ascii="Arial" w:hAnsi="Arial" w:cs="Arial"/>
        </w:rPr>
        <w:t xml:space="preserve"> months is over the threshold of 2</w:t>
      </w:r>
      <w:r w:rsidR="00FB02E1">
        <w:rPr>
          <w:rFonts w:ascii="Arial" w:hAnsi="Arial" w:cs="Arial"/>
        </w:rPr>
        <w:t>,</w:t>
      </w:r>
      <w:r w:rsidR="00A74FD4" w:rsidRPr="00726177">
        <w:rPr>
          <w:rFonts w:ascii="Arial" w:hAnsi="Arial" w:cs="Arial"/>
        </w:rPr>
        <w:t>000 for the 12 months ending on the last day of that reporting period)</w:t>
      </w:r>
      <w:r w:rsidRPr="00726177">
        <w:rPr>
          <w:rFonts w:ascii="Arial" w:hAnsi="Arial" w:cs="Arial"/>
        </w:rPr>
        <w:t xml:space="preserve">. The operator of Hot Holiday Bookings is also exempt from reporting transactions for supplies made by Very Fun Holiday Resort in the subsequent reporting period as the number of transactions made on the platform in the </w:t>
      </w:r>
      <w:proofErr w:type="gramStart"/>
      <w:r w:rsidRPr="00726177">
        <w:rPr>
          <w:rFonts w:ascii="Arial" w:hAnsi="Arial" w:cs="Arial"/>
        </w:rPr>
        <w:t>12 month</w:t>
      </w:r>
      <w:proofErr w:type="gramEnd"/>
      <w:r w:rsidRPr="00726177">
        <w:rPr>
          <w:rFonts w:ascii="Arial" w:hAnsi="Arial" w:cs="Arial"/>
        </w:rPr>
        <w:t xml:space="preserve"> period ending on the last day of the reporting period is greater than the 2000 transactions threshold</w:t>
      </w:r>
      <w:r w:rsidR="00A74FD4" w:rsidRPr="00726177">
        <w:rPr>
          <w:rFonts w:ascii="Arial" w:hAnsi="Arial" w:cs="Arial"/>
        </w:rPr>
        <w:t xml:space="preserve"> (900 in that reporting period plus 2</w:t>
      </w:r>
      <w:r w:rsidR="00FB02E1">
        <w:rPr>
          <w:rFonts w:ascii="Arial" w:hAnsi="Arial" w:cs="Arial"/>
        </w:rPr>
        <w:t>,</w:t>
      </w:r>
      <w:r w:rsidR="00A74FD4" w:rsidRPr="00726177">
        <w:rPr>
          <w:rFonts w:ascii="Arial" w:hAnsi="Arial" w:cs="Arial"/>
        </w:rPr>
        <w:t xml:space="preserve">100 in the preceding </w:t>
      </w:r>
      <w:r w:rsidR="00C2733A" w:rsidRPr="00C2733A">
        <w:rPr>
          <w:rFonts w:ascii="Arial" w:hAnsi="Arial" w:cs="Arial"/>
        </w:rPr>
        <w:t>6</w:t>
      </w:r>
      <w:r w:rsidR="00A74FD4" w:rsidRPr="00726177">
        <w:rPr>
          <w:rFonts w:ascii="Arial" w:hAnsi="Arial" w:cs="Arial"/>
        </w:rPr>
        <w:t xml:space="preserve"> months)</w:t>
      </w:r>
      <w:r w:rsidRPr="00726177">
        <w:rPr>
          <w:rFonts w:ascii="Arial" w:hAnsi="Arial" w:cs="Arial"/>
        </w:rPr>
        <w:t>.</w:t>
      </w:r>
    </w:p>
    <w:p w14:paraId="198585C4" w14:textId="77777777" w:rsidR="0052790B" w:rsidRPr="00726177" w:rsidRDefault="0052790B" w:rsidP="00F73DA7">
      <w:pPr>
        <w:spacing w:after="120"/>
        <w:jc w:val="left"/>
        <w:rPr>
          <w:rFonts w:ascii="Arial" w:hAnsi="Arial" w:cs="Arial"/>
        </w:rPr>
      </w:pPr>
    </w:p>
    <w:p w14:paraId="3269785C" w14:textId="77777777" w:rsidR="0052790B" w:rsidRPr="00726177" w:rsidRDefault="0052790B" w:rsidP="00F73DA7">
      <w:pPr>
        <w:pStyle w:val="Heading2"/>
      </w:pPr>
      <w:r w:rsidRPr="00726177">
        <w:t>Compliance cost assessment</w:t>
      </w:r>
    </w:p>
    <w:p w14:paraId="5D5F3D58" w14:textId="77777777" w:rsidR="000A798F" w:rsidRPr="000A798F" w:rsidRDefault="000A798F" w:rsidP="000A798F">
      <w:pPr>
        <w:numPr>
          <w:ilvl w:val="0"/>
          <w:numId w:val="1"/>
        </w:numPr>
        <w:tabs>
          <w:tab w:val="clear" w:pos="720"/>
        </w:tabs>
        <w:spacing w:after="120"/>
        <w:ind w:left="0" w:firstLine="0"/>
        <w:jc w:val="left"/>
        <w:rPr>
          <w:rFonts w:ascii="Arial" w:hAnsi="Arial" w:cs="Arial"/>
        </w:rPr>
      </w:pPr>
      <w:r w:rsidRPr="000A798F">
        <w:rPr>
          <w:rFonts w:ascii="Arial" w:hAnsi="Arial" w:cs="Arial"/>
        </w:rPr>
        <w:t>Compliance cost impact: Minor – There will be no additional regulatory impacts as the instrument is minor and machinery in nature (OIA24-08741).</w:t>
      </w:r>
    </w:p>
    <w:p w14:paraId="31F8900C" w14:textId="506EEBC1" w:rsidR="00B86A00" w:rsidRPr="00726177" w:rsidRDefault="00B86A00" w:rsidP="00F73DA7">
      <w:pPr>
        <w:spacing w:after="120"/>
        <w:jc w:val="left"/>
        <w:rPr>
          <w:rFonts w:ascii="Arial" w:hAnsi="Arial" w:cs="Arial"/>
        </w:rPr>
      </w:pPr>
    </w:p>
    <w:p w14:paraId="6AA52744" w14:textId="1EFD2257" w:rsidR="0052790B" w:rsidRPr="00726177" w:rsidRDefault="0052790B" w:rsidP="00F73DA7">
      <w:pPr>
        <w:pStyle w:val="Heading2"/>
      </w:pPr>
      <w:r w:rsidRPr="00726177">
        <w:t>Consultation</w:t>
      </w:r>
    </w:p>
    <w:p w14:paraId="6F6D3F65" w14:textId="77777777" w:rsidR="000A798F" w:rsidRDefault="000A798F" w:rsidP="000A798F">
      <w:pPr>
        <w:numPr>
          <w:ilvl w:val="0"/>
          <w:numId w:val="1"/>
        </w:numPr>
        <w:tabs>
          <w:tab w:val="clear" w:pos="720"/>
        </w:tabs>
        <w:spacing w:after="120"/>
        <w:ind w:left="0" w:firstLine="0"/>
        <w:jc w:val="left"/>
        <w:rPr>
          <w:rFonts w:ascii="Arial" w:hAnsi="Arial" w:cs="Arial"/>
          <w:color w:val="000000"/>
        </w:rPr>
      </w:pPr>
      <w:r>
        <w:rPr>
          <w:rFonts w:ascii="Arial" w:hAnsi="Arial" w:cs="Arial"/>
          <w:color w:val="000000"/>
        </w:rPr>
        <w:t xml:space="preserve">For this instrument, formal public consultation was undertaken from 28 November 2024 to 17 January 2025. </w:t>
      </w:r>
    </w:p>
    <w:p w14:paraId="5FF6422F" w14:textId="4BDFA5C2" w:rsidR="000A798F" w:rsidRDefault="000A798F" w:rsidP="000A798F">
      <w:pPr>
        <w:numPr>
          <w:ilvl w:val="0"/>
          <w:numId w:val="1"/>
        </w:numPr>
        <w:tabs>
          <w:tab w:val="clear" w:pos="720"/>
        </w:tabs>
        <w:spacing w:after="120"/>
        <w:ind w:left="0" w:firstLine="0"/>
        <w:jc w:val="left"/>
        <w:rPr>
          <w:rFonts w:ascii="Arial" w:hAnsi="Arial" w:cs="Arial"/>
          <w:color w:val="000000"/>
        </w:rPr>
      </w:pPr>
      <w:r w:rsidRPr="000A798F">
        <w:rPr>
          <w:rFonts w:ascii="Arial" w:hAnsi="Arial" w:cs="Arial"/>
          <w:color w:val="000000"/>
        </w:rPr>
        <w:t>Targeted consultation was also undertaken. Copies of the draft legislative instrument and explanatory statement were sent to known operators of EDPs, and professional and industry bodies for comment and feedback. One on one consultations were also held with known operators of EDPs.</w:t>
      </w:r>
    </w:p>
    <w:p w14:paraId="41C8D926" w14:textId="77777777" w:rsidR="000A798F" w:rsidRDefault="000A798F" w:rsidP="000A798F">
      <w:pPr>
        <w:numPr>
          <w:ilvl w:val="0"/>
          <w:numId w:val="1"/>
        </w:numPr>
        <w:tabs>
          <w:tab w:val="clear" w:pos="720"/>
        </w:tabs>
        <w:spacing w:after="120"/>
        <w:ind w:left="0" w:firstLine="0"/>
        <w:jc w:val="left"/>
        <w:rPr>
          <w:rFonts w:ascii="Arial" w:hAnsi="Arial" w:cs="Arial"/>
          <w:color w:val="000000"/>
        </w:rPr>
      </w:pPr>
      <w:r w:rsidRPr="000A798F">
        <w:rPr>
          <w:rFonts w:ascii="Arial" w:hAnsi="Arial" w:cs="Arial"/>
          <w:color w:val="000000"/>
        </w:rPr>
        <w:t>As part of the consultation process, the draft instrument and draft explanatory statement were published to the ATO Legal database and publicised on the database's 'What's new' page. They were also advertised on the ato.gov.au website on the 'Open Consultation' page and on the ATO web page that provides general guidance on the SERR.</w:t>
      </w:r>
    </w:p>
    <w:p w14:paraId="570A7D2B" w14:textId="4F35108D" w:rsidR="000A798F" w:rsidRDefault="000A798F" w:rsidP="000A798F">
      <w:pPr>
        <w:numPr>
          <w:ilvl w:val="0"/>
          <w:numId w:val="1"/>
        </w:numPr>
        <w:tabs>
          <w:tab w:val="clear" w:pos="720"/>
        </w:tabs>
        <w:spacing w:after="120"/>
        <w:ind w:left="0" w:firstLine="0"/>
        <w:jc w:val="left"/>
        <w:rPr>
          <w:rFonts w:ascii="Arial" w:hAnsi="Arial" w:cs="Arial"/>
          <w:color w:val="000000"/>
        </w:rPr>
      </w:pPr>
      <w:r w:rsidRPr="000A798F">
        <w:rPr>
          <w:rFonts w:ascii="Arial" w:hAnsi="Arial" w:cs="Arial"/>
          <w:color w:val="000000"/>
        </w:rPr>
        <w:lastRenderedPageBreak/>
        <w:t>Major tax and superannuation publishers and associations monitor these pages and include the details in the daily and weekly alerts and newsletters to their subscribers and members.</w:t>
      </w:r>
    </w:p>
    <w:p w14:paraId="070C8FE3" w14:textId="116CD88E" w:rsidR="000A798F" w:rsidRDefault="000A798F" w:rsidP="000A798F">
      <w:pPr>
        <w:spacing w:after="120"/>
        <w:jc w:val="left"/>
        <w:rPr>
          <w:rFonts w:ascii="Arial" w:hAnsi="Arial" w:cs="Arial"/>
          <w:b/>
          <w:bCs/>
          <w:color w:val="000000"/>
        </w:rPr>
      </w:pPr>
      <w:r>
        <w:rPr>
          <w:rFonts w:ascii="Arial" w:hAnsi="Arial" w:cs="Arial"/>
          <w:b/>
          <w:bCs/>
          <w:color w:val="000000"/>
        </w:rPr>
        <w:t>Outcome of consultation</w:t>
      </w:r>
    </w:p>
    <w:p w14:paraId="373A6B96" w14:textId="641D4AB6" w:rsidR="000A798F" w:rsidRPr="000A798F" w:rsidRDefault="000A798F" w:rsidP="000A798F">
      <w:pPr>
        <w:numPr>
          <w:ilvl w:val="0"/>
          <w:numId w:val="1"/>
        </w:numPr>
        <w:tabs>
          <w:tab w:val="clear" w:pos="720"/>
        </w:tabs>
        <w:spacing w:after="120"/>
        <w:ind w:left="0" w:firstLine="0"/>
        <w:jc w:val="left"/>
        <w:rPr>
          <w:rFonts w:ascii="Arial" w:hAnsi="Arial" w:cs="Arial"/>
          <w:b/>
          <w:bCs/>
          <w:color w:val="000000"/>
        </w:rPr>
      </w:pPr>
      <w:r>
        <w:rPr>
          <w:rFonts w:ascii="Arial" w:hAnsi="Arial" w:cs="Arial"/>
          <w:color w:val="000000"/>
        </w:rPr>
        <w:t xml:space="preserve">No changes were made to the instrument as no substantive feedback was received. </w:t>
      </w:r>
    </w:p>
    <w:p w14:paraId="1319B7E1" w14:textId="77777777" w:rsidR="00556F7A" w:rsidRDefault="00556F7A" w:rsidP="00726177">
      <w:pPr>
        <w:spacing w:after="120"/>
        <w:jc w:val="left"/>
        <w:rPr>
          <w:rFonts w:ascii="Arial" w:hAnsi="Arial" w:cs="Arial"/>
        </w:rPr>
      </w:pPr>
    </w:p>
    <w:p w14:paraId="4638F4BA" w14:textId="77777777" w:rsidR="00FB02E1" w:rsidRPr="00726177" w:rsidRDefault="00FB02E1" w:rsidP="00726177">
      <w:pPr>
        <w:spacing w:after="120"/>
        <w:jc w:val="left"/>
        <w:rPr>
          <w:rFonts w:ascii="Arial" w:hAnsi="Arial" w:cs="Arial"/>
        </w:rPr>
      </w:pPr>
    </w:p>
    <w:p w14:paraId="3F8292AA" w14:textId="77777777" w:rsidR="0052790B" w:rsidRPr="00726177" w:rsidRDefault="0052790B" w:rsidP="00F73DA7">
      <w:pPr>
        <w:spacing w:after="120"/>
        <w:jc w:val="left"/>
        <w:rPr>
          <w:rFonts w:ascii="Arial" w:hAnsi="Arial" w:cs="Arial"/>
        </w:rPr>
      </w:pPr>
    </w:p>
    <w:p w14:paraId="0F415EA6" w14:textId="77777777" w:rsidR="0052790B" w:rsidRPr="00601CD5" w:rsidRDefault="0052790B" w:rsidP="00F73DA7">
      <w:pPr>
        <w:pStyle w:val="Heading3"/>
        <w:spacing w:before="0"/>
        <w:rPr>
          <w:i/>
          <w:sz w:val="20"/>
          <w:szCs w:val="20"/>
        </w:rPr>
      </w:pPr>
      <w:r w:rsidRPr="00601CD5">
        <w:rPr>
          <w:i/>
          <w:sz w:val="20"/>
          <w:szCs w:val="20"/>
        </w:rPr>
        <w:t>Legislative references</w:t>
      </w:r>
    </w:p>
    <w:p w14:paraId="59D8C671" w14:textId="77777777" w:rsidR="0052790B" w:rsidRPr="00601CD5" w:rsidRDefault="0052790B" w:rsidP="00F73DA7">
      <w:pPr>
        <w:rPr>
          <w:rFonts w:ascii="Arial" w:hAnsi="Arial" w:cs="Arial"/>
          <w:i/>
          <w:iCs/>
          <w:sz w:val="20"/>
          <w:szCs w:val="20"/>
        </w:rPr>
      </w:pPr>
      <w:r w:rsidRPr="00601CD5">
        <w:rPr>
          <w:rFonts w:ascii="Arial" w:hAnsi="Arial" w:cs="Arial"/>
          <w:i/>
          <w:iCs/>
          <w:sz w:val="20"/>
          <w:szCs w:val="20"/>
        </w:rPr>
        <w:t>A</w:t>
      </w:r>
      <w:r w:rsidRPr="00C2733A">
        <w:rPr>
          <w:rFonts w:ascii="Arial" w:hAnsi="Arial" w:cs="Arial"/>
          <w:i/>
          <w:iCs/>
          <w:sz w:val="20"/>
          <w:szCs w:val="20"/>
        </w:rPr>
        <w:t xml:space="preserve"> New </w:t>
      </w:r>
      <w:r w:rsidRPr="00601CD5">
        <w:rPr>
          <w:rFonts w:ascii="Arial" w:hAnsi="Arial" w:cs="Arial"/>
          <w:i/>
          <w:iCs/>
          <w:sz w:val="20"/>
          <w:szCs w:val="20"/>
        </w:rPr>
        <w:t>Tax System (Goods and Services Tax) Act 1999</w:t>
      </w:r>
    </w:p>
    <w:p w14:paraId="6C41C978" w14:textId="77777777" w:rsidR="0052790B" w:rsidRPr="00601CD5" w:rsidRDefault="0052790B" w:rsidP="00F73DA7">
      <w:pPr>
        <w:rPr>
          <w:rFonts w:ascii="Arial" w:hAnsi="Arial" w:cs="Arial"/>
          <w:i/>
          <w:iCs/>
          <w:sz w:val="20"/>
          <w:szCs w:val="20"/>
        </w:rPr>
      </w:pPr>
      <w:r w:rsidRPr="00601CD5">
        <w:rPr>
          <w:rFonts w:ascii="Arial" w:hAnsi="Arial" w:cs="Arial"/>
          <w:i/>
          <w:iCs/>
          <w:sz w:val="20"/>
          <w:szCs w:val="20"/>
        </w:rPr>
        <w:t>Acts Interpretation Act 1901</w:t>
      </w:r>
    </w:p>
    <w:p w14:paraId="32DAFA6E" w14:textId="77777777" w:rsidR="0052790B" w:rsidRPr="00601CD5" w:rsidRDefault="0052790B" w:rsidP="00F73DA7">
      <w:pPr>
        <w:rPr>
          <w:rFonts w:ascii="Arial" w:hAnsi="Arial" w:cs="Arial"/>
          <w:i/>
          <w:iCs/>
          <w:sz w:val="20"/>
          <w:szCs w:val="20"/>
        </w:rPr>
      </w:pPr>
      <w:r w:rsidRPr="00601CD5">
        <w:rPr>
          <w:rFonts w:ascii="Arial" w:hAnsi="Arial" w:cs="Arial"/>
          <w:i/>
          <w:iCs/>
          <w:sz w:val="20"/>
          <w:szCs w:val="20"/>
        </w:rPr>
        <w:t>Human Rights (</w:t>
      </w:r>
      <w:r w:rsidRPr="00C2733A">
        <w:rPr>
          <w:rFonts w:ascii="Arial" w:hAnsi="Arial" w:cs="Arial"/>
          <w:i/>
          <w:iCs/>
          <w:sz w:val="20"/>
          <w:szCs w:val="20"/>
        </w:rPr>
        <w:t>Parliament</w:t>
      </w:r>
      <w:r w:rsidRPr="00601CD5">
        <w:rPr>
          <w:rFonts w:ascii="Arial" w:hAnsi="Arial" w:cs="Arial"/>
          <w:i/>
          <w:iCs/>
          <w:sz w:val="20"/>
          <w:szCs w:val="20"/>
        </w:rPr>
        <w:t>ary Scrutiny) Act 2011</w:t>
      </w:r>
    </w:p>
    <w:p w14:paraId="15C60EED" w14:textId="77777777" w:rsidR="0052790B" w:rsidRPr="00601CD5" w:rsidRDefault="0052790B" w:rsidP="00F73DA7">
      <w:pPr>
        <w:rPr>
          <w:rFonts w:ascii="Arial" w:hAnsi="Arial" w:cs="Arial"/>
          <w:i/>
          <w:iCs/>
          <w:sz w:val="20"/>
          <w:szCs w:val="20"/>
        </w:rPr>
      </w:pPr>
      <w:r w:rsidRPr="00601CD5">
        <w:rPr>
          <w:rFonts w:ascii="Arial" w:hAnsi="Arial" w:cs="Arial"/>
          <w:i/>
          <w:iCs/>
          <w:sz w:val="20"/>
          <w:szCs w:val="20"/>
        </w:rPr>
        <w:t>Legislation Act 2003</w:t>
      </w:r>
    </w:p>
    <w:p w14:paraId="33DD4093" w14:textId="2ED3EC41" w:rsidR="001C09DA" w:rsidRPr="00601CD5" w:rsidRDefault="0052790B" w:rsidP="00F73DA7">
      <w:pPr>
        <w:rPr>
          <w:rFonts w:ascii="Arial" w:hAnsi="Arial" w:cs="Arial"/>
          <w:i/>
          <w:iCs/>
          <w:sz w:val="20"/>
          <w:szCs w:val="20"/>
        </w:rPr>
      </w:pPr>
      <w:r w:rsidRPr="00601CD5">
        <w:rPr>
          <w:rFonts w:ascii="Arial" w:hAnsi="Arial" w:cs="Arial"/>
          <w:i/>
          <w:iCs/>
          <w:sz w:val="20"/>
          <w:szCs w:val="20"/>
        </w:rPr>
        <w:t>Taxation Administration Act 1953</w:t>
      </w:r>
    </w:p>
    <w:p w14:paraId="20A6F98F" w14:textId="161BEBD4" w:rsidR="0052790B" w:rsidRPr="00601CD5" w:rsidRDefault="001C09DA" w:rsidP="00F73DA7">
      <w:pPr>
        <w:spacing w:after="120"/>
        <w:rPr>
          <w:rFonts w:ascii="Arial" w:hAnsi="Arial" w:cs="Arial"/>
        </w:rPr>
      </w:pPr>
      <w:r w:rsidRPr="00601CD5">
        <w:rPr>
          <w:rFonts w:ascii="Arial" w:hAnsi="Arial" w:cs="Arial"/>
          <w:i/>
          <w:iCs/>
        </w:rPr>
        <w:br w:type="page"/>
      </w:r>
    </w:p>
    <w:p w14:paraId="40C094DA" w14:textId="7CDC481A" w:rsidR="0052790B" w:rsidRPr="00601CD5" w:rsidRDefault="0052790B" w:rsidP="00F73DA7">
      <w:pPr>
        <w:pStyle w:val="Heading3"/>
        <w:spacing w:before="0" w:after="120"/>
        <w:jc w:val="center"/>
        <w:rPr>
          <w:sz w:val="22"/>
          <w:szCs w:val="22"/>
        </w:rPr>
      </w:pPr>
      <w:r w:rsidRPr="00601CD5">
        <w:rPr>
          <w:sz w:val="22"/>
          <w:szCs w:val="22"/>
        </w:rPr>
        <w:lastRenderedPageBreak/>
        <w:t xml:space="preserve">Statement of compatibility with </w:t>
      </w:r>
      <w:r w:rsidR="0089314C" w:rsidRPr="00601CD5">
        <w:rPr>
          <w:sz w:val="22"/>
          <w:szCs w:val="22"/>
        </w:rPr>
        <w:t>h</w:t>
      </w:r>
      <w:r w:rsidRPr="00601CD5">
        <w:rPr>
          <w:sz w:val="22"/>
          <w:szCs w:val="22"/>
        </w:rPr>
        <w:t xml:space="preserve">uman </w:t>
      </w:r>
      <w:r w:rsidR="0089314C" w:rsidRPr="00601CD5">
        <w:rPr>
          <w:sz w:val="22"/>
          <w:szCs w:val="22"/>
        </w:rPr>
        <w:t>r</w:t>
      </w:r>
      <w:r w:rsidRPr="00601CD5">
        <w:rPr>
          <w:sz w:val="22"/>
          <w:szCs w:val="22"/>
        </w:rPr>
        <w:t>ights</w:t>
      </w:r>
    </w:p>
    <w:p w14:paraId="371B47FC" w14:textId="77777777" w:rsidR="0052790B" w:rsidRPr="00601CD5" w:rsidRDefault="0052790B" w:rsidP="00F73DA7">
      <w:pPr>
        <w:spacing w:after="120"/>
        <w:rPr>
          <w:rFonts w:ascii="Arial" w:hAnsi="Arial" w:cs="Arial"/>
        </w:rPr>
      </w:pPr>
      <w:r w:rsidRPr="00601CD5">
        <w:rPr>
          <w:rFonts w:ascii="Arial" w:hAnsi="Arial" w:cs="Arial"/>
        </w:rPr>
        <w:t xml:space="preserve">Prepared in accordance with Part 3 of the </w:t>
      </w:r>
      <w:r w:rsidRPr="00601CD5">
        <w:rPr>
          <w:rFonts w:ascii="Arial" w:hAnsi="Arial" w:cs="Arial"/>
          <w:i/>
          <w:iCs/>
        </w:rPr>
        <w:t>Human Rights (</w:t>
      </w:r>
      <w:r w:rsidRPr="00C2733A">
        <w:rPr>
          <w:rFonts w:ascii="Arial" w:hAnsi="Arial" w:cs="Arial"/>
          <w:i/>
          <w:iCs/>
        </w:rPr>
        <w:t>Parliament</w:t>
      </w:r>
      <w:r w:rsidRPr="00601CD5">
        <w:rPr>
          <w:rFonts w:ascii="Arial" w:hAnsi="Arial" w:cs="Arial"/>
          <w:i/>
          <w:iCs/>
        </w:rPr>
        <w:t>ary Scrutiny) Act 2011</w:t>
      </w:r>
    </w:p>
    <w:p w14:paraId="2CA571C1" w14:textId="77777777" w:rsidR="0052790B" w:rsidRPr="00601CD5" w:rsidRDefault="0052790B" w:rsidP="00F73DA7">
      <w:pPr>
        <w:spacing w:after="120"/>
        <w:rPr>
          <w:rFonts w:ascii="Arial" w:hAnsi="Arial" w:cs="Arial"/>
        </w:rPr>
      </w:pPr>
    </w:p>
    <w:p w14:paraId="1696D41C" w14:textId="4AFE4742" w:rsidR="00817D62" w:rsidRPr="00601CD5" w:rsidRDefault="00817D62" w:rsidP="00F73DA7">
      <w:pPr>
        <w:pStyle w:val="Heading2"/>
        <w:jc w:val="center"/>
      </w:pPr>
      <w:r w:rsidRPr="00601CD5">
        <w:t>Taxation Administration (Reporting Exemptions for Electronic Distribution Platform Operators) Determination 202</w:t>
      </w:r>
      <w:r w:rsidR="007E54DC">
        <w:t>5</w:t>
      </w:r>
    </w:p>
    <w:p w14:paraId="2B034DF0" w14:textId="5D1DA618" w:rsidR="0052790B" w:rsidRPr="00601CD5" w:rsidRDefault="0052790B" w:rsidP="00F73DA7">
      <w:pPr>
        <w:autoSpaceDE w:val="0"/>
        <w:autoSpaceDN w:val="0"/>
        <w:adjustRightInd w:val="0"/>
        <w:spacing w:after="120"/>
        <w:jc w:val="left"/>
        <w:rPr>
          <w:rFonts w:ascii="Arial" w:hAnsi="Arial" w:cs="Arial"/>
        </w:rPr>
      </w:pPr>
      <w:r w:rsidRPr="00601CD5">
        <w:rPr>
          <w:rFonts w:ascii="Arial" w:hAnsi="Arial" w:cs="Arial"/>
        </w:rPr>
        <w:t xml:space="preserve">This legislative instrument is compatible with the human rights and freedoms recognised or declared in the international instruments listed in section 3 of the </w:t>
      </w:r>
      <w:r w:rsidRPr="00601CD5">
        <w:rPr>
          <w:rFonts w:ascii="Arial" w:hAnsi="Arial" w:cs="Arial"/>
          <w:i/>
        </w:rPr>
        <w:t>Human Rights (</w:t>
      </w:r>
      <w:r w:rsidRPr="00C2733A">
        <w:rPr>
          <w:rFonts w:ascii="Arial" w:hAnsi="Arial" w:cs="Arial"/>
          <w:i/>
        </w:rPr>
        <w:t>Parliament</w:t>
      </w:r>
      <w:r w:rsidRPr="00601CD5">
        <w:rPr>
          <w:rFonts w:ascii="Arial" w:hAnsi="Arial" w:cs="Arial"/>
          <w:i/>
        </w:rPr>
        <w:t>ary Scrutiny) Act 2011.</w:t>
      </w:r>
    </w:p>
    <w:p w14:paraId="38D1C6E1" w14:textId="77777777" w:rsidR="0052790B" w:rsidRPr="00601CD5" w:rsidRDefault="0052790B" w:rsidP="00F73DA7">
      <w:pPr>
        <w:spacing w:after="120"/>
        <w:jc w:val="left"/>
        <w:rPr>
          <w:rFonts w:ascii="Arial" w:hAnsi="Arial" w:cs="Arial"/>
        </w:rPr>
      </w:pPr>
    </w:p>
    <w:p w14:paraId="62C785A5" w14:textId="77777777" w:rsidR="0052790B" w:rsidRPr="00601CD5" w:rsidRDefault="0052790B" w:rsidP="00F73DA7">
      <w:pPr>
        <w:pStyle w:val="Heading2"/>
      </w:pPr>
      <w:r w:rsidRPr="00601CD5">
        <w:t>Overview of the legislative instrument</w:t>
      </w:r>
    </w:p>
    <w:p w14:paraId="1B5EF7F7" w14:textId="5579D649" w:rsidR="0052790B" w:rsidRPr="00601CD5" w:rsidRDefault="0052790B" w:rsidP="00F73DA7">
      <w:pPr>
        <w:spacing w:after="120"/>
        <w:jc w:val="left"/>
        <w:rPr>
          <w:rFonts w:ascii="Arial" w:hAnsi="Arial" w:cs="Arial"/>
        </w:rPr>
      </w:pPr>
      <w:r w:rsidRPr="00601CD5">
        <w:rPr>
          <w:rFonts w:ascii="Arial" w:hAnsi="Arial" w:cs="Arial"/>
        </w:rPr>
        <w:t xml:space="preserve">This legislative instrument exempts operators of electronic distribution platforms from having to include specified classes of transactions in reports required to be prepared and given to the </w:t>
      </w:r>
      <w:r w:rsidRPr="00C2733A">
        <w:rPr>
          <w:rFonts w:ascii="Arial" w:hAnsi="Arial" w:cs="Arial"/>
        </w:rPr>
        <w:t>Commissioner</w:t>
      </w:r>
      <w:r w:rsidRPr="00601CD5">
        <w:rPr>
          <w:rFonts w:ascii="Arial" w:hAnsi="Arial" w:cs="Arial"/>
        </w:rPr>
        <w:t xml:space="preserve"> of Taxation under the sharing economy reporting regime in the </w:t>
      </w:r>
      <w:r w:rsidRPr="00601CD5">
        <w:rPr>
          <w:rFonts w:ascii="Arial" w:hAnsi="Arial" w:cs="Arial"/>
          <w:i/>
          <w:iCs/>
        </w:rPr>
        <w:t>Taxation Administration Act 1953</w:t>
      </w:r>
      <w:r w:rsidRPr="00601CD5">
        <w:rPr>
          <w:rFonts w:ascii="Arial" w:hAnsi="Arial" w:cs="Arial"/>
        </w:rPr>
        <w:t>.</w:t>
      </w:r>
    </w:p>
    <w:p w14:paraId="4534A188" w14:textId="77777777" w:rsidR="00601CD5" w:rsidRDefault="002E5FFC" w:rsidP="00F73DA7">
      <w:pPr>
        <w:spacing w:after="120"/>
        <w:jc w:val="left"/>
        <w:rPr>
          <w:rFonts w:ascii="Arial" w:hAnsi="Arial" w:cs="Arial"/>
        </w:rPr>
      </w:pPr>
      <w:r w:rsidRPr="00601CD5">
        <w:rPr>
          <w:rFonts w:ascii="Arial" w:hAnsi="Arial" w:cs="Arial"/>
        </w:rPr>
        <w:t>Certain types of t</w:t>
      </w:r>
      <w:r w:rsidR="0052790B" w:rsidRPr="00601CD5">
        <w:rPr>
          <w:rFonts w:ascii="Arial" w:hAnsi="Arial" w:cs="Arial"/>
        </w:rPr>
        <w:t xml:space="preserve">ransactions are exempted from the regime to reduce the compliance cost for </w:t>
      </w:r>
      <w:r w:rsidR="00DA47B4" w:rsidRPr="00601CD5">
        <w:rPr>
          <w:rFonts w:ascii="Arial" w:hAnsi="Arial" w:cs="Arial"/>
        </w:rPr>
        <w:t xml:space="preserve">platform </w:t>
      </w:r>
      <w:r w:rsidR="0052790B" w:rsidRPr="00601CD5">
        <w:rPr>
          <w:rFonts w:ascii="Arial" w:hAnsi="Arial" w:cs="Arial"/>
        </w:rPr>
        <w:t>operators</w:t>
      </w:r>
      <w:r w:rsidRPr="00601CD5">
        <w:rPr>
          <w:rFonts w:ascii="Arial" w:hAnsi="Arial" w:cs="Arial"/>
        </w:rPr>
        <w:t>, including</w:t>
      </w:r>
      <w:r w:rsidR="0052790B" w:rsidRPr="00601CD5">
        <w:rPr>
          <w:rFonts w:ascii="Arial" w:hAnsi="Arial" w:cs="Arial"/>
        </w:rPr>
        <w:t xml:space="preserve"> where those transactions will already be reported by other </w:t>
      </w:r>
      <w:r w:rsidR="00DA47B4" w:rsidRPr="00601CD5">
        <w:rPr>
          <w:rFonts w:ascii="Arial" w:hAnsi="Arial" w:cs="Arial"/>
        </w:rPr>
        <w:t xml:space="preserve">platform </w:t>
      </w:r>
      <w:r w:rsidR="0052790B" w:rsidRPr="00601CD5">
        <w:rPr>
          <w:rFonts w:ascii="Arial" w:hAnsi="Arial" w:cs="Arial"/>
        </w:rPr>
        <w:t>operators, or there is a low risk to the broader taxation revenue base.</w:t>
      </w:r>
    </w:p>
    <w:p w14:paraId="41DFB9EA" w14:textId="7E9C173E" w:rsidR="0052790B" w:rsidRPr="00601CD5" w:rsidRDefault="0052790B" w:rsidP="00F73DA7">
      <w:pPr>
        <w:spacing w:after="120"/>
        <w:jc w:val="left"/>
        <w:rPr>
          <w:rFonts w:ascii="Arial" w:hAnsi="Arial" w:cs="Arial"/>
        </w:rPr>
      </w:pPr>
    </w:p>
    <w:p w14:paraId="3EEC276A" w14:textId="77777777" w:rsidR="0052790B" w:rsidRPr="00601CD5" w:rsidRDefault="0052790B" w:rsidP="00F73DA7">
      <w:pPr>
        <w:pStyle w:val="Heading2"/>
      </w:pPr>
      <w:r w:rsidRPr="00601CD5">
        <w:t>Human rights implications</w:t>
      </w:r>
    </w:p>
    <w:p w14:paraId="04B0EC72" w14:textId="712976E9" w:rsidR="0052790B" w:rsidRPr="00601CD5" w:rsidRDefault="0052790B" w:rsidP="00F73DA7">
      <w:pPr>
        <w:spacing w:after="120"/>
        <w:jc w:val="left"/>
        <w:rPr>
          <w:rFonts w:ascii="Arial" w:hAnsi="Arial" w:cs="Arial"/>
        </w:rPr>
      </w:pPr>
      <w:r w:rsidRPr="00601CD5">
        <w:rPr>
          <w:rFonts w:ascii="Arial" w:hAnsi="Arial" w:cs="Arial"/>
        </w:rPr>
        <w:t>This legislative instrument does not engage any of the applicable rights or freedoms and merely provides relief from reporting requirements for specified transactions.</w:t>
      </w:r>
    </w:p>
    <w:p w14:paraId="126B8A36" w14:textId="77777777" w:rsidR="0052790B" w:rsidRPr="00601CD5" w:rsidRDefault="0052790B" w:rsidP="00F73DA7">
      <w:pPr>
        <w:spacing w:after="120"/>
        <w:jc w:val="left"/>
        <w:rPr>
          <w:rFonts w:ascii="Arial" w:hAnsi="Arial" w:cs="Arial"/>
          <w:bCs/>
        </w:rPr>
      </w:pPr>
    </w:p>
    <w:p w14:paraId="42A20751" w14:textId="77777777" w:rsidR="0052790B" w:rsidRPr="00601CD5" w:rsidRDefault="0052790B" w:rsidP="00F73DA7">
      <w:pPr>
        <w:pStyle w:val="Heading2"/>
      </w:pPr>
      <w:r w:rsidRPr="00601CD5">
        <w:t>Conclusion</w:t>
      </w:r>
    </w:p>
    <w:p w14:paraId="5CFF9620" w14:textId="17DA8022" w:rsidR="0052790B" w:rsidRPr="00601CD5" w:rsidRDefault="0052790B" w:rsidP="00F73DA7">
      <w:pPr>
        <w:spacing w:after="120"/>
        <w:jc w:val="left"/>
        <w:rPr>
          <w:rFonts w:ascii="Arial" w:hAnsi="Arial" w:cs="Arial"/>
        </w:rPr>
      </w:pPr>
      <w:r w:rsidRPr="00601CD5">
        <w:rPr>
          <w:rFonts w:ascii="Arial" w:hAnsi="Arial" w:cs="Arial"/>
        </w:rPr>
        <w:t>This legislative instrument is compatible with human rights as it does not raise any human rights issues.</w:t>
      </w:r>
    </w:p>
    <w:sectPr w:rsidR="0052790B" w:rsidRPr="00601CD5" w:rsidSect="00A706FA">
      <w:headerReference w:type="default" r:id="rId13"/>
      <w:headerReference w:type="first" r:id="rId14"/>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1E9D" w14:textId="77777777" w:rsidR="00A24E69" w:rsidRDefault="00A24E69">
      <w:r>
        <w:separator/>
      </w:r>
    </w:p>
  </w:endnote>
  <w:endnote w:type="continuationSeparator" w:id="0">
    <w:p w14:paraId="7C6276DD" w14:textId="77777777" w:rsidR="00A24E69" w:rsidRDefault="00A24E69">
      <w:r>
        <w:continuationSeparator/>
      </w:r>
    </w:p>
  </w:endnote>
  <w:endnote w:type="continuationNotice" w:id="1">
    <w:p w14:paraId="36BB84DA" w14:textId="77777777" w:rsidR="00A24E69" w:rsidRDefault="00A24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EDAB" w14:textId="77777777" w:rsidR="00A24E69" w:rsidRDefault="00A24E69">
      <w:r>
        <w:separator/>
      </w:r>
    </w:p>
  </w:footnote>
  <w:footnote w:type="continuationSeparator" w:id="0">
    <w:p w14:paraId="29EB9D1B" w14:textId="77777777" w:rsidR="00A24E69" w:rsidRDefault="00A24E69">
      <w:r>
        <w:continuationSeparator/>
      </w:r>
    </w:p>
  </w:footnote>
  <w:footnote w:type="continuationNotice" w:id="1">
    <w:p w14:paraId="70F1F633" w14:textId="77777777" w:rsidR="00A24E69" w:rsidRDefault="00A24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8D7B" w14:textId="46C6256D" w:rsidR="00A706FA" w:rsidRDefault="00A706FA" w:rsidP="00A706FA">
    <w:pPr>
      <w:pStyle w:val="Header"/>
      <w:tabs>
        <w:tab w:val="clear" w:pos="4153"/>
        <w:tab w:val="clear" w:pos="8306"/>
        <w:tab w:val="center" w:pos="1418"/>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4DC3" w14:textId="35F9BC56" w:rsidR="00A706FA" w:rsidRDefault="00DF7508" w:rsidP="00A706FA">
    <w:pPr>
      <w:pStyle w:val="Header"/>
      <w:tabs>
        <w:tab w:val="clear" w:pos="4153"/>
        <w:tab w:val="clear" w:pos="8306"/>
      </w:tabs>
      <w:rPr>
        <w:rFonts w:ascii="Arial" w:hAnsi="Arial" w:cs="Arial"/>
        <w:sz w:val="20"/>
      </w:rPr>
    </w:pPr>
    <w:r>
      <w:rPr>
        <w:noProof/>
      </w:rPr>
      <w:drawing>
        <wp:inline distT="0" distB="0" distL="0" distR="0" wp14:anchorId="68460CDC" wp14:editId="62685506">
          <wp:extent cx="2413635" cy="701675"/>
          <wp:effectExtent l="0" t="0" r="5715" b="3175"/>
          <wp:docPr id="3" name="Picture 3"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3C7EE7CA" w14:textId="77777777" w:rsidR="00A706FA" w:rsidRPr="001A6644" w:rsidRDefault="00A706FA" w:rsidP="00A706FA">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72D1"/>
    <w:multiLevelType w:val="hybridMultilevel"/>
    <w:tmpl w:val="4C6EA096"/>
    <w:lvl w:ilvl="0" w:tplc="4A38B6A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2A33E2"/>
    <w:multiLevelType w:val="hybridMultilevel"/>
    <w:tmpl w:val="643E0896"/>
    <w:lvl w:ilvl="0" w:tplc="4A38B6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9F0EDB"/>
    <w:multiLevelType w:val="hybridMultilevel"/>
    <w:tmpl w:val="040A768A"/>
    <w:lvl w:ilvl="0" w:tplc="FFFFFFFF">
      <w:start w:val="1"/>
      <w:numFmt w:val="lowerLetter"/>
      <w:lvlText w:val="(%1)"/>
      <w:lvlJc w:val="left"/>
      <w:pPr>
        <w:ind w:left="742" w:hanging="360"/>
      </w:pPr>
      <w:rPr>
        <w:rFonts w:hint="default"/>
      </w:rPr>
    </w:lvl>
    <w:lvl w:ilvl="1" w:tplc="1CC4F630">
      <w:start w:val="1"/>
      <w:numFmt w:val="lowerRoman"/>
      <w:lvlText w:val="(%2)"/>
      <w:lvlJc w:val="left"/>
      <w:pPr>
        <w:ind w:left="1462" w:hanging="360"/>
      </w:pPr>
      <w:rPr>
        <w:rFonts w:hint="default"/>
      </w:r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3" w15:restartNumberingAfterBreak="0">
    <w:nsid w:val="38B362DC"/>
    <w:multiLevelType w:val="hybridMultilevel"/>
    <w:tmpl w:val="643E08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CC3903"/>
    <w:multiLevelType w:val="hybridMultilevel"/>
    <w:tmpl w:val="68D2DCE8"/>
    <w:lvl w:ilvl="0" w:tplc="258499E6">
      <w:start w:val="1"/>
      <w:numFmt w:val="decimal"/>
      <w:lvlText w:val="%1."/>
      <w:lvlJc w:val="left"/>
      <w:pPr>
        <w:tabs>
          <w:tab w:val="num" w:pos="720"/>
        </w:tabs>
        <w:ind w:left="720" w:hanging="360"/>
      </w:pPr>
      <w:rPr>
        <w:rFonts w:ascii="Arial" w:hAnsi="Arial" w:cs="Arial" w:hint="default"/>
        <w:b w:val="0"/>
        <w:bCs w:val="0"/>
        <w:i w:val="0"/>
        <w:iCs w:val="0"/>
        <w:color w:val="auto"/>
        <w:sz w:val="22"/>
        <w:szCs w:val="22"/>
      </w:rPr>
    </w:lvl>
    <w:lvl w:ilvl="1" w:tplc="0C090001">
      <w:start w:val="1"/>
      <w:numFmt w:val="bullet"/>
      <w:lvlText w:val=""/>
      <w:lvlJc w:val="left"/>
      <w:pPr>
        <w:tabs>
          <w:tab w:val="num" w:pos="1800"/>
        </w:tabs>
        <w:ind w:left="1800" w:hanging="360"/>
      </w:pPr>
      <w:rPr>
        <w:rFonts w:ascii="Symbol" w:hAnsi="Symbol" w:hint="default"/>
      </w:rPr>
    </w:lvl>
    <w:lvl w:ilvl="2" w:tplc="C2ACD91E">
      <w:start w:val="1"/>
      <w:numFmt w:val="lowerLetter"/>
      <w:lvlText w:val="(%3)"/>
      <w:lvlJc w:val="left"/>
      <w:pPr>
        <w:tabs>
          <w:tab w:val="num" w:pos="2700"/>
        </w:tabs>
        <w:ind w:left="2700" w:hanging="360"/>
      </w:pPr>
      <w:rPr>
        <w:rFonts w:hint="default"/>
      </w:rPr>
    </w:lvl>
    <w:lvl w:ilvl="3" w:tplc="0C09000F">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40280B4E"/>
    <w:multiLevelType w:val="hybridMultilevel"/>
    <w:tmpl w:val="643E08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A75569"/>
    <w:multiLevelType w:val="hybridMultilevel"/>
    <w:tmpl w:val="643E08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5B1FDB"/>
    <w:multiLevelType w:val="hybridMultilevel"/>
    <w:tmpl w:val="643E08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036C4D"/>
    <w:multiLevelType w:val="hybridMultilevel"/>
    <w:tmpl w:val="040A768A"/>
    <w:lvl w:ilvl="0" w:tplc="FFFFFFFF">
      <w:start w:val="1"/>
      <w:numFmt w:val="lowerLetter"/>
      <w:lvlText w:val="(%1)"/>
      <w:lvlJc w:val="left"/>
      <w:pPr>
        <w:ind w:left="742" w:hanging="360"/>
      </w:pPr>
      <w:rPr>
        <w:rFonts w:hint="default"/>
      </w:rPr>
    </w:lvl>
    <w:lvl w:ilvl="1" w:tplc="FFFFFFFF">
      <w:start w:val="1"/>
      <w:numFmt w:val="lowerRoman"/>
      <w:lvlText w:val="(%2)"/>
      <w:lvlJc w:val="left"/>
      <w:pPr>
        <w:ind w:left="1462" w:hanging="360"/>
      </w:pPr>
      <w:rPr>
        <w:rFonts w:hint="default"/>
      </w:r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9" w15:restartNumberingAfterBreak="0">
    <w:nsid w:val="4DF737EC"/>
    <w:multiLevelType w:val="hybridMultilevel"/>
    <w:tmpl w:val="8E66863C"/>
    <w:lvl w:ilvl="0" w:tplc="4A38B6A0">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50422A2F"/>
    <w:multiLevelType w:val="hybridMultilevel"/>
    <w:tmpl w:val="643E08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B047E9"/>
    <w:multiLevelType w:val="hybridMultilevel"/>
    <w:tmpl w:val="643E08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AC2B89"/>
    <w:multiLevelType w:val="hybridMultilevel"/>
    <w:tmpl w:val="A31CDE1A"/>
    <w:lvl w:ilvl="0" w:tplc="FFFFFFFF">
      <w:start w:val="1"/>
      <w:numFmt w:val="decimal"/>
      <w:lvlText w:val="%1."/>
      <w:lvlJc w:val="left"/>
      <w:pPr>
        <w:tabs>
          <w:tab w:val="num" w:pos="720"/>
        </w:tabs>
        <w:ind w:left="720" w:hanging="360"/>
      </w:pPr>
      <w:rPr>
        <w:rFonts w:ascii="Arial" w:hAnsi="Arial" w:cs="Arial" w:hint="default"/>
        <w:b w:val="0"/>
        <w:bCs w:val="0"/>
        <w:i w:val="0"/>
        <w:iCs w:val="0"/>
        <w:color w:val="auto"/>
        <w:sz w:val="22"/>
        <w:szCs w:val="22"/>
      </w:rPr>
    </w:lvl>
    <w:lvl w:ilvl="1" w:tplc="4A38B6A0">
      <w:start w:val="1"/>
      <w:numFmt w:val="lowerLetter"/>
      <w:lvlText w:val="(%2)"/>
      <w:lvlJc w:val="left"/>
      <w:pPr>
        <w:ind w:left="2160" w:hanging="360"/>
      </w:pPr>
      <w:rPr>
        <w:rFonts w:hint="default"/>
      </w:rPr>
    </w:lvl>
    <w:lvl w:ilvl="2" w:tplc="FFFFFFFF">
      <w:start w:val="1"/>
      <w:numFmt w:val="lowerLetter"/>
      <w:lvlText w:val="(%3)"/>
      <w:lvlJc w:val="left"/>
      <w:pPr>
        <w:tabs>
          <w:tab w:val="num" w:pos="2700"/>
        </w:tabs>
        <w:ind w:left="2700" w:hanging="360"/>
      </w:pPr>
      <w:rPr>
        <w:rFonts w:hint="default"/>
      </w:r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469132550">
    <w:abstractNumId w:val="4"/>
  </w:num>
  <w:num w:numId="2" w16cid:durableId="1540244867">
    <w:abstractNumId w:val="1"/>
  </w:num>
  <w:num w:numId="3" w16cid:durableId="269974309">
    <w:abstractNumId w:val="2"/>
  </w:num>
  <w:num w:numId="4" w16cid:durableId="1922592739">
    <w:abstractNumId w:val="6"/>
  </w:num>
  <w:num w:numId="5" w16cid:durableId="1079525454">
    <w:abstractNumId w:val="7"/>
  </w:num>
  <w:num w:numId="6" w16cid:durableId="1610770241">
    <w:abstractNumId w:val="5"/>
  </w:num>
  <w:num w:numId="7" w16cid:durableId="1546065933">
    <w:abstractNumId w:val="3"/>
  </w:num>
  <w:num w:numId="8" w16cid:durableId="96752979">
    <w:abstractNumId w:val="11"/>
  </w:num>
  <w:num w:numId="9" w16cid:durableId="2108764568">
    <w:abstractNumId w:val="10"/>
  </w:num>
  <w:num w:numId="10" w16cid:durableId="396519249">
    <w:abstractNumId w:val="8"/>
  </w:num>
  <w:num w:numId="11" w16cid:durableId="238176214">
    <w:abstractNumId w:val="0"/>
  </w:num>
  <w:num w:numId="12" w16cid:durableId="239798377">
    <w:abstractNumId w:val="9"/>
  </w:num>
  <w:num w:numId="13" w16cid:durableId="177956736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proofState w:spelling="clean" w:grammar="clean"/>
  <w:trackRevisions/>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0B"/>
    <w:rsid w:val="00000FB5"/>
    <w:rsid w:val="00001719"/>
    <w:rsid w:val="00003106"/>
    <w:rsid w:val="00003C1B"/>
    <w:rsid w:val="00005ACF"/>
    <w:rsid w:val="00006737"/>
    <w:rsid w:val="00010266"/>
    <w:rsid w:val="00014229"/>
    <w:rsid w:val="000178CE"/>
    <w:rsid w:val="00020DCF"/>
    <w:rsid w:val="000251AD"/>
    <w:rsid w:val="00030959"/>
    <w:rsid w:val="0003136C"/>
    <w:rsid w:val="00040D35"/>
    <w:rsid w:val="000421C2"/>
    <w:rsid w:val="0004269C"/>
    <w:rsid w:val="00042952"/>
    <w:rsid w:val="000443EC"/>
    <w:rsid w:val="00044975"/>
    <w:rsid w:val="00045DAF"/>
    <w:rsid w:val="00050346"/>
    <w:rsid w:val="00052CDB"/>
    <w:rsid w:val="0006044A"/>
    <w:rsid w:val="000651CF"/>
    <w:rsid w:val="00065F8E"/>
    <w:rsid w:val="0007154B"/>
    <w:rsid w:val="00072670"/>
    <w:rsid w:val="00072F63"/>
    <w:rsid w:val="00074F04"/>
    <w:rsid w:val="00080CFB"/>
    <w:rsid w:val="00080F09"/>
    <w:rsid w:val="00083CF5"/>
    <w:rsid w:val="00086090"/>
    <w:rsid w:val="00087C75"/>
    <w:rsid w:val="00091449"/>
    <w:rsid w:val="00092E01"/>
    <w:rsid w:val="000978DF"/>
    <w:rsid w:val="000A36C1"/>
    <w:rsid w:val="000A798F"/>
    <w:rsid w:val="000A7A3B"/>
    <w:rsid w:val="000B1E8D"/>
    <w:rsid w:val="000B2BD0"/>
    <w:rsid w:val="000C0D95"/>
    <w:rsid w:val="000C1E88"/>
    <w:rsid w:val="000C3BD4"/>
    <w:rsid w:val="000C7682"/>
    <w:rsid w:val="000D133C"/>
    <w:rsid w:val="000D4A27"/>
    <w:rsid w:val="000D700B"/>
    <w:rsid w:val="000E443E"/>
    <w:rsid w:val="000E6ACD"/>
    <w:rsid w:val="000F2C46"/>
    <w:rsid w:val="000F3B22"/>
    <w:rsid w:val="000F51F2"/>
    <w:rsid w:val="000F7FAB"/>
    <w:rsid w:val="0010211E"/>
    <w:rsid w:val="0011081E"/>
    <w:rsid w:val="00110A42"/>
    <w:rsid w:val="00111DAB"/>
    <w:rsid w:val="00113581"/>
    <w:rsid w:val="00124867"/>
    <w:rsid w:val="0013019A"/>
    <w:rsid w:val="001375F5"/>
    <w:rsid w:val="001407A7"/>
    <w:rsid w:val="001411E2"/>
    <w:rsid w:val="00142C39"/>
    <w:rsid w:val="00144912"/>
    <w:rsid w:val="00150E3C"/>
    <w:rsid w:val="00156F61"/>
    <w:rsid w:val="001622AB"/>
    <w:rsid w:val="0016305D"/>
    <w:rsid w:val="001637FB"/>
    <w:rsid w:val="0016766F"/>
    <w:rsid w:val="00177E21"/>
    <w:rsid w:val="0018304F"/>
    <w:rsid w:val="001830C3"/>
    <w:rsid w:val="00184D60"/>
    <w:rsid w:val="00186A19"/>
    <w:rsid w:val="001900C8"/>
    <w:rsid w:val="001A2431"/>
    <w:rsid w:val="001A2502"/>
    <w:rsid w:val="001B26B6"/>
    <w:rsid w:val="001B4A16"/>
    <w:rsid w:val="001C09DA"/>
    <w:rsid w:val="001C1831"/>
    <w:rsid w:val="001C1997"/>
    <w:rsid w:val="001C25D9"/>
    <w:rsid w:val="001C4BD3"/>
    <w:rsid w:val="001D1941"/>
    <w:rsid w:val="001E34AA"/>
    <w:rsid w:val="001E47BF"/>
    <w:rsid w:val="001F0774"/>
    <w:rsid w:val="001F19E2"/>
    <w:rsid w:val="001F2A5D"/>
    <w:rsid w:val="001F46FF"/>
    <w:rsid w:val="00205AC8"/>
    <w:rsid w:val="002165FA"/>
    <w:rsid w:val="0022027D"/>
    <w:rsid w:val="00222097"/>
    <w:rsid w:val="002222E6"/>
    <w:rsid w:val="002311ED"/>
    <w:rsid w:val="00231E69"/>
    <w:rsid w:val="00232E72"/>
    <w:rsid w:val="00234958"/>
    <w:rsid w:val="00236616"/>
    <w:rsid w:val="002449C9"/>
    <w:rsid w:val="0024532B"/>
    <w:rsid w:val="00251714"/>
    <w:rsid w:val="00252AF5"/>
    <w:rsid w:val="00252D63"/>
    <w:rsid w:val="00253124"/>
    <w:rsid w:val="0025317B"/>
    <w:rsid w:val="00253A8A"/>
    <w:rsid w:val="00256702"/>
    <w:rsid w:val="00261C78"/>
    <w:rsid w:val="00261E33"/>
    <w:rsid w:val="002648A3"/>
    <w:rsid w:val="002666AC"/>
    <w:rsid w:val="00272AE5"/>
    <w:rsid w:val="00272B4C"/>
    <w:rsid w:val="0027457F"/>
    <w:rsid w:val="00280425"/>
    <w:rsid w:val="00282031"/>
    <w:rsid w:val="00284365"/>
    <w:rsid w:val="002849DE"/>
    <w:rsid w:val="00290790"/>
    <w:rsid w:val="00291958"/>
    <w:rsid w:val="00292F7C"/>
    <w:rsid w:val="00293308"/>
    <w:rsid w:val="00295367"/>
    <w:rsid w:val="00295D25"/>
    <w:rsid w:val="0029641C"/>
    <w:rsid w:val="002A178D"/>
    <w:rsid w:val="002A19C0"/>
    <w:rsid w:val="002A2F6C"/>
    <w:rsid w:val="002A730B"/>
    <w:rsid w:val="002B3F19"/>
    <w:rsid w:val="002B4D57"/>
    <w:rsid w:val="002B6556"/>
    <w:rsid w:val="002C1537"/>
    <w:rsid w:val="002C26A4"/>
    <w:rsid w:val="002D450E"/>
    <w:rsid w:val="002D5076"/>
    <w:rsid w:val="002D5803"/>
    <w:rsid w:val="002D7218"/>
    <w:rsid w:val="002E0888"/>
    <w:rsid w:val="002E5016"/>
    <w:rsid w:val="002E5FFC"/>
    <w:rsid w:val="002F05A8"/>
    <w:rsid w:val="002F3782"/>
    <w:rsid w:val="002F7353"/>
    <w:rsid w:val="00303DE6"/>
    <w:rsid w:val="00314B69"/>
    <w:rsid w:val="0032005D"/>
    <w:rsid w:val="003219AF"/>
    <w:rsid w:val="00321A9D"/>
    <w:rsid w:val="003244F7"/>
    <w:rsid w:val="00324CAF"/>
    <w:rsid w:val="003318DA"/>
    <w:rsid w:val="00335A08"/>
    <w:rsid w:val="00337F5D"/>
    <w:rsid w:val="00350919"/>
    <w:rsid w:val="00360C94"/>
    <w:rsid w:val="003623EE"/>
    <w:rsid w:val="00367B30"/>
    <w:rsid w:val="00370069"/>
    <w:rsid w:val="003700A0"/>
    <w:rsid w:val="00370CFB"/>
    <w:rsid w:val="00372A6E"/>
    <w:rsid w:val="003813C1"/>
    <w:rsid w:val="0038331D"/>
    <w:rsid w:val="00385ADA"/>
    <w:rsid w:val="0039153E"/>
    <w:rsid w:val="003920B1"/>
    <w:rsid w:val="00395C85"/>
    <w:rsid w:val="00395E28"/>
    <w:rsid w:val="003966EF"/>
    <w:rsid w:val="00397953"/>
    <w:rsid w:val="003A369F"/>
    <w:rsid w:val="003A58B1"/>
    <w:rsid w:val="003A74F3"/>
    <w:rsid w:val="003B0B87"/>
    <w:rsid w:val="003B12E0"/>
    <w:rsid w:val="003B489A"/>
    <w:rsid w:val="003C4B0E"/>
    <w:rsid w:val="003C615F"/>
    <w:rsid w:val="003C709C"/>
    <w:rsid w:val="003D6300"/>
    <w:rsid w:val="003D7C66"/>
    <w:rsid w:val="003E0635"/>
    <w:rsid w:val="003E2382"/>
    <w:rsid w:val="003E4EA1"/>
    <w:rsid w:val="003E60EA"/>
    <w:rsid w:val="003E6DD2"/>
    <w:rsid w:val="003E6F02"/>
    <w:rsid w:val="003E7642"/>
    <w:rsid w:val="0040253E"/>
    <w:rsid w:val="00406D9B"/>
    <w:rsid w:val="004073DB"/>
    <w:rsid w:val="00410FFD"/>
    <w:rsid w:val="00411155"/>
    <w:rsid w:val="00415D1B"/>
    <w:rsid w:val="00417835"/>
    <w:rsid w:val="0042078C"/>
    <w:rsid w:val="004242F0"/>
    <w:rsid w:val="004311F7"/>
    <w:rsid w:val="004343BB"/>
    <w:rsid w:val="004372DB"/>
    <w:rsid w:val="00441F08"/>
    <w:rsid w:val="00447772"/>
    <w:rsid w:val="00447891"/>
    <w:rsid w:val="00447DDC"/>
    <w:rsid w:val="00453B98"/>
    <w:rsid w:val="004544CA"/>
    <w:rsid w:val="00455EFD"/>
    <w:rsid w:val="00470F76"/>
    <w:rsid w:val="0047132F"/>
    <w:rsid w:val="00473C3B"/>
    <w:rsid w:val="00480C7B"/>
    <w:rsid w:val="00480F0A"/>
    <w:rsid w:val="004833EE"/>
    <w:rsid w:val="00484E5D"/>
    <w:rsid w:val="00490748"/>
    <w:rsid w:val="004920D8"/>
    <w:rsid w:val="0049359D"/>
    <w:rsid w:val="004957BC"/>
    <w:rsid w:val="004971CA"/>
    <w:rsid w:val="004A0D1A"/>
    <w:rsid w:val="004A2899"/>
    <w:rsid w:val="004A3FDD"/>
    <w:rsid w:val="004A43C9"/>
    <w:rsid w:val="004A4516"/>
    <w:rsid w:val="004A5051"/>
    <w:rsid w:val="004A59E1"/>
    <w:rsid w:val="004B6551"/>
    <w:rsid w:val="004D0073"/>
    <w:rsid w:val="004D3B49"/>
    <w:rsid w:val="004D448C"/>
    <w:rsid w:val="004E2C0C"/>
    <w:rsid w:val="004F08AF"/>
    <w:rsid w:val="004F3162"/>
    <w:rsid w:val="004F3EBE"/>
    <w:rsid w:val="004F42E5"/>
    <w:rsid w:val="004F5EF3"/>
    <w:rsid w:val="0050218C"/>
    <w:rsid w:val="0050507F"/>
    <w:rsid w:val="005054B5"/>
    <w:rsid w:val="00514269"/>
    <w:rsid w:val="00520B87"/>
    <w:rsid w:val="00523089"/>
    <w:rsid w:val="00526EDD"/>
    <w:rsid w:val="0052790B"/>
    <w:rsid w:val="005321D0"/>
    <w:rsid w:val="00533038"/>
    <w:rsid w:val="0053448A"/>
    <w:rsid w:val="00534522"/>
    <w:rsid w:val="00537A10"/>
    <w:rsid w:val="00537F9E"/>
    <w:rsid w:val="00540C68"/>
    <w:rsid w:val="005439B3"/>
    <w:rsid w:val="00546A6D"/>
    <w:rsid w:val="00551A78"/>
    <w:rsid w:val="005544A9"/>
    <w:rsid w:val="00556F7A"/>
    <w:rsid w:val="00557159"/>
    <w:rsid w:val="00561F44"/>
    <w:rsid w:val="00563EA8"/>
    <w:rsid w:val="00570161"/>
    <w:rsid w:val="00574525"/>
    <w:rsid w:val="00580D7C"/>
    <w:rsid w:val="00580EF1"/>
    <w:rsid w:val="00582BCF"/>
    <w:rsid w:val="00586DDA"/>
    <w:rsid w:val="00591C7C"/>
    <w:rsid w:val="0059400E"/>
    <w:rsid w:val="005A097B"/>
    <w:rsid w:val="005B11B8"/>
    <w:rsid w:val="005B1333"/>
    <w:rsid w:val="005B4BC4"/>
    <w:rsid w:val="005B58A9"/>
    <w:rsid w:val="005C0652"/>
    <w:rsid w:val="005C3E89"/>
    <w:rsid w:val="005C7E61"/>
    <w:rsid w:val="005D1401"/>
    <w:rsid w:val="005D3716"/>
    <w:rsid w:val="005E30B1"/>
    <w:rsid w:val="005E3FC1"/>
    <w:rsid w:val="005F6555"/>
    <w:rsid w:val="005F7DC6"/>
    <w:rsid w:val="00601CD5"/>
    <w:rsid w:val="00604395"/>
    <w:rsid w:val="00610A2C"/>
    <w:rsid w:val="00610C92"/>
    <w:rsid w:val="006158E4"/>
    <w:rsid w:val="0062141B"/>
    <w:rsid w:val="00631CF2"/>
    <w:rsid w:val="00634493"/>
    <w:rsid w:val="006409E3"/>
    <w:rsid w:val="00642A21"/>
    <w:rsid w:val="00646ECE"/>
    <w:rsid w:val="00647C79"/>
    <w:rsid w:val="00652B2B"/>
    <w:rsid w:val="00653526"/>
    <w:rsid w:val="0066170F"/>
    <w:rsid w:val="00661777"/>
    <w:rsid w:val="00663E8A"/>
    <w:rsid w:val="00670AFC"/>
    <w:rsid w:val="00674CF4"/>
    <w:rsid w:val="00677A71"/>
    <w:rsid w:val="00684086"/>
    <w:rsid w:val="00685EC0"/>
    <w:rsid w:val="006927AA"/>
    <w:rsid w:val="00693A49"/>
    <w:rsid w:val="00693C62"/>
    <w:rsid w:val="00693E10"/>
    <w:rsid w:val="00697973"/>
    <w:rsid w:val="006A04C6"/>
    <w:rsid w:val="006A3514"/>
    <w:rsid w:val="006A6A5E"/>
    <w:rsid w:val="006A785B"/>
    <w:rsid w:val="006B0585"/>
    <w:rsid w:val="006B2C0D"/>
    <w:rsid w:val="006B3BA8"/>
    <w:rsid w:val="006D64FA"/>
    <w:rsid w:val="006D695B"/>
    <w:rsid w:val="006D6CB8"/>
    <w:rsid w:val="006D6F79"/>
    <w:rsid w:val="006D7AE6"/>
    <w:rsid w:val="006E05B8"/>
    <w:rsid w:val="006E1A53"/>
    <w:rsid w:val="006E3A58"/>
    <w:rsid w:val="006E430E"/>
    <w:rsid w:val="006E4655"/>
    <w:rsid w:val="006F1C56"/>
    <w:rsid w:val="006F5BF3"/>
    <w:rsid w:val="006F674E"/>
    <w:rsid w:val="007004BD"/>
    <w:rsid w:val="00701316"/>
    <w:rsid w:val="0070743E"/>
    <w:rsid w:val="00710099"/>
    <w:rsid w:val="00711E47"/>
    <w:rsid w:val="00714137"/>
    <w:rsid w:val="00714171"/>
    <w:rsid w:val="007163D7"/>
    <w:rsid w:val="00726177"/>
    <w:rsid w:val="007312F3"/>
    <w:rsid w:val="00731B40"/>
    <w:rsid w:val="00732725"/>
    <w:rsid w:val="00734E4F"/>
    <w:rsid w:val="00735D4A"/>
    <w:rsid w:val="00737176"/>
    <w:rsid w:val="00743C12"/>
    <w:rsid w:val="00744520"/>
    <w:rsid w:val="00745520"/>
    <w:rsid w:val="00746267"/>
    <w:rsid w:val="00751985"/>
    <w:rsid w:val="00752ABF"/>
    <w:rsid w:val="00753E67"/>
    <w:rsid w:val="00756134"/>
    <w:rsid w:val="0076069D"/>
    <w:rsid w:val="00761B1C"/>
    <w:rsid w:val="00763004"/>
    <w:rsid w:val="00764A3A"/>
    <w:rsid w:val="007671CB"/>
    <w:rsid w:val="00771134"/>
    <w:rsid w:val="007712EB"/>
    <w:rsid w:val="00776088"/>
    <w:rsid w:val="00776361"/>
    <w:rsid w:val="007809B1"/>
    <w:rsid w:val="007819BF"/>
    <w:rsid w:val="00783184"/>
    <w:rsid w:val="0078436F"/>
    <w:rsid w:val="00784555"/>
    <w:rsid w:val="00795266"/>
    <w:rsid w:val="007962C2"/>
    <w:rsid w:val="00797147"/>
    <w:rsid w:val="007A0CE7"/>
    <w:rsid w:val="007A148B"/>
    <w:rsid w:val="007A24AD"/>
    <w:rsid w:val="007A3856"/>
    <w:rsid w:val="007A7423"/>
    <w:rsid w:val="007B30E3"/>
    <w:rsid w:val="007B51C0"/>
    <w:rsid w:val="007B65B3"/>
    <w:rsid w:val="007B65B8"/>
    <w:rsid w:val="007C13C2"/>
    <w:rsid w:val="007C6809"/>
    <w:rsid w:val="007D034F"/>
    <w:rsid w:val="007D5ECB"/>
    <w:rsid w:val="007E10AC"/>
    <w:rsid w:val="007E1599"/>
    <w:rsid w:val="007E54DC"/>
    <w:rsid w:val="007E73E9"/>
    <w:rsid w:val="007F049E"/>
    <w:rsid w:val="007F1151"/>
    <w:rsid w:val="007F1341"/>
    <w:rsid w:val="007F3C91"/>
    <w:rsid w:val="007F6F0C"/>
    <w:rsid w:val="007F76AF"/>
    <w:rsid w:val="008023FA"/>
    <w:rsid w:val="00807E1F"/>
    <w:rsid w:val="00811C91"/>
    <w:rsid w:val="00815262"/>
    <w:rsid w:val="00817D62"/>
    <w:rsid w:val="00831738"/>
    <w:rsid w:val="008336F7"/>
    <w:rsid w:val="0084079C"/>
    <w:rsid w:val="00845200"/>
    <w:rsid w:val="00857802"/>
    <w:rsid w:val="0086163F"/>
    <w:rsid w:val="00862D6D"/>
    <w:rsid w:val="00866343"/>
    <w:rsid w:val="008716AE"/>
    <w:rsid w:val="00876C8D"/>
    <w:rsid w:val="00883091"/>
    <w:rsid w:val="0088561C"/>
    <w:rsid w:val="00891E9F"/>
    <w:rsid w:val="00892919"/>
    <w:rsid w:val="0089314C"/>
    <w:rsid w:val="00893457"/>
    <w:rsid w:val="0089423C"/>
    <w:rsid w:val="008A46B3"/>
    <w:rsid w:val="008C08A7"/>
    <w:rsid w:val="008C107D"/>
    <w:rsid w:val="008C1660"/>
    <w:rsid w:val="008C1750"/>
    <w:rsid w:val="008C4AA2"/>
    <w:rsid w:val="008C4B63"/>
    <w:rsid w:val="008D0D2E"/>
    <w:rsid w:val="008D4923"/>
    <w:rsid w:val="008E412B"/>
    <w:rsid w:val="008E4144"/>
    <w:rsid w:val="008E445F"/>
    <w:rsid w:val="008E53DA"/>
    <w:rsid w:val="008E697E"/>
    <w:rsid w:val="008F3FE9"/>
    <w:rsid w:val="008F5F7B"/>
    <w:rsid w:val="008F75F6"/>
    <w:rsid w:val="00901C08"/>
    <w:rsid w:val="00902E5F"/>
    <w:rsid w:val="00903554"/>
    <w:rsid w:val="009165DC"/>
    <w:rsid w:val="009167FE"/>
    <w:rsid w:val="00923B1B"/>
    <w:rsid w:val="0092710A"/>
    <w:rsid w:val="00930040"/>
    <w:rsid w:val="009336CB"/>
    <w:rsid w:val="00942EA2"/>
    <w:rsid w:val="009450FC"/>
    <w:rsid w:val="009473C8"/>
    <w:rsid w:val="00954A09"/>
    <w:rsid w:val="0095575F"/>
    <w:rsid w:val="00955942"/>
    <w:rsid w:val="00956E0E"/>
    <w:rsid w:val="00963410"/>
    <w:rsid w:val="00963C0E"/>
    <w:rsid w:val="00966ED7"/>
    <w:rsid w:val="009723D2"/>
    <w:rsid w:val="00982576"/>
    <w:rsid w:val="00983FA1"/>
    <w:rsid w:val="00984377"/>
    <w:rsid w:val="0098456D"/>
    <w:rsid w:val="00984604"/>
    <w:rsid w:val="00986D58"/>
    <w:rsid w:val="00987890"/>
    <w:rsid w:val="00994C36"/>
    <w:rsid w:val="00997810"/>
    <w:rsid w:val="00997EEA"/>
    <w:rsid w:val="009A3A1A"/>
    <w:rsid w:val="009B0690"/>
    <w:rsid w:val="009B2A5F"/>
    <w:rsid w:val="009B3204"/>
    <w:rsid w:val="009B577A"/>
    <w:rsid w:val="009B782A"/>
    <w:rsid w:val="009C5C59"/>
    <w:rsid w:val="009CB678"/>
    <w:rsid w:val="009D27B8"/>
    <w:rsid w:val="009D73DD"/>
    <w:rsid w:val="009E0A1C"/>
    <w:rsid w:val="009E19E9"/>
    <w:rsid w:val="009F294C"/>
    <w:rsid w:val="00A0065C"/>
    <w:rsid w:val="00A00C6A"/>
    <w:rsid w:val="00A00DBB"/>
    <w:rsid w:val="00A103B2"/>
    <w:rsid w:val="00A153C5"/>
    <w:rsid w:val="00A1644A"/>
    <w:rsid w:val="00A20883"/>
    <w:rsid w:val="00A24E69"/>
    <w:rsid w:val="00A26841"/>
    <w:rsid w:val="00A41883"/>
    <w:rsid w:val="00A43872"/>
    <w:rsid w:val="00A45A85"/>
    <w:rsid w:val="00A471F1"/>
    <w:rsid w:val="00A47C65"/>
    <w:rsid w:val="00A514B5"/>
    <w:rsid w:val="00A52D1D"/>
    <w:rsid w:val="00A53379"/>
    <w:rsid w:val="00A55BCC"/>
    <w:rsid w:val="00A5751A"/>
    <w:rsid w:val="00A61AEE"/>
    <w:rsid w:val="00A63414"/>
    <w:rsid w:val="00A63F63"/>
    <w:rsid w:val="00A649BE"/>
    <w:rsid w:val="00A7005E"/>
    <w:rsid w:val="00A706FA"/>
    <w:rsid w:val="00A74037"/>
    <w:rsid w:val="00A74FD4"/>
    <w:rsid w:val="00A76F75"/>
    <w:rsid w:val="00A7711F"/>
    <w:rsid w:val="00A82CDA"/>
    <w:rsid w:val="00A84C31"/>
    <w:rsid w:val="00A84CB1"/>
    <w:rsid w:val="00A865F5"/>
    <w:rsid w:val="00A86F13"/>
    <w:rsid w:val="00A939DD"/>
    <w:rsid w:val="00A93B5D"/>
    <w:rsid w:val="00A94B01"/>
    <w:rsid w:val="00AA2E25"/>
    <w:rsid w:val="00AA43D3"/>
    <w:rsid w:val="00AA4829"/>
    <w:rsid w:val="00AA4ACE"/>
    <w:rsid w:val="00AA721E"/>
    <w:rsid w:val="00AB1480"/>
    <w:rsid w:val="00AB2A78"/>
    <w:rsid w:val="00AB385C"/>
    <w:rsid w:val="00AB3CFA"/>
    <w:rsid w:val="00AC049A"/>
    <w:rsid w:val="00AD12AE"/>
    <w:rsid w:val="00AD2525"/>
    <w:rsid w:val="00AD3ED7"/>
    <w:rsid w:val="00AE2F0B"/>
    <w:rsid w:val="00AE352F"/>
    <w:rsid w:val="00AE39EA"/>
    <w:rsid w:val="00AE5A33"/>
    <w:rsid w:val="00AE7CE3"/>
    <w:rsid w:val="00AF1985"/>
    <w:rsid w:val="00AF3328"/>
    <w:rsid w:val="00AF53E5"/>
    <w:rsid w:val="00B0210A"/>
    <w:rsid w:val="00B03DA9"/>
    <w:rsid w:val="00B064DF"/>
    <w:rsid w:val="00B0794F"/>
    <w:rsid w:val="00B07ED6"/>
    <w:rsid w:val="00B126EC"/>
    <w:rsid w:val="00B12CC2"/>
    <w:rsid w:val="00B16757"/>
    <w:rsid w:val="00B17C95"/>
    <w:rsid w:val="00B210D4"/>
    <w:rsid w:val="00B22C93"/>
    <w:rsid w:val="00B24E0F"/>
    <w:rsid w:val="00B25BAA"/>
    <w:rsid w:val="00B25C3E"/>
    <w:rsid w:val="00B25D9D"/>
    <w:rsid w:val="00B26A5C"/>
    <w:rsid w:val="00B31BF3"/>
    <w:rsid w:val="00B329B9"/>
    <w:rsid w:val="00B3457F"/>
    <w:rsid w:val="00B34C84"/>
    <w:rsid w:val="00B3594C"/>
    <w:rsid w:val="00B36066"/>
    <w:rsid w:val="00B36992"/>
    <w:rsid w:val="00B36D0E"/>
    <w:rsid w:val="00B370F1"/>
    <w:rsid w:val="00B433CB"/>
    <w:rsid w:val="00B434F0"/>
    <w:rsid w:val="00B45866"/>
    <w:rsid w:val="00B50ACC"/>
    <w:rsid w:val="00B52337"/>
    <w:rsid w:val="00B5646C"/>
    <w:rsid w:val="00B56897"/>
    <w:rsid w:val="00B613C4"/>
    <w:rsid w:val="00B62084"/>
    <w:rsid w:val="00B67AAE"/>
    <w:rsid w:val="00B71471"/>
    <w:rsid w:val="00B75A07"/>
    <w:rsid w:val="00B81185"/>
    <w:rsid w:val="00B83257"/>
    <w:rsid w:val="00B86A00"/>
    <w:rsid w:val="00B9623B"/>
    <w:rsid w:val="00BA0CD4"/>
    <w:rsid w:val="00BA66C8"/>
    <w:rsid w:val="00BB0666"/>
    <w:rsid w:val="00BB079D"/>
    <w:rsid w:val="00BB1E00"/>
    <w:rsid w:val="00BB24B0"/>
    <w:rsid w:val="00BB4774"/>
    <w:rsid w:val="00BB64CD"/>
    <w:rsid w:val="00BC04E3"/>
    <w:rsid w:val="00BC4ADE"/>
    <w:rsid w:val="00BD5463"/>
    <w:rsid w:val="00BD6EB8"/>
    <w:rsid w:val="00BD716B"/>
    <w:rsid w:val="00BD79C4"/>
    <w:rsid w:val="00BE4401"/>
    <w:rsid w:val="00BF23A2"/>
    <w:rsid w:val="00BF4123"/>
    <w:rsid w:val="00BF7E6F"/>
    <w:rsid w:val="00C04353"/>
    <w:rsid w:val="00C062C1"/>
    <w:rsid w:val="00C10203"/>
    <w:rsid w:val="00C13649"/>
    <w:rsid w:val="00C14656"/>
    <w:rsid w:val="00C15155"/>
    <w:rsid w:val="00C1773A"/>
    <w:rsid w:val="00C21C59"/>
    <w:rsid w:val="00C250B0"/>
    <w:rsid w:val="00C2733A"/>
    <w:rsid w:val="00C279E0"/>
    <w:rsid w:val="00C307A9"/>
    <w:rsid w:val="00C3397F"/>
    <w:rsid w:val="00C4205C"/>
    <w:rsid w:val="00C43087"/>
    <w:rsid w:val="00C4492E"/>
    <w:rsid w:val="00C44E82"/>
    <w:rsid w:val="00C46BB3"/>
    <w:rsid w:val="00C53531"/>
    <w:rsid w:val="00C60B37"/>
    <w:rsid w:val="00C620CF"/>
    <w:rsid w:val="00C641E9"/>
    <w:rsid w:val="00C64D9F"/>
    <w:rsid w:val="00C711F5"/>
    <w:rsid w:val="00C74505"/>
    <w:rsid w:val="00C75236"/>
    <w:rsid w:val="00C80BDD"/>
    <w:rsid w:val="00C80F7D"/>
    <w:rsid w:val="00C81B6E"/>
    <w:rsid w:val="00C97650"/>
    <w:rsid w:val="00CA011F"/>
    <w:rsid w:val="00CA0B9C"/>
    <w:rsid w:val="00CA134D"/>
    <w:rsid w:val="00CA46C0"/>
    <w:rsid w:val="00CB0FEA"/>
    <w:rsid w:val="00CB3AB5"/>
    <w:rsid w:val="00CB7745"/>
    <w:rsid w:val="00CC09CD"/>
    <w:rsid w:val="00CC235E"/>
    <w:rsid w:val="00CD0D3D"/>
    <w:rsid w:val="00CD564E"/>
    <w:rsid w:val="00CD75B6"/>
    <w:rsid w:val="00CE569E"/>
    <w:rsid w:val="00CE74B8"/>
    <w:rsid w:val="00CF0526"/>
    <w:rsid w:val="00CF1F34"/>
    <w:rsid w:val="00CF2D69"/>
    <w:rsid w:val="00CF6410"/>
    <w:rsid w:val="00D01E8C"/>
    <w:rsid w:val="00D0383B"/>
    <w:rsid w:val="00D1273D"/>
    <w:rsid w:val="00D14C17"/>
    <w:rsid w:val="00D17C52"/>
    <w:rsid w:val="00D256E0"/>
    <w:rsid w:val="00D30887"/>
    <w:rsid w:val="00D31283"/>
    <w:rsid w:val="00D459DB"/>
    <w:rsid w:val="00D467A7"/>
    <w:rsid w:val="00D46BBE"/>
    <w:rsid w:val="00D50400"/>
    <w:rsid w:val="00D5188A"/>
    <w:rsid w:val="00D52A8C"/>
    <w:rsid w:val="00D53C05"/>
    <w:rsid w:val="00D54758"/>
    <w:rsid w:val="00D54BEE"/>
    <w:rsid w:val="00D55413"/>
    <w:rsid w:val="00D57355"/>
    <w:rsid w:val="00D57509"/>
    <w:rsid w:val="00D64A22"/>
    <w:rsid w:val="00D67F48"/>
    <w:rsid w:val="00D714F7"/>
    <w:rsid w:val="00D740C0"/>
    <w:rsid w:val="00D77F5F"/>
    <w:rsid w:val="00D8159B"/>
    <w:rsid w:val="00D82C2A"/>
    <w:rsid w:val="00D8316D"/>
    <w:rsid w:val="00D911B7"/>
    <w:rsid w:val="00D9154B"/>
    <w:rsid w:val="00D92814"/>
    <w:rsid w:val="00D938B8"/>
    <w:rsid w:val="00D96E51"/>
    <w:rsid w:val="00D97DC5"/>
    <w:rsid w:val="00DA3EAE"/>
    <w:rsid w:val="00DA47B4"/>
    <w:rsid w:val="00DA5D85"/>
    <w:rsid w:val="00DA72B5"/>
    <w:rsid w:val="00DA7AD4"/>
    <w:rsid w:val="00DB0F3B"/>
    <w:rsid w:val="00DB433B"/>
    <w:rsid w:val="00DB50ED"/>
    <w:rsid w:val="00DB7647"/>
    <w:rsid w:val="00DC30D8"/>
    <w:rsid w:val="00DC5E73"/>
    <w:rsid w:val="00DD30E7"/>
    <w:rsid w:val="00DD3B9A"/>
    <w:rsid w:val="00DD4B55"/>
    <w:rsid w:val="00DD56C4"/>
    <w:rsid w:val="00DD70DC"/>
    <w:rsid w:val="00DE383F"/>
    <w:rsid w:val="00DE42CF"/>
    <w:rsid w:val="00DE537A"/>
    <w:rsid w:val="00DF15AE"/>
    <w:rsid w:val="00DF2F97"/>
    <w:rsid w:val="00DF3FFF"/>
    <w:rsid w:val="00DF59EA"/>
    <w:rsid w:val="00DF7508"/>
    <w:rsid w:val="00E01962"/>
    <w:rsid w:val="00E03786"/>
    <w:rsid w:val="00E038BD"/>
    <w:rsid w:val="00E07C19"/>
    <w:rsid w:val="00E07D85"/>
    <w:rsid w:val="00E1296E"/>
    <w:rsid w:val="00E220AF"/>
    <w:rsid w:val="00E231FE"/>
    <w:rsid w:val="00E26A39"/>
    <w:rsid w:val="00E308B6"/>
    <w:rsid w:val="00E31880"/>
    <w:rsid w:val="00E33890"/>
    <w:rsid w:val="00E3608C"/>
    <w:rsid w:val="00E37546"/>
    <w:rsid w:val="00E37B32"/>
    <w:rsid w:val="00E432F3"/>
    <w:rsid w:val="00E50501"/>
    <w:rsid w:val="00E5076F"/>
    <w:rsid w:val="00E5182D"/>
    <w:rsid w:val="00E54C6E"/>
    <w:rsid w:val="00E5798B"/>
    <w:rsid w:val="00E60B3F"/>
    <w:rsid w:val="00E6152A"/>
    <w:rsid w:val="00E66C6F"/>
    <w:rsid w:val="00E66EEE"/>
    <w:rsid w:val="00E729FA"/>
    <w:rsid w:val="00E7593B"/>
    <w:rsid w:val="00E766F1"/>
    <w:rsid w:val="00E772C7"/>
    <w:rsid w:val="00E8036A"/>
    <w:rsid w:val="00E81DF0"/>
    <w:rsid w:val="00E83093"/>
    <w:rsid w:val="00E8638E"/>
    <w:rsid w:val="00E871DA"/>
    <w:rsid w:val="00E90BB4"/>
    <w:rsid w:val="00E929A9"/>
    <w:rsid w:val="00E941E4"/>
    <w:rsid w:val="00E94842"/>
    <w:rsid w:val="00E959A2"/>
    <w:rsid w:val="00E95A01"/>
    <w:rsid w:val="00E964FB"/>
    <w:rsid w:val="00E96EB8"/>
    <w:rsid w:val="00E97D38"/>
    <w:rsid w:val="00EA0122"/>
    <w:rsid w:val="00EB4644"/>
    <w:rsid w:val="00EC144C"/>
    <w:rsid w:val="00EC2DEF"/>
    <w:rsid w:val="00ED0017"/>
    <w:rsid w:val="00ED018E"/>
    <w:rsid w:val="00ED15D1"/>
    <w:rsid w:val="00ED4A9E"/>
    <w:rsid w:val="00ED5D75"/>
    <w:rsid w:val="00ED7B7C"/>
    <w:rsid w:val="00ED7D99"/>
    <w:rsid w:val="00EE0543"/>
    <w:rsid w:val="00EE17B4"/>
    <w:rsid w:val="00EE1EB5"/>
    <w:rsid w:val="00EE3BB7"/>
    <w:rsid w:val="00EE470A"/>
    <w:rsid w:val="00EE66B2"/>
    <w:rsid w:val="00EF1186"/>
    <w:rsid w:val="00EF779C"/>
    <w:rsid w:val="00F0134B"/>
    <w:rsid w:val="00F018BB"/>
    <w:rsid w:val="00F06452"/>
    <w:rsid w:val="00F10F0A"/>
    <w:rsid w:val="00F117DC"/>
    <w:rsid w:val="00F14D8E"/>
    <w:rsid w:val="00F17122"/>
    <w:rsid w:val="00F2014E"/>
    <w:rsid w:val="00F21CFF"/>
    <w:rsid w:val="00F221EE"/>
    <w:rsid w:val="00F24A5E"/>
    <w:rsid w:val="00F2741B"/>
    <w:rsid w:val="00F27447"/>
    <w:rsid w:val="00F27E53"/>
    <w:rsid w:val="00F43F0A"/>
    <w:rsid w:val="00F55C41"/>
    <w:rsid w:val="00F562C7"/>
    <w:rsid w:val="00F61BB0"/>
    <w:rsid w:val="00F645B1"/>
    <w:rsid w:val="00F736C5"/>
    <w:rsid w:val="00F73DA7"/>
    <w:rsid w:val="00F873C4"/>
    <w:rsid w:val="00F91260"/>
    <w:rsid w:val="00F924BF"/>
    <w:rsid w:val="00F926F5"/>
    <w:rsid w:val="00F931B8"/>
    <w:rsid w:val="00F94031"/>
    <w:rsid w:val="00F97108"/>
    <w:rsid w:val="00FB02E1"/>
    <w:rsid w:val="00FB1CB8"/>
    <w:rsid w:val="00FB2481"/>
    <w:rsid w:val="00FB790A"/>
    <w:rsid w:val="00FC1BA9"/>
    <w:rsid w:val="00FC2F33"/>
    <w:rsid w:val="00FC3995"/>
    <w:rsid w:val="00FC6470"/>
    <w:rsid w:val="00FC705C"/>
    <w:rsid w:val="00FC707D"/>
    <w:rsid w:val="00FD0DDE"/>
    <w:rsid w:val="00FD7F9E"/>
    <w:rsid w:val="00FE067F"/>
    <w:rsid w:val="00FE4E92"/>
    <w:rsid w:val="00FE5BF2"/>
    <w:rsid w:val="00FF3495"/>
    <w:rsid w:val="00FF3D2E"/>
    <w:rsid w:val="00FF6788"/>
    <w:rsid w:val="01811DA2"/>
    <w:rsid w:val="01925A8F"/>
    <w:rsid w:val="0270C402"/>
    <w:rsid w:val="02C212AF"/>
    <w:rsid w:val="02F86500"/>
    <w:rsid w:val="0300C77F"/>
    <w:rsid w:val="0315661B"/>
    <w:rsid w:val="031CECC3"/>
    <w:rsid w:val="0329D19A"/>
    <w:rsid w:val="03BD7292"/>
    <w:rsid w:val="03E9E9DB"/>
    <w:rsid w:val="048E8952"/>
    <w:rsid w:val="04D1D295"/>
    <w:rsid w:val="05823997"/>
    <w:rsid w:val="05A311FF"/>
    <w:rsid w:val="05D159AC"/>
    <w:rsid w:val="05D63137"/>
    <w:rsid w:val="05E04787"/>
    <w:rsid w:val="05EA69DA"/>
    <w:rsid w:val="06FC6965"/>
    <w:rsid w:val="07E65F17"/>
    <w:rsid w:val="08279521"/>
    <w:rsid w:val="08333D06"/>
    <w:rsid w:val="084F427E"/>
    <w:rsid w:val="0865A72D"/>
    <w:rsid w:val="087307C5"/>
    <w:rsid w:val="08BCAE09"/>
    <w:rsid w:val="08FC1F47"/>
    <w:rsid w:val="09452A95"/>
    <w:rsid w:val="098D9C8F"/>
    <w:rsid w:val="09A82971"/>
    <w:rsid w:val="09AE84BC"/>
    <w:rsid w:val="0A4A753F"/>
    <w:rsid w:val="0B2C707A"/>
    <w:rsid w:val="0B873524"/>
    <w:rsid w:val="0C38D3B6"/>
    <w:rsid w:val="0C72EC12"/>
    <w:rsid w:val="0CCEF776"/>
    <w:rsid w:val="0D390B65"/>
    <w:rsid w:val="0DF34E96"/>
    <w:rsid w:val="0EB104B5"/>
    <w:rsid w:val="0F36F9DC"/>
    <w:rsid w:val="0F42AB6B"/>
    <w:rsid w:val="0F8B46D6"/>
    <w:rsid w:val="0F8C1B84"/>
    <w:rsid w:val="0FA29E36"/>
    <w:rsid w:val="0FC0FA77"/>
    <w:rsid w:val="1035D652"/>
    <w:rsid w:val="106DC550"/>
    <w:rsid w:val="10788D3D"/>
    <w:rsid w:val="1093A4F6"/>
    <w:rsid w:val="10A758FE"/>
    <w:rsid w:val="112D6A2A"/>
    <w:rsid w:val="113BDBEF"/>
    <w:rsid w:val="1318FF5D"/>
    <w:rsid w:val="137C5731"/>
    <w:rsid w:val="1428F7F2"/>
    <w:rsid w:val="144C2F80"/>
    <w:rsid w:val="144D1931"/>
    <w:rsid w:val="144DF897"/>
    <w:rsid w:val="14500B82"/>
    <w:rsid w:val="14DD5F72"/>
    <w:rsid w:val="150B190E"/>
    <w:rsid w:val="1550E5B9"/>
    <w:rsid w:val="1600FCEF"/>
    <w:rsid w:val="16073734"/>
    <w:rsid w:val="16397152"/>
    <w:rsid w:val="165527BE"/>
    <w:rsid w:val="16CCAC53"/>
    <w:rsid w:val="17AE0723"/>
    <w:rsid w:val="17F02288"/>
    <w:rsid w:val="18D8AD3A"/>
    <w:rsid w:val="1900F67A"/>
    <w:rsid w:val="193F9BDC"/>
    <w:rsid w:val="19B8AE44"/>
    <w:rsid w:val="1AA02E54"/>
    <w:rsid w:val="1AD47D96"/>
    <w:rsid w:val="1C19F428"/>
    <w:rsid w:val="1C4FE4C0"/>
    <w:rsid w:val="1D314A8A"/>
    <w:rsid w:val="1D9DB8B5"/>
    <w:rsid w:val="1EABA6B8"/>
    <w:rsid w:val="1F5A4BE1"/>
    <w:rsid w:val="1FCF7908"/>
    <w:rsid w:val="1FD5F547"/>
    <w:rsid w:val="20033556"/>
    <w:rsid w:val="202408D1"/>
    <w:rsid w:val="20394800"/>
    <w:rsid w:val="2086156A"/>
    <w:rsid w:val="20E5FA7D"/>
    <w:rsid w:val="217E2198"/>
    <w:rsid w:val="21DCF47B"/>
    <w:rsid w:val="2207A91C"/>
    <w:rsid w:val="227119D7"/>
    <w:rsid w:val="22A2CC00"/>
    <w:rsid w:val="22CE746D"/>
    <w:rsid w:val="237665C6"/>
    <w:rsid w:val="24CE3274"/>
    <w:rsid w:val="261314A9"/>
    <w:rsid w:val="261A64E4"/>
    <w:rsid w:val="267B33B0"/>
    <w:rsid w:val="26D03F23"/>
    <w:rsid w:val="270F0C00"/>
    <w:rsid w:val="27D2EF93"/>
    <w:rsid w:val="27F53BE0"/>
    <w:rsid w:val="283E3B72"/>
    <w:rsid w:val="28D72FE3"/>
    <w:rsid w:val="293BB924"/>
    <w:rsid w:val="2963BE56"/>
    <w:rsid w:val="29CA3B57"/>
    <w:rsid w:val="29EFEA1E"/>
    <w:rsid w:val="29F42ECA"/>
    <w:rsid w:val="2A194D0E"/>
    <w:rsid w:val="2A7FA8B3"/>
    <w:rsid w:val="2A862FB5"/>
    <w:rsid w:val="2B32E604"/>
    <w:rsid w:val="2B5865D1"/>
    <w:rsid w:val="2B6B996B"/>
    <w:rsid w:val="2BD5B7DB"/>
    <w:rsid w:val="2C1E6CF2"/>
    <w:rsid w:val="2C665AEA"/>
    <w:rsid w:val="2C800FC9"/>
    <w:rsid w:val="2C9CBD49"/>
    <w:rsid w:val="2CA7199A"/>
    <w:rsid w:val="2CD331B2"/>
    <w:rsid w:val="2D99A49D"/>
    <w:rsid w:val="2E95992E"/>
    <w:rsid w:val="2F4C9129"/>
    <w:rsid w:val="2F74C367"/>
    <w:rsid w:val="2F99ADEC"/>
    <w:rsid w:val="2FF1F3D1"/>
    <w:rsid w:val="301C0C98"/>
    <w:rsid w:val="30F1665D"/>
    <w:rsid w:val="318170A5"/>
    <w:rsid w:val="31E6E95B"/>
    <w:rsid w:val="32A06219"/>
    <w:rsid w:val="33D82FA8"/>
    <w:rsid w:val="33FAECF8"/>
    <w:rsid w:val="344A8166"/>
    <w:rsid w:val="34597884"/>
    <w:rsid w:val="3462E6AD"/>
    <w:rsid w:val="36427B77"/>
    <w:rsid w:val="369D78B4"/>
    <w:rsid w:val="36B2952D"/>
    <w:rsid w:val="3727354B"/>
    <w:rsid w:val="373F8A93"/>
    <w:rsid w:val="378CFAED"/>
    <w:rsid w:val="37CC4355"/>
    <w:rsid w:val="37E055AD"/>
    <w:rsid w:val="37E67759"/>
    <w:rsid w:val="38401B0F"/>
    <w:rsid w:val="38DB64AE"/>
    <w:rsid w:val="39132807"/>
    <w:rsid w:val="3914BEE5"/>
    <w:rsid w:val="3948C1E5"/>
    <w:rsid w:val="3948D531"/>
    <w:rsid w:val="39653987"/>
    <w:rsid w:val="39A71E8E"/>
    <w:rsid w:val="3A6755D2"/>
    <w:rsid w:val="3A68AEE9"/>
    <w:rsid w:val="3AEBAC9B"/>
    <w:rsid w:val="3AEC7669"/>
    <w:rsid w:val="3B40B1CF"/>
    <w:rsid w:val="3BAEDE2C"/>
    <w:rsid w:val="3BC97759"/>
    <w:rsid w:val="3C4BC0E7"/>
    <w:rsid w:val="3C4F13DE"/>
    <w:rsid w:val="3C7106E3"/>
    <w:rsid w:val="3C793D9C"/>
    <w:rsid w:val="3D2FBD24"/>
    <w:rsid w:val="3D4BFEE0"/>
    <w:rsid w:val="3D87E16E"/>
    <w:rsid w:val="3DE65889"/>
    <w:rsid w:val="3E6FB075"/>
    <w:rsid w:val="3EC3EB54"/>
    <w:rsid w:val="3F030F92"/>
    <w:rsid w:val="3F3272E8"/>
    <w:rsid w:val="3F7E2268"/>
    <w:rsid w:val="40127E14"/>
    <w:rsid w:val="4013C8DF"/>
    <w:rsid w:val="40F0A050"/>
    <w:rsid w:val="411EEBA1"/>
    <w:rsid w:val="41E78DBF"/>
    <w:rsid w:val="42913B91"/>
    <w:rsid w:val="42B326FC"/>
    <w:rsid w:val="433F7A40"/>
    <w:rsid w:val="444140E8"/>
    <w:rsid w:val="444FEBB2"/>
    <w:rsid w:val="445551F6"/>
    <w:rsid w:val="446A52BB"/>
    <w:rsid w:val="44DFCC45"/>
    <w:rsid w:val="450891A9"/>
    <w:rsid w:val="4560ACEA"/>
    <w:rsid w:val="45F9824E"/>
    <w:rsid w:val="46524CAF"/>
    <w:rsid w:val="465556BD"/>
    <w:rsid w:val="46E6377F"/>
    <w:rsid w:val="471B78AB"/>
    <w:rsid w:val="475F8B8E"/>
    <w:rsid w:val="47C4317F"/>
    <w:rsid w:val="480C4F1F"/>
    <w:rsid w:val="48417D50"/>
    <w:rsid w:val="48A7A2ED"/>
    <w:rsid w:val="490E5AF9"/>
    <w:rsid w:val="49A24F22"/>
    <w:rsid w:val="4AEBBC55"/>
    <w:rsid w:val="4C78BB88"/>
    <w:rsid w:val="4C8451AF"/>
    <w:rsid w:val="4C8DCEB6"/>
    <w:rsid w:val="4DAC0653"/>
    <w:rsid w:val="4E343FB1"/>
    <w:rsid w:val="4E81665D"/>
    <w:rsid w:val="4F02BF7C"/>
    <w:rsid w:val="4F4C5C27"/>
    <w:rsid w:val="4F52CF63"/>
    <w:rsid w:val="4F9AC31E"/>
    <w:rsid w:val="4FFC3715"/>
    <w:rsid w:val="50250C29"/>
    <w:rsid w:val="508D65A0"/>
    <w:rsid w:val="51204415"/>
    <w:rsid w:val="514C23B4"/>
    <w:rsid w:val="518C34E4"/>
    <w:rsid w:val="519D8AB9"/>
    <w:rsid w:val="51C66CDB"/>
    <w:rsid w:val="5280580D"/>
    <w:rsid w:val="52D2EF80"/>
    <w:rsid w:val="52E8A4AB"/>
    <w:rsid w:val="52FA81BA"/>
    <w:rsid w:val="536B8D24"/>
    <w:rsid w:val="53B5FBC9"/>
    <w:rsid w:val="53F325A5"/>
    <w:rsid w:val="5429901C"/>
    <w:rsid w:val="5564E860"/>
    <w:rsid w:val="55BE4A0B"/>
    <w:rsid w:val="5630AB39"/>
    <w:rsid w:val="5640674C"/>
    <w:rsid w:val="5742C010"/>
    <w:rsid w:val="5778853C"/>
    <w:rsid w:val="5792C08C"/>
    <w:rsid w:val="58485B5E"/>
    <w:rsid w:val="5852E77A"/>
    <w:rsid w:val="58798D66"/>
    <w:rsid w:val="58D7650B"/>
    <w:rsid w:val="59415CB4"/>
    <w:rsid w:val="59BB9CB5"/>
    <w:rsid w:val="59E4FF92"/>
    <w:rsid w:val="5ACC79AE"/>
    <w:rsid w:val="5C6FFBAA"/>
    <w:rsid w:val="5D1B7576"/>
    <w:rsid w:val="5D22B9B6"/>
    <w:rsid w:val="5D2E5C3D"/>
    <w:rsid w:val="5D4D0720"/>
    <w:rsid w:val="5D9D96B2"/>
    <w:rsid w:val="5E250AD0"/>
    <w:rsid w:val="5EB84E5B"/>
    <w:rsid w:val="5F11BAA4"/>
    <w:rsid w:val="5FCDB289"/>
    <w:rsid w:val="6011A283"/>
    <w:rsid w:val="601B3D82"/>
    <w:rsid w:val="601B7C76"/>
    <w:rsid w:val="609FDF24"/>
    <w:rsid w:val="60C7DA76"/>
    <w:rsid w:val="60CF3CA5"/>
    <w:rsid w:val="60F8344D"/>
    <w:rsid w:val="613C8079"/>
    <w:rsid w:val="61407E18"/>
    <w:rsid w:val="61A0C212"/>
    <w:rsid w:val="62186B34"/>
    <w:rsid w:val="62190F0C"/>
    <w:rsid w:val="625007D3"/>
    <w:rsid w:val="635D5ED9"/>
    <w:rsid w:val="637F9A93"/>
    <w:rsid w:val="63B794EB"/>
    <w:rsid w:val="63BC89AF"/>
    <w:rsid w:val="6474DDB5"/>
    <w:rsid w:val="6492E972"/>
    <w:rsid w:val="64F5EB0E"/>
    <w:rsid w:val="655659B6"/>
    <w:rsid w:val="65E106B9"/>
    <w:rsid w:val="664742A8"/>
    <w:rsid w:val="66671DE7"/>
    <w:rsid w:val="667A4916"/>
    <w:rsid w:val="6693CF7A"/>
    <w:rsid w:val="6736010B"/>
    <w:rsid w:val="6736D5F8"/>
    <w:rsid w:val="677878C1"/>
    <w:rsid w:val="67A5D22F"/>
    <w:rsid w:val="681FEA20"/>
    <w:rsid w:val="68515B21"/>
    <w:rsid w:val="68637FCF"/>
    <w:rsid w:val="68881C82"/>
    <w:rsid w:val="6947FE25"/>
    <w:rsid w:val="695734CE"/>
    <w:rsid w:val="69E25AAA"/>
    <w:rsid w:val="6A0A4AAD"/>
    <w:rsid w:val="6A0F67F5"/>
    <w:rsid w:val="6A80872A"/>
    <w:rsid w:val="6AB2390D"/>
    <w:rsid w:val="6B4D6D6B"/>
    <w:rsid w:val="6BBE979F"/>
    <w:rsid w:val="6C640856"/>
    <w:rsid w:val="6C7FD5ED"/>
    <w:rsid w:val="6CF9D427"/>
    <w:rsid w:val="6D03B8C8"/>
    <w:rsid w:val="6D6929FF"/>
    <w:rsid w:val="6DC3A61E"/>
    <w:rsid w:val="6E108551"/>
    <w:rsid w:val="6E363399"/>
    <w:rsid w:val="6E565C96"/>
    <w:rsid w:val="6E73EF11"/>
    <w:rsid w:val="6F9E783D"/>
    <w:rsid w:val="6FEC4D6A"/>
    <w:rsid w:val="710F7AFA"/>
    <w:rsid w:val="711DD61A"/>
    <w:rsid w:val="719B418E"/>
    <w:rsid w:val="71DA9364"/>
    <w:rsid w:val="72A92AF4"/>
    <w:rsid w:val="72E34FA5"/>
    <w:rsid w:val="7320557E"/>
    <w:rsid w:val="735C660B"/>
    <w:rsid w:val="73878BE8"/>
    <w:rsid w:val="73E3E46A"/>
    <w:rsid w:val="745FBE44"/>
    <w:rsid w:val="74C75CD2"/>
    <w:rsid w:val="7510CA1A"/>
    <w:rsid w:val="751EEFC1"/>
    <w:rsid w:val="75CF4D6C"/>
    <w:rsid w:val="75F57132"/>
    <w:rsid w:val="76A7830E"/>
    <w:rsid w:val="76DCC432"/>
    <w:rsid w:val="775028C1"/>
    <w:rsid w:val="77B16C2A"/>
    <w:rsid w:val="78066975"/>
    <w:rsid w:val="783D8449"/>
    <w:rsid w:val="78A64E16"/>
    <w:rsid w:val="79158671"/>
    <w:rsid w:val="7A434847"/>
    <w:rsid w:val="7A8B158B"/>
    <w:rsid w:val="7A9408B3"/>
    <w:rsid w:val="7B52D591"/>
    <w:rsid w:val="7BB2C73A"/>
    <w:rsid w:val="7C52FCD8"/>
    <w:rsid w:val="7C95ADDD"/>
    <w:rsid w:val="7CCEEC48"/>
    <w:rsid w:val="7D2C96FC"/>
    <w:rsid w:val="7D897C2C"/>
    <w:rsid w:val="7D9C92B0"/>
    <w:rsid w:val="7D9EB533"/>
    <w:rsid w:val="7E4EB7A2"/>
    <w:rsid w:val="7E77620D"/>
    <w:rsid w:val="7F41B329"/>
    <w:rsid w:val="7F6046FD"/>
    <w:rsid w:val="7FA44D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67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C6"/>
  </w:style>
  <w:style w:type="paragraph" w:styleId="Heading2">
    <w:name w:val="heading 2"/>
    <w:basedOn w:val="Normal"/>
    <w:next w:val="Normal"/>
    <w:link w:val="Heading2Char"/>
    <w:qFormat/>
    <w:rsid w:val="0052790B"/>
    <w:pPr>
      <w:keepNext/>
      <w:spacing w:after="120"/>
      <w:jc w:val="left"/>
      <w:outlineLvl w:val="1"/>
    </w:pPr>
    <w:rPr>
      <w:rFonts w:ascii="Arial" w:eastAsia="Times New Roman" w:hAnsi="Arial" w:cs="Arial"/>
      <w:b/>
      <w:lang w:eastAsia="en-AU"/>
    </w:rPr>
  </w:style>
  <w:style w:type="paragraph" w:styleId="Heading3">
    <w:name w:val="heading 3"/>
    <w:basedOn w:val="Normal"/>
    <w:next w:val="Normal"/>
    <w:link w:val="Heading3Char"/>
    <w:qFormat/>
    <w:rsid w:val="0052790B"/>
    <w:pPr>
      <w:keepNext/>
      <w:spacing w:before="240" w:after="60"/>
      <w:jc w:val="left"/>
      <w:outlineLvl w:val="2"/>
    </w:pPr>
    <w:rPr>
      <w:rFonts w:ascii="Arial" w:eastAsia="Times New Roman" w:hAnsi="Arial" w:cs="Arial"/>
      <w:b/>
      <w:bCs/>
      <w:sz w:val="26"/>
      <w:szCs w:val="26"/>
      <w:lang w:eastAsia="en-AU"/>
    </w:rPr>
  </w:style>
  <w:style w:type="paragraph" w:styleId="Heading4">
    <w:name w:val="heading 4"/>
    <w:basedOn w:val="Normal"/>
    <w:next w:val="Normal"/>
    <w:link w:val="Heading4Char"/>
    <w:uiPriority w:val="9"/>
    <w:unhideWhenUsed/>
    <w:qFormat/>
    <w:rsid w:val="00601CD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790B"/>
    <w:rPr>
      <w:rFonts w:ascii="Arial" w:eastAsia="Times New Roman" w:hAnsi="Arial" w:cs="Arial"/>
      <w:b/>
      <w:lang w:eastAsia="en-AU"/>
    </w:rPr>
  </w:style>
  <w:style w:type="character" w:customStyle="1" w:styleId="Heading3Char">
    <w:name w:val="Heading 3 Char"/>
    <w:basedOn w:val="DefaultParagraphFont"/>
    <w:link w:val="Heading3"/>
    <w:rsid w:val="0052790B"/>
    <w:rPr>
      <w:rFonts w:ascii="Arial" w:eastAsia="Times New Roman" w:hAnsi="Arial" w:cs="Arial"/>
      <w:b/>
      <w:bCs/>
      <w:sz w:val="26"/>
      <w:szCs w:val="26"/>
      <w:lang w:eastAsia="en-AU"/>
    </w:rPr>
  </w:style>
  <w:style w:type="paragraph" w:styleId="Header">
    <w:name w:val="header"/>
    <w:basedOn w:val="Normal"/>
    <w:link w:val="HeaderChar"/>
    <w:rsid w:val="0052790B"/>
    <w:pPr>
      <w:tabs>
        <w:tab w:val="center" w:pos="4153"/>
        <w:tab w:val="right" w:pos="8306"/>
      </w:tabs>
      <w:jc w:val="left"/>
    </w:pPr>
    <w:rPr>
      <w:rFonts w:ascii="Times New Roman" w:eastAsia="Times New Roman" w:hAnsi="Times New Roman" w:cs="Times New Roman"/>
      <w:sz w:val="24"/>
      <w:szCs w:val="20"/>
      <w:lang w:eastAsia="en-AU"/>
    </w:rPr>
  </w:style>
  <w:style w:type="character" w:customStyle="1" w:styleId="HeaderChar">
    <w:name w:val="Header Char"/>
    <w:basedOn w:val="DefaultParagraphFont"/>
    <w:link w:val="Header"/>
    <w:rsid w:val="0052790B"/>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52790B"/>
    <w:pPr>
      <w:spacing w:after="200" w:line="276" w:lineRule="auto"/>
      <w:ind w:left="720"/>
      <w:jc w:val="left"/>
    </w:pPr>
    <w:rPr>
      <w:rFonts w:ascii="Calibri" w:eastAsia="Calibri" w:hAnsi="Calibri" w:cs="Times New Roman"/>
    </w:rPr>
  </w:style>
  <w:style w:type="paragraph" w:styleId="Revision">
    <w:name w:val="Revision"/>
    <w:hidden/>
    <w:uiPriority w:val="99"/>
    <w:semiHidden/>
    <w:rsid w:val="0052790B"/>
    <w:pPr>
      <w:jc w:val="left"/>
    </w:pPr>
  </w:style>
  <w:style w:type="character" w:styleId="CommentReference">
    <w:name w:val="annotation reference"/>
    <w:basedOn w:val="DefaultParagraphFont"/>
    <w:uiPriority w:val="99"/>
    <w:semiHidden/>
    <w:unhideWhenUsed/>
    <w:rsid w:val="00714137"/>
    <w:rPr>
      <w:sz w:val="16"/>
      <w:szCs w:val="16"/>
    </w:rPr>
  </w:style>
  <w:style w:type="paragraph" w:styleId="CommentText">
    <w:name w:val="annotation text"/>
    <w:basedOn w:val="Normal"/>
    <w:link w:val="CommentTextChar"/>
    <w:uiPriority w:val="99"/>
    <w:unhideWhenUsed/>
    <w:rsid w:val="00714137"/>
    <w:rPr>
      <w:sz w:val="20"/>
      <w:szCs w:val="20"/>
    </w:rPr>
  </w:style>
  <w:style w:type="character" w:customStyle="1" w:styleId="CommentTextChar">
    <w:name w:val="Comment Text Char"/>
    <w:basedOn w:val="DefaultParagraphFont"/>
    <w:link w:val="CommentText"/>
    <w:uiPriority w:val="99"/>
    <w:rsid w:val="00714137"/>
    <w:rPr>
      <w:sz w:val="20"/>
      <w:szCs w:val="20"/>
    </w:rPr>
  </w:style>
  <w:style w:type="paragraph" w:styleId="CommentSubject">
    <w:name w:val="annotation subject"/>
    <w:basedOn w:val="CommentText"/>
    <w:next w:val="CommentText"/>
    <w:link w:val="CommentSubjectChar"/>
    <w:uiPriority w:val="99"/>
    <w:semiHidden/>
    <w:unhideWhenUsed/>
    <w:rsid w:val="00714137"/>
    <w:rPr>
      <w:b/>
      <w:bCs/>
    </w:rPr>
  </w:style>
  <w:style w:type="character" w:customStyle="1" w:styleId="CommentSubjectChar">
    <w:name w:val="Comment Subject Char"/>
    <w:basedOn w:val="CommentTextChar"/>
    <w:link w:val="CommentSubject"/>
    <w:uiPriority w:val="99"/>
    <w:semiHidden/>
    <w:rsid w:val="00714137"/>
    <w:rPr>
      <w:b/>
      <w:bCs/>
      <w:sz w:val="20"/>
      <w:szCs w:val="20"/>
    </w:rPr>
  </w:style>
  <w:style w:type="paragraph" w:customStyle="1" w:styleId="indentlevel0">
    <w:name w:val="indentlevel0"/>
    <w:basedOn w:val="Normal"/>
    <w:rsid w:val="00D0383B"/>
    <w:pPr>
      <w:spacing w:before="100" w:beforeAutospacing="1" w:after="100" w:afterAutospacing="1"/>
      <w:jc w:val="left"/>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0383B"/>
    <w:rPr>
      <w:i/>
      <w:iCs/>
    </w:rPr>
  </w:style>
  <w:style w:type="paragraph" w:styleId="Footer">
    <w:name w:val="footer"/>
    <w:basedOn w:val="Normal"/>
    <w:link w:val="FooterChar"/>
    <w:uiPriority w:val="99"/>
    <w:unhideWhenUsed/>
    <w:rsid w:val="00232E72"/>
    <w:pPr>
      <w:tabs>
        <w:tab w:val="center" w:pos="4513"/>
        <w:tab w:val="right" w:pos="9026"/>
      </w:tabs>
    </w:pPr>
  </w:style>
  <w:style w:type="character" w:customStyle="1" w:styleId="FooterChar">
    <w:name w:val="Footer Char"/>
    <w:basedOn w:val="DefaultParagraphFont"/>
    <w:link w:val="Footer"/>
    <w:uiPriority w:val="99"/>
    <w:rsid w:val="00232E72"/>
  </w:style>
  <w:style w:type="paragraph" w:customStyle="1" w:styleId="paragraph">
    <w:name w:val="paragraph"/>
    <w:aliases w:val="a"/>
    <w:basedOn w:val="Normal"/>
    <w:rsid w:val="00DE42CF"/>
    <w:pPr>
      <w:tabs>
        <w:tab w:val="right" w:pos="1531"/>
      </w:tabs>
      <w:spacing w:before="40"/>
      <w:ind w:left="1644" w:hanging="1644"/>
      <w:jc w:val="left"/>
    </w:pPr>
    <w:rPr>
      <w:rFonts w:ascii="Times New Roman" w:eastAsia="Times New Roman" w:hAnsi="Times New Roman" w:cs="Times New Roman"/>
      <w:szCs w:val="20"/>
      <w:lang w:eastAsia="en-AU"/>
    </w:rPr>
  </w:style>
  <w:style w:type="character" w:styleId="Hyperlink">
    <w:name w:val="Hyperlink"/>
    <w:basedOn w:val="DefaultParagraphFont"/>
    <w:unhideWhenUsed/>
    <w:rsid w:val="008716AE"/>
    <w:rPr>
      <w:color w:val="0000FF"/>
      <w:u w:val="single"/>
    </w:rPr>
  </w:style>
  <w:style w:type="paragraph" w:styleId="NormalWeb">
    <w:name w:val="Normal (Web)"/>
    <w:basedOn w:val="Normal"/>
    <w:uiPriority w:val="99"/>
    <w:semiHidden/>
    <w:unhideWhenUsed/>
    <w:rsid w:val="00D54758"/>
    <w:pP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paragraphsub">
    <w:name w:val="paragraph(sub)"/>
    <w:aliases w:val="aa"/>
    <w:basedOn w:val="Normal"/>
    <w:rsid w:val="00F24A5E"/>
    <w:pPr>
      <w:tabs>
        <w:tab w:val="right" w:pos="1985"/>
      </w:tabs>
      <w:spacing w:before="40"/>
      <w:ind w:left="2098" w:hanging="2098"/>
      <w:jc w:val="left"/>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BD716B"/>
    <w:pPr>
      <w:spacing w:before="122" w:line="198" w:lineRule="exact"/>
      <w:ind w:left="1985" w:hanging="851"/>
      <w:jc w:val="left"/>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BD716B"/>
    <w:rPr>
      <w:rFonts w:ascii="Times New Roman" w:eastAsia="Times New Roman" w:hAnsi="Times New Roman" w:cs="Times New Roman"/>
      <w:sz w:val="18"/>
      <w:szCs w:val="20"/>
      <w:lang w:eastAsia="en-AU"/>
    </w:rPr>
  </w:style>
  <w:style w:type="character" w:customStyle="1" w:styleId="Heading4Char">
    <w:name w:val="Heading 4 Char"/>
    <w:basedOn w:val="DefaultParagraphFont"/>
    <w:link w:val="Heading4"/>
    <w:uiPriority w:val="9"/>
    <w:rsid w:val="00601CD5"/>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B24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5465">
      <w:bodyDiv w:val="1"/>
      <w:marLeft w:val="0"/>
      <w:marRight w:val="0"/>
      <w:marTop w:val="0"/>
      <w:marBottom w:val="0"/>
      <w:divBdr>
        <w:top w:val="none" w:sz="0" w:space="0" w:color="auto"/>
        <w:left w:val="none" w:sz="0" w:space="0" w:color="auto"/>
        <w:bottom w:val="none" w:sz="0" w:space="0" w:color="auto"/>
        <w:right w:val="none" w:sz="0" w:space="0" w:color="auto"/>
      </w:divBdr>
    </w:div>
    <w:div w:id="147987370">
      <w:bodyDiv w:val="1"/>
      <w:marLeft w:val="0"/>
      <w:marRight w:val="0"/>
      <w:marTop w:val="0"/>
      <w:marBottom w:val="0"/>
      <w:divBdr>
        <w:top w:val="none" w:sz="0" w:space="0" w:color="auto"/>
        <w:left w:val="none" w:sz="0" w:space="0" w:color="auto"/>
        <w:bottom w:val="none" w:sz="0" w:space="0" w:color="auto"/>
        <w:right w:val="none" w:sz="0" w:space="0" w:color="auto"/>
      </w:divBdr>
    </w:div>
    <w:div w:id="153954130">
      <w:bodyDiv w:val="1"/>
      <w:marLeft w:val="0"/>
      <w:marRight w:val="0"/>
      <w:marTop w:val="0"/>
      <w:marBottom w:val="0"/>
      <w:divBdr>
        <w:top w:val="none" w:sz="0" w:space="0" w:color="auto"/>
        <w:left w:val="none" w:sz="0" w:space="0" w:color="auto"/>
        <w:bottom w:val="none" w:sz="0" w:space="0" w:color="auto"/>
        <w:right w:val="none" w:sz="0" w:space="0" w:color="auto"/>
      </w:divBdr>
    </w:div>
    <w:div w:id="191041461">
      <w:bodyDiv w:val="1"/>
      <w:marLeft w:val="0"/>
      <w:marRight w:val="0"/>
      <w:marTop w:val="0"/>
      <w:marBottom w:val="0"/>
      <w:divBdr>
        <w:top w:val="none" w:sz="0" w:space="0" w:color="auto"/>
        <w:left w:val="none" w:sz="0" w:space="0" w:color="auto"/>
        <w:bottom w:val="none" w:sz="0" w:space="0" w:color="auto"/>
        <w:right w:val="none" w:sz="0" w:space="0" w:color="auto"/>
      </w:divBdr>
    </w:div>
    <w:div w:id="313801834">
      <w:bodyDiv w:val="1"/>
      <w:marLeft w:val="0"/>
      <w:marRight w:val="0"/>
      <w:marTop w:val="0"/>
      <w:marBottom w:val="0"/>
      <w:divBdr>
        <w:top w:val="none" w:sz="0" w:space="0" w:color="auto"/>
        <w:left w:val="none" w:sz="0" w:space="0" w:color="auto"/>
        <w:bottom w:val="none" w:sz="0" w:space="0" w:color="auto"/>
        <w:right w:val="none" w:sz="0" w:space="0" w:color="auto"/>
      </w:divBdr>
    </w:div>
    <w:div w:id="397899933">
      <w:bodyDiv w:val="1"/>
      <w:marLeft w:val="0"/>
      <w:marRight w:val="0"/>
      <w:marTop w:val="0"/>
      <w:marBottom w:val="0"/>
      <w:divBdr>
        <w:top w:val="none" w:sz="0" w:space="0" w:color="auto"/>
        <w:left w:val="none" w:sz="0" w:space="0" w:color="auto"/>
        <w:bottom w:val="none" w:sz="0" w:space="0" w:color="auto"/>
        <w:right w:val="none" w:sz="0" w:space="0" w:color="auto"/>
      </w:divBdr>
    </w:div>
    <w:div w:id="998269572">
      <w:bodyDiv w:val="1"/>
      <w:marLeft w:val="0"/>
      <w:marRight w:val="0"/>
      <w:marTop w:val="0"/>
      <w:marBottom w:val="0"/>
      <w:divBdr>
        <w:top w:val="none" w:sz="0" w:space="0" w:color="auto"/>
        <w:left w:val="none" w:sz="0" w:space="0" w:color="auto"/>
        <w:bottom w:val="none" w:sz="0" w:space="0" w:color="auto"/>
        <w:right w:val="none" w:sz="0" w:space="0" w:color="auto"/>
      </w:divBdr>
    </w:div>
    <w:div w:id="1073160178">
      <w:bodyDiv w:val="1"/>
      <w:marLeft w:val="0"/>
      <w:marRight w:val="0"/>
      <w:marTop w:val="0"/>
      <w:marBottom w:val="0"/>
      <w:divBdr>
        <w:top w:val="none" w:sz="0" w:space="0" w:color="auto"/>
        <w:left w:val="none" w:sz="0" w:space="0" w:color="auto"/>
        <w:bottom w:val="none" w:sz="0" w:space="0" w:color="auto"/>
        <w:right w:val="none" w:sz="0" w:space="0" w:color="auto"/>
      </w:divBdr>
    </w:div>
    <w:div w:id="1100219300">
      <w:bodyDiv w:val="1"/>
      <w:marLeft w:val="0"/>
      <w:marRight w:val="0"/>
      <w:marTop w:val="0"/>
      <w:marBottom w:val="0"/>
      <w:divBdr>
        <w:top w:val="none" w:sz="0" w:space="0" w:color="auto"/>
        <w:left w:val="none" w:sz="0" w:space="0" w:color="auto"/>
        <w:bottom w:val="none" w:sz="0" w:space="0" w:color="auto"/>
        <w:right w:val="none" w:sz="0" w:space="0" w:color="auto"/>
      </w:divBdr>
    </w:div>
    <w:div w:id="1685743617">
      <w:bodyDiv w:val="1"/>
      <w:marLeft w:val="0"/>
      <w:marRight w:val="0"/>
      <w:marTop w:val="0"/>
      <w:marBottom w:val="0"/>
      <w:divBdr>
        <w:top w:val="none" w:sz="0" w:space="0" w:color="auto"/>
        <w:left w:val="none" w:sz="0" w:space="0" w:color="auto"/>
        <w:bottom w:val="none" w:sz="0" w:space="0" w:color="auto"/>
        <w:right w:val="none" w:sz="0" w:space="0" w:color="auto"/>
      </w:divBdr>
    </w:div>
    <w:div w:id="1870681978">
      <w:bodyDiv w:val="1"/>
      <w:marLeft w:val="0"/>
      <w:marRight w:val="0"/>
      <w:marTop w:val="0"/>
      <w:marBottom w:val="0"/>
      <w:divBdr>
        <w:top w:val="none" w:sz="0" w:space="0" w:color="auto"/>
        <w:left w:val="none" w:sz="0" w:space="0" w:color="auto"/>
        <w:bottom w:val="none" w:sz="0" w:space="0" w:color="auto"/>
        <w:right w:val="none" w:sz="0" w:space="0" w:color="auto"/>
      </w:divBdr>
    </w:div>
    <w:div w:id="2029331989">
      <w:bodyDiv w:val="1"/>
      <w:marLeft w:val="0"/>
      <w:marRight w:val="0"/>
      <w:marTop w:val="0"/>
      <w:marBottom w:val="0"/>
      <w:divBdr>
        <w:top w:val="none" w:sz="0" w:space="0" w:color="auto"/>
        <w:left w:val="none" w:sz="0" w:space="0" w:color="auto"/>
        <w:bottom w:val="none" w:sz="0" w:space="0" w:color="auto"/>
        <w:right w:val="none" w:sz="0" w:space="0" w:color="auto"/>
      </w:divBdr>
    </w:div>
    <w:div w:id="2066828700">
      <w:bodyDiv w:val="1"/>
      <w:marLeft w:val="0"/>
      <w:marRight w:val="0"/>
      <w:marTop w:val="0"/>
      <w:marBottom w:val="0"/>
      <w:divBdr>
        <w:top w:val="none" w:sz="0" w:space="0" w:color="auto"/>
        <w:left w:val="none" w:sz="0" w:space="0" w:color="auto"/>
        <w:bottom w:val="none" w:sz="0" w:space="0" w:color="auto"/>
        <w:right w:val="none" w:sz="0" w:space="0" w:color="auto"/>
      </w:divBdr>
    </w:div>
    <w:div w:id="20944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5fdeb8-5cc0-4b70-a18c-82e60e7ed47a">
      <Value>2</Value>
    </TaxCatchAll>
    <lcf76f155ced4ddcb4097134ff3c332f xmlns="059083ef-0d05-4008-b10c-eb793946d363">
      <Terms xmlns="http://schemas.microsoft.com/office/infopath/2007/PartnerControls"/>
    </lcf76f155ced4ddcb4097134ff3c332f>
    <_dlc_DocIdPersistId xmlns="b45fdeb8-5cc0-4b70-a18c-82e60e7ed47a" xsi:nil="true"/>
    <n1a6d2b88979416cad2cc3ecb331e44a xmlns="b45fdeb8-5cc0-4b70-a18c-82e60e7ed47a">
      <Terms xmlns="http://schemas.microsoft.com/office/infopath/2007/PartnerControls">
        <TermInfo xmlns="http://schemas.microsoft.com/office/infopath/2007/PartnerControls">
          <TermName xmlns="http://schemas.microsoft.com/office/infopath/2007/PartnerControls">OFFICIAL: Sensitive</TermName>
          <TermId xmlns="http://schemas.microsoft.com/office/infopath/2007/PartnerControls">415c6431-2160-4bc8-8e12-1e8cd1cecfa2</TermId>
        </TermInfo>
      </Terms>
    </n1a6d2b88979416cad2cc3ecb331e44a>
    <_dlc_DocId xmlns="b45fdeb8-5cc0-4b70-a18c-82e60e7ed47a">WTZWSY6SSR3E-1946147591-20672</_dlc_DocId>
    <_dlc_DocIdUrl xmlns="b45fdeb8-5cc0-4b70-a18c-82e60e7ed47a">
      <Url>https://atooffice.sharepoint.com/sites/Policy-Analysis-and-Legislation/_layouts/15/DocIdRedir.aspx?ID=WTZWSY6SSR3E-1946147591-20672</Url>
      <Description>WTZWSY6SSR3E-1946147591-20672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ord" ma:contentTypeID="0x0101001AB81D347655CE4D8ECACF714AC2A12A00595D26DC201FA247945B2F8EA776E1B8" ma:contentTypeVersion="55" ma:contentTypeDescription="" ma:contentTypeScope="" ma:versionID="07a54b1116451e81b361c79341e2c3d0">
  <xsd:schema xmlns:xsd="http://www.w3.org/2001/XMLSchema" xmlns:xs="http://www.w3.org/2001/XMLSchema" xmlns:p="http://schemas.microsoft.com/office/2006/metadata/properties" xmlns:ns2="b45fdeb8-5cc0-4b70-a18c-82e60e7ed47a" xmlns:ns3="059083ef-0d05-4008-b10c-eb793946d363" targetNamespace="http://schemas.microsoft.com/office/2006/metadata/properties" ma:root="true" ma:fieldsID="7cf3bab53cda732155deac0ab122816d" ns2:_="" ns3:_="">
    <xsd:import namespace="b45fdeb8-5cc0-4b70-a18c-82e60e7ed47a"/>
    <xsd:import namespace="059083ef-0d05-4008-b10c-eb793946d363"/>
    <xsd:element name="properties">
      <xsd:complexType>
        <xsd:sequence>
          <xsd:element name="documentManagement">
            <xsd:complexType>
              <xsd:all>
                <xsd:element ref="ns2:TaxCatchAll" minOccurs="0"/>
                <xsd:element ref="ns2:n1a6d2b88979416cad2cc3ecb331e44a" minOccurs="0"/>
                <xsd:element ref="ns2:TaxCatchAllLabel"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fdeb8-5cc0-4b70-a18c-82e60e7ed47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ab1a0ca-bb19-4140-857c-eed2a7c17872}" ma:internalName="TaxCatchAll" ma:readOnly="false" ma:showField="CatchAllData" ma:web="b45fdeb8-5cc0-4b70-a18c-82e60e7ed47a">
      <xsd:complexType>
        <xsd:complexContent>
          <xsd:extension base="dms:MultiChoiceLookup">
            <xsd:sequence>
              <xsd:element name="Value" type="dms:Lookup" maxOccurs="unbounded" minOccurs="0" nillable="true"/>
            </xsd:sequence>
          </xsd:extension>
        </xsd:complexContent>
      </xsd:complexType>
    </xsd:element>
    <xsd:element name="n1a6d2b88979416cad2cc3ecb331e44a" ma:index="10" nillable="true" ma:taxonomy="true" ma:internalName="n1a6d2b88979416cad2cc3ecb331e44a" ma:taxonomyFieldName="Security_x0020_Classification" ma:displayName="Security Classification" ma:indexed="true" ma:readOnly="false" ma:default="1;#OFFICIAL|5d128361-bbb7-4b9a-ac60-b26612a0ec1b" ma:fieldId="{71a6d2b8-8979-416c-ad2c-c3ecb331e44a}" ma:sspId="2d3d766a-8f2e-4101-b24c-d4a22e3f1d12" ma:termSetId="01e0d8d2-6959-4708-b4cf-d9f24a977c8f"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dab1a0ca-bb19-4140-857c-eed2a7c17872}" ma:internalName="TaxCatchAllLabel" ma:readOnly="true" ma:showField="CatchAllDataLabel" ma:web="b45fdeb8-5cc0-4b70-a18c-82e60e7ed47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083ef-0d05-4008-b10c-eb793946d363"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C06D4-078A-4402-B41F-54FAA33A6131}">
  <ds:schemaRefs>
    <ds:schemaRef ds:uri="http://schemas.openxmlformats.org/officeDocument/2006/bibliography"/>
  </ds:schemaRefs>
</ds:datastoreItem>
</file>

<file path=customXml/itemProps2.xml><?xml version="1.0" encoding="utf-8"?>
<ds:datastoreItem xmlns:ds="http://schemas.openxmlformats.org/officeDocument/2006/customXml" ds:itemID="{53B12637-CE3F-4D1C-B007-4F72F5C42997}">
  <ds:schemaRefs>
    <ds:schemaRef ds:uri="http://schemas.openxmlformats.org/package/2006/metadata/core-properties"/>
    <ds:schemaRef ds:uri="http://schemas.microsoft.com/office/2006/documentManagement/types"/>
    <ds:schemaRef ds:uri="http://www.w3.org/XML/1998/namespace"/>
    <ds:schemaRef ds:uri="b45fdeb8-5cc0-4b70-a18c-82e60e7ed47a"/>
    <ds:schemaRef ds:uri="http://purl.org/dc/elements/1.1/"/>
    <ds:schemaRef ds:uri="http://purl.org/dc/dcmitype/"/>
    <ds:schemaRef ds:uri="http://purl.org/dc/terms/"/>
    <ds:schemaRef ds:uri="http://schemas.microsoft.com/office/infopath/2007/PartnerControls"/>
    <ds:schemaRef ds:uri="059083ef-0d05-4008-b10c-eb793946d363"/>
    <ds:schemaRef ds:uri="http://schemas.microsoft.com/office/2006/metadata/properties"/>
  </ds:schemaRefs>
</ds:datastoreItem>
</file>

<file path=customXml/itemProps3.xml><?xml version="1.0" encoding="utf-8"?>
<ds:datastoreItem xmlns:ds="http://schemas.openxmlformats.org/officeDocument/2006/customXml" ds:itemID="{D12FB647-769F-4B95-A59C-2852A69C7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fdeb8-5cc0-4b70-a18c-82e60e7ed47a"/>
    <ds:schemaRef ds:uri="059083ef-0d05-4008-b10c-eb793946d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93BCC-9F94-4DBF-88A3-E78A1F118B6B}">
  <ds:schemaRefs>
    <ds:schemaRef ds:uri="http://schemas.microsoft.com/sharepoint/events"/>
  </ds:schemaRefs>
</ds:datastoreItem>
</file>

<file path=customXml/itemProps5.xml><?xml version="1.0" encoding="utf-8"?>
<ds:datastoreItem xmlns:ds="http://schemas.openxmlformats.org/officeDocument/2006/customXml" ds:itemID="{DF52F2EF-745C-43EA-8CD2-1CD7A87AE920}">
  <ds:schemaRefs>
    <ds:schemaRef ds:uri="http://schemas.microsoft.com/office/2006/metadata/customXsn"/>
  </ds:schemaRefs>
</ds:datastoreItem>
</file>

<file path=customXml/itemProps6.xml><?xml version="1.0" encoding="utf-8"?>
<ds:datastoreItem xmlns:ds="http://schemas.openxmlformats.org/officeDocument/2006/customXml" ds:itemID="{0F91051A-8EEB-4C9D-A29D-80549EC13D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5204</Words>
  <Characters>29667</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2025-04-17T01:53:00Z</dcterms:created>
  <dcterms:modified xsi:type="dcterms:W3CDTF">2025-04-17T01:53:00Z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0x0101001AB81D347655CE4D8ECACF714AC2A12A00595D26DC201FA247945B2F8EA776E1B8</vt:lpwstr>
  </property>
  <property fmtid="{D5CDD505-2E9C-101B-9397-08002B2CF9AE}" pid="3" name="_dlc_DocIdItemGuid">
    <vt:lpwstr>30ab7053-1fc7-45ee-8c0a-7ceaf2fee13b</vt:lpwstr>
  </property>
  <property fmtid="{D5CDD505-2E9C-101B-9397-08002B2CF9AE}" pid="4" name="Security Classification">
    <vt:lpwstr>2;#OFFICIAL: Sensitive|415c6431-2160-4bc8-8e12-1e8cd1cecfa2</vt:lpwstr>
  </property>
  <property fmtid="{D5CDD505-2E9C-101B-9397-08002B2CF9AE}" pid="5" name="IsABRSLetter">
    <vt:bool>false</vt:bool>
  </property>
  <property fmtid="{D5CDD505-2E9C-101B-9397-08002B2CF9AE}" pid="6" name="MediaServiceImageTags">
    <vt:lpwstr/>
  </property>
  <property fmtid="{D5CDD505-2E9C-101B-9397-08002B2CF9AE}" pid="7" name="Security_x0020_Classification">
    <vt:lpwstr>2;#OFFICIAL: Sensitive|415c6431-2160-4bc8-8e12-1e8cd1cecfa2</vt:lpwstr>
  </property>
</Properties>
</file>