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B64F2" w14:textId="77777777" w:rsidR="00FB640B" w:rsidRPr="008B24C8" w:rsidRDefault="0057002B" w:rsidP="00BB0CF2">
      <w:pPr>
        <w:pStyle w:val="ESTitleHeader"/>
      </w:pPr>
      <w:r w:rsidRPr="008B24C8">
        <w:t>EXPLANATORY STATEMENT</w:t>
      </w:r>
    </w:p>
    <w:p w14:paraId="6D6C799E" w14:textId="4CF68B21" w:rsidR="0057002B" w:rsidRPr="008B24C8" w:rsidRDefault="0057002B" w:rsidP="00BB0CF2">
      <w:pPr>
        <w:pStyle w:val="ESTitleDecisionMaker"/>
      </w:pPr>
      <w:r w:rsidRPr="008B24C8">
        <w:t xml:space="preserve">Issued by authority of the </w:t>
      </w:r>
      <w:r w:rsidR="00672A39">
        <w:t xml:space="preserve">Minister for Immigration </w:t>
      </w:r>
      <w:r w:rsidR="00107E29" w:rsidRPr="00107E29">
        <w:t>and Multicultural Affairs</w:t>
      </w:r>
    </w:p>
    <w:p w14:paraId="75829D34" w14:textId="77777777" w:rsidR="0057002B" w:rsidRPr="008B24C8" w:rsidRDefault="00394BDA" w:rsidP="00BB0CF2">
      <w:pPr>
        <w:pStyle w:val="ESTitleEnablingLegislation"/>
      </w:pPr>
      <w:r>
        <w:t>Migration Regulations 1994</w:t>
      </w:r>
    </w:p>
    <w:p w14:paraId="2ED5C901" w14:textId="5EB456B6" w:rsidR="00394BDA" w:rsidRPr="00D93C77" w:rsidRDefault="00D93C77" w:rsidP="00394BDA">
      <w:pPr>
        <w:pStyle w:val="ESParagraph"/>
        <w:jc w:val="center"/>
        <w:rPr>
          <w:b/>
          <w:i/>
        </w:rPr>
      </w:pPr>
      <w:r w:rsidRPr="00D93C77">
        <w:rPr>
          <w:b/>
          <w:i/>
        </w:rPr>
        <w:t>Migration Legislation Amendment (Specified Work and Areas for Subclass 417 and 462 Visas) Instrument</w:t>
      </w:r>
      <w:r>
        <w:rPr>
          <w:b/>
          <w:i/>
        </w:rPr>
        <w:t> </w:t>
      </w:r>
      <w:r w:rsidRPr="00D93C77">
        <w:rPr>
          <w:b/>
          <w:i/>
        </w:rPr>
        <w:t>2025</w:t>
      </w:r>
    </w:p>
    <w:p w14:paraId="5A8D019B" w14:textId="224A3376" w:rsidR="0057002B" w:rsidRPr="008B24C8" w:rsidRDefault="0057002B" w:rsidP="002D167E">
      <w:pPr>
        <w:pStyle w:val="ESPara"/>
      </w:pPr>
      <w:r w:rsidRPr="008B24C8">
        <w:t xml:space="preserve">The instrument, </w:t>
      </w:r>
      <w:r w:rsidR="00341E7C">
        <w:t>d</w:t>
      </w:r>
      <w:r w:rsidRPr="008B24C8">
        <w:t xml:space="preserve">epartmental reference </w:t>
      </w:r>
      <w:r w:rsidR="00107E29">
        <w:t>LIN</w:t>
      </w:r>
      <w:r w:rsidR="00DB0DC0">
        <w:t> 25/048</w:t>
      </w:r>
      <w:r w:rsidR="00341E7C">
        <w:t>,</w:t>
      </w:r>
      <w:r w:rsidRPr="008B24C8">
        <w:t xml:space="preserve"> is made under </w:t>
      </w:r>
      <w:r w:rsidR="00394BDA">
        <w:t>regulations 1.15FA</w:t>
      </w:r>
      <w:r w:rsidR="00341E7C">
        <w:t>A</w:t>
      </w:r>
      <w:r w:rsidR="00394BDA">
        <w:t xml:space="preserve"> and 1.15FA</w:t>
      </w:r>
      <w:r w:rsidRPr="008B24C8">
        <w:t xml:space="preserve"> of the </w:t>
      </w:r>
      <w:r w:rsidRPr="008B24C8">
        <w:rPr>
          <w:i/>
        </w:rPr>
        <w:t>Migration Regulations 1994</w:t>
      </w:r>
      <w:r w:rsidR="00394BDA">
        <w:t xml:space="preserve"> (the Migration Regulations)</w:t>
      </w:r>
      <w:r w:rsidRPr="008B24C8">
        <w:t xml:space="preserve">.  </w:t>
      </w:r>
    </w:p>
    <w:p w14:paraId="6E8373C5" w14:textId="3ACC0D4B" w:rsidR="00EA12C9" w:rsidRDefault="00EA12C9" w:rsidP="002D167E">
      <w:pPr>
        <w:pStyle w:val="ESPara"/>
      </w:pPr>
      <w:r w:rsidRPr="008B24C8">
        <w:t xml:space="preserve">The instrument </w:t>
      </w:r>
      <w:r w:rsidR="00394BDA">
        <w:t xml:space="preserve">amends </w:t>
      </w:r>
      <w:r w:rsidR="00394BDA" w:rsidRPr="00394BDA">
        <w:rPr>
          <w:i/>
        </w:rPr>
        <w:t>Migration (Specified work and areas for subclass 417 visas) Instrument (LIN 22/012) 2022</w:t>
      </w:r>
      <w:r w:rsidR="00394BDA">
        <w:t xml:space="preserve"> (LIN 22/012) and </w:t>
      </w:r>
      <w:bookmarkStart w:id="0" w:name="_GoBack"/>
      <w:r w:rsidR="00394BDA" w:rsidRPr="00394BDA">
        <w:rPr>
          <w:i/>
        </w:rPr>
        <w:t>Migration (Spec</w:t>
      </w:r>
      <w:bookmarkEnd w:id="0"/>
      <w:r w:rsidR="00394BDA" w:rsidRPr="00394BDA">
        <w:rPr>
          <w:i/>
        </w:rPr>
        <w:t>ified work areas for subclass 462 visas) Instrument (LIN 22/013) 2022</w:t>
      </w:r>
      <w:r w:rsidR="00394BDA">
        <w:t xml:space="preserve"> (LIN 22/013) </w:t>
      </w:r>
      <w:r w:rsidRPr="008B24C8">
        <w:t xml:space="preserve">in accordance with subsection 33(3) of the </w:t>
      </w:r>
      <w:r w:rsidRPr="008B24C8">
        <w:rPr>
          <w:i/>
        </w:rPr>
        <w:t>Acts Interpretation Act 1901</w:t>
      </w:r>
      <w:r w:rsidR="00BD598E" w:rsidRPr="008B24C8">
        <w:rPr>
          <w:i/>
        </w:rPr>
        <w:t xml:space="preserve"> </w:t>
      </w:r>
      <w:r w:rsidR="00BD598E" w:rsidRPr="008B24C8">
        <w:t>(the Acts Interpretation Act)</w:t>
      </w:r>
      <w:r w:rsidR="006837D8">
        <w:t xml:space="preserve">. </w:t>
      </w:r>
      <w:r w:rsidRPr="008B24C8">
        <w:t xml:space="preserve">That subsection provides that </w:t>
      </w:r>
      <w:r w:rsidR="00100DFC">
        <w:t>a power to make a legislative instrument includes a power to amend or repeal that instrument in the same manner, and subject to the same conditions, as the power to make the instrument</w:t>
      </w:r>
      <w:r w:rsidR="00BD598E" w:rsidRPr="008B24C8">
        <w:t>.</w:t>
      </w:r>
    </w:p>
    <w:p w14:paraId="43FD2BF3" w14:textId="13A1008C" w:rsidR="0002500B" w:rsidRPr="008B24C8" w:rsidRDefault="0002500B" w:rsidP="002D167E">
      <w:pPr>
        <w:pStyle w:val="ESPara"/>
      </w:pPr>
      <w:r>
        <w:t>The instrument commences on</w:t>
      </w:r>
      <w:r w:rsidR="00C829F6">
        <w:t xml:space="preserve"> 5 April 2025</w:t>
      </w:r>
      <w:r w:rsidR="00DD0552">
        <w:t>. It</w:t>
      </w:r>
      <w:r>
        <w:t xml:space="preserve"> is a legislative instrument for the </w:t>
      </w:r>
      <w:r w:rsidRPr="0002500B">
        <w:rPr>
          <w:i/>
        </w:rPr>
        <w:t>Legislation</w:t>
      </w:r>
      <w:r>
        <w:rPr>
          <w:i/>
        </w:rPr>
        <w:t> Act </w:t>
      </w:r>
      <w:r w:rsidRPr="0002500B">
        <w:rPr>
          <w:i/>
        </w:rPr>
        <w:t>2003</w:t>
      </w:r>
      <w:r>
        <w:t xml:space="preserve"> (the Legislation Act).</w:t>
      </w:r>
    </w:p>
    <w:p w14:paraId="628BEBF5" w14:textId="77777777" w:rsidR="00B75478" w:rsidRDefault="00BD598E" w:rsidP="00394BDA">
      <w:pPr>
        <w:pStyle w:val="ESHeading"/>
      </w:pPr>
      <w:r w:rsidRPr="008B24C8">
        <w:t>Purpose</w:t>
      </w:r>
    </w:p>
    <w:p w14:paraId="2CE7F850" w14:textId="229EC6EA" w:rsidR="00A84893" w:rsidRDefault="00394BDA" w:rsidP="00BF5245">
      <w:pPr>
        <w:pStyle w:val="ESSubparaHeader"/>
      </w:pPr>
      <w:r>
        <w:t>The purpose of the instrument is to amend</w:t>
      </w:r>
      <w:r w:rsidR="001A0EFF">
        <w:t xml:space="preserve"> the areas of Australia</w:t>
      </w:r>
      <w:r w:rsidR="00CF2E98">
        <w:t xml:space="preserve"> </w:t>
      </w:r>
      <w:r w:rsidR="001A0EFF">
        <w:t>specified in LIN 22/012 and LIN 22/013 for the definition</w:t>
      </w:r>
      <w:r w:rsidR="003C0272">
        <w:t>s</w:t>
      </w:r>
      <w:r w:rsidR="001A0EFF">
        <w:t xml:space="preserve"> of </w:t>
      </w:r>
      <w:r w:rsidR="001A0EFF" w:rsidRPr="00A84893">
        <w:rPr>
          <w:i/>
        </w:rPr>
        <w:t>specified Subclass 417 work</w:t>
      </w:r>
      <w:r w:rsidR="001A0EFF">
        <w:t xml:space="preserve"> and </w:t>
      </w:r>
      <w:r w:rsidR="001A0EFF" w:rsidRPr="00A84893">
        <w:rPr>
          <w:i/>
        </w:rPr>
        <w:t>specified Subclass 462 work</w:t>
      </w:r>
      <w:r w:rsidR="001A0EFF">
        <w:t xml:space="preserve"> in </w:t>
      </w:r>
      <w:proofErr w:type="gramStart"/>
      <w:r w:rsidR="001A0EFF">
        <w:t>regulation</w:t>
      </w:r>
      <w:proofErr w:type="gramEnd"/>
      <w:r w:rsidR="001A0EFF">
        <w:t xml:space="preserve"> 1.03 of the Migration Regulations.</w:t>
      </w:r>
    </w:p>
    <w:p w14:paraId="2B3F131D" w14:textId="16E9E86D" w:rsidR="002D409A" w:rsidRDefault="00130B6D" w:rsidP="008C4571">
      <w:pPr>
        <w:pStyle w:val="ESSubparaHeader"/>
        <w:keepNext w:val="0"/>
        <w:keepLines/>
        <w:ind w:left="714" w:hanging="357"/>
      </w:pPr>
      <w:r>
        <w:t xml:space="preserve">The instrument amends </w:t>
      </w:r>
      <w:r w:rsidR="001A0EFF">
        <w:t xml:space="preserve">LIN 22/012 and LIN 22/013 </w:t>
      </w:r>
      <w:r w:rsidR="00BF5245">
        <w:t xml:space="preserve">by expanding the areas of Australia where recovery work can be </w:t>
      </w:r>
      <w:r w:rsidR="00333590">
        <w:t xml:space="preserve">undertaken </w:t>
      </w:r>
      <w:r w:rsidR="00E519E0">
        <w:t xml:space="preserve">for the purposes of satisfying ‘specified work’ requirements for a Working Holiday (Subclass 417) visa or </w:t>
      </w:r>
      <w:r w:rsidR="00E519E0" w:rsidRPr="00A6450D">
        <w:t>Work and Holiday (Subclass 462) visa</w:t>
      </w:r>
      <w:r w:rsidR="00E519E0">
        <w:t xml:space="preserve">.  The instrument operates to specify </w:t>
      </w:r>
      <w:r w:rsidR="00333590">
        <w:t>area</w:t>
      </w:r>
      <w:r w:rsidR="00E519E0">
        <w:t>s</w:t>
      </w:r>
      <w:r w:rsidR="00333590">
        <w:t xml:space="preserve"> affected by bushfire</w:t>
      </w:r>
      <w:r w:rsidR="00C829F6">
        <w:t xml:space="preserve"> as specified in item 1 of Schedule 1 to LIN 22/012 and LIN 22/013</w:t>
      </w:r>
      <w:r w:rsidR="00E519E0">
        <w:t xml:space="preserve">, and </w:t>
      </w:r>
      <w:r w:rsidR="00C829F6">
        <w:t>area</w:t>
      </w:r>
      <w:r w:rsidR="00E519E0">
        <w:t>s</w:t>
      </w:r>
      <w:r w:rsidR="00C829F6">
        <w:t xml:space="preserve"> affected by </w:t>
      </w:r>
      <w:r w:rsidR="00333590">
        <w:t>flood, cyclone or other severe weather</w:t>
      </w:r>
      <w:r w:rsidR="00C829F6">
        <w:t xml:space="preserve"> as specified in </w:t>
      </w:r>
      <w:r w:rsidR="008C4571">
        <w:t>item 5</w:t>
      </w:r>
      <w:r w:rsidR="00C829F6">
        <w:t xml:space="preserve"> of Schedule 1</w:t>
      </w:r>
      <w:r w:rsidR="008C4571">
        <w:t xml:space="preserve"> to LIN 22/012 and LIN 22/013</w:t>
      </w:r>
      <w:r w:rsidR="00333590">
        <w:t>.</w:t>
      </w:r>
    </w:p>
    <w:p w14:paraId="37E07FFA" w14:textId="2CBA1F8B" w:rsidR="005D2E77" w:rsidRPr="00A6450D" w:rsidRDefault="005D2E77" w:rsidP="009463D4">
      <w:pPr>
        <w:pStyle w:val="ESHeading"/>
      </w:pPr>
      <w:r w:rsidRPr="005D2E77">
        <w:t>Background</w:t>
      </w:r>
    </w:p>
    <w:p w14:paraId="0D35E10C" w14:textId="38BA6B7A" w:rsidR="007977B2" w:rsidRDefault="005D2E77" w:rsidP="007977B2">
      <w:pPr>
        <w:pStyle w:val="ESSubparaHeader"/>
      </w:pPr>
      <w:r>
        <w:t xml:space="preserve">Applicants applying for </w:t>
      </w:r>
      <w:r w:rsidR="00A6450D">
        <w:t xml:space="preserve">a </w:t>
      </w:r>
      <w:r>
        <w:t>second or third Working</w:t>
      </w:r>
      <w:r w:rsidR="00A6450D">
        <w:t> Holiday (Subclass 417) visa</w:t>
      </w:r>
      <w:r>
        <w:t xml:space="preserve"> </w:t>
      </w:r>
      <w:r w:rsidR="00A6450D">
        <w:t xml:space="preserve">or </w:t>
      </w:r>
      <w:r w:rsidR="007977B2">
        <w:t>a second or third </w:t>
      </w:r>
      <w:r w:rsidR="00A6450D" w:rsidRPr="00A6450D">
        <w:t>Work and Holiday (Subclass 462) visa</w:t>
      </w:r>
      <w:r>
        <w:t> </w:t>
      </w:r>
      <w:r w:rsidR="007977B2">
        <w:t xml:space="preserve">must satisfy the respective criteria under subsections </w:t>
      </w:r>
      <w:r>
        <w:t>417.211(5) or 417.211(6) </w:t>
      </w:r>
      <w:r w:rsidR="00A6450D">
        <w:t xml:space="preserve">or </w:t>
      </w:r>
      <w:r w:rsidR="00A6450D" w:rsidRPr="00A6450D">
        <w:t>subsections 462.218(1) or 462.219(1)</w:t>
      </w:r>
      <w:r w:rsidR="00A6450D">
        <w:t xml:space="preserve"> </w:t>
      </w:r>
      <w:r>
        <w:t>of Schedule 2 to the Migration Regulations</w:t>
      </w:r>
      <w:r w:rsidR="007977B2">
        <w:t>.</w:t>
      </w:r>
      <w:r w:rsidR="00A6450D" w:rsidRPr="00A6450D">
        <w:t xml:space="preserve"> This includes demonstrating the applicant has car</w:t>
      </w:r>
      <w:r w:rsidR="007977B2">
        <w:t xml:space="preserve">ried out a period or periods of </w:t>
      </w:r>
      <w:r>
        <w:rPr>
          <w:i/>
          <w:iCs/>
        </w:rPr>
        <w:t>specified Subclass 417 work</w:t>
      </w:r>
      <w:r w:rsidR="007977B2">
        <w:t xml:space="preserve"> or </w:t>
      </w:r>
      <w:r w:rsidR="007977B2" w:rsidRPr="00A84893">
        <w:rPr>
          <w:i/>
        </w:rPr>
        <w:t>specified Subclass 462 work</w:t>
      </w:r>
      <w:r w:rsidR="007977B2">
        <w:rPr>
          <w:i/>
        </w:rPr>
        <w:t>,</w:t>
      </w:r>
      <w:r>
        <w:t xml:space="preserve"> as defined in regulation 1.03 of the Migration </w:t>
      </w:r>
      <w:r w:rsidR="007D690A">
        <w:t>Regulations:</w:t>
      </w:r>
    </w:p>
    <w:p w14:paraId="15FCF5A0" w14:textId="7B1095E8" w:rsidR="007D690A" w:rsidRPr="007D690A" w:rsidRDefault="007D690A" w:rsidP="007D690A">
      <w:pPr>
        <w:pStyle w:val="ESSubparaList"/>
        <w:rPr>
          <w:color w:val="000000"/>
        </w:rPr>
      </w:pPr>
      <w:r w:rsidRPr="00665E5C">
        <w:rPr>
          <w:i/>
          <w:color w:val="000000"/>
        </w:rPr>
        <w:t>specified Subclass 417 work</w:t>
      </w:r>
      <w:r w:rsidRPr="007D690A">
        <w:rPr>
          <w:color w:val="000000"/>
        </w:rPr>
        <w:t xml:space="preserve"> </w:t>
      </w:r>
      <w:r>
        <w:rPr>
          <w:color w:val="000000"/>
        </w:rPr>
        <w:t xml:space="preserve">is defined to mean </w:t>
      </w:r>
      <w:r>
        <w:t xml:space="preserve">work carried out in one or more areas of Australia and </w:t>
      </w:r>
      <w:r w:rsidRPr="007D690A">
        <w:t>was of one or more kinds sp</w:t>
      </w:r>
      <w:r>
        <w:t>ecified for the purposes of the</w:t>
      </w:r>
      <w:r w:rsidRPr="007D690A">
        <w:t xml:space="preserve"> definition by the Minister under regulation 1.15FAA</w:t>
      </w:r>
      <w:r>
        <w:t>;</w:t>
      </w:r>
    </w:p>
    <w:p w14:paraId="69FE7AAA" w14:textId="439E9824" w:rsidR="007D690A" w:rsidRPr="007D690A" w:rsidRDefault="007D690A" w:rsidP="007D690A">
      <w:pPr>
        <w:pStyle w:val="ESSubparaList"/>
        <w:rPr>
          <w:color w:val="000000"/>
        </w:rPr>
      </w:pPr>
      <w:proofErr w:type="gramStart"/>
      <w:r w:rsidRPr="007D690A">
        <w:rPr>
          <w:color w:val="000000"/>
        </w:rPr>
        <w:t>similarly</w:t>
      </w:r>
      <w:proofErr w:type="gramEnd"/>
      <w:r>
        <w:rPr>
          <w:color w:val="000000"/>
        </w:rPr>
        <w:t>,</w:t>
      </w:r>
      <w:r w:rsidRPr="007D690A">
        <w:rPr>
          <w:color w:val="000000"/>
        </w:rPr>
        <w:t xml:space="preserve"> </w:t>
      </w:r>
      <w:r w:rsidR="007977B2" w:rsidRPr="007D690A">
        <w:rPr>
          <w:i/>
          <w:iCs/>
        </w:rPr>
        <w:t>specified Subclass 462 work</w:t>
      </w:r>
      <w:r w:rsidR="007977B2">
        <w:t> </w:t>
      </w:r>
      <w:r>
        <w:t>means work</w:t>
      </w:r>
      <w:r w:rsidR="007977B2">
        <w:t xml:space="preserve"> </w:t>
      </w:r>
      <w:r>
        <w:t>carried out in one or more</w:t>
      </w:r>
      <w:r w:rsidR="007977B2">
        <w:t xml:space="preserve"> areas of Australia </w:t>
      </w:r>
      <w:r>
        <w:t xml:space="preserve">and </w:t>
      </w:r>
      <w:r w:rsidRPr="007D690A">
        <w:t>was of one or more kinds sp</w:t>
      </w:r>
      <w:r>
        <w:t>ecified for the purposes of the</w:t>
      </w:r>
      <w:r w:rsidRPr="007D690A">
        <w:t xml:space="preserve"> definition by the </w:t>
      </w:r>
      <w:r>
        <w:t>Minister under regulation 1.15F</w:t>
      </w:r>
      <w:r w:rsidRPr="007D690A">
        <w:t>A</w:t>
      </w:r>
      <w:r>
        <w:t>.</w:t>
      </w:r>
    </w:p>
    <w:p w14:paraId="748FCF94" w14:textId="299C8F6A" w:rsidR="005D2E77" w:rsidRDefault="007D690A" w:rsidP="007977B2">
      <w:pPr>
        <w:pStyle w:val="ESSubparaHeader"/>
      </w:pPr>
      <w:r>
        <w:lastRenderedPageBreak/>
        <w:t>R</w:t>
      </w:r>
      <w:r w:rsidR="005D2E77">
        <w:t>egulation</w:t>
      </w:r>
      <w:r>
        <w:t>s</w:t>
      </w:r>
      <w:r w:rsidR="005D2E77">
        <w:t xml:space="preserve"> 1.15FAA</w:t>
      </w:r>
      <w:r>
        <w:t xml:space="preserve"> and 1.15FA enable</w:t>
      </w:r>
      <w:r w:rsidR="007977B2">
        <w:t xml:space="preserve"> t</w:t>
      </w:r>
      <w:r w:rsidR="007977B2" w:rsidRPr="007977B2">
        <w:t xml:space="preserve">he Minister </w:t>
      </w:r>
      <w:r>
        <w:t xml:space="preserve">to specify, by </w:t>
      </w:r>
      <w:r w:rsidR="007977B2" w:rsidRPr="007977B2">
        <w:t>legislative instrument, areas of Australia and kinds of work for the purposes of the definition</w:t>
      </w:r>
      <w:r>
        <w:t>s</w:t>
      </w:r>
      <w:r w:rsidR="007977B2" w:rsidRPr="007977B2">
        <w:t xml:space="preserve"> of </w:t>
      </w:r>
      <w:r w:rsidR="007977B2" w:rsidRPr="007977B2">
        <w:rPr>
          <w:i/>
        </w:rPr>
        <w:t>specified Subclass 417</w:t>
      </w:r>
      <w:r w:rsidR="00853F2D">
        <w:rPr>
          <w:i/>
        </w:rPr>
        <w:t xml:space="preserve"> work</w:t>
      </w:r>
      <w:r w:rsidR="007977B2" w:rsidRPr="007977B2">
        <w:t xml:space="preserve"> </w:t>
      </w:r>
      <w:r>
        <w:t xml:space="preserve">and </w:t>
      </w:r>
      <w:r w:rsidR="007977B2" w:rsidRPr="007977B2">
        <w:rPr>
          <w:i/>
        </w:rPr>
        <w:t>specified Subclass 462</w:t>
      </w:r>
      <w:r w:rsidR="007977B2" w:rsidRPr="007977B2">
        <w:t xml:space="preserve"> </w:t>
      </w:r>
      <w:r w:rsidR="007977B2" w:rsidRPr="007D690A">
        <w:rPr>
          <w:i/>
        </w:rPr>
        <w:t>work</w:t>
      </w:r>
      <w:r w:rsidR="007977B2" w:rsidRPr="007977B2">
        <w:t xml:space="preserve"> in regulation 1.03.</w:t>
      </w:r>
    </w:p>
    <w:p w14:paraId="4C1B6371" w14:textId="7196DE24" w:rsidR="005D2E77" w:rsidRDefault="005D2E77" w:rsidP="005D2E77">
      <w:pPr>
        <w:pStyle w:val="ESSubparaHeader"/>
      </w:pPr>
      <w:r>
        <w:t xml:space="preserve">The instrument </w:t>
      </w:r>
      <w:r w:rsidR="007D690A">
        <w:t>enables S</w:t>
      </w:r>
      <w:r>
        <w:t xml:space="preserve">ubclass 417 </w:t>
      </w:r>
      <w:r w:rsidR="007D690A">
        <w:t xml:space="preserve">and Subclass 462 </w:t>
      </w:r>
      <w:r>
        <w:t xml:space="preserve">visa applicants who have undertaken </w:t>
      </w:r>
      <w:r w:rsidR="00E27F89">
        <w:t>a kind</w:t>
      </w:r>
      <w:r>
        <w:t xml:space="preserve"> of work in the corresponding area(s) specified in the instrument to count this work towards eligibility for a second or third visa.</w:t>
      </w:r>
    </w:p>
    <w:p w14:paraId="2F2E16BD" w14:textId="1F9A5BE5" w:rsidR="006A1F7F" w:rsidRPr="002057C4" w:rsidRDefault="00962B5D" w:rsidP="00962B5D">
      <w:pPr>
        <w:pStyle w:val="ESSubparaHeader"/>
      </w:pPr>
      <w:r>
        <w:t>The</w:t>
      </w:r>
      <w:r w:rsidR="00E27F89">
        <w:t xml:space="preserve"> inclusion of specified areas in LIN 22/102 and LIN 22/013 </w:t>
      </w:r>
      <w:r>
        <w:t>recogni</w:t>
      </w:r>
      <w:r w:rsidR="00E27F89">
        <w:t>ses</w:t>
      </w:r>
      <w:r>
        <w:t xml:space="preserve"> the </w:t>
      </w:r>
      <w:r w:rsidR="008E3AEF">
        <w:t xml:space="preserve">important contribution that Working Holiday </w:t>
      </w:r>
      <w:r w:rsidR="003B371B">
        <w:t xml:space="preserve">(Temporary) (Class TZ) </w:t>
      </w:r>
      <w:r w:rsidR="008E3AEF">
        <w:t>and Work and Holiday (</w:t>
      </w:r>
      <w:r w:rsidR="003B371B">
        <w:t>Temporary) (Class US)</w:t>
      </w:r>
      <w:r w:rsidR="008E3AEF">
        <w:t xml:space="preserve"> visa holders make to </w:t>
      </w:r>
      <w:r w:rsidR="003B371B">
        <w:t xml:space="preserve">these </w:t>
      </w:r>
      <w:r w:rsidR="008E3AEF">
        <w:t>affected areas</w:t>
      </w:r>
      <w:r w:rsidR="003C0272">
        <w:t>,</w:t>
      </w:r>
      <w:r w:rsidR="008E3AEF">
        <w:t xml:space="preserve"> recognising this </w:t>
      </w:r>
      <w:r w:rsidR="008E3AEF" w:rsidRPr="002057C4">
        <w:t xml:space="preserve">recovery work for the purpose of meeting the ‘specified work’ requirements for a second or third visa under the </w:t>
      </w:r>
      <w:r w:rsidR="008C4571" w:rsidRPr="002057C4">
        <w:t>WHM</w:t>
      </w:r>
      <w:r w:rsidR="008E3AEF" w:rsidRPr="002057C4">
        <w:t xml:space="preserve"> program.</w:t>
      </w:r>
    </w:p>
    <w:p w14:paraId="41E5D66F" w14:textId="6E4D2FA8" w:rsidR="008B24C8" w:rsidRPr="002057C4" w:rsidRDefault="008B24C8" w:rsidP="00100DFC">
      <w:pPr>
        <w:pStyle w:val="ESHeading"/>
      </w:pPr>
      <w:r w:rsidRPr="002057C4">
        <w:t>Consultation</w:t>
      </w:r>
    </w:p>
    <w:p w14:paraId="1ECCE4EC" w14:textId="264EE24D" w:rsidR="000D540D" w:rsidRPr="002057C4" w:rsidRDefault="000D540D" w:rsidP="000D540D">
      <w:pPr>
        <w:pStyle w:val="ESSubparaHeader"/>
      </w:pPr>
      <w:r w:rsidRPr="002057C4">
        <w:t>These changes are routine in nature</w:t>
      </w:r>
      <w:r w:rsidR="00E27F89">
        <w:t xml:space="preserve">, </w:t>
      </w:r>
      <w:r w:rsidRPr="002057C4">
        <w:t>updat</w:t>
      </w:r>
      <w:r w:rsidR="00E27F89">
        <w:t>ing</w:t>
      </w:r>
      <w:r w:rsidRPr="002057C4">
        <w:t xml:space="preserve"> the list of areas impacted by recent natural disasters. The list of affected areas was informed by data managed by the National Emergency Management Agency. </w:t>
      </w:r>
      <w:r w:rsidR="00E27F89">
        <w:t>Consistent with established practice, i</w:t>
      </w:r>
      <w:r w:rsidRPr="002057C4">
        <w:t>nformation in relation to the changes will be made available to affected visa holders and visa applicants on the Department of Home Affairs' website.</w:t>
      </w:r>
    </w:p>
    <w:p w14:paraId="0E58FC21" w14:textId="77777777" w:rsidR="00AA4557" w:rsidRPr="002057C4" w:rsidRDefault="00464080" w:rsidP="00100DFC">
      <w:pPr>
        <w:pStyle w:val="ESHeading"/>
      </w:pPr>
      <w:r w:rsidRPr="002057C4">
        <w:t>Details</w:t>
      </w:r>
      <w:r w:rsidR="00AA4557" w:rsidRPr="002057C4">
        <w:t xml:space="preserve"> of the instrument</w:t>
      </w:r>
    </w:p>
    <w:p w14:paraId="7108EE97" w14:textId="02A0B9EF" w:rsidR="00C7098D" w:rsidRPr="002057C4" w:rsidRDefault="00431FC4" w:rsidP="00C7098D">
      <w:pPr>
        <w:pStyle w:val="ESSubparaHeader"/>
        <w:rPr>
          <w:lang w:eastAsia="en-AU"/>
        </w:rPr>
      </w:pPr>
      <w:r w:rsidRPr="002057C4">
        <w:rPr>
          <w:lang w:eastAsia="en-AU"/>
        </w:rPr>
        <w:t>Details of the instrument are set out in</w:t>
      </w:r>
      <w:r w:rsidR="00853F2D">
        <w:rPr>
          <w:lang w:eastAsia="en-AU"/>
        </w:rPr>
        <w:t xml:space="preserve"> the</w:t>
      </w:r>
      <w:r w:rsidRPr="002057C4">
        <w:rPr>
          <w:lang w:eastAsia="en-AU"/>
        </w:rPr>
        <w:t xml:space="preserve"> </w:t>
      </w:r>
      <w:r w:rsidRPr="002057C4">
        <w:rPr>
          <w:b/>
          <w:u w:val="single"/>
          <w:lang w:eastAsia="en-AU"/>
        </w:rPr>
        <w:t>Attachment</w:t>
      </w:r>
      <w:r w:rsidRPr="002057C4">
        <w:rPr>
          <w:lang w:eastAsia="en-AU"/>
        </w:rPr>
        <w:t>.</w:t>
      </w:r>
    </w:p>
    <w:p w14:paraId="5022B3F3" w14:textId="77777777" w:rsidR="00AA4557" w:rsidRPr="002057C4" w:rsidRDefault="00AA4557" w:rsidP="00100DFC">
      <w:pPr>
        <w:pStyle w:val="ESHeading"/>
      </w:pPr>
      <w:r w:rsidRPr="002057C4">
        <w:t xml:space="preserve">Parliamentary scrutiny etc.  </w:t>
      </w:r>
    </w:p>
    <w:p w14:paraId="5E5E6172" w14:textId="1A37BE89" w:rsidR="00140B8C" w:rsidRPr="00140B8C" w:rsidRDefault="00140B8C" w:rsidP="00140B8C">
      <w:pPr>
        <w:pStyle w:val="ESSubparaHeader"/>
      </w:pPr>
      <w:r w:rsidRPr="002057C4">
        <w:t xml:space="preserve">The instrument is exempt from disallowance under section 42 of the Legislation Act. This is because it is an instrument made under </w:t>
      </w:r>
      <w:r w:rsidR="006A582A" w:rsidRPr="002057C4">
        <w:t>Part 1</w:t>
      </w:r>
      <w:r w:rsidRPr="002057C4">
        <w:t xml:space="preserve"> </w:t>
      </w:r>
      <w:r w:rsidR="00405EA9" w:rsidRPr="002057C4">
        <w:t>of</w:t>
      </w:r>
      <w:r w:rsidRPr="002057C4">
        <w:t xml:space="preserve"> the Migration Regulations, </w:t>
      </w:r>
      <w:r w:rsidR="00405EA9" w:rsidRPr="002057C4">
        <w:t xml:space="preserve">and </w:t>
      </w:r>
      <w:r w:rsidRPr="00140B8C">
        <w:t xml:space="preserve">is exempt from disallowance under </w:t>
      </w:r>
      <w:proofErr w:type="spellStart"/>
      <w:r w:rsidRPr="00140B8C">
        <w:t>subitem</w:t>
      </w:r>
      <w:proofErr w:type="spellEnd"/>
      <w:r w:rsidRPr="00140B8C">
        <w:t xml:space="preserve"> 20(b) of the table in section 10 of the </w:t>
      </w:r>
      <w:r w:rsidRPr="00140B8C">
        <w:rPr>
          <w:i/>
        </w:rPr>
        <w:t>Legislation (Exemptions and Other Matters) Regulation 2015</w:t>
      </w:r>
      <w:r w:rsidRPr="00140B8C">
        <w:t>.</w:t>
      </w:r>
    </w:p>
    <w:p w14:paraId="65CD2907" w14:textId="120FFE6A" w:rsidR="00140B8C" w:rsidRPr="00140B8C" w:rsidRDefault="00140B8C" w:rsidP="00140B8C">
      <w:pPr>
        <w:pStyle w:val="ESSubparaHeader"/>
      </w:pPr>
      <w:r w:rsidRPr="00140B8C">
        <w:t>As the instrument is exempt from disallowance, a Statement of Compatibility with Human Rights</w:t>
      </w:r>
      <w:r w:rsidR="00431FC4">
        <w:t xml:space="preserve"> in accordance with section 9 of the </w:t>
      </w:r>
      <w:r w:rsidR="00431FC4">
        <w:rPr>
          <w:i/>
        </w:rPr>
        <w:t>Human Rights (Parliamentary Scrutiny) Act 2011</w:t>
      </w:r>
      <w:r w:rsidRPr="00140B8C">
        <w:t xml:space="preserve"> is not required.</w:t>
      </w:r>
    </w:p>
    <w:p w14:paraId="0AABF0DA" w14:textId="77777777" w:rsidR="00140B8C" w:rsidRDefault="00140B8C" w:rsidP="00140B8C">
      <w:pPr>
        <w:pStyle w:val="ESSubparaHeader"/>
      </w:pPr>
      <w:r w:rsidRPr="00140B8C">
        <w:t>The instrument is made by a delegate of the Minister</w:t>
      </w:r>
      <w:r w:rsidR="00A57E97">
        <w:t xml:space="preserve"> </w:t>
      </w:r>
      <w:r w:rsidRPr="00140B8C">
        <w:t xml:space="preserve">in accordance </w:t>
      </w:r>
      <w:r w:rsidR="00A57E97">
        <w:t xml:space="preserve">with </w:t>
      </w:r>
      <w:r w:rsidRPr="00140B8C">
        <w:t>regulations 1.15FA</w:t>
      </w:r>
      <w:r w:rsidR="00F64795">
        <w:t>A and 1.15FA</w:t>
      </w:r>
      <w:r w:rsidRPr="00140B8C">
        <w:t xml:space="preserve"> </w:t>
      </w:r>
      <w:r w:rsidR="00A57E97">
        <w:t xml:space="preserve">of </w:t>
      </w:r>
      <w:r w:rsidRPr="00140B8C">
        <w:t>the Migration Regulations</w:t>
      </w:r>
      <w:r w:rsidR="001A0A34">
        <w:t>.</w:t>
      </w:r>
    </w:p>
    <w:p w14:paraId="01437F9D" w14:textId="178D0F2C" w:rsidR="00431FC4" w:rsidRDefault="00431FC4">
      <w:pPr>
        <w:rPr>
          <w:rFonts w:ascii="Times New Roman" w:hAnsi="Times New Roman" w:cs="Times New Roman"/>
        </w:rPr>
      </w:pPr>
      <w:r>
        <w:br w:type="page"/>
      </w:r>
    </w:p>
    <w:p w14:paraId="4AE2B141" w14:textId="663B71B1" w:rsidR="00431FC4" w:rsidRDefault="00431FC4" w:rsidP="00431FC4">
      <w:pPr>
        <w:pStyle w:val="ESAttAttName"/>
      </w:pPr>
      <w:r>
        <w:lastRenderedPageBreak/>
        <w:t>Attachment</w:t>
      </w:r>
    </w:p>
    <w:p w14:paraId="75B6F5D5" w14:textId="5F587361" w:rsidR="00431FC4" w:rsidRDefault="00431FC4" w:rsidP="00431FC4">
      <w:pPr>
        <w:pStyle w:val="ESAttHeading"/>
        <w:rPr>
          <w:i/>
        </w:rPr>
      </w:pPr>
      <w:r>
        <w:t>Details of the</w:t>
      </w:r>
      <w:r>
        <w:rPr>
          <w:i/>
        </w:rPr>
        <w:t xml:space="preserve"> </w:t>
      </w:r>
      <w:r w:rsidR="00352D40" w:rsidRPr="00352D40">
        <w:rPr>
          <w:i/>
        </w:rPr>
        <w:t>Migration Legislation Amendment (Specified Work and Areas for Subclass 417 and 462 Visas) Instrument 2025</w:t>
      </w:r>
    </w:p>
    <w:p w14:paraId="0701E9D0" w14:textId="77777777" w:rsidR="00431FC4" w:rsidRDefault="00431FC4" w:rsidP="00431FC4">
      <w:pPr>
        <w:pStyle w:val="ESAttHeading"/>
        <w:rPr>
          <w:b w:val="0"/>
        </w:rPr>
      </w:pPr>
      <w:r>
        <w:t>Section 1</w:t>
      </w:r>
      <w:r>
        <w:tab/>
        <w:t>Name</w:t>
      </w:r>
    </w:p>
    <w:p w14:paraId="6F7386BC" w14:textId="18A7B855" w:rsidR="00431FC4" w:rsidRDefault="00431FC4" w:rsidP="00431FC4">
      <w:pPr>
        <w:pStyle w:val="ESAttNormal"/>
      </w:pPr>
      <w:r>
        <w:t xml:space="preserve">This section provides that the name of the instrument is the </w:t>
      </w:r>
      <w:r w:rsidR="00D93C77" w:rsidRPr="008A644E">
        <w:rPr>
          <w:i/>
        </w:rPr>
        <w:t>Migration Legislation Amendment (Specified Work and Areas for Subclass 417 and 462 Visas) Instrument 2025</w:t>
      </w:r>
      <w:r w:rsidR="00F17ABD">
        <w:t xml:space="preserve"> (the instrument).</w:t>
      </w:r>
    </w:p>
    <w:p w14:paraId="3E04C0A6" w14:textId="77777777" w:rsidR="00431FC4" w:rsidRDefault="00431FC4" w:rsidP="00431FC4">
      <w:pPr>
        <w:pStyle w:val="ESAttHeading"/>
        <w:rPr>
          <w:b w:val="0"/>
        </w:rPr>
      </w:pPr>
      <w:r>
        <w:t>Section 2</w:t>
      </w:r>
      <w:r>
        <w:tab/>
        <w:t>Commencement</w:t>
      </w:r>
    </w:p>
    <w:p w14:paraId="575F7EF0" w14:textId="0F1DDDD0" w:rsidR="00431FC4" w:rsidRDefault="00431FC4" w:rsidP="00431FC4">
      <w:pPr>
        <w:pStyle w:val="ESAttNormal"/>
      </w:pPr>
      <w:r>
        <w:t xml:space="preserve">This section provides that the instrument commences on </w:t>
      </w:r>
      <w:r w:rsidR="00764DC6">
        <w:t>5 April 2025</w:t>
      </w:r>
      <w:r w:rsidR="00F17ABD">
        <w:t>.</w:t>
      </w:r>
    </w:p>
    <w:p w14:paraId="0595A6D7" w14:textId="77777777" w:rsidR="00431FC4" w:rsidRDefault="00431FC4" w:rsidP="00431FC4">
      <w:pPr>
        <w:pStyle w:val="ESAttHeading"/>
      </w:pPr>
      <w:r>
        <w:t>Section 3</w:t>
      </w:r>
      <w:r>
        <w:tab/>
        <w:t>Authority</w:t>
      </w:r>
    </w:p>
    <w:p w14:paraId="592E3DED" w14:textId="135D6BF2" w:rsidR="00431FC4" w:rsidRDefault="00431FC4" w:rsidP="00431FC4">
      <w:pPr>
        <w:pStyle w:val="ESAttNormal"/>
      </w:pPr>
      <w:r>
        <w:t xml:space="preserve">This section provides that the instrument is made under </w:t>
      </w:r>
      <w:r w:rsidR="00764DC6">
        <w:t xml:space="preserve">regulations 1.15FAA and 1.15FA of the </w:t>
      </w:r>
      <w:r w:rsidR="00764DC6">
        <w:rPr>
          <w:i/>
        </w:rPr>
        <w:t>Migration Regulations 1994</w:t>
      </w:r>
      <w:r>
        <w:rPr>
          <w:i/>
        </w:rPr>
        <w:t xml:space="preserve"> </w:t>
      </w:r>
      <w:r>
        <w:t>(the Migration Regulations)</w:t>
      </w:r>
      <w:r w:rsidR="00764DC6">
        <w:t>.</w:t>
      </w:r>
    </w:p>
    <w:p w14:paraId="5E0A934C" w14:textId="77777777" w:rsidR="00431FC4" w:rsidRDefault="00431FC4" w:rsidP="00431FC4">
      <w:pPr>
        <w:pStyle w:val="ESAttHeading"/>
      </w:pPr>
      <w:r>
        <w:t>Section 4</w:t>
      </w:r>
      <w:r>
        <w:tab/>
        <w:t>Schedules</w:t>
      </w:r>
    </w:p>
    <w:p w14:paraId="56C1C185" w14:textId="77777777" w:rsidR="00431FC4" w:rsidRDefault="00431FC4" w:rsidP="00431FC4">
      <w:pPr>
        <w:pStyle w:val="ESAttNormal"/>
      </w:pPr>
      <w:r>
        <w:t>This section provides that 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229EF45" w14:textId="1BB207FB" w:rsidR="00431FC4" w:rsidRDefault="00431FC4" w:rsidP="00431FC4">
      <w:pPr>
        <w:pStyle w:val="ESAttHeading"/>
      </w:pPr>
      <w:r>
        <w:t>Schedule 1</w:t>
      </w:r>
      <w:r>
        <w:tab/>
      </w:r>
      <w:r w:rsidR="001558DE">
        <w:t>Amendments of LIN 22/012</w:t>
      </w:r>
    </w:p>
    <w:p w14:paraId="0D3F5CBE" w14:textId="687F0B91" w:rsidR="001558DE" w:rsidRDefault="00431FC4" w:rsidP="00431FC4">
      <w:pPr>
        <w:pStyle w:val="ESAttNormal"/>
      </w:pPr>
      <w:r>
        <w:t xml:space="preserve">Item [1] inserts new </w:t>
      </w:r>
      <w:r w:rsidR="00764DC6">
        <w:t>section 10</w:t>
      </w:r>
      <w:r>
        <w:t xml:space="preserve"> (Application </w:t>
      </w:r>
      <w:r w:rsidR="00764DC6">
        <w:t>of amendments made by LIN 25/048</w:t>
      </w:r>
      <w:r>
        <w:t xml:space="preserve">). This is an application provision, and provides that the amendments made by this instrument </w:t>
      </w:r>
      <w:r w:rsidR="00764DC6">
        <w:t>apply in relation to an application for a Working Holiday (Temporary) (Class TZ) visa made, but not finally determined, before the commencement of this instrument</w:t>
      </w:r>
      <w:r w:rsidR="001558DE">
        <w:t>; or an application made on or after the commencement of this instrument.</w:t>
      </w:r>
    </w:p>
    <w:p w14:paraId="0D3F5CC2" w14:textId="69FC0004" w:rsidR="001558DE" w:rsidRDefault="001558DE" w:rsidP="00431FC4">
      <w:pPr>
        <w:pStyle w:val="ESAttNormal"/>
      </w:pPr>
      <w:r>
        <w:t xml:space="preserve">Item [2] repeals and substitutes item 1 of Schedule 1 to LIN 22/012. </w:t>
      </w:r>
      <w:r w:rsidR="00672A39">
        <w:t xml:space="preserve">This expands the bushfire affected areas of Australia for the purposes of the definition </w:t>
      </w:r>
      <w:r w:rsidR="005E18EF">
        <w:t xml:space="preserve">in section 4 </w:t>
      </w:r>
      <w:r w:rsidR="00672A39">
        <w:t xml:space="preserve">of </w:t>
      </w:r>
      <w:r w:rsidR="00672A39">
        <w:rPr>
          <w:i/>
        </w:rPr>
        <w:t xml:space="preserve">bushfire affected area </w:t>
      </w:r>
      <w:r w:rsidR="00672A39">
        <w:t>and section 7 (Bushfir</w:t>
      </w:r>
      <w:r w:rsidR="005E18EF">
        <w:t>e recovery work), respectively.</w:t>
      </w:r>
    </w:p>
    <w:p w14:paraId="059F68D9" w14:textId="64F02D2D" w:rsidR="00764DC6" w:rsidRDefault="001558DE" w:rsidP="00431FC4">
      <w:pPr>
        <w:pStyle w:val="ESAttNormal"/>
      </w:pPr>
      <w:r>
        <w:t xml:space="preserve">Item [3] repeals and substitutes item 5 of Schedule 1 to LIN 22/012. This expands the areas of Australia affected by flood, cyclone or other severe weather for the purpose of </w:t>
      </w:r>
      <w:r w:rsidR="000F6027">
        <w:t>section 8A (Recovery work – flood, cyclone or other severe weather).</w:t>
      </w:r>
    </w:p>
    <w:p w14:paraId="436254A0" w14:textId="7AD1AEB1" w:rsidR="000F6027" w:rsidRDefault="000F6027" w:rsidP="00672A39">
      <w:pPr>
        <w:pStyle w:val="ESAttHeading"/>
      </w:pPr>
      <w:r>
        <w:t>Schedule 2</w:t>
      </w:r>
      <w:r>
        <w:tab/>
        <w:t>Amendments of LIN 22/013</w:t>
      </w:r>
    </w:p>
    <w:p w14:paraId="4DB964FF" w14:textId="0BF695B3" w:rsidR="000F6027" w:rsidRDefault="000F6027" w:rsidP="00431FC4">
      <w:pPr>
        <w:pStyle w:val="ESAttNormal"/>
      </w:pPr>
      <w:r>
        <w:t>Item [1] inserts new section 11 (Application of amendments made by LIN 25/048). This is an application provision, and provides that the amendments made by this instrument apply in relation</w:t>
      </w:r>
      <w:r w:rsidR="00853F2D">
        <w:t xml:space="preserve"> to an application for a Work and</w:t>
      </w:r>
      <w:r>
        <w:t xml:space="preserve"> Holiday (Temporary) (Class </w:t>
      </w:r>
      <w:r w:rsidR="00853F2D">
        <w:t>US</w:t>
      </w:r>
      <w:r>
        <w:t>) visa made, but not finally determined, before the commencement of this instrument; or an application made on or after the commencement of this instrument</w:t>
      </w:r>
      <w:r w:rsidR="00672A39">
        <w:t>.</w:t>
      </w:r>
    </w:p>
    <w:p w14:paraId="49930F03" w14:textId="08133304" w:rsidR="00672A39" w:rsidRDefault="00672A39" w:rsidP="00672A39">
      <w:pPr>
        <w:pStyle w:val="ESAttNormal"/>
      </w:pPr>
      <w:r>
        <w:t xml:space="preserve">Item [2] repeals and substitutes item 1 of Schedule 1 to LIN 22/013. This expands the bushfire affected areas of Australia for the purposes of the definition </w:t>
      </w:r>
      <w:r w:rsidR="005E18EF">
        <w:t xml:space="preserve">in section 4 </w:t>
      </w:r>
      <w:r>
        <w:t xml:space="preserve">of </w:t>
      </w:r>
      <w:r>
        <w:rPr>
          <w:i/>
        </w:rPr>
        <w:t xml:space="preserve">bushfire affected area </w:t>
      </w:r>
      <w:r>
        <w:t>and section 8 (Bushfire recovery work), respectively.</w:t>
      </w:r>
    </w:p>
    <w:p w14:paraId="29B3CEC4" w14:textId="247480E6" w:rsidR="00672A39" w:rsidRPr="001558DE" w:rsidRDefault="00672A39" w:rsidP="00672A39">
      <w:pPr>
        <w:pStyle w:val="ESAttNormal"/>
      </w:pPr>
      <w:r>
        <w:lastRenderedPageBreak/>
        <w:t>Item [3] repeals and substitutes item 5 of Schedule 1 to LIN 22/013. This expands the areas of Australia affected by flood, cyclone or other severe weather for the purpose of section 9A (Recovery work – flood, cyclone or other severe weather).</w:t>
      </w:r>
    </w:p>
    <w:p w14:paraId="6D3F69E5" w14:textId="4C47E985" w:rsidR="001A0A34" w:rsidRPr="001A0A34" w:rsidRDefault="001A0A34" w:rsidP="001A0A34">
      <w:pPr>
        <w:pStyle w:val="ESSubparaList"/>
        <w:numPr>
          <w:ilvl w:val="0"/>
          <w:numId w:val="0"/>
        </w:numPr>
        <w:jc w:val="center"/>
        <w:rPr>
          <w:b/>
        </w:rPr>
      </w:pPr>
    </w:p>
    <w:sectPr w:rsidR="001A0A34" w:rsidRPr="001A0A34" w:rsidSect="004F5C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CBEE9" w14:textId="77777777" w:rsidR="00F47EBF" w:rsidRDefault="00F47EBF" w:rsidP="00F47EBF">
      <w:pPr>
        <w:spacing w:after="0" w:line="240" w:lineRule="auto"/>
      </w:pPr>
      <w:r>
        <w:separator/>
      </w:r>
    </w:p>
  </w:endnote>
  <w:endnote w:type="continuationSeparator" w:id="0">
    <w:p w14:paraId="1B7B3390" w14:textId="77777777" w:rsidR="00F47EBF" w:rsidRDefault="00F47EBF" w:rsidP="00F47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E9A6F" w14:textId="77777777" w:rsidR="00F47EBF" w:rsidRDefault="00F47E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54964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17E1CC5" w14:textId="7F5D9E5D" w:rsidR="00F47EBF" w:rsidRPr="00F47EBF" w:rsidRDefault="00F47EBF">
        <w:pPr>
          <w:pStyle w:val="Footer"/>
          <w:jc w:val="center"/>
          <w:rPr>
            <w:rFonts w:ascii="Times New Roman" w:hAnsi="Times New Roman" w:cs="Times New Roman"/>
          </w:rPr>
        </w:pPr>
        <w:r w:rsidRPr="00F47EBF">
          <w:rPr>
            <w:rFonts w:ascii="Times New Roman" w:hAnsi="Times New Roman" w:cs="Times New Roman"/>
          </w:rPr>
          <w:fldChar w:fldCharType="begin"/>
        </w:r>
        <w:r w:rsidRPr="00F47EBF">
          <w:rPr>
            <w:rFonts w:ascii="Times New Roman" w:hAnsi="Times New Roman" w:cs="Times New Roman"/>
          </w:rPr>
          <w:instrText xml:space="preserve"> PAGE   \* MERGEFORMAT </w:instrText>
        </w:r>
        <w:r w:rsidRPr="00F47EBF">
          <w:rPr>
            <w:rFonts w:ascii="Times New Roman" w:hAnsi="Times New Roman" w:cs="Times New Roman"/>
          </w:rPr>
          <w:fldChar w:fldCharType="separate"/>
        </w:r>
        <w:r w:rsidR="00352D40">
          <w:rPr>
            <w:rFonts w:ascii="Times New Roman" w:hAnsi="Times New Roman" w:cs="Times New Roman"/>
            <w:noProof/>
          </w:rPr>
          <w:t>1</w:t>
        </w:r>
        <w:r w:rsidRPr="00F47EB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0DE7257" w14:textId="77777777" w:rsidR="00F47EBF" w:rsidRDefault="00F47E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9A651" w14:textId="77777777" w:rsidR="00F47EBF" w:rsidRDefault="00F47E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A35C92" w14:textId="77777777" w:rsidR="00F47EBF" w:rsidRDefault="00F47EBF" w:rsidP="00F47EBF">
      <w:pPr>
        <w:spacing w:after="0" w:line="240" w:lineRule="auto"/>
      </w:pPr>
      <w:r>
        <w:separator/>
      </w:r>
    </w:p>
  </w:footnote>
  <w:footnote w:type="continuationSeparator" w:id="0">
    <w:p w14:paraId="3F274EDC" w14:textId="77777777" w:rsidR="00F47EBF" w:rsidRDefault="00F47EBF" w:rsidP="00F47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F4C77" w14:textId="77777777" w:rsidR="00F47EBF" w:rsidRDefault="00F47E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508A4" w14:textId="77777777" w:rsidR="00F47EBF" w:rsidRDefault="00F47E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02586" w14:textId="77777777" w:rsidR="00F47EBF" w:rsidRDefault="00F47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9B8"/>
    <w:multiLevelType w:val="hybridMultilevel"/>
    <w:tmpl w:val="C8C6E226"/>
    <w:lvl w:ilvl="0" w:tplc="F256702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AD6993"/>
    <w:multiLevelType w:val="hybridMultilevel"/>
    <w:tmpl w:val="F7EE1ED2"/>
    <w:lvl w:ilvl="0" w:tplc="F25670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34DC6"/>
    <w:multiLevelType w:val="hybridMultilevel"/>
    <w:tmpl w:val="D67CDD1A"/>
    <w:lvl w:ilvl="0" w:tplc="F25670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407CB"/>
    <w:multiLevelType w:val="hybridMultilevel"/>
    <w:tmpl w:val="55A61E4E"/>
    <w:lvl w:ilvl="0" w:tplc="F256702C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33B58E3"/>
    <w:multiLevelType w:val="hybridMultilevel"/>
    <w:tmpl w:val="70B8D710"/>
    <w:lvl w:ilvl="0" w:tplc="F3746A64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75110DB"/>
    <w:multiLevelType w:val="hybridMultilevel"/>
    <w:tmpl w:val="C49650A8"/>
    <w:lvl w:ilvl="0" w:tplc="F25670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44F2D"/>
    <w:multiLevelType w:val="hybridMultilevel"/>
    <w:tmpl w:val="50A6585C"/>
    <w:lvl w:ilvl="0" w:tplc="F25670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00A61"/>
    <w:multiLevelType w:val="hybridMultilevel"/>
    <w:tmpl w:val="A6F44D36"/>
    <w:lvl w:ilvl="0" w:tplc="F25670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06C37"/>
    <w:multiLevelType w:val="hybridMultilevel"/>
    <w:tmpl w:val="811C6FAE"/>
    <w:lvl w:ilvl="0" w:tplc="F25670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30E8D"/>
    <w:multiLevelType w:val="hybridMultilevel"/>
    <w:tmpl w:val="DE8C1B7C"/>
    <w:lvl w:ilvl="0" w:tplc="F25670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532A9"/>
    <w:multiLevelType w:val="hybridMultilevel"/>
    <w:tmpl w:val="0D1C38CC"/>
    <w:lvl w:ilvl="0" w:tplc="C80632DA">
      <w:start w:val="1"/>
      <w:numFmt w:val="decimal"/>
      <w:pStyle w:val="ESSubparaHeader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ABC2DF26">
      <w:start w:val="1"/>
      <w:numFmt w:val="bullet"/>
      <w:pStyle w:val="ESSubparaLis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A0AF0"/>
    <w:multiLevelType w:val="hybridMultilevel"/>
    <w:tmpl w:val="AFDC301E"/>
    <w:lvl w:ilvl="0" w:tplc="F256702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8B22CF"/>
    <w:multiLevelType w:val="hybridMultilevel"/>
    <w:tmpl w:val="2DCEB73C"/>
    <w:lvl w:ilvl="0" w:tplc="2A36B062">
      <w:start w:val="2"/>
      <w:numFmt w:val="bullet"/>
      <w:pStyle w:val="ESAttLis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82BD4"/>
    <w:multiLevelType w:val="hybridMultilevel"/>
    <w:tmpl w:val="4952313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B73890"/>
    <w:multiLevelType w:val="hybridMultilevel"/>
    <w:tmpl w:val="39221986"/>
    <w:lvl w:ilvl="0" w:tplc="F25670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33D14"/>
    <w:multiLevelType w:val="hybridMultilevel"/>
    <w:tmpl w:val="AFDE78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D2FFF"/>
    <w:multiLevelType w:val="hybridMultilevel"/>
    <w:tmpl w:val="30CA262E"/>
    <w:lvl w:ilvl="0" w:tplc="F256702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FB7BC3"/>
    <w:multiLevelType w:val="hybridMultilevel"/>
    <w:tmpl w:val="6AA4B004"/>
    <w:lvl w:ilvl="0" w:tplc="F25670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882A70"/>
    <w:multiLevelType w:val="hybridMultilevel"/>
    <w:tmpl w:val="7E8AEB80"/>
    <w:lvl w:ilvl="0" w:tplc="F25670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0D2542"/>
    <w:multiLevelType w:val="hybridMultilevel"/>
    <w:tmpl w:val="086A2B3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9F7CBC"/>
    <w:multiLevelType w:val="hybridMultilevel"/>
    <w:tmpl w:val="388CCF70"/>
    <w:lvl w:ilvl="0" w:tplc="F25670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750EC2"/>
    <w:multiLevelType w:val="hybridMultilevel"/>
    <w:tmpl w:val="B56EDCB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68356B8"/>
    <w:multiLevelType w:val="hybridMultilevel"/>
    <w:tmpl w:val="27A09578"/>
    <w:lvl w:ilvl="0" w:tplc="F25670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AB58E0"/>
    <w:multiLevelType w:val="hybridMultilevel"/>
    <w:tmpl w:val="C6B20D0A"/>
    <w:lvl w:ilvl="0" w:tplc="F25670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C678EA"/>
    <w:multiLevelType w:val="hybridMultilevel"/>
    <w:tmpl w:val="F8F2E998"/>
    <w:lvl w:ilvl="0" w:tplc="F256702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AA6491"/>
    <w:multiLevelType w:val="hybridMultilevel"/>
    <w:tmpl w:val="A3C0743E"/>
    <w:lvl w:ilvl="0" w:tplc="F256702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2"/>
  </w:num>
  <w:num w:numId="3">
    <w:abstractNumId w:val="12"/>
  </w:num>
  <w:num w:numId="4">
    <w:abstractNumId w:val="12"/>
  </w:num>
  <w:num w:numId="5">
    <w:abstractNumId w:val="5"/>
  </w:num>
  <w:num w:numId="6">
    <w:abstractNumId w:val="0"/>
  </w:num>
  <w:num w:numId="7">
    <w:abstractNumId w:val="17"/>
  </w:num>
  <w:num w:numId="8">
    <w:abstractNumId w:val="13"/>
  </w:num>
  <w:num w:numId="9">
    <w:abstractNumId w:val="11"/>
  </w:num>
  <w:num w:numId="10">
    <w:abstractNumId w:val="2"/>
  </w:num>
  <w:num w:numId="11">
    <w:abstractNumId w:val="18"/>
  </w:num>
  <w:num w:numId="12">
    <w:abstractNumId w:val="7"/>
  </w:num>
  <w:num w:numId="13">
    <w:abstractNumId w:val="3"/>
  </w:num>
  <w:num w:numId="14">
    <w:abstractNumId w:val="4"/>
  </w:num>
  <w:num w:numId="15">
    <w:abstractNumId w:val="15"/>
  </w:num>
  <w:num w:numId="16">
    <w:abstractNumId w:val="9"/>
  </w:num>
  <w:num w:numId="17">
    <w:abstractNumId w:val="6"/>
  </w:num>
  <w:num w:numId="18">
    <w:abstractNumId w:val="21"/>
  </w:num>
  <w:num w:numId="19">
    <w:abstractNumId w:val="22"/>
  </w:num>
  <w:num w:numId="20">
    <w:abstractNumId w:val="23"/>
  </w:num>
  <w:num w:numId="21">
    <w:abstractNumId w:val="14"/>
  </w:num>
  <w:num w:numId="22">
    <w:abstractNumId w:val="20"/>
  </w:num>
  <w:num w:numId="23">
    <w:abstractNumId w:val="16"/>
  </w:num>
  <w:num w:numId="24">
    <w:abstractNumId w:val="24"/>
  </w:num>
  <w:num w:numId="25">
    <w:abstractNumId w:val="8"/>
  </w:num>
  <w:num w:numId="26">
    <w:abstractNumId w:val="1"/>
  </w:num>
  <w:num w:numId="27">
    <w:abstractNumId w:val="25"/>
  </w:num>
  <w:num w:numId="28">
    <w:abstractNumId w:val="10"/>
  </w:num>
  <w:num w:numId="29">
    <w:abstractNumId w:val="19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ocumentProtection w:edit="trackedChange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BDA"/>
    <w:rsid w:val="00000E7D"/>
    <w:rsid w:val="0002500B"/>
    <w:rsid w:val="00047283"/>
    <w:rsid w:val="0005010A"/>
    <w:rsid w:val="000555F4"/>
    <w:rsid w:val="000A51ED"/>
    <w:rsid w:val="000D014F"/>
    <w:rsid w:val="000D540D"/>
    <w:rsid w:val="000E2B45"/>
    <w:rsid w:val="000E3B29"/>
    <w:rsid w:val="000E6B63"/>
    <w:rsid w:val="000F6027"/>
    <w:rsid w:val="00100DFC"/>
    <w:rsid w:val="00107E29"/>
    <w:rsid w:val="00130B6D"/>
    <w:rsid w:val="00140B8C"/>
    <w:rsid w:val="001558DE"/>
    <w:rsid w:val="00175C50"/>
    <w:rsid w:val="001772D6"/>
    <w:rsid w:val="0019164E"/>
    <w:rsid w:val="001A0A34"/>
    <w:rsid w:val="001A0EFF"/>
    <w:rsid w:val="001E7925"/>
    <w:rsid w:val="001F2871"/>
    <w:rsid w:val="002057C4"/>
    <w:rsid w:val="002402E0"/>
    <w:rsid w:val="00245941"/>
    <w:rsid w:val="002D167E"/>
    <w:rsid w:val="002D409A"/>
    <w:rsid w:val="002F6EEC"/>
    <w:rsid w:val="00302024"/>
    <w:rsid w:val="00333590"/>
    <w:rsid w:val="00341E7C"/>
    <w:rsid w:val="00352D40"/>
    <w:rsid w:val="003659FD"/>
    <w:rsid w:val="003868AB"/>
    <w:rsid w:val="00394BDA"/>
    <w:rsid w:val="003B371B"/>
    <w:rsid w:val="003C0272"/>
    <w:rsid w:val="003D7116"/>
    <w:rsid w:val="003F7125"/>
    <w:rsid w:val="00405EA9"/>
    <w:rsid w:val="0041670F"/>
    <w:rsid w:val="00431FC4"/>
    <w:rsid w:val="00435D5F"/>
    <w:rsid w:val="00457D4A"/>
    <w:rsid w:val="00464080"/>
    <w:rsid w:val="004B3E64"/>
    <w:rsid w:val="004F5840"/>
    <w:rsid w:val="004F5CE4"/>
    <w:rsid w:val="00504792"/>
    <w:rsid w:val="00510070"/>
    <w:rsid w:val="00513AA7"/>
    <w:rsid w:val="005546DB"/>
    <w:rsid w:val="00560B24"/>
    <w:rsid w:val="0057002B"/>
    <w:rsid w:val="00570D7F"/>
    <w:rsid w:val="00594662"/>
    <w:rsid w:val="005A3733"/>
    <w:rsid w:val="005D2E77"/>
    <w:rsid w:val="005E18EF"/>
    <w:rsid w:val="00604E06"/>
    <w:rsid w:val="0061206A"/>
    <w:rsid w:val="00642E4C"/>
    <w:rsid w:val="00672A39"/>
    <w:rsid w:val="006837D8"/>
    <w:rsid w:val="006867D3"/>
    <w:rsid w:val="00694096"/>
    <w:rsid w:val="006A1F7F"/>
    <w:rsid w:val="006A582A"/>
    <w:rsid w:val="006A5A45"/>
    <w:rsid w:val="006B2183"/>
    <w:rsid w:val="00746CA4"/>
    <w:rsid w:val="00764DC6"/>
    <w:rsid w:val="0076708C"/>
    <w:rsid w:val="007977B2"/>
    <w:rsid w:val="007A5D5D"/>
    <w:rsid w:val="007D690A"/>
    <w:rsid w:val="007E11C4"/>
    <w:rsid w:val="007E4691"/>
    <w:rsid w:val="007F7F02"/>
    <w:rsid w:val="008209C9"/>
    <w:rsid w:val="00853F2D"/>
    <w:rsid w:val="00860242"/>
    <w:rsid w:val="0088407D"/>
    <w:rsid w:val="00892F8E"/>
    <w:rsid w:val="008B24C8"/>
    <w:rsid w:val="008C4571"/>
    <w:rsid w:val="008E3AEF"/>
    <w:rsid w:val="008E4E88"/>
    <w:rsid w:val="0091309D"/>
    <w:rsid w:val="00915032"/>
    <w:rsid w:val="00936EE3"/>
    <w:rsid w:val="009463D4"/>
    <w:rsid w:val="009521BC"/>
    <w:rsid w:val="00962B5D"/>
    <w:rsid w:val="00982149"/>
    <w:rsid w:val="009B4476"/>
    <w:rsid w:val="009D783E"/>
    <w:rsid w:val="00A10DE7"/>
    <w:rsid w:val="00A15F2D"/>
    <w:rsid w:val="00A42B14"/>
    <w:rsid w:val="00A52FB5"/>
    <w:rsid w:val="00A57B88"/>
    <w:rsid w:val="00A57E97"/>
    <w:rsid w:val="00A6450D"/>
    <w:rsid w:val="00A84893"/>
    <w:rsid w:val="00AA4557"/>
    <w:rsid w:val="00AA4F77"/>
    <w:rsid w:val="00AB7871"/>
    <w:rsid w:val="00B052B8"/>
    <w:rsid w:val="00B445D9"/>
    <w:rsid w:val="00B50B89"/>
    <w:rsid w:val="00B65A06"/>
    <w:rsid w:val="00B75478"/>
    <w:rsid w:val="00BB0CF2"/>
    <w:rsid w:val="00BD598E"/>
    <w:rsid w:val="00BE3E7F"/>
    <w:rsid w:val="00BF5245"/>
    <w:rsid w:val="00C415AB"/>
    <w:rsid w:val="00C7098D"/>
    <w:rsid w:val="00C727F2"/>
    <w:rsid w:val="00C81A5E"/>
    <w:rsid w:val="00C829F6"/>
    <w:rsid w:val="00C930F2"/>
    <w:rsid w:val="00C9360D"/>
    <w:rsid w:val="00CF2E98"/>
    <w:rsid w:val="00D04DB5"/>
    <w:rsid w:val="00D40E1E"/>
    <w:rsid w:val="00D61DDE"/>
    <w:rsid w:val="00D70993"/>
    <w:rsid w:val="00D87D7A"/>
    <w:rsid w:val="00D93C77"/>
    <w:rsid w:val="00DA36A4"/>
    <w:rsid w:val="00DB0DC0"/>
    <w:rsid w:val="00DD0552"/>
    <w:rsid w:val="00E03DCC"/>
    <w:rsid w:val="00E27F89"/>
    <w:rsid w:val="00E45FE2"/>
    <w:rsid w:val="00E519E0"/>
    <w:rsid w:val="00E6302D"/>
    <w:rsid w:val="00E85948"/>
    <w:rsid w:val="00E912A7"/>
    <w:rsid w:val="00EA12C9"/>
    <w:rsid w:val="00EB5A21"/>
    <w:rsid w:val="00EC7746"/>
    <w:rsid w:val="00EE46BC"/>
    <w:rsid w:val="00EF06E1"/>
    <w:rsid w:val="00F17ABD"/>
    <w:rsid w:val="00F3306D"/>
    <w:rsid w:val="00F47EBF"/>
    <w:rsid w:val="00F64795"/>
    <w:rsid w:val="00FE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392E7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7002B"/>
    <w:pPr>
      <w:ind w:left="720"/>
      <w:contextualSpacing/>
    </w:pPr>
  </w:style>
  <w:style w:type="paragraph" w:customStyle="1" w:styleId="ESParagraph">
    <w:name w:val="ES_Paragraph"/>
    <w:basedOn w:val="ListParagraph"/>
    <w:link w:val="ESParagraphChar"/>
    <w:rsid w:val="00100DFC"/>
    <w:pPr>
      <w:spacing w:before="240" w:after="240" w:line="276" w:lineRule="auto"/>
      <w:ind w:left="567" w:hanging="567"/>
      <w:contextualSpacing w:val="0"/>
    </w:pPr>
    <w:rPr>
      <w:rFonts w:ascii="Times New Roman" w:hAnsi="Times New Roman" w:cs="Times New Roman"/>
    </w:rPr>
  </w:style>
  <w:style w:type="paragraph" w:customStyle="1" w:styleId="ESHeading">
    <w:name w:val="ES_Heading"/>
    <w:basedOn w:val="ListParagraph"/>
    <w:link w:val="ESHeadingChar"/>
    <w:qFormat/>
    <w:rsid w:val="00100DFC"/>
    <w:pPr>
      <w:keepNext/>
      <w:spacing w:before="240" w:after="240" w:line="276" w:lineRule="auto"/>
      <w:ind w:left="0"/>
      <w:contextualSpacing w:val="0"/>
    </w:pPr>
    <w:rPr>
      <w:rFonts w:ascii="Times New Roman" w:hAnsi="Times New Roman" w:cs="Times New Roman"/>
      <w:b/>
      <w:i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00DFC"/>
  </w:style>
  <w:style w:type="character" w:customStyle="1" w:styleId="ESParagraphChar">
    <w:name w:val="ES_Paragraph Char"/>
    <w:basedOn w:val="ListParagraphChar"/>
    <w:link w:val="ESParagraph"/>
    <w:rsid w:val="00100DFC"/>
    <w:rPr>
      <w:rFonts w:ascii="Times New Roman" w:hAnsi="Times New Roman" w:cs="Times New Roman"/>
    </w:rPr>
  </w:style>
  <w:style w:type="paragraph" w:customStyle="1" w:styleId="ESAttAttName">
    <w:name w:val="ESAtt_AttName"/>
    <w:basedOn w:val="Normal"/>
    <w:link w:val="ESAttAttNameChar"/>
    <w:qFormat/>
    <w:rsid w:val="00100DFC"/>
    <w:pPr>
      <w:spacing w:before="240" w:after="240" w:line="276" w:lineRule="auto"/>
      <w:jc w:val="right"/>
    </w:pPr>
    <w:rPr>
      <w:rFonts w:ascii="Times New Roman" w:hAnsi="Times New Roman" w:cs="Times New Roman"/>
      <w:b/>
      <w:u w:val="single"/>
    </w:rPr>
  </w:style>
  <w:style w:type="character" w:customStyle="1" w:styleId="ESHeadingChar">
    <w:name w:val="ES_Heading Char"/>
    <w:basedOn w:val="ListParagraphChar"/>
    <w:link w:val="ESHeading"/>
    <w:rsid w:val="00100DFC"/>
    <w:rPr>
      <w:rFonts w:ascii="Times New Roman" w:hAnsi="Times New Roman" w:cs="Times New Roman"/>
      <w:b/>
      <w:i/>
    </w:rPr>
  </w:style>
  <w:style w:type="paragraph" w:customStyle="1" w:styleId="ESAttHeading">
    <w:name w:val="ESAtt_Heading"/>
    <w:basedOn w:val="Normal"/>
    <w:link w:val="ESAttHeadingChar"/>
    <w:qFormat/>
    <w:rsid w:val="00100DFC"/>
    <w:pPr>
      <w:keepNext/>
      <w:spacing w:before="240" w:after="240" w:line="276" w:lineRule="auto"/>
    </w:pPr>
    <w:rPr>
      <w:rFonts w:ascii="Times New Roman" w:hAnsi="Times New Roman" w:cs="Times New Roman"/>
      <w:b/>
    </w:rPr>
  </w:style>
  <w:style w:type="character" w:customStyle="1" w:styleId="ESAttAttNameChar">
    <w:name w:val="ESAtt_AttName Char"/>
    <w:basedOn w:val="DefaultParagraphFont"/>
    <w:link w:val="ESAttAttName"/>
    <w:rsid w:val="00100DFC"/>
    <w:rPr>
      <w:rFonts w:ascii="Times New Roman" w:hAnsi="Times New Roman" w:cs="Times New Roman"/>
      <w:b/>
      <w:u w:val="single"/>
    </w:rPr>
  </w:style>
  <w:style w:type="paragraph" w:customStyle="1" w:styleId="ESAttNormal">
    <w:name w:val="ESAtt_Normal"/>
    <w:basedOn w:val="Normal"/>
    <w:link w:val="ESAttNormalChar"/>
    <w:qFormat/>
    <w:rsid w:val="00100DFC"/>
    <w:pPr>
      <w:spacing w:before="240" w:after="240" w:line="276" w:lineRule="auto"/>
    </w:pPr>
    <w:rPr>
      <w:rFonts w:ascii="Times New Roman" w:hAnsi="Times New Roman" w:cs="Times New Roman"/>
    </w:rPr>
  </w:style>
  <w:style w:type="character" w:customStyle="1" w:styleId="ESAttHeadingChar">
    <w:name w:val="ESAtt_Heading Char"/>
    <w:basedOn w:val="DefaultParagraphFont"/>
    <w:link w:val="ESAttHeading"/>
    <w:rsid w:val="00100DFC"/>
    <w:rPr>
      <w:rFonts w:ascii="Times New Roman" w:hAnsi="Times New Roman" w:cs="Times New Roman"/>
      <w:b/>
    </w:rPr>
  </w:style>
  <w:style w:type="paragraph" w:customStyle="1" w:styleId="ESAttListHeader">
    <w:name w:val="ESAtt_ListHeader"/>
    <w:basedOn w:val="Normal"/>
    <w:link w:val="ESAttListHeaderChar"/>
    <w:qFormat/>
    <w:rsid w:val="00100DFC"/>
    <w:pPr>
      <w:keepNext/>
      <w:spacing w:before="240" w:after="240" w:line="276" w:lineRule="auto"/>
    </w:pPr>
    <w:rPr>
      <w:rFonts w:ascii="Times New Roman" w:hAnsi="Times New Roman" w:cs="Times New Roman"/>
    </w:rPr>
  </w:style>
  <w:style w:type="character" w:customStyle="1" w:styleId="ESAttNormalChar">
    <w:name w:val="ESAtt_Normal Char"/>
    <w:basedOn w:val="DefaultParagraphFont"/>
    <w:link w:val="ESAttNormal"/>
    <w:rsid w:val="00100DFC"/>
    <w:rPr>
      <w:rFonts w:ascii="Times New Roman" w:hAnsi="Times New Roman" w:cs="Times New Roman"/>
    </w:rPr>
  </w:style>
  <w:style w:type="paragraph" w:customStyle="1" w:styleId="ESAttList">
    <w:name w:val="ESAtt_List"/>
    <w:basedOn w:val="ListParagraph"/>
    <w:link w:val="ESAttListChar"/>
    <w:qFormat/>
    <w:rsid w:val="00100DFC"/>
    <w:pPr>
      <w:numPr>
        <w:numId w:val="2"/>
      </w:numPr>
      <w:spacing w:before="240" w:after="240" w:line="276" w:lineRule="auto"/>
      <w:contextualSpacing w:val="0"/>
    </w:pPr>
    <w:rPr>
      <w:rFonts w:ascii="Times New Roman" w:hAnsi="Times New Roman" w:cs="Times New Roman"/>
    </w:rPr>
  </w:style>
  <w:style w:type="character" w:customStyle="1" w:styleId="ESAttListHeaderChar">
    <w:name w:val="ESAtt_ListHeader Char"/>
    <w:basedOn w:val="DefaultParagraphFont"/>
    <w:link w:val="ESAttListHeader"/>
    <w:rsid w:val="00100DFC"/>
    <w:rPr>
      <w:rFonts w:ascii="Times New Roman" w:hAnsi="Times New Roman" w:cs="Times New Roman"/>
    </w:rPr>
  </w:style>
  <w:style w:type="paragraph" w:customStyle="1" w:styleId="ESSubHeading">
    <w:name w:val="ES_SubHeading"/>
    <w:basedOn w:val="ESHeading"/>
    <w:link w:val="ESSubHeadingChar"/>
    <w:qFormat/>
    <w:rsid w:val="00BB0CF2"/>
    <w:rPr>
      <w:b w:val="0"/>
    </w:rPr>
  </w:style>
  <w:style w:type="character" w:customStyle="1" w:styleId="ESAttListChar">
    <w:name w:val="ESAtt_List Char"/>
    <w:basedOn w:val="ListParagraphChar"/>
    <w:link w:val="ESAttList"/>
    <w:rsid w:val="00100DFC"/>
    <w:rPr>
      <w:rFonts w:ascii="Times New Roman" w:hAnsi="Times New Roman" w:cs="Times New Roman"/>
    </w:rPr>
  </w:style>
  <w:style w:type="paragraph" w:customStyle="1" w:styleId="ESTitleInstrumentName">
    <w:name w:val="ESTitle_InstrumentName"/>
    <w:basedOn w:val="Normal"/>
    <w:link w:val="ESTitleInstrumentNameChar"/>
    <w:qFormat/>
    <w:rsid w:val="00BB0CF2"/>
    <w:pPr>
      <w:spacing w:before="360" w:after="600" w:line="276" w:lineRule="auto"/>
      <w:jc w:val="center"/>
    </w:pPr>
    <w:rPr>
      <w:rFonts w:ascii="Times New Roman" w:hAnsi="Times New Roman" w:cs="Times New Roman"/>
      <w:b/>
      <w:i/>
    </w:rPr>
  </w:style>
  <w:style w:type="character" w:customStyle="1" w:styleId="ESSubHeadingChar">
    <w:name w:val="ES_SubHeading Char"/>
    <w:basedOn w:val="ESHeadingChar"/>
    <w:link w:val="ESSubHeading"/>
    <w:rsid w:val="00BB0CF2"/>
    <w:rPr>
      <w:rFonts w:ascii="Times New Roman" w:hAnsi="Times New Roman" w:cs="Times New Roman"/>
      <w:b w:val="0"/>
      <w:i/>
    </w:rPr>
  </w:style>
  <w:style w:type="paragraph" w:customStyle="1" w:styleId="ESTitleEnablingLegislation">
    <w:name w:val="ESTitle_EnablingLegislation"/>
    <w:basedOn w:val="Normal"/>
    <w:link w:val="ESTitleEnablingLegislationChar"/>
    <w:qFormat/>
    <w:rsid w:val="00BB0CF2"/>
    <w:pPr>
      <w:spacing w:line="276" w:lineRule="auto"/>
      <w:jc w:val="center"/>
    </w:pPr>
    <w:rPr>
      <w:rFonts w:ascii="Times New Roman" w:hAnsi="Times New Roman" w:cs="Times New Roman"/>
      <w:i/>
    </w:rPr>
  </w:style>
  <w:style w:type="character" w:customStyle="1" w:styleId="ESTitleInstrumentNameChar">
    <w:name w:val="ESTitle_InstrumentName Char"/>
    <w:basedOn w:val="DefaultParagraphFont"/>
    <w:link w:val="ESTitleInstrumentName"/>
    <w:rsid w:val="00BB0CF2"/>
    <w:rPr>
      <w:rFonts w:ascii="Times New Roman" w:hAnsi="Times New Roman" w:cs="Times New Roman"/>
      <w:b/>
      <w:i/>
    </w:rPr>
  </w:style>
  <w:style w:type="paragraph" w:customStyle="1" w:styleId="ESTitleDecisionMaker">
    <w:name w:val="ESTitle_DecisionMaker"/>
    <w:basedOn w:val="Normal"/>
    <w:link w:val="ESTitleDecisionMakerChar"/>
    <w:qFormat/>
    <w:rsid w:val="00BB0CF2"/>
    <w:pPr>
      <w:spacing w:line="276" w:lineRule="auto"/>
      <w:jc w:val="center"/>
    </w:pPr>
    <w:rPr>
      <w:rFonts w:ascii="Times New Roman" w:hAnsi="Times New Roman" w:cs="Times New Roman"/>
    </w:rPr>
  </w:style>
  <w:style w:type="character" w:customStyle="1" w:styleId="ESTitleEnablingLegislationChar">
    <w:name w:val="ESTitle_EnablingLegislation Char"/>
    <w:basedOn w:val="DefaultParagraphFont"/>
    <w:link w:val="ESTitleEnablingLegislation"/>
    <w:rsid w:val="00BB0CF2"/>
    <w:rPr>
      <w:rFonts w:ascii="Times New Roman" w:hAnsi="Times New Roman" w:cs="Times New Roman"/>
      <w:i/>
    </w:rPr>
  </w:style>
  <w:style w:type="paragraph" w:customStyle="1" w:styleId="ESTitleHeader">
    <w:name w:val="ESTitle_Header"/>
    <w:basedOn w:val="Normal"/>
    <w:link w:val="ESTitleHeaderChar"/>
    <w:qFormat/>
    <w:rsid w:val="00BB0CF2"/>
    <w:pPr>
      <w:spacing w:line="276" w:lineRule="auto"/>
      <w:jc w:val="center"/>
    </w:pPr>
    <w:rPr>
      <w:rFonts w:ascii="Times New Roman" w:hAnsi="Times New Roman" w:cs="Times New Roman"/>
      <w:u w:val="single"/>
    </w:rPr>
  </w:style>
  <w:style w:type="character" w:customStyle="1" w:styleId="ESTitleDecisionMakerChar">
    <w:name w:val="ESTitle_DecisionMaker Char"/>
    <w:basedOn w:val="DefaultParagraphFont"/>
    <w:link w:val="ESTitleDecisionMaker"/>
    <w:rsid w:val="00BB0CF2"/>
    <w:rPr>
      <w:rFonts w:ascii="Times New Roman" w:hAnsi="Times New Roman" w:cs="Times New Roman"/>
    </w:rPr>
  </w:style>
  <w:style w:type="paragraph" w:customStyle="1" w:styleId="ESSubparaHeader">
    <w:name w:val="ES_SubparaHeader"/>
    <w:basedOn w:val="ListParagraph"/>
    <w:next w:val="ESSubparaList"/>
    <w:link w:val="ESSubparaHeaderChar"/>
    <w:qFormat/>
    <w:rsid w:val="00BB0CF2"/>
    <w:pPr>
      <w:keepNext/>
      <w:numPr>
        <w:numId w:val="1"/>
      </w:numPr>
      <w:spacing w:before="240" w:after="240" w:line="276" w:lineRule="auto"/>
      <w:contextualSpacing w:val="0"/>
    </w:pPr>
    <w:rPr>
      <w:rFonts w:ascii="Times New Roman" w:hAnsi="Times New Roman" w:cs="Times New Roman"/>
    </w:rPr>
  </w:style>
  <w:style w:type="character" w:customStyle="1" w:styleId="ESTitleHeaderChar">
    <w:name w:val="ESTitle_Header Char"/>
    <w:basedOn w:val="DefaultParagraphFont"/>
    <w:link w:val="ESTitleHeader"/>
    <w:rsid w:val="00BB0CF2"/>
    <w:rPr>
      <w:rFonts w:ascii="Times New Roman" w:hAnsi="Times New Roman" w:cs="Times New Roman"/>
      <w:u w:val="single"/>
    </w:rPr>
  </w:style>
  <w:style w:type="paragraph" w:customStyle="1" w:styleId="ESSubparaList">
    <w:name w:val="ES_SubparaList"/>
    <w:basedOn w:val="ListParagraph"/>
    <w:link w:val="ESSubparaListChar"/>
    <w:qFormat/>
    <w:rsid w:val="00BB0CF2"/>
    <w:pPr>
      <w:numPr>
        <w:ilvl w:val="1"/>
        <w:numId w:val="1"/>
      </w:numPr>
      <w:spacing w:before="240" w:after="240" w:line="276" w:lineRule="auto"/>
      <w:ind w:left="1276" w:hanging="425"/>
      <w:contextualSpacing w:val="0"/>
    </w:pPr>
    <w:rPr>
      <w:rFonts w:ascii="Times New Roman" w:hAnsi="Times New Roman" w:cs="Times New Roman"/>
    </w:rPr>
  </w:style>
  <w:style w:type="character" w:customStyle="1" w:styleId="ESSubparaHeaderChar">
    <w:name w:val="ES_SubparaHeader Char"/>
    <w:basedOn w:val="ListParagraphChar"/>
    <w:link w:val="ESSubparaHeader"/>
    <w:rsid w:val="00BB0CF2"/>
    <w:rPr>
      <w:rFonts w:ascii="Times New Roman" w:hAnsi="Times New Roman" w:cs="Times New Roman"/>
    </w:rPr>
  </w:style>
  <w:style w:type="character" w:customStyle="1" w:styleId="ESSubparaListChar">
    <w:name w:val="ES_SubparaList Char"/>
    <w:basedOn w:val="ListParagraphChar"/>
    <w:link w:val="ESSubparaList"/>
    <w:rsid w:val="00BB0CF2"/>
    <w:rPr>
      <w:rFonts w:ascii="Times New Roman" w:hAnsi="Times New Roman" w:cs="Times New Roman"/>
    </w:rPr>
  </w:style>
  <w:style w:type="paragraph" w:customStyle="1" w:styleId="ESPara">
    <w:name w:val="ES_Para"/>
    <w:basedOn w:val="ESSubparaHeader"/>
    <w:link w:val="ESParaChar"/>
    <w:qFormat/>
    <w:rsid w:val="002D167E"/>
    <w:pPr>
      <w:keepNext w:val="0"/>
    </w:pPr>
  </w:style>
  <w:style w:type="character" w:customStyle="1" w:styleId="ESParaChar">
    <w:name w:val="ES_Para Char"/>
    <w:basedOn w:val="ESSubparaHeaderChar"/>
    <w:link w:val="ESPara"/>
    <w:rsid w:val="002D167E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B44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44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44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4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4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476"/>
    <w:rPr>
      <w:rFonts w:ascii="Segoe UI" w:hAnsi="Segoe UI" w:cs="Segoe UI"/>
      <w:sz w:val="18"/>
      <w:szCs w:val="18"/>
    </w:rPr>
  </w:style>
  <w:style w:type="paragraph" w:customStyle="1" w:styleId="Item">
    <w:name w:val="Item"/>
    <w:aliases w:val="i"/>
    <w:basedOn w:val="Normal"/>
    <w:next w:val="Normal"/>
    <w:rsid w:val="00EB5A21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LDBoldItal">
    <w:name w:val="LDBoldItal"/>
    <w:uiPriority w:val="1"/>
    <w:qFormat/>
    <w:rsid w:val="00EB5A21"/>
    <w:rPr>
      <w:b/>
      <w:i/>
    </w:rPr>
  </w:style>
  <w:style w:type="paragraph" w:customStyle="1" w:styleId="subsection2">
    <w:name w:val="subsection2"/>
    <w:aliases w:val="ss2"/>
    <w:basedOn w:val="Normal"/>
    <w:next w:val="Normal"/>
    <w:rsid w:val="001F2871"/>
    <w:pPr>
      <w:spacing w:before="4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espara0">
    <w:name w:val="espara"/>
    <w:basedOn w:val="Normal"/>
    <w:rsid w:val="005D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essubparaheader0">
    <w:name w:val="essubparaheader"/>
    <w:basedOn w:val="Normal"/>
    <w:rsid w:val="005D2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0D5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47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EBF"/>
  </w:style>
  <w:style w:type="paragraph" w:styleId="Footer">
    <w:name w:val="footer"/>
    <w:basedOn w:val="Normal"/>
    <w:link w:val="FooterChar"/>
    <w:uiPriority w:val="99"/>
    <w:unhideWhenUsed/>
    <w:rsid w:val="00F47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0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2025-04-03T03:29:00Z</dcterms:created>
  <dcterms:modified xsi:type="dcterms:W3CDTF">2025-04-03T22:34:00Z</dcterms:modified>
</cp:coreProperties>
</file>