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CA67" w14:textId="77777777" w:rsidR="0052253B" w:rsidRPr="0052253B" w:rsidRDefault="0052253B" w:rsidP="0052253B">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52253B">
        <w:rPr>
          <w:rFonts w:ascii="Times New Roman" w:eastAsia="Times New Roman" w:hAnsi="Times New Roman" w:cs="Times New Roman"/>
          <w:b/>
          <w:kern w:val="28"/>
          <w:sz w:val="24"/>
          <w:szCs w:val="24"/>
          <w:u w:val="single"/>
          <w:lang w:eastAsia="en-AU"/>
          <w14:ligatures w14:val="none"/>
        </w:rPr>
        <w:t>EXPLANATORY STATEMENT</w:t>
      </w:r>
    </w:p>
    <w:p w14:paraId="031099A7" w14:textId="77777777" w:rsidR="0052253B" w:rsidRPr="0052253B" w:rsidRDefault="0052253B" w:rsidP="0052253B">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52253B">
        <w:rPr>
          <w:rFonts w:ascii="Times New Roman" w:eastAsia="Times New Roman" w:hAnsi="Times New Roman" w:cs="Times New Roman"/>
          <w:b/>
          <w:kern w:val="0"/>
          <w:sz w:val="24"/>
          <w:szCs w:val="24"/>
          <w:u w:val="single"/>
          <w:lang w:eastAsia="en-AU"/>
          <w14:ligatures w14:val="none"/>
        </w:rPr>
        <w:t>Issued by authority of the Assistant Minister for Competition, Charities and Treasury</w:t>
      </w:r>
    </w:p>
    <w:p w14:paraId="2EE3530B" w14:textId="77777777" w:rsidR="0052253B" w:rsidRPr="0052253B" w:rsidRDefault="0052253B" w:rsidP="0052253B">
      <w:pPr>
        <w:spacing w:before="240"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Currency Act 1965</w:t>
      </w:r>
    </w:p>
    <w:p w14:paraId="61F58964" w14:textId="0166F4C2" w:rsidR="0052253B" w:rsidRPr="0052253B" w:rsidRDefault="0052253B" w:rsidP="0052253B">
      <w:pPr>
        <w:tabs>
          <w:tab w:val="left" w:pos="1418"/>
        </w:tabs>
        <w:spacing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 xml:space="preserve">Currency (Australian Coins) Amendment (2025 Royal Australian Mint No. </w:t>
      </w:r>
      <w:r>
        <w:rPr>
          <w:rFonts w:ascii="Times New Roman" w:eastAsia="Calibri" w:hAnsi="Times New Roman" w:cs="Times New Roman"/>
          <w:i/>
          <w:kern w:val="0"/>
          <w:sz w:val="24"/>
          <w:szCs w:val="24"/>
          <w14:ligatures w14:val="none"/>
        </w:rPr>
        <w:t>4</w:t>
      </w:r>
      <w:r w:rsidRPr="0052253B">
        <w:rPr>
          <w:rFonts w:ascii="Times New Roman" w:eastAsia="Calibri" w:hAnsi="Times New Roman" w:cs="Times New Roman"/>
          <w:i/>
          <w:kern w:val="0"/>
          <w:sz w:val="24"/>
          <w:szCs w:val="24"/>
          <w14:ligatures w14:val="none"/>
        </w:rPr>
        <w:t>) Determination 2025</w:t>
      </w:r>
    </w:p>
    <w:p w14:paraId="23A49B3E" w14:textId="77777777" w:rsidR="0052253B" w:rsidRPr="00AE66C6"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Subsection 13(2) and section 13A of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w:t>
      </w:r>
      <w:r w:rsidRPr="00AE66C6">
        <w:rPr>
          <w:rFonts w:ascii="Times New Roman" w:eastAsia="Calibri" w:hAnsi="Times New Roman" w:cs="Times New Roman"/>
          <w:kern w:val="0"/>
          <w:sz w:val="24"/>
          <w:szCs w:val="24"/>
          <w14:ligatures w14:val="none"/>
        </w:rPr>
        <w:t>dimensions.</w:t>
      </w:r>
    </w:p>
    <w:p w14:paraId="7CE47229" w14:textId="0725E772" w:rsidR="0052253B" w:rsidRPr="0052253B" w:rsidRDefault="0052253B" w:rsidP="0052253B">
      <w:pPr>
        <w:spacing w:before="240"/>
        <w:rPr>
          <w:rFonts w:ascii="Times New Roman" w:eastAsia="Calibri" w:hAnsi="Times New Roman" w:cs="Times New Roman"/>
          <w:kern w:val="0"/>
          <w:sz w:val="24"/>
          <w:szCs w:val="24"/>
          <w14:ligatures w14:val="none"/>
        </w:rPr>
      </w:pPr>
      <w:r w:rsidRPr="00AE66C6">
        <w:rPr>
          <w:rFonts w:ascii="Times New Roman" w:eastAsia="Calibri" w:hAnsi="Times New Roman" w:cs="Times New Roman"/>
          <w:kern w:val="0"/>
          <w:sz w:val="24"/>
          <w:szCs w:val="24"/>
          <w14:ligatures w14:val="none"/>
        </w:rPr>
        <w:t xml:space="preserve">The purpose of this legislative instrument is to determine the characteristics of </w:t>
      </w:r>
      <w:r w:rsidR="00F477E7">
        <w:rPr>
          <w:rFonts w:ascii="Times New Roman" w:eastAsia="Calibri" w:hAnsi="Times New Roman" w:cs="Times New Roman"/>
          <w:kern w:val="0"/>
          <w:sz w:val="24"/>
          <w:szCs w:val="24"/>
          <w14:ligatures w14:val="none"/>
        </w:rPr>
        <w:t>3</w:t>
      </w:r>
      <w:r w:rsidR="00AE66C6" w:rsidRPr="00AE66C6">
        <w:rPr>
          <w:rFonts w:ascii="Times New Roman" w:eastAsia="Calibri" w:hAnsi="Times New Roman" w:cs="Times New Roman"/>
          <w:kern w:val="0"/>
          <w:sz w:val="24"/>
          <w:szCs w:val="24"/>
          <w14:ligatures w14:val="none"/>
        </w:rPr>
        <w:t xml:space="preserve"> </w:t>
      </w:r>
      <w:r w:rsidRPr="00AE66C6">
        <w:rPr>
          <w:rFonts w:ascii="Times New Roman" w:eastAsia="Calibri" w:hAnsi="Times New Roman" w:cs="Times New Roman"/>
          <w:kern w:val="0"/>
          <w:sz w:val="24"/>
          <w:szCs w:val="24"/>
          <w14:ligatures w14:val="none"/>
        </w:rPr>
        <w:t>new non-circulating coins</w:t>
      </w:r>
      <w:r w:rsidR="00AE66C6" w:rsidRPr="00AE66C6">
        <w:rPr>
          <w:rFonts w:ascii="Times New Roman" w:eastAsia="Calibri" w:hAnsi="Times New Roman" w:cs="Times New Roman"/>
          <w:kern w:val="0"/>
          <w:sz w:val="24"/>
          <w:szCs w:val="24"/>
          <w14:ligatures w14:val="none"/>
        </w:rPr>
        <w:t xml:space="preserve"> </w:t>
      </w:r>
      <w:r w:rsidRPr="00AE66C6">
        <w:rPr>
          <w:rFonts w:ascii="Times New Roman" w:eastAsia="Calibri" w:hAnsi="Times New Roman" w:cs="Times New Roman"/>
          <w:kern w:val="0"/>
          <w:sz w:val="24"/>
          <w:szCs w:val="24"/>
          <w14:ligatures w14:val="none"/>
        </w:rPr>
        <w:t>proposed to be issued by the Royal Australian Mint.</w:t>
      </w:r>
    </w:p>
    <w:p w14:paraId="62FC8A86" w14:textId="77777777"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Treasurer may authorise the making and issuing of coins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A payment of money is a legal tender if it is made in coins that are made and issued under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Through the issue of a currency determination, the Treasurer can add, remove and alter the coin characteristics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0D5B2BCC"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In accordance with section 19 of the </w:t>
      </w:r>
      <w:r w:rsidRPr="0052253B">
        <w:rPr>
          <w:rFonts w:ascii="Times New Roman" w:eastAsia="Calibri" w:hAnsi="Times New Roman" w:cs="Times New Roman"/>
          <w:i/>
          <w:kern w:val="0"/>
          <w:sz w:val="24"/>
          <w:szCs w:val="24"/>
          <w14:ligatures w14:val="none"/>
        </w:rPr>
        <w:t>Acts Interpretation Act 1901</w:t>
      </w:r>
      <w:r w:rsidRPr="0052253B">
        <w:rPr>
          <w:rFonts w:ascii="Times New Roman" w:eastAsia="Calibri" w:hAnsi="Times New Roman" w:cs="Times New Roman"/>
          <w:kern w:val="0"/>
          <w:sz w:val="24"/>
          <w:szCs w:val="24"/>
          <w14:ligatures w14:val="none"/>
        </w:rPr>
        <w:t>, any Minister in the Treasury portfolio may, by legislative instrument, determine details of Australian coin characteristics.</w:t>
      </w:r>
    </w:p>
    <w:p w14:paraId="7DABE0E9" w14:textId="77777777" w:rsidR="0052253B" w:rsidRPr="0052253B" w:rsidRDefault="0052253B" w:rsidP="0052253B">
      <w:pPr>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14:ligatures w14:val="none"/>
        </w:rPr>
        <w:t xml:space="preserve">Details of the legislative instrument are set out in the </w:t>
      </w:r>
      <w:r w:rsidRPr="0052253B">
        <w:rPr>
          <w:rFonts w:ascii="Times New Roman" w:eastAsia="Calibri" w:hAnsi="Times New Roman" w:cs="Times New Roman"/>
          <w:kern w:val="0"/>
          <w:sz w:val="24"/>
          <w:szCs w:val="24"/>
          <w:u w:val="single"/>
          <w14:ligatures w14:val="none"/>
        </w:rPr>
        <w:t>Attachment.</w:t>
      </w:r>
    </w:p>
    <w:p w14:paraId="45E04680"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The legislative instrument commenced on the day after it was registered on the Federal Register of Legislation.</w:t>
      </w:r>
    </w:p>
    <w:p w14:paraId="47FD8014"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legislative instrument is subject to disallowance under section 42 of the </w:t>
      </w:r>
      <w:bookmarkStart w:id="0" w:name="OLE_LINK8"/>
      <w:r w:rsidRPr="0052253B">
        <w:rPr>
          <w:rFonts w:ascii="Times New Roman" w:eastAsia="Calibri" w:hAnsi="Times New Roman" w:cs="Times New Roman"/>
          <w:i/>
          <w:kern w:val="0"/>
          <w:sz w:val="24"/>
          <w:szCs w:val="24"/>
          <w14:ligatures w14:val="none"/>
        </w:rPr>
        <w:t>Legislation Act 2003</w:t>
      </w:r>
      <w:bookmarkEnd w:id="0"/>
      <w:r w:rsidRPr="0052253B">
        <w:rPr>
          <w:rFonts w:ascii="Times New Roman" w:eastAsia="Calibri" w:hAnsi="Times New Roman" w:cs="Times New Roman"/>
          <w:kern w:val="0"/>
          <w:sz w:val="24"/>
          <w:szCs w:val="24"/>
          <w14:ligatures w14:val="none"/>
        </w:rPr>
        <w:t>.</w:t>
      </w:r>
    </w:p>
    <w:p w14:paraId="63276877"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Determination is a legislative instrument for the purposes of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The Determination is not subject to sunsetting under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on the grounds that the instrument ensures economic certainty (see item 20 of the table in section 12 of the </w:t>
      </w:r>
      <w:r w:rsidRPr="0052253B">
        <w:rPr>
          <w:rFonts w:ascii="Times New Roman" w:eastAsia="Calibri" w:hAnsi="Times New Roman" w:cs="Times New Roman"/>
          <w:i/>
          <w:iCs/>
          <w:kern w:val="0"/>
          <w:sz w:val="24"/>
          <w:szCs w:val="24"/>
          <w14:ligatures w14:val="none"/>
        </w:rPr>
        <w:t>Legislation (Exemptions and Other Matters) Regulation 2015</w:t>
      </w:r>
      <w:r w:rsidRPr="0052253B">
        <w:rPr>
          <w:rFonts w:ascii="Times New Roman" w:eastAsia="Calibri" w:hAnsi="Times New Roman" w:cs="Times New Roman"/>
          <w:kern w:val="0"/>
          <w:sz w:val="24"/>
          <w:szCs w:val="24"/>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79DF77F7" w14:textId="77777777" w:rsidR="0052253B" w:rsidRPr="0052253B" w:rsidRDefault="0052253B" w:rsidP="0052253B">
      <w:pPr>
        <w:rPr>
          <w:rFonts w:ascii="Times New Roman" w:eastAsia="Calibri" w:hAnsi="Times New Roman" w:cs="Times New Roman"/>
          <w:b/>
          <w:i/>
          <w:kern w:val="0"/>
          <w:sz w:val="24"/>
          <w:szCs w:val="24"/>
          <w14:ligatures w14:val="none"/>
        </w:rPr>
      </w:pPr>
      <w:r w:rsidRPr="0052253B">
        <w:rPr>
          <w:rFonts w:ascii="Times New Roman" w:eastAsia="Calibri" w:hAnsi="Times New Roman" w:cs="Times New Roman"/>
          <w:b/>
          <w:kern w:val="0"/>
          <w:sz w:val="24"/>
          <w:szCs w:val="24"/>
          <w14:ligatures w14:val="none"/>
        </w:rPr>
        <w:t>Consultation</w:t>
      </w:r>
    </w:p>
    <w:p w14:paraId="0D0A3DAA"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5CEC4AD8"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lastRenderedPageBreak/>
        <w:t xml:space="preserve">Members of the public </w:t>
      </w:r>
      <w:proofErr w:type="gramStart"/>
      <w:r w:rsidRPr="0052253B">
        <w:rPr>
          <w:rFonts w:ascii="Times New Roman" w:eastAsia="Calibri" w:hAnsi="Times New Roman" w:cs="Times New Roman"/>
          <w:kern w:val="0"/>
          <w:sz w:val="24"/>
          <w:szCs w:val="24"/>
          <w14:ligatures w14:val="none"/>
        </w:rPr>
        <w:t>have the opportunity to</w:t>
      </w:r>
      <w:proofErr w:type="gramEnd"/>
      <w:r w:rsidRPr="0052253B">
        <w:rPr>
          <w:rFonts w:ascii="Times New Roman" w:eastAsia="Calibri" w:hAnsi="Times New Roman" w:cs="Times New Roman"/>
          <w:kern w:val="0"/>
          <w:sz w:val="24"/>
          <w:szCs w:val="24"/>
          <w14:ligatures w14:val="none"/>
        </w:rPr>
        <w:t xml:space="preserve"> contact the Royal Australian Mint to present any themes they would like to see commemorated on Australian legal tender. These concepts are then researched and assessed in accordance with the Royal Australian Mint’s </w:t>
      </w:r>
      <w:r w:rsidRPr="0052253B">
        <w:rPr>
          <w:rFonts w:ascii="Times New Roman" w:eastAsia="Calibri" w:hAnsi="Times New Roman" w:cs="Times New Roman"/>
          <w:iCs/>
          <w:kern w:val="0"/>
          <w:sz w:val="24"/>
          <w:szCs w:val="24"/>
          <w14:ligatures w14:val="none"/>
        </w:rPr>
        <w:t>coin design policies.</w:t>
      </w:r>
      <w:r w:rsidRPr="0052253B">
        <w:rPr>
          <w:rFonts w:ascii="Times New Roman" w:eastAsia="Calibri" w:hAnsi="Times New Roman" w:cs="Times New Roman"/>
          <w:kern w:val="0"/>
          <w:sz w:val="24"/>
          <w:szCs w:val="24"/>
          <w14:ligatures w14:val="none"/>
        </w:rPr>
        <w:t xml:space="preserve"> The Royal Australian Mint also uses market-based tools to identify interested parties and gauge interest in coin themes.</w:t>
      </w:r>
    </w:p>
    <w:p w14:paraId="70002120" w14:textId="77777777" w:rsidR="0052253B" w:rsidRPr="0052253B" w:rsidRDefault="0052253B" w:rsidP="0052253B">
      <w:pPr>
        <w:rPr>
          <w:rFonts w:ascii="Times New Roman" w:eastAsia="Calibri" w:hAnsi="Times New Roman" w:cs="Times New Roman"/>
          <w:kern w:val="0"/>
          <w:sz w:val="24"/>
          <w:szCs w:val="24"/>
          <w14:ligatures w14:val="none"/>
        </w:rPr>
      </w:pPr>
    </w:p>
    <w:p w14:paraId="5003AE9A" w14:textId="77777777" w:rsidR="0052253B" w:rsidRPr="0052253B" w:rsidRDefault="0052253B" w:rsidP="0052253B">
      <w:pPr>
        <w:keepNext/>
        <w:keepLines/>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Statement of Compatibility with Human Rights</w:t>
      </w:r>
    </w:p>
    <w:p w14:paraId="384E2C07" w14:textId="77777777" w:rsidR="0052253B" w:rsidRPr="0052253B" w:rsidRDefault="0052253B" w:rsidP="0052253B">
      <w:pPr>
        <w:keepNext/>
        <w:keepLines/>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Prepared in accordance with Part 3 of the Human Rights (Parliamentary Scrutiny) Act 2011</w:t>
      </w:r>
    </w:p>
    <w:p w14:paraId="29FBD978" w14:textId="47D45281" w:rsidR="0052253B" w:rsidRPr="0052253B" w:rsidRDefault="0052253B" w:rsidP="0052253B">
      <w:pPr>
        <w:keepNext/>
        <w:keepLines/>
        <w:jc w:val="cente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i/>
          <w:kern w:val="0"/>
          <w:sz w:val="24"/>
          <w:szCs w:val="24"/>
          <w14:ligatures w14:val="none"/>
        </w:rPr>
        <w:t xml:space="preserve">Currency (Australian Coins) Amendment (2025 Royal Australian Mint No. </w:t>
      </w:r>
      <w:r w:rsidR="00B762B3">
        <w:rPr>
          <w:rFonts w:ascii="Times New Roman" w:eastAsia="Calibri" w:hAnsi="Times New Roman" w:cs="Times New Roman"/>
          <w:b/>
          <w:i/>
          <w:kern w:val="0"/>
          <w:sz w:val="24"/>
          <w:szCs w:val="24"/>
          <w14:ligatures w14:val="none"/>
        </w:rPr>
        <w:t>4</w:t>
      </w:r>
      <w:r w:rsidRPr="0052253B">
        <w:rPr>
          <w:rFonts w:ascii="Times New Roman" w:eastAsia="Calibri" w:hAnsi="Times New Roman" w:cs="Times New Roman"/>
          <w:b/>
          <w:i/>
          <w:kern w:val="0"/>
          <w:sz w:val="24"/>
          <w:szCs w:val="24"/>
          <w14:ligatures w14:val="none"/>
        </w:rPr>
        <w:t>) Determination 2025</w:t>
      </w:r>
    </w:p>
    <w:p w14:paraId="3DD28AAA"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52253B">
        <w:rPr>
          <w:rFonts w:ascii="Times New Roman" w:eastAsia="Calibri" w:hAnsi="Times New Roman" w:cs="Times New Roman"/>
          <w:i/>
          <w:kern w:val="0"/>
          <w:sz w:val="24"/>
          <w:szCs w:val="24"/>
          <w14:ligatures w14:val="none"/>
        </w:rPr>
        <w:t>Human Rights (Parliamentary Scrutiny) Act 2011</w:t>
      </w:r>
      <w:r w:rsidRPr="0052253B">
        <w:rPr>
          <w:rFonts w:ascii="Times New Roman" w:eastAsia="Calibri" w:hAnsi="Times New Roman" w:cs="Times New Roman"/>
          <w:kern w:val="0"/>
          <w:sz w:val="24"/>
          <w:szCs w:val="24"/>
          <w14:ligatures w14:val="none"/>
        </w:rPr>
        <w:t>.</w:t>
      </w:r>
    </w:p>
    <w:p w14:paraId="511E6CD4" w14:textId="77777777" w:rsidR="0052253B" w:rsidRPr="0052253B" w:rsidRDefault="0052253B" w:rsidP="0052253B">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Overview of the Legislative Instrument</w:t>
      </w:r>
    </w:p>
    <w:p w14:paraId="1741EF63" w14:textId="542CC473"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purpose of this legislative instrument is to determine the characteristics </w:t>
      </w:r>
      <w:r w:rsidRPr="00C01FD4">
        <w:rPr>
          <w:rFonts w:ascii="Times New Roman" w:eastAsia="Calibri" w:hAnsi="Times New Roman" w:cs="Times New Roman"/>
          <w:kern w:val="0"/>
          <w:sz w:val="24"/>
          <w:szCs w:val="24"/>
          <w14:ligatures w14:val="none"/>
        </w:rPr>
        <w:t xml:space="preserve">of </w:t>
      </w:r>
      <w:r w:rsidR="00F52E0F">
        <w:rPr>
          <w:rFonts w:ascii="Times New Roman" w:eastAsia="Calibri" w:hAnsi="Times New Roman" w:cs="Times New Roman"/>
          <w:kern w:val="0"/>
          <w:sz w:val="24"/>
          <w:szCs w:val="24"/>
          <w14:ligatures w14:val="none"/>
        </w:rPr>
        <w:t>3</w:t>
      </w:r>
      <w:r w:rsidR="00B762B3" w:rsidRPr="00C01FD4">
        <w:rPr>
          <w:rFonts w:ascii="Times New Roman" w:eastAsia="Calibri" w:hAnsi="Times New Roman" w:cs="Times New Roman"/>
          <w:kern w:val="0"/>
          <w:sz w:val="24"/>
          <w:szCs w:val="24"/>
          <w14:ligatures w14:val="none"/>
        </w:rPr>
        <w:t xml:space="preserve"> new non-circulating coins </w:t>
      </w:r>
      <w:r w:rsidRPr="00C01FD4">
        <w:rPr>
          <w:rFonts w:ascii="Times New Roman" w:eastAsia="Calibri" w:hAnsi="Times New Roman" w:cs="Times New Roman"/>
          <w:kern w:val="0"/>
          <w:sz w:val="24"/>
          <w:szCs w:val="24"/>
          <w14:ligatures w14:val="none"/>
        </w:rPr>
        <w:t>proposed</w:t>
      </w:r>
      <w:r w:rsidRPr="0052253B">
        <w:rPr>
          <w:rFonts w:ascii="Times New Roman" w:eastAsia="Calibri" w:hAnsi="Times New Roman" w:cs="Times New Roman"/>
          <w:kern w:val="0"/>
          <w:sz w:val="24"/>
          <w:szCs w:val="24"/>
          <w14:ligatures w14:val="none"/>
        </w:rPr>
        <w:t xml:space="preserve"> to be issued by the </w:t>
      </w:r>
      <w:r w:rsidR="00C01FD4">
        <w:rPr>
          <w:rFonts w:ascii="Times New Roman" w:eastAsia="Calibri" w:hAnsi="Times New Roman" w:cs="Times New Roman"/>
          <w:kern w:val="0"/>
          <w:sz w:val="24"/>
          <w:szCs w:val="24"/>
          <w14:ligatures w14:val="none"/>
        </w:rPr>
        <w:t>Royal Australian Mint.</w:t>
      </w:r>
    </w:p>
    <w:p w14:paraId="578971CB"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b/>
          <w:kern w:val="0"/>
          <w:sz w:val="24"/>
          <w:szCs w:val="24"/>
          <w14:ligatures w14:val="none"/>
        </w:rPr>
        <w:t>Human rights implications</w:t>
      </w:r>
    </w:p>
    <w:p w14:paraId="4EDF67DD"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does not engage any of the applicable rights or freedoms.</w:t>
      </w:r>
    </w:p>
    <w:p w14:paraId="6BA0716F" w14:textId="77777777" w:rsidR="0052253B" w:rsidRPr="0052253B" w:rsidRDefault="0052253B" w:rsidP="0052253B">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Conclusion</w:t>
      </w:r>
    </w:p>
    <w:p w14:paraId="052C9B99"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is compatible with human rights as it does not raise any human rights issues.</w:t>
      </w:r>
    </w:p>
    <w:p w14:paraId="1B5A0231" w14:textId="77777777" w:rsidR="0052253B" w:rsidRPr="0052253B" w:rsidRDefault="0052253B" w:rsidP="0052253B">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br w:type="page"/>
      </w:r>
    </w:p>
    <w:p w14:paraId="6712E1D2" w14:textId="77777777" w:rsidR="0052253B" w:rsidRPr="0052253B" w:rsidRDefault="0052253B" w:rsidP="0052253B">
      <w:pPr>
        <w:pageBreakBefore/>
        <w:spacing w:before="240"/>
        <w:jc w:val="right"/>
        <w:rPr>
          <w:rFonts w:ascii="Times New Roman" w:eastAsia="Calibri" w:hAnsi="Times New Roman" w:cs="Times New Roman"/>
          <w:b/>
          <w:kern w:val="0"/>
          <w:sz w:val="24"/>
          <w:szCs w:val="24"/>
          <w:u w:val="single"/>
          <w14:ligatures w14:val="none"/>
        </w:rPr>
      </w:pPr>
      <w:r w:rsidRPr="0052253B">
        <w:rPr>
          <w:rFonts w:ascii="Times New Roman" w:eastAsia="Calibri" w:hAnsi="Times New Roman" w:cs="Times New Roman"/>
          <w:b/>
          <w:kern w:val="0"/>
          <w:sz w:val="24"/>
          <w:szCs w:val="24"/>
          <w:u w:val="single"/>
          <w14:ligatures w14:val="none"/>
        </w:rPr>
        <w:lastRenderedPageBreak/>
        <w:t>ATTACHMENT</w:t>
      </w:r>
    </w:p>
    <w:p w14:paraId="5A6E3531" w14:textId="2E44375F" w:rsidR="0052253B" w:rsidRPr="0052253B" w:rsidRDefault="0052253B" w:rsidP="0052253B">
      <w:pPr>
        <w:spacing w:before="240"/>
        <w:ind w:right="91"/>
        <w:rPr>
          <w:rFonts w:ascii="Times New Roman" w:eastAsia="Calibri" w:hAnsi="Times New Roman" w:cs="Times New Roman"/>
          <w:b/>
          <w:bCs/>
          <w:kern w:val="0"/>
          <w:sz w:val="24"/>
          <w:szCs w:val="24"/>
          <w:u w:val="single"/>
          <w14:ligatures w14:val="none"/>
        </w:rPr>
      </w:pPr>
      <w:r w:rsidRPr="0052253B">
        <w:rPr>
          <w:rFonts w:ascii="Times New Roman" w:eastAsia="Calibri" w:hAnsi="Times New Roman" w:cs="Times New Roman"/>
          <w:b/>
          <w:bCs/>
          <w:kern w:val="0"/>
          <w:sz w:val="24"/>
          <w:szCs w:val="24"/>
          <w:u w:val="single"/>
          <w14:ligatures w14:val="none"/>
        </w:rPr>
        <w:t xml:space="preserve">Details of the </w:t>
      </w:r>
      <w:r w:rsidRPr="0052253B">
        <w:rPr>
          <w:rFonts w:ascii="Times New Roman" w:eastAsia="Calibri" w:hAnsi="Times New Roman" w:cs="Times New Roman"/>
          <w:b/>
          <w:i/>
          <w:kern w:val="0"/>
          <w:sz w:val="24"/>
          <w:szCs w:val="24"/>
          <w:u w:val="single"/>
          <w14:ligatures w14:val="none"/>
        </w:rPr>
        <w:t xml:space="preserve">Currency (Australian Coins) Amendment (2025 Royal Australian Mint No. </w:t>
      </w:r>
      <w:r w:rsidR="00B762B3">
        <w:rPr>
          <w:rFonts w:ascii="Times New Roman" w:eastAsia="Calibri" w:hAnsi="Times New Roman" w:cs="Times New Roman"/>
          <w:b/>
          <w:i/>
          <w:kern w:val="0"/>
          <w:sz w:val="24"/>
          <w:szCs w:val="24"/>
          <w:u w:val="single"/>
          <w14:ligatures w14:val="none"/>
        </w:rPr>
        <w:t>4</w:t>
      </w:r>
      <w:r w:rsidRPr="0052253B">
        <w:rPr>
          <w:rFonts w:ascii="Times New Roman" w:eastAsia="Calibri" w:hAnsi="Times New Roman" w:cs="Times New Roman"/>
          <w:b/>
          <w:i/>
          <w:kern w:val="0"/>
          <w:sz w:val="24"/>
          <w:szCs w:val="24"/>
          <w:u w:val="single"/>
          <w14:ligatures w14:val="none"/>
        </w:rPr>
        <w:t>) Determination 2025</w:t>
      </w:r>
    </w:p>
    <w:p w14:paraId="50FB74F6" w14:textId="3079B139"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Attachment sets out further details of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B762B3">
        <w:rPr>
          <w:rFonts w:ascii="Times New Roman" w:eastAsia="Calibri" w:hAnsi="Times New Roman" w:cs="Times New Roman"/>
          <w:i/>
          <w:kern w:val="0"/>
          <w:sz w:val="24"/>
          <w:szCs w:val="24"/>
          <w14:ligatures w14:val="none"/>
        </w:rPr>
        <w:t>4</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 xml:space="preserve"> (the Determination).</w:t>
      </w:r>
    </w:p>
    <w:p w14:paraId="59C2EB3D" w14:textId="77777777" w:rsidR="0052253B" w:rsidRPr="0052253B" w:rsidRDefault="0052253B" w:rsidP="0052253B">
      <w:pPr>
        <w:spacing w:before="240"/>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 xml:space="preserve">Section 1 – Name </w:t>
      </w:r>
    </w:p>
    <w:p w14:paraId="25C77640" w14:textId="15C9F018"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name of the Determination is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B762B3">
        <w:rPr>
          <w:rFonts w:ascii="Times New Roman" w:eastAsia="Calibri" w:hAnsi="Times New Roman" w:cs="Times New Roman"/>
          <w:i/>
          <w:kern w:val="0"/>
          <w:sz w:val="24"/>
          <w:szCs w:val="24"/>
          <w14:ligatures w14:val="none"/>
        </w:rPr>
        <w:t>4</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w:t>
      </w:r>
    </w:p>
    <w:p w14:paraId="70104F16" w14:textId="77777777" w:rsidR="0052253B" w:rsidRPr="0052253B" w:rsidRDefault="0052253B" w:rsidP="0052253B">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2 – Commencement</w:t>
      </w:r>
    </w:p>
    <w:p w14:paraId="3CB6F707" w14:textId="77777777"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section prescribes that the Determination commences the day after the Determination is registered.</w:t>
      </w:r>
    </w:p>
    <w:p w14:paraId="522FA115" w14:textId="77777777" w:rsidR="0052253B" w:rsidRPr="0052253B" w:rsidRDefault="0052253B" w:rsidP="0052253B">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3 – Authority</w:t>
      </w:r>
    </w:p>
    <w:p w14:paraId="08437ECB" w14:textId="77777777"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Determination is made under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2063F542" w14:textId="77777777" w:rsidR="0052253B" w:rsidRPr="0052253B" w:rsidRDefault="0052253B" w:rsidP="0052253B">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4 – Schedule</w:t>
      </w:r>
    </w:p>
    <w:p w14:paraId="35C4B1B4" w14:textId="77777777"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each instrument specified in a Schedule to the Determination is amended or repealed as set out in the Schedule. </w:t>
      </w:r>
    </w:p>
    <w:p w14:paraId="55E2203B" w14:textId="77777777" w:rsidR="0052253B" w:rsidRPr="0052253B" w:rsidRDefault="0052253B" w:rsidP="0052253B">
      <w:pPr>
        <w:spacing w:after="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Schedule 1 – Amendments</w:t>
      </w:r>
    </w:p>
    <w:p w14:paraId="5EFB491B" w14:textId="77777777" w:rsidR="0052253B" w:rsidRPr="0052253B" w:rsidRDefault="0052253B" w:rsidP="0052253B">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Schedule 1 amends the </w:t>
      </w:r>
      <w:r w:rsidRPr="0052253B">
        <w:rPr>
          <w:rFonts w:ascii="Times New Roman" w:eastAsia="Calibri" w:hAnsi="Times New Roman" w:cs="Times New Roman"/>
          <w:i/>
          <w:kern w:val="0"/>
          <w:sz w:val="24"/>
          <w:szCs w:val="24"/>
          <w14:ligatures w14:val="none"/>
        </w:rPr>
        <w:t>Currency (Australian Coins) Determination 2019</w:t>
      </w:r>
      <w:r w:rsidRPr="0052253B">
        <w:rPr>
          <w:rFonts w:ascii="Times New Roman" w:eastAsia="Calibri" w:hAnsi="Times New Roman" w:cs="Times New Roman"/>
          <w:kern w:val="0"/>
          <w:sz w:val="24"/>
          <w:szCs w:val="24"/>
          <w14:ligatures w14:val="none"/>
        </w:rPr>
        <w:t xml:space="preserve"> by adding the details of new coin characteristics. The newly determined coin characteristics are set out below.</w:t>
      </w:r>
    </w:p>
    <w:p w14:paraId="343A04F0" w14:textId="0147B7BA" w:rsidR="00060E23" w:rsidRDefault="00060E23"/>
    <w:p w14:paraId="376002BC" w14:textId="77777777" w:rsidR="00060E23" w:rsidRDefault="00060E23">
      <w:r>
        <w:br w:type="page"/>
      </w:r>
    </w:p>
    <w:p w14:paraId="22313F93" w14:textId="0CFCA5F6" w:rsidR="00142782" w:rsidRDefault="00060E23" w:rsidP="00060E23">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w:t>
      </w:r>
      <w:r w:rsidR="00992DBD">
        <w:rPr>
          <w:rFonts w:ascii="Times New Roman" w:eastAsia="Times New Roman" w:hAnsi="Times New Roman" w:cs="Times New Roman"/>
          <w:i/>
          <w:sz w:val="24"/>
          <w:szCs w:val="24"/>
          <w:lang w:eastAsia="en-AU"/>
        </w:rPr>
        <w:t>non-</w:t>
      </w:r>
      <w:r>
        <w:rPr>
          <w:rFonts w:ascii="Times New Roman" w:eastAsia="Times New Roman" w:hAnsi="Times New Roman" w:cs="Times New Roman"/>
          <w:i/>
          <w:sz w:val="24"/>
          <w:szCs w:val="24"/>
          <w:lang w:eastAsia="en-AU"/>
        </w:rPr>
        <w:t xml:space="preserve">circulating coins </w:t>
      </w:r>
    </w:p>
    <w:p w14:paraId="2CA2EC15" w14:textId="5C09D7C1" w:rsidR="0066097B" w:rsidRDefault="0066097B" w:rsidP="0073508A">
      <w:pPr>
        <w:keepNext/>
        <w:keepLines/>
        <w:spacing w:after="0" w:line="240" w:lineRule="auto"/>
        <w:rPr>
          <w:i/>
          <w:iCs/>
        </w:rPr>
      </w:pPr>
    </w:p>
    <w:p w14:paraId="0F5F98AE" w14:textId="42297BE2" w:rsidR="00D73E4F" w:rsidRDefault="00D73E4F" w:rsidP="00D73E4F">
      <w:pPr>
        <w:pStyle w:val="paragraph"/>
        <w:spacing w:before="0" w:beforeAutospacing="0" w:after="0" w:afterAutospacing="0"/>
        <w:textAlignment w:val="baseline"/>
        <w:rPr>
          <w:b/>
          <w:i/>
        </w:rPr>
      </w:pPr>
      <w:bookmarkStart w:id="1" w:name="bkSelection"/>
      <w:bookmarkEnd w:id="1"/>
      <w:r>
        <w:rPr>
          <w:b/>
          <w:i/>
        </w:rPr>
        <w:t>2025 $1 Silver Proof Coin – Bush Capital</w:t>
      </w:r>
    </w:p>
    <w:p w14:paraId="6230E163" w14:textId="7E4B9F92" w:rsidR="00D77583" w:rsidRDefault="00D77583" w:rsidP="00D73E4F">
      <w:pPr>
        <w:pStyle w:val="paragraph"/>
        <w:spacing w:before="0" w:beforeAutospacing="0" w:after="0" w:afterAutospacing="0"/>
        <w:textAlignment w:val="baseline"/>
        <w:rPr>
          <w:b/>
          <w:i/>
        </w:rPr>
      </w:pPr>
      <w:r w:rsidRPr="00D77583">
        <w:rPr>
          <w:b/>
          <w:i/>
        </w:rPr>
        <w:t>2025 $1 Silver Uncirculated Coin – Bush Capital</w:t>
      </w:r>
    </w:p>
    <w:p w14:paraId="022E9396" w14:textId="537778ED" w:rsidR="0047303A" w:rsidRDefault="00D73E4F" w:rsidP="0073508A">
      <w:pPr>
        <w:pStyle w:val="paragraph"/>
        <w:spacing w:after="0" w:afterAutospacing="0"/>
        <w:textAlignment w:val="baseline"/>
        <w:rPr>
          <w:bCs/>
          <w:iCs/>
        </w:rPr>
      </w:pPr>
      <w:r w:rsidRPr="006C6054">
        <w:rPr>
          <w:bCs/>
          <w:iCs/>
        </w:rPr>
        <w:t>The design on the 2025 $1 silver coin</w:t>
      </w:r>
      <w:r w:rsidR="00E95583">
        <w:rPr>
          <w:bCs/>
          <w:iCs/>
        </w:rPr>
        <w:t>s</w:t>
      </w:r>
      <w:r w:rsidRPr="006C6054">
        <w:rPr>
          <w:bCs/>
          <w:iCs/>
        </w:rPr>
        <w:t xml:space="preserve"> – Bush Capital consists of</w:t>
      </w:r>
      <w:r w:rsidR="00EA063F">
        <w:rPr>
          <w:bCs/>
          <w:iCs/>
        </w:rPr>
        <w:t>, in the background,</w:t>
      </w:r>
      <w:r w:rsidRPr="006C6054">
        <w:rPr>
          <w:bCs/>
          <w:iCs/>
        </w:rPr>
        <w:t xml:space="preserve"> </w:t>
      </w:r>
      <w:r w:rsidR="00024910">
        <w:rPr>
          <w:bCs/>
          <w:iCs/>
        </w:rPr>
        <w:t>the following</w:t>
      </w:r>
      <w:r w:rsidR="0047303A">
        <w:rPr>
          <w:bCs/>
          <w:iCs/>
        </w:rPr>
        <w:t xml:space="preserve"> </w:t>
      </w:r>
      <w:r w:rsidRPr="006C6054">
        <w:rPr>
          <w:bCs/>
          <w:iCs/>
        </w:rPr>
        <w:t>stylised sights from the city of Canberra, Australian Capital Territory</w:t>
      </w:r>
      <w:r w:rsidR="00AB70C9">
        <w:rPr>
          <w:bCs/>
          <w:iCs/>
        </w:rPr>
        <w:t>:</w:t>
      </w:r>
      <w:r w:rsidRPr="006C6054">
        <w:rPr>
          <w:bCs/>
          <w:iCs/>
        </w:rPr>
        <w:t xml:space="preserve"> </w:t>
      </w:r>
    </w:p>
    <w:p w14:paraId="271FFE6F" w14:textId="2966FC88" w:rsidR="009806FD" w:rsidRDefault="00D73E4F" w:rsidP="0073508A">
      <w:pPr>
        <w:pStyle w:val="paragraph"/>
        <w:numPr>
          <w:ilvl w:val="0"/>
          <w:numId w:val="2"/>
        </w:numPr>
        <w:spacing w:before="0" w:beforeAutospacing="0" w:after="0" w:afterAutospacing="0"/>
        <w:textAlignment w:val="baseline"/>
        <w:rPr>
          <w:bCs/>
          <w:iCs/>
        </w:rPr>
      </w:pPr>
      <w:r w:rsidRPr="00867E9A">
        <w:rPr>
          <w:bCs/>
          <w:iCs/>
        </w:rPr>
        <w:t xml:space="preserve">Parliament House, with </w:t>
      </w:r>
      <w:r w:rsidR="007C335B">
        <w:rPr>
          <w:bCs/>
          <w:iCs/>
        </w:rPr>
        <w:t>five</w:t>
      </w:r>
      <w:r w:rsidRPr="00867E9A">
        <w:rPr>
          <w:bCs/>
          <w:iCs/>
        </w:rPr>
        <w:t xml:space="preserve"> hot air balloons floating above</w:t>
      </w:r>
      <w:r w:rsidR="009806FD">
        <w:rPr>
          <w:bCs/>
          <w:iCs/>
        </w:rPr>
        <w:t>; and</w:t>
      </w:r>
    </w:p>
    <w:p w14:paraId="1A4C43A3" w14:textId="71823CB0" w:rsidR="009806FD" w:rsidRDefault="00D73E4F" w:rsidP="0073508A">
      <w:pPr>
        <w:pStyle w:val="paragraph"/>
        <w:numPr>
          <w:ilvl w:val="0"/>
          <w:numId w:val="2"/>
        </w:numPr>
        <w:spacing w:before="0" w:beforeAutospacing="0" w:after="0" w:afterAutospacing="0"/>
        <w:textAlignment w:val="baseline"/>
        <w:rPr>
          <w:bCs/>
          <w:iCs/>
        </w:rPr>
      </w:pPr>
      <w:r w:rsidRPr="00867E9A">
        <w:rPr>
          <w:bCs/>
          <w:iCs/>
        </w:rPr>
        <w:t xml:space="preserve">Black Mountain Tower </w:t>
      </w:r>
      <w:r w:rsidR="00AB70C9" w:rsidRPr="00867E9A">
        <w:rPr>
          <w:bCs/>
          <w:iCs/>
        </w:rPr>
        <w:t xml:space="preserve">in front of </w:t>
      </w:r>
      <w:r w:rsidRPr="00867E9A">
        <w:rPr>
          <w:bCs/>
          <w:iCs/>
        </w:rPr>
        <w:t>bushland</w:t>
      </w:r>
      <w:r w:rsidR="00F02464">
        <w:rPr>
          <w:bCs/>
          <w:iCs/>
        </w:rPr>
        <w:t>;</w:t>
      </w:r>
      <w:r w:rsidRPr="00867E9A">
        <w:rPr>
          <w:bCs/>
          <w:iCs/>
        </w:rPr>
        <w:t xml:space="preserve"> and</w:t>
      </w:r>
    </w:p>
    <w:p w14:paraId="0C7F25D5" w14:textId="57A3900D" w:rsidR="009806FD" w:rsidRDefault="00D73E4F" w:rsidP="0073508A">
      <w:pPr>
        <w:pStyle w:val="paragraph"/>
        <w:numPr>
          <w:ilvl w:val="0"/>
          <w:numId w:val="2"/>
        </w:numPr>
        <w:spacing w:before="0" w:beforeAutospacing="0" w:after="0" w:afterAutospacing="0"/>
        <w:textAlignment w:val="baseline"/>
        <w:rPr>
          <w:bCs/>
          <w:iCs/>
        </w:rPr>
      </w:pPr>
      <w:r w:rsidRPr="00867E9A">
        <w:rPr>
          <w:bCs/>
          <w:iCs/>
        </w:rPr>
        <w:t xml:space="preserve">a </w:t>
      </w:r>
      <w:r w:rsidR="008A49CF">
        <w:rPr>
          <w:bCs/>
          <w:iCs/>
        </w:rPr>
        <w:t>side</w:t>
      </w:r>
      <w:r w:rsidR="008A49CF" w:rsidRPr="00867E9A">
        <w:rPr>
          <w:bCs/>
          <w:iCs/>
        </w:rPr>
        <w:t xml:space="preserve"> </w:t>
      </w:r>
      <w:r w:rsidRPr="00867E9A">
        <w:rPr>
          <w:bCs/>
          <w:iCs/>
        </w:rPr>
        <w:t>view of the Royal Australian Mint Building, above additional bushland.</w:t>
      </w:r>
    </w:p>
    <w:p w14:paraId="00F636F4" w14:textId="7F0C96FD" w:rsidR="006C6054" w:rsidRPr="00867E9A" w:rsidRDefault="00D73E4F" w:rsidP="0073508A">
      <w:pPr>
        <w:pStyle w:val="paragraph"/>
        <w:spacing w:before="0" w:beforeAutospacing="0"/>
        <w:textAlignment w:val="baseline"/>
        <w:rPr>
          <w:bCs/>
          <w:iCs/>
        </w:rPr>
      </w:pPr>
      <w:r w:rsidRPr="00867E9A">
        <w:rPr>
          <w:bCs/>
          <w:iCs/>
        </w:rPr>
        <w:t>In the foreground</w:t>
      </w:r>
      <w:r w:rsidR="00DE67CB">
        <w:rPr>
          <w:bCs/>
          <w:iCs/>
        </w:rPr>
        <w:t>, there</w:t>
      </w:r>
      <w:r w:rsidRPr="00867E9A">
        <w:rPr>
          <w:bCs/>
          <w:iCs/>
        </w:rPr>
        <w:t xml:space="preserve"> is a representation of a bounding kangaroo</w:t>
      </w:r>
      <w:r w:rsidR="00391BAF">
        <w:rPr>
          <w:bCs/>
          <w:iCs/>
        </w:rPr>
        <w:t>.</w:t>
      </w:r>
      <w:r w:rsidR="006C6054" w:rsidRPr="00867E9A">
        <w:rPr>
          <w:bCs/>
          <w:iCs/>
        </w:rPr>
        <w:t xml:space="preserve"> The design includes the following inscriptions: </w:t>
      </w:r>
      <w:r w:rsidR="00521599" w:rsidRPr="00867E9A">
        <w:rPr>
          <w:bCs/>
          <w:iCs/>
        </w:rPr>
        <w:t>Arabic numerals for the amount, in dollars or cents, of the denomination of the coin, followed by “DOLLAR”, “DOLLARS” or “CENTS” as the case requires; “</w:t>
      </w:r>
      <w:proofErr w:type="spellStart"/>
      <w:r w:rsidR="00521599" w:rsidRPr="00867E9A">
        <w:rPr>
          <w:bCs/>
          <w:iCs/>
        </w:rPr>
        <w:t>Xoz</w:t>
      </w:r>
      <w:proofErr w:type="spellEnd"/>
      <w:r w:rsidR="00521599" w:rsidRPr="00867E9A">
        <w:rPr>
          <w:bCs/>
          <w:iCs/>
        </w:rPr>
        <w:t xml:space="preserve"> .999 Ag” (where “X” is the nominal weight in ounces of the coin, expressed as a whole number or a common fraction in Arabic numerals)</w:t>
      </w:r>
      <w:r w:rsidR="003A403D">
        <w:rPr>
          <w:bCs/>
          <w:iCs/>
        </w:rPr>
        <w:t xml:space="preserve">; and “BS” </w:t>
      </w:r>
      <w:r w:rsidR="00FA0240">
        <w:rPr>
          <w:bCs/>
          <w:iCs/>
        </w:rPr>
        <w:t>(</w:t>
      </w:r>
      <w:r w:rsidR="003A403D">
        <w:rPr>
          <w:bCs/>
          <w:iCs/>
        </w:rPr>
        <w:t>being the initials</w:t>
      </w:r>
      <w:r w:rsidR="006C6054" w:rsidRPr="00867E9A">
        <w:rPr>
          <w:bCs/>
          <w:iCs/>
        </w:rPr>
        <w:t xml:space="preserve"> of the designer Bronwyn Scott</w:t>
      </w:r>
      <w:r w:rsidR="00FA0240">
        <w:rPr>
          <w:bCs/>
          <w:iCs/>
        </w:rPr>
        <w:t>)</w:t>
      </w:r>
      <w:r w:rsidR="006C6054" w:rsidRPr="00867E9A">
        <w:rPr>
          <w:bCs/>
          <w:iCs/>
        </w:rPr>
        <w:t>.</w:t>
      </w:r>
    </w:p>
    <w:p w14:paraId="40D6A72E" w14:textId="4FAAA49C" w:rsidR="006C6054" w:rsidRPr="006C6054" w:rsidRDefault="006C6054" w:rsidP="006C6054">
      <w:pPr>
        <w:pStyle w:val="paragraph"/>
        <w:textAlignment w:val="baseline"/>
      </w:pPr>
      <w:r w:rsidRPr="006C6054">
        <w:t>Consistent with the tradition of an effigy of the reigning monarch appearing on the obverse side of all Australian legal tender coinage, an effigy of His Majesty King Charles III will appear on the obverse side of the coin</w:t>
      </w:r>
      <w:r w:rsidR="002C294F">
        <w:t>s</w:t>
      </w:r>
      <w:r w:rsidRPr="006C6054">
        <w:t xml:space="preserve"> together with the inscriptions “CHARLES III”, “AUSTRALIA”,</w:t>
      </w:r>
      <w:r w:rsidR="00FA75D6">
        <w:t xml:space="preserve"> and</w:t>
      </w:r>
      <w:r w:rsidRPr="006C6054">
        <w:t xml:space="preserve"> the inscription, in numerals, of a year</w:t>
      </w:r>
      <w:r w:rsidR="002C294F">
        <w:t>.</w:t>
      </w:r>
      <w:r w:rsidRPr="006C6054">
        <w:t xml:space="preserve"> The obverse design includes the initials of the designer Dan Thorne “DT”.</w:t>
      </w:r>
    </w:p>
    <w:p w14:paraId="4956DE0B" w14:textId="0C3C996A" w:rsidR="00060E23" w:rsidRDefault="007F06B3" w:rsidP="006C6054">
      <w:pPr>
        <w:pStyle w:val="paragraph"/>
        <w:spacing w:before="0" w:beforeAutospacing="0" w:after="0" w:afterAutospacing="0"/>
        <w:textAlignment w:val="baseline"/>
        <w:rPr>
          <w:b/>
          <w:bCs/>
          <w:i/>
          <w:iCs/>
        </w:rPr>
      </w:pPr>
      <w:r>
        <w:rPr>
          <w:b/>
          <w:bCs/>
          <w:i/>
          <w:iCs/>
        </w:rPr>
        <w:t>2025 50c Coloured Silver Proof Coin – Christmas 2025 Festive Floral</w:t>
      </w:r>
      <w:r w:rsidR="00A33A38">
        <w:rPr>
          <w:b/>
          <w:bCs/>
          <w:i/>
          <w:iCs/>
        </w:rPr>
        <w:br/>
      </w:r>
      <w:r w:rsidR="00A33A38" w:rsidRPr="00A33A38">
        <w:rPr>
          <w:b/>
          <w:bCs/>
          <w:i/>
          <w:iCs/>
        </w:rPr>
        <w:t>2025 50c Coloured Uncirculated Coin – Christmas 2025 Festive Floral</w:t>
      </w:r>
    </w:p>
    <w:p w14:paraId="1C24A1DA" w14:textId="77777777" w:rsidR="007F06B3" w:rsidRDefault="007F06B3" w:rsidP="006C6054">
      <w:pPr>
        <w:pStyle w:val="paragraph"/>
        <w:spacing w:before="0" w:beforeAutospacing="0" w:after="0" w:afterAutospacing="0"/>
        <w:textAlignment w:val="baseline"/>
        <w:rPr>
          <w:b/>
          <w:bCs/>
          <w:i/>
          <w:iCs/>
        </w:rPr>
      </w:pPr>
    </w:p>
    <w:p w14:paraId="58935BAD" w14:textId="4DAA7CB3" w:rsidR="00A33A38" w:rsidRDefault="007F06B3" w:rsidP="00CF2385">
      <w:pPr>
        <w:pStyle w:val="paragraph"/>
        <w:spacing w:before="0" w:beforeAutospacing="0" w:after="0" w:afterAutospacing="0"/>
        <w:textAlignment w:val="baseline"/>
      </w:pPr>
      <w:r>
        <w:t xml:space="preserve">The design on the 2025 50c </w:t>
      </w:r>
      <w:r w:rsidR="00FF4A1D">
        <w:t>c</w:t>
      </w:r>
      <w:r>
        <w:t xml:space="preserve">oloured </w:t>
      </w:r>
      <w:r w:rsidR="00FF4A1D">
        <w:t>s</w:t>
      </w:r>
      <w:r>
        <w:t xml:space="preserve">ilver </w:t>
      </w:r>
      <w:r w:rsidR="00FF4A1D">
        <w:t>p</w:t>
      </w:r>
      <w:r>
        <w:t>roof</w:t>
      </w:r>
      <w:r w:rsidR="00D823D2">
        <w:t xml:space="preserve"> and </w:t>
      </w:r>
      <w:r w:rsidR="00FF4A1D">
        <w:t>u</w:t>
      </w:r>
      <w:r w:rsidR="00D823D2">
        <w:t>ncirculated</w:t>
      </w:r>
      <w:r>
        <w:t xml:space="preserve"> </w:t>
      </w:r>
      <w:r w:rsidR="00FF4A1D">
        <w:t>c</w:t>
      </w:r>
      <w:r>
        <w:t>oin</w:t>
      </w:r>
      <w:r w:rsidR="00FF4A1D">
        <w:t>s</w:t>
      </w:r>
      <w:r>
        <w:t xml:space="preserve"> – Christmas 2025</w:t>
      </w:r>
      <w:r w:rsidR="00C245E6">
        <w:t xml:space="preserve"> Festive Floral</w:t>
      </w:r>
      <w:r>
        <w:t xml:space="preserve"> </w:t>
      </w:r>
      <w:r w:rsidR="00395904">
        <w:t>is</w:t>
      </w:r>
      <w:r w:rsidR="008C2A01">
        <w:t xml:space="preserve"> </w:t>
      </w:r>
      <w:r w:rsidR="00DE0ECA" w:rsidRPr="00DE0ECA">
        <w:t>inspired by the Christmas orchid (</w:t>
      </w:r>
      <w:r w:rsidR="00DE0ECA" w:rsidRPr="00DE0ECA">
        <w:rPr>
          <w:i/>
          <w:iCs/>
        </w:rPr>
        <w:t xml:space="preserve">Calanthe </w:t>
      </w:r>
      <w:proofErr w:type="spellStart"/>
      <w:r w:rsidR="00DE0ECA" w:rsidRPr="00DE0ECA">
        <w:rPr>
          <w:i/>
          <w:iCs/>
        </w:rPr>
        <w:t>triplicata</w:t>
      </w:r>
      <w:proofErr w:type="spellEnd"/>
      <w:r w:rsidR="00DE0ECA" w:rsidRPr="00DE0ECA">
        <w:t>)</w:t>
      </w:r>
      <w:r w:rsidR="00C5769C">
        <w:t xml:space="preserve"> and</w:t>
      </w:r>
      <w:r w:rsidR="00395904">
        <w:t xml:space="preserve"> is</w:t>
      </w:r>
      <w:r w:rsidR="00C5769C">
        <w:t xml:space="preserve"> in a symmetrical pattern</w:t>
      </w:r>
      <w:r w:rsidR="008C2A01">
        <w:t xml:space="preserve">. </w:t>
      </w:r>
      <w:r w:rsidR="00395904">
        <w:t>The design consists of</w:t>
      </w:r>
      <w:r w:rsidR="001D18F1">
        <w:t>, at the top of the coin, a</w:t>
      </w:r>
      <w:r w:rsidR="00DE0ECA" w:rsidRPr="00DE0ECA">
        <w:t>n ornamental border</w:t>
      </w:r>
      <w:r w:rsidR="00442EA1" w:rsidRPr="00DE0ECA">
        <w:t xml:space="preserve"> </w:t>
      </w:r>
      <w:r w:rsidR="001D18F1">
        <w:t>enclosing</w:t>
      </w:r>
      <w:r w:rsidR="00DE0ECA" w:rsidRPr="00DE0ECA">
        <w:t xml:space="preserve"> “2025”</w:t>
      </w:r>
      <w:r w:rsidR="00A80C70">
        <w:t xml:space="preserve">. In the centre of the coin </w:t>
      </w:r>
      <w:r w:rsidR="008C2A01">
        <w:t>is</w:t>
      </w:r>
      <w:r w:rsidR="00DE0ECA" w:rsidRPr="00DE0ECA">
        <w:t xml:space="preserve"> a stylised representation of a purple-coloured bauble with shaded decorative patterns and a shaded border hanging from the ornamental border</w:t>
      </w:r>
      <w:r w:rsidR="00442EA1">
        <w:t>. I</w:t>
      </w:r>
      <w:r w:rsidR="00DE0ECA" w:rsidRPr="00DE0ECA">
        <w:t xml:space="preserve">n the foreground, and partially obscuring the bauble, </w:t>
      </w:r>
      <w:r w:rsidR="00442EA1">
        <w:t xml:space="preserve">is </w:t>
      </w:r>
      <w:r w:rsidR="00DE0ECA" w:rsidRPr="00DE0ECA">
        <w:t>a coloured stylised representation of an orchid, viewed from above</w:t>
      </w:r>
      <w:r w:rsidR="009A4F85">
        <w:t>. Surrounding the bauble and orchid is</w:t>
      </w:r>
      <w:r w:rsidR="00062847">
        <w:t xml:space="preserve"> </w:t>
      </w:r>
      <w:r w:rsidR="00DE0ECA" w:rsidRPr="00DE0ECA">
        <w:t xml:space="preserve">a stylised representation of an orchid at different stages of growth, from bud to full bloom, with </w:t>
      </w:r>
      <w:r w:rsidR="000565C7" w:rsidRPr="00DE0ECA">
        <w:t>foliage</w:t>
      </w:r>
      <w:r w:rsidR="00775FC3">
        <w:t xml:space="preserve">. </w:t>
      </w:r>
      <w:r w:rsidR="00A70878">
        <w:t xml:space="preserve">The design </w:t>
      </w:r>
      <w:r w:rsidR="001C0E5A">
        <w:t xml:space="preserve">also includes </w:t>
      </w:r>
      <w:r w:rsidR="00E51864">
        <w:t xml:space="preserve">the </w:t>
      </w:r>
      <w:r w:rsidR="003127CA">
        <w:t>initials</w:t>
      </w:r>
      <w:r w:rsidR="00E51864">
        <w:t xml:space="preserve"> </w:t>
      </w:r>
      <w:r w:rsidR="003864FB">
        <w:t xml:space="preserve">of </w:t>
      </w:r>
      <w:r w:rsidR="002C294F">
        <w:t xml:space="preserve">the designer Lydia Ashe </w:t>
      </w:r>
      <w:r w:rsidR="004E1804">
        <w:t>“LA</w:t>
      </w:r>
      <w:r w:rsidR="002C294F">
        <w:t>”.</w:t>
      </w:r>
    </w:p>
    <w:p w14:paraId="7503ECC9" w14:textId="77777777" w:rsidR="00A33A38" w:rsidRDefault="00A33A38" w:rsidP="00A33A38">
      <w:pPr>
        <w:pStyle w:val="paragraph"/>
        <w:spacing w:before="0" w:beforeAutospacing="0" w:after="0" w:afterAutospacing="0"/>
        <w:textAlignment w:val="baseline"/>
      </w:pPr>
    </w:p>
    <w:p w14:paraId="55075E54" w14:textId="3E317D54" w:rsidR="003C7FF5" w:rsidRPr="003C7FF5" w:rsidRDefault="00A33A38" w:rsidP="00D75294">
      <w:pPr>
        <w:pStyle w:val="paragraph"/>
        <w:spacing w:before="0" w:beforeAutospacing="0" w:after="0" w:afterAutospacing="0"/>
        <w:textAlignment w:val="baseline"/>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Pr>
          <w:bCs/>
          <w:iCs/>
        </w:rPr>
        <w:t xml:space="preserve">s </w:t>
      </w:r>
      <w:r w:rsidRPr="00194AB1">
        <w:rPr>
          <w:bCs/>
          <w:iCs/>
        </w:rPr>
        <w:t>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sectPr w:rsidR="003C7FF5" w:rsidRPr="003C7F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4A9" w14:textId="77777777" w:rsidR="00A239D4" w:rsidRDefault="00A239D4" w:rsidP="00551B00">
      <w:pPr>
        <w:spacing w:after="0" w:line="240" w:lineRule="auto"/>
      </w:pPr>
      <w:r>
        <w:separator/>
      </w:r>
    </w:p>
  </w:endnote>
  <w:endnote w:type="continuationSeparator" w:id="0">
    <w:p w14:paraId="479F67C2" w14:textId="77777777" w:rsidR="00A239D4" w:rsidRDefault="00A239D4" w:rsidP="00551B00">
      <w:pPr>
        <w:spacing w:after="0" w:line="240" w:lineRule="auto"/>
      </w:pPr>
      <w:r>
        <w:continuationSeparator/>
      </w:r>
    </w:p>
  </w:endnote>
  <w:endnote w:type="continuationNotice" w:id="1">
    <w:p w14:paraId="7491C6FC" w14:textId="77777777" w:rsidR="00A239D4" w:rsidRDefault="00A23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1323" w14:textId="53513B6B" w:rsidR="00551B00" w:rsidRDefault="0055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A053" w14:textId="0B031D23" w:rsidR="00551B00" w:rsidRDefault="00551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2118" w14:textId="51F76268" w:rsidR="00551B00" w:rsidRDefault="0055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8E9E" w14:textId="77777777" w:rsidR="00A239D4" w:rsidRDefault="00A239D4" w:rsidP="00551B00">
      <w:pPr>
        <w:spacing w:after="0" w:line="240" w:lineRule="auto"/>
      </w:pPr>
      <w:r>
        <w:separator/>
      </w:r>
    </w:p>
  </w:footnote>
  <w:footnote w:type="continuationSeparator" w:id="0">
    <w:p w14:paraId="3251AF76" w14:textId="77777777" w:rsidR="00A239D4" w:rsidRDefault="00A239D4" w:rsidP="00551B00">
      <w:pPr>
        <w:spacing w:after="0" w:line="240" w:lineRule="auto"/>
      </w:pPr>
      <w:r>
        <w:continuationSeparator/>
      </w:r>
    </w:p>
  </w:footnote>
  <w:footnote w:type="continuationNotice" w:id="1">
    <w:p w14:paraId="5B32A98D" w14:textId="77777777" w:rsidR="00A239D4" w:rsidRDefault="00A23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4665" w14:textId="2DE62ACE" w:rsidR="00551B00" w:rsidRDefault="0055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4027" w14:textId="4B5EEB70" w:rsidR="00551B00" w:rsidRDefault="00551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04BB" w14:textId="326D1FD5" w:rsidR="00551B00" w:rsidRDefault="00551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730FA"/>
    <w:multiLevelType w:val="hybridMultilevel"/>
    <w:tmpl w:val="C14AB19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73A33F2"/>
    <w:multiLevelType w:val="hybridMultilevel"/>
    <w:tmpl w:val="2E70DD3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55115270">
    <w:abstractNumId w:val="0"/>
  </w:num>
  <w:num w:numId="2" w16cid:durableId="178468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B"/>
    <w:rsid w:val="00000D12"/>
    <w:rsid w:val="00011CB2"/>
    <w:rsid w:val="00022806"/>
    <w:rsid w:val="00024910"/>
    <w:rsid w:val="0002794E"/>
    <w:rsid w:val="00036FED"/>
    <w:rsid w:val="000565C7"/>
    <w:rsid w:val="00060E23"/>
    <w:rsid w:val="00062847"/>
    <w:rsid w:val="00064CF2"/>
    <w:rsid w:val="00067775"/>
    <w:rsid w:val="00087A53"/>
    <w:rsid w:val="000922FC"/>
    <w:rsid w:val="00092394"/>
    <w:rsid w:val="000B2A64"/>
    <w:rsid w:val="000B6344"/>
    <w:rsid w:val="000C3355"/>
    <w:rsid w:val="000C7FC3"/>
    <w:rsid w:val="000D4019"/>
    <w:rsid w:val="000E327A"/>
    <w:rsid w:val="000E4C8E"/>
    <w:rsid w:val="000E62B3"/>
    <w:rsid w:val="000E761D"/>
    <w:rsid w:val="001036E2"/>
    <w:rsid w:val="00104666"/>
    <w:rsid w:val="00112D62"/>
    <w:rsid w:val="0011623D"/>
    <w:rsid w:val="001169F4"/>
    <w:rsid w:val="00135FFF"/>
    <w:rsid w:val="00142782"/>
    <w:rsid w:val="00143329"/>
    <w:rsid w:val="00145B0A"/>
    <w:rsid w:val="00151AC1"/>
    <w:rsid w:val="001535A4"/>
    <w:rsid w:val="00173912"/>
    <w:rsid w:val="00181475"/>
    <w:rsid w:val="00187E4D"/>
    <w:rsid w:val="001928DD"/>
    <w:rsid w:val="001A5A49"/>
    <w:rsid w:val="001A7F96"/>
    <w:rsid w:val="001B1ECD"/>
    <w:rsid w:val="001C0E5A"/>
    <w:rsid w:val="001C347D"/>
    <w:rsid w:val="001D18F1"/>
    <w:rsid w:val="001D7392"/>
    <w:rsid w:val="001E7CCD"/>
    <w:rsid w:val="001F242F"/>
    <w:rsid w:val="001F5F76"/>
    <w:rsid w:val="001F7D73"/>
    <w:rsid w:val="00202567"/>
    <w:rsid w:val="00224F6D"/>
    <w:rsid w:val="00225851"/>
    <w:rsid w:val="0023378E"/>
    <w:rsid w:val="002426B2"/>
    <w:rsid w:val="002466DA"/>
    <w:rsid w:val="00252151"/>
    <w:rsid w:val="00253588"/>
    <w:rsid w:val="0026044D"/>
    <w:rsid w:val="00264D17"/>
    <w:rsid w:val="002801EF"/>
    <w:rsid w:val="002813E8"/>
    <w:rsid w:val="00282BE7"/>
    <w:rsid w:val="00291C62"/>
    <w:rsid w:val="002B15CB"/>
    <w:rsid w:val="002B523F"/>
    <w:rsid w:val="002C294F"/>
    <w:rsid w:val="002F17EB"/>
    <w:rsid w:val="002F50F2"/>
    <w:rsid w:val="003127CA"/>
    <w:rsid w:val="003411DC"/>
    <w:rsid w:val="00341811"/>
    <w:rsid w:val="00345B9F"/>
    <w:rsid w:val="00354369"/>
    <w:rsid w:val="003614DB"/>
    <w:rsid w:val="00375461"/>
    <w:rsid w:val="0038126F"/>
    <w:rsid w:val="003864FB"/>
    <w:rsid w:val="00387F01"/>
    <w:rsid w:val="00391BAF"/>
    <w:rsid w:val="00395904"/>
    <w:rsid w:val="003A403D"/>
    <w:rsid w:val="003A5752"/>
    <w:rsid w:val="003B73C6"/>
    <w:rsid w:val="003C3152"/>
    <w:rsid w:val="003C38BB"/>
    <w:rsid w:val="003C3D4A"/>
    <w:rsid w:val="003C5C43"/>
    <w:rsid w:val="003C7FF5"/>
    <w:rsid w:val="003E01AD"/>
    <w:rsid w:val="00407663"/>
    <w:rsid w:val="0042565F"/>
    <w:rsid w:val="0043468B"/>
    <w:rsid w:val="00436A91"/>
    <w:rsid w:val="00441ACC"/>
    <w:rsid w:val="00442EA1"/>
    <w:rsid w:val="00455CA7"/>
    <w:rsid w:val="004619CE"/>
    <w:rsid w:val="0047303A"/>
    <w:rsid w:val="00473574"/>
    <w:rsid w:val="004B0769"/>
    <w:rsid w:val="004B2981"/>
    <w:rsid w:val="004B5585"/>
    <w:rsid w:val="004C782F"/>
    <w:rsid w:val="004D2F00"/>
    <w:rsid w:val="004E1804"/>
    <w:rsid w:val="004F3FF4"/>
    <w:rsid w:val="00507B0F"/>
    <w:rsid w:val="00507D59"/>
    <w:rsid w:val="00512CE5"/>
    <w:rsid w:val="00512EB1"/>
    <w:rsid w:val="00516901"/>
    <w:rsid w:val="00521599"/>
    <w:rsid w:val="0052253B"/>
    <w:rsid w:val="00527725"/>
    <w:rsid w:val="00551B00"/>
    <w:rsid w:val="00554D81"/>
    <w:rsid w:val="00557962"/>
    <w:rsid w:val="00563379"/>
    <w:rsid w:val="00576274"/>
    <w:rsid w:val="0057734C"/>
    <w:rsid w:val="0059531F"/>
    <w:rsid w:val="005A7EBC"/>
    <w:rsid w:val="005B21F0"/>
    <w:rsid w:val="005B3E33"/>
    <w:rsid w:val="005C6A56"/>
    <w:rsid w:val="005D4FAD"/>
    <w:rsid w:val="005F3300"/>
    <w:rsid w:val="005F7796"/>
    <w:rsid w:val="005F77F9"/>
    <w:rsid w:val="00627E4E"/>
    <w:rsid w:val="00637894"/>
    <w:rsid w:val="00637E46"/>
    <w:rsid w:val="00651E58"/>
    <w:rsid w:val="0065637A"/>
    <w:rsid w:val="006575FB"/>
    <w:rsid w:val="006604F1"/>
    <w:rsid w:val="00660856"/>
    <w:rsid w:val="0066097B"/>
    <w:rsid w:val="00670853"/>
    <w:rsid w:val="00680712"/>
    <w:rsid w:val="00685CDE"/>
    <w:rsid w:val="0069144D"/>
    <w:rsid w:val="006A3155"/>
    <w:rsid w:val="006A4D63"/>
    <w:rsid w:val="006A5EE8"/>
    <w:rsid w:val="006A6956"/>
    <w:rsid w:val="006B5331"/>
    <w:rsid w:val="006C6054"/>
    <w:rsid w:val="006D0AAE"/>
    <w:rsid w:val="006E3DD7"/>
    <w:rsid w:val="0071093F"/>
    <w:rsid w:val="0071766B"/>
    <w:rsid w:val="0072073F"/>
    <w:rsid w:val="0073508A"/>
    <w:rsid w:val="00735A94"/>
    <w:rsid w:val="0076116B"/>
    <w:rsid w:val="00773DD8"/>
    <w:rsid w:val="00775FC3"/>
    <w:rsid w:val="00784A4A"/>
    <w:rsid w:val="00790E65"/>
    <w:rsid w:val="007C080C"/>
    <w:rsid w:val="007C2B18"/>
    <w:rsid w:val="007C335B"/>
    <w:rsid w:val="007D30BA"/>
    <w:rsid w:val="007D6194"/>
    <w:rsid w:val="007F06B3"/>
    <w:rsid w:val="007F1DF8"/>
    <w:rsid w:val="0080104F"/>
    <w:rsid w:val="00813A2B"/>
    <w:rsid w:val="008155E0"/>
    <w:rsid w:val="008167E4"/>
    <w:rsid w:val="008207AF"/>
    <w:rsid w:val="0082542C"/>
    <w:rsid w:val="00844B6C"/>
    <w:rsid w:val="00847616"/>
    <w:rsid w:val="00850594"/>
    <w:rsid w:val="00854DAA"/>
    <w:rsid w:val="008557E5"/>
    <w:rsid w:val="0086233F"/>
    <w:rsid w:val="00865068"/>
    <w:rsid w:val="00867E9A"/>
    <w:rsid w:val="00870232"/>
    <w:rsid w:val="008854B5"/>
    <w:rsid w:val="00885AFE"/>
    <w:rsid w:val="00893619"/>
    <w:rsid w:val="008A49CF"/>
    <w:rsid w:val="008B7E1A"/>
    <w:rsid w:val="008C19E7"/>
    <w:rsid w:val="008C2A01"/>
    <w:rsid w:val="008C30F2"/>
    <w:rsid w:val="008C619A"/>
    <w:rsid w:val="008E136C"/>
    <w:rsid w:val="008F682C"/>
    <w:rsid w:val="00925EE0"/>
    <w:rsid w:val="00936B51"/>
    <w:rsid w:val="00946A5D"/>
    <w:rsid w:val="00955049"/>
    <w:rsid w:val="00955DD7"/>
    <w:rsid w:val="0096049A"/>
    <w:rsid w:val="00961C1D"/>
    <w:rsid w:val="00970BB7"/>
    <w:rsid w:val="009775FA"/>
    <w:rsid w:val="009806FD"/>
    <w:rsid w:val="009815B8"/>
    <w:rsid w:val="00991298"/>
    <w:rsid w:val="00992DBD"/>
    <w:rsid w:val="009967FB"/>
    <w:rsid w:val="009A4F85"/>
    <w:rsid w:val="009C6464"/>
    <w:rsid w:val="009E3BDA"/>
    <w:rsid w:val="009E5B3D"/>
    <w:rsid w:val="009F3431"/>
    <w:rsid w:val="00A0252D"/>
    <w:rsid w:val="00A04E9E"/>
    <w:rsid w:val="00A239D4"/>
    <w:rsid w:val="00A26943"/>
    <w:rsid w:val="00A30B9B"/>
    <w:rsid w:val="00A33320"/>
    <w:rsid w:val="00A33A38"/>
    <w:rsid w:val="00A60183"/>
    <w:rsid w:val="00A644C5"/>
    <w:rsid w:val="00A6557F"/>
    <w:rsid w:val="00A70878"/>
    <w:rsid w:val="00A807E8"/>
    <w:rsid w:val="00A80C70"/>
    <w:rsid w:val="00A82CE7"/>
    <w:rsid w:val="00A8389A"/>
    <w:rsid w:val="00A87FE3"/>
    <w:rsid w:val="00A94C9B"/>
    <w:rsid w:val="00A979CF"/>
    <w:rsid w:val="00A97A66"/>
    <w:rsid w:val="00AA2B8C"/>
    <w:rsid w:val="00AA6B80"/>
    <w:rsid w:val="00AB70C9"/>
    <w:rsid w:val="00AC135A"/>
    <w:rsid w:val="00AE66C6"/>
    <w:rsid w:val="00AF668F"/>
    <w:rsid w:val="00AF67D0"/>
    <w:rsid w:val="00B0096E"/>
    <w:rsid w:val="00B13A06"/>
    <w:rsid w:val="00B25010"/>
    <w:rsid w:val="00B32CFD"/>
    <w:rsid w:val="00B409BB"/>
    <w:rsid w:val="00B52441"/>
    <w:rsid w:val="00B549A7"/>
    <w:rsid w:val="00B615A4"/>
    <w:rsid w:val="00B762B3"/>
    <w:rsid w:val="00B92E96"/>
    <w:rsid w:val="00B96F58"/>
    <w:rsid w:val="00BA6B49"/>
    <w:rsid w:val="00BB2DF2"/>
    <w:rsid w:val="00BB36F0"/>
    <w:rsid w:val="00BB3ADA"/>
    <w:rsid w:val="00BC326D"/>
    <w:rsid w:val="00BC495D"/>
    <w:rsid w:val="00BC547D"/>
    <w:rsid w:val="00BC65A5"/>
    <w:rsid w:val="00BD6428"/>
    <w:rsid w:val="00C0007B"/>
    <w:rsid w:val="00C01FD4"/>
    <w:rsid w:val="00C2043C"/>
    <w:rsid w:val="00C245E6"/>
    <w:rsid w:val="00C30631"/>
    <w:rsid w:val="00C33367"/>
    <w:rsid w:val="00C358A3"/>
    <w:rsid w:val="00C36302"/>
    <w:rsid w:val="00C37223"/>
    <w:rsid w:val="00C572E8"/>
    <w:rsid w:val="00C5769C"/>
    <w:rsid w:val="00C70ACA"/>
    <w:rsid w:val="00CE1FA7"/>
    <w:rsid w:val="00CF2385"/>
    <w:rsid w:val="00CF58B5"/>
    <w:rsid w:val="00D05E3F"/>
    <w:rsid w:val="00D15A66"/>
    <w:rsid w:val="00D35A22"/>
    <w:rsid w:val="00D4603F"/>
    <w:rsid w:val="00D461FD"/>
    <w:rsid w:val="00D54D91"/>
    <w:rsid w:val="00D618E4"/>
    <w:rsid w:val="00D65A7D"/>
    <w:rsid w:val="00D73E4F"/>
    <w:rsid w:val="00D75294"/>
    <w:rsid w:val="00D77583"/>
    <w:rsid w:val="00D81A2F"/>
    <w:rsid w:val="00D823D2"/>
    <w:rsid w:val="00D958BA"/>
    <w:rsid w:val="00DB6A73"/>
    <w:rsid w:val="00DC7B50"/>
    <w:rsid w:val="00DD4121"/>
    <w:rsid w:val="00DD5245"/>
    <w:rsid w:val="00DE0ECA"/>
    <w:rsid w:val="00DE67CB"/>
    <w:rsid w:val="00DF777C"/>
    <w:rsid w:val="00E11301"/>
    <w:rsid w:val="00E2605D"/>
    <w:rsid w:val="00E262BB"/>
    <w:rsid w:val="00E27577"/>
    <w:rsid w:val="00E35484"/>
    <w:rsid w:val="00E36B95"/>
    <w:rsid w:val="00E51864"/>
    <w:rsid w:val="00E63F84"/>
    <w:rsid w:val="00E94D1B"/>
    <w:rsid w:val="00E95583"/>
    <w:rsid w:val="00EA063F"/>
    <w:rsid w:val="00EA4DA3"/>
    <w:rsid w:val="00EF37AB"/>
    <w:rsid w:val="00EF663F"/>
    <w:rsid w:val="00EF7097"/>
    <w:rsid w:val="00F01291"/>
    <w:rsid w:val="00F014E1"/>
    <w:rsid w:val="00F02464"/>
    <w:rsid w:val="00F14487"/>
    <w:rsid w:val="00F156EB"/>
    <w:rsid w:val="00F15C73"/>
    <w:rsid w:val="00F37A8C"/>
    <w:rsid w:val="00F37D23"/>
    <w:rsid w:val="00F44E8F"/>
    <w:rsid w:val="00F477E7"/>
    <w:rsid w:val="00F52E0F"/>
    <w:rsid w:val="00F56128"/>
    <w:rsid w:val="00F57B88"/>
    <w:rsid w:val="00F652C8"/>
    <w:rsid w:val="00F72EF0"/>
    <w:rsid w:val="00F84686"/>
    <w:rsid w:val="00F86136"/>
    <w:rsid w:val="00F8721D"/>
    <w:rsid w:val="00F96C15"/>
    <w:rsid w:val="00FA0240"/>
    <w:rsid w:val="00FA15CC"/>
    <w:rsid w:val="00FA1ED9"/>
    <w:rsid w:val="00FA6A5C"/>
    <w:rsid w:val="00FA75D6"/>
    <w:rsid w:val="00FB1F10"/>
    <w:rsid w:val="00FB36D8"/>
    <w:rsid w:val="00FB7B48"/>
    <w:rsid w:val="00FE264C"/>
    <w:rsid w:val="00FF248D"/>
    <w:rsid w:val="00FF4A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7857"/>
  <w15:chartTrackingRefBased/>
  <w15:docId w15:val="{BBC97DB2-6F22-4BA2-ADB5-E9B5069D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53B"/>
    <w:rPr>
      <w:rFonts w:eastAsiaTheme="majorEastAsia" w:cstheme="majorBidi"/>
      <w:color w:val="272727" w:themeColor="text1" w:themeTint="D8"/>
    </w:rPr>
  </w:style>
  <w:style w:type="paragraph" w:styleId="Title">
    <w:name w:val="Title"/>
    <w:basedOn w:val="Normal"/>
    <w:next w:val="Normal"/>
    <w:link w:val="TitleChar"/>
    <w:uiPriority w:val="10"/>
    <w:qFormat/>
    <w:rsid w:val="00522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53B"/>
    <w:pPr>
      <w:spacing w:before="160"/>
      <w:jc w:val="center"/>
    </w:pPr>
    <w:rPr>
      <w:i/>
      <w:iCs/>
      <w:color w:val="404040" w:themeColor="text1" w:themeTint="BF"/>
    </w:rPr>
  </w:style>
  <w:style w:type="character" w:customStyle="1" w:styleId="QuoteChar">
    <w:name w:val="Quote Char"/>
    <w:basedOn w:val="DefaultParagraphFont"/>
    <w:link w:val="Quote"/>
    <w:uiPriority w:val="29"/>
    <w:rsid w:val="0052253B"/>
    <w:rPr>
      <w:i/>
      <w:iCs/>
      <w:color w:val="404040" w:themeColor="text1" w:themeTint="BF"/>
    </w:rPr>
  </w:style>
  <w:style w:type="paragraph" w:styleId="ListParagraph">
    <w:name w:val="List Paragraph"/>
    <w:basedOn w:val="Normal"/>
    <w:uiPriority w:val="34"/>
    <w:qFormat/>
    <w:rsid w:val="0052253B"/>
    <w:pPr>
      <w:ind w:left="720"/>
      <w:contextualSpacing/>
    </w:pPr>
  </w:style>
  <w:style w:type="character" w:styleId="IntenseEmphasis">
    <w:name w:val="Intense Emphasis"/>
    <w:basedOn w:val="DefaultParagraphFont"/>
    <w:uiPriority w:val="21"/>
    <w:qFormat/>
    <w:rsid w:val="0052253B"/>
    <w:rPr>
      <w:i/>
      <w:iCs/>
      <w:color w:val="0F4761" w:themeColor="accent1" w:themeShade="BF"/>
    </w:rPr>
  </w:style>
  <w:style w:type="paragraph" w:styleId="IntenseQuote">
    <w:name w:val="Intense Quote"/>
    <w:basedOn w:val="Normal"/>
    <w:next w:val="Normal"/>
    <w:link w:val="IntenseQuoteChar"/>
    <w:uiPriority w:val="30"/>
    <w:qFormat/>
    <w:rsid w:val="00522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53B"/>
    <w:rPr>
      <w:i/>
      <w:iCs/>
      <w:color w:val="0F4761" w:themeColor="accent1" w:themeShade="BF"/>
    </w:rPr>
  </w:style>
  <w:style w:type="character" w:styleId="IntenseReference">
    <w:name w:val="Intense Reference"/>
    <w:basedOn w:val="DefaultParagraphFont"/>
    <w:uiPriority w:val="32"/>
    <w:qFormat/>
    <w:rsid w:val="0052253B"/>
    <w:rPr>
      <w:b/>
      <w:bCs/>
      <w:smallCaps/>
      <w:color w:val="0F4761" w:themeColor="accent1" w:themeShade="BF"/>
      <w:spacing w:val="5"/>
    </w:rPr>
  </w:style>
  <w:style w:type="paragraph" w:customStyle="1" w:styleId="paragraph">
    <w:name w:val="paragraph"/>
    <w:basedOn w:val="Normal"/>
    <w:link w:val="paragraphChar"/>
    <w:rsid w:val="00D73E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rsid w:val="00D73E4F"/>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551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00"/>
  </w:style>
  <w:style w:type="paragraph" w:styleId="Footer">
    <w:name w:val="footer"/>
    <w:basedOn w:val="Normal"/>
    <w:link w:val="FooterChar"/>
    <w:uiPriority w:val="99"/>
    <w:unhideWhenUsed/>
    <w:rsid w:val="00551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00"/>
  </w:style>
  <w:style w:type="character" w:styleId="CommentReference">
    <w:name w:val="annotation reference"/>
    <w:basedOn w:val="DefaultParagraphFont"/>
    <w:uiPriority w:val="99"/>
    <w:semiHidden/>
    <w:unhideWhenUsed/>
    <w:rsid w:val="00521599"/>
    <w:rPr>
      <w:sz w:val="16"/>
      <w:szCs w:val="16"/>
    </w:rPr>
  </w:style>
  <w:style w:type="paragraph" w:styleId="CommentText">
    <w:name w:val="annotation text"/>
    <w:basedOn w:val="Normal"/>
    <w:link w:val="CommentTextChar"/>
    <w:uiPriority w:val="99"/>
    <w:unhideWhenUsed/>
    <w:rsid w:val="00521599"/>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521599"/>
    <w:rPr>
      <w:rFonts w:ascii="Times New Roman" w:hAnsi="Times New Roman"/>
      <w:kern w:val="0"/>
      <w:sz w:val="20"/>
      <w:szCs w:val="20"/>
      <w14:ligatures w14:val="none"/>
    </w:rPr>
  </w:style>
  <w:style w:type="paragraph" w:styleId="Revision">
    <w:name w:val="Revision"/>
    <w:hidden/>
    <w:uiPriority w:val="99"/>
    <w:semiHidden/>
    <w:rsid w:val="00027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0" ma:contentTypeDescription="Create a new document." ma:contentTypeScope="" ma:versionID="befc7c1e87cdf941222a4e4974127276">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ef0d35cf77f606e02f1d69ed9c35760f"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No</Keydoc>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153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_dlc_DocId xmlns="fe39d773-a83d-4623-ae74-f25711a76616">5D7SUYYWNZQE-1394661607-1195</_dlc_DocId>
    <_dlc_DocIdUrl xmlns="fe39d773-a83d-4623-ae74-f25711a76616">
      <Url>https://austreasury.sharepoint.com/sites/leg-meas-function/_layouts/15/DocIdRedir.aspx?ID=5D7SUYYWNZQE-1394661607-1195</Url>
      <Description>5D7SUYYWNZQE-1394661607-1195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9E1B0-C741-4F1E-90A0-6507797F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8FE50-C6A0-40BA-9026-E444153ECAF6}">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3.xml><?xml version="1.0" encoding="utf-8"?>
<ds:datastoreItem xmlns:ds="http://schemas.openxmlformats.org/officeDocument/2006/customXml" ds:itemID="{5CB33614-E618-42EF-9482-311B090E9802}">
  <ds:schemaRefs>
    <ds:schemaRef ds:uri="http://schemas.microsoft.com/sharepoint/events"/>
  </ds:schemaRefs>
</ds:datastoreItem>
</file>

<file path=customXml/itemProps4.xml><?xml version="1.0" encoding="utf-8"?>
<ds:datastoreItem xmlns:ds="http://schemas.openxmlformats.org/officeDocument/2006/customXml" ds:itemID="{6571AFD1-9875-4B0A-B4BE-EC1166121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RAM4 ES</vt:lpstr>
    </vt:vector>
  </TitlesOfParts>
  <Company>The Department of the Treasury</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RAM4 ES</dc:title>
  <dc:subject/>
  <dc:creator>Janover, Ben</dc:creator>
  <cp:keywords/>
  <dc:description/>
  <cp:lastModifiedBy>Bitmead, James</cp:lastModifiedBy>
  <cp:revision>115</cp:revision>
  <cp:lastPrinted>2025-03-06T00:17:00Z</cp:lastPrinted>
  <dcterms:created xsi:type="dcterms:W3CDTF">2025-02-18T00:19:00Z</dcterms:created>
  <dcterms:modified xsi:type="dcterms:W3CDTF">2025-03-27T01:13:00Z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0x010100C33AA559D2DF7D4F82EBEDB51F53504B</vt:lpwstr>
  </property>
  <property fmtid="{D5CDD505-2E9C-101B-9397-08002B2CF9AE}" pid="3" name="eActivity">
    <vt:lpwstr>28;#Legislative measures|0d31ce10-0017-4a46-8d2d-ba60058cb6a2</vt:lpwstr>
  </property>
  <property fmtid="{D5CDD505-2E9C-101B-9397-08002B2CF9AE}" pid="4" name="TSYStatus">
    <vt:lpwstr/>
  </property>
  <property fmtid="{D5CDD505-2E9C-101B-9397-08002B2CF9AE}" pid="5" name="eTopic">
    <vt:lpwstr>77;#Currency|0908a5f2-16bd-4707-9ebb-8f1915958955</vt:lpwstr>
  </property>
  <property fmtid="{D5CDD505-2E9C-101B-9397-08002B2CF9AE}" pid="6" name="eTheme">
    <vt:lpwstr>1;#Law Design|318dd2d2-18da-4b8e-a458-14db2c1af95f</vt:lpwstr>
  </property>
  <property fmtid="{D5CDD505-2E9C-101B-9397-08002B2CF9AE}" pid="7" name="eDocumentType">
    <vt:lpwstr>153;#Explanatory Materials|ac61e78e-992e-40fd-ae93-2c9522960b05</vt:lpwstr>
  </property>
  <property fmtid="{D5CDD505-2E9C-101B-9397-08002B2CF9AE}" pid="8" name="_dlc_DocIdItemGuid">
    <vt:lpwstr>03a5ef18-3c23-4f77-9931-13466b9e5b19</vt:lpwstr>
  </property>
  <property fmtid="{D5CDD505-2E9C-101B-9397-08002B2CF9AE}" pid="9" name="MediaServiceImageTags">
    <vt:lpwstr/>
  </property>
  <property fmtid="{D5CDD505-2E9C-101B-9397-08002B2CF9AE}" pid="10" name="LMDivision">
    <vt:lpwstr/>
  </property>
  <property fmtid="{D5CDD505-2E9C-101B-9397-08002B2CF9AE}" pid="11" name="k8424359e03846678cc4a99dd97e9705">
    <vt:lpwstr/>
  </property>
  <property fmtid="{D5CDD505-2E9C-101B-9397-08002B2CF9AE}" pid="12" name="MSIP_Label_91eac348-12d5-45ad-abaa-2c34f170cf6b_Enabled">
    <vt:lpwstr>true</vt:lpwstr>
  </property>
  <property fmtid="{D5CDD505-2E9C-101B-9397-08002B2CF9AE}" pid="13" name="MSIP_Label_91eac348-12d5-45ad-abaa-2c34f170cf6b_SetDate">
    <vt:lpwstr>2025-03-04T01:55:18Z</vt:lpwstr>
  </property>
  <property fmtid="{D5CDD505-2E9C-101B-9397-08002B2CF9AE}" pid="14" name="MSIP_Label_91eac348-12d5-45ad-abaa-2c34f170cf6b_Method">
    <vt:lpwstr>Privileged</vt:lpwstr>
  </property>
  <property fmtid="{D5CDD505-2E9C-101B-9397-08002B2CF9AE}" pid="15" name="MSIP_Label_91eac348-12d5-45ad-abaa-2c34f170cf6b_Name">
    <vt:lpwstr>UNOFFICIAL No Visual Marking</vt:lpwstr>
  </property>
  <property fmtid="{D5CDD505-2E9C-101B-9397-08002B2CF9AE}" pid="16" name="MSIP_Label_91eac348-12d5-45ad-abaa-2c34f170cf6b_SiteId">
    <vt:lpwstr>214f1646-2021-47cc-8397-e3d3a7ba7d9d</vt:lpwstr>
  </property>
  <property fmtid="{D5CDD505-2E9C-101B-9397-08002B2CF9AE}" pid="17" name="MSIP_Label_91eac348-12d5-45ad-abaa-2c34f170cf6b_ActionId">
    <vt:lpwstr>2a87460d-5a1f-4694-8e3d-5c60902d40eb</vt:lpwstr>
  </property>
  <property fmtid="{D5CDD505-2E9C-101B-9397-08002B2CF9AE}" pid="18" name="MSIP_Label_91eac348-12d5-45ad-abaa-2c34f170cf6b_ContentBits">
    <vt:lpwstr>0</vt:lpwstr>
  </property>
</Properties>
</file>