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F950" w14:textId="77777777" w:rsidR="00F5638C" w:rsidRDefault="00F5638C" w:rsidP="00F5638C">
      <w:pPr>
        <w:rPr>
          <w:sz w:val="28"/>
        </w:rPr>
      </w:pPr>
      <w:r>
        <w:rPr>
          <w:noProof/>
          <w:lang w:eastAsia="en-AU"/>
        </w:rPr>
        <w:drawing>
          <wp:inline distT="0" distB="0" distL="0" distR="0" wp14:anchorId="504262CC" wp14:editId="01C6FA8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61D61EF" w14:textId="77777777" w:rsidR="00F5638C" w:rsidRDefault="00F5638C" w:rsidP="00F5638C">
      <w:pPr>
        <w:rPr>
          <w:sz w:val="19"/>
        </w:rPr>
      </w:pPr>
    </w:p>
    <w:p w14:paraId="0042C892" w14:textId="1F84A168" w:rsidR="00F5638C" w:rsidRDefault="004733E8" w:rsidP="00F5638C">
      <w:pPr>
        <w:pStyle w:val="ShortT"/>
      </w:pPr>
      <w:r w:rsidRPr="004733E8">
        <w:t>Income Tax Assessment (Build to Rent Developments)</w:t>
      </w:r>
      <w:r>
        <w:t xml:space="preserve"> </w:t>
      </w:r>
      <w:r w:rsidR="00F5638C">
        <w:t>Amendment (</w:t>
      </w:r>
      <w:r>
        <w:t>Expanding Affordability Requirements</w:t>
      </w:r>
      <w:r w:rsidR="00F5638C">
        <w:t xml:space="preserve">) </w:t>
      </w:r>
      <w:r w:rsidR="00073ED0">
        <w:t>Determination </w:t>
      </w:r>
      <w:r>
        <w:t>2025</w:t>
      </w:r>
    </w:p>
    <w:p w14:paraId="1D154C1A" w14:textId="5F6D4C3B" w:rsidR="00F5638C" w:rsidRPr="00BC5754" w:rsidRDefault="00F5638C" w:rsidP="00F5638C">
      <w:pPr>
        <w:pStyle w:val="SignCoverPageStart"/>
        <w:spacing w:before="240"/>
        <w:rPr>
          <w:szCs w:val="22"/>
        </w:rPr>
      </w:pPr>
      <w:r w:rsidRPr="00BC5754">
        <w:rPr>
          <w:szCs w:val="22"/>
        </w:rPr>
        <w:t xml:space="preserve">I, </w:t>
      </w:r>
      <w:r w:rsidR="00E3464E" w:rsidRPr="00E3464E">
        <w:rPr>
          <w:szCs w:val="22"/>
        </w:rPr>
        <w:t>Jim Chalmers, Treasurer, make the following determination</w:t>
      </w:r>
      <w:r w:rsidRPr="00BC5754">
        <w:rPr>
          <w:szCs w:val="22"/>
        </w:rPr>
        <w:t>.</w:t>
      </w:r>
    </w:p>
    <w:p w14:paraId="55154ABA" w14:textId="6318F23F" w:rsidR="00F5638C" w:rsidRPr="00BC5754" w:rsidRDefault="00F5638C" w:rsidP="00F5638C">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1D7A09">
        <w:rPr>
          <w:szCs w:val="22"/>
        </w:rPr>
        <w:t xml:space="preserve">27 March </w:t>
      </w:r>
      <w:r w:rsidR="00E56454">
        <w:rPr>
          <w:szCs w:val="22"/>
        </w:rPr>
        <w:t>2025</w:t>
      </w:r>
    </w:p>
    <w:p w14:paraId="34023A39" w14:textId="7DD28CC2" w:rsidR="00F5638C" w:rsidRPr="00BC5754" w:rsidRDefault="00F5638C" w:rsidP="00F5638C">
      <w:pPr>
        <w:keepNext/>
        <w:tabs>
          <w:tab w:val="left" w:pos="3402"/>
        </w:tabs>
        <w:spacing w:before="840" w:after="1080" w:line="300" w:lineRule="atLeast"/>
        <w:ind w:right="397"/>
        <w:rPr>
          <w:szCs w:val="22"/>
        </w:rPr>
      </w:pPr>
    </w:p>
    <w:p w14:paraId="54806EAD" w14:textId="15941046" w:rsidR="00F5638C" w:rsidRPr="00E3464E" w:rsidRDefault="00E3464E" w:rsidP="00F5638C">
      <w:pPr>
        <w:keepNext/>
        <w:tabs>
          <w:tab w:val="left" w:pos="3402"/>
        </w:tabs>
        <w:spacing w:before="480" w:line="300" w:lineRule="atLeast"/>
        <w:ind w:right="397"/>
        <w:rPr>
          <w:szCs w:val="22"/>
        </w:rPr>
      </w:pPr>
      <w:r w:rsidRPr="00E3464E">
        <w:rPr>
          <w:szCs w:val="22"/>
        </w:rPr>
        <w:t>Dr Jim Chalmers</w:t>
      </w:r>
    </w:p>
    <w:p w14:paraId="5E22D81C" w14:textId="17724D89" w:rsidR="00F5638C" w:rsidRPr="00BC5754" w:rsidRDefault="00E3464E" w:rsidP="00F5638C">
      <w:pPr>
        <w:pStyle w:val="SignCoverPageEnd"/>
        <w:rPr>
          <w:szCs w:val="22"/>
        </w:rPr>
      </w:pPr>
      <w:r w:rsidRPr="00E3464E">
        <w:rPr>
          <w:szCs w:val="22"/>
        </w:rPr>
        <w:t>Treasurer</w:t>
      </w:r>
    </w:p>
    <w:p w14:paraId="79C98E46" w14:textId="77777777" w:rsidR="00F5638C" w:rsidRDefault="00F5638C" w:rsidP="00F5638C"/>
    <w:p w14:paraId="4464070B" w14:textId="77777777" w:rsidR="00F5638C" w:rsidRDefault="00F5638C" w:rsidP="00F5638C">
      <w:pPr>
        <w:pStyle w:val="Header"/>
        <w:tabs>
          <w:tab w:val="clear" w:pos="4150"/>
          <w:tab w:val="clear" w:pos="8307"/>
        </w:tabs>
      </w:pPr>
      <w:r>
        <w:rPr>
          <w:rStyle w:val="CharAmSchNo"/>
        </w:rPr>
        <w:t xml:space="preserve"> </w:t>
      </w:r>
      <w:r>
        <w:rPr>
          <w:rStyle w:val="CharAmSchText"/>
        </w:rPr>
        <w:t xml:space="preserve"> </w:t>
      </w:r>
    </w:p>
    <w:p w14:paraId="4C6F1553" w14:textId="77777777" w:rsidR="00F5638C" w:rsidRDefault="00F5638C" w:rsidP="00F5638C">
      <w:pPr>
        <w:pStyle w:val="Header"/>
        <w:tabs>
          <w:tab w:val="clear" w:pos="4150"/>
          <w:tab w:val="clear" w:pos="8307"/>
        </w:tabs>
      </w:pPr>
      <w:r>
        <w:rPr>
          <w:rStyle w:val="CharAmPartNo"/>
        </w:rPr>
        <w:t xml:space="preserve"> </w:t>
      </w:r>
      <w:r>
        <w:rPr>
          <w:rStyle w:val="CharAmPartText"/>
        </w:rPr>
        <w:t xml:space="preserve"> </w:t>
      </w:r>
    </w:p>
    <w:p w14:paraId="5C91F34F" w14:textId="77777777" w:rsidR="00F5638C" w:rsidRDefault="00F5638C" w:rsidP="00F5638C">
      <w:pPr>
        <w:sectPr w:rsidR="00F5638C" w:rsidSect="00BE50CF">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662FF597" w14:textId="77777777" w:rsidR="00F5638C" w:rsidRDefault="00F5638C" w:rsidP="00F5638C">
      <w:pPr>
        <w:outlineLvl w:val="0"/>
        <w:rPr>
          <w:sz w:val="36"/>
        </w:rPr>
      </w:pPr>
      <w:r w:rsidRPr="007A1328">
        <w:rPr>
          <w:sz w:val="36"/>
        </w:rPr>
        <w:lastRenderedPageBreak/>
        <w:t>Contents</w:t>
      </w:r>
    </w:p>
    <w:p w14:paraId="7068C98C" w14:textId="0843747B" w:rsidR="00E06D73" w:rsidRDefault="00E06D73">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E06D73">
        <w:rPr>
          <w:noProof/>
        </w:rPr>
        <w:tab/>
      </w:r>
      <w:r w:rsidRPr="00E06D73">
        <w:rPr>
          <w:noProof/>
        </w:rPr>
        <w:fldChar w:fldCharType="begin"/>
      </w:r>
      <w:r w:rsidRPr="00E06D73">
        <w:rPr>
          <w:noProof/>
        </w:rPr>
        <w:instrText xml:space="preserve"> PAGEREF _Toc193375976 \h </w:instrText>
      </w:r>
      <w:r w:rsidRPr="00E06D73">
        <w:rPr>
          <w:noProof/>
        </w:rPr>
      </w:r>
      <w:r w:rsidRPr="00E06D73">
        <w:rPr>
          <w:noProof/>
        </w:rPr>
        <w:fldChar w:fldCharType="separate"/>
      </w:r>
      <w:r w:rsidR="00B05D09">
        <w:rPr>
          <w:noProof/>
        </w:rPr>
        <w:t>1</w:t>
      </w:r>
      <w:r w:rsidRPr="00E06D73">
        <w:rPr>
          <w:noProof/>
        </w:rPr>
        <w:fldChar w:fldCharType="end"/>
      </w:r>
    </w:p>
    <w:p w14:paraId="7F08FB56" w14:textId="67A6FFFB" w:rsidR="00E06D73" w:rsidRDefault="00E06D7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E06D73">
        <w:rPr>
          <w:noProof/>
        </w:rPr>
        <w:tab/>
      </w:r>
      <w:r w:rsidRPr="00E06D73">
        <w:rPr>
          <w:noProof/>
        </w:rPr>
        <w:fldChar w:fldCharType="begin"/>
      </w:r>
      <w:r w:rsidRPr="00E06D73">
        <w:rPr>
          <w:noProof/>
        </w:rPr>
        <w:instrText xml:space="preserve"> PAGEREF _Toc193375977 \h </w:instrText>
      </w:r>
      <w:r w:rsidRPr="00E06D73">
        <w:rPr>
          <w:noProof/>
        </w:rPr>
      </w:r>
      <w:r w:rsidRPr="00E06D73">
        <w:rPr>
          <w:noProof/>
        </w:rPr>
        <w:fldChar w:fldCharType="separate"/>
      </w:r>
      <w:r w:rsidR="00B05D09">
        <w:rPr>
          <w:noProof/>
        </w:rPr>
        <w:t>1</w:t>
      </w:r>
      <w:r w:rsidRPr="00E06D73">
        <w:rPr>
          <w:noProof/>
        </w:rPr>
        <w:fldChar w:fldCharType="end"/>
      </w:r>
    </w:p>
    <w:p w14:paraId="169F1FA2" w14:textId="6BCF3769" w:rsidR="00E06D73" w:rsidRDefault="00E06D7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E06D73">
        <w:rPr>
          <w:noProof/>
        </w:rPr>
        <w:tab/>
      </w:r>
      <w:r w:rsidRPr="00E06D73">
        <w:rPr>
          <w:noProof/>
        </w:rPr>
        <w:fldChar w:fldCharType="begin"/>
      </w:r>
      <w:r w:rsidRPr="00E06D73">
        <w:rPr>
          <w:noProof/>
        </w:rPr>
        <w:instrText xml:space="preserve"> PAGEREF _Toc193375978 \h </w:instrText>
      </w:r>
      <w:r w:rsidRPr="00E06D73">
        <w:rPr>
          <w:noProof/>
        </w:rPr>
      </w:r>
      <w:r w:rsidRPr="00E06D73">
        <w:rPr>
          <w:noProof/>
        </w:rPr>
        <w:fldChar w:fldCharType="separate"/>
      </w:r>
      <w:r w:rsidR="00B05D09">
        <w:rPr>
          <w:noProof/>
        </w:rPr>
        <w:t>1</w:t>
      </w:r>
      <w:r w:rsidRPr="00E06D73">
        <w:rPr>
          <w:noProof/>
        </w:rPr>
        <w:fldChar w:fldCharType="end"/>
      </w:r>
    </w:p>
    <w:p w14:paraId="718D5A66" w14:textId="63499CDF" w:rsidR="00E06D73" w:rsidRDefault="00E06D7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E06D73">
        <w:rPr>
          <w:noProof/>
        </w:rPr>
        <w:tab/>
      </w:r>
      <w:r w:rsidRPr="00E06D73">
        <w:rPr>
          <w:noProof/>
        </w:rPr>
        <w:fldChar w:fldCharType="begin"/>
      </w:r>
      <w:r w:rsidRPr="00E06D73">
        <w:rPr>
          <w:noProof/>
        </w:rPr>
        <w:instrText xml:space="preserve"> PAGEREF _Toc193375979 \h </w:instrText>
      </w:r>
      <w:r w:rsidRPr="00E06D73">
        <w:rPr>
          <w:noProof/>
        </w:rPr>
      </w:r>
      <w:r w:rsidRPr="00E06D73">
        <w:rPr>
          <w:noProof/>
        </w:rPr>
        <w:fldChar w:fldCharType="separate"/>
      </w:r>
      <w:r w:rsidR="00B05D09">
        <w:rPr>
          <w:noProof/>
        </w:rPr>
        <w:t>1</w:t>
      </w:r>
      <w:r w:rsidRPr="00E06D73">
        <w:rPr>
          <w:noProof/>
        </w:rPr>
        <w:fldChar w:fldCharType="end"/>
      </w:r>
    </w:p>
    <w:p w14:paraId="56D1DF02" w14:textId="0A1FCBF7" w:rsidR="00E06D73" w:rsidRDefault="00E06D73">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E06D73">
        <w:rPr>
          <w:b w:val="0"/>
          <w:noProof/>
          <w:sz w:val="18"/>
        </w:rPr>
        <w:tab/>
      </w:r>
      <w:r w:rsidRPr="00E06D73">
        <w:rPr>
          <w:b w:val="0"/>
          <w:noProof/>
          <w:sz w:val="18"/>
        </w:rPr>
        <w:fldChar w:fldCharType="begin"/>
      </w:r>
      <w:r w:rsidRPr="00E06D73">
        <w:rPr>
          <w:b w:val="0"/>
          <w:noProof/>
          <w:sz w:val="18"/>
        </w:rPr>
        <w:instrText xml:space="preserve"> PAGEREF _Toc193375980 \h </w:instrText>
      </w:r>
      <w:r w:rsidRPr="00E06D73">
        <w:rPr>
          <w:b w:val="0"/>
          <w:noProof/>
          <w:sz w:val="18"/>
        </w:rPr>
      </w:r>
      <w:r w:rsidRPr="00E06D73">
        <w:rPr>
          <w:b w:val="0"/>
          <w:noProof/>
          <w:sz w:val="18"/>
        </w:rPr>
        <w:fldChar w:fldCharType="separate"/>
      </w:r>
      <w:r w:rsidR="00B05D09">
        <w:rPr>
          <w:b w:val="0"/>
          <w:noProof/>
          <w:sz w:val="18"/>
        </w:rPr>
        <w:t>2</w:t>
      </w:r>
      <w:r w:rsidRPr="00E06D73">
        <w:rPr>
          <w:b w:val="0"/>
          <w:noProof/>
          <w:sz w:val="18"/>
        </w:rPr>
        <w:fldChar w:fldCharType="end"/>
      </w:r>
    </w:p>
    <w:p w14:paraId="4C65358E" w14:textId="3F7F7147" w:rsidR="00E06D73" w:rsidRDefault="00E06D73">
      <w:pPr>
        <w:pStyle w:val="TOC9"/>
        <w:rPr>
          <w:rFonts w:asciiTheme="minorHAnsi" w:eastAsiaTheme="minorEastAsia" w:hAnsiTheme="minorHAnsi" w:cstheme="minorBidi"/>
          <w:i w:val="0"/>
          <w:noProof/>
          <w:kern w:val="2"/>
          <w:sz w:val="24"/>
          <w:szCs w:val="24"/>
          <w14:ligatures w14:val="standardContextual"/>
        </w:rPr>
      </w:pPr>
      <w:r>
        <w:rPr>
          <w:noProof/>
        </w:rPr>
        <w:t>Income Tax Assessment (Build to Rent Developments) Determination 2024</w:t>
      </w:r>
      <w:r w:rsidRPr="00E06D73">
        <w:rPr>
          <w:i w:val="0"/>
          <w:noProof/>
          <w:sz w:val="18"/>
        </w:rPr>
        <w:tab/>
      </w:r>
      <w:r w:rsidRPr="00E06D73">
        <w:rPr>
          <w:i w:val="0"/>
          <w:noProof/>
          <w:sz w:val="18"/>
        </w:rPr>
        <w:fldChar w:fldCharType="begin"/>
      </w:r>
      <w:r w:rsidRPr="00E06D73">
        <w:rPr>
          <w:i w:val="0"/>
          <w:noProof/>
          <w:sz w:val="18"/>
        </w:rPr>
        <w:instrText xml:space="preserve"> PAGEREF _Toc193375981 \h </w:instrText>
      </w:r>
      <w:r w:rsidRPr="00E06D73">
        <w:rPr>
          <w:i w:val="0"/>
          <w:noProof/>
          <w:sz w:val="18"/>
        </w:rPr>
      </w:r>
      <w:r w:rsidRPr="00E06D73">
        <w:rPr>
          <w:i w:val="0"/>
          <w:noProof/>
          <w:sz w:val="18"/>
        </w:rPr>
        <w:fldChar w:fldCharType="separate"/>
      </w:r>
      <w:r w:rsidR="00B05D09">
        <w:rPr>
          <w:i w:val="0"/>
          <w:noProof/>
          <w:sz w:val="18"/>
        </w:rPr>
        <w:t>2</w:t>
      </w:r>
      <w:r w:rsidRPr="00E06D73">
        <w:rPr>
          <w:i w:val="0"/>
          <w:noProof/>
          <w:sz w:val="18"/>
        </w:rPr>
        <w:fldChar w:fldCharType="end"/>
      </w:r>
    </w:p>
    <w:p w14:paraId="323BB094" w14:textId="69CB301D" w:rsidR="00F5638C" w:rsidRDefault="00E06D73" w:rsidP="00F5638C">
      <w:r>
        <w:fldChar w:fldCharType="end"/>
      </w:r>
    </w:p>
    <w:p w14:paraId="36F1EB9E" w14:textId="77777777" w:rsidR="00F5638C" w:rsidRPr="007A1328" w:rsidRDefault="00F5638C" w:rsidP="00F5638C"/>
    <w:p w14:paraId="79E8DBAB" w14:textId="77777777" w:rsidR="00F5638C" w:rsidRDefault="00F5638C" w:rsidP="00F5638C">
      <w:pPr>
        <w:sectPr w:rsidR="00F5638C" w:rsidSect="00BE50CF">
          <w:headerReference w:type="even" r:id="rId19"/>
          <w:headerReference w:type="default" r:id="rId20"/>
          <w:footerReference w:type="even" r:id="rId21"/>
          <w:footerReference w:type="default" r:id="rId22"/>
          <w:headerReference w:type="first" r:id="rId23"/>
          <w:footerReference w:type="first" r:id="rId24"/>
          <w:pgSz w:w="11907" w:h="16839"/>
          <w:pgMar w:top="2093" w:right="1797" w:bottom="1440" w:left="1797" w:header="720" w:footer="709" w:gutter="0"/>
          <w:pgNumType w:fmt="lowerRoman" w:start="1"/>
          <w:cols w:space="708"/>
          <w:docGrid w:linePitch="360"/>
        </w:sectPr>
      </w:pPr>
    </w:p>
    <w:p w14:paraId="75403610" w14:textId="77777777" w:rsidR="00F5638C" w:rsidRDefault="00F5638C" w:rsidP="00F5638C">
      <w:pPr>
        <w:pStyle w:val="ActHead5"/>
      </w:pPr>
      <w:bookmarkStart w:id="8" w:name="_Toc193375976"/>
      <w:r>
        <w:rPr>
          <w:rStyle w:val="CharSectno"/>
        </w:rPr>
        <w:lastRenderedPageBreak/>
        <w:t>1</w:t>
      </w:r>
      <w:r>
        <w:t xml:space="preserve">  Name</w:t>
      </w:r>
      <w:bookmarkEnd w:id="8"/>
    </w:p>
    <w:p w14:paraId="3B670943" w14:textId="73847C76" w:rsidR="00F5638C" w:rsidRDefault="00F5638C" w:rsidP="00F5638C">
      <w:pPr>
        <w:pStyle w:val="subsection"/>
      </w:pPr>
      <w:r>
        <w:tab/>
      </w:r>
      <w:r>
        <w:tab/>
        <w:t xml:space="preserve">This instrument is the </w:t>
      </w:r>
      <w:r w:rsidR="00D22CA0" w:rsidRPr="00D22CA0">
        <w:rPr>
          <w:i/>
          <w:noProof/>
        </w:rPr>
        <w:t>Income Tax Assessment (Build to Rent Developments) Amendment (Expanding Affordability Requirements) Determination 2025</w:t>
      </w:r>
      <w:r>
        <w:t>.</w:t>
      </w:r>
    </w:p>
    <w:p w14:paraId="7ADB1625" w14:textId="77777777" w:rsidR="00F5638C" w:rsidRDefault="00F5638C" w:rsidP="00F5638C">
      <w:pPr>
        <w:pStyle w:val="ActHead5"/>
      </w:pPr>
      <w:bookmarkStart w:id="9" w:name="_Toc193375977"/>
      <w:r>
        <w:rPr>
          <w:rStyle w:val="CharSectno"/>
        </w:rPr>
        <w:t>2</w:t>
      </w:r>
      <w:r>
        <w:t xml:space="preserve">  Commencement</w:t>
      </w:r>
      <w:bookmarkEnd w:id="9"/>
    </w:p>
    <w:p w14:paraId="41ED7C3B" w14:textId="77777777" w:rsidR="00F5638C" w:rsidRDefault="00F5638C" w:rsidP="00F5638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4EC3C7C3" w14:textId="77777777" w:rsidR="00F5638C" w:rsidRDefault="00F5638C" w:rsidP="00F5638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5638C" w14:paraId="13FCBF88" w14:textId="77777777" w:rsidTr="00E06D73">
        <w:trPr>
          <w:tblHeader/>
        </w:trPr>
        <w:tc>
          <w:tcPr>
            <w:tcW w:w="8364" w:type="dxa"/>
            <w:gridSpan w:val="3"/>
            <w:tcBorders>
              <w:top w:val="single" w:sz="12" w:space="0" w:color="auto"/>
              <w:bottom w:val="single" w:sz="6" w:space="0" w:color="auto"/>
            </w:tcBorders>
            <w:shd w:val="clear" w:color="auto" w:fill="auto"/>
            <w:hideMark/>
          </w:tcPr>
          <w:p w14:paraId="47D365FF" w14:textId="77777777" w:rsidR="00F5638C" w:rsidRPr="00416235" w:rsidRDefault="00F5638C" w:rsidP="00BE50CF">
            <w:pPr>
              <w:pStyle w:val="TableHeading"/>
            </w:pPr>
            <w:r w:rsidRPr="00416235">
              <w:t>Commencement information</w:t>
            </w:r>
          </w:p>
        </w:tc>
      </w:tr>
      <w:tr w:rsidR="00F5638C" w:rsidRPr="00416235" w14:paraId="537079B4" w14:textId="77777777" w:rsidTr="00E06D73">
        <w:trPr>
          <w:tblHeader/>
        </w:trPr>
        <w:tc>
          <w:tcPr>
            <w:tcW w:w="2127" w:type="dxa"/>
            <w:tcBorders>
              <w:top w:val="single" w:sz="6" w:space="0" w:color="auto"/>
              <w:bottom w:val="single" w:sz="6" w:space="0" w:color="auto"/>
            </w:tcBorders>
            <w:shd w:val="clear" w:color="auto" w:fill="auto"/>
            <w:hideMark/>
          </w:tcPr>
          <w:p w14:paraId="624C7A5A" w14:textId="77777777" w:rsidR="00F5638C" w:rsidRPr="00416235" w:rsidRDefault="00F5638C" w:rsidP="00BE50CF">
            <w:pPr>
              <w:pStyle w:val="TableHeading"/>
            </w:pPr>
            <w:r w:rsidRPr="00416235">
              <w:t>Column 1</w:t>
            </w:r>
          </w:p>
        </w:tc>
        <w:tc>
          <w:tcPr>
            <w:tcW w:w="4394" w:type="dxa"/>
            <w:tcBorders>
              <w:top w:val="single" w:sz="6" w:space="0" w:color="auto"/>
              <w:bottom w:val="single" w:sz="6" w:space="0" w:color="auto"/>
            </w:tcBorders>
            <w:shd w:val="clear" w:color="auto" w:fill="auto"/>
            <w:hideMark/>
          </w:tcPr>
          <w:p w14:paraId="2AFEC682" w14:textId="77777777" w:rsidR="00F5638C" w:rsidRPr="00416235" w:rsidRDefault="00F5638C" w:rsidP="00BE50CF">
            <w:pPr>
              <w:pStyle w:val="TableHeading"/>
            </w:pPr>
            <w:r w:rsidRPr="00416235">
              <w:t>Column 2</w:t>
            </w:r>
          </w:p>
        </w:tc>
        <w:tc>
          <w:tcPr>
            <w:tcW w:w="1843" w:type="dxa"/>
            <w:tcBorders>
              <w:top w:val="single" w:sz="6" w:space="0" w:color="auto"/>
              <w:bottom w:val="single" w:sz="6" w:space="0" w:color="auto"/>
            </w:tcBorders>
            <w:shd w:val="clear" w:color="auto" w:fill="auto"/>
            <w:hideMark/>
          </w:tcPr>
          <w:p w14:paraId="0B122DB7" w14:textId="77777777" w:rsidR="00F5638C" w:rsidRPr="00416235" w:rsidRDefault="00F5638C" w:rsidP="00BE50CF">
            <w:pPr>
              <w:pStyle w:val="TableHeading"/>
            </w:pPr>
            <w:r w:rsidRPr="00416235">
              <w:t>Column 3</w:t>
            </w:r>
          </w:p>
        </w:tc>
      </w:tr>
      <w:tr w:rsidR="00F5638C" w14:paraId="533A0B68" w14:textId="77777777" w:rsidTr="00E06D73">
        <w:trPr>
          <w:tblHeader/>
        </w:trPr>
        <w:tc>
          <w:tcPr>
            <w:tcW w:w="2127" w:type="dxa"/>
            <w:tcBorders>
              <w:top w:val="single" w:sz="6" w:space="0" w:color="auto"/>
              <w:bottom w:val="single" w:sz="12" w:space="0" w:color="auto"/>
            </w:tcBorders>
            <w:shd w:val="clear" w:color="auto" w:fill="auto"/>
            <w:hideMark/>
          </w:tcPr>
          <w:p w14:paraId="1CF9DF63" w14:textId="77777777" w:rsidR="00F5638C" w:rsidRPr="00416235" w:rsidRDefault="00F5638C" w:rsidP="00BE50CF">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38FB8925" w14:textId="77777777" w:rsidR="00F5638C" w:rsidRPr="00416235" w:rsidRDefault="00F5638C" w:rsidP="00BE50CF">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24C9226A" w14:textId="77777777" w:rsidR="00F5638C" w:rsidRPr="00416235" w:rsidRDefault="00F5638C" w:rsidP="00BE50CF">
            <w:pPr>
              <w:pStyle w:val="TableHeading"/>
            </w:pPr>
            <w:r w:rsidRPr="00416235">
              <w:t>Date/Details</w:t>
            </w:r>
          </w:p>
        </w:tc>
      </w:tr>
      <w:tr w:rsidR="00F5638C" w14:paraId="79A6685A" w14:textId="77777777" w:rsidTr="00E06D73">
        <w:tc>
          <w:tcPr>
            <w:tcW w:w="2127" w:type="dxa"/>
            <w:tcBorders>
              <w:top w:val="single" w:sz="12" w:space="0" w:color="auto"/>
              <w:bottom w:val="single" w:sz="12" w:space="0" w:color="auto"/>
            </w:tcBorders>
            <w:shd w:val="clear" w:color="auto" w:fill="auto"/>
            <w:hideMark/>
          </w:tcPr>
          <w:p w14:paraId="74D478E2" w14:textId="12CBB4C7" w:rsidR="00F5638C" w:rsidRDefault="00F5638C" w:rsidP="00BE50CF">
            <w:pPr>
              <w:pStyle w:val="Tabletext"/>
            </w:pPr>
            <w:r>
              <w:t xml:space="preserve">1.  </w:t>
            </w:r>
            <w:r w:rsidR="00204AAE">
              <w:t xml:space="preserve">The whole of the </w:t>
            </w:r>
            <w:r w:rsidR="00E06D73">
              <w:t>instrument</w:t>
            </w:r>
          </w:p>
        </w:tc>
        <w:tc>
          <w:tcPr>
            <w:tcW w:w="4394" w:type="dxa"/>
            <w:tcBorders>
              <w:top w:val="single" w:sz="12" w:space="0" w:color="auto"/>
              <w:bottom w:val="single" w:sz="12" w:space="0" w:color="auto"/>
            </w:tcBorders>
            <w:shd w:val="clear" w:color="auto" w:fill="auto"/>
            <w:hideMark/>
          </w:tcPr>
          <w:p w14:paraId="162E69B8" w14:textId="77777777" w:rsidR="00F5638C" w:rsidRDefault="00F5638C" w:rsidP="00BE50CF">
            <w:pPr>
              <w:pStyle w:val="Tabletext"/>
            </w:pPr>
            <w:r>
              <w:t>The day after this instrument is registered.</w:t>
            </w:r>
          </w:p>
        </w:tc>
        <w:tc>
          <w:tcPr>
            <w:tcW w:w="1843" w:type="dxa"/>
            <w:tcBorders>
              <w:top w:val="single" w:sz="12" w:space="0" w:color="auto"/>
              <w:bottom w:val="single" w:sz="12" w:space="0" w:color="auto"/>
            </w:tcBorders>
            <w:shd w:val="clear" w:color="auto" w:fill="auto"/>
          </w:tcPr>
          <w:p w14:paraId="0D9A75D0" w14:textId="77777777" w:rsidR="00F5638C" w:rsidRDefault="00F5638C" w:rsidP="00BE50CF">
            <w:pPr>
              <w:pStyle w:val="Tabletext"/>
            </w:pPr>
          </w:p>
        </w:tc>
      </w:tr>
    </w:tbl>
    <w:p w14:paraId="131DC907" w14:textId="77777777" w:rsidR="00F5638C" w:rsidRPr="001E6DD6" w:rsidRDefault="00F5638C" w:rsidP="00F5638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t>instrument</w:t>
      </w:r>
      <w:r w:rsidRPr="005F477A">
        <w:rPr>
          <w:snapToGrid w:val="0"/>
          <w:lang w:eastAsia="en-US"/>
        </w:rPr>
        <w:t>.</w:t>
      </w:r>
    </w:p>
    <w:p w14:paraId="73A6FC34" w14:textId="0E62C846" w:rsidR="00F5638C" w:rsidRDefault="00F5638C" w:rsidP="00EB12E0">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68265E95" w14:textId="77777777" w:rsidR="00F5638C" w:rsidRDefault="00F5638C" w:rsidP="00F5638C">
      <w:pPr>
        <w:pStyle w:val="ActHead5"/>
      </w:pPr>
      <w:bookmarkStart w:id="10" w:name="_Toc193375978"/>
      <w:r>
        <w:t>3  Authority</w:t>
      </w:r>
      <w:bookmarkEnd w:id="10"/>
    </w:p>
    <w:p w14:paraId="23077889" w14:textId="7B844782" w:rsidR="00F5638C" w:rsidRPr="007769D4" w:rsidRDefault="00F5638C" w:rsidP="00F5638C">
      <w:pPr>
        <w:pStyle w:val="subsection"/>
      </w:pPr>
      <w:r>
        <w:tab/>
      </w:r>
      <w:r>
        <w:tab/>
        <w:t xml:space="preserve">This instrument is made under the </w:t>
      </w:r>
      <w:r w:rsidR="006E7B78" w:rsidRPr="006E7B78">
        <w:rPr>
          <w:i/>
        </w:rPr>
        <w:t>Income Tax Assessment Act 1997</w:t>
      </w:r>
      <w:r>
        <w:rPr>
          <w:i/>
        </w:rPr>
        <w:t>.</w:t>
      </w:r>
    </w:p>
    <w:p w14:paraId="70A7E3A7" w14:textId="77777777" w:rsidR="00F5638C" w:rsidRDefault="00F5638C" w:rsidP="00F5638C">
      <w:pPr>
        <w:pStyle w:val="ActHead5"/>
      </w:pPr>
      <w:bookmarkStart w:id="11" w:name="_Toc193375979"/>
      <w:r>
        <w:t>4  Schedules</w:t>
      </w:r>
      <w:bookmarkEnd w:id="11"/>
    </w:p>
    <w:p w14:paraId="73D56D3C" w14:textId="77777777" w:rsidR="00F5638C" w:rsidRDefault="00F5638C" w:rsidP="00F5638C">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09B61030" w14:textId="7E8CF971" w:rsidR="00F5638C" w:rsidRDefault="00F5638C" w:rsidP="00A87467">
      <w:pPr>
        <w:pStyle w:val="ActHead6"/>
        <w:pageBreakBefore/>
      </w:pPr>
      <w:bookmarkStart w:id="12" w:name="_Toc193375980"/>
      <w:r w:rsidRPr="00291167">
        <w:rPr>
          <w:rStyle w:val="CharAmSchNo"/>
        </w:rPr>
        <w:lastRenderedPageBreak/>
        <w:t>Schedule 1</w:t>
      </w:r>
      <w:r>
        <w:t>—</w:t>
      </w:r>
      <w:r w:rsidRPr="00291167">
        <w:rPr>
          <w:rStyle w:val="CharAmSchText"/>
        </w:rPr>
        <w:t>Amendments</w:t>
      </w:r>
      <w:bookmarkEnd w:id="12"/>
    </w:p>
    <w:p w14:paraId="11B376E4" w14:textId="77777777" w:rsidR="00D5242D" w:rsidRDefault="00D5242D" w:rsidP="00D5242D">
      <w:pPr>
        <w:pStyle w:val="Header"/>
      </w:pPr>
      <w:r>
        <w:t xml:space="preserve">  </w:t>
      </w:r>
    </w:p>
    <w:p w14:paraId="303F6F0B" w14:textId="77777777" w:rsidR="00F72CA6" w:rsidRDefault="00F72CA6" w:rsidP="00F72CA6">
      <w:pPr>
        <w:pStyle w:val="ActHead9"/>
      </w:pPr>
      <w:bookmarkStart w:id="13" w:name="opcCurrentPosition"/>
      <w:bookmarkStart w:id="14" w:name="_Toc193375981"/>
      <w:bookmarkEnd w:id="13"/>
      <w:r w:rsidRPr="00C3338D">
        <w:t>Income Tax Assessment (Build to Rent Developments) Determination 2024</w:t>
      </w:r>
      <w:bookmarkEnd w:id="14"/>
    </w:p>
    <w:p w14:paraId="5CCB051E" w14:textId="36512D41" w:rsidR="00323A00" w:rsidRDefault="00323A00" w:rsidP="002E51F0">
      <w:pPr>
        <w:pStyle w:val="ItemHead"/>
      </w:pPr>
      <w:r>
        <w:t xml:space="preserve">1  </w:t>
      </w:r>
      <w:r w:rsidR="00B16B49">
        <w:t xml:space="preserve">Section 4 </w:t>
      </w:r>
      <w:r w:rsidR="00AE2841">
        <w:t>(</w:t>
      </w:r>
      <w:r w:rsidR="00B16B49">
        <w:t xml:space="preserve">paragraph (c) of the definition of </w:t>
      </w:r>
      <w:r w:rsidR="00B16B49" w:rsidRPr="007A7CE0">
        <w:rPr>
          <w:i/>
          <w:iCs/>
        </w:rPr>
        <w:t>assessing event</w:t>
      </w:r>
      <w:r w:rsidR="00AE2841">
        <w:t>)</w:t>
      </w:r>
    </w:p>
    <w:p w14:paraId="7A3A910C" w14:textId="73552B8C" w:rsidR="001B61A8" w:rsidRDefault="00AC668E" w:rsidP="001B61A8">
      <w:pPr>
        <w:pStyle w:val="Item"/>
      </w:pPr>
      <w:r>
        <w:t>At the end of the paragraph</w:t>
      </w:r>
      <w:r w:rsidR="001B61A8">
        <w:t xml:space="preserve">, </w:t>
      </w:r>
      <w:r>
        <w:t>add</w:t>
      </w:r>
      <w:r w:rsidR="00783C48">
        <w:t>:</w:t>
      </w:r>
    </w:p>
    <w:p w14:paraId="7CA6B3C6" w14:textId="6006CDDE" w:rsidR="00783C48" w:rsidRDefault="002435FB" w:rsidP="001B61A8">
      <w:pPr>
        <w:pStyle w:val="paragraphsub"/>
      </w:pPr>
      <w:r>
        <w:tab/>
      </w:r>
      <w:r w:rsidR="00AC668E">
        <w:t xml:space="preserve">; </w:t>
      </w:r>
      <w:r w:rsidR="00783C48">
        <w:t>(</w:t>
      </w:r>
      <w:r w:rsidR="005C3ADA">
        <w:t>iii)</w:t>
      </w:r>
      <w:r w:rsidR="005C3ADA">
        <w:tab/>
      </w:r>
      <w:r w:rsidR="006F14F7">
        <w:t>an individual</w:t>
      </w:r>
      <w:r w:rsidR="00A6296D">
        <w:t xml:space="preserve"> occupying the dwelling </w:t>
      </w:r>
      <w:r w:rsidR="006930B2">
        <w:t>provid</w:t>
      </w:r>
      <w:r w:rsidR="00AC668E">
        <w:t>ing</w:t>
      </w:r>
      <w:r w:rsidR="006930B2">
        <w:t xml:space="preserve"> a notice </w:t>
      </w:r>
      <w:r w:rsidR="001F4D59">
        <w:t>under subsection 7(</w:t>
      </w:r>
      <w:r w:rsidR="00C272AB">
        <w:t>6</w:t>
      </w:r>
      <w:r w:rsidR="001F4D59">
        <w:t>)</w:t>
      </w:r>
      <w:r w:rsidR="00BA1A0F">
        <w:t>.</w:t>
      </w:r>
    </w:p>
    <w:p w14:paraId="0856C9D5" w14:textId="28D597E2" w:rsidR="002E51F0" w:rsidRDefault="00DC17C6" w:rsidP="002E51F0">
      <w:pPr>
        <w:pStyle w:val="ItemHead"/>
      </w:pPr>
      <w:r>
        <w:t>2</w:t>
      </w:r>
      <w:r w:rsidR="002E51F0">
        <w:t xml:space="preserve">  Section 4</w:t>
      </w:r>
    </w:p>
    <w:p w14:paraId="0489A4C2" w14:textId="77777777" w:rsidR="002E51F0" w:rsidRDefault="002E51F0" w:rsidP="002E51F0">
      <w:pPr>
        <w:pStyle w:val="Item"/>
      </w:pPr>
      <w:r>
        <w:t>Insert:</w:t>
      </w:r>
    </w:p>
    <w:p w14:paraId="2090A6DC" w14:textId="79AD6A01" w:rsidR="00611B14" w:rsidRDefault="0083743A" w:rsidP="002E51F0">
      <w:pPr>
        <w:pStyle w:val="Definition"/>
        <w:rPr>
          <w:b/>
          <w:bCs/>
          <w:i/>
          <w:iCs/>
        </w:rPr>
      </w:pPr>
      <w:r w:rsidRPr="0083743A">
        <w:rPr>
          <w:b/>
          <w:bCs/>
          <w:i/>
          <w:iCs/>
        </w:rPr>
        <w:t>BTR owner</w:t>
      </w:r>
      <w:r w:rsidR="00E34A0B">
        <w:t>,</w:t>
      </w:r>
      <w:r w:rsidR="00633E7E" w:rsidRPr="00C113C8">
        <w:t xml:space="preserve"> </w:t>
      </w:r>
      <w:r w:rsidR="003315D0">
        <w:t>in relation to a dwelling</w:t>
      </w:r>
      <w:r w:rsidR="00E34A0B">
        <w:t>,</w:t>
      </w:r>
      <w:r w:rsidR="003315D0">
        <w:t xml:space="preserve"> </w:t>
      </w:r>
      <w:r w:rsidR="00265DA9" w:rsidRPr="00C113C8">
        <w:t>means the owner</w:t>
      </w:r>
      <w:r w:rsidRPr="00C113C8">
        <w:t xml:space="preserve"> of the dwelling that form</w:t>
      </w:r>
      <w:r w:rsidR="002A4BDE">
        <w:t xml:space="preserve">s part </w:t>
      </w:r>
      <w:r w:rsidR="0085341E">
        <w:t>of</w:t>
      </w:r>
      <w:r w:rsidRPr="00C113C8">
        <w:t xml:space="preserve"> </w:t>
      </w:r>
      <w:r w:rsidR="003235A2">
        <w:t>a</w:t>
      </w:r>
      <w:r w:rsidRPr="00C113C8">
        <w:t xml:space="preserve"> build to rent development</w:t>
      </w:r>
      <w:r w:rsidR="004C279F" w:rsidRPr="00C113C8">
        <w:t>.</w:t>
      </w:r>
    </w:p>
    <w:p w14:paraId="11F293C5" w14:textId="03D27387" w:rsidR="001532DB" w:rsidRPr="001532DB" w:rsidRDefault="001532DB" w:rsidP="002E51F0">
      <w:pPr>
        <w:pStyle w:val="Definition"/>
      </w:pPr>
      <w:r>
        <w:rPr>
          <w:b/>
          <w:bCs/>
          <w:i/>
          <w:iCs/>
        </w:rPr>
        <w:t>low</w:t>
      </w:r>
      <w:r w:rsidR="00FC353A">
        <w:rPr>
          <w:b/>
          <w:bCs/>
          <w:i/>
          <w:iCs/>
        </w:rPr>
        <w:t>er</w:t>
      </w:r>
      <w:r>
        <w:rPr>
          <w:b/>
          <w:bCs/>
          <w:i/>
          <w:iCs/>
        </w:rPr>
        <w:t>-income dwelling</w:t>
      </w:r>
      <w:r>
        <w:t xml:space="preserve"> has the meaning given by subsection 7(1).</w:t>
      </w:r>
    </w:p>
    <w:p w14:paraId="09665598" w14:textId="3515BE17" w:rsidR="001532DB" w:rsidRPr="001532DB" w:rsidRDefault="001532DB" w:rsidP="002E51F0">
      <w:pPr>
        <w:pStyle w:val="Definition"/>
      </w:pPr>
      <w:r>
        <w:rPr>
          <w:b/>
          <w:bCs/>
          <w:i/>
          <w:iCs/>
        </w:rPr>
        <w:t>m</w:t>
      </w:r>
      <w:r w:rsidR="001B1E3A">
        <w:rPr>
          <w:b/>
          <w:bCs/>
          <w:i/>
          <w:iCs/>
        </w:rPr>
        <w:t>oderate</w:t>
      </w:r>
      <w:r>
        <w:rPr>
          <w:b/>
          <w:bCs/>
          <w:i/>
          <w:iCs/>
        </w:rPr>
        <w:t>-income dwelling</w:t>
      </w:r>
      <w:r>
        <w:t xml:space="preserve"> has the meaning given by subsection 6(1).</w:t>
      </w:r>
    </w:p>
    <w:p w14:paraId="2CD7BA58" w14:textId="457EEE1A" w:rsidR="00DC17C6" w:rsidRDefault="00DC17C6" w:rsidP="00A87467">
      <w:pPr>
        <w:pStyle w:val="ItemHead"/>
      </w:pPr>
      <w:r>
        <w:t>3  Section 5</w:t>
      </w:r>
    </w:p>
    <w:p w14:paraId="21F4F15C" w14:textId="33C42CCB" w:rsidR="00DC17C6" w:rsidRDefault="00DC17C6" w:rsidP="00DC17C6">
      <w:pPr>
        <w:pStyle w:val="Item"/>
      </w:pPr>
      <w:r>
        <w:t>Repeal the section, substitute:</w:t>
      </w:r>
    </w:p>
    <w:p w14:paraId="4E04B4D2" w14:textId="77777777" w:rsidR="000627D5" w:rsidRDefault="000627D5" w:rsidP="000627D5">
      <w:pPr>
        <w:pStyle w:val="ActHead5"/>
      </w:pPr>
      <w:bookmarkStart w:id="15" w:name="_Toc193375982"/>
      <w:r>
        <w:t>5  Requirements for affordable dwellings</w:t>
      </w:r>
      <w:bookmarkEnd w:id="15"/>
    </w:p>
    <w:p w14:paraId="281D2F74" w14:textId="15FC7E1E" w:rsidR="00DC17C6" w:rsidRPr="00DC17C6" w:rsidRDefault="000627D5" w:rsidP="000627D5">
      <w:pPr>
        <w:pStyle w:val="subsection"/>
      </w:pPr>
      <w:r>
        <w:tab/>
        <w:t>(1)</w:t>
      </w:r>
      <w:r>
        <w:tab/>
        <w:t>Under subsection 43</w:t>
      </w:r>
      <w:r>
        <w:rPr>
          <w:rFonts w:ascii="Cambria Math" w:hAnsi="Cambria Math" w:cs="Cambria Math"/>
        </w:rPr>
        <w:t>‑</w:t>
      </w:r>
      <w:r>
        <w:t>153(3) of the Act, each of the following requirements for a dwelling to be an affordable dwelling are determined:</w:t>
      </w:r>
    </w:p>
    <w:p w14:paraId="54AFE3F3" w14:textId="77777777" w:rsidR="00224659" w:rsidRDefault="00224659" w:rsidP="00224659">
      <w:pPr>
        <w:pStyle w:val="paragraph"/>
      </w:pPr>
      <w:r>
        <w:tab/>
        <w:t>(a)</w:t>
      </w:r>
      <w:r>
        <w:tab/>
        <w:t>the dwelling is either:</w:t>
      </w:r>
    </w:p>
    <w:p w14:paraId="7AC8B8CA" w14:textId="55CC5DA4" w:rsidR="00224659" w:rsidRDefault="00224659" w:rsidP="008F0A5E">
      <w:pPr>
        <w:pStyle w:val="paragraphsub"/>
      </w:pPr>
      <w:r>
        <w:tab/>
        <w:t>(i)</w:t>
      </w:r>
      <w:r>
        <w:tab/>
        <w:t>a m</w:t>
      </w:r>
      <w:r w:rsidR="001B1E3A">
        <w:t>oderate</w:t>
      </w:r>
      <w:r>
        <w:t>-income dwelling; or</w:t>
      </w:r>
    </w:p>
    <w:p w14:paraId="01662395" w14:textId="78F2EE1C" w:rsidR="00224659" w:rsidRDefault="00224659" w:rsidP="008F0A5E">
      <w:pPr>
        <w:pStyle w:val="paragraphsub"/>
      </w:pPr>
      <w:r>
        <w:tab/>
        <w:t>(ii)</w:t>
      </w:r>
      <w:r>
        <w:tab/>
        <w:t>a low</w:t>
      </w:r>
      <w:r w:rsidR="00FC353A">
        <w:t>er</w:t>
      </w:r>
      <w:r>
        <w:t>-income dwelling;</w:t>
      </w:r>
    </w:p>
    <w:p w14:paraId="6B534BD3" w14:textId="1615210D" w:rsidR="0055161D" w:rsidRDefault="00224659" w:rsidP="008F0A5E">
      <w:pPr>
        <w:pStyle w:val="paragraph"/>
      </w:pPr>
      <w:r>
        <w:tab/>
        <w:t>(</w:t>
      </w:r>
      <w:r w:rsidR="008F0A5E">
        <w:t>b</w:t>
      </w:r>
      <w:r>
        <w:t>)</w:t>
      </w:r>
      <w:r>
        <w:tab/>
        <w:t xml:space="preserve">the dwelling </w:t>
      </w:r>
      <w:r w:rsidRPr="00103062">
        <w:t>is part of a build to rent development in</w:t>
      </w:r>
      <w:r>
        <w:t xml:space="preserve"> which</w:t>
      </w:r>
      <w:r w:rsidR="00995A38">
        <w:t xml:space="preserve"> the number of dwellings that </w:t>
      </w:r>
      <w:r>
        <w:t>are low</w:t>
      </w:r>
      <w:r w:rsidR="00287716">
        <w:t>er</w:t>
      </w:r>
      <w:r>
        <w:t>-income dwellings</w:t>
      </w:r>
      <w:r w:rsidR="009D143E">
        <w:t xml:space="preserve"> is equal to or greater than</w:t>
      </w:r>
      <w:r w:rsidR="00974AF5">
        <w:t>:</w:t>
      </w:r>
    </w:p>
    <w:p w14:paraId="14B62FF8" w14:textId="7B22B4F8" w:rsidR="009D143E" w:rsidRDefault="009D143E" w:rsidP="009D143E">
      <w:pPr>
        <w:pStyle w:val="paragraphsub"/>
      </w:pPr>
      <w:r>
        <w:tab/>
        <w:t>(i)</w:t>
      </w:r>
      <w:r>
        <w:tab/>
      </w:r>
      <w:r w:rsidRPr="009D143E">
        <w:t>2% of the</w:t>
      </w:r>
      <w:r>
        <w:t xml:space="preserve"> number of the</w:t>
      </w:r>
      <w:r w:rsidRPr="009D143E">
        <w:t xml:space="preserve"> dwellings</w:t>
      </w:r>
      <w:r w:rsidR="00F806FF">
        <w:t>; or</w:t>
      </w:r>
    </w:p>
    <w:p w14:paraId="690B682F" w14:textId="737A859B" w:rsidR="00F806FF" w:rsidRDefault="00F806FF" w:rsidP="00BD5906">
      <w:pPr>
        <w:pStyle w:val="paragraphsub"/>
      </w:pPr>
      <w:r>
        <w:tab/>
        <w:t>(ii)</w:t>
      </w:r>
      <w:r>
        <w:tab/>
      </w:r>
      <w:r w:rsidRPr="00F806FF">
        <w:t>if the number of dwellings worked out under subparagraph (i) is not a whole number—that number rounded down to the nearest whole number of dwellings;</w:t>
      </w:r>
    </w:p>
    <w:p w14:paraId="1A71664F" w14:textId="02D358F1" w:rsidR="00696ABC" w:rsidRDefault="00696ABC" w:rsidP="00696ABC">
      <w:pPr>
        <w:pStyle w:val="paragraph"/>
      </w:pPr>
      <w:r>
        <w:tab/>
        <w:t>(c)</w:t>
      </w:r>
      <w:r>
        <w:tab/>
      </w:r>
      <w:r w:rsidRPr="002E4DAA">
        <w:t xml:space="preserve">the dwelling </w:t>
      </w:r>
      <w:r w:rsidRPr="00103062">
        <w:t>is part of a build to rent development t</w:t>
      </w:r>
      <w:r w:rsidRPr="002E4DAA">
        <w:t>hat satisfies subsection</w:t>
      </w:r>
      <w:r w:rsidR="00BB5DA8">
        <w:t> </w:t>
      </w:r>
      <w:r w:rsidRPr="002E4DAA">
        <w:t>(</w:t>
      </w:r>
      <w:r w:rsidR="00C63BA9">
        <w:t>2</w:t>
      </w:r>
      <w:r w:rsidRPr="002E4DAA">
        <w:t>)</w:t>
      </w:r>
      <w:r w:rsidR="00EA33FD">
        <w:t>;</w:t>
      </w:r>
    </w:p>
    <w:p w14:paraId="06A56DE0" w14:textId="73738B75" w:rsidR="009A3925" w:rsidRDefault="00FE20FE" w:rsidP="000A3963">
      <w:pPr>
        <w:pStyle w:val="paragraph"/>
      </w:pPr>
      <w:r>
        <w:tab/>
        <w:t>(d)</w:t>
      </w:r>
      <w:r>
        <w:tab/>
        <w:t>if the dwelling is tenanted</w:t>
      </w:r>
      <w:r w:rsidRPr="00A10F51">
        <w:t>—</w:t>
      </w:r>
      <w:r w:rsidR="007A46E6">
        <w:t>each tenant</w:t>
      </w:r>
      <w:r>
        <w:t xml:space="preserve"> of the dwelling w</w:t>
      </w:r>
      <w:r w:rsidR="007A46E6">
        <w:t xml:space="preserve">as </w:t>
      </w:r>
      <w:r w:rsidR="0058662C">
        <w:t>identified b</w:t>
      </w:r>
      <w:r w:rsidR="00FC5310">
        <w:t xml:space="preserve">y </w:t>
      </w:r>
      <w:r w:rsidR="000E027E">
        <w:t xml:space="preserve">an </w:t>
      </w:r>
      <w:r w:rsidR="00EB2394">
        <w:t xml:space="preserve">eligible </w:t>
      </w:r>
      <w:r w:rsidR="001A7FD6">
        <w:t>community housing provider</w:t>
      </w:r>
      <w:r w:rsidR="00F46481">
        <w:t xml:space="preserve"> as a pro</w:t>
      </w:r>
      <w:r w:rsidR="005D387D">
        <w:t>spective tenant for the dwelling</w:t>
      </w:r>
      <w:r w:rsidR="00697D00">
        <w:t xml:space="preserve"> </w:t>
      </w:r>
      <w:r w:rsidR="00697D00" w:rsidRPr="00697D00">
        <w:t>(having regard only to the requirements for dwellings in this instrument</w:t>
      </w:r>
      <w:r w:rsidR="00057B60">
        <w:t xml:space="preserve"> and any matter </w:t>
      </w:r>
      <w:r w:rsidR="00D305EC">
        <w:t>expressly</w:t>
      </w:r>
      <w:r w:rsidR="00057B60">
        <w:t xml:space="preserve"> advised to t</w:t>
      </w:r>
      <w:r w:rsidR="009E05C0">
        <w:t xml:space="preserve">he provider by the </w:t>
      </w:r>
      <w:r w:rsidR="00555675" w:rsidRPr="00C113C8">
        <w:t>BTR owner</w:t>
      </w:r>
      <w:r w:rsidR="00697D00" w:rsidRPr="00697D00">
        <w:t>)</w:t>
      </w:r>
      <w:r w:rsidR="00A45FC8">
        <w:t>.</w:t>
      </w:r>
    </w:p>
    <w:p w14:paraId="60079ED4" w14:textId="4F36916E" w:rsidR="003D181B" w:rsidRDefault="00D23430" w:rsidP="00D23430">
      <w:pPr>
        <w:pStyle w:val="subsection"/>
      </w:pPr>
      <w:r>
        <w:tab/>
        <w:t>(2)</w:t>
      </w:r>
      <w:r>
        <w:tab/>
        <w:t xml:space="preserve">For the purposes of paragraph (1)(c) a build to rent development satisfies this subsection if the </w:t>
      </w:r>
      <w:r w:rsidRPr="003A6C7A">
        <w:t>BTR owner</w:t>
      </w:r>
      <w:r>
        <w:t xml:space="preserve"> engages </w:t>
      </w:r>
      <w:r w:rsidR="00351A81">
        <w:t xml:space="preserve">an </w:t>
      </w:r>
      <w:r w:rsidR="00351A81" w:rsidRPr="00351A81">
        <w:t>eligible community housing provider</w:t>
      </w:r>
      <w:r>
        <w:t xml:space="preserve"> to </w:t>
      </w:r>
      <w:r w:rsidR="00FD5FF5">
        <w:t>assist the</w:t>
      </w:r>
      <w:r>
        <w:t xml:space="preserve"> BTR owner to</w:t>
      </w:r>
      <w:r w:rsidR="00EB76D3">
        <w:t>:</w:t>
      </w:r>
    </w:p>
    <w:p w14:paraId="77A142A0" w14:textId="520C93B7" w:rsidR="00D23430" w:rsidRDefault="00B60623" w:rsidP="00B60623">
      <w:pPr>
        <w:pStyle w:val="paragraph"/>
      </w:pPr>
      <w:r>
        <w:tab/>
        <w:t>(a)</w:t>
      </w:r>
      <w:r>
        <w:tab/>
      </w:r>
      <w:r w:rsidR="00C55CA2">
        <w:t>identify</w:t>
      </w:r>
      <w:r w:rsidR="00D23430">
        <w:t xml:space="preserve"> prospective tenants for </w:t>
      </w:r>
      <w:r w:rsidR="00CA6FAA">
        <w:t>each</w:t>
      </w:r>
      <w:r w:rsidR="00D23430">
        <w:t xml:space="preserve"> affordable dwelling in the development</w:t>
      </w:r>
      <w:r w:rsidR="009C6CF2">
        <w:t>; and</w:t>
      </w:r>
    </w:p>
    <w:p w14:paraId="5ADEB259" w14:textId="7047C655" w:rsidR="009C6CF2" w:rsidRDefault="009C6CF2">
      <w:pPr>
        <w:pStyle w:val="paragraph"/>
      </w:pPr>
      <w:r>
        <w:lastRenderedPageBreak/>
        <w:tab/>
        <w:t>(b)</w:t>
      </w:r>
      <w:r>
        <w:tab/>
      </w:r>
      <w:r w:rsidR="00BD4DFE">
        <w:t>ascertain</w:t>
      </w:r>
      <w:r w:rsidR="00FA29B7">
        <w:t xml:space="preserve">, </w:t>
      </w:r>
      <w:r w:rsidR="00B50EF0">
        <w:t>for</w:t>
      </w:r>
      <w:r w:rsidR="00FA29B7">
        <w:t xml:space="preserve"> each assessing event </w:t>
      </w:r>
      <w:r w:rsidR="004E5E22">
        <w:t>in relation to</w:t>
      </w:r>
      <w:r w:rsidR="00FA29B7">
        <w:t xml:space="preserve"> </w:t>
      </w:r>
      <w:r w:rsidR="00CE6862">
        <w:t>each</w:t>
      </w:r>
      <w:r w:rsidR="00FA29B7">
        <w:t xml:space="preserve"> affordable dwelling</w:t>
      </w:r>
      <w:r w:rsidR="00E5141C">
        <w:t xml:space="preserve"> in the development, w</w:t>
      </w:r>
      <w:r w:rsidR="009D384C">
        <w:t xml:space="preserve">hether </w:t>
      </w:r>
      <w:r w:rsidR="00E5141C">
        <w:t>the</w:t>
      </w:r>
      <w:r w:rsidR="00B95E5C">
        <w:t xml:space="preserve"> dwelling satisf</w:t>
      </w:r>
      <w:r w:rsidR="00CE6862">
        <w:t>ies</w:t>
      </w:r>
      <w:r w:rsidR="00B95E5C">
        <w:t xml:space="preserve"> the criteria in subsection</w:t>
      </w:r>
      <w:r w:rsidR="006E525D">
        <w:t> </w:t>
      </w:r>
      <w:r w:rsidR="00B95E5C">
        <w:t xml:space="preserve">6(2) </w:t>
      </w:r>
      <w:r w:rsidR="003B7F02">
        <w:t>or</w:t>
      </w:r>
      <w:r w:rsidR="00B95E5C">
        <w:t xml:space="preserve"> </w:t>
      </w:r>
      <w:r w:rsidR="000E2E82">
        <w:t>7</w:t>
      </w:r>
      <w:r w:rsidR="00B95E5C">
        <w:t>(2)</w:t>
      </w:r>
      <w:r w:rsidR="006E525D">
        <w:t xml:space="preserve"> (whichever applies</w:t>
      </w:r>
      <w:r w:rsidR="00B95E5C">
        <w:t>)</w:t>
      </w:r>
      <w:r w:rsidR="000E2E82">
        <w:t>.</w:t>
      </w:r>
    </w:p>
    <w:p w14:paraId="3F6DC928" w14:textId="1EAB16E9" w:rsidR="000A3963" w:rsidRDefault="000A3963" w:rsidP="000A3963">
      <w:pPr>
        <w:pStyle w:val="subsection"/>
      </w:pPr>
      <w:r>
        <w:tab/>
        <w:t>(3)</w:t>
      </w:r>
      <w:r>
        <w:tab/>
        <w:t>The requirement</w:t>
      </w:r>
      <w:r w:rsidR="00E070D5">
        <w:t>s</w:t>
      </w:r>
      <w:r>
        <w:t xml:space="preserve"> in paragraph</w:t>
      </w:r>
      <w:r w:rsidR="00E070D5">
        <w:t>s</w:t>
      </w:r>
      <w:r>
        <w:t xml:space="preserve"> (1)(</w:t>
      </w:r>
      <w:r w:rsidR="00E070D5">
        <w:t xml:space="preserve">c) and </w:t>
      </w:r>
      <w:r>
        <w:t>(d)</w:t>
      </w:r>
      <w:r w:rsidR="00D15315">
        <w:t xml:space="preserve"> do </w:t>
      </w:r>
      <w:r w:rsidR="00D15315" w:rsidRPr="00C113C8">
        <w:rPr>
          <w:i/>
          <w:iCs/>
        </w:rPr>
        <w:t>not</w:t>
      </w:r>
      <w:r w:rsidR="00D15315">
        <w:t xml:space="preserve"> apply to a dwelling if special circumstances exist in relation to the dwelling.</w:t>
      </w:r>
    </w:p>
    <w:p w14:paraId="0FDEB7A4" w14:textId="2D3C3438" w:rsidR="00103ADB" w:rsidRPr="00AC5C4F" w:rsidRDefault="000015D3" w:rsidP="00103ADB">
      <w:pPr>
        <w:pStyle w:val="ActHead5"/>
        <w:rPr>
          <w:rStyle w:val="CharSectno"/>
        </w:rPr>
      </w:pPr>
      <w:bookmarkStart w:id="16" w:name="_Toc193375983"/>
      <w:r>
        <w:rPr>
          <w:rStyle w:val="CharSectno"/>
        </w:rPr>
        <w:t>6</w:t>
      </w:r>
      <w:r w:rsidR="00103ADB" w:rsidRPr="00AC5C4F">
        <w:rPr>
          <w:rStyle w:val="CharSectno"/>
        </w:rPr>
        <w:t xml:space="preserve">  </w:t>
      </w:r>
      <w:r w:rsidR="00103ADB">
        <w:rPr>
          <w:rStyle w:val="CharSectno"/>
        </w:rPr>
        <w:t xml:space="preserve">Meaning of </w:t>
      </w:r>
      <w:r w:rsidR="001B1E3A">
        <w:rPr>
          <w:rStyle w:val="CharSectno"/>
        </w:rPr>
        <w:t>moderate</w:t>
      </w:r>
      <w:r w:rsidR="00103ADB">
        <w:rPr>
          <w:rStyle w:val="CharSectno"/>
        </w:rPr>
        <w:t>-income dwelling</w:t>
      </w:r>
      <w:bookmarkEnd w:id="16"/>
    </w:p>
    <w:p w14:paraId="6F8BFD2E" w14:textId="20D3AD33" w:rsidR="00103ADB" w:rsidRDefault="00103ADB" w:rsidP="00103ADB">
      <w:pPr>
        <w:pStyle w:val="subsection"/>
      </w:pPr>
      <w:r>
        <w:tab/>
        <w:t>(1)</w:t>
      </w:r>
      <w:r>
        <w:tab/>
        <w:t xml:space="preserve">A dwelling is a </w:t>
      </w:r>
      <w:r w:rsidRPr="00890325">
        <w:rPr>
          <w:b/>
          <w:bCs/>
          <w:i/>
          <w:iCs/>
        </w:rPr>
        <w:t>m</w:t>
      </w:r>
      <w:r w:rsidR="001B1E3A">
        <w:rPr>
          <w:b/>
          <w:bCs/>
          <w:i/>
          <w:iCs/>
        </w:rPr>
        <w:t>oderate</w:t>
      </w:r>
      <w:r w:rsidR="00C97181">
        <w:rPr>
          <w:b/>
          <w:bCs/>
          <w:i/>
          <w:iCs/>
        </w:rPr>
        <w:t>-</w:t>
      </w:r>
      <w:r w:rsidRPr="00890325">
        <w:rPr>
          <w:b/>
          <w:bCs/>
          <w:i/>
          <w:iCs/>
        </w:rPr>
        <w:t>income dwelling</w:t>
      </w:r>
      <w:r>
        <w:t xml:space="preserve"> if:</w:t>
      </w:r>
    </w:p>
    <w:p w14:paraId="687CD268" w14:textId="02C866AC" w:rsidR="00103ADB" w:rsidRDefault="00103ADB" w:rsidP="00103ADB">
      <w:pPr>
        <w:pStyle w:val="paragraph"/>
      </w:pPr>
      <w:r>
        <w:tab/>
        <w:t>(a)</w:t>
      </w:r>
      <w:r>
        <w:tab/>
        <w:t>the dwelling</w:t>
      </w:r>
      <w:r w:rsidR="00C97181">
        <w:t xml:space="preserve"> satisfies</w:t>
      </w:r>
      <w:r>
        <w:t xml:space="preserve"> the criteria set out in subsections (2) and (</w:t>
      </w:r>
      <w:r w:rsidR="006C57B5">
        <w:t>4</w:t>
      </w:r>
      <w:r>
        <w:t>); and</w:t>
      </w:r>
    </w:p>
    <w:p w14:paraId="17A0D3FF" w14:textId="69882A7E" w:rsidR="00103ADB" w:rsidRDefault="00103ADB" w:rsidP="00103ADB">
      <w:pPr>
        <w:pStyle w:val="paragraph"/>
      </w:pPr>
      <w:r>
        <w:tab/>
        <w:t>(b)</w:t>
      </w:r>
      <w:r>
        <w:tab/>
        <w:t>the dwelling is not a low</w:t>
      </w:r>
      <w:r w:rsidR="00287716">
        <w:t>er</w:t>
      </w:r>
      <w:r>
        <w:t>-income dwelling.</w:t>
      </w:r>
    </w:p>
    <w:p w14:paraId="0FF1ACEA" w14:textId="128BC423" w:rsidR="00103ADB" w:rsidRDefault="00103ADB" w:rsidP="00103ADB">
      <w:pPr>
        <w:pStyle w:val="subsection"/>
      </w:pPr>
      <w:r w:rsidRPr="00C333DE">
        <w:tab/>
        <w:t>(2)</w:t>
      </w:r>
      <w:r w:rsidRPr="00C333DE">
        <w:tab/>
        <w:t xml:space="preserve">A dwelling </w:t>
      </w:r>
      <w:r w:rsidR="00C97181">
        <w:t xml:space="preserve">satisfies </w:t>
      </w:r>
      <w:r w:rsidRPr="00C333DE">
        <w:t>the criteria in this subsection if the dwelling is tenanted, or available to be tenanted, only by one or more of the following:</w:t>
      </w:r>
    </w:p>
    <w:p w14:paraId="4583473A" w14:textId="1C3E4B27" w:rsidR="00103ADB" w:rsidRDefault="00103ADB" w:rsidP="00326F9D">
      <w:pPr>
        <w:pStyle w:val="paragraph"/>
      </w:pPr>
      <w:r>
        <w:tab/>
        <w:t>(</w:t>
      </w:r>
      <w:r w:rsidR="000015D3">
        <w:t>a</w:t>
      </w:r>
      <w:r>
        <w:t>)</w:t>
      </w:r>
      <w:r>
        <w:tab/>
        <w:t>an adult living alone whose taxable income, for the most recent income year, for which the Commissioner has given the adult a notice of assessment, ending before the dwelling’s most recent assessing event, was less than 120% of average annual earnings;</w:t>
      </w:r>
    </w:p>
    <w:p w14:paraId="58505B14" w14:textId="2F0454EB" w:rsidR="00103ADB" w:rsidRDefault="00103ADB" w:rsidP="00326F9D">
      <w:pPr>
        <w:pStyle w:val="paragraph"/>
      </w:pPr>
      <w:r>
        <w:tab/>
        <w:t>(</w:t>
      </w:r>
      <w:r w:rsidR="000015D3">
        <w:t>b</w:t>
      </w:r>
      <w:r>
        <w:t>)</w:t>
      </w:r>
      <w:r>
        <w:tab/>
        <w:t>2 or more adults living together whose combined taxable incomes, for the most recent income year, for which the Commissioner has given each adult a notice of assessment, ending before the dwelling’s most recent assessing event, was less than 130% of average annual earnings;</w:t>
      </w:r>
    </w:p>
    <w:p w14:paraId="1DC2F465" w14:textId="5A8DBB9E" w:rsidR="00103ADB" w:rsidRDefault="00103ADB" w:rsidP="00326F9D">
      <w:pPr>
        <w:pStyle w:val="paragraph"/>
      </w:pPr>
      <w:r>
        <w:tab/>
        <w:t>(</w:t>
      </w:r>
      <w:r w:rsidR="000015D3">
        <w:t>c</w:t>
      </w:r>
      <w:r>
        <w:t>)</w:t>
      </w:r>
      <w:r>
        <w:tab/>
        <w:t>one adult living with one or more dependent children of the adult, where the adult’s taxable income, for the most recent income year, for which the Commissioner has given the adult a notice of assessment, ending before the dwelling’s most recent assessing event, was less than 140% of average annual earnings;</w:t>
      </w:r>
    </w:p>
    <w:p w14:paraId="5B269045" w14:textId="4BFF5259" w:rsidR="00103ADB" w:rsidRDefault="00103ADB" w:rsidP="00326F9D">
      <w:pPr>
        <w:pStyle w:val="paragraph"/>
      </w:pPr>
      <w:r>
        <w:tab/>
        <w:t>(</w:t>
      </w:r>
      <w:r w:rsidR="000015D3">
        <w:t>d</w:t>
      </w:r>
      <w:r>
        <w:t>)</w:t>
      </w:r>
      <w:r>
        <w:tab/>
        <w:t>2 or more adults living with one or more dependent children of any of the adults, where the adults’ combined taxable incomes for the most recent income year, for which the Commissioner has given each adult a notice of assessment, ending before the dwelling’s most recent assessing event, was less than 140% of average annual earnings.</w:t>
      </w:r>
    </w:p>
    <w:p w14:paraId="0662DCDF" w14:textId="0C909821" w:rsidR="00CA273A" w:rsidRPr="00BF6C37" w:rsidRDefault="00CD2C41" w:rsidP="00CA273A">
      <w:pPr>
        <w:pStyle w:val="subsection"/>
      </w:pPr>
      <w:r w:rsidRPr="00CD2C41">
        <w:tab/>
        <w:t>(</w:t>
      </w:r>
      <w:r w:rsidR="006C57B5">
        <w:t>3</w:t>
      </w:r>
      <w:r w:rsidRPr="00CD2C41">
        <w:t>)</w:t>
      </w:r>
      <w:r w:rsidRPr="00CD2C41">
        <w:tab/>
        <w:t>Despite subsection (</w:t>
      </w:r>
      <w:r w:rsidR="00F867DB">
        <w:t>2</w:t>
      </w:r>
      <w:r w:rsidRPr="00CD2C41">
        <w:t xml:space="preserve">), if </w:t>
      </w:r>
      <w:r w:rsidRPr="00BF6C37">
        <w:t>a dwelling no longer</w:t>
      </w:r>
      <w:r w:rsidR="00C97181" w:rsidRPr="00BF6C37">
        <w:t xml:space="preserve"> satisfie</w:t>
      </w:r>
      <w:r w:rsidRPr="00BF6C37">
        <w:t>s the</w:t>
      </w:r>
      <w:r w:rsidR="00F867DB" w:rsidRPr="00BF6C37">
        <w:t xml:space="preserve"> criteria</w:t>
      </w:r>
      <w:r w:rsidRPr="00BF6C37">
        <w:t xml:space="preserve"> </w:t>
      </w:r>
      <w:r w:rsidR="00F867DB" w:rsidRPr="00BF6C37">
        <w:t xml:space="preserve">in that </w:t>
      </w:r>
      <w:r w:rsidR="00DF6F1D">
        <w:t>sub</w:t>
      </w:r>
      <w:r w:rsidR="00F867DB" w:rsidRPr="00BF6C37">
        <w:t xml:space="preserve">section </w:t>
      </w:r>
      <w:r w:rsidRPr="00BF6C37">
        <w:t xml:space="preserve">only because of an event mentioned in </w:t>
      </w:r>
      <w:r w:rsidR="00BF6C37" w:rsidRPr="00BF6C37">
        <w:t>sub</w:t>
      </w:r>
      <w:r w:rsidRPr="00BF6C37">
        <w:t>paragraph (c)</w:t>
      </w:r>
      <w:r w:rsidR="00BF6C37" w:rsidRPr="00BF6C37">
        <w:t>(i) or (ii)</w:t>
      </w:r>
      <w:r w:rsidRPr="00BF6C37">
        <w:t xml:space="preserve"> of the definition of assessing event, the dwelling is taken to continue to </w:t>
      </w:r>
      <w:r w:rsidR="007C3DD1" w:rsidRPr="00BF6C37">
        <w:t xml:space="preserve">satisfy </w:t>
      </w:r>
      <w:r w:rsidRPr="00BF6C37">
        <w:t xml:space="preserve">the </w:t>
      </w:r>
      <w:r w:rsidR="00F867DB" w:rsidRPr="00BF6C37">
        <w:t>criteria</w:t>
      </w:r>
      <w:r w:rsidR="00CA273A" w:rsidRPr="00BF6C37">
        <w:t xml:space="preserve"> until:</w:t>
      </w:r>
    </w:p>
    <w:p w14:paraId="644B0662" w14:textId="246A10DB" w:rsidR="00344AF0" w:rsidRDefault="00344AF0" w:rsidP="00344AF0">
      <w:pPr>
        <w:pStyle w:val="paragraph"/>
      </w:pPr>
      <w:r>
        <w:tab/>
        <w:t>(a)</w:t>
      </w:r>
      <w:r>
        <w:tab/>
      </w:r>
      <w:r w:rsidRPr="00277378">
        <w:t>if</w:t>
      </w:r>
      <w:r>
        <w:t>,</w:t>
      </w:r>
      <w:r w:rsidRPr="00277378">
        <w:t xml:space="preserve"> </w:t>
      </w:r>
      <w:r>
        <w:t xml:space="preserve">immediately </w:t>
      </w:r>
      <w:r w:rsidRPr="00277378">
        <w:t>before the event</w:t>
      </w:r>
      <w:r>
        <w:t>,</w:t>
      </w:r>
      <w:r w:rsidRPr="00277378">
        <w:t xml:space="preserve"> the dwelling was taken to satisfy</w:t>
      </w:r>
      <w:r>
        <w:t xml:space="preserve"> the criteria in</w:t>
      </w:r>
      <w:r w:rsidRPr="00277378">
        <w:t xml:space="preserve"> subsection (2) because of a previous application of this subsection—</w:t>
      </w:r>
      <w:r>
        <w:t>t</w:t>
      </w:r>
      <w:r w:rsidRPr="00277378">
        <w:t>he day worked out under paragraph (</w:t>
      </w:r>
      <w:r>
        <w:t>b</w:t>
      </w:r>
      <w:r w:rsidRPr="00277378">
        <w:t>) for that previous application</w:t>
      </w:r>
      <w:r>
        <w:t>; or</w:t>
      </w:r>
    </w:p>
    <w:p w14:paraId="2D40D078" w14:textId="77777777" w:rsidR="00344AF0" w:rsidRPr="00BF6C37" w:rsidRDefault="00344AF0" w:rsidP="00344AF0">
      <w:pPr>
        <w:pStyle w:val="paragraph"/>
      </w:pPr>
      <w:r>
        <w:tab/>
        <w:t>(b)</w:t>
      </w:r>
      <w:r>
        <w:tab/>
        <w:t>otherwise—</w:t>
      </w:r>
      <w:r w:rsidRPr="00BF6C37">
        <w:t>the earlier of:</w:t>
      </w:r>
    </w:p>
    <w:p w14:paraId="2A8A5088" w14:textId="77777777" w:rsidR="00344AF0" w:rsidRPr="00BF6C37" w:rsidRDefault="00344AF0" w:rsidP="00344AF0">
      <w:pPr>
        <w:pStyle w:val="paragraphsub"/>
      </w:pPr>
      <w:r w:rsidRPr="00BF6C37">
        <w:tab/>
        <w:t>(</w:t>
      </w:r>
      <w:r>
        <w:t>i</w:t>
      </w:r>
      <w:r w:rsidRPr="00BF6C37">
        <w:t>)</w:t>
      </w:r>
      <w:r w:rsidRPr="00BF6C37">
        <w:tab/>
        <w:t>the end of 12 months after the event; or</w:t>
      </w:r>
    </w:p>
    <w:p w14:paraId="17402915" w14:textId="77777777" w:rsidR="00344AF0" w:rsidRDefault="00344AF0" w:rsidP="00344AF0">
      <w:pPr>
        <w:pStyle w:val="paragraphsub"/>
      </w:pPr>
      <w:r w:rsidRPr="00BF6C37">
        <w:tab/>
        <w:t>(</w:t>
      </w:r>
      <w:r>
        <w:t>ii</w:t>
      </w:r>
      <w:r w:rsidRPr="00BF6C37">
        <w:t>)</w:t>
      </w:r>
      <w:r w:rsidRPr="00BF6C37">
        <w:tab/>
        <w:t>the end of the lease for the dwelling</w:t>
      </w:r>
      <w:r>
        <w:t>.</w:t>
      </w:r>
    </w:p>
    <w:p w14:paraId="1A44C198" w14:textId="554405D5" w:rsidR="001A7606" w:rsidRDefault="001A7606" w:rsidP="001A7606">
      <w:pPr>
        <w:pStyle w:val="subsection"/>
      </w:pPr>
      <w:r w:rsidRPr="000C3023">
        <w:tab/>
        <w:t>(</w:t>
      </w:r>
      <w:r>
        <w:t>4</w:t>
      </w:r>
      <w:r w:rsidRPr="000C3023">
        <w:t>)</w:t>
      </w:r>
      <w:r w:rsidRPr="000C3023">
        <w:tab/>
      </w:r>
      <w:r>
        <w:t>A</w:t>
      </w:r>
      <w:r w:rsidRPr="000C3023">
        <w:t xml:space="preserve"> dwelling </w:t>
      </w:r>
      <w:r>
        <w:t>satisfie</w:t>
      </w:r>
      <w:r w:rsidRPr="000C3023">
        <w:t>s the criteria in this subsection if the rent payable under a lease for the dwelling is 74.9% or less of the market value of the right to occupy the dwelling under the lease</w:t>
      </w:r>
      <w:r>
        <w:t>.</w:t>
      </w:r>
    </w:p>
    <w:p w14:paraId="5B07A6A4" w14:textId="1A6D4A83" w:rsidR="00326F9D" w:rsidRDefault="000015D3" w:rsidP="00326F9D">
      <w:pPr>
        <w:pStyle w:val="ActHead5"/>
      </w:pPr>
      <w:bookmarkStart w:id="17" w:name="_Toc193375984"/>
      <w:r>
        <w:rPr>
          <w:rStyle w:val="CharSectno"/>
        </w:rPr>
        <w:lastRenderedPageBreak/>
        <w:t>7</w:t>
      </w:r>
      <w:r w:rsidR="00326F9D" w:rsidRPr="00AC5C4F">
        <w:rPr>
          <w:rStyle w:val="CharSectno"/>
        </w:rPr>
        <w:t xml:space="preserve">  </w:t>
      </w:r>
      <w:r w:rsidR="00326F9D">
        <w:rPr>
          <w:rStyle w:val="CharSectno"/>
        </w:rPr>
        <w:t>Meaning of low</w:t>
      </w:r>
      <w:r w:rsidR="00FC353A">
        <w:rPr>
          <w:rStyle w:val="CharSectno"/>
        </w:rPr>
        <w:t>er</w:t>
      </w:r>
      <w:r w:rsidR="00326F9D">
        <w:rPr>
          <w:rStyle w:val="CharSectno"/>
        </w:rPr>
        <w:t>-income dwelling</w:t>
      </w:r>
      <w:bookmarkEnd w:id="17"/>
    </w:p>
    <w:p w14:paraId="4F90C588" w14:textId="4010B0FB" w:rsidR="00326F9D" w:rsidRDefault="00326F9D" w:rsidP="00326F9D">
      <w:pPr>
        <w:pStyle w:val="subsection"/>
      </w:pPr>
      <w:r>
        <w:tab/>
        <w:t>(1)</w:t>
      </w:r>
      <w:r>
        <w:tab/>
      </w:r>
      <w:r w:rsidR="00C97181">
        <w:t>A</w:t>
      </w:r>
      <w:r>
        <w:t xml:space="preserve"> dwelling is a </w:t>
      </w:r>
      <w:r w:rsidRPr="00CD3B94">
        <w:rPr>
          <w:b/>
          <w:bCs/>
          <w:i/>
          <w:iCs/>
        </w:rPr>
        <w:t>low</w:t>
      </w:r>
      <w:r w:rsidR="00FC353A">
        <w:rPr>
          <w:b/>
          <w:bCs/>
          <w:i/>
          <w:iCs/>
        </w:rPr>
        <w:t>er</w:t>
      </w:r>
      <w:r w:rsidRPr="00CD3B94">
        <w:rPr>
          <w:b/>
          <w:bCs/>
          <w:i/>
          <w:iCs/>
        </w:rPr>
        <w:t>-income dwelling</w:t>
      </w:r>
      <w:r>
        <w:t xml:space="preserve"> if the dwelling </w:t>
      </w:r>
      <w:r w:rsidR="00C97181">
        <w:t>satisfies</w:t>
      </w:r>
      <w:r>
        <w:t xml:space="preserve"> the criteria set out in subsections (2) and (</w:t>
      </w:r>
      <w:r w:rsidR="00A00D35">
        <w:t>4</w:t>
      </w:r>
      <w:r>
        <w:t>).</w:t>
      </w:r>
    </w:p>
    <w:p w14:paraId="7FF6D815" w14:textId="12012D1A" w:rsidR="00326F9D" w:rsidRDefault="00326F9D" w:rsidP="00326F9D">
      <w:pPr>
        <w:pStyle w:val="subsection"/>
      </w:pPr>
      <w:r>
        <w:tab/>
        <w:t>(2)</w:t>
      </w:r>
      <w:r>
        <w:tab/>
        <w:t xml:space="preserve">A dwelling </w:t>
      </w:r>
      <w:r w:rsidR="00A00D35">
        <w:t>satisfies</w:t>
      </w:r>
      <w:r>
        <w:t xml:space="preserve"> the criteria in this subsection if the dwelling is tenanted, or available to be tenanted, only by one or more of the following:</w:t>
      </w:r>
    </w:p>
    <w:p w14:paraId="3BCC8A20" w14:textId="7C286C1A" w:rsidR="00326F9D" w:rsidRDefault="00326F9D" w:rsidP="00326F9D">
      <w:pPr>
        <w:pStyle w:val="paragraph"/>
      </w:pPr>
      <w:r>
        <w:tab/>
        <w:t>(a)</w:t>
      </w:r>
      <w:r>
        <w:tab/>
        <w:t xml:space="preserve">an adult living alone whose taxable income, for the most recent income year, for which the Commissioner has given the adult a notice of assessment, ending before the dwelling’s most recent assessing event, was less than </w:t>
      </w:r>
      <w:r w:rsidR="00BE7B35">
        <w:t>75</w:t>
      </w:r>
      <w:r>
        <w:t>% of average annual earnings;</w:t>
      </w:r>
    </w:p>
    <w:p w14:paraId="30DBC811" w14:textId="35C82BC4" w:rsidR="00326F9D" w:rsidRDefault="00326F9D" w:rsidP="00326F9D">
      <w:pPr>
        <w:pStyle w:val="paragraph"/>
      </w:pPr>
      <w:r>
        <w:tab/>
        <w:t>(b)</w:t>
      </w:r>
      <w:r>
        <w:tab/>
        <w:t>2 or more adults living together whose combined taxable incomes, for the most recent income year, for which the Commissioner has given each adult a notice of assessment, ending before the dwelling’s most recent assessing event, was less than 90% of average annual earnings;</w:t>
      </w:r>
    </w:p>
    <w:p w14:paraId="7A96F0DD" w14:textId="5B43BDAB" w:rsidR="00326F9D" w:rsidRDefault="00326F9D" w:rsidP="00326F9D">
      <w:pPr>
        <w:pStyle w:val="paragraph"/>
      </w:pPr>
      <w:r>
        <w:tab/>
        <w:t>(</w:t>
      </w:r>
      <w:r w:rsidR="000015D3">
        <w:t>c</w:t>
      </w:r>
      <w:r>
        <w:t>)</w:t>
      </w:r>
      <w:r>
        <w:tab/>
        <w:t>one adult living with one or more dependent children of the adult, where the adult’s taxable income, for the most recent income year, for which the Commissioner has given the adult a notice of assessment, ending before the dwelling’s most recent assessing event, was less than 100% of average annual earnings;</w:t>
      </w:r>
    </w:p>
    <w:p w14:paraId="0BA35370" w14:textId="50D01D31" w:rsidR="00326F9D" w:rsidRPr="00BF6C37" w:rsidRDefault="00326F9D" w:rsidP="00326F9D">
      <w:pPr>
        <w:pStyle w:val="paragraph"/>
      </w:pPr>
      <w:r>
        <w:tab/>
        <w:t>(</w:t>
      </w:r>
      <w:r w:rsidR="000015D3">
        <w:t>d</w:t>
      </w:r>
      <w:r>
        <w:t>)</w:t>
      </w:r>
      <w:r>
        <w:tab/>
        <w:t xml:space="preserve">2 or more adults living with one or more dependent children of any of the adults, where the adults’ combined taxable incomes for the most recent income year, for which the Commissioner has given each adult a notice of </w:t>
      </w:r>
      <w:r w:rsidRPr="00BF6C37">
        <w:t xml:space="preserve">assessment, ending before the dwelling’s most recent assessing event, was less </w:t>
      </w:r>
      <w:r w:rsidR="002943F4">
        <w:t>than 1</w:t>
      </w:r>
      <w:r w:rsidRPr="00BF6C37">
        <w:t>00% of average annual earnings.</w:t>
      </w:r>
    </w:p>
    <w:p w14:paraId="70DD9437" w14:textId="2B6BC471" w:rsidR="00CA273A" w:rsidRPr="00BF6C37" w:rsidRDefault="00F867DB" w:rsidP="00CA273A">
      <w:pPr>
        <w:pStyle w:val="subsection"/>
      </w:pPr>
      <w:r w:rsidRPr="00BF6C37">
        <w:tab/>
        <w:t>(</w:t>
      </w:r>
      <w:r w:rsidR="00A00D35" w:rsidRPr="00BF6C37">
        <w:t>3</w:t>
      </w:r>
      <w:r w:rsidRPr="00BF6C37">
        <w:t>)</w:t>
      </w:r>
      <w:r w:rsidRPr="00BF6C37">
        <w:tab/>
        <w:t xml:space="preserve">Despite subsection (2), if a dwelling no longer </w:t>
      </w:r>
      <w:r w:rsidR="007C3DD1" w:rsidRPr="00BF6C37">
        <w:t>satisfie</w:t>
      </w:r>
      <w:r w:rsidRPr="00BF6C37">
        <w:t xml:space="preserve">s the </w:t>
      </w:r>
      <w:r w:rsidR="003905B7" w:rsidRPr="00BF6C37">
        <w:t xml:space="preserve">criteria </w:t>
      </w:r>
      <w:r w:rsidRPr="00BF6C37">
        <w:t xml:space="preserve">in that </w:t>
      </w:r>
      <w:r w:rsidR="00DF6F1D">
        <w:t>sub</w:t>
      </w:r>
      <w:r w:rsidRPr="00BF6C37">
        <w:t xml:space="preserve">section only because of an event mentioned in </w:t>
      </w:r>
      <w:r w:rsidR="00BF6C37" w:rsidRPr="00BF6C37">
        <w:t>sub</w:t>
      </w:r>
      <w:r w:rsidRPr="00BF6C37">
        <w:t>paragraph (c)</w:t>
      </w:r>
      <w:r w:rsidR="00BF6C37" w:rsidRPr="00BF6C37">
        <w:t>(i) or (ii)</w:t>
      </w:r>
      <w:r w:rsidRPr="00BF6C37">
        <w:t xml:space="preserve"> of the definition of assessing event, the dwelling is taken to continue to </w:t>
      </w:r>
      <w:r w:rsidR="007C3DD1" w:rsidRPr="00BF6C37">
        <w:t>satisfy</w:t>
      </w:r>
      <w:r w:rsidRPr="00BF6C37">
        <w:t xml:space="preserve"> the criteria </w:t>
      </w:r>
      <w:r w:rsidR="00CA273A" w:rsidRPr="00BF6C37">
        <w:t>until:</w:t>
      </w:r>
    </w:p>
    <w:p w14:paraId="34274137" w14:textId="18A637DD" w:rsidR="00BA6275" w:rsidRDefault="00BA6275" w:rsidP="00BA6275">
      <w:pPr>
        <w:pStyle w:val="paragraph"/>
      </w:pPr>
      <w:r>
        <w:tab/>
        <w:t>(a)</w:t>
      </w:r>
      <w:r>
        <w:tab/>
      </w:r>
      <w:r w:rsidRPr="00277378">
        <w:t>if</w:t>
      </w:r>
      <w:r w:rsidR="00003604">
        <w:t>,</w:t>
      </w:r>
      <w:r w:rsidRPr="00277378">
        <w:t xml:space="preserve"> </w:t>
      </w:r>
      <w:r w:rsidR="004D5B1C">
        <w:t>immediately</w:t>
      </w:r>
      <w:r w:rsidRPr="00277378">
        <w:t xml:space="preserve"> before the event</w:t>
      </w:r>
      <w:r w:rsidR="007E1CE4">
        <w:t>,</w:t>
      </w:r>
      <w:r w:rsidRPr="00277378">
        <w:t xml:space="preserve"> the dwelling was taken to satisfy </w:t>
      </w:r>
      <w:r w:rsidR="00423315">
        <w:t>the criteria in</w:t>
      </w:r>
      <w:r w:rsidRPr="00277378">
        <w:t xml:space="preserve"> subsection (2) because of a previous application of this subsection—</w:t>
      </w:r>
      <w:r>
        <w:t>t</w:t>
      </w:r>
      <w:r w:rsidRPr="00277378">
        <w:t>he day worked out under paragraph (</w:t>
      </w:r>
      <w:r w:rsidR="004960A6">
        <w:t>b</w:t>
      </w:r>
      <w:r w:rsidRPr="00277378">
        <w:t>) for that previous application</w:t>
      </w:r>
      <w:r w:rsidR="00003604">
        <w:t>; or</w:t>
      </w:r>
    </w:p>
    <w:p w14:paraId="4992C1AB" w14:textId="0C3FB0B0" w:rsidR="00301560" w:rsidRPr="00BF6C37" w:rsidRDefault="00301560" w:rsidP="00301560">
      <w:pPr>
        <w:pStyle w:val="paragraph"/>
      </w:pPr>
      <w:r>
        <w:tab/>
        <w:t>(</w:t>
      </w:r>
      <w:r w:rsidR="00BA6275">
        <w:t>b</w:t>
      </w:r>
      <w:r>
        <w:t>)</w:t>
      </w:r>
      <w:r>
        <w:tab/>
      </w:r>
      <w:r w:rsidR="00BA6275">
        <w:t>otherwise</w:t>
      </w:r>
      <w:r>
        <w:t>—</w:t>
      </w:r>
      <w:r w:rsidRPr="00BF6C37">
        <w:t>the earlier of:</w:t>
      </w:r>
    </w:p>
    <w:p w14:paraId="1E1C9F48" w14:textId="77777777" w:rsidR="00301560" w:rsidRPr="00BF6C37" w:rsidRDefault="00301560" w:rsidP="00301560">
      <w:pPr>
        <w:pStyle w:val="paragraphsub"/>
      </w:pPr>
      <w:r w:rsidRPr="00BF6C37">
        <w:tab/>
        <w:t>(</w:t>
      </w:r>
      <w:r>
        <w:t>i</w:t>
      </w:r>
      <w:r w:rsidRPr="00BF6C37">
        <w:t>)</w:t>
      </w:r>
      <w:r w:rsidRPr="00BF6C37">
        <w:tab/>
        <w:t>the end of 12 months after the event; or</w:t>
      </w:r>
    </w:p>
    <w:p w14:paraId="4B173EAF" w14:textId="555A67F7" w:rsidR="00301560" w:rsidRDefault="00301560" w:rsidP="00301560">
      <w:pPr>
        <w:pStyle w:val="paragraphsub"/>
      </w:pPr>
      <w:r w:rsidRPr="00BF6C37">
        <w:tab/>
        <w:t>(</w:t>
      </w:r>
      <w:r>
        <w:t>ii</w:t>
      </w:r>
      <w:r w:rsidRPr="00BF6C37">
        <w:t>)</w:t>
      </w:r>
      <w:r w:rsidRPr="00BF6C37">
        <w:tab/>
        <w:t>the end of the lease for the dwelling</w:t>
      </w:r>
      <w:r w:rsidR="00BA6275">
        <w:t>.</w:t>
      </w:r>
    </w:p>
    <w:p w14:paraId="13C49AA0" w14:textId="5C11EAB3" w:rsidR="00326F9D" w:rsidRDefault="00326F9D" w:rsidP="00326F9D">
      <w:pPr>
        <w:pStyle w:val="subsection"/>
      </w:pPr>
      <w:r>
        <w:tab/>
        <w:t>(</w:t>
      </w:r>
      <w:r w:rsidR="005835C9">
        <w:t>4</w:t>
      </w:r>
      <w:r>
        <w:t>)</w:t>
      </w:r>
      <w:r>
        <w:tab/>
      </w:r>
      <w:r w:rsidR="00783B85">
        <w:t>A</w:t>
      </w:r>
      <w:r>
        <w:t xml:space="preserve"> dwelling </w:t>
      </w:r>
      <w:r w:rsidR="007C3DD1">
        <w:t>satisfie</w:t>
      </w:r>
      <w:r>
        <w:t>s the criteria in this subsection if the rent payable under a lease for the dwelling i</w:t>
      </w:r>
      <w:r w:rsidR="002D498E">
        <w:t>s</w:t>
      </w:r>
      <w:r w:rsidR="006619C7" w:rsidRPr="006B61CE">
        <w:rPr>
          <w:i/>
          <w:iCs/>
        </w:rPr>
        <w:t xml:space="preserve"> </w:t>
      </w:r>
      <w:r w:rsidR="00595CB6" w:rsidRPr="006B61CE">
        <w:rPr>
          <w:i/>
          <w:iCs/>
        </w:rPr>
        <w:t xml:space="preserve">not </w:t>
      </w:r>
      <w:r w:rsidR="00595CB6">
        <w:t>more than</w:t>
      </w:r>
      <w:r w:rsidR="00186C11">
        <w:t xml:space="preserve"> the lesser of</w:t>
      </w:r>
      <w:r>
        <w:t>:</w:t>
      </w:r>
    </w:p>
    <w:p w14:paraId="786CA2AB" w14:textId="76A088F0" w:rsidR="00326F9D" w:rsidRDefault="00326F9D" w:rsidP="00326F9D">
      <w:pPr>
        <w:pStyle w:val="paragraph"/>
      </w:pPr>
      <w:r>
        <w:tab/>
        <w:t>(a)</w:t>
      </w:r>
      <w:r>
        <w:tab/>
        <w:t>74.9%</w:t>
      </w:r>
      <w:r w:rsidR="000007AE">
        <w:t xml:space="preserve"> </w:t>
      </w:r>
      <w:r>
        <w:t xml:space="preserve">of the market value of the right to occupy the dwelling under the lease; </w:t>
      </w:r>
      <w:r w:rsidR="002D498E">
        <w:t>and</w:t>
      </w:r>
    </w:p>
    <w:p w14:paraId="155BBFF2" w14:textId="60352F21" w:rsidR="00AD55DB" w:rsidRDefault="00114D4C" w:rsidP="0042141D">
      <w:pPr>
        <w:pStyle w:val="paragraph"/>
      </w:pPr>
      <w:r>
        <w:tab/>
        <w:t>(b)</w:t>
      </w:r>
      <w:r>
        <w:tab/>
        <w:t>30% o</w:t>
      </w:r>
      <w:r w:rsidR="00BE3184">
        <w:t>f</w:t>
      </w:r>
      <w:r w:rsidR="0042141D">
        <w:t>:</w:t>
      </w:r>
    </w:p>
    <w:p w14:paraId="431FBA0D" w14:textId="4051A29F" w:rsidR="00AD55DB" w:rsidRPr="00712C4F" w:rsidRDefault="00AD55DB" w:rsidP="0042141D">
      <w:pPr>
        <w:pStyle w:val="paragraphsub"/>
      </w:pPr>
      <w:r>
        <w:tab/>
        <w:t>(</w:t>
      </w:r>
      <w:r w:rsidR="0042141D">
        <w:t>i</w:t>
      </w:r>
      <w:r>
        <w:t>)</w:t>
      </w:r>
      <w:r>
        <w:tab/>
      </w:r>
      <w:r w:rsidR="006B5F5A">
        <w:t>i</w:t>
      </w:r>
      <w:r>
        <w:t xml:space="preserve">f the dwelling is tenanted by </w:t>
      </w:r>
      <w:r w:rsidR="00CF2C1B">
        <w:t>an</w:t>
      </w:r>
      <w:r w:rsidR="005E45B9" w:rsidRPr="005E45B9">
        <w:t xml:space="preserve"> adult </w:t>
      </w:r>
      <w:r w:rsidR="00CF2C1B">
        <w:t xml:space="preserve">(either </w:t>
      </w:r>
      <w:r w:rsidR="005E45B9" w:rsidRPr="005E45B9">
        <w:t>living alone</w:t>
      </w:r>
      <w:r w:rsidR="00EC314A">
        <w:t xml:space="preserve"> or</w:t>
      </w:r>
      <w:r w:rsidR="00EC314A" w:rsidRPr="00EC314A">
        <w:t xml:space="preserve"> with one or more dependent children</w:t>
      </w:r>
      <w:r w:rsidR="00CF2C1B">
        <w:t>)</w:t>
      </w:r>
      <w:r>
        <w:t xml:space="preserve">—the </w:t>
      </w:r>
      <w:r w:rsidRPr="009F53EA">
        <w:t xml:space="preserve">taxable income, for the most recent income year, for which the Commissioner has given </w:t>
      </w:r>
      <w:r w:rsidRPr="00712C4F">
        <w:t>the adult a notice of assessment, ending</w:t>
      </w:r>
      <w:r w:rsidR="00D9715C">
        <w:t xml:space="preserve"> </w:t>
      </w:r>
      <w:r w:rsidRPr="00712C4F">
        <w:t>before the dwelling’s most recent assessing event; or</w:t>
      </w:r>
    </w:p>
    <w:p w14:paraId="2E720950" w14:textId="522A574B" w:rsidR="00AD55DB" w:rsidRDefault="00AD55DB" w:rsidP="0042141D">
      <w:pPr>
        <w:pStyle w:val="paragraphsub"/>
      </w:pPr>
      <w:r w:rsidRPr="00712C4F">
        <w:tab/>
        <w:t>(</w:t>
      </w:r>
      <w:r w:rsidR="0042141D">
        <w:t>ii</w:t>
      </w:r>
      <w:r w:rsidRPr="00712C4F">
        <w:t>)</w:t>
      </w:r>
      <w:r w:rsidRPr="00712C4F">
        <w:tab/>
      </w:r>
      <w:r w:rsidR="006B5F5A">
        <w:t>i</w:t>
      </w:r>
      <w:r w:rsidRPr="00712C4F">
        <w:t>f the dwelling</w:t>
      </w:r>
      <w:r>
        <w:t xml:space="preserve"> is</w:t>
      </w:r>
      <w:r w:rsidRPr="00712C4F">
        <w:t xml:space="preserve"> tenanted by </w:t>
      </w:r>
      <w:r w:rsidR="00CF2C1B" w:rsidRPr="00CF2C1B">
        <w:t xml:space="preserve">2 or more adults living together </w:t>
      </w:r>
      <w:r w:rsidR="00D95053">
        <w:t>(</w:t>
      </w:r>
      <w:r w:rsidR="00783FAF">
        <w:t xml:space="preserve">either </w:t>
      </w:r>
      <w:r w:rsidR="00D95053">
        <w:t>with or</w:t>
      </w:r>
      <w:r w:rsidR="00956007">
        <w:t xml:space="preserve"> </w:t>
      </w:r>
      <w:r w:rsidR="00783FAF">
        <w:t>without</w:t>
      </w:r>
      <w:r w:rsidR="00956007">
        <w:t xml:space="preserve"> </w:t>
      </w:r>
      <w:r w:rsidR="00783FAF">
        <w:t xml:space="preserve">one or more </w:t>
      </w:r>
      <w:r w:rsidR="00956007">
        <w:t>dependent children)</w:t>
      </w:r>
      <w:r w:rsidRPr="00712C4F">
        <w:t xml:space="preserve">—the combined taxable incomes, for the most recent income year, for which the </w:t>
      </w:r>
      <w:r w:rsidRPr="00712C4F">
        <w:lastRenderedPageBreak/>
        <w:t>Commissioner has given each adult a notice of assessment, ending</w:t>
      </w:r>
      <w:r w:rsidR="00D9715C">
        <w:t xml:space="preserve"> </w:t>
      </w:r>
      <w:r w:rsidRPr="00712C4F">
        <w:t>before the dwelling’s</w:t>
      </w:r>
      <w:r>
        <w:t xml:space="preserve"> most recent assessing event</w:t>
      </w:r>
      <w:r w:rsidR="00D9715C">
        <w:t>.</w:t>
      </w:r>
    </w:p>
    <w:p w14:paraId="545DD041" w14:textId="0B93A5D1" w:rsidR="00C272AB" w:rsidRDefault="00C272AB" w:rsidP="00C272AB">
      <w:pPr>
        <w:pStyle w:val="subsection"/>
      </w:pPr>
      <w:r>
        <w:tab/>
        <w:t>(5)</w:t>
      </w:r>
      <w:r>
        <w:tab/>
        <w:t>Despite subsection (4), if:</w:t>
      </w:r>
    </w:p>
    <w:p w14:paraId="2E0B2881" w14:textId="42E5793D" w:rsidR="00C272AB" w:rsidRDefault="00C272AB" w:rsidP="00C272AB">
      <w:pPr>
        <w:pStyle w:val="paragraph"/>
      </w:pPr>
      <w:r>
        <w:tab/>
        <w:t>(a)</w:t>
      </w:r>
      <w:r>
        <w:tab/>
      </w:r>
      <w:r w:rsidR="00710E89">
        <w:t>an</w:t>
      </w:r>
      <w:r>
        <w:t xml:space="preserve"> event mentioned in subparagraph (c)(iii) of the definition of assessing event</w:t>
      </w:r>
      <w:r w:rsidR="00D37BC8">
        <w:t xml:space="preserve"> occurs </w:t>
      </w:r>
      <w:r w:rsidR="00D37BC8" w:rsidRPr="00D37BC8">
        <w:t>in relation to a dwelling</w:t>
      </w:r>
      <w:r>
        <w:t>; and</w:t>
      </w:r>
    </w:p>
    <w:p w14:paraId="7D1D9D00" w14:textId="77777777" w:rsidR="00C272AB" w:rsidRDefault="00C272AB" w:rsidP="00C272AB">
      <w:pPr>
        <w:pStyle w:val="paragraph"/>
      </w:pPr>
      <w:r>
        <w:tab/>
        <w:t>(b)</w:t>
      </w:r>
      <w:r>
        <w:tab/>
        <w:t>because of that event, the dwelling no longer satisfies the criteria in subsection (4);</w:t>
      </w:r>
    </w:p>
    <w:p w14:paraId="741CF56B" w14:textId="64CF7543" w:rsidR="00C272AB" w:rsidRDefault="00C272AB" w:rsidP="00C272AB">
      <w:pPr>
        <w:pStyle w:val="subsection2"/>
      </w:pPr>
      <w:r w:rsidRPr="00D7655B">
        <w:t xml:space="preserve">the dwelling is taken to continue to </w:t>
      </w:r>
      <w:r>
        <w:t>satisfy</w:t>
      </w:r>
      <w:r w:rsidRPr="00D7655B">
        <w:t xml:space="preserve"> the </w:t>
      </w:r>
      <w:r>
        <w:t xml:space="preserve">criteria in that subsection </w:t>
      </w:r>
      <w:r w:rsidRPr="00ED67BF">
        <w:t>for the period o</w:t>
      </w:r>
      <w:r w:rsidRPr="00A70360">
        <w:t xml:space="preserve">f </w:t>
      </w:r>
      <w:r w:rsidR="00D7122D">
        <w:t>60</w:t>
      </w:r>
      <w:r w:rsidRPr="00A70360">
        <w:t xml:space="preserve"> days after</w:t>
      </w:r>
      <w:r w:rsidRPr="00ED67BF">
        <w:t xml:space="preserve"> the </w:t>
      </w:r>
      <w:r>
        <w:t>event</w:t>
      </w:r>
      <w:r w:rsidRPr="00ED67BF">
        <w:t>.</w:t>
      </w:r>
    </w:p>
    <w:p w14:paraId="37AC439A" w14:textId="05D285DA" w:rsidR="00C272AB" w:rsidRDefault="0052051A" w:rsidP="00C272AB">
      <w:pPr>
        <w:pStyle w:val="SubsectionHead"/>
      </w:pPr>
      <w:r>
        <w:t>Request for</w:t>
      </w:r>
      <w:r w:rsidR="00E27996">
        <w:t xml:space="preserve"> rental review</w:t>
      </w:r>
    </w:p>
    <w:p w14:paraId="01C2A31F" w14:textId="531A907E" w:rsidR="00AD55DB" w:rsidRDefault="00AD55DB" w:rsidP="00AD55DB">
      <w:pPr>
        <w:pStyle w:val="subsection"/>
      </w:pPr>
      <w:r>
        <w:tab/>
        <w:t>(</w:t>
      </w:r>
      <w:r w:rsidR="00C272AB">
        <w:t>6</w:t>
      </w:r>
      <w:r>
        <w:t>)</w:t>
      </w:r>
      <w:r>
        <w:tab/>
        <w:t>A tenant of a low</w:t>
      </w:r>
      <w:r w:rsidR="00287716">
        <w:t>er</w:t>
      </w:r>
      <w:r>
        <w:t>-income dwelling may</w:t>
      </w:r>
      <w:r w:rsidR="00C94423">
        <w:t xml:space="preserve"> provide a notice to </w:t>
      </w:r>
      <w:r>
        <w:t>the owner of the</w:t>
      </w:r>
      <w:r w:rsidR="00E302D5">
        <w:t xml:space="preserve"> dwelling </w:t>
      </w:r>
      <w:r w:rsidR="00E302D5" w:rsidRPr="00E302D5">
        <w:t>requesting a review of the rent payable under the lease for the dwelling</w:t>
      </w:r>
      <w:r w:rsidR="009A0024">
        <w:t xml:space="preserve"> if:</w:t>
      </w:r>
    </w:p>
    <w:p w14:paraId="40206788" w14:textId="59561893" w:rsidR="009A0024" w:rsidRDefault="009A0024" w:rsidP="009A0024">
      <w:pPr>
        <w:pStyle w:val="paragraph"/>
      </w:pPr>
      <w:r>
        <w:tab/>
        <w:t>(a)</w:t>
      </w:r>
      <w:r>
        <w:tab/>
      </w:r>
      <w:r w:rsidR="005B6A1D">
        <w:t xml:space="preserve">the notice is provided </w:t>
      </w:r>
      <w:r w:rsidR="00AD7A65">
        <w:t>during a</w:t>
      </w:r>
      <w:r w:rsidR="005B6A1D">
        <w:t xml:space="preserve"> financial year; and</w:t>
      </w:r>
    </w:p>
    <w:p w14:paraId="1AF7F772" w14:textId="241FC829" w:rsidR="005B6A1D" w:rsidRDefault="005B6A1D" w:rsidP="009A0024">
      <w:pPr>
        <w:pStyle w:val="paragraph"/>
      </w:pPr>
      <w:r>
        <w:tab/>
        <w:t>(b)</w:t>
      </w:r>
      <w:r>
        <w:tab/>
      </w:r>
      <w:r w:rsidR="00BB1AF3">
        <w:t xml:space="preserve">a notice has </w:t>
      </w:r>
      <w:r w:rsidR="00BB1AF3" w:rsidRPr="00295FE0">
        <w:rPr>
          <w:i/>
          <w:iCs/>
        </w:rPr>
        <w:t>not</w:t>
      </w:r>
      <w:r w:rsidR="00BB1AF3">
        <w:t xml:space="preserve"> previously been provided in respect of the dwelling for th</w:t>
      </w:r>
      <w:r w:rsidR="003B2B12">
        <w:t>e</w:t>
      </w:r>
      <w:r w:rsidR="00BB1AF3">
        <w:t xml:space="preserve"> financial year.</w:t>
      </w:r>
    </w:p>
    <w:p w14:paraId="22F88613" w14:textId="2D7DFB6D" w:rsidR="00AD55DB" w:rsidRDefault="00AD55DB" w:rsidP="00AD55DB">
      <w:pPr>
        <w:pStyle w:val="subsection"/>
      </w:pPr>
      <w:r>
        <w:tab/>
        <w:t>(</w:t>
      </w:r>
      <w:r w:rsidR="00C272AB">
        <w:t>7</w:t>
      </w:r>
      <w:r>
        <w:t>)</w:t>
      </w:r>
      <w:r>
        <w:tab/>
      </w:r>
      <w:r w:rsidR="00ED67BF">
        <w:t>T</w:t>
      </w:r>
      <w:r>
        <w:t>he noti</w:t>
      </w:r>
      <w:r w:rsidR="001F4D59">
        <w:t xml:space="preserve">ce </w:t>
      </w:r>
      <w:r>
        <w:t>must:</w:t>
      </w:r>
    </w:p>
    <w:p w14:paraId="333C4805" w14:textId="77777777" w:rsidR="00AD55DB" w:rsidRDefault="00AD55DB" w:rsidP="00AD55DB">
      <w:pPr>
        <w:pStyle w:val="paragraph"/>
      </w:pPr>
      <w:r>
        <w:tab/>
        <w:t>(a)</w:t>
      </w:r>
      <w:r>
        <w:tab/>
        <w:t>be made in writing; and</w:t>
      </w:r>
    </w:p>
    <w:p w14:paraId="28E20C9D" w14:textId="486C3D8B" w:rsidR="00F72CA6" w:rsidRDefault="00AD55DB" w:rsidP="00DF1465">
      <w:pPr>
        <w:pStyle w:val="paragraph"/>
      </w:pPr>
      <w:r>
        <w:tab/>
        <w:t>(b)</w:t>
      </w:r>
      <w:r>
        <w:tab/>
        <w:t xml:space="preserve">be accompanied by </w:t>
      </w:r>
      <w:r w:rsidR="00E64987">
        <w:t xml:space="preserve">information that would enable the owner to assess whether the dwelling </w:t>
      </w:r>
      <w:r w:rsidR="00A774CB">
        <w:t>satisfies the criteria in subsection (4).</w:t>
      </w:r>
    </w:p>
    <w:p w14:paraId="2207DF32" w14:textId="3C13EE57" w:rsidR="00B6431E" w:rsidRDefault="00B6431E" w:rsidP="00B6431E">
      <w:pPr>
        <w:pStyle w:val="ItemHead"/>
      </w:pPr>
      <w:r>
        <w:t xml:space="preserve">4  </w:t>
      </w:r>
      <w:r w:rsidR="00EF7A9B">
        <w:t>At the end of the instrument</w:t>
      </w:r>
    </w:p>
    <w:p w14:paraId="1903CB17" w14:textId="0B41647F" w:rsidR="00EF7A9B" w:rsidRPr="00EF7A9B" w:rsidRDefault="00EF7A9B" w:rsidP="00C113C8">
      <w:pPr>
        <w:pStyle w:val="Item"/>
      </w:pPr>
      <w:r>
        <w:t>Add:</w:t>
      </w:r>
    </w:p>
    <w:p w14:paraId="22440550" w14:textId="7865AEFE" w:rsidR="00BC623E" w:rsidRDefault="00481C50" w:rsidP="00534DC8">
      <w:pPr>
        <w:pStyle w:val="ActHead2"/>
      </w:pPr>
      <w:r>
        <w:t xml:space="preserve">Part </w:t>
      </w:r>
      <w:r w:rsidR="003C77BC">
        <w:t>10</w:t>
      </w:r>
      <w:r>
        <w:t>—Transitional provisions</w:t>
      </w:r>
    </w:p>
    <w:p w14:paraId="2E45F8BA" w14:textId="6FF74C51" w:rsidR="00481C50" w:rsidRDefault="00B874CF" w:rsidP="00C1008A">
      <w:pPr>
        <w:pStyle w:val="ActHead3"/>
      </w:pPr>
      <w:r>
        <w:t>Division 1—</w:t>
      </w:r>
      <w:r w:rsidR="000927C1" w:rsidRPr="000927C1">
        <w:t>Transitional provisions relating to the Income Tax Assessment (Build to Rent Developments) Amendment (Expanding Affordability Requirements) Determination</w:t>
      </w:r>
      <w:r w:rsidR="0008188D">
        <w:t> </w:t>
      </w:r>
      <w:r w:rsidR="000927C1" w:rsidRPr="000927C1">
        <w:t>2025</w:t>
      </w:r>
    </w:p>
    <w:p w14:paraId="12FC2228" w14:textId="06ED29D8" w:rsidR="000927C1" w:rsidRDefault="003C77BC" w:rsidP="009119F7">
      <w:pPr>
        <w:pStyle w:val="ActHead5"/>
      </w:pPr>
      <w:r>
        <w:t>10</w:t>
      </w:r>
      <w:r w:rsidR="005C4D3F">
        <w:t>0</w:t>
      </w:r>
      <w:r w:rsidR="009119F7">
        <w:t xml:space="preserve">  Application provision</w:t>
      </w:r>
    </w:p>
    <w:p w14:paraId="7EEA3D78" w14:textId="536AEEDA" w:rsidR="00F72CA6" w:rsidRPr="00DB0B0F" w:rsidRDefault="009119F7" w:rsidP="00C113C8">
      <w:pPr>
        <w:pStyle w:val="subsection"/>
      </w:pPr>
      <w:r>
        <w:tab/>
      </w:r>
      <w:r>
        <w:tab/>
      </w:r>
      <w:r w:rsidR="00241E4E">
        <w:t xml:space="preserve">The amendments of this instrument made by the </w:t>
      </w:r>
      <w:r w:rsidR="00D85815" w:rsidRPr="00630D41">
        <w:rPr>
          <w:i/>
          <w:iCs/>
        </w:rPr>
        <w:t>Income Tax Assessment (Build to Rent Developments) Amendment (Expanding Affordability Requirements) Determination 2025</w:t>
      </w:r>
      <w:r w:rsidR="00D85815" w:rsidRPr="00C113C8">
        <w:t xml:space="preserve"> (</w:t>
      </w:r>
      <w:r w:rsidR="00D85815">
        <w:t xml:space="preserve">the </w:t>
      </w:r>
      <w:r w:rsidR="00241E4E" w:rsidRPr="00C113C8">
        <w:rPr>
          <w:b/>
          <w:bCs/>
          <w:i/>
          <w:iCs/>
        </w:rPr>
        <w:t>amending determination</w:t>
      </w:r>
      <w:r w:rsidR="00D85815">
        <w:t>)</w:t>
      </w:r>
      <w:r w:rsidR="00241E4E">
        <w:t xml:space="preserve"> appl</w:t>
      </w:r>
      <w:r w:rsidR="005654F9">
        <w:t xml:space="preserve">y </w:t>
      </w:r>
      <w:r w:rsidR="00812DF5">
        <w:t>in relation to a dwelling</w:t>
      </w:r>
      <w:r w:rsidR="00472540">
        <w:t xml:space="preserve"> </w:t>
      </w:r>
      <w:r w:rsidR="00812DF5">
        <w:t xml:space="preserve">on and after the day that is 12 months after the commencement </w:t>
      </w:r>
      <w:r w:rsidR="00D85815">
        <w:t>of the amending determination</w:t>
      </w:r>
      <w:r w:rsidR="002511E7">
        <w:t>.</w:t>
      </w:r>
    </w:p>
    <w:sectPr w:rsidR="00F72CA6" w:rsidRPr="00DB0B0F" w:rsidSect="00BE50CF">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696C" w14:textId="77777777" w:rsidR="00E62C7E" w:rsidRDefault="00E62C7E" w:rsidP="00F5638C">
      <w:pPr>
        <w:spacing w:line="240" w:lineRule="auto"/>
      </w:pPr>
      <w:r>
        <w:separator/>
      </w:r>
    </w:p>
  </w:endnote>
  <w:endnote w:type="continuationSeparator" w:id="0">
    <w:p w14:paraId="1D9A45AD" w14:textId="77777777" w:rsidR="00E62C7E" w:rsidRDefault="00E62C7E" w:rsidP="00F5638C">
      <w:pPr>
        <w:spacing w:line="240" w:lineRule="auto"/>
      </w:pPr>
      <w:r>
        <w:continuationSeparator/>
      </w:r>
    </w:p>
  </w:endnote>
  <w:endnote w:type="continuationNotice" w:id="1">
    <w:p w14:paraId="55A72425" w14:textId="77777777" w:rsidR="00E62C7E" w:rsidRDefault="00E62C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5DDA" w14:textId="166A5791" w:rsidR="00F5638C" w:rsidRPr="005F1388" w:rsidRDefault="00F5638C" w:rsidP="00BE50C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EF0B" w14:textId="58398560" w:rsidR="00F5638C" w:rsidRDefault="00F5638C" w:rsidP="00BE50CF">
    <w:bookmarkStart w:id="0" w:name="_Hlk26285905"/>
    <w:bookmarkStart w:id="1" w:name="_Hlk26285906"/>
    <w:bookmarkStart w:id="2" w:name="_Hlk26285909"/>
    <w:bookmarkStart w:id="3" w:name="_Hlk262859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5638C" w14:paraId="2CC8DC08" w14:textId="77777777" w:rsidTr="00BE50CF">
      <w:tc>
        <w:tcPr>
          <w:tcW w:w="8472" w:type="dxa"/>
        </w:tcPr>
        <w:p w14:paraId="29834A5F" w14:textId="1D240090" w:rsidR="00F5638C" w:rsidRDefault="00F5638C" w:rsidP="00BE50CF">
          <w:pPr>
            <w:rPr>
              <w:sz w:val="18"/>
            </w:rPr>
          </w:pPr>
          <w:r w:rsidRPr="00ED79B6">
            <w:rPr>
              <w:i/>
              <w:sz w:val="18"/>
            </w:rPr>
            <w:t xml:space="preserve"> </w:t>
          </w:r>
        </w:p>
      </w:tc>
    </w:tr>
    <w:bookmarkEnd w:id="0"/>
    <w:bookmarkEnd w:id="1"/>
    <w:bookmarkEnd w:id="2"/>
    <w:bookmarkEnd w:id="3"/>
  </w:tbl>
  <w:p w14:paraId="30ADD741" w14:textId="77777777" w:rsidR="00F5638C" w:rsidRPr="00E97334" w:rsidRDefault="00F5638C" w:rsidP="00BE50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2DB1" w14:textId="719E1ECA" w:rsidR="00F5638C" w:rsidRPr="00ED79B6" w:rsidRDefault="00F5638C" w:rsidP="00BE50C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346E" w14:textId="16B719E1" w:rsidR="00F5638C" w:rsidRPr="00E33C1C" w:rsidRDefault="00F5638C" w:rsidP="00BE50C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5638C" w14:paraId="6AB048B2" w14:textId="77777777" w:rsidTr="00BE50CF">
      <w:tc>
        <w:tcPr>
          <w:tcW w:w="709" w:type="dxa"/>
          <w:tcBorders>
            <w:top w:val="nil"/>
            <w:left w:val="nil"/>
            <w:bottom w:val="nil"/>
            <w:right w:val="nil"/>
          </w:tcBorders>
        </w:tcPr>
        <w:p w14:paraId="7A774722" w14:textId="77777777" w:rsidR="00F5638C" w:rsidRDefault="00F5638C" w:rsidP="00BE50C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CF0E820" w14:textId="7CF8B1B3" w:rsidR="00F5638C" w:rsidRDefault="00F5638C" w:rsidP="00BE50CF">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05D09">
            <w:rPr>
              <w:i/>
              <w:noProof/>
              <w:sz w:val="18"/>
            </w:rPr>
            <w:t>Income Tax Assessment (Build to Rent Developments) Amendment (Expanding Affordability Requirements) Determination 2025</w:t>
          </w:r>
          <w:r>
            <w:rPr>
              <w:i/>
              <w:sz w:val="18"/>
            </w:rPr>
            <w:fldChar w:fldCharType="end"/>
          </w:r>
        </w:p>
      </w:tc>
      <w:tc>
        <w:tcPr>
          <w:tcW w:w="1383" w:type="dxa"/>
          <w:tcBorders>
            <w:top w:val="nil"/>
            <w:left w:val="nil"/>
            <w:bottom w:val="nil"/>
            <w:right w:val="nil"/>
          </w:tcBorders>
        </w:tcPr>
        <w:p w14:paraId="5105E85E" w14:textId="77777777" w:rsidR="00F5638C" w:rsidRDefault="00F5638C" w:rsidP="00BE50CF">
          <w:pPr>
            <w:spacing w:line="0" w:lineRule="atLeast"/>
            <w:jc w:val="right"/>
            <w:rPr>
              <w:sz w:val="18"/>
            </w:rPr>
          </w:pPr>
        </w:p>
      </w:tc>
    </w:tr>
    <w:tr w:rsidR="00F5638C" w14:paraId="799F8922" w14:textId="77777777" w:rsidTr="00BE5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7E1B9BF" w14:textId="038F34FF" w:rsidR="00F5638C" w:rsidRDefault="00F5638C" w:rsidP="00BE50CF">
          <w:pPr>
            <w:jc w:val="right"/>
            <w:rPr>
              <w:sz w:val="18"/>
            </w:rPr>
          </w:pPr>
          <w:r w:rsidRPr="00ED79B6">
            <w:rPr>
              <w:i/>
              <w:sz w:val="18"/>
            </w:rPr>
            <w:t xml:space="preserve"> </w:t>
          </w:r>
        </w:p>
      </w:tc>
    </w:tr>
  </w:tbl>
  <w:p w14:paraId="785CD8C1" w14:textId="77777777" w:rsidR="00F5638C" w:rsidRPr="00ED79B6" w:rsidRDefault="00F5638C" w:rsidP="00BE50C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BE4F" w14:textId="5BEEDB73" w:rsidR="00F5638C" w:rsidRPr="00E33C1C" w:rsidRDefault="00F5638C" w:rsidP="00BE50CF">
    <w:pPr>
      <w:pBdr>
        <w:top w:val="single" w:sz="6" w:space="1" w:color="auto"/>
      </w:pBdr>
      <w:spacing w:before="120" w:line="0" w:lineRule="atLeast"/>
      <w:rPr>
        <w:sz w:val="16"/>
        <w:szCs w:val="16"/>
      </w:rPr>
    </w:pPr>
    <w:bookmarkStart w:id="4" w:name="_Hlk26285917"/>
    <w:bookmarkStart w:id="5" w:name="_Hlk26285918"/>
    <w:bookmarkStart w:id="6" w:name="_Hlk26285921"/>
    <w:bookmarkStart w:id="7" w:name="_Hlk26285922"/>
  </w:p>
  <w:tbl>
    <w:tblPr>
      <w:tblStyle w:val="TableGrid"/>
      <w:tblW w:w="0" w:type="auto"/>
      <w:tblLayout w:type="fixed"/>
      <w:tblLook w:val="04A0" w:firstRow="1" w:lastRow="0" w:firstColumn="1" w:lastColumn="0" w:noHBand="0" w:noVBand="1"/>
    </w:tblPr>
    <w:tblGrid>
      <w:gridCol w:w="1383"/>
      <w:gridCol w:w="6379"/>
      <w:gridCol w:w="710"/>
    </w:tblGrid>
    <w:tr w:rsidR="00F5638C" w14:paraId="2D851B81" w14:textId="77777777" w:rsidTr="00BE50CF">
      <w:tc>
        <w:tcPr>
          <w:tcW w:w="1383" w:type="dxa"/>
          <w:tcBorders>
            <w:top w:val="nil"/>
            <w:left w:val="nil"/>
            <w:bottom w:val="nil"/>
            <w:right w:val="nil"/>
          </w:tcBorders>
        </w:tcPr>
        <w:p w14:paraId="1C53BC29" w14:textId="77777777" w:rsidR="00F5638C" w:rsidRDefault="00F5638C" w:rsidP="00BE50CF">
          <w:pPr>
            <w:spacing w:line="0" w:lineRule="atLeast"/>
            <w:rPr>
              <w:sz w:val="18"/>
            </w:rPr>
          </w:pPr>
        </w:p>
      </w:tc>
      <w:tc>
        <w:tcPr>
          <w:tcW w:w="6379" w:type="dxa"/>
          <w:tcBorders>
            <w:top w:val="nil"/>
            <w:left w:val="nil"/>
            <w:bottom w:val="nil"/>
            <w:right w:val="nil"/>
          </w:tcBorders>
        </w:tcPr>
        <w:p w14:paraId="5366341B" w14:textId="4DA98A67" w:rsidR="00F5638C" w:rsidRDefault="00F5638C" w:rsidP="00BE50CF">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D7A09">
            <w:rPr>
              <w:i/>
              <w:noProof/>
              <w:sz w:val="18"/>
            </w:rPr>
            <w:t>Income Tax Assessment (Build to Rent Developments) Amendment (Expanding Affordability Requirements) Determination 2025</w:t>
          </w:r>
          <w:r>
            <w:rPr>
              <w:i/>
              <w:sz w:val="18"/>
            </w:rPr>
            <w:fldChar w:fldCharType="end"/>
          </w:r>
        </w:p>
      </w:tc>
      <w:tc>
        <w:tcPr>
          <w:tcW w:w="709" w:type="dxa"/>
          <w:tcBorders>
            <w:top w:val="nil"/>
            <w:left w:val="nil"/>
            <w:bottom w:val="nil"/>
            <w:right w:val="nil"/>
          </w:tcBorders>
        </w:tcPr>
        <w:p w14:paraId="12E9C707" w14:textId="77777777" w:rsidR="00F5638C" w:rsidRDefault="00F5638C" w:rsidP="00BE50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5638C" w14:paraId="62AAE4BE" w14:textId="77777777" w:rsidTr="00BE5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67CF409" w14:textId="5CEC1706" w:rsidR="00F5638C" w:rsidRDefault="00F5638C" w:rsidP="00BE50CF">
          <w:pPr>
            <w:rPr>
              <w:sz w:val="18"/>
            </w:rPr>
          </w:pPr>
          <w:r w:rsidRPr="00ED79B6">
            <w:rPr>
              <w:i/>
              <w:sz w:val="18"/>
            </w:rPr>
            <w:t xml:space="preserve"> </w:t>
          </w:r>
        </w:p>
      </w:tc>
    </w:tr>
    <w:bookmarkEnd w:id="4"/>
    <w:bookmarkEnd w:id="5"/>
    <w:bookmarkEnd w:id="6"/>
    <w:bookmarkEnd w:id="7"/>
  </w:tbl>
  <w:p w14:paraId="5116474E" w14:textId="77777777" w:rsidR="00F5638C" w:rsidRPr="00ED79B6" w:rsidRDefault="00F5638C" w:rsidP="00BE50CF">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87BB" w14:textId="1042819F" w:rsidR="004733E8" w:rsidRDefault="004733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9114" w14:textId="5C94C238" w:rsidR="001C33F5" w:rsidRPr="00E33C1C" w:rsidRDefault="001C33F5" w:rsidP="00BE50C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E50CF" w14:paraId="30D22861" w14:textId="77777777" w:rsidTr="00BE50CF">
      <w:tc>
        <w:tcPr>
          <w:tcW w:w="709" w:type="dxa"/>
          <w:tcBorders>
            <w:top w:val="nil"/>
            <w:left w:val="nil"/>
            <w:bottom w:val="nil"/>
            <w:right w:val="nil"/>
          </w:tcBorders>
        </w:tcPr>
        <w:p w14:paraId="68187C96" w14:textId="77777777" w:rsidR="001C33F5" w:rsidRDefault="003C1503" w:rsidP="00BE50C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E707BE8" w14:textId="4EB8F699" w:rsidR="001C33F5" w:rsidRDefault="003C1503" w:rsidP="00BE50CF">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D7A09">
            <w:rPr>
              <w:i/>
              <w:noProof/>
              <w:sz w:val="18"/>
            </w:rPr>
            <w:t>Income Tax Assessment (Build to Rent Developments) Amendment (Expanding Affordability Requirements) Determination 2025</w:t>
          </w:r>
          <w:r>
            <w:rPr>
              <w:i/>
              <w:sz w:val="18"/>
            </w:rPr>
            <w:fldChar w:fldCharType="end"/>
          </w:r>
        </w:p>
      </w:tc>
      <w:tc>
        <w:tcPr>
          <w:tcW w:w="1383" w:type="dxa"/>
          <w:tcBorders>
            <w:top w:val="nil"/>
            <w:left w:val="nil"/>
            <w:bottom w:val="nil"/>
            <w:right w:val="nil"/>
          </w:tcBorders>
        </w:tcPr>
        <w:p w14:paraId="0C4E3EF6" w14:textId="77777777" w:rsidR="001C33F5" w:rsidRDefault="001C33F5" w:rsidP="00BE50CF">
          <w:pPr>
            <w:spacing w:line="0" w:lineRule="atLeast"/>
            <w:jc w:val="right"/>
            <w:rPr>
              <w:sz w:val="18"/>
            </w:rPr>
          </w:pPr>
        </w:p>
      </w:tc>
    </w:tr>
    <w:tr w:rsidR="00BE50CF" w14:paraId="552ABEE2" w14:textId="77777777" w:rsidTr="00BE5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963CFE2" w14:textId="66F92890" w:rsidR="001C33F5" w:rsidRDefault="003C1503" w:rsidP="00BE50CF">
          <w:pPr>
            <w:jc w:val="right"/>
            <w:rPr>
              <w:sz w:val="18"/>
            </w:rPr>
          </w:pPr>
          <w:r w:rsidRPr="00ED79B6">
            <w:rPr>
              <w:i/>
              <w:sz w:val="18"/>
            </w:rPr>
            <w:t xml:space="preserve"> </w:t>
          </w:r>
        </w:p>
      </w:tc>
    </w:tr>
  </w:tbl>
  <w:p w14:paraId="63E9BD44" w14:textId="77777777" w:rsidR="001C33F5" w:rsidRPr="00ED79B6" w:rsidRDefault="001C33F5" w:rsidP="00BE50CF">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E314" w14:textId="469F7B1B" w:rsidR="001C33F5" w:rsidRPr="00E33C1C" w:rsidRDefault="001C33F5" w:rsidP="00BE50CF">
    <w:pPr>
      <w:pBdr>
        <w:top w:val="single" w:sz="6" w:space="1" w:color="auto"/>
      </w:pBdr>
      <w:spacing w:before="120" w:line="0" w:lineRule="atLeast"/>
      <w:rPr>
        <w:sz w:val="16"/>
        <w:szCs w:val="16"/>
      </w:rPr>
    </w:pPr>
    <w:bookmarkStart w:id="22" w:name="_Hlk26285929"/>
    <w:bookmarkStart w:id="23" w:name="_Hlk26285930"/>
    <w:bookmarkStart w:id="24" w:name="_Hlk26285933"/>
    <w:bookmarkStart w:id="25" w:name="_Hlk26285934"/>
  </w:p>
  <w:tbl>
    <w:tblPr>
      <w:tblStyle w:val="TableGrid"/>
      <w:tblW w:w="0" w:type="auto"/>
      <w:tblLayout w:type="fixed"/>
      <w:tblLook w:val="04A0" w:firstRow="1" w:lastRow="0" w:firstColumn="1" w:lastColumn="0" w:noHBand="0" w:noVBand="1"/>
    </w:tblPr>
    <w:tblGrid>
      <w:gridCol w:w="1384"/>
      <w:gridCol w:w="6379"/>
      <w:gridCol w:w="709"/>
    </w:tblGrid>
    <w:tr w:rsidR="00BE50CF" w14:paraId="3E74A364" w14:textId="77777777" w:rsidTr="00BE50CF">
      <w:tc>
        <w:tcPr>
          <w:tcW w:w="1384" w:type="dxa"/>
          <w:tcBorders>
            <w:top w:val="nil"/>
            <w:left w:val="nil"/>
            <w:bottom w:val="nil"/>
            <w:right w:val="nil"/>
          </w:tcBorders>
        </w:tcPr>
        <w:p w14:paraId="2216677C" w14:textId="77777777" w:rsidR="001C33F5" w:rsidRDefault="001C33F5" w:rsidP="00BE50CF">
          <w:pPr>
            <w:spacing w:line="0" w:lineRule="atLeast"/>
            <w:rPr>
              <w:sz w:val="18"/>
            </w:rPr>
          </w:pPr>
        </w:p>
      </w:tc>
      <w:tc>
        <w:tcPr>
          <w:tcW w:w="6379" w:type="dxa"/>
          <w:tcBorders>
            <w:top w:val="nil"/>
            <w:left w:val="nil"/>
            <w:bottom w:val="nil"/>
            <w:right w:val="nil"/>
          </w:tcBorders>
        </w:tcPr>
        <w:p w14:paraId="508CC521" w14:textId="760D3358" w:rsidR="001C33F5" w:rsidRDefault="003C1503" w:rsidP="00BE50CF">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D7A09">
            <w:rPr>
              <w:i/>
              <w:noProof/>
              <w:sz w:val="18"/>
            </w:rPr>
            <w:t>Income Tax Assessment (Build to Rent Developments) Amendment (Expanding Affordability Requirements) Determination 2025</w:t>
          </w:r>
          <w:r>
            <w:rPr>
              <w:i/>
              <w:sz w:val="18"/>
            </w:rPr>
            <w:fldChar w:fldCharType="end"/>
          </w:r>
        </w:p>
      </w:tc>
      <w:tc>
        <w:tcPr>
          <w:tcW w:w="709" w:type="dxa"/>
          <w:tcBorders>
            <w:top w:val="nil"/>
            <w:left w:val="nil"/>
            <w:bottom w:val="nil"/>
            <w:right w:val="nil"/>
          </w:tcBorders>
        </w:tcPr>
        <w:p w14:paraId="43736EF6" w14:textId="77777777" w:rsidR="001C33F5" w:rsidRDefault="003C1503" w:rsidP="00BE50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E50CF" w14:paraId="58D37CCF" w14:textId="77777777" w:rsidTr="00BE5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AD0CDF" w14:textId="37BAA036" w:rsidR="001C33F5" w:rsidRDefault="003C1503" w:rsidP="00BE50CF">
          <w:pPr>
            <w:rPr>
              <w:sz w:val="18"/>
            </w:rPr>
          </w:pPr>
          <w:r w:rsidRPr="00ED79B6">
            <w:rPr>
              <w:i/>
              <w:sz w:val="18"/>
            </w:rPr>
            <w:t xml:space="preserve"> </w:t>
          </w:r>
        </w:p>
      </w:tc>
    </w:tr>
    <w:bookmarkEnd w:id="22"/>
    <w:bookmarkEnd w:id="23"/>
    <w:bookmarkEnd w:id="24"/>
    <w:bookmarkEnd w:id="25"/>
  </w:tbl>
  <w:p w14:paraId="4467FB13" w14:textId="77777777" w:rsidR="001C33F5" w:rsidRPr="00ED79B6" w:rsidRDefault="001C33F5" w:rsidP="00BE50CF">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40D4" w14:textId="6A98E310" w:rsidR="001C33F5" w:rsidRPr="00E33C1C" w:rsidRDefault="001C33F5" w:rsidP="00BE50CF">
    <w:pPr>
      <w:pBdr>
        <w:top w:val="single" w:sz="6" w:space="1" w:color="auto"/>
      </w:pBdr>
      <w:spacing w:line="0" w:lineRule="atLeast"/>
      <w:rPr>
        <w:sz w:val="16"/>
        <w:szCs w:val="16"/>
      </w:rPr>
    </w:pPr>
    <w:bookmarkStart w:id="26" w:name="_Hlk26285931"/>
    <w:bookmarkStart w:id="27" w:name="_Hlk26285932"/>
  </w:p>
  <w:tbl>
    <w:tblPr>
      <w:tblStyle w:val="TableGrid"/>
      <w:tblW w:w="0" w:type="auto"/>
      <w:tblLayout w:type="fixed"/>
      <w:tblLook w:val="04A0" w:firstRow="1" w:lastRow="0" w:firstColumn="1" w:lastColumn="0" w:noHBand="0" w:noVBand="1"/>
    </w:tblPr>
    <w:tblGrid>
      <w:gridCol w:w="1384"/>
      <w:gridCol w:w="6379"/>
      <w:gridCol w:w="709"/>
    </w:tblGrid>
    <w:tr w:rsidR="00BE50CF" w14:paraId="64740D78" w14:textId="77777777" w:rsidTr="00BE50CF">
      <w:tc>
        <w:tcPr>
          <w:tcW w:w="1384" w:type="dxa"/>
          <w:tcBorders>
            <w:top w:val="nil"/>
            <w:left w:val="nil"/>
            <w:bottom w:val="nil"/>
            <w:right w:val="nil"/>
          </w:tcBorders>
        </w:tcPr>
        <w:p w14:paraId="5273DEB4" w14:textId="77777777" w:rsidR="001C33F5" w:rsidRDefault="001C33F5" w:rsidP="00BE50CF">
          <w:pPr>
            <w:spacing w:line="0" w:lineRule="atLeast"/>
            <w:rPr>
              <w:sz w:val="18"/>
            </w:rPr>
          </w:pPr>
        </w:p>
      </w:tc>
      <w:tc>
        <w:tcPr>
          <w:tcW w:w="6379" w:type="dxa"/>
          <w:tcBorders>
            <w:top w:val="nil"/>
            <w:left w:val="nil"/>
            <w:bottom w:val="nil"/>
            <w:right w:val="nil"/>
          </w:tcBorders>
        </w:tcPr>
        <w:p w14:paraId="4233897D" w14:textId="361B01E0" w:rsidR="001C33F5" w:rsidRDefault="003C1503" w:rsidP="00BE50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5D09">
            <w:rPr>
              <w:i/>
              <w:sz w:val="18"/>
            </w:rPr>
            <w:t>[title] Amendment [type] 2017</w:t>
          </w:r>
          <w:r w:rsidRPr="007A1328">
            <w:rPr>
              <w:i/>
              <w:sz w:val="18"/>
            </w:rPr>
            <w:fldChar w:fldCharType="end"/>
          </w:r>
        </w:p>
      </w:tc>
      <w:tc>
        <w:tcPr>
          <w:tcW w:w="709" w:type="dxa"/>
          <w:tcBorders>
            <w:top w:val="nil"/>
            <w:left w:val="nil"/>
            <w:bottom w:val="nil"/>
            <w:right w:val="nil"/>
          </w:tcBorders>
        </w:tcPr>
        <w:p w14:paraId="4E2E620B" w14:textId="77777777" w:rsidR="001C33F5" w:rsidRDefault="003C1503" w:rsidP="00BE50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BE50CF" w14:paraId="4D5793F0" w14:textId="77777777" w:rsidTr="00BE5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335ADC0" w14:textId="7527DE31" w:rsidR="001C33F5" w:rsidRDefault="003C1503" w:rsidP="00BE50CF">
          <w:pPr>
            <w:rPr>
              <w:sz w:val="18"/>
            </w:rPr>
          </w:pPr>
          <w:r w:rsidRPr="00ED79B6">
            <w:rPr>
              <w:i/>
              <w:sz w:val="18"/>
            </w:rPr>
            <w:t xml:space="preserve"> </w:t>
          </w:r>
        </w:p>
      </w:tc>
    </w:tr>
    <w:bookmarkEnd w:id="26"/>
    <w:bookmarkEnd w:id="27"/>
  </w:tbl>
  <w:p w14:paraId="33D33B53" w14:textId="77777777" w:rsidR="001C33F5" w:rsidRPr="00ED79B6" w:rsidRDefault="001C33F5" w:rsidP="00BE50CF">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AC8A" w14:textId="77777777" w:rsidR="00E62C7E" w:rsidRDefault="00E62C7E" w:rsidP="00F5638C">
      <w:pPr>
        <w:spacing w:line="240" w:lineRule="auto"/>
      </w:pPr>
      <w:r>
        <w:separator/>
      </w:r>
    </w:p>
  </w:footnote>
  <w:footnote w:type="continuationSeparator" w:id="0">
    <w:p w14:paraId="1A6F350D" w14:textId="77777777" w:rsidR="00E62C7E" w:rsidRDefault="00E62C7E" w:rsidP="00F5638C">
      <w:pPr>
        <w:spacing w:line="240" w:lineRule="auto"/>
      </w:pPr>
      <w:r>
        <w:continuationSeparator/>
      </w:r>
    </w:p>
  </w:footnote>
  <w:footnote w:type="continuationNotice" w:id="1">
    <w:p w14:paraId="0296400A" w14:textId="77777777" w:rsidR="00E62C7E" w:rsidRDefault="00E62C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F22B" w14:textId="5F235ABB" w:rsidR="00F5638C" w:rsidRPr="005F1388" w:rsidRDefault="00F5638C" w:rsidP="00BE50C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BE7F" w14:textId="240C8A02" w:rsidR="00F5638C" w:rsidRPr="005F1388" w:rsidRDefault="00F5638C" w:rsidP="00BE50C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8B6" w14:textId="74D6959E" w:rsidR="00F5638C" w:rsidRPr="005F1388" w:rsidRDefault="00F5638C" w:rsidP="00BE50C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FDDB" w14:textId="754F07DE" w:rsidR="00F5638C" w:rsidRPr="00ED79B6" w:rsidRDefault="00F5638C" w:rsidP="00BE50CF">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1CEA" w14:textId="5F322359" w:rsidR="00F5638C" w:rsidRPr="00ED79B6" w:rsidRDefault="00F5638C" w:rsidP="00BE50C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540D" w14:textId="133A5E5A" w:rsidR="00F5638C" w:rsidRPr="00ED79B6" w:rsidRDefault="00F5638C" w:rsidP="00BE50C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3AE5" w14:textId="22C1D84A" w:rsidR="001C33F5" w:rsidRPr="00A961C4" w:rsidRDefault="003C1503" w:rsidP="00BE50CF">
    <w:pPr>
      <w:rPr>
        <w:b/>
        <w:sz w:val="20"/>
      </w:rPr>
    </w:pPr>
    <w:r>
      <w:rPr>
        <w:b/>
        <w:sz w:val="20"/>
      </w:rPr>
      <w:fldChar w:fldCharType="begin"/>
    </w:r>
    <w:r>
      <w:rPr>
        <w:b/>
        <w:sz w:val="20"/>
      </w:rPr>
      <w:instrText xml:space="preserve"> STYLEREF CharAmSchNo </w:instrText>
    </w:r>
    <w:r w:rsidR="00B05D09">
      <w:rPr>
        <w:b/>
        <w:sz w:val="20"/>
      </w:rPr>
      <w:fldChar w:fldCharType="separate"/>
    </w:r>
    <w:r w:rsidR="001D7A0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05D09">
      <w:rPr>
        <w:sz w:val="20"/>
      </w:rPr>
      <w:fldChar w:fldCharType="separate"/>
    </w:r>
    <w:r w:rsidR="001D7A09">
      <w:rPr>
        <w:noProof/>
        <w:sz w:val="20"/>
      </w:rPr>
      <w:t>Amendments</w:t>
    </w:r>
    <w:r>
      <w:rPr>
        <w:sz w:val="20"/>
      </w:rPr>
      <w:fldChar w:fldCharType="end"/>
    </w:r>
  </w:p>
  <w:p w14:paraId="2F956618" w14:textId="00C3C3EF" w:rsidR="001C33F5" w:rsidRPr="00A961C4" w:rsidRDefault="003C1503" w:rsidP="00BE50C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17A66C9" w14:textId="77777777" w:rsidR="001C33F5" w:rsidRPr="00A961C4" w:rsidRDefault="001C33F5" w:rsidP="00BE50CF">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 w:name="_Hlk26285923"/>
  <w:bookmarkStart w:id="19" w:name="_Hlk26285924"/>
  <w:bookmarkStart w:id="20" w:name="_Hlk26285927"/>
  <w:bookmarkStart w:id="21" w:name="_Hlk26285928"/>
  <w:p w14:paraId="06FFC5C4" w14:textId="25429ED5" w:rsidR="001C33F5" w:rsidRPr="00A961C4" w:rsidRDefault="003C1503" w:rsidP="00BE50C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D52B0A5" w14:textId="17161EEC" w:rsidR="001C33F5" w:rsidRPr="00A961C4" w:rsidRDefault="003C1503" w:rsidP="00BE50C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bookmarkEnd w:id="18"/>
  <w:bookmarkEnd w:id="19"/>
  <w:bookmarkEnd w:id="20"/>
  <w:bookmarkEnd w:id="21"/>
  <w:p w14:paraId="084F6583" w14:textId="77777777" w:rsidR="001C33F5" w:rsidRPr="00A961C4" w:rsidRDefault="001C33F5" w:rsidP="00BE50CF">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FE55" w14:textId="7D32F74C" w:rsidR="001C33F5" w:rsidRPr="00A961C4" w:rsidRDefault="001C33F5" w:rsidP="00BE50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01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80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5C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04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D03243"/>
    <w:multiLevelType w:val="hybridMultilevel"/>
    <w:tmpl w:val="78247508"/>
    <w:lvl w:ilvl="0" w:tplc="53401B8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136067990">
    <w:abstractNumId w:val="9"/>
  </w:num>
  <w:num w:numId="2" w16cid:durableId="817189419">
    <w:abstractNumId w:val="7"/>
  </w:num>
  <w:num w:numId="3" w16cid:durableId="1604344188">
    <w:abstractNumId w:val="6"/>
  </w:num>
  <w:num w:numId="4" w16cid:durableId="1763647075">
    <w:abstractNumId w:val="5"/>
  </w:num>
  <w:num w:numId="5" w16cid:durableId="1246187841">
    <w:abstractNumId w:val="4"/>
  </w:num>
  <w:num w:numId="6" w16cid:durableId="487095056">
    <w:abstractNumId w:val="8"/>
  </w:num>
  <w:num w:numId="7" w16cid:durableId="760687365">
    <w:abstractNumId w:val="3"/>
  </w:num>
  <w:num w:numId="8" w16cid:durableId="1237863731">
    <w:abstractNumId w:val="2"/>
  </w:num>
  <w:num w:numId="9" w16cid:durableId="1641812718">
    <w:abstractNumId w:val="1"/>
  </w:num>
  <w:num w:numId="10" w16cid:durableId="1666203731">
    <w:abstractNumId w:val="0"/>
  </w:num>
  <w:num w:numId="11" w16cid:durableId="318657493">
    <w:abstractNumId w:val="12"/>
  </w:num>
  <w:num w:numId="12" w16cid:durableId="725951840">
    <w:abstractNumId w:val="10"/>
  </w:num>
  <w:num w:numId="13" w16cid:durableId="232550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E8"/>
    <w:rsid w:val="000007AE"/>
    <w:rsid w:val="000010D0"/>
    <w:rsid w:val="000015D3"/>
    <w:rsid w:val="00002505"/>
    <w:rsid w:val="00003604"/>
    <w:rsid w:val="00005E99"/>
    <w:rsid w:val="0000613C"/>
    <w:rsid w:val="00006E5B"/>
    <w:rsid w:val="000075C0"/>
    <w:rsid w:val="000075D6"/>
    <w:rsid w:val="00012A02"/>
    <w:rsid w:val="00013816"/>
    <w:rsid w:val="00013AB4"/>
    <w:rsid w:val="00014344"/>
    <w:rsid w:val="0001626D"/>
    <w:rsid w:val="000211FC"/>
    <w:rsid w:val="00022ADC"/>
    <w:rsid w:val="00024599"/>
    <w:rsid w:val="000259F3"/>
    <w:rsid w:val="0002624B"/>
    <w:rsid w:val="0002740E"/>
    <w:rsid w:val="000315C9"/>
    <w:rsid w:val="00031607"/>
    <w:rsid w:val="0003470D"/>
    <w:rsid w:val="000353DD"/>
    <w:rsid w:val="00037360"/>
    <w:rsid w:val="000373EF"/>
    <w:rsid w:val="00040B0E"/>
    <w:rsid w:val="00042089"/>
    <w:rsid w:val="00043DDD"/>
    <w:rsid w:val="00044DD6"/>
    <w:rsid w:val="000467A0"/>
    <w:rsid w:val="00051A41"/>
    <w:rsid w:val="0005727E"/>
    <w:rsid w:val="00057940"/>
    <w:rsid w:val="00057B60"/>
    <w:rsid w:val="00057D86"/>
    <w:rsid w:val="000604D6"/>
    <w:rsid w:val="000609C8"/>
    <w:rsid w:val="00060B30"/>
    <w:rsid w:val="00061D57"/>
    <w:rsid w:val="000627D5"/>
    <w:rsid w:val="000632E7"/>
    <w:rsid w:val="000634CC"/>
    <w:rsid w:val="00064160"/>
    <w:rsid w:val="00065A62"/>
    <w:rsid w:val="00065A89"/>
    <w:rsid w:val="000668B0"/>
    <w:rsid w:val="00067002"/>
    <w:rsid w:val="000673FB"/>
    <w:rsid w:val="0007022E"/>
    <w:rsid w:val="00073ED0"/>
    <w:rsid w:val="00074D4D"/>
    <w:rsid w:val="0007520F"/>
    <w:rsid w:val="000775B7"/>
    <w:rsid w:val="00080471"/>
    <w:rsid w:val="0008188D"/>
    <w:rsid w:val="00082B03"/>
    <w:rsid w:val="000831D3"/>
    <w:rsid w:val="00083A7F"/>
    <w:rsid w:val="00084B93"/>
    <w:rsid w:val="000860B7"/>
    <w:rsid w:val="0009052F"/>
    <w:rsid w:val="000911CA"/>
    <w:rsid w:val="000912DC"/>
    <w:rsid w:val="000923F1"/>
    <w:rsid w:val="000927C1"/>
    <w:rsid w:val="00094487"/>
    <w:rsid w:val="000965D6"/>
    <w:rsid w:val="00096D5A"/>
    <w:rsid w:val="00097303"/>
    <w:rsid w:val="0009747A"/>
    <w:rsid w:val="000A0E3E"/>
    <w:rsid w:val="000A2CBD"/>
    <w:rsid w:val="000A3963"/>
    <w:rsid w:val="000A570C"/>
    <w:rsid w:val="000A58F4"/>
    <w:rsid w:val="000A633D"/>
    <w:rsid w:val="000B3108"/>
    <w:rsid w:val="000B33E2"/>
    <w:rsid w:val="000B7EFD"/>
    <w:rsid w:val="000C016B"/>
    <w:rsid w:val="000C0C3B"/>
    <w:rsid w:val="000C2CB6"/>
    <w:rsid w:val="000C4424"/>
    <w:rsid w:val="000D1F79"/>
    <w:rsid w:val="000D32B5"/>
    <w:rsid w:val="000D3872"/>
    <w:rsid w:val="000D3E17"/>
    <w:rsid w:val="000D6686"/>
    <w:rsid w:val="000E027E"/>
    <w:rsid w:val="000E03B5"/>
    <w:rsid w:val="000E0B0F"/>
    <w:rsid w:val="000E172F"/>
    <w:rsid w:val="000E2197"/>
    <w:rsid w:val="000E2618"/>
    <w:rsid w:val="000E2E82"/>
    <w:rsid w:val="000E3F24"/>
    <w:rsid w:val="000E49F7"/>
    <w:rsid w:val="000E5272"/>
    <w:rsid w:val="000E54D8"/>
    <w:rsid w:val="000E737A"/>
    <w:rsid w:val="000F0786"/>
    <w:rsid w:val="000F28B0"/>
    <w:rsid w:val="000F5476"/>
    <w:rsid w:val="000F64E5"/>
    <w:rsid w:val="000F68B5"/>
    <w:rsid w:val="000F6ABB"/>
    <w:rsid w:val="000F7156"/>
    <w:rsid w:val="001005CB"/>
    <w:rsid w:val="001015B6"/>
    <w:rsid w:val="001021B5"/>
    <w:rsid w:val="00103062"/>
    <w:rsid w:val="0010314E"/>
    <w:rsid w:val="00103ADB"/>
    <w:rsid w:val="00106E8F"/>
    <w:rsid w:val="00107B06"/>
    <w:rsid w:val="00107B0C"/>
    <w:rsid w:val="001105FD"/>
    <w:rsid w:val="00113DE6"/>
    <w:rsid w:val="00114D4C"/>
    <w:rsid w:val="0011504B"/>
    <w:rsid w:val="001208C0"/>
    <w:rsid w:val="00122B3D"/>
    <w:rsid w:val="001244B0"/>
    <w:rsid w:val="00124A36"/>
    <w:rsid w:val="00125204"/>
    <w:rsid w:val="001263F5"/>
    <w:rsid w:val="00127719"/>
    <w:rsid w:val="00127BBA"/>
    <w:rsid w:val="00130AB6"/>
    <w:rsid w:val="00137EA7"/>
    <w:rsid w:val="00140553"/>
    <w:rsid w:val="0014075C"/>
    <w:rsid w:val="00141B9D"/>
    <w:rsid w:val="00143289"/>
    <w:rsid w:val="001449BB"/>
    <w:rsid w:val="0014539A"/>
    <w:rsid w:val="00145945"/>
    <w:rsid w:val="00147C02"/>
    <w:rsid w:val="00152E64"/>
    <w:rsid w:val="001530D1"/>
    <w:rsid w:val="001532DB"/>
    <w:rsid w:val="001558BE"/>
    <w:rsid w:val="001564E3"/>
    <w:rsid w:val="001569C3"/>
    <w:rsid w:val="00156AA9"/>
    <w:rsid w:val="00157A95"/>
    <w:rsid w:val="001603F2"/>
    <w:rsid w:val="001615DE"/>
    <w:rsid w:val="00161666"/>
    <w:rsid w:val="00163918"/>
    <w:rsid w:val="00165AE4"/>
    <w:rsid w:val="00167102"/>
    <w:rsid w:val="001676BE"/>
    <w:rsid w:val="00170495"/>
    <w:rsid w:val="00170768"/>
    <w:rsid w:val="00171C0E"/>
    <w:rsid w:val="001726AA"/>
    <w:rsid w:val="00173153"/>
    <w:rsid w:val="00174537"/>
    <w:rsid w:val="00174857"/>
    <w:rsid w:val="001752E1"/>
    <w:rsid w:val="00182983"/>
    <w:rsid w:val="00183406"/>
    <w:rsid w:val="00183B53"/>
    <w:rsid w:val="00185790"/>
    <w:rsid w:val="00185E8C"/>
    <w:rsid w:val="00186925"/>
    <w:rsid w:val="00186C11"/>
    <w:rsid w:val="00190A94"/>
    <w:rsid w:val="0019179E"/>
    <w:rsid w:val="001941B1"/>
    <w:rsid w:val="00195547"/>
    <w:rsid w:val="00196A0E"/>
    <w:rsid w:val="00196AD9"/>
    <w:rsid w:val="00196FA0"/>
    <w:rsid w:val="001A111B"/>
    <w:rsid w:val="001A1B2B"/>
    <w:rsid w:val="001A3832"/>
    <w:rsid w:val="001A5834"/>
    <w:rsid w:val="001A5ACA"/>
    <w:rsid w:val="001A67FC"/>
    <w:rsid w:val="001A7606"/>
    <w:rsid w:val="001A7CCA"/>
    <w:rsid w:val="001A7FD6"/>
    <w:rsid w:val="001B1E3A"/>
    <w:rsid w:val="001B2264"/>
    <w:rsid w:val="001B3763"/>
    <w:rsid w:val="001B5E2F"/>
    <w:rsid w:val="001B6182"/>
    <w:rsid w:val="001B61A8"/>
    <w:rsid w:val="001C2AE6"/>
    <w:rsid w:val="001C30F8"/>
    <w:rsid w:val="001C33F5"/>
    <w:rsid w:val="001C4734"/>
    <w:rsid w:val="001D2DE5"/>
    <w:rsid w:val="001D3227"/>
    <w:rsid w:val="001D519D"/>
    <w:rsid w:val="001D524B"/>
    <w:rsid w:val="001D5D2C"/>
    <w:rsid w:val="001D7559"/>
    <w:rsid w:val="001D7A09"/>
    <w:rsid w:val="001D7A64"/>
    <w:rsid w:val="001E00C9"/>
    <w:rsid w:val="001E1712"/>
    <w:rsid w:val="001E46E0"/>
    <w:rsid w:val="001E5A88"/>
    <w:rsid w:val="001E6270"/>
    <w:rsid w:val="001F1817"/>
    <w:rsid w:val="001F26A6"/>
    <w:rsid w:val="001F4680"/>
    <w:rsid w:val="001F4D59"/>
    <w:rsid w:val="001F60EC"/>
    <w:rsid w:val="0020049E"/>
    <w:rsid w:val="00200A4B"/>
    <w:rsid w:val="00200F2E"/>
    <w:rsid w:val="00204AAE"/>
    <w:rsid w:val="00205833"/>
    <w:rsid w:val="00205F0A"/>
    <w:rsid w:val="002073BB"/>
    <w:rsid w:val="0020796B"/>
    <w:rsid w:val="00207DE3"/>
    <w:rsid w:val="00211E7C"/>
    <w:rsid w:val="00214F93"/>
    <w:rsid w:val="002155C6"/>
    <w:rsid w:val="0021679B"/>
    <w:rsid w:val="00216E05"/>
    <w:rsid w:val="00217BDF"/>
    <w:rsid w:val="0022055F"/>
    <w:rsid w:val="00223441"/>
    <w:rsid w:val="00224659"/>
    <w:rsid w:val="0022617F"/>
    <w:rsid w:val="00226B71"/>
    <w:rsid w:val="0022783E"/>
    <w:rsid w:val="002327C0"/>
    <w:rsid w:val="00240FF2"/>
    <w:rsid w:val="00241973"/>
    <w:rsid w:val="00241E4E"/>
    <w:rsid w:val="002422E4"/>
    <w:rsid w:val="0024236D"/>
    <w:rsid w:val="002435FB"/>
    <w:rsid w:val="00243D69"/>
    <w:rsid w:val="00244D56"/>
    <w:rsid w:val="00245544"/>
    <w:rsid w:val="00246C92"/>
    <w:rsid w:val="0024782F"/>
    <w:rsid w:val="002479AE"/>
    <w:rsid w:val="00247C42"/>
    <w:rsid w:val="00247C66"/>
    <w:rsid w:val="00247CE8"/>
    <w:rsid w:val="0025101D"/>
    <w:rsid w:val="002511E7"/>
    <w:rsid w:val="0025329E"/>
    <w:rsid w:val="00253E0C"/>
    <w:rsid w:val="002563B6"/>
    <w:rsid w:val="002573F3"/>
    <w:rsid w:val="00262169"/>
    <w:rsid w:val="00263419"/>
    <w:rsid w:val="00263442"/>
    <w:rsid w:val="00264F0A"/>
    <w:rsid w:val="0026584C"/>
    <w:rsid w:val="00265DA9"/>
    <w:rsid w:val="00272D97"/>
    <w:rsid w:val="002737E7"/>
    <w:rsid w:val="00274711"/>
    <w:rsid w:val="00274E17"/>
    <w:rsid w:val="00276544"/>
    <w:rsid w:val="00277378"/>
    <w:rsid w:val="0028078B"/>
    <w:rsid w:val="00280D03"/>
    <w:rsid w:val="00282FBF"/>
    <w:rsid w:val="00287716"/>
    <w:rsid w:val="002901DB"/>
    <w:rsid w:val="00291FD0"/>
    <w:rsid w:val="00292F34"/>
    <w:rsid w:val="00293941"/>
    <w:rsid w:val="00293D16"/>
    <w:rsid w:val="002943F4"/>
    <w:rsid w:val="00294A29"/>
    <w:rsid w:val="00295FE0"/>
    <w:rsid w:val="00297E7C"/>
    <w:rsid w:val="002A0FCF"/>
    <w:rsid w:val="002A3DF6"/>
    <w:rsid w:val="002A4BDE"/>
    <w:rsid w:val="002A536C"/>
    <w:rsid w:val="002A5FE9"/>
    <w:rsid w:val="002A682A"/>
    <w:rsid w:val="002B1791"/>
    <w:rsid w:val="002B2197"/>
    <w:rsid w:val="002B305F"/>
    <w:rsid w:val="002B6C02"/>
    <w:rsid w:val="002B77BF"/>
    <w:rsid w:val="002B7E48"/>
    <w:rsid w:val="002C2A56"/>
    <w:rsid w:val="002D1E26"/>
    <w:rsid w:val="002D3E79"/>
    <w:rsid w:val="002D498E"/>
    <w:rsid w:val="002E0739"/>
    <w:rsid w:val="002E1475"/>
    <w:rsid w:val="002E175C"/>
    <w:rsid w:val="002E1B94"/>
    <w:rsid w:val="002E2157"/>
    <w:rsid w:val="002E385F"/>
    <w:rsid w:val="002E389B"/>
    <w:rsid w:val="002E4DAA"/>
    <w:rsid w:val="002E51F0"/>
    <w:rsid w:val="002E57D8"/>
    <w:rsid w:val="002E7E8B"/>
    <w:rsid w:val="002F046F"/>
    <w:rsid w:val="002F10C8"/>
    <w:rsid w:val="002F110E"/>
    <w:rsid w:val="002F2264"/>
    <w:rsid w:val="002F282B"/>
    <w:rsid w:val="002F6ED7"/>
    <w:rsid w:val="002F78E0"/>
    <w:rsid w:val="002F7C2F"/>
    <w:rsid w:val="00300288"/>
    <w:rsid w:val="00301560"/>
    <w:rsid w:val="00301D1D"/>
    <w:rsid w:val="003058AA"/>
    <w:rsid w:val="003058F9"/>
    <w:rsid w:val="003100AD"/>
    <w:rsid w:val="00310261"/>
    <w:rsid w:val="00311959"/>
    <w:rsid w:val="00313878"/>
    <w:rsid w:val="0031452A"/>
    <w:rsid w:val="00314B39"/>
    <w:rsid w:val="003226E4"/>
    <w:rsid w:val="003235A2"/>
    <w:rsid w:val="00323A00"/>
    <w:rsid w:val="00325BDF"/>
    <w:rsid w:val="00326654"/>
    <w:rsid w:val="00326F9D"/>
    <w:rsid w:val="003315D0"/>
    <w:rsid w:val="00331EAD"/>
    <w:rsid w:val="003332CC"/>
    <w:rsid w:val="0033484C"/>
    <w:rsid w:val="00336A7B"/>
    <w:rsid w:val="0034020D"/>
    <w:rsid w:val="00340E3E"/>
    <w:rsid w:val="00344981"/>
    <w:rsid w:val="003449B4"/>
    <w:rsid w:val="00344AF0"/>
    <w:rsid w:val="00345017"/>
    <w:rsid w:val="003453FA"/>
    <w:rsid w:val="00345B9F"/>
    <w:rsid w:val="0034687D"/>
    <w:rsid w:val="00350E6C"/>
    <w:rsid w:val="00351055"/>
    <w:rsid w:val="00351A81"/>
    <w:rsid w:val="00351C00"/>
    <w:rsid w:val="00351DD8"/>
    <w:rsid w:val="003549C5"/>
    <w:rsid w:val="0035616B"/>
    <w:rsid w:val="00357533"/>
    <w:rsid w:val="00360A87"/>
    <w:rsid w:val="00360BE1"/>
    <w:rsid w:val="00360F74"/>
    <w:rsid w:val="00361045"/>
    <w:rsid w:val="0036106B"/>
    <w:rsid w:val="003627CB"/>
    <w:rsid w:val="00365008"/>
    <w:rsid w:val="00367428"/>
    <w:rsid w:val="0037266F"/>
    <w:rsid w:val="0037279E"/>
    <w:rsid w:val="003733FB"/>
    <w:rsid w:val="00373D69"/>
    <w:rsid w:val="00373DA8"/>
    <w:rsid w:val="00376DA8"/>
    <w:rsid w:val="00380C66"/>
    <w:rsid w:val="0038118A"/>
    <w:rsid w:val="0038185A"/>
    <w:rsid w:val="00383F55"/>
    <w:rsid w:val="0038642D"/>
    <w:rsid w:val="003870B3"/>
    <w:rsid w:val="003905B7"/>
    <w:rsid w:val="00391348"/>
    <w:rsid w:val="003934B2"/>
    <w:rsid w:val="0039713E"/>
    <w:rsid w:val="003A45B5"/>
    <w:rsid w:val="003A6BB6"/>
    <w:rsid w:val="003A6C7A"/>
    <w:rsid w:val="003A7193"/>
    <w:rsid w:val="003A79AA"/>
    <w:rsid w:val="003A7B4A"/>
    <w:rsid w:val="003B1802"/>
    <w:rsid w:val="003B185D"/>
    <w:rsid w:val="003B25C5"/>
    <w:rsid w:val="003B2B12"/>
    <w:rsid w:val="003B31E0"/>
    <w:rsid w:val="003B33C4"/>
    <w:rsid w:val="003B48F1"/>
    <w:rsid w:val="003B51CC"/>
    <w:rsid w:val="003B529F"/>
    <w:rsid w:val="003B541B"/>
    <w:rsid w:val="003B571D"/>
    <w:rsid w:val="003B74D9"/>
    <w:rsid w:val="003B74E8"/>
    <w:rsid w:val="003B7F02"/>
    <w:rsid w:val="003C1503"/>
    <w:rsid w:val="003C34B0"/>
    <w:rsid w:val="003C4161"/>
    <w:rsid w:val="003C5587"/>
    <w:rsid w:val="003C77BC"/>
    <w:rsid w:val="003D05AF"/>
    <w:rsid w:val="003D181B"/>
    <w:rsid w:val="003D2B14"/>
    <w:rsid w:val="003D5B51"/>
    <w:rsid w:val="003D7F7B"/>
    <w:rsid w:val="003E26E9"/>
    <w:rsid w:val="003F2631"/>
    <w:rsid w:val="003F32CF"/>
    <w:rsid w:val="003F3960"/>
    <w:rsid w:val="003F3ED7"/>
    <w:rsid w:val="003F5977"/>
    <w:rsid w:val="003F7489"/>
    <w:rsid w:val="003F7DB1"/>
    <w:rsid w:val="004019BC"/>
    <w:rsid w:val="0040281F"/>
    <w:rsid w:val="004038C1"/>
    <w:rsid w:val="00405326"/>
    <w:rsid w:val="0040756D"/>
    <w:rsid w:val="004114A1"/>
    <w:rsid w:val="0041171E"/>
    <w:rsid w:val="004135C6"/>
    <w:rsid w:val="004150DE"/>
    <w:rsid w:val="00416C63"/>
    <w:rsid w:val="0041700F"/>
    <w:rsid w:val="00417584"/>
    <w:rsid w:val="004178B7"/>
    <w:rsid w:val="0042141D"/>
    <w:rsid w:val="00423315"/>
    <w:rsid w:val="00423611"/>
    <w:rsid w:val="00424553"/>
    <w:rsid w:val="00425DC6"/>
    <w:rsid w:val="00432914"/>
    <w:rsid w:val="00433489"/>
    <w:rsid w:val="00433E6E"/>
    <w:rsid w:val="00433F39"/>
    <w:rsid w:val="004354B1"/>
    <w:rsid w:val="004361F3"/>
    <w:rsid w:val="004373F8"/>
    <w:rsid w:val="004427B2"/>
    <w:rsid w:val="00442DE9"/>
    <w:rsid w:val="00445B9D"/>
    <w:rsid w:val="004512F6"/>
    <w:rsid w:val="00452D84"/>
    <w:rsid w:val="004545C6"/>
    <w:rsid w:val="00456E16"/>
    <w:rsid w:val="004579E9"/>
    <w:rsid w:val="00457B96"/>
    <w:rsid w:val="00460064"/>
    <w:rsid w:val="00463A7D"/>
    <w:rsid w:val="00465AD7"/>
    <w:rsid w:val="00466A08"/>
    <w:rsid w:val="004670AE"/>
    <w:rsid w:val="0046799A"/>
    <w:rsid w:val="00470C00"/>
    <w:rsid w:val="0047167F"/>
    <w:rsid w:val="00472540"/>
    <w:rsid w:val="00472E5B"/>
    <w:rsid w:val="004733E8"/>
    <w:rsid w:val="0047351C"/>
    <w:rsid w:val="00473885"/>
    <w:rsid w:val="00477181"/>
    <w:rsid w:val="004778BE"/>
    <w:rsid w:val="00477904"/>
    <w:rsid w:val="00477FE5"/>
    <w:rsid w:val="00481C50"/>
    <w:rsid w:val="00481C51"/>
    <w:rsid w:val="00482471"/>
    <w:rsid w:val="00484FB6"/>
    <w:rsid w:val="00491CF4"/>
    <w:rsid w:val="004928E7"/>
    <w:rsid w:val="00493B09"/>
    <w:rsid w:val="00495A28"/>
    <w:rsid w:val="00495A6B"/>
    <w:rsid w:val="004960A6"/>
    <w:rsid w:val="004A0617"/>
    <w:rsid w:val="004A1216"/>
    <w:rsid w:val="004A2195"/>
    <w:rsid w:val="004A4675"/>
    <w:rsid w:val="004A739A"/>
    <w:rsid w:val="004B2212"/>
    <w:rsid w:val="004B32DC"/>
    <w:rsid w:val="004B3412"/>
    <w:rsid w:val="004B60F8"/>
    <w:rsid w:val="004B6360"/>
    <w:rsid w:val="004C18DA"/>
    <w:rsid w:val="004C279F"/>
    <w:rsid w:val="004C530A"/>
    <w:rsid w:val="004C5375"/>
    <w:rsid w:val="004C5BA9"/>
    <w:rsid w:val="004D0512"/>
    <w:rsid w:val="004D083C"/>
    <w:rsid w:val="004D2E2C"/>
    <w:rsid w:val="004D45D4"/>
    <w:rsid w:val="004D4923"/>
    <w:rsid w:val="004D5B1C"/>
    <w:rsid w:val="004D65B1"/>
    <w:rsid w:val="004E1F47"/>
    <w:rsid w:val="004E2258"/>
    <w:rsid w:val="004E539F"/>
    <w:rsid w:val="004E5E22"/>
    <w:rsid w:val="004F155D"/>
    <w:rsid w:val="004F2218"/>
    <w:rsid w:val="004F5761"/>
    <w:rsid w:val="004F65C9"/>
    <w:rsid w:val="00500A24"/>
    <w:rsid w:val="00502F8B"/>
    <w:rsid w:val="00503077"/>
    <w:rsid w:val="005038A5"/>
    <w:rsid w:val="005043EE"/>
    <w:rsid w:val="00507741"/>
    <w:rsid w:val="00507A7B"/>
    <w:rsid w:val="00507F6C"/>
    <w:rsid w:val="00510DCD"/>
    <w:rsid w:val="00512025"/>
    <w:rsid w:val="005120CF"/>
    <w:rsid w:val="0051217D"/>
    <w:rsid w:val="0052051A"/>
    <w:rsid w:val="00520CD8"/>
    <w:rsid w:val="00520D71"/>
    <w:rsid w:val="005214B8"/>
    <w:rsid w:val="00522320"/>
    <w:rsid w:val="00523C50"/>
    <w:rsid w:val="0052406A"/>
    <w:rsid w:val="005260A4"/>
    <w:rsid w:val="00527BFC"/>
    <w:rsid w:val="005318BB"/>
    <w:rsid w:val="00531DDC"/>
    <w:rsid w:val="00534DC8"/>
    <w:rsid w:val="0053617B"/>
    <w:rsid w:val="00536940"/>
    <w:rsid w:val="005400A9"/>
    <w:rsid w:val="00540934"/>
    <w:rsid w:val="005410FD"/>
    <w:rsid w:val="00542013"/>
    <w:rsid w:val="00542F6B"/>
    <w:rsid w:val="00543440"/>
    <w:rsid w:val="00544087"/>
    <w:rsid w:val="005446B7"/>
    <w:rsid w:val="0054686E"/>
    <w:rsid w:val="0055161D"/>
    <w:rsid w:val="00552A93"/>
    <w:rsid w:val="00553277"/>
    <w:rsid w:val="00554D13"/>
    <w:rsid w:val="00555675"/>
    <w:rsid w:val="00561992"/>
    <w:rsid w:val="00562D64"/>
    <w:rsid w:val="00563534"/>
    <w:rsid w:val="0056390A"/>
    <w:rsid w:val="00563AEC"/>
    <w:rsid w:val="005654F9"/>
    <w:rsid w:val="00567773"/>
    <w:rsid w:val="0057171F"/>
    <w:rsid w:val="005724C5"/>
    <w:rsid w:val="00572FA7"/>
    <w:rsid w:val="00573860"/>
    <w:rsid w:val="00575A82"/>
    <w:rsid w:val="00576D3E"/>
    <w:rsid w:val="00577874"/>
    <w:rsid w:val="0057798D"/>
    <w:rsid w:val="00580B8B"/>
    <w:rsid w:val="00580FA2"/>
    <w:rsid w:val="005824BD"/>
    <w:rsid w:val="00582BB9"/>
    <w:rsid w:val="005835C9"/>
    <w:rsid w:val="005865FC"/>
    <w:rsid w:val="0058662C"/>
    <w:rsid w:val="005927CD"/>
    <w:rsid w:val="00592C71"/>
    <w:rsid w:val="00593774"/>
    <w:rsid w:val="00594E3F"/>
    <w:rsid w:val="00595155"/>
    <w:rsid w:val="00595252"/>
    <w:rsid w:val="00595CB6"/>
    <w:rsid w:val="00595F8F"/>
    <w:rsid w:val="005972DC"/>
    <w:rsid w:val="005975DA"/>
    <w:rsid w:val="005A04C6"/>
    <w:rsid w:val="005A23B3"/>
    <w:rsid w:val="005A3B02"/>
    <w:rsid w:val="005A4E23"/>
    <w:rsid w:val="005A51B3"/>
    <w:rsid w:val="005A5A2E"/>
    <w:rsid w:val="005B1305"/>
    <w:rsid w:val="005B19B3"/>
    <w:rsid w:val="005B2FB2"/>
    <w:rsid w:val="005B3862"/>
    <w:rsid w:val="005B5837"/>
    <w:rsid w:val="005B60A9"/>
    <w:rsid w:val="005B671B"/>
    <w:rsid w:val="005B6A1D"/>
    <w:rsid w:val="005B76DC"/>
    <w:rsid w:val="005B7C6A"/>
    <w:rsid w:val="005C0E0F"/>
    <w:rsid w:val="005C1717"/>
    <w:rsid w:val="005C1D0C"/>
    <w:rsid w:val="005C3ADA"/>
    <w:rsid w:val="005C4D3F"/>
    <w:rsid w:val="005C4F18"/>
    <w:rsid w:val="005D01F3"/>
    <w:rsid w:val="005D0A01"/>
    <w:rsid w:val="005D10FF"/>
    <w:rsid w:val="005D1370"/>
    <w:rsid w:val="005D387D"/>
    <w:rsid w:val="005D5E93"/>
    <w:rsid w:val="005D7519"/>
    <w:rsid w:val="005D75C7"/>
    <w:rsid w:val="005D7A31"/>
    <w:rsid w:val="005E0B33"/>
    <w:rsid w:val="005E1247"/>
    <w:rsid w:val="005E3C69"/>
    <w:rsid w:val="005E45B9"/>
    <w:rsid w:val="005E6F93"/>
    <w:rsid w:val="005E7AA5"/>
    <w:rsid w:val="005F23E9"/>
    <w:rsid w:val="005F2649"/>
    <w:rsid w:val="005F2E60"/>
    <w:rsid w:val="005F3D2C"/>
    <w:rsid w:val="005F60A1"/>
    <w:rsid w:val="005F722D"/>
    <w:rsid w:val="006005A2"/>
    <w:rsid w:val="00601507"/>
    <w:rsid w:val="00602E58"/>
    <w:rsid w:val="0060478F"/>
    <w:rsid w:val="00605CE0"/>
    <w:rsid w:val="00610390"/>
    <w:rsid w:val="00610581"/>
    <w:rsid w:val="00611B14"/>
    <w:rsid w:val="00612CC4"/>
    <w:rsid w:val="006150F4"/>
    <w:rsid w:val="0061516F"/>
    <w:rsid w:val="00615300"/>
    <w:rsid w:val="00615991"/>
    <w:rsid w:val="00616C5E"/>
    <w:rsid w:val="00620157"/>
    <w:rsid w:val="00620AC1"/>
    <w:rsid w:val="00620AF7"/>
    <w:rsid w:val="00620E48"/>
    <w:rsid w:val="006229F8"/>
    <w:rsid w:val="006234BA"/>
    <w:rsid w:val="00627593"/>
    <w:rsid w:val="00630E61"/>
    <w:rsid w:val="00631707"/>
    <w:rsid w:val="00631A87"/>
    <w:rsid w:val="00632CF8"/>
    <w:rsid w:val="00633E7E"/>
    <w:rsid w:val="00641481"/>
    <w:rsid w:val="0064226A"/>
    <w:rsid w:val="00644E37"/>
    <w:rsid w:val="00646BAB"/>
    <w:rsid w:val="006476BB"/>
    <w:rsid w:val="0064780B"/>
    <w:rsid w:val="0065292C"/>
    <w:rsid w:val="00652D5D"/>
    <w:rsid w:val="00654A7D"/>
    <w:rsid w:val="00654EDE"/>
    <w:rsid w:val="0065668F"/>
    <w:rsid w:val="006567C1"/>
    <w:rsid w:val="006568AC"/>
    <w:rsid w:val="00660FE0"/>
    <w:rsid w:val="00661766"/>
    <w:rsid w:val="006619C7"/>
    <w:rsid w:val="00666477"/>
    <w:rsid w:val="006666E9"/>
    <w:rsid w:val="00666D2B"/>
    <w:rsid w:val="0066729C"/>
    <w:rsid w:val="00667616"/>
    <w:rsid w:val="00673D7B"/>
    <w:rsid w:val="00674DF9"/>
    <w:rsid w:val="006750C9"/>
    <w:rsid w:val="006768ED"/>
    <w:rsid w:val="00676B16"/>
    <w:rsid w:val="00676E1E"/>
    <w:rsid w:val="00680915"/>
    <w:rsid w:val="0068178B"/>
    <w:rsid w:val="00681C1B"/>
    <w:rsid w:val="00686291"/>
    <w:rsid w:val="00690E36"/>
    <w:rsid w:val="00692217"/>
    <w:rsid w:val="006929B2"/>
    <w:rsid w:val="006930B2"/>
    <w:rsid w:val="00695528"/>
    <w:rsid w:val="00696ABC"/>
    <w:rsid w:val="00697CE0"/>
    <w:rsid w:val="00697D00"/>
    <w:rsid w:val="00697D16"/>
    <w:rsid w:val="006A30F5"/>
    <w:rsid w:val="006A34B7"/>
    <w:rsid w:val="006B10E2"/>
    <w:rsid w:val="006B3DAE"/>
    <w:rsid w:val="006B5D94"/>
    <w:rsid w:val="006B5F5A"/>
    <w:rsid w:val="006B60D0"/>
    <w:rsid w:val="006B61CE"/>
    <w:rsid w:val="006B6453"/>
    <w:rsid w:val="006B7F91"/>
    <w:rsid w:val="006C078F"/>
    <w:rsid w:val="006C401D"/>
    <w:rsid w:val="006C57B5"/>
    <w:rsid w:val="006C57F7"/>
    <w:rsid w:val="006C5F3D"/>
    <w:rsid w:val="006C64BA"/>
    <w:rsid w:val="006C66E5"/>
    <w:rsid w:val="006C6E6F"/>
    <w:rsid w:val="006C7037"/>
    <w:rsid w:val="006D0AF9"/>
    <w:rsid w:val="006D3220"/>
    <w:rsid w:val="006D407F"/>
    <w:rsid w:val="006D4B98"/>
    <w:rsid w:val="006D5ACD"/>
    <w:rsid w:val="006D5BC5"/>
    <w:rsid w:val="006D5ED6"/>
    <w:rsid w:val="006D6446"/>
    <w:rsid w:val="006D7F61"/>
    <w:rsid w:val="006E2169"/>
    <w:rsid w:val="006E2AD4"/>
    <w:rsid w:val="006E519B"/>
    <w:rsid w:val="006E525D"/>
    <w:rsid w:val="006E591C"/>
    <w:rsid w:val="006E6908"/>
    <w:rsid w:val="006E7B78"/>
    <w:rsid w:val="006F14F7"/>
    <w:rsid w:val="006F158D"/>
    <w:rsid w:val="006F20E8"/>
    <w:rsid w:val="006F28C5"/>
    <w:rsid w:val="006F37CA"/>
    <w:rsid w:val="006F3C27"/>
    <w:rsid w:val="006F45EF"/>
    <w:rsid w:val="006F5EE4"/>
    <w:rsid w:val="006F6544"/>
    <w:rsid w:val="006F7EA5"/>
    <w:rsid w:val="0070080B"/>
    <w:rsid w:val="007045B0"/>
    <w:rsid w:val="0070531F"/>
    <w:rsid w:val="00710C72"/>
    <w:rsid w:val="00710E89"/>
    <w:rsid w:val="00712C4F"/>
    <w:rsid w:val="00713B25"/>
    <w:rsid w:val="00720BD0"/>
    <w:rsid w:val="00721CC2"/>
    <w:rsid w:val="00722269"/>
    <w:rsid w:val="00723EF5"/>
    <w:rsid w:val="00726D85"/>
    <w:rsid w:val="00733F09"/>
    <w:rsid w:val="007362B5"/>
    <w:rsid w:val="00737A2A"/>
    <w:rsid w:val="00737F28"/>
    <w:rsid w:val="007404CC"/>
    <w:rsid w:val="0074119B"/>
    <w:rsid w:val="00741575"/>
    <w:rsid w:val="007423FF"/>
    <w:rsid w:val="00742C29"/>
    <w:rsid w:val="00742C47"/>
    <w:rsid w:val="007435A7"/>
    <w:rsid w:val="007518C8"/>
    <w:rsid w:val="00753499"/>
    <w:rsid w:val="00753759"/>
    <w:rsid w:val="00756200"/>
    <w:rsid w:val="007604CC"/>
    <w:rsid w:val="007611B8"/>
    <w:rsid w:val="00763F53"/>
    <w:rsid w:val="007640F7"/>
    <w:rsid w:val="00766FE3"/>
    <w:rsid w:val="00767469"/>
    <w:rsid w:val="00771D64"/>
    <w:rsid w:val="00775EC0"/>
    <w:rsid w:val="00781FB1"/>
    <w:rsid w:val="00783B85"/>
    <w:rsid w:val="00783C48"/>
    <w:rsid w:val="00783FAF"/>
    <w:rsid w:val="00784BD0"/>
    <w:rsid w:val="00785BF3"/>
    <w:rsid w:val="00786EC6"/>
    <w:rsid w:val="00787E69"/>
    <w:rsid w:val="00787E9C"/>
    <w:rsid w:val="00792310"/>
    <w:rsid w:val="0079392C"/>
    <w:rsid w:val="00793CCE"/>
    <w:rsid w:val="00795F33"/>
    <w:rsid w:val="007978B5"/>
    <w:rsid w:val="007A3039"/>
    <w:rsid w:val="007A46E6"/>
    <w:rsid w:val="007A76C1"/>
    <w:rsid w:val="007A7CE0"/>
    <w:rsid w:val="007A7DB4"/>
    <w:rsid w:val="007B0775"/>
    <w:rsid w:val="007B0833"/>
    <w:rsid w:val="007B3F2B"/>
    <w:rsid w:val="007B425E"/>
    <w:rsid w:val="007B5D8C"/>
    <w:rsid w:val="007C31D7"/>
    <w:rsid w:val="007C3DD1"/>
    <w:rsid w:val="007C6F4C"/>
    <w:rsid w:val="007C773D"/>
    <w:rsid w:val="007C7BDB"/>
    <w:rsid w:val="007D268A"/>
    <w:rsid w:val="007D654A"/>
    <w:rsid w:val="007E146A"/>
    <w:rsid w:val="007E1CE4"/>
    <w:rsid w:val="007E3760"/>
    <w:rsid w:val="007E520F"/>
    <w:rsid w:val="007E536B"/>
    <w:rsid w:val="007E74AE"/>
    <w:rsid w:val="007E798E"/>
    <w:rsid w:val="007F136B"/>
    <w:rsid w:val="007F319C"/>
    <w:rsid w:val="007F3B08"/>
    <w:rsid w:val="007F3E72"/>
    <w:rsid w:val="007F3EF9"/>
    <w:rsid w:val="007F597C"/>
    <w:rsid w:val="007F6B20"/>
    <w:rsid w:val="007F6D37"/>
    <w:rsid w:val="008000B6"/>
    <w:rsid w:val="00800CAE"/>
    <w:rsid w:val="00801748"/>
    <w:rsid w:val="00801CB6"/>
    <w:rsid w:val="00804815"/>
    <w:rsid w:val="00807510"/>
    <w:rsid w:val="00807A5C"/>
    <w:rsid w:val="00807CB4"/>
    <w:rsid w:val="008101A7"/>
    <w:rsid w:val="00812DF5"/>
    <w:rsid w:val="00812FE0"/>
    <w:rsid w:val="00815837"/>
    <w:rsid w:val="008160ED"/>
    <w:rsid w:val="0081790F"/>
    <w:rsid w:val="008201AE"/>
    <w:rsid w:val="00823382"/>
    <w:rsid w:val="008257D3"/>
    <w:rsid w:val="00826CCE"/>
    <w:rsid w:val="00826F15"/>
    <w:rsid w:val="00827E75"/>
    <w:rsid w:val="00830F41"/>
    <w:rsid w:val="0083196A"/>
    <w:rsid w:val="00832BF5"/>
    <w:rsid w:val="00832DF5"/>
    <w:rsid w:val="00833759"/>
    <w:rsid w:val="00834DD4"/>
    <w:rsid w:val="00836721"/>
    <w:rsid w:val="008367C6"/>
    <w:rsid w:val="0083743A"/>
    <w:rsid w:val="008401E7"/>
    <w:rsid w:val="00840775"/>
    <w:rsid w:val="00842931"/>
    <w:rsid w:val="00842EBD"/>
    <w:rsid w:val="00842F94"/>
    <w:rsid w:val="00842FCA"/>
    <w:rsid w:val="00845474"/>
    <w:rsid w:val="0084609A"/>
    <w:rsid w:val="00846818"/>
    <w:rsid w:val="00846C6A"/>
    <w:rsid w:val="00851003"/>
    <w:rsid w:val="0085341E"/>
    <w:rsid w:val="0085523A"/>
    <w:rsid w:val="00861AB7"/>
    <w:rsid w:val="00865F8B"/>
    <w:rsid w:val="0086629C"/>
    <w:rsid w:val="008666B7"/>
    <w:rsid w:val="008675CB"/>
    <w:rsid w:val="00867DF3"/>
    <w:rsid w:val="00870DFE"/>
    <w:rsid w:val="00872032"/>
    <w:rsid w:val="008748AB"/>
    <w:rsid w:val="0087677D"/>
    <w:rsid w:val="008816FE"/>
    <w:rsid w:val="00883836"/>
    <w:rsid w:val="00885F14"/>
    <w:rsid w:val="008865F2"/>
    <w:rsid w:val="00887A32"/>
    <w:rsid w:val="00894F64"/>
    <w:rsid w:val="00896D77"/>
    <w:rsid w:val="00897B44"/>
    <w:rsid w:val="008A04BB"/>
    <w:rsid w:val="008A0738"/>
    <w:rsid w:val="008A18D6"/>
    <w:rsid w:val="008A274A"/>
    <w:rsid w:val="008A410E"/>
    <w:rsid w:val="008B3090"/>
    <w:rsid w:val="008B4ED7"/>
    <w:rsid w:val="008B621D"/>
    <w:rsid w:val="008B6D63"/>
    <w:rsid w:val="008B777D"/>
    <w:rsid w:val="008C01D2"/>
    <w:rsid w:val="008C1027"/>
    <w:rsid w:val="008D465C"/>
    <w:rsid w:val="008D4FA5"/>
    <w:rsid w:val="008D7380"/>
    <w:rsid w:val="008E0858"/>
    <w:rsid w:val="008E54E6"/>
    <w:rsid w:val="008E5FA1"/>
    <w:rsid w:val="008E6F70"/>
    <w:rsid w:val="008F0A5E"/>
    <w:rsid w:val="008F0D0E"/>
    <w:rsid w:val="008F125A"/>
    <w:rsid w:val="008F23F5"/>
    <w:rsid w:val="008F5F4B"/>
    <w:rsid w:val="008F6232"/>
    <w:rsid w:val="008F62AE"/>
    <w:rsid w:val="009007CC"/>
    <w:rsid w:val="0090119B"/>
    <w:rsid w:val="00901D36"/>
    <w:rsid w:val="009037F5"/>
    <w:rsid w:val="00903EC1"/>
    <w:rsid w:val="009047A9"/>
    <w:rsid w:val="009058E9"/>
    <w:rsid w:val="00905988"/>
    <w:rsid w:val="009071C1"/>
    <w:rsid w:val="009072A1"/>
    <w:rsid w:val="009073FA"/>
    <w:rsid w:val="009077AD"/>
    <w:rsid w:val="009119F7"/>
    <w:rsid w:val="00912E7B"/>
    <w:rsid w:val="0091450D"/>
    <w:rsid w:val="00920124"/>
    <w:rsid w:val="00923109"/>
    <w:rsid w:val="009234D6"/>
    <w:rsid w:val="009238C3"/>
    <w:rsid w:val="009242ED"/>
    <w:rsid w:val="0092500C"/>
    <w:rsid w:val="009268F0"/>
    <w:rsid w:val="00927313"/>
    <w:rsid w:val="009342D0"/>
    <w:rsid w:val="00940E03"/>
    <w:rsid w:val="00945B5B"/>
    <w:rsid w:val="00947476"/>
    <w:rsid w:val="009478A3"/>
    <w:rsid w:val="009507C1"/>
    <w:rsid w:val="00951CD0"/>
    <w:rsid w:val="00953415"/>
    <w:rsid w:val="009538DA"/>
    <w:rsid w:val="00955922"/>
    <w:rsid w:val="00955D23"/>
    <w:rsid w:val="00956007"/>
    <w:rsid w:val="00961A08"/>
    <w:rsid w:val="00961D44"/>
    <w:rsid w:val="00963FC5"/>
    <w:rsid w:val="00964F30"/>
    <w:rsid w:val="0096613F"/>
    <w:rsid w:val="00966323"/>
    <w:rsid w:val="00971452"/>
    <w:rsid w:val="009721DB"/>
    <w:rsid w:val="009732CA"/>
    <w:rsid w:val="009737AB"/>
    <w:rsid w:val="00974360"/>
    <w:rsid w:val="00974AF5"/>
    <w:rsid w:val="00975FCA"/>
    <w:rsid w:val="00977D4D"/>
    <w:rsid w:val="00980DA4"/>
    <w:rsid w:val="00984CA9"/>
    <w:rsid w:val="00984F12"/>
    <w:rsid w:val="00985727"/>
    <w:rsid w:val="00985FCE"/>
    <w:rsid w:val="00986592"/>
    <w:rsid w:val="00991804"/>
    <w:rsid w:val="009926A0"/>
    <w:rsid w:val="00992A23"/>
    <w:rsid w:val="0099430B"/>
    <w:rsid w:val="009947B1"/>
    <w:rsid w:val="00995A38"/>
    <w:rsid w:val="009963F3"/>
    <w:rsid w:val="00996EC4"/>
    <w:rsid w:val="0099780E"/>
    <w:rsid w:val="00997B0D"/>
    <w:rsid w:val="009A0024"/>
    <w:rsid w:val="009A3925"/>
    <w:rsid w:val="009A5FEE"/>
    <w:rsid w:val="009A6E1D"/>
    <w:rsid w:val="009A70D5"/>
    <w:rsid w:val="009B2324"/>
    <w:rsid w:val="009B2D34"/>
    <w:rsid w:val="009C1B58"/>
    <w:rsid w:val="009C3140"/>
    <w:rsid w:val="009C4E93"/>
    <w:rsid w:val="009C5D87"/>
    <w:rsid w:val="009C60BA"/>
    <w:rsid w:val="009C6278"/>
    <w:rsid w:val="009C6CF2"/>
    <w:rsid w:val="009D143E"/>
    <w:rsid w:val="009D1498"/>
    <w:rsid w:val="009D17D0"/>
    <w:rsid w:val="009D30C1"/>
    <w:rsid w:val="009D318A"/>
    <w:rsid w:val="009D384C"/>
    <w:rsid w:val="009D4D39"/>
    <w:rsid w:val="009D58C0"/>
    <w:rsid w:val="009D72DA"/>
    <w:rsid w:val="009D79DB"/>
    <w:rsid w:val="009E05C0"/>
    <w:rsid w:val="009E1F16"/>
    <w:rsid w:val="009E56A5"/>
    <w:rsid w:val="009E6365"/>
    <w:rsid w:val="009E72D1"/>
    <w:rsid w:val="009E7D72"/>
    <w:rsid w:val="009E7EAB"/>
    <w:rsid w:val="009F157E"/>
    <w:rsid w:val="009F1A5E"/>
    <w:rsid w:val="009F20B0"/>
    <w:rsid w:val="009F6E21"/>
    <w:rsid w:val="009F6E69"/>
    <w:rsid w:val="00A00D35"/>
    <w:rsid w:val="00A025D4"/>
    <w:rsid w:val="00A04995"/>
    <w:rsid w:val="00A0566F"/>
    <w:rsid w:val="00A07D21"/>
    <w:rsid w:val="00A10F51"/>
    <w:rsid w:val="00A12266"/>
    <w:rsid w:val="00A14019"/>
    <w:rsid w:val="00A15520"/>
    <w:rsid w:val="00A15AA0"/>
    <w:rsid w:val="00A15FF7"/>
    <w:rsid w:val="00A2017E"/>
    <w:rsid w:val="00A21B03"/>
    <w:rsid w:val="00A2714D"/>
    <w:rsid w:val="00A27285"/>
    <w:rsid w:val="00A32E4A"/>
    <w:rsid w:val="00A32FFE"/>
    <w:rsid w:val="00A34A55"/>
    <w:rsid w:val="00A34FA5"/>
    <w:rsid w:val="00A3575B"/>
    <w:rsid w:val="00A36167"/>
    <w:rsid w:val="00A36709"/>
    <w:rsid w:val="00A3728C"/>
    <w:rsid w:val="00A42EC4"/>
    <w:rsid w:val="00A42F3A"/>
    <w:rsid w:val="00A44813"/>
    <w:rsid w:val="00A45FC8"/>
    <w:rsid w:val="00A47A1E"/>
    <w:rsid w:val="00A511C2"/>
    <w:rsid w:val="00A56465"/>
    <w:rsid w:val="00A6296D"/>
    <w:rsid w:val="00A677FF"/>
    <w:rsid w:val="00A70360"/>
    <w:rsid w:val="00A703A6"/>
    <w:rsid w:val="00A71E3F"/>
    <w:rsid w:val="00A743DF"/>
    <w:rsid w:val="00A774CB"/>
    <w:rsid w:val="00A775CC"/>
    <w:rsid w:val="00A815BE"/>
    <w:rsid w:val="00A86D6F"/>
    <w:rsid w:val="00A87467"/>
    <w:rsid w:val="00A9251D"/>
    <w:rsid w:val="00A928FB"/>
    <w:rsid w:val="00A93813"/>
    <w:rsid w:val="00A954E7"/>
    <w:rsid w:val="00A95711"/>
    <w:rsid w:val="00A959BC"/>
    <w:rsid w:val="00AA12C6"/>
    <w:rsid w:val="00AA1FA9"/>
    <w:rsid w:val="00AA22AA"/>
    <w:rsid w:val="00AA2693"/>
    <w:rsid w:val="00AA2BC0"/>
    <w:rsid w:val="00AA5189"/>
    <w:rsid w:val="00AB10D7"/>
    <w:rsid w:val="00AB246B"/>
    <w:rsid w:val="00AB5613"/>
    <w:rsid w:val="00AC006F"/>
    <w:rsid w:val="00AC3FDD"/>
    <w:rsid w:val="00AC409E"/>
    <w:rsid w:val="00AC4A48"/>
    <w:rsid w:val="00AC5777"/>
    <w:rsid w:val="00AC668E"/>
    <w:rsid w:val="00AC7B6C"/>
    <w:rsid w:val="00AD0986"/>
    <w:rsid w:val="00AD10D8"/>
    <w:rsid w:val="00AD5099"/>
    <w:rsid w:val="00AD5376"/>
    <w:rsid w:val="00AD55DB"/>
    <w:rsid w:val="00AD6466"/>
    <w:rsid w:val="00AD6C60"/>
    <w:rsid w:val="00AD6CD7"/>
    <w:rsid w:val="00AD7A65"/>
    <w:rsid w:val="00AD7CAF"/>
    <w:rsid w:val="00AE2841"/>
    <w:rsid w:val="00AE6E72"/>
    <w:rsid w:val="00AE7403"/>
    <w:rsid w:val="00AF2B00"/>
    <w:rsid w:val="00AF36D0"/>
    <w:rsid w:val="00B01C94"/>
    <w:rsid w:val="00B024E0"/>
    <w:rsid w:val="00B03268"/>
    <w:rsid w:val="00B04B5B"/>
    <w:rsid w:val="00B05D09"/>
    <w:rsid w:val="00B06BCE"/>
    <w:rsid w:val="00B0792A"/>
    <w:rsid w:val="00B07A5D"/>
    <w:rsid w:val="00B1120D"/>
    <w:rsid w:val="00B1146D"/>
    <w:rsid w:val="00B16B49"/>
    <w:rsid w:val="00B21130"/>
    <w:rsid w:val="00B228BA"/>
    <w:rsid w:val="00B22B0E"/>
    <w:rsid w:val="00B24814"/>
    <w:rsid w:val="00B24F99"/>
    <w:rsid w:val="00B25301"/>
    <w:rsid w:val="00B25EC9"/>
    <w:rsid w:val="00B26200"/>
    <w:rsid w:val="00B270CB"/>
    <w:rsid w:val="00B27271"/>
    <w:rsid w:val="00B27FDB"/>
    <w:rsid w:val="00B3042A"/>
    <w:rsid w:val="00B32B25"/>
    <w:rsid w:val="00B41B8C"/>
    <w:rsid w:val="00B42C97"/>
    <w:rsid w:val="00B43D10"/>
    <w:rsid w:val="00B44891"/>
    <w:rsid w:val="00B468A1"/>
    <w:rsid w:val="00B47F98"/>
    <w:rsid w:val="00B50083"/>
    <w:rsid w:val="00B50103"/>
    <w:rsid w:val="00B50EF0"/>
    <w:rsid w:val="00B524D1"/>
    <w:rsid w:val="00B52C2D"/>
    <w:rsid w:val="00B54BC1"/>
    <w:rsid w:val="00B55DB3"/>
    <w:rsid w:val="00B56429"/>
    <w:rsid w:val="00B60623"/>
    <w:rsid w:val="00B611D4"/>
    <w:rsid w:val="00B63663"/>
    <w:rsid w:val="00B64086"/>
    <w:rsid w:val="00B6431E"/>
    <w:rsid w:val="00B6605E"/>
    <w:rsid w:val="00B709A7"/>
    <w:rsid w:val="00B73A9C"/>
    <w:rsid w:val="00B747B3"/>
    <w:rsid w:val="00B758DE"/>
    <w:rsid w:val="00B769F9"/>
    <w:rsid w:val="00B76F5F"/>
    <w:rsid w:val="00B800F3"/>
    <w:rsid w:val="00B803DF"/>
    <w:rsid w:val="00B806F9"/>
    <w:rsid w:val="00B80FD8"/>
    <w:rsid w:val="00B8192C"/>
    <w:rsid w:val="00B82548"/>
    <w:rsid w:val="00B833B6"/>
    <w:rsid w:val="00B83E83"/>
    <w:rsid w:val="00B85A42"/>
    <w:rsid w:val="00B866B2"/>
    <w:rsid w:val="00B874CF"/>
    <w:rsid w:val="00B8791B"/>
    <w:rsid w:val="00B90C19"/>
    <w:rsid w:val="00B91186"/>
    <w:rsid w:val="00B91926"/>
    <w:rsid w:val="00B9218E"/>
    <w:rsid w:val="00B95E5C"/>
    <w:rsid w:val="00B968EE"/>
    <w:rsid w:val="00B9699B"/>
    <w:rsid w:val="00B969A6"/>
    <w:rsid w:val="00BA13B4"/>
    <w:rsid w:val="00BA1A0F"/>
    <w:rsid w:val="00BA5203"/>
    <w:rsid w:val="00BA6275"/>
    <w:rsid w:val="00BA6EA4"/>
    <w:rsid w:val="00BA7795"/>
    <w:rsid w:val="00BB1AF3"/>
    <w:rsid w:val="00BB2FD7"/>
    <w:rsid w:val="00BB3B9C"/>
    <w:rsid w:val="00BB55AA"/>
    <w:rsid w:val="00BB5811"/>
    <w:rsid w:val="00BB5DA8"/>
    <w:rsid w:val="00BB6BF7"/>
    <w:rsid w:val="00BB7189"/>
    <w:rsid w:val="00BC0AC9"/>
    <w:rsid w:val="00BC5256"/>
    <w:rsid w:val="00BC623E"/>
    <w:rsid w:val="00BC62AE"/>
    <w:rsid w:val="00BC633A"/>
    <w:rsid w:val="00BC6BF8"/>
    <w:rsid w:val="00BD3796"/>
    <w:rsid w:val="00BD38F8"/>
    <w:rsid w:val="00BD4DFE"/>
    <w:rsid w:val="00BD5906"/>
    <w:rsid w:val="00BD683D"/>
    <w:rsid w:val="00BD7E8B"/>
    <w:rsid w:val="00BE3184"/>
    <w:rsid w:val="00BE3893"/>
    <w:rsid w:val="00BE4CBA"/>
    <w:rsid w:val="00BE50CF"/>
    <w:rsid w:val="00BE574A"/>
    <w:rsid w:val="00BE65B5"/>
    <w:rsid w:val="00BE7B35"/>
    <w:rsid w:val="00BE7B37"/>
    <w:rsid w:val="00BF128C"/>
    <w:rsid w:val="00BF1475"/>
    <w:rsid w:val="00BF2451"/>
    <w:rsid w:val="00BF3B9A"/>
    <w:rsid w:val="00BF4317"/>
    <w:rsid w:val="00BF4EFF"/>
    <w:rsid w:val="00BF5B4D"/>
    <w:rsid w:val="00BF6532"/>
    <w:rsid w:val="00BF6C37"/>
    <w:rsid w:val="00BF7292"/>
    <w:rsid w:val="00C02702"/>
    <w:rsid w:val="00C02E68"/>
    <w:rsid w:val="00C07597"/>
    <w:rsid w:val="00C10017"/>
    <w:rsid w:val="00C1008A"/>
    <w:rsid w:val="00C10CD5"/>
    <w:rsid w:val="00C10D25"/>
    <w:rsid w:val="00C113C8"/>
    <w:rsid w:val="00C13FC6"/>
    <w:rsid w:val="00C147CA"/>
    <w:rsid w:val="00C17690"/>
    <w:rsid w:val="00C20FCC"/>
    <w:rsid w:val="00C223E7"/>
    <w:rsid w:val="00C22B90"/>
    <w:rsid w:val="00C23E9A"/>
    <w:rsid w:val="00C25198"/>
    <w:rsid w:val="00C25490"/>
    <w:rsid w:val="00C25F96"/>
    <w:rsid w:val="00C264E2"/>
    <w:rsid w:val="00C26A02"/>
    <w:rsid w:val="00C272AB"/>
    <w:rsid w:val="00C279A3"/>
    <w:rsid w:val="00C3110C"/>
    <w:rsid w:val="00C31D6C"/>
    <w:rsid w:val="00C33099"/>
    <w:rsid w:val="00C3338D"/>
    <w:rsid w:val="00C34B63"/>
    <w:rsid w:val="00C3519D"/>
    <w:rsid w:val="00C372FD"/>
    <w:rsid w:val="00C40AF4"/>
    <w:rsid w:val="00C44830"/>
    <w:rsid w:val="00C502AD"/>
    <w:rsid w:val="00C519F2"/>
    <w:rsid w:val="00C51BB9"/>
    <w:rsid w:val="00C5212F"/>
    <w:rsid w:val="00C55CA2"/>
    <w:rsid w:val="00C560FA"/>
    <w:rsid w:val="00C565F6"/>
    <w:rsid w:val="00C56D8E"/>
    <w:rsid w:val="00C608B0"/>
    <w:rsid w:val="00C62E5D"/>
    <w:rsid w:val="00C638F0"/>
    <w:rsid w:val="00C63BA9"/>
    <w:rsid w:val="00C6484F"/>
    <w:rsid w:val="00C66B86"/>
    <w:rsid w:val="00C74A02"/>
    <w:rsid w:val="00C7535D"/>
    <w:rsid w:val="00C7677C"/>
    <w:rsid w:val="00C80B9B"/>
    <w:rsid w:val="00C82C25"/>
    <w:rsid w:val="00C849FD"/>
    <w:rsid w:val="00C9209D"/>
    <w:rsid w:val="00C92FB0"/>
    <w:rsid w:val="00C932B2"/>
    <w:rsid w:val="00C94423"/>
    <w:rsid w:val="00C947CF"/>
    <w:rsid w:val="00C9500F"/>
    <w:rsid w:val="00C95EEA"/>
    <w:rsid w:val="00C9647A"/>
    <w:rsid w:val="00C97181"/>
    <w:rsid w:val="00C9760B"/>
    <w:rsid w:val="00CA04FE"/>
    <w:rsid w:val="00CA1B01"/>
    <w:rsid w:val="00CA273A"/>
    <w:rsid w:val="00CA3DB6"/>
    <w:rsid w:val="00CA519F"/>
    <w:rsid w:val="00CA5DED"/>
    <w:rsid w:val="00CA6DE3"/>
    <w:rsid w:val="00CA6FAA"/>
    <w:rsid w:val="00CB1263"/>
    <w:rsid w:val="00CB355B"/>
    <w:rsid w:val="00CB4B22"/>
    <w:rsid w:val="00CB6FBF"/>
    <w:rsid w:val="00CB7989"/>
    <w:rsid w:val="00CC0C6E"/>
    <w:rsid w:val="00CC339D"/>
    <w:rsid w:val="00CC3B06"/>
    <w:rsid w:val="00CC54F4"/>
    <w:rsid w:val="00CC5F22"/>
    <w:rsid w:val="00CC6066"/>
    <w:rsid w:val="00CD2C41"/>
    <w:rsid w:val="00CD5251"/>
    <w:rsid w:val="00CD551E"/>
    <w:rsid w:val="00CD5E9D"/>
    <w:rsid w:val="00CD6FAE"/>
    <w:rsid w:val="00CD7227"/>
    <w:rsid w:val="00CE18BA"/>
    <w:rsid w:val="00CE29F4"/>
    <w:rsid w:val="00CE34C9"/>
    <w:rsid w:val="00CE490E"/>
    <w:rsid w:val="00CE52C9"/>
    <w:rsid w:val="00CE5E4E"/>
    <w:rsid w:val="00CE6862"/>
    <w:rsid w:val="00CE7995"/>
    <w:rsid w:val="00CE7B2B"/>
    <w:rsid w:val="00CF2319"/>
    <w:rsid w:val="00CF2C1B"/>
    <w:rsid w:val="00CF2DAA"/>
    <w:rsid w:val="00CF6262"/>
    <w:rsid w:val="00CF7977"/>
    <w:rsid w:val="00D0089E"/>
    <w:rsid w:val="00D00AA8"/>
    <w:rsid w:val="00D0160A"/>
    <w:rsid w:val="00D01AF5"/>
    <w:rsid w:val="00D0287E"/>
    <w:rsid w:val="00D075F7"/>
    <w:rsid w:val="00D11D5C"/>
    <w:rsid w:val="00D12CA7"/>
    <w:rsid w:val="00D14E7A"/>
    <w:rsid w:val="00D15315"/>
    <w:rsid w:val="00D15998"/>
    <w:rsid w:val="00D16100"/>
    <w:rsid w:val="00D17755"/>
    <w:rsid w:val="00D21D1E"/>
    <w:rsid w:val="00D22CA0"/>
    <w:rsid w:val="00D23430"/>
    <w:rsid w:val="00D25A4A"/>
    <w:rsid w:val="00D30588"/>
    <w:rsid w:val="00D305EC"/>
    <w:rsid w:val="00D308D3"/>
    <w:rsid w:val="00D31071"/>
    <w:rsid w:val="00D32172"/>
    <w:rsid w:val="00D323F9"/>
    <w:rsid w:val="00D329E0"/>
    <w:rsid w:val="00D32CD9"/>
    <w:rsid w:val="00D32D3B"/>
    <w:rsid w:val="00D331FC"/>
    <w:rsid w:val="00D348C4"/>
    <w:rsid w:val="00D34985"/>
    <w:rsid w:val="00D3590B"/>
    <w:rsid w:val="00D37100"/>
    <w:rsid w:val="00D37BC8"/>
    <w:rsid w:val="00D37CD1"/>
    <w:rsid w:val="00D40CE9"/>
    <w:rsid w:val="00D411A9"/>
    <w:rsid w:val="00D41BEC"/>
    <w:rsid w:val="00D423E6"/>
    <w:rsid w:val="00D46705"/>
    <w:rsid w:val="00D5242D"/>
    <w:rsid w:val="00D52615"/>
    <w:rsid w:val="00D53FD4"/>
    <w:rsid w:val="00D5415F"/>
    <w:rsid w:val="00D61736"/>
    <w:rsid w:val="00D6233C"/>
    <w:rsid w:val="00D70042"/>
    <w:rsid w:val="00D7005A"/>
    <w:rsid w:val="00D704B9"/>
    <w:rsid w:val="00D70E86"/>
    <w:rsid w:val="00D7122D"/>
    <w:rsid w:val="00D72246"/>
    <w:rsid w:val="00D7655B"/>
    <w:rsid w:val="00D77707"/>
    <w:rsid w:val="00D7773A"/>
    <w:rsid w:val="00D80D00"/>
    <w:rsid w:val="00D82409"/>
    <w:rsid w:val="00D84E8B"/>
    <w:rsid w:val="00D85815"/>
    <w:rsid w:val="00D865AC"/>
    <w:rsid w:val="00D87D76"/>
    <w:rsid w:val="00D95053"/>
    <w:rsid w:val="00D9715C"/>
    <w:rsid w:val="00DA1D9D"/>
    <w:rsid w:val="00DA3329"/>
    <w:rsid w:val="00DA35BE"/>
    <w:rsid w:val="00DA453D"/>
    <w:rsid w:val="00DA549D"/>
    <w:rsid w:val="00DA648E"/>
    <w:rsid w:val="00DB0167"/>
    <w:rsid w:val="00DB0B0F"/>
    <w:rsid w:val="00DB432A"/>
    <w:rsid w:val="00DB4367"/>
    <w:rsid w:val="00DB473A"/>
    <w:rsid w:val="00DB4E9E"/>
    <w:rsid w:val="00DB6955"/>
    <w:rsid w:val="00DB6A0B"/>
    <w:rsid w:val="00DB7319"/>
    <w:rsid w:val="00DB7E4F"/>
    <w:rsid w:val="00DC17C6"/>
    <w:rsid w:val="00DC37BF"/>
    <w:rsid w:val="00DC3E5E"/>
    <w:rsid w:val="00DC3E7D"/>
    <w:rsid w:val="00DC428E"/>
    <w:rsid w:val="00DC624E"/>
    <w:rsid w:val="00DD01CD"/>
    <w:rsid w:val="00DD23FE"/>
    <w:rsid w:val="00DD2AE9"/>
    <w:rsid w:val="00DD3904"/>
    <w:rsid w:val="00DD457C"/>
    <w:rsid w:val="00DD59F5"/>
    <w:rsid w:val="00DD70E1"/>
    <w:rsid w:val="00DD7D14"/>
    <w:rsid w:val="00DE137C"/>
    <w:rsid w:val="00DE2E03"/>
    <w:rsid w:val="00DE3DD3"/>
    <w:rsid w:val="00DE426B"/>
    <w:rsid w:val="00DE5FCE"/>
    <w:rsid w:val="00DE65FA"/>
    <w:rsid w:val="00DE6605"/>
    <w:rsid w:val="00DE7794"/>
    <w:rsid w:val="00DF028C"/>
    <w:rsid w:val="00DF04F1"/>
    <w:rsid w:val="00DF0B6C"/>
    <w:rsid w:val="00DF0C55"/>
    <w:rsid w:val="00DF1465"/>
    <w:rsid w:val="00DF1831"/>
    <w:rsid w:val="00DF19F5"/>
    <w:rsid w:val="00DF1E1A"/>
    <w:rsid w:val="00DF24BE"/>
    <w:rsid w:val="00DF32DC"/>
    <w:rsid w:val="00DF42D4"/>
    <w:rsid w:val="00DF675E"/>
    <w:rsid w:val="00DF6F1D"/>
    <w:rsid w:val="00E0027B"/>
    <w:rsid w:val="00E0188D"/>
    <w:rsid w:val="00E02FF0"/>
    <w:rsid w:val="00E03FB2"/>
    <w:rsid w:val="00E043E3"/>
    <w:rsid w:val="00E0543C"/>
    <w:rsid w:val="00E05FD2"/>
    <w:rsid w:val="00E0699A"/>
    <w:rsid w:val="00E06D73"/>
    <w:rsid w:val="00E070D5"/>
    <w:rsid w:val="00E12038"/>
    <w:rsid w:val="00E13860"/>
    <w:rsid w:val="00E1446A"/>
    <w:rsid w:val="00E2207A"/>
    <w:rsid w:val="00E27996"/>
    <w:rsid w:val="00E302D5"/>
    <w:rsid w:val="00E304E0"/>
    <w:rsid w:val="00E32D2A"/>
    <w:rsid w:val="00E3464E"/>
    <w:rsid w:val="00E3488B"/>
    <w:rsid w:val="00E34A0B"/>
    <w:rsid w:val="00E36C24"/>
    <w:rsid w:val="00E40DC9"/>
    <w:rsid w:val="00E41D36"/>
    <w:rsid w:val="00E4502C"/>
    <w:rsid w:val="00E50433"/>
    <w:rsid w:val="00E50F8B"/>
    <w:rsid w:val="00E5141C"/>
    <w:rsid w:val="00E51ED4"/>
    <w:rsid w:val="00E51FDE"/>
    <w:rsid w:val="00E547CC"/>
    <w:rsid w:val="00E55C9E"/>
    <w:rsid w:val="00E56454"/>
    <w:rsid w:val="00E60922"/>
    <w:rsid w:val="00E62C7E"/>
    <w:rsid w:val="00E64987"/>
    <w:rsid w:val="00E663F1"/>
    <w:rsid w:val="00E66692"/>
    <w:rsid w:val="00E72DD0"/>
    <w:rsid w:val="00E73101"/>
    <w:rsid w:val="00E73992"/>
    <w:rsid w:val="00E74422"/>
    <w:rsid w:val="00E74458"/>
    <w:rsid w:val="00E748DE"/>
    <w:rsid w:val="00E829EB"/>
    <w:rsid w:val="00E83032"/>
    <w:rsid w:val="00E84535"/>
    <w:rsid w:val="00E85FC5"/>
    <w:rsid w:val="00E86DD0"/>
    <w:rsid w:val="00E86EBB"/>
    <w:rsid w:val="00E93C5D"/>
    <w:rsid w:val="00E941F2"/>
    <w:rsid w:val="00E941FC"/>
    <w:rsid w:val="00E95307"/>
    <w:rsid w:val="00E96544"/>
    <w:rsid w:val="00EA10C5"/>
    <w:rsid w:val="00EA110F"/>
    <w:rsid w:val="00EA3243"/>
    <w:rsid w:val="00EA32EC"/>
    <w:rsid w:val="00EA33FD"/>
    <w:rsid w:val="00EA3770"/>
    <w:rsid w:val="00EA5CF7"/>
    <w:rsid w:val="00EA725F"/>
    <w:rsid w:val="00EB121C"/>
    <w:rsid w:val="00EB12E0"/>
    <w:rsid w:val="00EB1E51"/>
    <w:rsid w:val="00EB2394"/>
    <w:rsid w:val="00EB3231"/>
    <w:rsid w:val="00EB3F72"/>
    <w:rsid w:val="00EB4BCA"/>
    <w:rsid w:val="00EB59A8"/>
    <w:rsid w:val="00EB6B9F"/>
    <w:rsid w:val="00EB76D3"/>
    <w:rsid w:val="00EB7F37"/>
    <w:rsid w:val="00EC10B5"/>
    <w:rsid w:val="00EC1E1D"/>
    <w:rsid w:val="00EC311F"/>
    <w:rsid w:val="00EC314A"/>
    <w:rsid w:val="00EC33EE"/>
    <w:rsid w:val="00EC4E3B"/>
    <w:rsid w:val="00EC567F"/>
    <w:rsid w:val="00EC63EA"/>
    <w:rsid w:val="00ED19C9"/>
    <w:rsid w:val="00ED369A"/>
    <w:rsid w:val="00ED43BF"/>
    <w:rsid w:val="00ED52C4"/>
    <w:rsid w:val="00ED67BF"/>
    <w:rsid w:val="00ED6C54"/>
    <w:rsid w:val="00ED7E57"/>
    <w:rsid w:val="00ED7FE1"/>
    <w:rsid w:val="00EE198B"/>
    <w:rsid w:val="00EE1C50"/>
    <w:rsid w:val="00EE3CEC"/>
    <w:rsid w:val="00EE4167"/>
    <w:rsid w:val="00EE6931"/>
    <w:rsid w:val="00EE71AD"/>
    <w:rsid w:val="00EE79BD"/>
    <w:rsid w:val="00EF0B48"/>
    <w:rsid w:val="00EF2ADC"/>
    <w:rsid w:val="00EF42A9"/>
    <w:rsid w:val="00EF6905"/>
    <w:rsid w:val="00EF7358"/>
    <w:rsid w:val="00EF7A9B"/>
    <w:rsid w:val="00EF7E58"/>
    <w:rsid w:val="00F0109C"/>
    <w:rsid w:val="00F02817"/>
    <w:rsid w:val="00F028A7"/>
    <w:rsid w:val="00F03B63"/>
    <w:rsid w:val="00F04A6D"/>
    <w:rsid w:val="00F051E3"/>
    <w:rsid w:val="00F059BD"/>
    <w:rsid w:val="00F05C00"/>
    <w:rsid w:val="00F06875"/>
    <w:rsid w:val="00F11394"/>
    <w:rsid w:val="00F126A6"/>
    <w:rsid w:val="00F170CD"/>
    <w:rsid w:val="00F230B9"/>
    <w:rsid w:val="00F24D4F"/>
    <w:rsid w:val="00F26EC5"/>
    <w:rsid w:val="00F27ED8"/>
    <w:rsid w:val="00F317B3"/>
    <w:rsid w:val="00F33862"/>
    <w:rsid w:val="00F34044"/>
    <w:rsid w:val="00F3632E"/>
    <w:rsid w:val="00F3663D"/>
    <w:rsid w:val="00F36662"/>
    <w:rsid w:val="00F36C87"/>
    <w:rsid w:val="00F37450"/>
    <w:rsid w:val="00F37ECA"/>
    <w:rsid w:val="00F41125"/>
    <w:rsid w:val="00F43D1A"/>
    <w:rsid w:val="00F45ACA"/>
    <w:rsid w:val="00F46481"/>
    <w:rsid w:val="00F47FC5"/>
    <w:rsid w:val="00F502B8"/>
    <w:rsid w:val="00F53CBA"/>
    <w:rsid w:val="00F55A07"/>
    <w:rsid w:val="00F5638C"/>
    <w:rsid w:val="00F57AA4"/>
    <w:rsid w:val="00F63671"/>
    <w:rsid w:val="00F63968"/>
    <w:rsid w:val="00F64323"/>
    <w:rsid w:val="00F64996"/>
    <w:rsid w:val="00F65BF5"/>
    <w:rsid w:val="00F66BFC"/>
    <w:rsid w:val="00F675B2"/>
    <w:rsid w:val="00F71F47"/>
    <w:rsid w:val="00F724E4"/>
    <w:rsid w:val="00F72C1C"/>
    <w:rsid w:val="00F72CA6"/>
    <w:rsid w:val="00F751DB"/>
    <w:rsid w:val="00F77609"/>
    <w:rsid w:val="00F777B8"/>
    <w:rsid w:val="00F806FF"/>
    <w:rsid w:val="00F81FE9"/>
    <w:rsid w:val="00F820D9"/>
    <w:rsid w:val="00F83365"/>
    <w:rsid w:val="00F84ABB"/>
    <w:rsid w:val="00F867DB"/>
    <w:rsid w:val="00F902F4"/>
    <w:rsid w:val="00F920BF"/>
    <w:rsid w:val="00F92ABA"/>
    <w:rsid w:val="00F92B5C"/>
    <w:rsid w:val="00F95E15"/>
    <w:rsid w:val="00F96B96"/>
    <w:rsid w:val="00F97A79"/>
    <w:rsid w:val="00FA0BFC"/>
    <w:rsid w:val="00FA0EF8"/>
    <w:rsid w:val="00FA29B7"/>
    <w:rsid w:val="00FA2D20"/>
    <w:rsid w:val="00FA2DC8"/>
    <w:rsid w:val="00FA370F"/>
    <w:rsid w:val="00FA3CF9"/>
    <w:rsid w:val="00FA67D0"/>
    <w:rsid w:val="00FB1172"/>
    <w:rsid w:val="00FB20B3"/>
    <w:rsid w:val="00FB26AC"/>
    <w:rsid w:val="00FB4699"/>
    <w:rsid w:val="00FB4843"/>
    <w:rsid w:val="00FB5A25"/>
    <w:rsid w:val="00FB5CBC"/>
    <w:rsid w:val="00FB6948"/>
    <w:rsid w:val="00FC0387"/>
    <w:rsid w:val="00FC0980"/>
    <w:rsid w:val="00FC148B"/>
    <w:rsid w:val="00FC1ECF"/>
    <w:rsid w:val="00FC353A"/>
    <w:rsid w:val="00FC3D1A"/>
    <w:rsid w:val="00FC5310"/>
    <w:rsid w:val="00FC5BF5"/>
    <w:rsid w:val="00FC635B"/>
    <w:rsid w:val="00FD16D3"/>
    <w:rsid w:val="00FD3985"/>
    <w:rsid w:val="00FD5B39"/>
    <w:rsid w:val="00FD5FF5"/>
    <w:rsid w:val="00FE025A"/>
    <w:rsid w:val="00FE0E38"/>
    <w:rsid w:val="00FE1543"/>
    <w:rsid w:val="00FE20FE"/>
    <w:rsid w:val="00FE2121"/>
    <w:rsid w:val="00FE51A3"/>
    <w:rsid w:val="00FE5BDA"/>
    <w:rsid w:val="00FF0ABE"/>
    <w:rsid w:val="00FF5011"/>
    <w:rsid w:val="00FF5AE1"/>
    <w:rsid w:val="00FF66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E835"/>
  <w15:chartTrackingRefBased/>
  <w15:docId w15:val="{6F71F2D6-68A3-4B31-B5B5-86D6F22B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638C"/>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5638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563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5638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563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5638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638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563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38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5638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5638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5638C"/>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5638C"/>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5638C"/>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5638C"/>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5638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63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638C"/>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5638C"/>
  </w:style>
  <w:style w:type="paragraph" w:customStyle="1" w:styleId="OPCParaBase">
    <w:name w:val="OPCParaBase"/>
    <w:qFormat/>
    <w:rsid w:val="00F5638C"/>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5638C"/>
    <w:pPr>
      <w:spacing w:line="240" w:lineRule="auto"/>
    </w:pPr>
    <w:rPr>
      <w:b/>
      <w:sz w:val="40"/>
    </w:rPr>
  </w:style>
  <w:style w:type="paragraph" w:customStyle="1" w:styleId="ActHead1">
    <w:name w:val="ActHead 1"/>
    <w:aliases w:val="c"/>
    <w:basedOn w:val="OPCParaBase"/>
    <w:next w:val="Normal"/>
    <w:qFormat/>
    <w:rsid w:val="00F5638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63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63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63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638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638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638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638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638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638C"/>
  </w:style>
  <w:style w:type="paragraph" w:customStyle="1" w:styleId="Blocks">
    <w:name w:val="Blocks"/>
    <w:aliases w:val="bb"/>
    <w:basedOn w:val="OPCParaBase"/>
    <w:qFormat/>
    <w:rsid w:val="00F5638C"/>
    <w:pPr>
      <w:spacing w:line="240" w:lineRule="auto"/>
    </w:pPr>
    <w:rPr>
      <w:sz w:val="24"/>
    </w:rPr>
  </w:style>
  <w:style w:type="paragraph" w:customStyle="1" w:styleId="BoxText">
    <w:name w:val="BoxText"/>
    <w:aliases w:val="bt"/>
    <w:basedOn w:val="OPCParaBase"/>
    <w:qFormat/>
    <w:rsid w:val="00F5638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638C"/>
    <w:rPr>
      <w:b/>
    </w:rPr>
  </w:style>
  <w:style w:type="paragraph" w:customStyle="1" w:styleId="BoxHeadItalic">
    <w:name w:val="BoxHeadItalic"/>
    <w:aliases w:val="bhi"/>
    <w:basedOn w:val="BoxText"/>
    <w:next w:val="BoxStep"/>
    <w:qFormat/>
    <w:rsid w:val="00F5638C"/>
    <w:rPr>
      <w:i/>
    </w:rPr>
  </w:style>
  <w:style w:type="paragraph" w:customStyle="1" w:styleId="BoxList">
    <w:name w:val="BoxList"/>
    <w:aliases w:val="bl"/>
    <w:basedOn w:val="BoxText"/>
    <w:qFormat/>
    <w:rsid w:val="00F5638C"/>
    <w:pPr>
      <w:ind w:left="1559" w:hanging="425"/>
    </w:pPr>
  </w:style>
  <w:style w:type="paragraph" w:customStyle="1" w:styleId="BoxNote">
    <w:name w:val="BoxNote"/>
    <w:aliases w:val="bn"/>
    <w:basedOn w:val="BoxText"/>
    <w:qFormat/>
    <w:rsid w:val="00F5638C"/>
    <w:pPr>
      <w:tabs>
        <w:tab w:val="left" w:pos="1985"/>
      </w:tabs>
      <w:spacing w:before="122" w:line="198" w:lineRule="exact"/>
      <w:ind w:left="2948" w:hanging="1814"/>
    </w:pPr>
    <w:rPr>
      <w:sz w:val="18"/>
    </w:rPr>
  </w:style>
  <w:style w:type="paragraph" w:customStyle="1" w:styleId="BoxPara">
    <w:name w:val="BoxPara"/>
    <w:aliases w:val="bp"/>
    <w:basedOn w:val="BoxText"/>
    <w:qFormat/>
    <w:rsid w:val="00F5638C"/>
    <w:pPr>
      <w:tabs>
        <w:tab w:val="right" w:pos="2268"/>
      </w:tabs>
      <w:ind w:left="2552" w:hanging="1418"/>
    </w:pPr>
  </w:style>
  <w:style w:type="paragraph" w:customStyle="1" w:styleId="BoxStep">
    <w:name w:val="BoxStep"/>
    <w:aliases w:val="bs"/>
    <w:basedOn w:val="BoxText"/>
    <w:qFormat/>
    <w:rsid w:val="00F5638C"/>
    <w:pPr>
      <w:ind w:left="1985" w:hanging="851"/>
    </w:pPr>
  </w:style>
  <w:style w:type="character" w:customStyle="1" w:styleId="CharAmPartNo">
    <w:name w:val="CharAmPartNo"/>
    <w:basedOn w:val="OPCCharBase"/>
    <w:qFormat/>
    <w:rsid w:val="00F5638C"/>
  </w:style>
  <w:style w:type="character" w:customStyle="1" w:styleId="CharAmPartText">
    <w:name w:val="CharAmPartText"/>
    <w:basedOn w:val="OPCCharBase"/>
    <w:qFormat/>
    <w:rsid w:val="00F5638C"/>
  </w:style>
  <w:style w:type="character" w:customStyle="1" w:styleId="CharAmSchNo">
    <w:name w:val="CharAmSchNo"/>
    <w:basedOn w:val="OPCCharBase"/>
    <w:qFormat/>
    <w:rsid w:val="00F5638C"/>
  </w:style>
  <w:style w:type="character" w:customStyle="1" w:styleId="CharAmSchText">
    <w:name w:val="CharAmSchText"/>
    <w:basedOn w:val="OPCCharBase"/>
    <w:qFormat/>
    <w:rsid w:val="00F5638C"/>
  </w:style>
  <w:style w:type="character" w:customStyle="1" w:styleId="CharBoldItalic">
    <w:name w:val="CharBoldItalic"/>
    <w:basedOn w:val="OPCCharBase"/>
    <w:uiPriority w:val="1"/>
    <w:qFormat/>
    <w:rsid w:val="00F5638C"/>
    <w:rPr>
      <w:b/>
      <w:i/>
    </w:rPr>
  </w:style>
  <w:style w:type="character" w:customStyle="1" w:styleId="CharChapNo">
    <w:name w:val="CharChapNo"/>
    <w:basedOn w:val="OPCCharBase"/>
    <w:uiPriority w:val="1"/>
    <w:qFormat/>
    <w:rsid w:val="00F5638C"/>
  </w:style>
  <w:style w:type="character" w:customStyle="1" w:styleId="CharChapText">
    <w:name w:val="CharChapText"/>
    <w:basedOn w:val="OPCCharBase"/>
    <w:uiPriority w:val="1"/>
    <w:qFormat/>
    <w:rsid w:val="00F5638C"/>
  </w:style>
  <w:style w:type="character" w:customStyle="1" w:styleId="CharDivNo">
    <w:name w:val="CharDivNo"/>
    <w:basedOn w:val="OPCCharBase"/>
    <w:uiPriority w:val="1"/>
    <w:qFormat/>
    <w:rsid w:val="00F5638C"/>
  </w:style>
  <w:style w:type="character" w:customStyle="1" w:styleId="CharDivText">
    <w:name w:val="CharDivText"/>
    <w:basedOn w:val="OPCCharBase"/>
    <w:uiPriority w:val="1"/>
    <w:qFormat/>
    <w:rsid w:val="00F5638C"/>
  </w:style>
  <w:style w:type="character" w:customStyle="1" w:styleId="CharItalic">
    <w:name w:val="CharItalic"/>
    <w:basedOn w:val="OPCCharBase"/>
    <w:uiPriority w:val="1"/>
    <w:qFormat/>
    <w:rsid w:val="00F5638C"/>
    <w:rPr>
      <w:i/>
    </w:rPr>
  </w:style>
  <w:style w:type="character" w:customStyle="1" w:styleId="CharPartNo">
    <w:name w:val="CharPartNo"/>
    <w:basedOn w:val="OPCCharBase"/>
    <w:uiPriority w:val="1"/>
    <w:qFormat/>
    <w:rsid w:val="00F5638C"/>
  </w:style>
  <w:style w:type="character" w:customStyle="1" w:styleId="CharPartText">
    <w:name w:val="CharPartText"/>
    <w:basedOn w:val="OPCCharBase"/>
    <w:uiPriority w:val="1"/>
    <w:qFormat/>
    <w:rsid w:val="00F5638C"/>
  </w:style>
  <w:style w:type="character" w:customStyle="1" w:styleId="CharSectno">
    <w:name w:val="CharSectno"/>
    <w:basedOn w:val="OPCCharBase"/>
    <w:qFormat/>
    <w:rsid w:val="00F5638C"/>
  </w:style>
  <w:style w:type="character" w:customStyle="1" w:styleId="CharSubdNo">
    <w:name w:val="CharSubdNo"/>
    <w:basedOn w:val="OPCCharBase"/>
    <w:uiPriority w:val="1"/>
    <w:qFormat/>
    <w:rsid w:val="00F5638C"/>
  </w:style>
  <w:style w:type="character" w:customStyle="1" w:styleId="CharSubdText">
    <w:name w:val="CharSubdText"/>
    <w:basedOn w:val="OPCCharBase"/>
    <w:uiPriority w:val="1"/>
    <w:qFormat/>
    <w:rsid w:val="00F5638C"/>
  </w:style>
  <w:style w:type="paragraph" w:customStyle="1" w:styleId="CTA--">
    <w:name w:val="CTA --"/>
    <w:basedOn w:val="OPCParaBase"/>
    <w:next w:val="Normal"/>
    <w:rsid w:val="00F5638C"/>
    <w:pPr>
      <w:spacing w:before="60" w:line="240" w:lineRule="atLeast"/>
      <w:ind w:left="142" w:hanging="142"/>
    </w:pPr>
    <w:rPr>
      <w:sz w:val="20"/>
    </w:rPr>
  </w:style>
  <w:style w:type="paragraph" w:customStyle="1" w:styleId="CTA-">
    <w:name w:val="CTA -"/>
    <w:basedOn w:val="OPCParaBase"/>
    <w:rsid w:val="00F5638C"/>
    <w:pPr>
      <w:spacing w:before="60" w:line="240" w:lineRule="atLeast"/>
      <w:ind w:left="85" w:hanging="85"/>
    </w:pPr>
    <w:rPr>
      <w:sz w:val="20"/>
    </w:rPr>
  </w:style>
  <w:style w:type="paragraph" w:customStyle="1" w:styleId="CTA---">
    <w:name w:val="CTA ---"/>
    <w:basedOn w:val="OPCParaBase"/>
    <w:next w:val="Normal"/>
    <w:rsid w:val="00F5638C"/>
    <w:pPr>
      <w:spacing w:before="60" w:line="240" w:lineRule="atLeast"/>
      <w:ind w:left="198" w:hanging="198"/>
    </w:pPr>
    <w:rPr>
      <w:sz w:val="20"/>
    </w:rPr>
  </w:style>
  <w:style w:type="paragraph" w:customStyle="1" w:styleId="CTA----">
    <w:name w:val="CTA ----"/>
    <w:basedOn w:val="OPCParaBase"/>
    <w:next w:val="Normal"/>
    <w:rsid w:val="00F5638C"/>
    <w:pPr>
      <w:spacing w:before="60" w:line="240" w:lineRule="atLeast"/>
      <w:ind w:left="255" w:hanging="255"/>
    </w:pPr>
    <w:rPr>
      <w:sz w:val="20"/>
    </w:rPr>
  </w:style>
  <w:style w:type="paragraph" w:customStyle="1" w:styleId="CTA1a">
    <w:name w:val="CTA 1(a)"/>
    <w:basedOn w:val="OPCParaBase"/>
    <w:rsid w:val="00F5638C"/>
    <w:pPr>
      <w:tabs>
        <w:tab w:val="right" w:pos="414"/>
      </w:tabs>
      <w:spacing w:before="40" w:line="240" w:lineRule="atLeast"/>
      <w:ind w:left="675" w:hanging="675"/>
    </w:pPr>
    <w:rPr>
      <w:sz w:val="20"/>
    </w:rPr>
  </w:style>
  <w:style w:type="paragraph" w:customStyle="1" w:styleId="CTA1ai">
    <w:name w:val="CTA 1(a)(i)"/>
    <w:basedOn w:val="OPCParaBase"/>
    <w:rsid w:val="00F5638C"/>
    <w:pPr>
      <w:tabs>
        <w:tab w:val="right" w:pos="1004"/>
      </w:tabs>
      <w:spacing w:before="40" w:line="240" w:lineRule="atLeast"/>
      <w:ind w:left="1253" w:hanging="1253"/>
    </w:pPr>
    <w:rPr>
      <w:sz w:val="20"/>
    </w:rPr>
  </w:style>
  <w:style w:type="paragraph" w:customStyle="1" w:styleId="CTA2a">
    <w:name w:val="CTA 2(a)"/>
    <w:basedOn w:val="OPCParaBase"/>
    <w:rsid w:val="00F5638C"/>
    <w:pPr>
      <w:tabs>
        <w:tab w:val="right" w:pos="482"/>
      </w:tabs>
      <w:spacing w:before="40" w:line="240" w:lineRule="atLeast"/>
      <w:ind w:left="748" w:hanging="748"/>
    </w:pPr>
    <w:rPr>
      <w:sz w:val="20"/>
    </w:rPr>
  </w:style>
  <w:style w:type="paragraph" w:customStyle="1" w:styleId="CTA2ai">
    <w:name w:val="CTA 2(a)(i)"/>
    <w:basedOn w:val="OPCParaBase"/>
    <w:rsid w:val="00F5638C"/>
    <w:pPr>
      <w:tabs>
        <w:tab w:val="right" w:pos="1089"/>
      </w:tabs>
      <w:spacing w:before="40" w:line="240" w:lineRule="atLeast"/>
      <w:ind w:left="1327" w:hanging="1327"/>
    </w:pPr>
    <w:rPr>
      <w:sz w:val="20"/>
    </w:rPr>
  </w:style>
  <w:style w:type="paragraph" w:customStyle="1" w:styleId="CTA3a">
    <w:name w:val="CTA 3(a)"/>
    <w:basedOn w:val="OPCParaBase"/>
    <w:rsid w:val="00F5638C"/>
    <w:pPr>
      <w:tabs>
        <w:tab w:val="right" w:pos="556"/>
      </w:tabs>
      <w:spacing w:before="40" w:line="240" w:lineRule="atLeast"/>
      <w:ind w:left="805" w:hanging="805"/>
    </w:pPr>
    <w:rPr>
      <w:sz w:val="20"/>
    </w:rPr>
  </w:style>
  <w:style w:type="paragraph" w:customStyle="1" w:styleId="CTA3ai">
    <w:name w:val="CTA 3(a)(i)"/>
    <w:basedOn w:val="OPCParaBase"/>
    <w:rsid w:val="00F5638C"/>
    <w:pPr>
      <w:tabs>
        <w:tab w:val="right" w:pos="1140"/>
      </w:tabs>
      <w:spacing w:before="40" w:line="240" w:lineRule="atLeast"/>
      <w:ind w:left="1361" w:hanging="1361"/>
    </w:pPr>
    <w:rPr>
      <w:sz w:val="20"/>
    </w:rPr>
  </w:style>
  <w:style w:type="paragraph" w:customStyle="1" w:styleId="CTA4a">
    <w:name w:val="CTA 4(a)"/>
    <w:basedOn w:val="OPCParaBase"/>
    <w:rsid w:val="00F5638C"/>
    <w:pPr>
      <w:tabs>
        <w:tab w:val="right" w:pos="624"/>
      </w:tabs>
      <w:spacing w:before="40" w:line="240" w:lineRule="atLeast"/>
      <w:ind w:left="873" w:hanging="873"/>
    </w:pPr>
    <w:rPr>
      <w:sz w:val="20"/>
    </w:rPr>
  </w:style>
  <w:style w:type="paragraph" w:customStyle="1" w:styleId="CTA4ai">
    <w:name w:val="CTA 4(a)(i)"/>
    <w:basedOn w:val="OPCParaBase"/>
    <w:rsid w:val="00F5638C"/>
    <w:pPr>
      <w:tabs>
        <w:tab w:val="right" w:pos="1213"/>
      </w:tabs>
      <w:spacing w:before="40" w:line="240" w:lineRule="atLeast"/>
      <w:ind w:left="1452" w:hanging="1452"/>
    </w:pPr>
    <w:rPr>
      <w:sz w:val="20"/>
    </w:rPr>
  </w:style>
  <w:style w:type="paragraph" w:customStyle="1" w:styleId="CTACAPS">
    <w:name w:val="CTA CAPS"/>
    <w:basedOn w:val="OPCParaBase"/>
    <w:rsid w:val="00F5638C"/>
    <w:pPr>
      <w:spacing w:before="60" w:line="240" w:lineRule="atLeast"/>
    </w:pPr>
    <w:rPr>
      <w:sz w:val="20"/>
    </w:rPr>
  </w:style>
  <w:style w:type="paragraph" w:customStyle="1" w:styleId="CTAright">
    <w:name w:val="CTA right"/>
    <w:basedOn w:val="OPCParaBase"/>
    <w:rsid w:val="00F5638C"/>
    <w:pPr>
      <w:spacing w:before="60" w:line="240" w:lineRule="auto"/>
      <w:jc w:val="right"/>
    </w:pPr>
    <w:rPr>
      <w:sz w:val="20"/>
    </w:rPr>
  </w:style>
  <w:style w:type="paragraph" w:customStyle="1" w:styleId="subsection">
    <w:name w:val="subsection"/>
    <w:aliases w:val="ss"/>
    <w:basedOn w:val="OPCParaBase"/>
    <w:link w:val="subsectionChar"/>
    <w:rsid w:val="00F5638C"/>
    <w:pPr>
      <w:tabs>
        <w:tab w:val="right" w:pos="1021"/>
      </w:tabs>
      <w:spacing w:before="180" w:line="240" w:lineRule="auto"/>
      <w:ind w:left="1134" w:hanging="1134"/>
    </w:pPr>
  </w:style>
  <w:style w:type="paragraph" w:customStyle="1" w:styleId="Definition">
    <w:name w:val="Definition"/>
    <w:aliases w:val="dd"/>
    <w:basedOn w:val="OPCParaBase"/>
    <w:rsid w:val="00F5638C"/>
    <w:pPr>
      <w:spacing w:before="180" w:line="240" w:lineRule="auto"/>
      <w:ind w:left="1134"/>
    </w:pPr>
  </w:style>
  <w:style w:type="paragraph" w:customStyle="1" w:styleId="ETAsubitem">
    <w:name w:val="ETA(subitem)"/>
    <w:basedOn w:val="OPCParaBase"/>
    <w:rsid w:val="00F5638C"/>
    <w:pPr>
      <w:tabs>
        <w:tab w:val="right" w:pos="340"/>
      </w:tabs>
      <w:spacing w:before="60" w:line="240" w:lineRule="auto"/>
      <w:ind w:left="454" w:hanging="454"/>
    </w:pPr>
    <w:rPr>
      <w:sz w:val="20"/>
    </w:rPr>
  </w:style>
  <w:style w:type="paragraph" w:customStyle="1" w:styleId="ETApara">
    <w:name w:val="ETA(para)"/>
    <w:basedOn w:val="OPCParaBase"/>
    <w:rsid w:val="00F5638C"/>
    <w:pPr>
      <w:tabs>
        <w:tab w:val="right" w:pos="754"/>
      </w:tabs>
      <w:spacing w:before="60" w:line="240" w:lineRule="auto"/>
      <w:ind w:left="828" w:hanging="828"/>
    </w:pPr>
    <w:rPr>
      <w:sz w:val="20"/>
    </w:rPr>
  </w:style>
  <w:style w:type="paragraph" w:customStyle="1" w:styleId="ETAsubpara">
    <w:name w:val="ETA(subpara)"/>
    <w:basedOn w:val="OPCParaBase"/>
    <w:rsid w:val="00F5638C"/>
    <w:pPr>
      <w:tabs>
        <w:tab w:val="right" w:pos="1083"/>
      </w:tabs>
      <w:spacing w:before="60" w:line="240" w:lineRule="auto"/>
      <w:ind w:left="1191" w:hanging="1191"/>
    </w:pPr>
    <w:rPr>
      <w:sz w:val="20"/>
    </w:rPr>
  </w:style>
  <w:style w:type="paragraph" w:customStyle="1" w:styleId="ETAsub-subpara">
    <w:name w:val="ETA(sub-subpara)"/>
    <w:basedOn w:val="OPCParaBase"/>
    <w:rsid w:val="00F5638C"/>
    <w:pPr>
      <w:tabs>
        <w:tab w:val="right" w:pos="1412"/>
      </w:tabs>
      <w:spacing w:before="60" w:line="240" w:lineRule="auto"/>
      <w:ind w:left="1525" w:hanging="1525"/>
    </w:pPr>
    <w:rPr>
      <w:sz w:val="20"/>
    </w:rPr>
  </w:style>
  <w:style w:type="paragraph" w:customStyle="1" w:styleId="Formula">
    <w:name w:val="Formula"/>
    <w:basedOn w:val="OPCParaBase"/>
    <w:rsid w:val="00F5638C"/>
    <w:pPr>
      <w:spacing w:line="240" w:lineRule="auto"/>
      <w:ind w:left="1134"/>
    </w:pPr>
    <w:rPr>
      <w:sz w:val="20"/>
    </w:rPr>
  </w:style>
  <w:style w:type="paragraph" w:styleId="Header">
    <w:name w:val="header"/>
    <w:basedOn w:val="OPCParaBase"/>
    <w:link w:val="HeaderChar"/>
    <w:unhideWhenUsed/>
    <w:rsid w:val="00F5638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638C"/>
    <w:rPr>
      <w:rFonts w:ascii="Times New Roman" w:eastAsia="Times New Roman" w:hAnsi="Times New Roman" w:cs="Times New Roman"/>
      <w:sz w:val="16"/>
      <w:szCs w:val="20"/>
      <w:lang w:eastAsia="en-AU"/>
    </w:rPr>
  </w:style>
  <w:style w:type="paragraph" w:customStyle="1" w:styleId="House">
    <w:name w:val="House"/>
    <w:basedOn w:val="OPCParaBase"/>
    <w:rsid w:val="00F5638C"/>
    <w:pPr>
      <w:spacing w:line="240" w:lineRule="auto"/>
    </w:pPr>
    <w:rPr>
      <w:sz w:val="28"/>
    </w:rPr>
  </w:style>
  <w:style w:type="paragraph" w:customStyle="1" w:styleId="Item">
    <w:name w:val="Item"/>
    <w:aliases w:val="i"/>
    <w:basedOn w:val="OPCParaBase"/>
    <w:next w:val="ItemHead"/>
    <w:rsid w:val="00F5638C"/>
    <w:pPr>
      <w:keepLines/>
      <w:spacing w:before="80" w:line="240" w:lineRule="auto"/>
      <w:ind w:left="709"/>
    </w:pPr>
  </w:style>
  <w:style w:type="paragraph" w:customStyle="1" w:styleId="ItemHead">
    <w:name w:val="ItemHead"/>
    <w:aliases w:val="ih"/>
    <w:basedOn w:val="OPCParaBase"/>
    <w:next w:val="Item"/>
    <w:rsid w:val="00F5638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638C"/>
    <w:pPr>
      <w:spacing w:line="240" w:lineRule="auto"/>
    </w:pPr>
    <w:rPr>
      <w:b/>
      <w:sz w:val="32"/>
    </w:rPr>
  </w:style>
  <w:style w:type="paragraph" w:customStyle="1" w:styleId="notedraft">
    <w:name w:val="note(draft)"/>
    <w:aliases w:val="nd"/>
    <w:basedOn w:val="OPCParaBase"/>
    <w:rsid w:val="00F5638C"/>
    <w:pPr>
      <w:spacing w:before="240" w:line="240" w:lineRule="auto"/>
      <w:ind w:left="284" w:hanging="284"/>
    </w:pPr>
    <w:rPr>
      <w:i/>
      <w:sz w:val="24"/>
    </w:rPr>
  </w:style>
  <w:style w:type="paragraph" w:customStyle="1" w:styleId="notemargin">
    <w:name w:val="note(margin)"/>
    <w:aliases w:val="nm"/>
    <w:basedOn w:val="OPCParaBase"/>
    <w:rsid w:val="00F5638C"/>
    <w:pPr>
      <w:tabs>
        <w:tab w:val="left" w:pos="709"/>
      </w:tabs>
      <w:spacing w:before="122" w:line="198" w:lineRule="exact"/>
      <w:ind w:left="709" w:hanging="709"/>
    </w:pPr>
    <w:rPr>
      <w:sz w:val="18"/>
    </w:rPr>
  </w:style>
  <w:style w:type="paragraph" w:customStyle="1" w:styleId="noteToPara">
    <w:name w:val="noteToPara"/>
    <w:aliases w:val="ntp"/>
    <w:basedOn w:val="OPCParaBase"/>
    <w:rsid w:val="00F5638C"/>
    <w:pPr>
      <w:spacing w:before="122" w:line="198" w:lineRule="exact"/>
      <w:ind w:left="2353" w:hanging="709"/>
    </w:pPr>
    <w:rPr>
      <w:sz w:val="18"/>
    </w:rPr>
  </w:style>
  <w:style w:type="paragraph" w:customStyle="1" w:styleId="noteParlAmend">
    <w:name w:val="note(ParlAmend)"/>
    <w:aliases w:val="npp"/>
    <w:basedOn w:val="OPCParaBase"/>
    <w:next w:val="ParlAmend"/>
    <w:rsid w:val="00F5638C"/>
    <w:pPr>
      <w:spacing w:line="240" w:lineRule="auto"/>
      <w:jc w:val="right"/>
    </w:pPr>
    <w:rPr>
      <w:rFonts w:ascii="Arial" w:hAnsi="Arial"/>
      <w:b/>
      <w:i/>
    </w:rPr>
  </w:style>
  <w:style w:type="paragraph" w:customStyle="1" w:styleId="Page1">
    <w:name w:val="Page1"/>
    <w:basedOn w:val="OPCParaBase"/>
    <w:rsid w:val="00F5638C"/>
    <w:pPr>
      <w:spacing w:before="5600" w:line="240" w:lineRule="auto"/>
    </w:pPr>
    <w:rPr>
      <w:b/>
      <w:sz w:val="32"/>
    </w:rPr>
  </w:style>
  <w:style w:type="paragraph" w:customStyle="1" w:styleId="PageBreak">
    <w:name w:val="PageBreak"/>
    <w:aliases w:val="pb"/>
    <w:basedOn w:val="OPCParaBase"/>
    <w:rsid w:val="00F5638C"/>
    <w:pPr>
      <w:spacing w:line="240" w:lineRule="auto"/>
    </w:pPr>
    <w:rPr>
      <w:sz w:val="20"/>
    </w:rPr>
  </w:style>
  <w:style w:type="paragraph" w:customStyle="1" w:styleId="paragraphsub">
    <w:name w:val="paragraph(sub)"/>
    <w:aliases w:val="aa"/>
    <w:basedOn w:val="OPCParaBase"/>
    <w:rsid w:val="00F5638C"/>
    <w:pPr>
      <w:tabs>
        <w:tab w:val="right" w:pos="1985"/>
      </w:tabs>
      <w:spacing w:before="40" w:line="240" w:lineRule="auto"/>
      <w:ind w:left="2098" w:hanging="2098"/>
    </w:pPr>
  </w:style>
  <w:style w:type="paragraph" w:customStyle="1" w:styleId="paragraphsub-sub">
    <w:name w:val="paragraph(sub-sub)"/>
    <w:aliases w:val="aaa"/>
    <w:basedOn w:val="OPCParaBase"/>
    <w:rsid w:val="00F5638C"/>
    <w:pPr>
      <w:tabs>
        <w:tab w:val="right" w:pos="2722"/>
      </w:tabs>
      <w:spacing w:before="40" w:line="240" w:lineRule="auto"/>
      <w:ind w:left="2835" w:hanging="2835"/>
    </w:pPr>
  </w:style>
  <w:style w:type="paragraph" w:customStyle="1" w:styleId="paragraph">
    <w:name w:val="paragraph"/>
    <w:aliases w:val="a"/>
    <w:basedOn w:val="OPCParaBase"/>
    <w:rsid w:val="00F5638C"/>
    <w:pPr>
      <w:tabs>
        <w:tab w:val="right" w:pos="1531"/>
      </w:tabs>
      <w:spacing w:before="40" w:line="240" w:lineRule="auto"/>
      <w:ind w:left="1644" w:hanging="1644"/>
    </w:pPr>
  </w:style>
  <w:style w:type="paragraph" w:customStyle="1" w:styleId="ParlAmend">
    <w:name w:val="ParlAmend"/>
    <w:aliases w:val="pp"/>
    <w:basedOn w:val="OPCParaBase"/>
    <w:rsid w:val="00F5638C"/>
    <w:pPr>
      <w:spacing w:before="240" w:line="240" w:lineRule="atLeast"/>
      <w:ind w:hanging="567"/>
    </w:pPr>
    <w:rPr>
      <w:sz w:val="24"/>
    </w:rPr>
  </w:style>
  <w:style w:type="paragraph" w:customStyle="1" w:styleId="Penalty">
    <w:name w:val="Penalty"/>
    <w:basedOn w:val="OPCParaBase"/>
    <w:rsid w:val="00F5638C"/>
    <w:pPr>
      <w:tabs>
        <w:tab w:val="left" w:pos="2977"/>
      </w:tabs>
      <w:spacing w:before="180" w:line="240" w:lineRule="auto"/>
      <w:ind w:left="1985" w:hanging="851"/>
    </w:pPr>
  </w:style>
  <w:style w:type="paragraph" w:customStyle="1" w:styleId="Portfolio">
    <w:name w:val="Portfolio"/>
    <w:basedOn w:val="OPCParaBase"/>
    <w:rsid w:val="00F5638C"/>
    <w:pPr>
      <w:spacing w:line="240" w:lineRule="auto"/>
    </w:pPr>
    <w:rPr>
      <w:i/>
      <w:sz w:val="20"/>
    </w:rPr>
  </w:style>
  <w:style w:type="paragraph" w:customStyle="1" w:styleId="Preamble">
    <w:name w:val="Preamble"/>
    <w:basedOn w:val="OPCParaBase"/>
    <w:next w:val="Normal"/>
    <w:rsid w:val="00F5638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638C"/>
    <w:pPr>
      <w:spacing w:line="240" w:lineRule="auto"/>
    </w:pPr>
    <w:rPr>
      <w:i/>
      <w:sz w:val="20"/>
    </w:rPr>
  </w:style>
  <w:style w:type="paragraph" w:customStyle="1" w:styleId="Session">
    <w:name w:val="Session"/>
    <w:basedOn w:val="OPCParaBase"/>
    <w:rsid w:val="00F5638C"/>
    <w:pPr>
      <w:spacing w:line="240" w:lineRule="auto"/>
    </w:pPr>
    <w:rPr>
      <w:sz w:val="28"/>
    </w:rPr>
  </w:style>
  <w:style w:type="paragraph" w:customStyle="1" w:styleId="Sponsor">
    <w:name w:val="Sponsor"/>
    <w:basedOn w:val="OPCParaBase"/>
    <w:rsid w:val="00F5638C"/>
    <w:pPr>
      <w:spacing w:line="240" w:lineRule="auto"/>
    </w:pPr>
    <w:rPr>
      <w:i/>
    </w:rPr>
  </w:style>
  <w:style w:type="paragraph" w:customStyle="1" w:styleId="Subitem">
    <w:name w:val="Subitem"/>
    <w:aliases w:val="iss"/>
    <w:basedOn w:val="OPCParaBase"/>
    <w:rsid w:val="00F5638C"/>
    <w:pPr>
      <w:spacing w:before="180" w:line="240" w:lineRule="auto"/>
      <w:ind w:left="709" w:hanging="709"/>
    </w:pPr>
  </w:style>
  <w:style w:type="paragraph" w:customStyle="1" w:styleId="SubitemHead">
    <w:name w:val="SubitemHead"/>
    <w:aliases w:val="issh"/>
    <w:basedOn w:val="OPCParaBase"/>
    <w:rsid w:val="00F5638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638C"/>
    <w:pPr>
      <w:spacing w:before="40" w:line="240" w:lineRule="auto"/>
      <w:ind w:left="1134"/>
    </w:pPr>
  </w:style>
  <w:style w:type="paragraph" w:customStyle="1" w:styleId="SubsectionHead">
    <w:name w:val="SubsectionHead"/>
    <w:aliases w:val="ssh"/>
    <w:basedOn w:val="OPCParaBase"/>
    <w:next w:val="subsection"/>
    <w:rsid w:val="00F5638C"/>
    <w:pPr>
      <w:keepNext/>
      <w:keepLines/>
      <w:spacing w:before="240" w:line="240" w:lineRule="auto"/>
      <w:ind w:left="1134"/>
    </w:pPr>
    <w:rPr>
      <w:i/>
    </w:rPr>
  </w:style>
  <w:style w:type="paragraph" w:customStyle="1" w:styleId="Tablea">
    <w:name w:val="Table(a)"/>
    <w:aliases w:val="ta"/>
    <w:basedOn w:val="OPCParaBase"/>
    <w:rsid w:val="00F5638C"/>
    <w:pPr>
      <w:spacing w:before="60" w:line="240" w:lineRule="auto"/>
      <w:ind w:left="284" w:hanging="284"/>
    </w:pPr>
    <w:rPr>
      <w:sz w:val="20"/>
    </w:rPr>
  </w:style>
  <w:style w:type="paragraph" w:customStyle="1" w:styleId="TableAA">
    <w:name w:val="Table(AA)"/>
    <w:aliases w:val="taaa"/>
    <w:basedOn w:val="OPCParaBase"/>
    <w:rsid w:val="00F5638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638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638C"/>
    <w:pPr>
      <w:spacing w:before="60" w:line="240" w:lineRule="atLeast"/>
    </w:pPr>
    <w:rPr>
      <w:sz w:val="20"/>
    </w:rPr>
  </w:style>
  <w:style w:type="paragraph" w:customStyle="1" w:styleId="TLPBoxTextnote">
    <w:name w:val="TLPBoxText(note"/>
    <w:aliases w:val="right)"/>
    <w:basedOn w:val="OPCParaBase"/>
    <w:rsid w:val="00F5638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638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638C"/>
    <w:pPr>
      <w:spacing w:before="122" w:line="198" w:lineRule="exact"/>
      <w:ind w:left="1985" w:hanging="851"/>
      <w:jc w:val="right"/>
    </w:pPr>
    <w:rPr>
      <w:sz w:val="18"/>
    </w:rPr>
  </w:style>
  <w:style w:type="paragraph" w:customStyle="1" w:styleId="TLPTableBullet">
    <w:name w:val="TLPTableBullet"/>
    <w:aliases w:val="ttb"/>
    <w:basedOn w:val="OPCParaBase"/>
    <w:rsid w:val="00F5638C"/>
    <w:pPr>
      <w:spacing w:line="240" w:lineRule="exact"/>
      <w:ind w:left="284" w:hanging="284"/>
    </w:pPr>
    <w:rPr>
      <w:sz w:val="20"/>
    </w:rPr>
  </w:style>
  <w:style w:type="paragraph" w:styleId="TOC1">
    <w:name w:val="toc 1"/>
    <w:basedOn w:val="OPCParaBase"/>
    <w:next w:val="Normal"/>
    <w:uiPriority w:val="39"/>
    <w:semiHidden/>
    <w:unhideWhenUsed/>
    <w:rsid w:val="00F5638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5638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5638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5638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5638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5638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638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638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5638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638C"/>
    <w:pPr>
      <w:keepLines/>
      <w:spacing w:before="240" w:after="120" w:line="240" w:lineRule="auto"/>
      <w:ind w:left="794"/>
    </w:pPr>
    <w:rPr>
      <w:b/>
      <w:kern w:val="28"/>
      <w:sz w:val="20"/>
    </w:rPr>
  </w:style>
  <w:style w:type="paragraph" w:customStyle="1" w:styleId="TofSectsHeading">
    <w:name w:val="TofSects(Heading)"/>
    <w:basedOn w:val="OPCParaBase"/>
    <w:rsid w:val="00F5638C"/>
    <w:pPr>
      <w:spacing w:before="240" w:after="120" w:line="240" w:lineRule="auto"/>
    </w:pPr>
    <w:rPr>
      <w:b/>
      <w:sz w:val="24"/>
    </w:rPr>
  </w:style>
  <w:style w:type="paragraph" w:customStyle="1" w:styleId="TofSectsSection">
    <w:name w:val="TofSects(Section)"/>
    <w:basedOn w:val="OPCParaBase"/>
    <w:rsid w:val="00F5638C"/>
    <w:pPr>
      <w:keepLines/>
      <w:spacing w:before="40" w:line="240" w:lineRule="auto"/>
      <w:ind w:left="1588" w:hanging="794"/>
    </w:pPr>
    <w:rPr>
      <w:kern w:val="28"/>
      <w:sz w:val="18"/>
    </w:rPr>
  </w:style>
  <w:style w:type="paragraph" w:customStyle="1" w:styleId="TofSectsSubdiv">
    <w:name w:val="TofSects(Subdiv)"/>
    <w:basedOn w:val="OPCParaBase"/>
    <w:rsid w:val="00F5638C"/>
    <w:pPr>
      <w:keepLines/>
      <w:spacing w:before="80" w:line="240" w:lineRule="auto"/>
      <w:ind w:left="1588" w:hanging="794"/>
    </w:pPr>
    <w:rPr>
      <w:kern w:val="28"/>
    </w:rPr>
  </w:style>
  <w:style w:type="paragraph" w:customStyle="1" w:styleId="WRStyle">
    <w:name w:val="WR Style"/>
    <w:aliases w:val="WR"/>
    <w:basedOn w:val="OPCParaBase"/>
    <w:rsid w:val="00F5638C"/>
    <w:pPr>
      <w:spacing w:before="240" w:line="240" w:lineRule="auto"/>
      <w:ind w:left="284" w:hanging="284"/>
    </w:pPr>
    <w:rPr>
      <w:b/>
      <w:i/>
      <w:kern w:val="28"/>
      <w:sz w:val="24"/>
    </w:rPr>
  </w:style>
  <w:style w:type="paragraph" w:customStyle="1" w:styleId="notepara">
    <w:name w:val="note(para)"/>
    <w:aliases w:val="na"/>
    <w:basedOn w:val="OPCParaBase"/>
    <w:rsid w:val="00F5638C"/>
    <w:pPr>
      <w:spacing w:before="40" w:line="198" w:lineRule="exact"/>
      <w:ind w:left="2354" w:hanging="369"/>
    </w:pPr>
    <w:rPr>
      <w:sz w:val="18"/>
    </w:rPr>
  </w:style>
  <w:style w:type="paragraph" w:styleId="Footer">
    <w:name w:val="footer"/>
    <w:link w:val="FooterChar"/>
    <w:rsid w:val="00F5638C"/>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5638C"/>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5638C"/>
    <w:rPr>
      <w:sz w:val="16"/>
    </w:rPr>
  </w:style>
  <w:style w:type="table" w:customStyle="1" w:styleId="CFlag">
    <w:name w:val="CFlag"/>
    <w:basedOn w:val="TableNormal"/>
    <w:uiPriority w:val="99"/>
    <w:rsid w:val="00F5638C"/>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563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8C"/>
    <w:rPr>
      <w:rFonts w:ascii="Tahoma" w:hAnsi="Tahoma" w:cs="Tahoma"/>
      <w:sz w:val="16"/>
      <w:szCs w:val="16"/>
    </w:rPr>
  </w:style>
  <w:style w:type="table" w:styleId="TableGrid">
    <w:name w:val="Table Grid"/>
    <w:basedOn w:val="TableNormal"/>
    <w:uiPriority w:val="59"/>
    <w:rsid w:val="00F5638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5638C"/>
    <w:rPr>
      <w:b/>
      <w:sz w:val="28"/>
      <w:szCs w:val="32"/>
    </w:rPr>
  </w:style>
  <w:style w:type="paragraph" w:customStyle="1" w:styleId="LegislationMadeUnder">
    <w:name w:val="LegislationMadeUnder"/>
    <w:basedOn w:val="OPCParaBase"/>
    <w:next w:val="Normal"/>
    <w:rsid w:val="00F5638C"/>
    <w:rPr>
      <w:i/>
      <w:sz w:val="32"/>
      <w:szCs w:val="32"/>
    </w:rPr>
  </w:style>
  <w:style w:type="paragraph" w:customStyle="1" w:styleId="SignCoverPageEnd">
    <w:name w:val="SignCoverPageEnd"/>
    <w:basedOn w:val="OPCParaBase"/>
    <w:next w:val="Normal"/>
    <w:rsid w:val="00F5638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5638C"/>
    <w:pPr>
      <w:pBdr>
        <w:top w:val="single" w:sz="4" w:space="1" w:color="auto"/>
      </w:pBdr>
      <w:spacing w:before="360"/>
      <w:ind w:right="397"/>
      <w:jc w:val="both"/>
    </w:pPr>
  </w:style>
  <w:style w:type="paragraph" w:customStyle="1" w:styleId="NotesHeading1">
    <w:name w:val="NotesHeading 1"/>
    <w:basedOn w:val="OPCParaBase"/>
    <w:next w:val="Normal"/>
    <w:rsid w:val="00F5638C"/>
    <w:rPr>
      <w:b/>
      <w:sz w:val="28"/>
      <w:szCs w:val="28"/>
    </w:rPr>
  </w:style>
  <w:style w:type="paragraph" w:customStyle="1" w:styleId="NotesHeading2">
    <w:name w:val="NotesHeading 2"/>
    <w:basedOn w:val="OPCParaBase"/>
    <w:next w:val="Normal"/>
    <w:rsid w:val="00F5638C"/>
    <w:rPr>
      <w:b/>
      <w:sz w:val="28"/>
      <w:szCs w:val="28"/>
    </w:rPr>
  </w:style>
  <w:style w:type="paragraph" w:customStyle="1" w:styleId="ENotesText">
    <w:name w:val="ENotesText"/>
    <w:aliases w:val="Ent"/>
    <w:basedOn w:val="OPCParaBase"/>
    <w:next w:val="Normal"/>
    <w:rsid w:val="00F5638C"/>
    <w:pPr>
      <w:spacing w:before="120"/>
    </w:pPr>
  </w:style>
  <w:style w:type="paragraph" w:customStyle="1" w:styleId="CompiledActNo">
    <w:name w:val="CompiledActNo"/>
    <w:basedOn w:val="OPCParaBase"/>
    <w:next w:val="Normal"/>
    <w:rsid w:val="00F5638C"/>
    <w:rPr>
      <w:b/>
      <w:sz w:val="24"/>
      <w:szCs w:val="24"/>
    </w:rPr>
  </w:style>
  <w:style w:type="paragraph" w:customStyle="1" w:styleId="CompiledMadeUnder">
    <w:name w:val="CompiledMadeUnder"/>
    <w:basedOn w:val="OPCParaBase"/>
    <w:next w:val="Normal"/>
    <w:rsid w:val="00F5638C"/>
    <w:rPr>
      <w:i/>
      <w:sz w:val="24"/>
      <w:szCs w:val="24"/>
    </w:rPr>
  </w:style>
  <w:style w:type="paragraph" w:customStyle="1" w:styleId="Paragraphsub-sub-sub">
    <w:name w:val="Paragraph(sub-sub-sub)"/>
    <w:aliases w:val="aaaa"/>
    <w:basedOn w:val="OPCParaBase"/>
    <w:rsid w:val="00F5638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638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638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638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638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638C"/>
    <w:pPr>
      <w:spacing w:before="60" w:line="240" w:lineRule="auto"/>
    </w:pPr>
    <w:rPr>
      <w:rFonts w:cs="Arial"/>
      <w:sz w:val="20"/>
      <w:szCs w:val="22"/>
    </w:rPr>
  </w:style>
  <w:style w:type="paragraph" w:customStyle="1" w:styleId="NoteToSubpara">
    <w:name w:val="NoteToSubpara"/>
    <w:aliases w:val="nts"/>
    <w:basedOn w:val="OPCParaBase"/>
    <w:rsid w:val="00F5638C"/>
    <w:pPr>
      <w:spacing w:before="40" w:line="198" w:lineRule="exact"/>
      <w:ind w:left="2835" w:hanging="709"/>
    </w:pPr>
    <w:rPr>
      <w:sz w:val="18"/>
    </w:rPr>
  </w:style>
  <w:style w:type="paragraph" w:customStyle="1" w:styleId="ENoteTableHeading">
    <w:name w:val="ENoteTableHeading"/>
    <w:aliases w:val="enth"/>
    <w:basedOn w:val="OPCParaBase"/>
    <w:rsid w:val="00F5638C"/>
    <w:pPr>
      <w:keepNext/>
      <w:spacing w:before="60" w:line="240" w:lineRule="atLeast"/>
    </w:pPr>
    <w:rPr>
      <w:rFonts w:ascii="Arial" w:hAnsi="Arial"/>
      <w:b/>
      <w:sz w:val="16"/>
    </w:rPr>
  </w:style>
  <w:style w:type="paragraph" w:customStyle="1" w:styleId="ENoteTTi">
    <w:name w:val="ENoteTTi"/>
    <w:aliases w:val="entti"/>
    <w:basedOn w:val="OPCParaBase"/>
    <w:rsid w:val="00F5638C"/>
    <w:pPr>
      <w:keepNext/>
      <w:spacing w:before="60" w:line="240" w:lineRule="atLeast"/>
      <w:ind w:left="170"/>
    </w:pPr>
    <w:rPr>
      <w:sz w:val="16"/>
    </w:rPr>
  </w:style>
  <w:style w:type="paragraph" w:customStyle="1" w:styleId="ENotesHeading1">
    <w:name w:val="ENotesHeading 1"/>
    <w:aliases w:val="Enh1"/>
    <w:basedOn w:val="OPCParaBase"/>
    <w:next w:val="Normal"/>
    <w:rsid w:val="00F5638C"/>
    <w:pPr>
      <w:spacing w:before="120"/>
      <w:outlineLvl w:val="1"/>
    </w:pPr>
    <w:rPr>
      <w:b/>
      <w:sz w:val="28"/>
      <w:szCs w:val="28"/>
    </w:rPr>
  </w:style>
  <w:style w:type="paragraph" w:customStyle="1" w:styleId="ENotesHeading2">
    <w:name w:val="ENotesHeading 2"/>
    <w:aliases w:val="Enh2"/>
    <w:basedOn w:val="OPCParaBase"/>
    <w:next w:val="Normal"/>
    <w:rsid w:val="00F5638C"/>
    <w:pPr>
      <w:spacing w:before="120" w:after="120"/>
      <w:outlineLvl w:val="2"/>
    </w:pPr>
    <w:rPr>
      <w:b/>
      <w:sz w:val="24"/>
      <w:szCs w:val="28"/>
    </w:rPr>
  </w:style>
  <w:style w:type="paragraph" w:customStyle="1" w:styleId="ENoteTTIndentHeading">
    <w:name w:val="ENoteTTIndentHeading"/>
    <w:aliases w:val="enTTHi"/>
    <w:basedOn w:val="OPCParaBase"/>
    <w:rsid w:val="00F5638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638C"/>
    <w:pPr>
      <w:spacing w:before="60" w:line="240" w:lineRule="atLeast"/>
    </w:pPr>
    <w:rPr>
      <w:sz w:val="16"/>
    </w:rPr>
  </w:style>
  <w:style w:type="paragraph" w:customStyle="1" w:styleId="MadeunderText">
    <w:name w:val="MadeunderText"/>
    <w:basedOn w:val="OPCParaBase"/>
    <w:next w:val="CompiledMadeUnder"/>
    <w:rsid w:val="00F5638C"/>
    <w:pPr>
      <w:spacing w:before="240"/>
    </w:pPr>
    <w:rPr>
      <w:sz w:val="24"/>
      <w:szCs w:val="24"/>
    </w:rPr>
  </w:style>
  <w:style w:type="paragraph" w:customStyle="1" w:styleId="ENotesHeading3">
    <w:name w:val="ENotesHeading 3"/>
    <w:aliases w:val="Enh3"/>
    <w:basedOn w:val="OPCParaBase"/>
    <w:next w:val="Normal"/>
    <w:rsid w:val="00F5638C"/>
    <w:pPr>
      <w:keepNext/>
      <w:spacing w:before="120" w:line="240" w:lineRule="auto"/>
      <w:outlineLvl w:val="4"/>
    </w:pPr>
    <w:rPr>
      <w:b/>
      <w:szCs w:val="24"/>
    </w:rPr>
  </w:style>
  <w:style w:type="character" w:customStyle="1" w:styleId="CharSubPartTextCASA">
    <w:name w:val="CharSubPartText(CASA)"/>
    <w:basedOn w:val="OPCCharBase"/>
    <w:uiPriority w:val="1"/>
    <w:rsid w:val="00F5638C"/>
  </w:style>
  <w:style w:type="character" w:customStyle="1" w:styleId="CharSubPartNoCASA">
    <w:name w:val="CharSubPartNo(CASA)"/>
    <w:basedOn w:val="OPCCharBase"/>
    <w:uiPriority w:val="1"/>
    <w:rsid w:val="00F5638C"/>
  </w:style>
  <w:style w:type="paragraph" w:customStyle="1" w:styleId="ENoteTTIndentHeadingSub">
    <w:name w:val="ENoteTTIndentHeadingSub"/>
    <w:aliases w:val="enTTHis"/>
    <w:basedOn w:val="OPCParaBase"/>
    <w:rsid w:val="00F5638C"/>
    <w:pPr>
      <w:keepNext/>
      <w:spacing w:before="60" w:line="240" w:lineRule="atLeast"/>
      <w:ind w:left="340"/>
    </w:pPr>
    <w:rPr>
      <w:b/>
      <w:sz w:val="16"/>
    </w:rPr>
  </w:style>
  <w:style w:type="paragraph" w:customStyle="1" w:styleId="ENoteTTiSub">
    <w:name w:val="ENoteTTiSub"/>
    <w:aliases w:val="enttis"/>
    <w:basedOn w:val="OPCParaBase"/>
    <w:rsid w:val="00F5638C"/>
    <w:pPr>
      <w:keepNext/>
      <w:spacing w:before="60" w:line="240" w:lineRule="atLeast"/>
      <w:ind w:left="340"/>
    </w:pPr>
    <w:rPr>
      <w:sz w:val="16"/>
    </w:rPr>
  </w:style>
  <w:style w:type="paragraph" w:customStyle="1" w:styleId="SubDivisionMigration">
    <w:name w:val="SubDivisionMigration"/>
    <w:aliases w:val="sdm"/>
    <w:basedOn w:val="OPCParaBase"/>
    <w:rsid w:val="00F5638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638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638C"/>
    <w:pPr>
      <w:spacing w:before="122" w:line="240" w:lineRule="auto"/>
      <w:ind w:left="1985" w:hanging="851"/>
    </w:pPr>
    <w:rPr>
      <w:sz w:val="18"/>
    </w:rPr>
  </w:style>
  <w:style w:type="paragraph" w:customStyle="1" w:styleId="FreeForm">
    <w:name w:val="FreeForm"/>
    <w:rsid w:val="00F5638C"/>
    <w:pPr>
      <w:spacing w:after="0" w:line="240" w:lineRule="auto"/>
    </w:pPr>
    <w:rPr>
      <w:rFonts w:ascii="Arial" w:hAnsi="Arial"/>
      <w:szCs w:val="20"/>
    </w:rPr>
  </w:style>
  <w:style w:type="paragraph" w:customStyle="1" w:styleId="SOText">
    <w:name w:val="SO Text"/>
    <w:aliases w:val="sot"/>
    <w:link w:val="SOTextChar"/>
    <w:rsid w:val="00F5638C"/>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5638C"/>
    <w:rPr>
      <w:rFonts w:ascii="Times New Roman" w:hAnsi="Times New Roman"/>
      <w:szCs w:val="20"/>
    </w:rPr>
  </w:style>
  <w:style w:type="paragraph" w:customStyle="1" w:styleId="SOTextNote">
    <w:name w:val="SO TextNote"/>
    <w:aliases w:val="sont"/>
    <w:basedOn w:val="SOText"/>
    <w:qFormat/>
    <w:rsid w:val="00F5638C"/>
    <w:pPr>
      <w:spacing w:before="122" w:line="198" w:lineRule="exact"/>
      <w:ind w:left="1843" w:hanging="709"/>
    </w:pPr>
    <w:rPr>
      <w:sz w:val="18"/>
    </w:rPr>
  </w:style>
  <w:style w:type="paragraph" w:customStyle="1" w:styleId="SOPara">
    <w:name w:val="SO Para"/>
    <w:aliases w:val="soa"/>
    <w:basedOn w:val="SOText"/>
    <w:link w:val="SOParaChar"/>
    <w:qFormat/>
    <w:rsid w:val="00F5638C"/>
    <w:pPr>
      <w:tabs>
        <w:tab w:val="right" w:pos="1786"/>
      </w:tabs>
      <w:spacing w:before="40"/>
      <w:ind w:left="2070" w:hanging="936"/>
    </w:pPr>
  </w:style>
  <w:style w:type="character" w:customStyle="1" w:styleId="SOParaChar">
    <w:name w:val="SO Para Char"/>
    <w:aliases w:val="soa Char"/>
    <w:basedOn w:val="DefaultParagraphFont"/>
    <w:link w:val="SOPara"/>
    <w:rsid w:val="00F5638C"/>
    <w:rPr>
      <w:rFonts w:ascii="Times New Roman" w:hAnsi="Times New Roman"/>
      <w:szCs w:val="20"/>
    </w:rPr>
  </w:style>
  <w:style w:type="paragraph" w:customStyle="1" w:styleId="FileName">
    <w:name w:val="FileName"/>
    <w:basedOn w:val="Normal"/>
    <w:rsid w:val="00F5638C"/>
  </w:style>
  <w:style w:type="paragraph" w:customStyle="1" w:styleId="TableHeading">
    <w:name w:val="TableHeading"/>
    <w:aliases w:val="th"/>
    <w:basedOn w:val="OPCParaBase"/>
    <w:next w:val="Tabletext"/>
    <w:rsid w:val="00F5638C"/>
    <w:pPr>
      <w:keepNext/>
      <w:spacing w:before="60" w:line="240" w:lineRule="atLeast"/>
    </w:pPr>
    <w:rPr>
      <w:b/>
      <w:sz w:val="20"/>
    </w:rPr>
  </w:style>
  <w:style w:type="paragraph" w:customStyle="1" w:styleId="SOHeadBold">
    <w:name w:val="SO HeadBold"/>
    <w:aliases w:val="sohb"/>
    <w:basedOn w:val="SOText"/>
    <w:next w:val="SOText"/>
    <w:link w:val="SOHeadBoldChar"/>
    <w:qFormat/>
    <w:rsid w:val="00F5638C"/>
    <w:rPr>
      <w:b/>
    </w:rPr>
  </w:style>
  <w:style w:type="character" w:customStyle="1" w:styleId="SOHeadBoldChar">
    <w:name w:val="SO HeadBold Char"/>
    <w:aliases w:val="sohb Char"/>
    <w:basedOn w:val="DefaultParagraphFont"/>
    <w:link w:val="SOHeadBold"/>
    <w:rsid w:val="00F5638C"/>
    <w:rPr>
      <w:rFonts w:ascii="Times New Roman" w:hAnsi="Times New Roman"/>
      <w:b/>
      <w:szCs w:val="20"/>
    </w:rPr>
  </w:style>
  <w:style w:type="paragraph" w:customStyle="1" w:styleId="SOHeadItalic">
    <w:name w:val="SO HeadItalic"/>
    <w:aliases w:val="sohi"/>
    <w:basedOn w:val="SOText"/>
    <w:next w:val="SOText"/>
    <w:link w:val="SOHeadItalicChar"/>
    <w:qFormat/>
    <w:rsid w:val="00F5638C"/>
    <w:rPr>
      <w:i/>
    </w:rPr>
  </w:style>
  <w:style w:type="character" w:customStyle="1" w:styleId="SOHeadItalicChar">
    <w:name w:val="SO HeadItalic Char"/>
    <w:aliases w:val="sohi Char"/>
    <w:basedOn w:val="DefaultParagraphFont"/>
    <w:link w:val="SOHeadItalic"/>
    <w:rsid w:val="00F5638C"/>
    <w:rPr>
      <w:rFonts w:ascii="Times New Roman" w:hAnsi="Times New Roman"/>
      <w:i/>
      <w:szCs w:val="20"/>
    </w:rPr>
  </w:style>
  <w:style w:type="paragraph" w:customStyle="1" w:styleId="SOBullet">
    <w:name w:val="SO Bullet"/>
    <w:aliases w:val="sotb"/>
    <w:basedOn w:val="SOText"/>
    <w:link w:val="SOBulletChar"/>
    <w:qFormat/>
    <w:rsid w:val="00F5638C"/>
    <w:pPr>
      <w:ind w:left="1559" w:hanging="425"/>
    </w:pPr>
  </w:style>
  <w:style w:type="character" w:customStyle="1" w:styleId="SOBulletChar">
    <w:name w:val="SO Bullet Char"/>
    <w:aliases w:val="sotb Char"/>
    <w:basedOn w:val="DefaultParagraphFont"/>
    <w:link w:val="SOBullet"/>
    <w:rsid w:val="00F5638C"/>
    <w:rPr>
      <w:rFonts w:ascii="Times New Roman" w:hAnsi="Times New Roman"/>
      <w:szCs w:val="20"/>
    </w:rPr>
  </w:style>
  <w:style w:type="paragraph" w:customStyle="1" w:styleId="SOBulletNote">
    <w:name w:val="SO BulletNote"/>
    <w:aliases w:val="sonb"/>
    <w:basedOn w:val="SOTextNote"/>
    <w:link w:val="SOBulletNoteChar"/>
    <w:qFormat/>
    <w:rsid w:val="00F5638C"/>
    <w:pPr>
      <w:tabs>
        <w:tab w:val="left" w:pos="1560"/>
      </w:tabs>
      <w:ind w:left="2268" w:hanging="1134"/>
    </w:pPr>
  </w:style>
  <w:style w:type="character" w:customStyle="1" w:styleId="SOBulletNoteChar">
    <w:name w:val="SO BulletNote Char"/>
    <w:aliases w:val="sonb Char"/>
    <w:basedOn w:val="DefaultParagraphFont"/>
    <w:link w:val="SOBulletNote"/>
    <w:rsid w:val="00F5638C"/>
    <w:rPr>
      <w:rFonts w:ascii="Times New Roman" w:hAnsi="Times New Roman"/>
      <w:sz w:val="18"/>
      <w:szCs w:val="20"/>
    </w:rPr>
  </w:style>
  <w:style w:type="paragraph" w:customStyle="1" w:styleId="SOText2">
    <w:name w:val="SO Text2"/>
    <w:aliases w:val="sot2"/>
    <w:basedOn w:val="Normal"/>
    <w:next w:val="SOText"/>
    <w:link w:val="SOText2Char"/>
    <w:rsid w:val="00F5638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638C"/>
    <w:rPr>
      <w:rFonts w:ascii="Times New Roman" w:hAnsi="Times New Roman"/>
      <w:szCs w:val="20"/>
    </w:rPr>
  </w:style>
  <w:style w:type="paragraph" w:customStyle="1" w:styleId="SubPartCASA">
    <w:name w:val="SubPart(CASA)"/>
    <w:aliases w:val="csp"/>
    <w:basedOn w:val="OPCParaBase"/>
    <w:next w:val="ActHead3"/>
    <w:rsid w:val="00F5638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5638C"/>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5638C"/>
    <w:rPr>
      <w:rFonts w:ascii="Times New Roman" w:eastAsia="Times New Roman" w:hAnsi="Times New Roman" w:cs="Times New Roman"/>
      <w:sz w:val="18"/>
      <w:szCs w:val="20"/>
      <w:lang w:eastAsia="en-AU"/>
    </w:rPr>
  </w:style>
  <w:style w:type="paragraph" w:styleId="Revision">
    <w:name w:val="Revision"/>
    <w:hidden/>
    <w:uiPriority w:val="99"/>
    <w:semiHidden/>
    <w:rsid w:val="00AC668E"/>
    <w:pPr>
      <w:spacing w:after="0" w:line="240" w:lineRule="auto"/>
    </w:pPr>
    <w:rPr>
      <w:rFonts w:ascii="Times New Roman" w:hAnsi="Times New Roman"/>
      <w:szCs w:val="20"/>
    </w:rPr>
  </w:style>
  <w:style w:type="character" w:styleId="CommentReference">
    <w:name w:val="annotation reference"/>
    <w:basedOn w:val="DefaultParagraphFont"/>
    <w:uiPriority w:val="99"/>
    <w:semiHidden/>
    <w:unhideWhenUsed/>
    <w:rsid w:val="00037360"/>
    <w:rPr>
      <w:sz w:val="16"/>
      <w:szCs w:val="16"/>
    </w:rPr>
  </w:style>
  <w:style w:type="paragraph" w:styleId="CommentText">
    <w:name w:val="annotation text"/>
    <w:basedOn w:val="Normal"/>
    <w:link w:val="CommentTextChar"/>
    <w:uiPriority w:val="99"/>
    <w:unhideWhenUsed/>
    <w:rsid w:val="00037360"/>
    <w:pPr>
      <w:spacing w:line="240" w:lineRule="auto"/>
    </w:pPr>
    <w:rPr>
      <w:sz w:val="20"/>
    </w:rPr>
  </w:style>
  <w:style w:type="character" w:customStyle="1" w:styleId="CommentTextChar">
    <w:name w:val="Comment Text Char"/>
    <w:basedOn w:val="DefaultParagraphFont"/>
    <w:link w:val="CommentText"/>
    <w:uiPriority w:val="99"/>
    <w:rsid w:val="0003736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37360"/>
    <w:rPr>
      <w:b/>
      <w:bCs/>
    </w:rPr>
  </w:style>
  <w:style w:type="character" w:customStyle="1" w:styleId="CommentSubjectChar">
    <w:name w:val="Comment Subject Char"/>
    <w:basedOn w:val="CommentTextChar"/>
    <w:link w:val="CommentSubject"/>
    <w:uiPriority w:val="99"/>
    <w:semiHidden/>
    <w:rsid w:val="0003736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31603">
      <w:bodyDiv w:val="1"/>
      <w:marLeft w:val="0"/>
      <w:marRight w:val="0"/>
      <w:marTop w:val="0"/>
      <w:marBottom w:val="0"/>
      <w:divBdr>
        <w:top w:val="none" w:sz="0" w:space="0" w:color="auto"/>
        <w:left w:val="none" w:sz="0" w:space="0" w:color="auto"/>
        <w:bottom w:val="none" w:sz="0" w:space="0" w:color="auto"/>
        <w:right w:val="none" w:sz="0" w:space="0" w:color="auto"/>
      </w:divBdr>
    </w:div>
    <w:div w:id="651908552">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14796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xsi:nil="true"/>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75</Value>
      <Value>3</Value>
      <Value>68</Value>
      <Value>1</Value>
      <Value>28</Value>
    </TaxCatchAll>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s>
    </gfba5f33532c49208d2320ce38cc3c2b>
    <_dlc_DocId xmlns="fe39d773-a83d-4623-ae74-f25711a76616">5D7SUYYWNZQE-304961098-3009</_dlc_DocId>
    <_dlc_DocIdUrl xmlns="fe39d773-a83d-4623-ae74-f25711a76616">
      <Url>https://austreasury.sharepoint.com/sites/leg-meas-function/_layouts/15/DocIdRedir.aspx?ID=5D7SUYYWNZQE-304961098-3009</Url>
      <Description>5D7SUYYWNZQE-304961098-3009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mail" ma:contentTypeID="0x0101003ECC5A3B3DB5EC46B1D76B9A37FC8269008557E70EFB715A4FA878E33E5B557D02" ma:contentTypeVersion="43" ma:contentTypeDescription="" ma:contentTypeScope="" ma:versionID="ec44a8e45fe0fa8ce9bde827eaa20871">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54415b0a68609eccb9baaaa6f1f403b5"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indexed="tru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8308-BBFA-4225-82AC-CD104CDA22F4}">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ff38c824-6e29-4496-8487-69f397e7ed29"/>
    <ds:schemaRef ds:uri="a289cb20-8bb9-401f-8d7b-706fb1a2988d"/>
    <ds:schemaRef ds:uri="http://purl.org/dc/terms/"/>
    <ds:schemaRef ds:uri="fe39d773-a83d-4623-ae74-f25711a7661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6D79018-618E-40D4-8093-5EC5E6418A70}">
  <ds:schemaRefs>
    <ds:schemaRef ds:uri="http://schemas.microsoft.com/sharepoint/v3/contenttype/forms"/>
  </ds:schemaRefs>
</ds:datastoreItem>
</file>

<file path=customXml/itemProps3.xml><?xml version="1.0" encoding="utf-8"?>
<ds:datastoreItem xmlns:ds="http://schemas.openxmlformats.org/officeDocument/2006/customXml" ds:itemID="{95B25A8D-756D-4C8D-8CF0-23643DA8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F99D2-D3BD-47FB-912A-29B6DFD39A15}">
  <ds:schemaRefs>
    <ds:schemaRef ds:uri="http://schemas.microsoft.com/sharepoint/events"/>
  </ds:schemaRefs>
</ds:datastoreItem>
</file>

<file path=customXml/itemProps5.xml><?xml version="1.0" encoding="utf-8"?>
<ds:datastoreItem xmlns:ds="http://schemas.openxmlformats.org/officeDocument/2006/customXml" ds:itemID="{6959B8E5-E43D-4A50-B68C-427D62E8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666</TotalTime>
  <Pages>9</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Wayte, Philippa</dc:creator>
  <cp:keywords/>
  <dc:description/>
  <cp:lastModifiedBy>Leggett, Chris</cp:lastModifiedBy>
  <cp:revision>486</cp:revision>
  <cp:lastPrinted>2025-03-27T06:07:00Z</cp:lastPrinted>
  <dcterms:created xsi:type="dcterms:W3CDTF">2025-03-19T19:52:00Z</dcterms:created>
  <dcterms:modified xsi:type="dcterms:W3CDTF">2025-03-27T20:15:00Z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Amendment [type]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 </vt:lpwstr>
  </property>
  <property fmtid="{D5CDD505-2E9C-101B-9397-08002B2CF9AE}" pid="12" name="DLM">
    <vt:lpwstr> </vt:lpwstr>
  </property>
  <property fmtid="{D5CDD505-2E9C-101B-9397-08002B2CF9AE}" pid="13" name="ContentTypeId">
    <vt:lpwstr>0x0101003ECC5A3B3DB5EC46B1D76B9A37FC8269008557E70EFB715A4FA878E33E5B557D02</vt:lpwstr>
  </property>
  <property fmtid="{D5CDD505-2E9C-101B-9397-08002B2CF9AE}" pid="14" name="TSYRecordClass">
    <vt:lpwstr>1;#AE-20260-Destroy 7 years after action completed|623f5ec9-ec5d-4824-8e13-9c9bfc51fe7e</vt:lpwstr>
  </property>
  <property fmtid="{D5CDD505-2E9C-101B-9397-08002B2CF9AE}" pid="15" name="_dlc_DocIdItemGuid">
    <vt:lpwstr>b13f910f-3bb6-4def-8825-5847492f4549</vt:lpwstr>
  </property>
  <property fmtid="{D5CDD505-2E9C-101B-9397-08002B2CF9AE}" pid="16" name="eActivity">
    <vt:lpwstr>28;#Legislative measures|0d31ce10-0017-4a46-8d2d-ba60058cb6a2</vt:lpwstr>
  </property>
  <property fmtid="{D5CDD505-2E9C-101B-9397-08002B2CF9AE}" pid="17" name="k8424359e03846678cc4a99dd97e9705">
    <vt:lpwstr>Treasury Enterprise Terms|69519368-d55f-4403-adc0-7b3d464d5501</vt:lpwstr>
  </property>
  <property fmtid="{D5CDD505-2E9C-101B-9397-08002B2CF9AE}" pid="18" name="eTheme">
    <vt:lpwstr>1;#Law Design|318dd2d2-18da-4b8e-a458-14db2c1af95f</vt:lpwstr>
  </property>
  <property fmtid="{D5CDD505-2E9C-101B-9397-08002B2CF9AE}" pid="19" name="eTopic">
    <vt:lpwstr>75;#Corporate Tax|7143b39c-3152-4f03-9a8b-9f25b68e1ca6</vt:lpwstr>
  </property>
  <property fmtid="{D5CDD505-2E9C-101B-9397-08002B2CF9AE}" pid="20" name="TSYStatus">
    <vt:lpwstr/>
  </property>
  <property fmtid="{D5CDD505-2E9C-101B-9397-08002B2CF9AE}" pid="21" name="eDocumentType">
    <vt:lpwstr>68;#Legislation|bc5c492f-641e-4b74-8651-322acd553d0f</vt:lpwstr>
  </property>
  <property fmtid="{D5CDD505-2E9C-101B-9397-08002B2CF9AE}" pid="22" name="LMDivision">
    <vt:lpwstr>3;#Treasury Enterprise Terms|69519368-d55f-4403-adc0-7b3d464d5501</vt:lpwstr>
  </property>
  <property fmtid="{D5CDD505-2E9C-101B-9397-08002B2CF9AE}" pid="23" name="MSIP_Label_221efc91-5b9b-47f7-b46d-2bd3ec97b786_Enabled">
    <vt:lpwstr>true</vt:lpwstr>
  </property>
  <property fmtid="{D5CDD505-2E9C-101B-9397-08002B2CF9AE}" pid="24" name="MSIP_Label_221efc91-5b9b-47f7-b46d-2bd3ec97b786_SetDate">
    <vt:lpwstr>2025-03-21T03:54:35Z</vt:lpwstr>
  </property>
  <property fmtid="{D5CDD505-2E9C-101B-9397-08002B2CF9AE}" pid="25" name="MSIP_Label_221efc91-5b9b-47f7-b46d-2bd3ec97b786_Method">
    <vt:lpwstr>Privileged</vt:lpwstr>
  </property>
  <property fmtid="{D5CDD505-2E9C-101B-9397-08002B2CF9AE}" pid="26" name="MSIP_Label_221efc91-5b9b-47f7-b46d-2bd3ec97b786_Name">
    <vt:lpwstr>OS LP AM</vt:lpwstr>
  </property>
  <property fmtid="{D5CDD505-2E9C-101B-9397-08002B2CF9AE}" pid="27" name="MSIP_Label_221efc91-5b9b-47f7-b46d-2bd3ec97b786_SiteId">
    <vt:lpwstr>214f1646-2021-47cc-8397-e3d3a7ba7d9d</vt:lpwstr>
  </property>
  <property fmtid="{D5CDD505-2E9C-101B-9397-08002B2CF9AE}" pid="28" name="MSIP_Label_221efc91-5b9b-47f7-b46d-2bd3ec97b786_ActionId">
    <vt:lpwstr>fbb735b2-56dd-40a3-81fb-cd5fc5a3e812</vt:lpwstr>
  </property>
  <property fmtid="{D5CDD505-2E9C-101B-9397-08002B2CF9AE}" pid="29" name="MSIP_Label_221efc91-5b9b-47f7-b46d-2bd3ec97b786_ContentBits">
    <vt:lpwstr>0</vt:lpwstr>
  </property>
</Properties>
</file>