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314EC" w14:textId="1B70AD08" w:rsidR="00280050" w:rsidRPr="00421D34" w:rsidRDefault="004D107E" w:rsidP="004D107E">
      <w:pPr>
        <w:spacing w:after="0" w:line="240" w:lineRule="auto"/>
        <w:contextualSpacing/>
        <w:jc w:val="center"/>
        <w:rPr>
          <w:rFonts w:eastAsia="Times New Roman"/>
          <w:b/>
          <w:bCs/>
          <w:kern w:val="0"/>
          <w:sz w:val="22"/>
          <w:szCs w:val="22"/>
          <w:u w:val="single"/>
          <w:lang w:eastAsia="en-AU"/>
          <w14:ligatures w14:val="none"/>
        </w:rPr>
      </w:pPr>
      <w:r w:rsidRPr="00421D34">
        <w:rPr>
          <w:rFonts w:eastAsia="Times New Roman"/>
          <w:b/>
          <w:bCs/>
          <w:kern w:val="0"/>
          <w:sz w:val="22"/>
          <w:szCs w:val="22"/>
          <w:u w:val="single"/>
          <w:lang w:eastAsia="en-AU"/>
          <w14:ligatures w14:val="none"/>
        </w:rPr>
        <w:t>EXPLANATORY STATEMENT</w:t>
      </w:r>
    </w:p>
    <w:p w14:paraId="4FAA8B2F" w14:textId="77777777" w:rsidR="004D107E" w:rsidRPr="00421D34" w:rsidRDefault="004D107E" w:rsidP="004D107E">
      <w:pPr>
        <w:spacing w:after="0" w:line="240" w:lineRule="auto"/>
        <w:contextualSpacing/>
        <w:jc w:val="center"/>
        <w:rPr>
          <w:rFonts w:eastAsia="Times New Roman"/>
          <w:bCs/>
          <w:kern w:val="0"/>
          <w:sz w:val="22"/>
          <w:szCs w:val="22"/>
          <w:lang w:eastAsia="en-AU"/>
          <w14:ligatures w14:val="none"/>
        </w:rPr>
      </w:pPr>
    </w:p>
    <w:p w14:paraId="7946C870" w14:textId="52A3F7A2" w:rsidR="004D107E" w:rsidRPr="00421D34" w:rsidRDefault="004D107E" w:rsidP="004D107E">
      <w:pPr>
        <w:spacing w:after="0" w:line="240" w:lineRule="auto"/>
        <w:contextualSpacing/>
        <w:jc w:val="center"/>
        <w:rPr>
          <w:rFonts w:eastAsia="Times New Roman"/>
          <w:bCs/>
          <w:kern w:val="0"/>
          <w:sz w:val="22"/>
          <w:szCs w:val="22"/>
          <w:lang w:eastAsia="en-AU"/>
          <w14:ligatures w14:val="none"/>
        </w:rPr>
      </w:pPr>
      <w:r w:rsidRPr="00421D34">
        <w:rPr>
          <w:rFonts w:eastAsia="Times New Roman"/>
          <w:bCs/>
          <w:i/>
          <w:iCs/>
          <w:kern w:val="0"/>
          <w:sz w:val="22"/>
          <w:szCs w:val="22"/>
          <w:lang w:eastAsia="en-AU"/>
          <w14:ligatures w14:val="none"/>
        </w:rPr>
        <w:t>Therapeutic Goods Act 1989</w:t>
      </w:r>
    </w:p>
    <w:p w14:paraId="3D7AC574" w14:textId="77777777" w:rsidR="004D107E" w:rsidRPr="00421D34" w:rsidRDefault="004D107E" w:rsidP="004D107E">
      <w:pPr>
        <w:spacing w:after="0" w:line="240" w:lineRule="auto"/>
        <w:contextualSpacing/>
        <w:jc w:val="center"/>
        <w:rPr>
          <w:rFonts w:eastAsia="Times New Roman"/>
          <w:bCs/>
          <w:kern w:val="0"/>
          <w:sz w:val="22"/>
          <w:szCs w:val="22"/>
          <w:lang w:eastAsia="en-AU"/>
          <w14:ligatures w14:val="none"/>
        </w:rPr>
      </w:pPr>
    </w:p>
    <w:p w14:paraId="5289B01A" w14:textId="327380D4" w:rsidR="004D107E" w:rsidRPr="00421D34" w:rsidRDefault="004D107E" w:rsidP="004D107E">
      <w:pPr>
        <w:spacing w:after="0" w:line="240" w:lineRule="auto"/>
        <w:contextualSpacing/>
        <w:jc w:val="center"/>
        <w:rPr>
          <w:rFonts w:eastAsia="Times New Roman"/>
          <w:bCs/>
          <w:kern w:val="0"/>
          <w:sz w:val="22"/>
          <w:szCs w:val="22"/>
          <w:lang w:eastAsia="en-AU"/>
          <w14:ligatures w14:val="none"/>
        </w:rPr>
      </w:pPr>
      <w:r w:rsidRPr="00421D34">
        <w:rPr>
          <w:rFonts w:eastAsia="Times New Roman"/>
          <w:bCs/>
          <w:i/>
          <w:iCs/>
          <w:kern w:val="0"/>
          <w:sz w:val="22"/>
          <w:szCs w:val="22"/>
          <w:lang w:eastAsia="en-AU"/>
          <w14:ligatures w14:val="none"/>
        </w:rPr>
        <w:t xml:space="preserve">Therapeutic Goods (Permissible Indications) Determination </w:t>
      </w:r>
      <w:r w:rsidR="00DB707A" w:rsidRPr="00421D34">
        <w:rPr>
          <w:rFonts w:eastAsia="Times New Roman"/>
          <w:bCs/>
          <w:i/>
          <w:iCs/>
          <w:kern w:val="0"/>
          <w:sz w:val="22"/>
          <w:szCs w:val="22"/>
          <w:lang w:eastAsia="en-AU"/>
          <w14:ligatures w14:val="none"/>
        </w:rPr>
        <w:t xml:space="preserve">(No. 1) </w:t>
      </w:r>
      <w:r w:rsidRPr="00421D34">
        <w:rPr>
          <w:rFonts w:eastAsia="Times New Roman"/>
          <w:bCs/>
          <w:i/>
          <w:iCs/>
          <w:kern w:val="0"/>
          <w:sz w:val="22"/>
          <w:szCs w:val="22"/>
          <w:lang w:eastAsia="en-AU"/>
          <w14:ligatures w14:val="none"/>
        </w:rPr>
        <w:t>202</w:t>
      </w:r>
      <w:r w:rsidR="00824AE9" w:rsidRPr="00421D34">
        <w:rPr>
          <w:rFonts w:eastAsia="Times New Roman"/>
          <w:bCs/>
          <w:i/>
          <w:iCs/>
          <w:kern w:val="0"/>
          <w:sz w:val="22"/>
          <w:szCs w:val="22"/>
          <w:lang w:eastAsia="en-AU"/>
          <w14:ligatures w14:val="none"/>
        </w:rPr>
        <w:t>5</w:t>
      </w:r>
    </w:p>
    <w:p w14:paraId="065CF716" w14:textId="77777777" w:rsidR="004D107E" w:rsidRPr="00421D34" w:rsidRDefault="004D107E" w:rsidP="004D107E">
      <w:pPr>
        <w:spacing w:after="0" w:line="240" w:lineRule="auto"/>
        <w:contextualSpacing/>
        <w:jc w:val="center"/>
        <w:rPr>
          <w:rFonts w:eastAsia="Times New Roman"/>
          <w:bCs/>
          <w:kern w:val="0"/>
          <w:sz w:val="22"/>
          <w:szCs w:val="22"/>
          <w:lang w:eastAsia="en-AU"/>
          <w14:ligatures w14:val="none"/>
        </w:rPr>
      </w:pPr>
    </w:p>
    <w:p w14:paraId="3C04498A" w14:textId="3BBDDCCF" w:rsidR="004D107E" w:rsidRPr="00421D34" w:rsidRDefault="009D05A1" w:rsidP="004D107E">
      <w:pPr>
        <w:spacing w:after="0" w:line="240" w:lineRule="auto"/>
        <w:contextualSpacing/>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 xml:space="preserve">The </w:t>
      </w:r>
      <w:r w:rsidRPr="00421D34">
        <w:rPr>
          <w:rFonts w:eastAsia="Times New Roman"/>
          <w:bCs/>
          <w:i/>
          <w:iCs/>
          <w:kern w:val="0"/>
          <w:sz w:val="22"/>
          <w:szCs w:val="22"/>
          <w:lang w:eastAsia="en-AU"/>
          <w14:ligatures w14:val="none"/>
        </w:rPr>
        <w:t>Therapeutic Goods Act 1989</w:t>
      </w:r>
      <w:r w:rsidRPr="00421D34">
        <w:rPr>
          <w:rFonts w:eastAsia="Times New Roman"/>
          <w:bCs/>
          <w:kern w:val="0"/>
          <w:sz w:val="22"/>
          <w:szCs w:val="22"/>
          <w:lang w:eastAsia="en-AU"/>
          <w14:ligatures w14:val="none"/>
        </w:rPr>
        <w:t xml:space="preserve"> (the Act) provides for the establishment and </w:t>
      </w:r>
      <w:r w:rsidR="00C72A50" w:rsidRPr="00421D34">
        <w:rPr>
          <w:rFonts w:eastAsia="Times New Roman"/>
          <w:bCs/>
          <w:kern w:val="0"/>
          <w:sz w:val="22"/>
          <w:szCs w:val="22"/>
          <w:lang w:eastAsia="en-AU"/>
          <w14:ligatures w14:val="none"/>
        </w:rPr>
        <w:t>maintenance of a national system of controls for the quality, safety, efficacy or performance</w:t>
      </w:r>
      <w:r w:rsidR="00954064" w:rsidRPr="00421D34">
        <w:rPr>
          <w:rFonts w:eastAsia="Times New Roman"/>
          <w:bCs/>
          <w:kern w:val="0"/>
          <w:sz w:val="22"/>
          <w:szCs w:val="22"/>
          <w:lang w:eastAsia="en-AU"/>
          <w14:ligatures w14:val="none"/>
        </w:rPr>
        <w:t>, and timely availability of</w:t>
      </w:r>
      <w:r w:rsidR="00230FBE" w:rsidRPr="00421D34">
        <w:rPr>
          <w:rFonts w:eastAsia="Times New Roman"/>
          <w:bCs/>
          <w:kern w:val="0"/>
          <w:sz w:val="22"/>
          <w:szCs w:val="22"/>
          <w:lang w:eastAsia="en-AU"/>
          <w14:ligatures w14:val="none"/>
        </w:rPr>
        <w:t xml:space="preserve"> therapeutic goods that are used in, or exported from, Australia. The Act is administered by the Therapeutic Goods Administration </w:t>
      </w:r>
      <w:r w:rsidR="00952491" w:rsidRPr="00421D34">
        <w:rPr>
          <w:rFonts w:eastAsia="Times New Roman"/>
          <w:bCs/>
          <w:kern w:val="0"/>
          <w:sz w:val="22"/>
          <w:szCs w:val="22"/>
          <w:lang w:eastAsia="en-AU"/>
          <w14:ligatures w14:val="none"/>
        </w:rPr>
        <w:t>(the TGA) within the Australia Government Department of Health and Aged Care (the Department).</w:t>
      </w:r>
    </w:p>
    <w:p w14:paraId="485127DD" w14:textId="77777777" w:rsidR="00952491" w:rsidRPr="00421D34" w:rsidRDefault="00952491" w:rsidP="004D107E">
      <w:pPr>
        <w:spacing w:after="0" w:line="240" w:lineRule="auto"/>
        <w:contextualSpacing/>
        <w:rPr>
          <w:rFonts w:eastAsia="Times New Roman"/>
          <w:bCs/>
          <w:kern w:val="0"/>
          <w:sz w:val="22"/>
          <w:szCs w:val="22"/>
          <w:lang w:eastAsia="en-AU"/>
          <w14:ligatures w14:val="none"/>
        </w:rPr>
      </w:pPr>
    </w:p>
    <w:p w14:paraId="17283314" w14:textId="79288241" w:rsidR="00163542" w:rsidRPr="00421D34" w:rsidRDefault="00163542" w:rsidP="004D107E">
      <w:pPr>
        <w:spacing w:after="0" w:line="240" w:lineRule="auto"/>
        <w:contextualSpacing/>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 xml:space="preserve">Subsection 26BF(1) of the Act relevantly provides that the Minister may, by legislative instrument, make a determination relating to indications and requirements relating to those indications. In making a determination under subsection 26BF(1) of the Act, the Minister may have regard to whether the indication is </w:t>
      </w:r>
      <w:r w:rsidR="00F46706" w:rsidRPr="00421D34">
        <w:rPr>
          <w:rFonts w:eastAsia="Times New Roman"/>
          <w:bCs/>
          <w:kern w:val="0"/>
          <w:sz w:val="22"/>
          <w:szCs w:val="22"/>
          <w:lang w:eastAsia="en-AU"/>
          <w14:ligatures w14:val="none"/>
        </w:rPr>
        <w:t xml:space="preserve">a </w:t>
      </w:r>
      <w:r w:rsidRPr="00421D34">
        <w:rPr>
          <w:rFonts w:eastAsia="Times New Roman"/>
          <w:bCs/>
          <w:kern w:val="0"/>
          <w:sz w:val="22"/>
          <w:szCs w:val="22"/>
          <w:lang w:eastAsia="en-AU"/>
          <w14:ligatures w14:val="none"/>
        </w:rPr>
        <w:t>therapeutic use that relates to one or more of the following matters listed in subsection 26BF(2) of the Act:</w:t>
      </w:r>
    </w:p>
    <w:p w14:paraId="65D92BBC" w14:textId="0A776AB8" w:rsidR="00163542" w:rsidRPr="00421D34" w:rsidRDefault="00163542" w:rsidP="00163542">
      <w:pPr>
        <w:pStyle w:val="ListParagraph"/>
        <w:numPr>
          <w:ilvl w:val="0"/>
          <w:numId w:val="1"/>
        </w:numPr>
        <w:spacing w:after="0" w:line="240" w:lineRule="auto"/>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maintaining health;</w:t>
      </w:r>
    </w:p>
    <w:p w14:paraId="68FAB0C7" w14:textId="5F3C691A" w:rsidR="00163542" w:rsidRPr="00421D34" w:rsidRDefault="00163542" w:rsidP="00163542">
      <w:pPr>
        <w:pStyle w:val="ListParagraph"/>
        <w:numPr>
          <w:ilvl w:val="0"/>
          <w:numId w:val="1"/>
        </w:numPr>
        <w:spacing w:after="0" w:line="240" w:lineRule="auto"/>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enhancing health;</w:t>
      </w:r>
    </w:p>
    <w:p w14:paraId="269112A1" w14:textId="5377FE27" w:rsidR="00163542" w:rsidRPr="00421D34" w:rsidRDefault="00163542" w:rsidP="00163542">
      <w:pPr>
        <w:pStyle w:val="ListParagraph"/>
        <w:numPr>
          <w:ilvl w:val="0"/>
          <w:numId w:val="1"/>
        </w:numPr>
        <w:spacing w:after="0" w:line="240" w:lineRule="auto"/>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preventing a dietary deficiency;</w:t>
      </w:r>
    </w:p>
    <w:p w14:paraId="5AFA1FA3" w14:textId="38AF3A0E" w:rsidR="00163542" w:rsidRPr="00421D34" w:rsidRDefault="00163542" w:rsidP="00163542">
      <w:pPr>
        <w:pStyle w:val="ListParagraph"/>
        <w:numPr>
          <w:ilvl w:val="0"/>
          <w:numId w:val="1"/>
        </w:numPr>
        <w:spacing w:after="0" w:line="240" w:lineRule="auto"/>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a disease, ailment, defect or injury, other than a serious fo</w:t>
      </w:r>
      <w:r w:rsidR="007720C7" w:rsidRPr="00421D34">
        <w:rPr>
          <w:rFonts w:eastAsia="Times New Roman"/>
          <w:bCs/>
          <w:kern w:val="0"/>
          <w:sz w:val="22"/>
          <w:szCs w:val="22"/>
          <w:lang w:eastAsia="en-AU"/>
          <w14:ligatures w14:val="none"/>
        </w:rPr>
        <w:t>r</w:t>
      </w:r>
      <w:r w:rsidRPr="00421D34">
        <w:rPr>
          <w:rFonts w:eastAsia="Times New Roman"/>
          <w:bCs/>
          <w:kern w:val="0"/>
          <w:sz w:val="22"/>
          <w:szCs w:val="22"/>
          <w:lang w:eastAsia="en-AU"/>
          <w14:ligatures w14:val="none"/>
        </w:rPr>
        <w:t>m of the disease, ailment defect of injury.</w:t>
      </w:r>
    </w:p>
    <w:p w14:paraId="5656A080" w14:textId="77777777" w:rsidR="00F46706" w:rsidRPr="00421D34" w:rsidRDefault="00F46706" w:rsidP="00F46706">
      <w:pPr>
        <w:pStyle w:val="ListParagraph"/>
        <w:spacing w:after="0" w:line="240" w:lineRule="auto"/>
        <w:rPr>
          <w:rFonts w:eastAsia="Times New Roman"/>
          <w:bCs/>
          <w:kern w:val="0"/>
          <w:sz w:val="22"/>
          <w:szCs w:val="22"/>
          <w:lang w:eastAsia="en-AU"/>
          <w14:ligatures w14:val="none"/>
        </w:rPr>
      </w:pPr>
    </w:p>
    <w:p w14:paraId="2E37F76B" w14:textId="1F100F11" w:rsidR="00163542" w:rsidRPr="00421D34" w:rsidRDefault="00F46706" w:rsidP="004D107E">
      <w:pPr>
        <w:spacing w:after="0" w:line="240" w:lineRule="auto"/>
        <w:contextualSpacing/>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S</w:t>
      </w:r>
      <w:r w:rsidR="00163542" w:rsidRPr="00421D34">
        <w:rPr>
          <w:rFonts w:eastAsia="Times New Roman"/>
          <w:bCs/>
          <w:kern w:val="0"/>
          <w:sz w:val="22"/>
          <w:szCs w:val="22"/>
          <w:lang w:eastAsia="en-AU"/>
          <w14:ligatures w14:val="none"/>
        </w:rPr>
        <w:t xml:space="preserve">ubsection 26BF(3) of the Act </w:t>
      </w:r>
      <w:r w:rsidR="00B546C8" w:rsidRPr="00421D34">
        <w:rPr>
          <w:rFonts w:eastAsia="Times New Roman"/>
          <w:bCs/>
          <w:kern w:val="0"/>
          <w:sz w:val="22"/>
          <w:szCs w:val="22"/>
          <w:lang w:eastAsia="en-AU"/>
          <w14:ligatures w14:val="none"/>
        </w:rPr>
        <w:t>provides</w:t>
      </w:r>
      <w:r w:rsidR="00163542" w:rsidRPr="00421D34">
        <w:rPr>
          <w:rFonts w:eastAsia="Times New Roman"/>
          <w:bCs/>
          <w:kern w:val="0"/>
          <w:sz w:val="22"/>
          <w:szCs w:val="22"/>
          <w:lang w:eastAsia="en-AU"/>
          <w14:ligatures w14:val="none"/>
        </w:rPr>
        <w:t xml:space="preserve"> that the matters set out in subsection 26BF(2)</w:t>
      </w:r>
      <w:r w:rsidRPr="00421D34">
        <w:rPr>
          <w:rFonts w:eastAsia="Times New Roman"/>
          <w:bCs/>
          <w:kern w:val="0"/>
          <w:sz w:val="22"/>
          <w:szCs w:val="22"/>
          <w:lang w:eastAsia="en-AU"/>
          <w14:ligatures w14:val="none"/>
        </w:rPr>
        <w:t>, listed above,</w:t>
      </w:r>
      <w:r w:rsidR="00163542" w:rsidRPr="00421D34">
        <w:rPr>
          <w:rFonts w:eastAsia="Times New Roman"/>
          <w:bCs/>
          <w:kern w:val="0"/>
          <w:sz w:val="22"/>
          <w:szCs w:val="22"/>
          <w:lang w:eastAsia="en-AU"/>
          <w14:ligatures w14:val="none"/>
        </w:rPr>
        <w:t xml:space="preserve"> do not limit the matters to which the Minister may have regard in deciding whether to make a determination under subsection 26BF(1) in relation to a particular indication.</w:t>
      </w:r>
    </w:p>
    <w:p w14:paraId="645BE0AD" w14:textId="77777777" w:rsidR="00163542" w:rsidRPr="00421D34" w:rsidRDefault="00163542" w:rsidP="004D107E">
      <w:pPr>
        <w:spacing w:after="0" w:line="240" w:lineRule="auto"/>
        <w:contextualSpacing/>
        <w:rPr>
          <w:rFonts w:eastAsia="Times New Roman"/>
          <w:bCs/>
          <w:kern w:val="0"/>
          <w:sz w:val="22"/>
          <w:szCs w:val="22"/>
          <w:lang w:eastAsia="en-AU"/>
          <w14:ligatures w14:val="none"/>
        </w:rPr>
      </w:pPr>
    </w:p>
    <w:p w14:paraId="7BB88DD0" w14:textId="7D1A7CD0" w:rsidR="00163542" w:rsidRPr="00421D34" w:rsidRDefault="00952491" w:rsidP="004D107E">
      <w:pPr>
        <w:spacing w:after="0" w:line="240" w:lineRule="auto"/>
        <w:contextualSpacing/>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 xml:space="preserve">The </w:t>
      </w:r>
      <w:r w:rsidR="00B55FF0" w:rsidRPr="00421D34">
        <w:rPr>
          <w:rFonts w:eastAsia="Times New Roman"/>
          <w:bCs/>
          <w:i/>
          <w:iCs/>
          <w:kern w:val="0"/>
          <w:sz w:val="22"/>
          <w:szCs w:val="22"/>
          <w:lang w:eastAsia="en-AU"/>
          <w14:ligatures w14:val="none"/>
        </w:rPr>
        <w:t>Therapeutic Goods (Permissible Indications) Determination (No. 1) 202</w:t>
      </w:r>
      <w:r w:rsidR="00824AE9" w:rsidRPr="00421D34">
        <w:rPr>
          <w:rFonts w:eastAsia="Times New Roman"/>
          <w:bCs/>
          <w:i/>
          <w:iCs/>
          <w:kern w:val="0"/>
          <w:sz w:val="22"/>
          <w:szCs w:val="22"/>
          <w:lang w:eastAsia="en-AU"/>
          <w14:ligatures w14:val="none"/>
        </w:rPr>
        <w:t>5</w:t>
      </w:r>
      <w:r w:rsidR="00B55FF0" w:rsidRPr="00421D34">
        <w:rPr>
          <w:rFonts w:eastAsia="Times New Roman"/>
          <w:bCs/>
          <w:kern w:val="0"/>
          <w:sz w:val="22"/>
          <w:szCs w:val="22"/>
          <w:lang w:eastAsia="en-AU"/>
          <w14:ligatures w14:val="none"/>
        </w:rPr>
        <w:t xml:space="preserve"> (the</w:t>
      </w:r>
      <w:r w:rsidR="00CC19A3" w:rsidRPr="00421D34">
        <w:rPr>
          <w:rFonts w:eastAsia="Times New Roman"/>
          <w:bCs/>
          <w:kern w:val="0"/>
          <w:sz w:val="22"/>
          <w:szCs w:val="22"/>
          <w:lang w:eastAsia="en-AU"/>
          <w14:ligatures w14:val="none"/>
        </w:rPr>
        <w:t xml:space="preserve"> </w:t>
      </w:r>
      <w:r w:rsidR="00B55FF0" w:rsidRPr="00421D34">
        <w:rPr>
          <w:rFonts w:eastAsia="Times New Roman"/>
          <w:bCs/>
          <w:kern w:val="0"/>
          <w:sz w:val="22"/>
          <w:szCs w:val="22"/>
          <w:lang w:eastAsia="en-AU"/>
          <w14:ligatures w14:val="none"/>
        </w:rPr>
        <w:t xml:space="preserve">Determination) </w:t>
      </w:r>
      <w:r w:rsidR="00163542" w:rsidRPr="00421D34">
        <w:rPr>
          <w:rFonts w:eastAsia="Times New Roman"/>
          <w:bCs/>
          <w:kern w:val="0"/>
          <w:sz w:val="22"/>
          <w:szCs w:val="22"/>
          <w:lang w:eastAsia="en-AU"/>
          <w14:ligatures w14:val="none"/>
        </w:rPr>
        <w:t xml:space="preserve">repeals and replaces the </w:t>
      </w:r>
      <w:r w:rsidR="00163542" w:rsidRPr="00421D34">
        <w:rPr>
          <w:rFonts w:eastAsia="Times New Roman"/>
          <w:bCs/>
          <w:i/>
          <w:iCs/>
          <w:kern w:val="0"/>
          <w:sz w:val="22"/>
          <w:szCs w:val="22"/>
          <w:lang w:eastAsia="en-AU"/>
          <w14:ligatures w14:val="none"/>
        </w:rPr>
        <w:t>Therapeutic Goods (Permissible Indications) Determination (No. 1) 2021</w:t>
      </w:r>
      <w:r w:rsidR="00163542" w:rsidRPr="00421D34">
        <w:rPr>
          <w:rFonts w:eastAsia="Times New Roman"/>
          <w:bCs/>
          <w:kern w:val="0"/>
          <w:sz w:val="22"/>
          <w:szCs w:val="22"/>
          <w:lang w:eastAsia="en-AU"/>
          <w14:ligatures w14:val="none"/>
        </w:rPr>
        <w:t xml:space="preserve"> (the </w:t>
      </w:r>
      <w:r w:rsidR="004F6F0C" w:rsidRPr="00421D34">
        <w:rPr>
          <w:rFonts w:eastAsia="Times New Roman"/>
          <w:bCs/>
          <w:kern w:val="0"/>
          <w:sz w:val="22"/>
          <w:szCs w:val="22"/>
          <w:lang w:eastAsia="en-AU"/>
          <w14:ligatures w14:val="none"/>
        </w:rPr>
        <w:t>f</w:t>
      </w:r>
      <w:r w:rsidR="00163542" w:rsidRPr="00421D34">
        <w:rPr>
          <w:rFonts w:eastAsia="Times New Roman"/>
          <w:bCs/>
          <w:kern w:val="0"/>
          <w:sz w:val="22"/>
          <w:szCs w:val="22"/>
          <w:lang w:eastAsia="en-AU"/>
          <w14:ligatures w14:val="none"/>
        </w:rPr>
        <w:t>ormer Determination)</w:t>
      </w:r>
      <w:r w:rsidR="00C35C33" w:rsidRPr="00421D34">
        <w:rPr>
          <w:rFonts w:eastAsia="Times New Roman"/>
          <w:bCs/>
          <w:kern w:val="0"/>
          <w:sz w:val="22"/>
          <w:szCs w:val="22"/>
          <w:lang w:eastAsia="en-AU"/>
          <w14:ligatures w14:val="none"/>
        </w:rPr>
        <w:t xml:space="preserve"> </w:t>
      </w:r>
      <w:r w:rsidR="00163542" w:rsidRPr="00421D34">
        <w:rPr>
          <w:rFonts w:eastAsia="Times New Roman"/>
          <w:bCs/>
          <w:kern w:val="0"/>
          <w:sz w:val="22"/>
          <w:szCs w:val="22"/>
          <w:lang w:eastAsia="en-AU"/>
          <w14:ligatures w14:val="none"/>
        </w:rPr>
        <w:t xml:space="preserve">and specifies </w:t>
      </w:r>
      <w:r w:rsidR="00402353" w:rsidRPr="00421D34">
        <w:rPr>
          <w:rFonts w:eastAsia="Times New Roman"/>
          <w:bCs/>
          <w:kern w:val="0"/>
          <w:sz w:val="22"/>
          <w:szCs w:val="22"/>
          <w:lang w:eastAsia="en-AU"/>
          <w14:ligatures w14:val="none"/>
        </w:rPr>
        <w:t>indications (statements of therapeutic use) that are permitted to be made in relation to medicines listed in the Australian Register of Therapeutic Goods (the</w:t>
      </w:r>
      <w:r w:rsidR="00F46706" w:rsidRPr="00421D34">
        <w:rPr>
          <w:rFonts w:eastAsia="Times New Roman"/>
          <w:bCs/>
          <w:kern w:val="0"/>
          <w:sz w:val="22"/>
          <w:szCs w:val="22"/>
          <w:lang w:eastAsia="en-AU"/>
          <w14:ligatures w14:val="none"/>
        </w:rPr>
        <w:t> </w:t>
      </w:r>
      <w:r w:rsidR="00402353" w:rsidRPr="00421D34">
        <w:rPr>
          <w:rFonts w:eastAsia="Times New Roman"/>
          <w:bCs/>
          <w:kern w:val="0"/>
          <w:sz w:val="22"/>
          <w:szCs w:val="22"/>
          <w:lang w:eastAsia="en-AU"/>
          <w14:ligatures w14:val="none"/>
        </w:rPr>
        <w:t>Register) under section 26A of the Act. These medicines are, principally, listed complementary medicines and a small number of listed over the counter medicines, such as sunscreens. The Determination also specifies requirements regard</w:t>
      </w:r>
      <w:r w:rsidR="00B546C8" w:rsidRPr="00421D34">
        <w:rPr>
          <w:rFonts w:eastAsia="Times New Roman"/>
          <w:bCs/>
          <w:kern w:val="0"/>
          <w:sz w:val="22"/>
          <w:szCs w:val="22"/>
          <w:lang w:eastAsia="en-AU"/>
          <w14:ligatures w14:val="none"/>
        </w:rPr>
        <w:t>ing</w:t>
      </w:r>
      <w:r w:rsidR="00402353" w:rsidRPr="00421D34">
        <w:rPr>
          <w:rFonts w:eastAsia="Times New Roman"/>
          <w:bCs/>
          <w:kern w:val="0"/>
          <w:sz w:val="22"/>
          <w:szCs w:val="22"/>
          <w:lang w:eastAsia="en-AU"/>
          <w14:ligatures w14:val="none"/>
        </w:rPr>
        <w:t xml:space="preserve"> the use of such indications in relation to these medicines.</w:t>
      </w:r>
    </w:p>
    <w:p w14:paraId="32DC0D8A" w14:textId="77777777" w:rsidR="00744BDE" w:rsidRPr="00421D34" w:rsidRDefault="00744BDE" w:rsidP="004D107E">
      <w:pPr>
        <w:spacing w:after="0" w:line="240" w:lineRule="auto"/>
        <w:contextualSpacing/>
        <w:rPr>
          <w:rFonts w:eastAsia="Times New Roman"/>
          <w:bCs/>
          <w:kern w:val="0"/>
          <w:sz w:val="22"/>
          <w:szCs w:val="22"/>
          <w:lang w:eastAsia="en-AU"/>
          <w14:ligatures w14:val="none"/>
        </w:rPr>
      </w:pPr>
    </w:p>
    <w:p w14:paraId="44379E61" w14:textId="026FCE2D" w:rsidR="004D107E" w:rsidRPr="00421D34" w:rsidRDefault="004D107E" w:rsidP="004D107E">
      <w:pPr>
        <w:spacing w:after="0" w:line="240" w:lineRule="auto"/>
        <w:contextualSpacing/>
        <w:rPr>
          <w:rFonts w:eastAsia="Times New Roman"/>
          <w:bCs/>
          <w:kern w:val="0"/>
          <w:sz w:val="22"/>
          <w:szCs w:val="22"/>
          <w:lang w:eastAsia="en-AU"/>
          <w14:ligatures w14:val="none"/>
        </w:rPr>
      </w:pPr>
      <w:r w:rsidRPr="00421D34">
        <w:rPr>
          <w:rFonts w:eastAsia="Times New Roman"/>
          <w:b/>
          <w:kern w:val="0"/>
          <w:sz w:val="22"/>
          <w:szCs w:val="22"/>
          <w:lang w:eastAsia="en-AU"/>
          <w14:ligatures w14:val="none"/>
        </w:rPr>
        <w:t>Background</w:t>
      </w:r>
    </w:p>
    <w:p w14:paraId="78BF13E5" w14:textId="77777777" w:rsidR="004D107E" w:rsidRPr="00421D34" w:rsidRDefault="004D107E" w:rsidP="004D107E">
      <w:pPr>
        <w:spacing w:after="0" w:line="240" w:lineRule="auto"/>
        <w:contextualSpacing/>
        <w:rPr>
          <w:rFonts w:eastAsia="Times New Roman"/>
          <w:bCs/>
          <w:kern w:val="0"/>
          <w:sz w:val="22"/>
          <w:szCs w:val="22"/>
          <w:lang w:eastAsia="en-AU"/>
          <w14:ligatures w14:val="none"/>
        </w:rPr>
      </w:pPr>
    </w:p>
    <w:p w14:paraId="2E9FDB01" w14:textId="7C332B53" w:rsidR="001A70A8" w:rsidRPr="00421D34" w:rsidRDefault="001A70A8" w:rsidP="004D107E">
      <w:pPr>
        <w:spacing w:after="0" w:line="240" w:lineRule="auto"/>
        <w:contextualSpacing/>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 xml:space="preserve">Medicines that are listed in the Register under section 26A of the Act (listed medicines) are considered to be ‘low risk’ and are not individually evaluated before those medicines are entered in the Register. </w:t>
      </w:r>
      <w:r w:rsidR="00295D99" w:rsidRPr="00421D34">
        <w:rPr>
          <w:rFonts w:eastAsia="Times New Roman"/>
          <w:bCs/>
          <w:kern w:val="0"/>
          <w:sz w:val="22"/>
          <w:szCs w:val="22"/>
          <w:lang w:eastAsia="en-AU"/>
          <w14:ligatures w14:val="none"/>
        </w:rPr>
        <w:t xml:space="preserve">The application process requires applicants to certify, under subsection 26A(2) of the Act, that the </w:t>
      </w:r>
      <w:r w:rsidR="009A0952" w:rsidRPr="00421D34">
        <w:rPr>
          <w:rFonts w:eastAsia="Times New Roman"/>
          <w:bCs/>
          <w:kern w:val="0"/>
          <w:sz w:val="22"/>
          <w:szCs w:val="22"/>
          <w:lang w:eastAsia="en-AU"/>
          <w14:ligatures w14:val="none"/>
        </w:rPr>
        <w:t xml:space="preserve">medicine to which the application relates is eligible for listing and compliant with a number </w:t>
      </w:r>
      <w:r w:rsidR="003F5D3F" w:rsidRPr="00421D34">
        <w:rPr>
          <w:rFonts w:eastAsia="Times New Roman"/>
          <w:bCs/>
          <w:kern w:val="0"/>
          <w:sz w:val="22"/>
          <w:szCs w:val="22"/>
          <w:lang w:eastAsia="en-AU"/>
          <w14:ligatures w14:val="none"/>
        </w:rPr>
        <w:t>of important regulatory requirements</w:t>
      </w:r>
      <w:r w:rsidR="00BF6DA6" w:rsidRPr="00421D34">
        <w:rPr>
          <w:rFonts w:eastAsia="Times New Roman"/>
          <w:bCs/>
          <w:kern w:val="0"/>
          <w:sz w:val="22"/>
          <w:szCs w:val="22"/>
          <w:lang w:eastAsia="en-AU"/>
          <w14:ligatures w14:val="none"/>
        </w:rPr>
        <w:t>. F</w:t>
      </w:r>
      <w:r w:rsidR="003F5D3F" w:rsidRPr="00421D34">
        <w:rPr>
          <w:rFonts w:eastAsia="Times New Roman"/>
          <w:bCs/>
          <w:kern w:val="0"/>
          <w:sz w:val="22"/>
          <w:szCs w:val="22"/>
          <w:lang w:eastAsia="en-AU"/>
          <w14:ligatures w14:val="none"/>
        </w:rPr>
        <w:t>or example, that the medicine is safe for the purpose for which it is to be used</w:t>
      </w:r>
      <w:r w:rsidR="00C35C33" w:rsidRPr="00421D34">
        <w:rPr>
          <w:rFonts w:eastAsia="Times New Roman"/>
          <w:bCs/>
          <w:kern w:val="0"/>
          <w:sz w:val="22"/>
          <w:szCs w:val="22"/>
          <w:lang w:eastAsia="en-AU"/>
          <w14:ligatures w14:val="none"/>
        </w:rPr>
        <w:t xml:space="preserve"> </w:t>
      </w:r>
      <w:r w:rsidR="003F5D3F" w:rsidRPr="00421D34">
        <w:rPr>
          <w:rFonts w:eastAsia="Times New Roman"/>
          <w:bCs/>
          <w:kern w:val="0"/>
          <w:sz w:val="22"/>
          <w:szCs w:val="22"/>
          <w:lang w:eastAsia="en-AU"/>
          <w14:ligatures w14:val="none"/>
        </w:rPr>
        <w:t>and complies with all applicable standards.</w:t>
      </w:r>
    </w:p>
    <w:p w14:paraId="5014DBE6" w14:textId="77777777" w:rsidR="00BF6DA6" w:rsidRPr="00421D34" w:rsidRDefault="00BF6DA6" w:rsidP="004D107E">
      <w:pPr>
        <w:spacing w:after="0" w:line="240" w:lineRule="auto"/>
        <w:contextualSpacing/>
        <w:rPr>
          <w:rFonts w:eastAsia="Times New Roman"/>
          <w:bCs/>
          <w:kern w:val="0"/>
          <w:sz w:val="22"/>
          <w:szCs w:val="22"/>
          <w:lang w:eastAsia="en-AU"/>
          <w14:ligatures w14:val="none"/>
        </w:rPr>
      </w:pPr>
    </w:p>
    <w:p w14:paraId="2BF9D905" w14:textId="1891B6AA" w:rsidR="00BF6DA6" w:rsidRPr="00421D34" w:rsidRDefault="00BF6DA6" w:rsidP="004D107E">
      <w:pPr>
        <w:spacing w:after="0" w:line="240" w:lineRule="auto"/>
        <w:contextualSpacing/>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As these listed medicines are not evaluated by the TGA prior to obtaining market approval to the general public, the Act contains certain regulatory mechanisms to help ensure that those medicines are manufactured to appropriate quality standards</w:t>
      </w:r>
      <w:r w:rsidR="005A2B8B" w:rsidRPr="00421D34">
        <w:rPr>
          <w:rFonts w:eastAsia="Times New Roman"/>
          <w:bCs/>
          <w:kern w:val="0"/>
          <w:sz w:val="22"/>
          <w:szCs w:val="22"/>
          <w:lang w:eastAsia="en-AU"/>
          <w14:ligatures w14:val="none"/>
        </w:rPr>
        <w:t xml:space="preserve"> and able to be used by consumers safely. In particular, the medicines may only contain ingredients </w:t>
      </w:r>
      <w:r w:rsidR="003B2407" w:rsidRPr="00421D34">
        <w:rPr>
          <w:rFonts w:eastAsia="Times New Roman"/>
          <w:bCs/>
          <w:kern w:val="0"/>
          <w:sz w:val="22"/>
          <w:szCs w:val="22"/>
          <w:lang w:eastAsia="en-AU"/>
          <w14:ligatures w14:val="none"/>
        </w:rPr>
        <w:t>from a specified list of ingredients</w:t>
      </w:r>
      <w:r w:rsidR="00C643E6" w:rsidRPr="00421D34">
        <w:rPr>
          <w:rFonts w:eastAsia="Times New Roman"/>
          <w:bCs/>
          <w:kern w:val="0"/>
          <w:sz w:val="22"/>
          <w:szCs w:val="22"/>
          <w:lang w:eastAsia="en-AU"/>
          <w14:ligatures w14:val="none"/>
        </w:rPr>
        <w:t xml:space="preserve"> ma</w:t>
      </w:r>
      <w:r w:rsidR="00B546C8" w:rsidRPr="00421D34">
        <w:rPr>
          <w:rFonts w:eastAsia="Times New Roman"/>
          <w:bCs/>
          <w:kern w:val="0"/>
          <w:sz w:val="22"/>
          <w:szCs w:val="22"/>
          <w:lang w:eastAsia="en-AU"/>
          <w14:ligatures w14:val="none"/>
        </w:rPr>
        <w:t>d</w:t>
      </w:r>
      <w:r w:rsidR="00C643E6" w:rsidRPr="00421D34">
        <w:rPr>
          <w:rFonts w:eastAsia="Times New Roman"/>
          <w:bCs/>
          <w:kern w:val="0"/>
          <w:sz w:val="22"/>
          <w:szCs w:val="22"/>
          <w:lang w:eastAsia="en-AU"/>
          <w14:ligatures w14:val="none"/>
        </w:rPr>
        <w:t>e by the Minster under section 26BB of the Act</w:t>
      </w:r>
      <w:r w:rsidR="003B2407" w:rsidRPr="00421D34">
        <w:rPr>
          <w:rFonts w:eastAsia="Times New Roman"/>
          <w:bCs/>
          <w:kern w:val="0"/>
          <w:sz w:val="22"/>
          <w:szCs w:val="22"/>
          <w:lang w:eastAsia="en-AU"/>
          <w14:ligatures w14:val="none"/>
        </w:rPr>
        <w:t xml:space="preserve"> (set out in the</w:t>
      </w:r>
      <w:r w:rsidR="001B7A59" w:rsidRPr="00421D34">
        <w:rPr>
          <w:rFonts w:eastAsia="Times New Roman"/>
          <w:bCs/>
          <w:kern w:val="0"/>
          <w:sz w:val="22"/>
          <w:szCs w:val="22"/>
          <w:lang w:eastAsia="en-AU"/>
          <w14:ligatures w14:val="none"/>
        </w:rPr>
        <w:t xml:space="preserve"> </w:t>
      </w:r>
      <w:r w:rsidR="003B2407" w:rsidRPr="00421D34">
        <w:rPr>
          <w:rFonts w:eastAsia="Times New Roman"/>
          <w:bCs/>
          <w:i/>
          <w:iCs/>
          <w:kern w:val="0"/>
          <w:sz w:val="22"/>
          <w:szCs w:val="22"/>
          <w:lang w:eastAsia="en-AU"/>
          <w14:ligatures w14:val="none"/>
        </w:rPr>
        <w:t>Therapeutic Goods (Permissible Ingredients) Determination</w:t>
      </w:r>
      <w:r w:rsidR="00DB40DC" w:rsidRPr="00421D34">
        <w:rPr>
          <w:rFonts w:eastAsia="Times New Roman"/>
          <w:bCs/>
          <w:i/>
          <w:iCs/>
          <w:kern w:val="0"/>
          <w:sz w:val="22"/>
          <w:szCs w:val="22"/>
          <w:lang w:eastAsia="en-AU"/>
          <w14:ligatures w14:val="none"/>
        </w:rPr>
        <w:t xml:space="preserve"> (No. </w:t>
      </w:r>
      <w:r w:rsidR="00204DF4" w:rsidRPr="00421D34">
        <w:rPr>
          <w:rFonts w:eastAsia="Times New Roman"/>
          <w:bCs/>
          <w:i/>
          <w:iCs/>
          <w:kern w:val="0"/>
          <w:sz w:val="22"/>
          <w:szCs w:val="22"/>
          <w:lang w:eastAsia="en-AU"/>
          <w14:ligatures w14:val="none"/>
        </w:rPr>
        <w:t>1</w:t>
      </w:r>
      <w:r w:rsidR="00DB40DC" w:rsidRPr="00421D34">
        <w:rPr>
          <w:rFonts w:eastAsia="Times New Roman"/>
          <w:bCs/>
          <w:i/>
          <w:iCs/>
          <w:kern w:val="0"/>
          <w:sz w:val="22"/>
          <w:szCs w:val="22"/>
          <w:lang w:eastAsia="en-AU"/>
          <w14:ligatures w14:val="none"/>
        </w:rPr>
        <w:t>) 202</w:t>
      </w:r>
      <w:r w:rsidR="00204DF4" w:rsidRPr="00421D34">
        <w:rPr>
          <w:rFonts w:eastAsia="Times New Roman"/>
          <w:bCs/>
          <w:i/>
          <w:iCs/>
          <w:kern w:val="0"/>
          <w:sz w:val="22"/>
          <w:szCs w:val="22"/>
          <w:lang w:eastAsia="en-AU"/>
          <w14:ligatures w14:val="none"/>
        </w:rPr>
        <w:t>5</w:t>
      </w:r>
      <w:r w:rsidR="00DB40DC" w:rsidRPr="00421D34">
        <w:rPr>
          <w:rFonts w:eastAsia="Times New Roman"/>
          <w:bCs/>
          <w:kern w:val="0"/>
          <w:sz w:val="22"/>
          <w:szCs w:val="22"/>
          <w:lang w:eastAsia="en-AU"/>
          <w14:ligatures w14:val="none"/>
        </w:rPr>
        <w:t>)</w:t>
      </w:r>
      <w:r w:rsidR="005101F0" w:rsidRPr="00421D34">
        <w:rPr>
          <w:rFonts w:eastAsia="Times New Roman"/>
          <w:bCs/>
          <w:kern w:val="0"/>
          <w:sz w:val="22"/>
          <w:szCs w:val="22"/>
          <w:lang w:eastAsia="en-AU"/>
          <w14:ligatures w14:val="none"/>
        </w:rPr>
        <w:t xml:space="preserve">, and any indications, or therapeutic claims, for those medicines must be covered by a </w:t>
      </w:r>
      <w:r w:rsidR="00D977B4" w:rsidRPr="00421D34">
        <w:rPr>
          <w:rFonts w:eastAsia="Times New Roman"/>
          <w:bCs/>
          <w:kern w:val="0"/>
          <w:sz w:val="22"/>
          <w:szCs w:val="22"/>
          <w:lang w:eastAsia="en-AU"/>
          <w14:ligatures w14:val="none"/>
        </w:rPr>
        <w:t>list of permissible indications ma</w:t>
      </w:r>
      <w:r w:rsidR="00927C6F" w:rsidRPr="00421D34">
        <w:rPr>
          <w:rFonts w:eastAsia="Times New Roman"/>
          <w:bCs/>
          <w:kern w:val="0"/>
          <w:sz w:val="22"/>
          <w:szCs w:val="22"/>
          <w:lang w:eastAsia="en-AU"/>
          <w14:ligatures w14:val="none"/>
        </w:rPr>
        <w:t>d</w:t>
      </w:r>
      <w:r w:rsidR="00D977B4" w:rsidRPr="00421D34">
        <w:rPr>
          <w:rFonts w:eastAsia="Times New Roman"/>
          <w:bCs/>
          <w:kern w:val="0"/>
          <w:sz w:val="22"/>
          <w:szCs w:val="22"/>
          <w:lang w:eastAsia="en-AU"/>
          <w14:ligatures w14:val="none"/>
        </w:rPr>
        <w:t>e</w:t>
      </w:r>
      <w:r w:rsidR="00C643E6" w:rsidRPr="00421D34">
        <w:rPr>
          <w:rFonts w:eastAsia="Times New Roman"/>
          <w:bCs/>
          <w:kern w:val="0"/>
          <w:sz w:val="22"/>
          <w:szCs w:val="22"/>
          <w:lang w:eastAsia="en-AU"/>
          <w14:ligatures w14:val="none"/>
        </w:rPr>
        <w:t xml:space="preserve"> by</w:t>
      </w:r>
      <w:r w:rsidR="00D977B4" w:rsidRPr="00421D34">
        <w:rPr>
          <w:rFonts w:eastAsia="Times New Roman"/>
          <w:bCs/>
          <w:kern w:val="0"/>
          <w:sz w:val="22"/>
          <w:szCs w:val="22"/>
          <w:lang w:eastAsia="en-AU"/>
          <w14:ligatures w14:val="none"/>
        </w:rPr>
        <w:t xml:space="preserve"> the Minister under </w:t>
      </w:r>
      <w:r w:rsidR="00927C6F" w:rsidRPr="00421D34">
        <w:rPr>
          <w:rFonts w:eastAsia="Times New Roman"/>
          <w:bCs/>
          <w:kern w:val="0"/>
          <w:sz w:val="22"/>
          <w:szCs w:val="22"/>
          <w:lang w:eastAsia="en-AU"/>
          <w14:ligatures w14:val="none"/>
        </w:rPr>
        <w:t xml:space="preserve">section 26BF of the Act. These </w:t>
      </w:r>
      <w:r w:rsidR="00EC4598" w:rsidRPr="00421D34">
        <w:rPr>
          <w:rFonts w:eastAsia="Times New Roman"/>
          <w:bCs/>
          <w:kern w:val="0"/>
          <w:sz w:val="22"/>
          <w:szCs w:val="22"/>
          <w:lang w:eastAsia="en-AU"/>
          <w14:ligatures w14:val="none"/>
        </w:rPr>
        <w:t xml:space="preserve">‘pre-approved’ low-level indications are set out in the Determination for this </w:t>
      </w:r>
      <w:r w:rsidR="003656FC" w:rsidRPr="00421D34">
        <w:rPr>
          <w:rFonts w:eastAsia="Times New Roman"/>
          <w:bCs/>
          <w:kern w:val="0"/>
          <w:sz w:val="22"/>
          <w:szCs w:val="22"/>
          <w:lang w:eastAsia="en-AU"/>
          <w14:ligatures w14:val="none"/>
        </w:rPr>
        <w:t>purpose and</w:t>
      </w:r>
      <w:r w:rsidR="00EC4598" w:rsidRPr="00421D34">
        <w:rPr>
          <w:rFonts w:eastAsia="Times New Roman"/>
          <w:bCs/>
          <w:kern w:val="0"/>
          <w:sz w:val="22"/>
          <w:szCs w:val="22"/>
          <w:lang w:eastAsia="en-AU"/>
          <w14:ligatures w14:val="none"/>
        </w:rPr>
        <w:t xml:space="preserve"> are </w:t>
      </w:r>
      <w:r w:rsidR="00EC4598" w:rsidRPr="00421D34">
        <w:rPr>
          <w:rFonts w:eastAsia="Times New Roman"/>
          <w:bCs/>
          <w:kern w:val="0"/>
          <w:sz w:val="22"/>
          <w:szCs w:val="22"/>
          <w:lang w:eastAsia="en-AU"/>
          <w14:ligatures w14:val="none"/>
        </w:rPr>
        <w:lastRenderedPageBreak/>
        <w:t xml:space="preserve">designed to ensure that claims of therapeutic use for medicines listed under section 26A </w:t>
      </w:r>
      <w:r w:rsidR="00370EB4" w:rsidRPr="00421D34">
        <w:rPr>
          <w:rFonts w:eastAsia="Times New Roman"/>
          <w:bCs/>
          <w:kern w:val="0"/>
          <w:sz w:val="22"/>
          <w:szCs w:val="22"/>
          <w:lang w:eastAsia="en-AU"/>
          <w14:ligatures w14:val="none"/>
        </w:rPr>
        <w:t>do not overstate their respective therapeutic benefits.</w:t>
      </w:r>
    </w:p>
    <w:p w14:paraId="4FD62EBD" w14:textId="77777777" w:rsidR="00AD178F" w:rsidRPr="00421D34" w:rsidRDefault="00AD178F" w:rsidP="004D107E">
      <w:pPr>
        <w:spacing w:after="0" w:line="240" w:lineRule="auto"/>
        <w:contextualSpacing/>
        <w:rPr>
          <w:rFonts w:eastAsia="Times New Roman"/>
          <w:bCs/>
          <w:kern w:val="0"/>
          <w:sz w:val="22"/>
          <w:szCs w:val="22"/>
          <w:lang w:eastAsia="en-AU"/>
          <w14:ligatures w14:val="none"/>
        </w:rPr>
      </w:pPr>
    </w:p>
    <w:p w14:paraId="30F90D6A" w14:textId="6ACB2E55" w:rsidR="00AD178F" w:rsidRPr="00421D34" w:rsidRDefault="00AD178F" w:rsidP="004D107E">
      <w:pPr>
        <w:spacing w:after="0" w:line="240" w:lineRule="auto"/>
        <w:contextualSpacing/>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The requirement of listed medicines to use indications covered by the Determination is designed to ensure transparency, to provide greater protection for consumers from misleading or inappropriate claims in relation to such goods, and to otherwise assist industry to use appropriate low-level indications for listed medicines.</w:t>
      </w:r>
    </w:p>
    <w:p w14:paraId="17FAE3C7" w14:textId="77777777" w:rsidR="00402353" w:rsidRPr="00421D34" w:rsidRDefault="00402353" w:rsidP="00402353">
      <w:pPr>
        <w:spacing w:after="0" w:line="240" w:lineRule="auto"/>
        <w:contextualSpacing/>
        <w:rPr>
          <w:rFonts w:eastAsia="Times New Roman"/>
          <w:bCs/>
          <w:kern w:val="0"/>
          <w:sz w:val="22"/>
          <w:szCs w:val="22"/>
          <w:lang w:eastAsia="en-AU"/>
          <w14:ligatures w14:val="none"/>
        </w:rPr>
      </w:pPr>
    </w:p>
    <w:p w14:paraId="5A4E2A80" w14:textId="2D0AF237" w:rsidR="00402353" w:rsidRPr="00421D34" w:rsidRDefault="00402353" w:rsidP="00402353">
      <w:pPr>
        <w:spacing w:after="0" w:line="240" w:lineRule="auto"/>
        <w:contextualSpacing/>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An applicant for the listing of a medicine must certify a range of matters specified in section 26A of the Act. In particular, paragraphs 26A(2)(fba), (fd) and (fe) require an applicant to certify that the indications included in the medicine’s entry in the Register, and on the label, are covered by a determination made under subsection 26BF(1), and that any relevant requirements specified in the determination have not been contravened.</w:t>
      </w:r>
    </w:p>
    <w:p w14:paraId="73016164" w14:textId="77777777" w:rsidR="006D7F6C" w:rsidRPr="00421D34" w:rsidRDefault="006D7F6C" w:rsidP="004D107E">
      <w:pPr>
        <w:spacing w:after="0" w:line="240" w:lineRule="auto"/>
        <w:contextualSpacing/>
        <w:rPr>
          <w:rFonts w:eastAsia="Times New Roman"/>
          <w:bCs/>
          <w:kern w:val="0"/>
          <w:sz w:val="22"/>
          <w:szCs w:val="22"/>
          <w:lang w:eastAsia="en-AU"/>
          <w14:ligatures w14:val="none"/>
        </w:rPr>
      </w:pPr>
    </w:p>
    <w:p w14:paraId="64E5CCCF" w14:textId="01388C35" w:rsidR="00C54631" w:rsidRPr="00421D34" w:rsidRDefault="00DB707A" w:rsidP="004D107E">
      <w:pPr>
        <w:spacing w:after="0" w:line="240" w:lineRule="auto"/>
        <w:contextualSpacing/>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If a person making an application for the listing of a medicine incorrectly certifies the matters required under subsection 26A(2) in relation to indications, the Secretary may cancel or suspend the medicine from the Register (paragraphs 30(1)(e) and 29D(1)(b) of the Act refer). Criminal and civil penalty provisions may apply if a person makes a false or misleading statement in, or in connection with, a certification of a matter under subsection 26A(2) of the Act, including in relation to permissible indications and related requirements (sections 21A and 21B of the Act refer).</w:t>
      </w:r>
    </w:p>
    <w:p w14:paraId="3A95CA13" w14:textId="77777777" w:rsidR="00DB707A" w:rsidRPr="00421D34" w:rsidRDefault="00DB707A" w:rsidP="004D107E">
      <w:pPr>
        <w:spacing w:after="0" w:line="240" w:lineRule="auto"/>
        <w:contextualSpacing/>
        <w:rPr>
          <w:rFonts w:eastAsia="Times New Roman"/>
          <w:bCs/>
          <w:kern w:val="0"/>
          <w:sz w:val="22"/>
          <w:szCs w:val="22"/>
          <w:lang w:eastAsia="en-AU"/>
          <w14:ligatures w14:val="none"/>
        </w:rPr>
      </w:pPr>
    </w:p>
    <w:p w14:paraId="0D5C6CA5" w14:textId="71F3A7CE" w:rsidR="004D107E" w:rsidRPr="00421D34" w:rsidRDefault="004D107E" w:rsidP="004D107E">
      <w:pPr>
        <w:spacing w:after="0" w:line="240" w:lineRule="auto"/>
        <w:contextualSpacing/>
        <w:rPr>
          <w:rFonts w:eastAsia="Times New Roman"/>
          <w:bCs/>
          <w:kern w:val="0"/>
          <w:sz w:val="22"/>
          <w:szCs w:val="22"/>
          <w:lang w:eastAsia="en-AU"/>
          <w14:ligatures w14:val="none"/>
        </w:rPr>
      </w:pPr>
      <w:r w:rsidRPr="00421D34">
        <w:rPr>
          <w:rFonts w:eastAsia="Times New Roman"/>
          <w:b/>
          <w:kern w:val="0"/>
          <w:sz w:val="22"/>
          <w:szCs w:val="22"/>
          <w:lang w:eastAsia="en-AU"/>
          <w14:ligatures w14:val="none"/>
        </w:rPr>
        <w:t>Purpose</w:t>
      </w:r>
    </w:p>
    <w:p w14:paraId="70837572" w14:textId="77777777" w:rsidR="004D107E" w:rsidRPr="00421D34" w:rsidRDefault="004D107E" w:rsidP="004D107E">
      <w:pPr>
        <w:spacing w:after="0" w:line="240" w:lineRule="auto"/>
        <w:contextualSpacing/>
        <w:rPr>
          <w:rFonts w:eastAsia="Times New Roman"/>
          <w:bCs/>
          <w:kern w:val="0"/>
          <w:sz w:val="22"/>
          <w:szCs w:val="22"/>
          <w:lang w:eastAsia="en-AU"/>
          <w14:ligatures w14:val="none"/>
        </w:rPr>
      </w:pPr>
    </w:p>
    <w:p w14:paraId="60584049" w14:textId="01703732" w:rsidR="00760AD0" w:rsidRPr="00421D34" w:rsidRDefault="00760AD0" w:rsidP="004D107E">
      <w:pPr>
        <w:spacing w:after="0" w:line="240" w:lineRule="auto"/>
        <w:contextualSpacing/>
        <w:rPr>
          <w:rFonts w:eastAsia="Times New Roman"/>
          <w:bCs/>
          <w:i/>
          <w:iCs/>
          <w:kern w:val="0"/>
          <w:sz w:val="22"/>
          <w:szCs w:val="22"/>
          <w:lang w:eastAsia="en-AU"/>
          <w14:ligatures w14:val="none"/>
        </w:rPr>
      </w:pPr>
      <w:r w:rsidRPr="00421D34">
        <w:rPr>
          <w:rFonts w:eastAsia="Times New Roman"/>
          <w:bCs/>
          <w:i/>
          <w:iCs/>
          <w:kern w:val="0"/>
          <w:sz w:val="22"/>
          <w:szCs w:val="22"/>
          <w:lang w:eastAsia="en-AU"/>
          <w14:ligatures w14:val="none"/>
        </w:rPr>
        <w:t>Permissible indications</w:t>
      </w:r>
    </w:p>
    <w:p w14:paraId="03CE3167" w14:textId="77777777" w:rsidR="00760AD0" w:rsidRPr="00421D34" w:rsidRDefault="00760AD0" w:rsidP="004D107E">
      <w:pPr>
        <w:spacing w:after="0" w:line="240" w:lineRule="auto"/>
        <w:contextualSpacing/>
        <w:rPr>
          <w:rFonts w:eastAsia="Times New Roman"/>
          <w:bCs/>
          <w:kern w:val="0"/>
          <w:sz w:val="22"/>
          <w:szCs w:val="22"/>
          <w:lang w:eastAsia="en-AU"/>
          <w14:ligatures w14:val="none"/>
        </w:rPr>
      </w:pPr>
    </w:p>
    <w:p w14:paraId="215D286E" w14:textId="29195DE4" w:rsidR="00521FF6" w:rsidRPr="00421D34" w:rsidRDefault="00402353" w:rsidP="00744BDE">
      <w:pPr>
        <w:spacing w:after="0" w:line="240" w:lineRule="auto"/>
        <w:contextualSpacing/>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The Determination specifies</w:t>
      </w:r>
      <w:r w:rsidR="00744BDE" w:rsidRPr="00421D34">
        <w:rPr>
          <w:rFonts w:eastAsia="Times New Roman"/>
          <w:bCs/>
          <w:kern w:val="0"/>
          <w:sz w:val="22"/>
          <w:szCs w:val="22"/>
          <w:lang w:eastAsia="en-AU"/>
          <w14:ligatures w14:val="none"/>
        </w:rPr>
        <w:t xml:space="preserve"> </w:t>
      </w:r>
      <w:r w:rsidRPr="00421D34">
        <w:rPr>
          <w:rFonts w:eastAsia="Times New Roman"/>
          <w:bCs/>
          <w:kern w:val="0"/>
          <w:sz w:val="22"/>
          <w:szCs w:val="22"/>
          <w:lang w:eastAsia="en-AU"/>
          <w14:ligatures w14:val="none"/>
        </w:rPr>
        <w:t>indications, for the purposes of paragraphs 26BF(1)(a) of the Act</w:t>
      </w:r>
      <w:r w:rsidR="00744BDE" w:rsidRPr="00421D34">
        <w:rPr>
          <w:rFonts w:eastAsia="Times New Roman"/>
          <w:bCs/>
          <w:kern w:val="0"/>
          <w:sz w:val="22"/>
          <w:szCs w:val="22"/>
          <w:lang w:eastAsia="en-AU"/>
          <w14:ligatures w14:val="none"/>
        </w:rPr>
        <w:t>, that may be used in relation to listed medicines</w:t>
      </w:r>
      <w:r w:rsidRPr="00421D34">
        <w:rPr>
          <w:rFonts w:eastAsia="Times New Roman"/>
          <w:bCs/>
          <w:kern w:val="0"/>
          <w:sz w:val="22"/>
          <w:szCs w:val="22"/>
          <w:lang w:eastAsia="en-AU"/>
          <w14:ligatures w14:val="none"/>
        </w:rPr>
        <w:t xml:space="preserve"> The</w:t>
      </w:r>
      <w:r w:rsidR="00744BDE" w:rsidRPr="00421D34">
        <w:rPr>
          <w:rFonts w:eastAsia="Times New Roman"/>
          <w:bCs/>
          <w:kern w:val="0"/>
          <w:sz w:val="22"/>
          <w:szCs w:val="22"/>
          <w:lang w:eastAsia="en-AU"/>
          <w14:ligatures w14:val="none"/>
        </w:rPr>
        <w:t>se</w:t>
      </w:r>
      <w:r w:rsidRPr="00421D34">
        <w:rPr>
          <w:rFonts w:eastAsia="Times New Roman"/>
          <w:bCs/>
          <w:kern w:val="0"/>
          <w:sz w:val="22"/>
          <w:szCs w:val="22"/>
          <w:lang w:eastAsia="en-AU"/>
          <w14:ligatures w14:val="none"/>
        </w:rPr>
        <w:t xml:space="preserve"> indications have been determined to be sufficiently low-level and appropriate for </w:t>
      </w:r>
      <w:r w:rsidR="00744BDE" w:rsidRPr="00421D34">
        <w:rPr>
          <w:rFonts w:eastAsia="Times New Roman"/>
          <w:bCs/>
          <w:kern w:val="0"/>
          <w:sz w:val="22"/>
          <w:szCs w:val="22"/>
          <w:lang w:eastAsia="en-AU"/>
          <w14:ligatures w14:val="none"/>
        </w:rPr>
        <w:t>such medicines.</w:t>
      </w:r>
    </w:p>
    <w:p w14:paraId="7EC10B5A" w14:textId="77777777" w:rsidR="00C35C33" w:rsidRPr="00421D34" w:rsidRDefault="00C35C33" w:rsidP="004D107E">
      <w:pPr>
        <w:spacing w:after="0" w:line="240" w:lineRule="auto"/>
        <w:contextualSpacing/>
        <w:rPr>
          <w:rFonts w:eastAsia="Times New Roman"/>
          <w:bCs/>
          <w:kern w:val="0"/>
          <w:sz w:val="22"/>
          <w:szCs w:val="22"/>
          <w:lang w:eastAsia="en-AU"/>
          <w14:ligatures w14:val="none"/>
        </w:rPr>
      </w:pPr>
    </w:p>
    <w:p w14:paraId="234AEE2E" w14:textId="3D1C38EF" w:rsidR="00402353" w:rsidRPr="00421D34" w:rsidRDefault="00744BDE" w:rsidP="004D107E">
      <w:pPr>
        <w:spacing w:after="0" w:line="240" w:lineRule="auto"/>
        <w:contextualSpacing/>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The Determination also permits the use of a small number of indications that relate to the following:</w:t>
      </w:r>
    </w:p>
    <w:p w14:paraId="47F5E09A" w14:textId="6D040230" w:rsidR="00744BDE" w:rsidRPr="00421D34" w:rsidRDefault="00744BDE" w:rsidP="00744BDE">
      <w:pPr>
        <w:pStyle w:val="ListParagraph"/>
        <w:numPr>
          <w:ilvl w:val="0"/>
          <w:numId w:val="2"/>
        </w:numPr>
        <w:spacing w:after="0" w:line="240" w:lineRule="auto"/>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the link between vitamin D and calcium (referring to osteoporosis);</w:t>
      </w:r>
    </w:p>
    <w:p w14:paraId="7CD3BF26" w14:textId="409AC000" w:rsidR="00744BDE" w:rsidRPr="00421D34" w:rsidRDefault="00744BDE" w:rsidP="00744BDE">
      <w:pPr>
        <w:pStyle w:val="ListParagraph"/>
        <w:numPr>
          <w:ilvl w:val="0"/>
          <w:numId w:val="2"/>
        </w:numPr>
        <w:spacing w:after="0" w:line="240" w:lineRule="auto"/>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the link between folic acid and neural tube defects;</w:t>
      </w:r>
    </w:p>
    <w:p w14:paraId="55C96440" w14:textId="7FC31172" w:rsidR="00402353" w:rsidRPr="00421D34" w:rsidRDefault="00744BDE" w:rsidP="003A31F8">
      <w:pPr>
        <w:pStyle w:val="ListParagraph"/>
        <w:numPr>
          <w:ilvl w:val="0"/>
          <w:numId w:val="2"/>
        </w:numPr>
        <w:spacing w:after="0" w:line="240" w:lineRule="auto"/>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the use of broad-spectrum sunscreens with a sun protection factor of 30 or higher in relation to the prevention of skin cancer.</w:t>
      </w:r>
    </w:p>
    <w:p w14:paraId="15859796" w14:textId="77777777" w:rsidR="00122A5E" w:rsidRPr="00421D34" w:rsidRDefault="00122A5E" w:rsidP="004D107E">
      <w:pPr>
        <w:spacing w:after="0" w:line="240" w:lineRule="auto"/>
        <w:contextualSpacing/>
        <w:rPr>
          <w:rFonts w:eastAsia="Times New Roman"/>
          <w:bCs/>
          <w:kern w:val="0"/>
          <w:sz w:val="22"/>
          <w:szCs w:val="22"/>
          <w:lang w:eastAsia="en-AU"/>
          <w14:ligatures w14:val="none"/>
        </w:rPr>
      </w:pPr>
    </w:p>
    <w:p w14:paraId="19E6AEEE" w14:textId="35DA5F45" w:rsidR="00744BDE" w:rsidRPr="00421D34" w:rsidRDefault="00744BDE" w:rsidP="004D107E">
      <w:pPr>
        <w:spacing w:after="0" w:line="240" w:lineRule="auto"/>
        <w:contextualSpacing/>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The inclusion of such indications in the Determination principally reflects the importance of these indications in relation to public health and their history of use.</w:t>
      </w:r>
    </w:p>
    <w:p w14:paraId="562BA19D" w14:textId="77777777" w:rsidR="00744BDE" w:rsidRPr="00421D34" w:rsidRDefault="00744BDE" w:rsidP="004D107E">
      <w:pPr>
        <w:spacing w:after="0" w:line="240" w:lineRule="auto"/>
        <w:contextualSpacing/>
        <w:rPr>
          <w:rFonts w:eastAsia="Times New Roman"/>
          <w:bCs/>
          <w:kern w:val="0"/>
          <w:sz w:val="22"/>
          <w:szCs w:val="22"/>
          <w:lang w:eastAsia="en-AU"/>
          <w14:ligatures w14:val="none"/>
        </w:rPr>
      </w:pPr>
    </w:p>
    <w:p w14:paraId="5DD468BD" w14:textId="64355BDE" w:rsidR="00744BDE" w:rsidRPr="00421D34" w:rsidRDefault="00744BDE" w:rsidP="004D107E">
      <w:pPr>
        <w:spacing w:after="0" w:line="240" w:lineRule="auto"/>
        <w:contextualSpacing/>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It should also be noted that paragraph 5(b) of the Determination has the effect of allowing persons in whose names the medicines are included in the Register to modify a permissible indication, to align with the supporting evidence that person holds in relation to the medicine, by using qualifying statements set out under one of the following headings in the code tables document published by the TGA:</w:t>
      </w:r>
    </w:p>
    <w:p w14:paraId="4A622657" w14:textId="015BC48F" w:rsidR="00744BDE" w:rsidRPr="00421D34" w:rsidRDefault="00744BDE" w:rsidP="00744BDE">
      <w:pPr>
        <w:pStyle w:val="ListParagraph"/>
        <w:numPr>
          <w:ilvl w:val="0"/>
          <w:numId w:val="3"/>
        </w:numPr>
        <w:spacing w:after="0" w:line="240" w:lineRule="auto"/>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traditional context qualifiers—which specify the traditional paradigm for medicines supported by evidence of traditional use, for example, ‘Traditionally used in Western herbal medicine’. The traditional context is a mandatory qualifier for indications where the sponsor holds evidence of traditional use;</w:t>
      </w:r>
    </w:p>
    <w:p w14:paraId="2C93AE65" w14:textId="507D4D6A" w:rsidR="00744BDE" w:rsidRPr="00421D34" w:rsidRDefault="00744BDE" w:rsidP="00744BDE">
      <w:pPr>
        <w:pStyle w:val="ListParagraph"/>
        <w:numPr>
          <w:ilvl w:val="0"/>
          <w:numId w:val="3"/>
        </w:numPr>
        <w:spacing w:after="0" w:line="240" w:lineRule="auto"/>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population qualifiers—which specify the target population for a medicine, for example, ‘In healthy individuals’, ‘In adults’ or ‘In females’;</w:t>
      </w:r>
    </w:p>
    <w:p w14:paraId="01FB7E9F" w14:textId="5D2AB111" w:rsidR="00744BDE" w:rsidRPr="00421D34" w:rsidRDefault="00744BDE" w:rsidP="00744BDE">
      <w:pPr>
        <w:pStyle w:val="ListParagraph"/>
        <w:numPr>
          <w:ilvl w:val="0"/>
          <w:numId w:val="3"/>
        </w:numPr>
        <w:spacing w:after="0" w:line="240" w:lineRule="auto"/>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time of use qualifiers—which indicate the time of the intended therapeutic benefit for a medicine, for example ‘Maintain/support energy levels during the day’. or the time of occurrence of a symptom of a disease, ailment defect or injury, for example, ‘Decrease/reduce/relieve muscle stiffness after exercise’;</w:t>
      </w:r>
    </w:p>
    <w:p w14:paraId="77A73C53" w14:textId="5B25FD77" w:rsidR="00744BDE" w:rsidRPr="00421D34" w:rsidRDefault="00744BDE" w:rsidP="00744BDE">
      <w:pPr>
        <w:pStyle w:val="ListParagraph"/>
        <w:numPr>
          <w:ilvl w:val="0"/>
          <w:numId w:val="3"/>
        </w:numPr>
        <w:spacing w:after="0" w:line="240" w:lineRule="auto"/>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lastRenderedPageBreak/>
        <w:t>Traditional Chinese Medicine (TCM) patter qualifiers—which are only available for traditional Chinese medicines, and specify the underlying ‘patter</w:t>
      </w:r>
      <w:r w:rsidR="00183CAD" w:rsidRPr="00421D34">
        <w:rPr>
          <w:rFonts w:eastAsia="Times New Roman"/>
          <w:bCs/>
          <w:kern w:val="0"/>
          <w:sz w:val="22"/>
          <w:szCs w:val="22"/>
          <w:lang w:eastAsia="en-AU"/>
          <w14:ligatures w14:val="none"/>
        </w:rPr>
        <w:t>n</w:t>
      </w:r>
      <w:r w:rsidRPr="00421D34">
        <w:rPr>
          <w:rFonts w:eastAsia="Times New Roman"/>
          <w:bCs/>
          <w:kern w:val="0"/>
          <w:sz w:val="22"/>
          <w:szCs w:val="22"/>
          <w:lang w:eastAsia="en-AU"/>
          <w14:ligatures w14:val="none"/>
        </w:rPr>
        <w:t>’ causing symptoms of a condition or illness in the TCM paradigm, for example ‘Spleen Qi Deficiency pattern’.</w:t>
      </w:r>
    </w:p>
    <w:p w14:paraId="7369D7D0" w14:textId="77777777" w:rsidR="00402353" w:rsidRPr="00421D34" w:rsidRDefault="00402353" w:rsidP="004D107E">
      <w:pPr>
        <w:spacing w:after="0" w:line="240" w:lineRule="auto"/>
        <w:contextualSpacing/>
        <w:rPr>
          <w:rFonts w:eastAsia="Times New Roman"/>
          <w:bCs/>
          <w:kern w:val="0"/>
          <w:sz w:val="22"/>
          <w:szCs w:val="22"/>
          <w:lang w:eastAsia="en-AU"/>
          <w14:ligatures w14:val="none"/>
        </w:rPr>
      </w:pPr>
    </w:p>
    <w:p w14:paraId="6B3279D2" w14:textId="3F7BE116" w:rsidR="00760AD0" w:rsidRPr="00421D34" w:rsidRDefault="00760AD0" w:rsidP="004D107E">
      <w:pPr>
        <w:spacing w:after="0" w:line="240" w:lineRule="auto"/>
        <w:contextualSpacing/>
        <w:rPr>
          <w:rFonts w:eastAsia="Times New Roman"/>
          <w:bCs/>
          <w:i/>
          <w:iCs/>
          <w:kern w:val="0"/>
          <w:sz w:val="22"/>
          <w:szCs w:val="22"/>
          <w:lang w:eastAsia="en-AU"/>
          <w14:ligatures w14:val="none"/>
        </w:rPr>
      </w:pPr>
      <w:r w:rsidRPr="00421D34">
        <w:rPr>
          <w:rFonts w:eastAsia="Times New Roman"/>
          <w:bCs/>
          <w:i/>
          <w:iCs/>
          <w:kern w:val="0"/>
          <w:sz w:val="22"/>
          <w:szCs w:val="22"/>
          <w:lang w:eastAsia="en-AU"/>
          <w14:ligatures w14:val="none"/>
        </w:rPr>
        <w:t>Requirements for indications</w:t>
      </w:r>
    </w:p>
    <w:p w14:paraId="28E1425F" w14:textId="77777777" w:rsidR="00760AD0" w:rsidRPr="00421D34" w:rsidRDefault="00760AD0" w:rsidP="004D107E">
      <w:pPr>
        <w:spacing w:after="0" w:line="240" w:lineRule="auto"/>
        <w:contextualSpacing/>
        <w:rPr>
          <w:rFonts w:eastAsia="Times New Roman"/>
          <w:bCs/>
          <w:kern w:val="0"/>
          <w:sz w:val="22"/>
          <w:szCs w:val="22"/>
          <w:lang w:eastAsia="en-AU"/>
          <w14:ligatures w14:val="none"/>
        </w:rPr>
      </w:pPr>
    </w:p>
    <w:p w14:paraId="3DD0D107" w14:textId="329C5E3F" w:rsidR="00733AD0" w:rsidRPr="00421D34" w:rsidRDefault="001061D0" w:rsidP="004D107E">
      <w:pPr>
        <w:spacing w:after="0" w:line="240" w:lineRule="auto"/>
        <w:contextualSpacing/>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In addition to specifying permissible indications for listed medicines, the Determination also specifies requirements, for the purposes of paragraph 26BF(1)(b) of the Act, which persons must comply with when using the permissible indications for their listed medicines. These requirements principally relate to ensuring the safe and appropriate use of listed medicines and may, for example:</w:t>
      </w:r>
    </w:p>
    <w:p w14:paraId="33575827" w14:textId="1E0F2D5F" w:rsidR="001061D0" w:rsidRPr="00421D34" w:rsidRDefault="001061D0" w:rsidP="001061D0">
      <w:pPr>
        <w:pStyle w:val="ListParagraph"/>
        <w:numPr>
          <w:ilvl w:val="0"/>
          <w:numId w:val="4"/>
        </w:numPr>
        <w:spacing w:after="0" w:line="240" w:lineRule="auto"/>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specify the type of evidence that a sponsor must hold to support the use of an indication, such as scientific evidence or evidence of traditional use;</w:t>
      </w:r>
    </w:p>
    <w:p w14:paraId="55D5155B" w14:textId="2EC99926" w:rsidR="001061D0" w:rsidRPr="00421D34" w:rsidRDefault="001061D0" w:rsidP="001061D0">
      <w:pPr>
        <w:pStyle w:val="ListParagraph"/>
        <w:numPr>
          <w:ilvl w:val="0"/>
          <w:numId w:val="4"/>
        </w:numPr>
        <w:spacing w:after="0" w:line="240" w:lineRule="auto"/>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specify a vulnerable population for which the indication is not suitable, such as children; or</w:t>
      </w:r>
    </w:p>
    <w:p w14:paraId="669D7B55" w14:textId="2D6B89E1" w:rsidR="001061D0" w:rsidRPr="00421D34" w:rsidRDefault="001061D0" w:rsidP="001061D0">
      <w:pPr>
        <w:pStyle w:val="ListParagraph"/>
        <w:numPr>
          <w:ilvl w:val="0"/>
          <w:numId w:val="4"/>
        </w:numPr>
        <w:spacing w:after="0" w:line="240" w:lineRule="auto"/>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require a statement to accompany the use of an indication on the label of a medicine, for example, ‘If symptoms persist talk to your health professional’.</w:t>
      </w:r>
    </w:p>
    <w:p w14:paraId="27C5AD59" w14:textId="77777777" w:rsidR="001061D0" w:rsidRPr="00421D34" w:rsidRDefault="001061D0" w:rsidP="004D107E">
      <w:pPr>
        <w:spacing w:after="0" w:line="240" w:lineRule="auto"/>
        <w:contextualSpacing/>
        <w:rPr>
          <w:rFonts w:eastAsia="Times New Roman"/>
          <w:bCs/>
          <w:kern w:val="0"/>
          <w:sz w:val="22"/>
          <w:szCs w:val="22"/>
          <w:lang w:eastAsia="en-AU"/>
          <w14:ligatures w14:val="none"/>
        </w:rPr>
      </w:pPr>
    </w:p>
    <w:p w14:paraId="100D038E" w14:textId="214375F1" w:rsidR="001061D0" w:rsidRPr="00421D34" w:rsidRDefault="001061D0" w:rsidP="004D107E">
      <w:pPr>
        <w:spacing w:after="0" w:line="240" w:lineRule="auto"/>
        <w:contextualSpacing/>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Schedule 1 to the Determination contains tables in 17 Parts that set out, for the purposes of sections 5 and 6 of the Determination, the indications that may be used in relation to listed medicines, requirements relating to the type of evidence required to support the use of an indication, and the requirements relating to the use of that indication.</w:t>
      </w:r>
    </w:p>
    <w:p w14:paraId="06339DB4" w14:textId="77777777" w:rsidR="001061D0" w:rsidRPr="00421D34" w:rsidRDefault="001061D0" w:rsidP="004D107E">
      <w:pPr>
        <w:spacing w:after="0" w:line="240" w:lineRule="auto"/>
        <w:contextualSpacing/>
        <w:rPr>
          <w:rFonts w:eastAsia="Times New Roman"/>
          <w:bCs/>
          <w:kern w:val="0"/>
          <w:sz w:val="22"/>
          <w:szCs w:val="22"/>
          <w:lang w:eastAsia="en-AU"/>
          <w14:ligatures w14:val="none"/>
        </w:rPr>
      </w:pPr>
    </w:p>
    <w:p w14:paraId="629900D9" w14:textId="167E90EB" w:rsidR="001061D0" w:rsidRPr="00421D34" w:rsidRDefault="001061D0" w:rsidP="004D107E">
      <w:pPr>
        <w:spacing w:after="0" w:line="240" w:lineRule="auto"/>
        <w:contextualSpacing/>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Relevantly, subsections 6(3) to 6(</w:t>
      </w:r>
      <w:r w:rsidR="00421D34" w:rsidRPr="00421D34">
        <w:rPr>
          <w:rFonts w:eastAsia="Times New Roman"/>
          <w:bCs/>
          <w:kern w:val="0"/>
          <w:sz w:val="22"/>
          <w:szCs w:val="22"/>
          <w:lang w:eastAsia="en-AU"/>
          <w14:ligatures w14:val="none"/>
        </w:rPr>
        <w:t>7</w:t>
      </w:r>
      <w:r w:rsidRPr="00421D34">
        <w:rPr>
          <w:rFonts w:eastAsia="Times New Roman"/>
          <w:bCs/>
          <w:kern w:val="0"/>
          <w:sz w:val="22"/>
          <w:szCs w:val="22"/>
          <w:lang w:eastAsia="en-AU"/>
          <w14:ligatures w14:val="none"/>
        </w:rPr>
        <w:t xml:space="preserve">) of the Determination set out a number of overarching requirements that are not replicated in the tables in Schedule 1. These include, for example, a requirement that </w:t>
      </w:r>
      <w:r w:rsidR="00760AD0" w:rsidRPr="00421D34">
        <w:rPr>
          <w:rFonts w:eastAsia="Times New Roman"/>
          <w:bCs/>
          <w:kern w:val="0"/>
          <w:sz w:val="22"/>
          <w:szCs w:val="22"/>
          <w:lang w:eastAsia="en-AU"/>
          <w14:ligatures w14:val="none"/>
        </w:rPr>
        <w:t xml:space="preserve">if </w:t>
      </w:r>
      <w:r w:rsidRPr="00421D34">
        <w:rPr>
          <w:rFonts w:eastAsia="Times New Roman"/>
          <w:bCs/>
          <w:kern w:val="0"/>
          <w:sz w:val="22"/>
          <w:szCs w:val="22"/>
          <w:lang w:eastAsia="en-AU"/>
          <w14:ligatures w14:val="none"/>
        </w:rPr>
        <w:t>the wording of a permissible indication is varied on the label of a medicine, or combined with another permissible indication to form a simple sentence, then the meaning or intent of the indication must not be change</w:t>
      </w:r>
      <w:r w:rsidR="00365474" w:rsidRPr="00421D34">
        <w:rPr>
          <w:rFonts w:eastAsia="Times New Roman"/>
          <w:bCs/>
          <w:kern w:val="0"/>
          <w:sz w:val="22"/>
          <w:szCs w:val="22"/>
          <w:lang w:eastAsia="en-AU"/>
          <w14:ligatures w14:val="none"/>
        </w:rPr>
        <w:t>d</w:t>
      </w:r>
      <w:r w:rsidRPr="00421D34">
        <w:rPr>
          <w:rFonts w:eastAsia="Times New Roman"/>
          <w:bCs/>
          <w:kern w:val="0"/>
          <w:sz w:val="22"/>
          <w:szCs w:val="22"/>
          <w:lang w:eastAsia="en-AU"/>
          <w14:ligatures w14:val="none"/>
        </w:rPr>
        <w:t xml:space="preserve">, and the varied or combined </w:t>
      </w:r>
      <w:r w:rsidR="00760AD0" w:rsidRPr="00421D34">
        <w:rPr>
          <w:rFonts w:eastAsia="Times New Roman"/>
          <w:bCs/>
          <w:kern w:val="0"/>
          <w:sz w:val="22"/>
          <w:szCs w:val="22"/>
          <w:lang w:eastAsia="en-AU"/>
          <w14:ligatures w14:val="none"/>
        </w:rPr>
        <w:t xml:space="preserve">indication </w:t>
      </w:r>
      <w:r w:rsidRPr="00421D34">
        <w:rPr>
          <w:rFonts w:eastAsia="Times New Roman"/>
          <w:bCs/>
          <w:kern w:val="0"/>
          <w:sz w:val="22"/>
          <w:szCs w:val="22"/>
          <w:lang w:eastAsia="en-AU"/>
          <w14:ligatures w14:val="none"/>
        </w:rPr>
        <w:t>must not infer or imply that the medicine is indicated for the treatment of a serious form of a disease, ailment, defect, or injury.</w:t>
      </w:r>
      <w:r w:rsidR="00760AD0" w:rsidRPr="00421D34">
        <w:rPr>
          <w:rFonts w:eastAsia="Times New Roman"/>
          <w:bCs/>
          <w:kern w:val="0"/>
          <w:sz w:val="22"/>
          <w:szCs w:val="22"/>
          <w:lang w:eastAsia="en-AU"/>
          <w14:ligatures w14:val="none"/>
        </w:rPr>
        <w:t xml:space="preserve"> </w:t>
      </w:r>
      <w:r w:rsidR="004F6F0C" w:rsidRPr="00421D34">
        <w:rPr>
          <w:rFonts w:eastAsia="Times New Roman"/>
          <w:bCs/>
          <w:kern w:val="0"/>
          <w:sz w:val="22"/>
          <w:szCs w:val="22"/>
          <w:lang w:eastAsia="en-AU"/>
          <w14:ligatures w14:val="none"/>
        </w:rPr>
        <w:t>‘Serious’ in this context is defined in section 4 of the Determination as having the same meaning as serious</w:t>
      </w:r>
      <w:r w:rsidR="00E433D5" w:rsidRPr="00421D34">
        <w:rPr>
          <w:rFonts w:eastAsia="Times New Roman"/>
          <w:bCs/>
          <w:kern w:val="0"/>
          <w:sz w:val="22"/>
          <w:szCs w:val="22"/>
          <w:lang w:eastAsia="en-AU"/>
          <w14:ligatures w14:val="none"/>
        </w:rPr>
        <w:t>,</w:t>
      </w:r>
      <w:r w:rsidR="004F6F0C" w:rsidRPr="00421D34">
        <w:rPr>
          <w:rFonts w:eastAsia="Times New Roman"/>
          <w:bCs/>
          <w:kern w:val="0"/>
          <w:sz w:val="22"/>
          <w:szCs w:val="22"/>
          <w:lang w:eastAsia="en-AU"/>
          <w14:ligatures w14:val="none"/>
        </w:rPr>
        <w:t xml:space="preserve"> in relation to a form of a disease, condition, ailment or defect in section 28 of the Therapeutic Goods Advertising Code.</w:t>
      </w:r>
    </w:p>
    <w:p w14:paraId="1FA6BE7B" w14:textId="77777777" w:rsidR="004F6F0C" w:rsidRPr="00421D34" w:rsidRDefault="004F6F0C" w:rsidP="004D107E">
      <w:pPr>
        <w:spacing w:after="0" w:line="240" w:lineRule="auto"/>
        <w:contextualSpacing/>
        <w:rPr>
          <w:rFonts w:eastAsia="Times New Roman"/>
          <w:bCs/>
          <w:kern w:val="0"/>
          <w:sz w:val="22"/>
          <w:szCs w:val="22"/>
          <w:lang w:eastAsia="en-AU"/>
          <w14:ligatures w14:val="none"/>
        </w:rPr>
      </w:pPr>
    </w:p>
    <w:p w14:paraId="7B3AED9D" w14:textId="4D33CE44" w:rsidR="00760AD0" w:rsidRPr="00421D34" w:rsidRDefault="00760AD0" w:rsidP="004D107E">
      <w:pPr>
        <w:spacing w:after="0" w:line="240" w:lineRule="auto"/>
        <w:contextualSpacing/>
        <w:rPr>
          <w:rFonts w:eastAsia="Times New Roman"/>
          <w:bCs/>
          <w:i/>
          <w:iCs/>
          <w:kern w:val="0"/>
          <w:sz w:val="22"/>
          <w:szCs w:val="22"/>
          <w:lang w:eastAsia="en-AU"/>
          <w14:ligatures w14:val="none"/>
        </w:rPr>
      </w:pPr>
      <w:r w:rsidRPr="00421D34">
        <w:rPr>
          <w:rFonts w:eastAsia="Times New Roman"/>
          <w:bCs/>
          <w:i/>
          <w:iCs/>
          <w:kern w:val="0"/>
          <w:sz w:val="22"/>
          <w:szCs w:val="22"/>
          <w:lang w:eastAsia="en-AU"/>
          <w14:ligatures w14:val="none"/>
        </w:rPr>
        <w:t>Amendments</w:t>
      </w:r>
    </w:p>
    <w:p w14:paraId="0E63C1B3" w14:textId="77777777" w:rsidR="00760AD0" w:rsidRPr="00421D34" w:rsidRDefault="00760AD0" w:rsidP="004D107E">
      <w:pPr>
        <w:spacing w:after="0" w:line="240" w:lineRule="auto"/>
        <w:contextualSpacing/>
        <w:rPr>
          <w:rFonts w:eastAsia="Times New Roman"/>
          <w:bCs/>
          <w:kern w:val="0"/>
          <w:sz w:val="22"/>
          <w:szCs w:val="22"/>
          <w:lang w:eastAsia="en-AU"/>
          <w14:ligatures w14:val="none"/>
        </w:rPr>
      </w:pPr>
    </w:p>
    <w:p w14:paraId="4AA53E4F" w14:textId="38904A90" w:rsidR="004F6F0C" w:rsidRPr="00421D34" w:rsidRDefault="004F6F0C" w:rsidP="004D107E">
      <w:pPr>
        <w:spacing w:after="0" w:line="240" w:lineRule="auto"/>
        <w:contextualSpacing/>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The Determination repeals and replaces the former Determination, and incorporates a number of changes in comparison to the former Determination, including in particular:</w:t>
      </w:r>
    </w:p>
    <w:p w14:paraId="5753A557" w14:textId="35AA29C6" w:rsidR="00365474" w:rsidRPr="00421D34" w:rsidRDefault="00563CAF" w:rsidP="006E28BC">
      <w:pPr>
        <w:pStyle w:val="ListParagraph"/>
        <w:numPr>
          <w:ilvl w:val="0"/>
          <w:numId w:val="5"/>
        </w:numPr>
        <w:spacing w:line="240" w:lineRule="auto"/>
        <w:rPr>
          <w:rFonts w:eastAsia="Times New Roman"/>
          <w:b/>
          <w:bCs/>
          <w:kern w:val="0"/>
          <w:sz w:val="22"/>
          <w:szCs w:val="22"/>
          <w:lang w:eastAsia="en-AU"/>
          <w14:ligatures w14:val="none"/>
        </w:rPr>
      </w:pPr>
      <w:r w:rsidRPr="00421D34">
        <w:rPr>
          <w:rFonts w:eastAsia="Times New Roman"/>
          <w:bCs/>
          <w:kern w:val="0"/>
          <w:sz w:val="22"/>
          <w:szCs w:val="22"/>
          <w:lang w:eastAsia="en-AU"/>
          <w14:ligatures w14:val="none"/>
        </w:rPr>
        <w:t xml:space="preserve">incorporating the </w:t>
      </w:r>
      <w:r w:rsidR="00760AD0" w:rsidRPr="00421D34">
        <w:rPr>
          <w:rFonts w:eastAsia="Times New Roman"/>
          <w:bCs/>
          <w:kern w:val="0"/>
          <w:sz w:val="22"/>
          <w:szCs w:val="22"/>
          <w:lang w:eastAsia="en-AU"/>
          <w14:ligatures w14:val="none"/>
        </w:rPr>
        <w:t>c</w:t>
      </w:r>
      <w:r w:rsidRPr="00421D34">
        <w:rPr>
          <w:rFonts w:eastAsia="Times New Roman"/>
          <w:bCs/>
          <w:kern w:val="0"/>
          <w:sz w:val="22"/>
          <w:szCs w:val="22"/>
          <w:lang w:eastAsia="en-AU"/>
          <w14:ligatures w14:val="none"/>
        </w:rPr>
        <w:t xml:space="preserve">ode tables, and </w:t>
      </w:r>
      <w:r w:rsidR="006D1AA0" w:rsidRPr="00421D34">
        <w:rPr>
          <w:rFonts w:eastAsia="Times New Roman"/>
          <w:bCs/>
          <w:kern w:val="0"/>
          <w:sz w:val="22"/>
          <w:szCs w:val="22"/>
          <w:lang w:eastAsia="en-AU"/>
          <w14:ligatures w14:val="none"/>
        </w:rPr>
        <w:t xml:space="preserve">the listed medicines </w:t>
      </w:r>
      <w:r w:rsidRPr="00421D34">
        <w:rPr>
          <w:rFonts w:eastAsia="Times New Roman"/>
          <w:bCs/>
          <w:kern w:val="0"/>
          <w:sz w:val="22"/>
          <w:szCs w:val="22"/>
          <w:lang w:eastAsia="en-AU"/>
          <w14:ligatures w14:val="none"/>
        </w:rPr>
        <w:t>evidence guidelines</w:t>
      </w:r>
      <w:r w:rsidR="00E45DC9" w:rsidRPr="00421D34">
        <w:rPr>
          <w:rFonts w:eastAsia="Times New Roman"/>
          <w:bCs/>
          <w:kern w:val="0"/>
          <w:sz w:val="22"/>
          <w:szCs w:val="22"/>
          <w:lang w:eastAsia="en-AU"/>
          <w14:ligatures w14:val="none"/>
        </w:rPr>
        <w:t xml:space="preserve"> </w:t>
      </w:r>
      <w:r w:rsidR="00760AD0" w:rsidRPr="00421D34">
        <w:rPr>
          <w:rFonts w:eastAsia="Times New Roman"/>
          <w:bCs/>
          <w:kern w:val="0"/>
          <w:sz w:val="22"/>
          <w:szCs w:val="22"/>
          <w:lang w:eastAsia="en-AU"/>
          <w14:ligatures w14:val="none"/>
        </w:rPr>
        <w:t>(</w:t>
      </w:r>
      <w:r w:rsidR="00001421" w:rsidRPr="00421D34">
        <w:rPr>
          <w:rFonts w:eastAsia="Times New Roman"/>
          <w:bCs/>
          <w:kern w:val="0"/>
          <w:sz w:val="22"/>
          <w:szCs w:val="22"/>
          <w:lang w:eastAsia="en-AU"/>
          <w14:ligatures w14:val="none"/>
        </w:rPr>
        <w:t xml:space="preserve">titled </w:t>
      </w:r>
      <w:r w:rsidR="00E45DC9" w:rsidRPr="00421D34">
        <w:rPr>
          <w:rFonts w:eastAsia="Times New Roman"/>
          <w:i/>
          <w:iCs/>
          <w:kern w:val="0"/>
          <w:sz w:val="22"/>
          <w:szCs w:val="22"/>
          <w:lang w:eastAsia="en-AU"/>
          <w14:ligatures w14:val="none"/>
        </w:rPr>
        <w:t>Supporting claims and indications for listed medicines</w:t>
      </w:r>
      <w:r w:rsidR="00760AD0" w:rsidRPr="00421D34">
        <w:rPr>
          <w:rFonts w:eastAsia="Times New Roman"/>
          <w:bCs/>
          <w:kern w:val="0"/>
          <w:sz w:val="22"/>
          <w:szCs w:val="22"/>
          <w:lang w:eastAsia="en-AU"/>
          <w14:ligatures w14:val="none"/>
        </w:rPr>
        <w:t>),</w:t>
      </w:r>
      <w:r w:rsidR="00365474" w:rsidRPr="00421D34">
        <w:rPr>
          <w:rFonts w:eastAsia="Times New Roman"/>
          <w:bCs/>
          <w:kern w:val="0"/>
          <w:sz w:val="22"/>
          <w:szCs w:val="22"/>
          <w:lang w:eastAsia="en-AU"/>
          <w14:ligatures w14:val="none"/>
        </w:rPr>
        <w:t xml:space="preserve"> as in force </w:t>
      </w:r>
      <w:r w:rsidR="00760AD0" w:rsidRPr="00421D34">
        <w:rPr>
          <w:rFonts w:eastAsia="Times New Roman"/>
          <w:bCs/>
          <w:kern w:val="0"/>
          <w:sz w:val="22"/>
          <w:szCs w:val="22"/>
          <w:lang w:eastAsia="en-AU"/>
          <w14:ligatures w14:val="none"/>
        </w:rPr>
        <w:t xml:space="preserve">or existing </w:t>
      </w:r>
      <w:r w:rsidR="00365474" w:rsidRPr="00421D34">
        <w:rPr>
          <w:rFonts w:eastAsia="Times New Roman"/>
          <w:bCs/>
          <w:kern w:val="0"/>
          <w:sz w:val="22"/>
          <w:szCs w:val="22"/>
          <w:lang w:eastAsia="en-AU"/>
          <w14:ligatures w14:val="none"/>
        </w:rPr>
        <w:t>from time to time</w:t>
      </w:r>
      <w:r w:rsidRPr="00421D34">
        <w:rPr>
          <w:rFonts w:eastAsia="Times New Roman"/>
          <w:bCs/>
          <w:kern w:val="0"/>
          <w:sz w:val="22"/>
          <w:szCs w:val="22"/>
          <w:lang w:eastAsia="en-AU"/>
          <w14:ligatures w14:val="none"/>
        </w:rPr>
        <w:t xml:space="preserve"> in accordance with subsection 26BF(6) of the Act</w:t>
      </w:r>
      <w:r w:rsidR="00365474" w:rsidRPr="00421D34">
        <w:rPr>
          <w:rFonts w:eastAsia="Times New Roman"/>
          <w:bCs/>
          <w:kern w:val="0"/>
          <w:sz w:val="22"/>
          <w:szCs w:val="22"/>
          <w:lang w:eastAsia="en-AU"/>
          <w14:ligatures w14:val="none"/>
        </w:rPr>
        <w:t>;</w:t>
      </w:r>
    </w:p>
    <w:p w14:paraId="622E046C" w14:textId="4AD292C5" w:rsidR="00760AD0" w:rsidRPr="00421D34" w:rsidRDefault="00760AD0" w:rsidP="00733AD0">
      <w:pPr>
        <w:pStyle w:val="ListParagraph"/>
        <w:numPr>
          <w:ilvl w:val="0"/>
          <w:numId w:val="5"/>
        </w:numPr>
        <w:spacing w:after="0" w:line="240" w:lineRule="auto"/>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refining the definition of health professional;</w:t>
      </w:r>
    </w:p>
    <w:p w14:paraId="4B3E3F99" w14:textId="6E209642" w:rsidR="00760AD0" w:rsidRPr="00421D34" w:rsidRDefault="00760AD0" w:rsidP="00733AD0">
      <w:pPr>
        <w:pStyle w:val="ListParagraph"/>
        <w:numPr>
          <w:ilvl w:val="0"/>
          <w:numId w:val="5"/>
        </w:numPr>
        <w:spacing w:after="0" w:line="240" w:lineRule="auto"/>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 xml:space="preserve">introducing a note in section 5 to clarify that the population qualifiers do not include </w:t>
      </w:r>
      <w:r w:rsidR="001A0A2E" w:rsidRPr="00421D34">
        <w:rPr>
          <w:rFonts w:eastAsia="Times New Roman"/>
          <w:bCs/>
          <w:kern w:val="0"/>
          <w:sz w:val="22"/>
          <w:szCs w:val="22"/>
          <w:lang w:eastAsia="en-AU"/>
          <w14:ligatures w14:val="none"/>
        </w:rPr>
        <w:t xml:space="preserve">a qualifier for </w:t>
      </w:r>
      <w:r w:rsidRPr="00421D34">
        <w:rPr>
          <w:rFonts w:eastAsia="Times New Roman"/>
          <w:bCs/>
          <w:kern w:val="0"/>
          <w:sz w:val="22"/>
          <w:szCs w:val="22"/>
          <w:lang w:eastAsia="en-AU"/>
          <w14:ligatures w14:val="none"/>
        </w:rPr>
        <w:t xml:space="preserve">pregnant individuals and </w:t>
      </w:r>
      <w:r w:rsidR="00E45DC9" w:rsidRPr="00421D34">
        <w:rPr>
          <w:rFonts w:eastAsia="Times New Roman"/>
          <w:bCs/>
          <w:kern w:val="0"/>
          <w:sz w:val="22"/>
          <w:szCs w:val="22"/>
          <w:lang w:eastAsia="en-AU"/>
          <w14:ligatures w14:val="none"/>
        </w:rPr>
        <w:t xml:space="preserve">that </w:t>
      </w:r>
      <w:r w:rsidRPr="00421D34">
        <w:rPr>
          <w:rFonts w:eastAsia="Times New Roman"/>
          <w:bCs/>
          <w:kern w:val="0"/>
          <w:sz w:val="22"/>
          <w:szCs w:val="22"/>
          <w:lang w:eastAsia="en-AU"/>
          <w14:ligatures w14:val="none"/>
        </w:rPr>
        <w:t xml:space="preserve">there is a separate table in Schedule 1 </w:t>
      </w:r>
      <w:r w:rsidR="005C33D2" w:rsidRPr="00421D34">
        <w:rPr>
          <w:rFonts w:eastAsia="Times New Roman"/>
          <w:bCs/>
          <w:kern w:val="0"/>
          <w:sz w:val="22"/>
          <w:szCs w:val="22"/>
          <w:lang w:eastAsia="en-AU"/>
          <w14:ligatures w14:val="none"/>
        </w:rPr>
        <w:t>that set</w:t>
      </w:r>
      <w:r w:rsidR="00013524" w:rsidRPr="00421D34">
        <w:rPr>
          <w:rFonts w:eastAsia="Times New Roman"/>
          <w:bCs/>
          <w:kern w:val="0"/>
          <w:sz w:val="22"/>
          <w:szCs w:val="22"/>
          <w:lang w:eastAsia="en-AU"/>
          <w14:ligatures w14:val="none"/>
        </w:rPr>
        <w:t>s</w:t>
      </w:r>
      <w:r w:rsidR="005C33D2" w:rsidRPr="00421D34">
        <w:rPr>
          <w:rFonts w:eastAsia="Times New Roman"/>
          <w:bCs/>
          <w:kern w:val="0"/>
          <w:sz w:val="22"/>
          <w:szCs w:val="22"/>
          <w:lang w:eastAsia="en-AU"/>
          <w14:ligatures w14:val="none"/>
        </w:rPr>
        <w:t xml:space="preserve"> out </w:t>
      </w:r>
      <w:r w:rsidR="001A0A2E" w:rsidRPr="00421D34">
        <w:rPr>
          <w:rFonts w:eastAsia="Times New Roman"/>
          <w:bCs/>
          <w:kern w:val="0"/>
          <w:sz w:val="22"/>
          <w:szCs w:val="22"/>
          <w:lang w:eastAsia="en-AU"/>
          <w14:ligatures w14:val="none"/>
        </w:rPr>
        <w:t xml:space="preserve">the </w:t>
      </w:r>
      <w:r w:rsidRPr="00421D34">
        <w:rPr>
          <w:rFonts w:eastAsia="Times New Roman"/>
          <w:bCs/>
          <w:kern w:val="0"/>
          <w:sz w:val="22"/>
          <w:szCs w:val="22"/>
          <w:lang w:eastAsia="en-AU"/>
          <w14:ligatures w14:val="none"/>
        </w:rPr>
        <w:t>indications</w:t>
      </w:r>
      <w:r w:rsidR="001A0A2E" w:rsidRPr="00421D34">
        <w:rPr>
          <w:rFonts w:eastAsia="Times New Roman"/>
          <w:bCs/>
          <w:kern w:val="0"/>
          <w:sz w:val="22"/>
          <w:szCs w:val="22"/>
          <w:lang w:eastAsia="en-AU"/>
          <w14:ligatures w14:val="none"/>
        </w:rPr>
        <w:t xml:space="preserve"> that </w:t>
      </w:r>
      <w:r w:rsidR="009B558A" w:rsidRPr="00421D34">
        <w:rPr>
          <w:rFonts w:eastAsia="Times New Roman"/>
          <w:bCs/>
          <w:kern w:val="0"/>
          <w:sz w:val="22"/>
          <w:szCs w:val="22"/>
          <w:lang w:eastAsia="en-AU"/>
          <w14:ligatures w14:val="none"/>
        </w:rPr>
        <w:t xml:space="preserve">can be used for </w:t>
      </w:r>
      <w:r w:rsidRPr="00421D34">
        <w:rPr>
          <w:rFonts w:eastAsia="Times New Roman"/>
          <w:bCs/>
          <w:kern w:val="0"/>
          <w:sz w:val="22"/>
          <w:szCs w:val="22"/>
          <w:lang w:eastAsia="en-AU"/>
          <w14:ligatures w14:val="none"/>
        </w:rPr>
        <w:t xml:space="preserve">pregnancy </w:t>
      </w:r>
      <w:r w:rsidR="001D5263" w:rsidRPr="00421D34">
        <w:rPr>
          <w:rFonts w:eastAsia="Times New Roman"/>
          <w:bCs/>
          <w:kern w:val="0"/>
          <w:sz w:val="22"/>
          <w:szCs w:val="22"/>
          <w:lang w:eastAsia="en-AU"/>
          <w14:ligatures w14:val="none"/>
        </w:rPr>
        <w:t>o</w:t>
      </w:r>
      <w:r w:rsidRPr="00421D34">
        <w:rPr>
          <w:rFonts w:eastAsia="Times New Roman"/>
          <w:bCs/>
          <w:kern w:val="0"/>
          <w:sz w:val="22"/>
          <w:szCs w:val="22"/>
          <w:lang w:eastAsia="en-AU"/>
          <w14:ligatures w14:val="none"/>
        </w:rPr>
        <w:t>r pregnant populations</w:t>
      </w:r>
      <w:r w:rsidR="00001421" w:rsidRPr="00421D34">
        <w:rPr>
          <w:rFonts w:eastAsia="Times New Roman"/>
          <w:bCs/>
          <w:kern w:val="0"/>
          <w:sz w:val="22"/>
          <w:szCs w:val="22"/>
          <w:lang w:eastAsia="en-AU"/>
          <w14:ligatures w14:val="none"/>
        </w:rPr>
        <w:t xml:space="preserve"> (i.e. Part 17 in Schedule 1)</w:t>
      </w:r>
      <w:r w:rsidRPr="00421D34">
        <w:rPr>
          <w:rFonts w:eastAsia="Times New Roman"/>
          <w:bCs/>
          <w:kern w:val="0"/>
          <w:sz w:val="22"/>
          <w:szCs w:val="22"/>
          <w:lang w:eastAsia="en-AU"/>
          <w14:ligatures w14:val="none"/>
        </w:rPr>
        <w:t>;</w:t>
      </w:r>
    </w:p>
    <w:p w14:paraId="6F5B0329" w14:textId="23A43475" w:rsidR="008F0A0F" w:rsidRPr="00421D34" w:rsidRDefault="008F0A0F" w:rsidP="00733AD0">
      <w:pPr>
        <w:pStyle w:val="ListParagraph"/>
        <w:numPr>
          <w:ilvl w:val="0"/>
          <w:numId w:val="5"/>
        </w:numPr>
        <w:spacing w:after="0" w:line="240" w:lineRule="auto"/>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correct</w:t>
      </w:r>
      <w:r w:rsidR="00563CAF" w:rsidRPr="00421D34">
        <w:rPr>
          <w:rFonts w:eastAsia="Times New Roman"/>
          <w:bCs/>
          <w:kern w:val="0"/>
          <w:sz w:val="22"/>
          <w:szCs w:val="22"/>
          <w:lang w:eastAsia="en-AU"/>
          <w14:ligatures w14:val="none"/>
        </w:rPr>
        <w:t>ing</w:t>
      </w:r>
      <w:r w:rsidRPr="00421D34">
        <w:rPr>
          <w:rFonts w:eastAsia="Times New Roman"/>
          <w:bCs/>
          <w:kern w:val="0"/>
          <w:sz w:val="22"/>
          <w:szCs w:val="22"/>
          <w:lang w:eastAsia="en-AU"/>
          <w14:ligatures w14:val="none"/>
        </w:rPr>
        <w:t xml:space="preserve"> </w:t>
      </w:r>
      <w:r w:rsidR="009445E4" w:rsidRPr="00421D34">
        <w:rPr>
          <w:rFonts w:eastAsia="Times New Roman"/>
          <w:bCs/>
          <w:kern w:val="0"/>
          <w:sz w:val="22"/>
          <w:szCs w:val="22"/>
          <w:lang w:eastAsia="en-AU"/>
          <w14:ligatures w14:val="none"/>
        </w:rPr>
        <w:t xml:space="preserve">an error in item 3 of Table 13 in Schedule 1 to the former Determination, to replace the reference to </w:t>
      </w:r>
      <w:r w:rsidR="00001421" w:rsidRPr="00421D34">
        <w:rPr>
          <w:rFonts w:eastAsia="Times New Roman"/>
          <w:bCs/>
          <w:kern w:val="0"/>
          <w:sz w:val="22"/>
          <w:szCs w:val="22"/>
          <w:lang w:eastAsia="en-AU"/>
          <w14:ligatures w14:val="none"/>
        </w:rPr>
        <w:t>“</w:t>
      </w:r>
      <w:r w:rsidR="009445E4" w:rsidRPr="00421D34">
        <w:rPr>
          <w:rFonts w:eastAsia="Times New Roman"/>
          <w:bCs/>
          <w:kern w:val="0"/>
          <w:sz w:val="22"/>
          <w:szCs w:val="22"/>
          <w:lang w:eastAsia="en-AU"/>
          <w14:ligatures w14:val="none"/>
        </w:rPr>
        <w:t xml:space="preserve">reducing urinary </w:t>
      </w:r>
      <w:r w:rsidR="007B193C" w:rsidRPr="00421D34">
        <w:rPr>
          <w:rFonts w:eastAsia="Times New Roman"/>
          <w:bCs/>
          <w:kern w:val="0"/>
          <w:sz w:val="22"/>
          <w:szCs w:val="22"/>
          <w:lang w:eastAsia="en-AU"/>
          <w14:ligatures w14:val="none"/>
        </w:rPr>
        <w:t>P</w:t>
      </w:r>
      <w:r w:rsidR="008560E1" w:rsidRPr="00421D34">
        <w:rPr>
          <w:rFonts w:eastAsia="Times New Roman"/>
          <w:bCs/>
          <w:kern w:val="0"/>
          <w:sz w:val="22"/>
          <w:szCs w:val="22"/>
          <w:lang w:eastAsia="en-AU"/>
          <w14:ligatures w14:val="none"/>
        </w:rPr>
        <w:t>H</w:t>
      </w:r>
      <w:r w:rsidR="00001421" w:rsidRPr="00421D34">
        <w:rPr>
          <w:rFonts w:eastAsia="Times New Roman"/>
          <w:bCs/>
          <w:kern w:val="0"/>
          <w:sz w:val="22"/>
          <w:szCs w:val="22"/>
          <w:lang w:eastAsia="en-AU"/>
          <w14:ligatures w14:val="none"/>
        </w:rPr>
        <w:t>”</w:t>
      </w:r>
      <w:r w:rsidR="009445E4" w:rsidRPr="00421D34">
        <w:rPr>
          <w:rFonts w:eastAsia="Times New Roman"/>
          <w:bCs/>
          <w:kern w:val="0"/>
          <w:sz w:val="22"/>
          <w:szCs w:val="22"/>
          <w:lang w:eastAsia="en-AU"/>
          <w14:ligatures w14:val="none"/>
        </w:rPr>
        <w:t xml:space="preserve"> to </w:t>
      </w:r>
      <w:r w:rsidR="00001421" w:rsidRPr="00421D34">
        <w:rPr>
          <w:rFonts w:eastAsia="Times New Roman"/>
          <w:bCs/>
          <w:kern w:val="0"/>
          <w:sz w:val="22"/>
          <w:szCs w:val="22"/>
          <w:lang w:eastAsia="en-AU"/>
          <w14:ligatures w14:val="none"/>
        </w:rPr>
        <w:t>“</w:t>
      </w:r>
      <w:r w:rsidR="008560E1" w:rsidRPr="00421D34">
        <w:rPr>
          <w:rFonts w:eastAsia="Times New Roman"/>
          <w:bCs/>
          <w:kern w:val="0"/>
          <w:sz w:val="22"/>
          <w:szCs w:val="22"/>
          <w:lang w:eastAsia="en-AU"/>
          <w14:ligatures w14:val="none"/>
        </w:rPr>
        <w:t>increasing urinary pH</w:t>
      </w:r>
      <w:r w:rsidR="00001421" w:rsidRPr="00421D34">
        <w:rPr>
          <w:rFonts w:eastAsia="Times New Roman"/>
          <w:bCs/>
          <w:kern w:val="0"/>
          <w:sz w:val="22"/>
          <w:szCs w:val="22"/>
          <w:lang w:eastAsia="en-AU"/>
          <w14:ligatures w14:val="none"/>
        </w:rPr>
        <w:t>”</w:t>
      </w:r>
      <w:r w:rsidRPr="00421D34">
        <w:rPr>
          <w:rFonts w:eastAsia="Times New Roman"/>
          <w:bCs/>
          <w:kern w:val="0"/>
          <w:sz w:val="22"/>
          <w:szCs w:val="22"/>
          <w:lang w:eastAsia="en-AU"/>
          <w14:ligatures w14:val="none"/>
        </w:rPr>
        <w:t>;</w:t>
      </w:r>
    </w:p>
    <w:p w14:paraId="4A35F6B6" w14:textId="044209BF" w:rsidR="00733AD0" w:rsidRPr="00421D34" w:rsidRDefault="004F6F0C" w:rsidP="00733AD0">
      <w:pPr>
        <w:pStyle w:val="ListParagraph"/>
        <w:numPr>
          <w:ilvl w:val="0"/>
          <w:numId w:val="5"/>
        </w:numPr>
        <w:spacing w:after="0" w:line="240" w:lineRule="auto"/>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introduc</w:t>
      </w:r>
      <w:r w:rsidR="00F46706" w:rsidRPr="00421D34">
        <w:rPr>
          <w:rFonts w:eastAsia="Times New Roman"/>
          <w:bCs/>
          <w:kern w:val="0"/>
          <w:sz w:val="22"/>
          <w:szCs w:val="22"/>
          <w:lang w:eastAsia="en-AU"/>
          <w14:ligatures w14:val="none"/>
        </w:rPr>
        <w:t>ing</w:t>
      </w:r>
      <w:r w:rsidRPr="00421D34">
        <w:rPr>
          <w:rFonts w:eastAsia="Times New Roman"/>
          <w:bCs/>
          <w:kern w:val="0"/>
          <w:sz w:val="22"/>
          <w:szCs w:val="22"/>
          <w:lang w:eastAsia="en-AU"/>
          <w14:ligatures w14:val="none"/>
        </w:rPr>
        <w:t xml:space="preserve"> a new requirement in section 6 of the Determination </w:t>
      </w:r>
      <w:r w:rsidR="00301F29" w:rsidRPr="00421D34">
        <w:rPr>
          <w:rFonts w:eastAsia="Times New Roman"/>
          <w:bCs/>
          <w:kern w:val="0"/>
          <w:sz w:val="22"/>
          <w:szCs w:val="22"/>
          <w:lang w:eastAsia="en-AU"/>
          <w14:ligatures w14:val="none"/>
        </w:rPr>
        <w:t xml:space="preserve">that supports a longstanding </w:t>
      </w:r>
      <w:r w:rsidR="00B963D4" w:rsidRPr="00421D34">
        <w:rPr>
          <w:rFonts w:eastAsia="Times New Roman"/>
          <w:bCs/>
          <w:kern w:val="0"/>
          <w:sz w:val="22"/>
          <w:szCs w:val="22"/>
          <w:lang w:eastAsia="en-AU"/>
          <w14:ligatures w14:val="none"/>
        </w:rPr>
        <w:t xml:space="preserve">policy position </w:t>
      </w:r>
      <w:r w:rsidRPr="00421D34">
        <w:rPr>
          <w:rFonts w:eastAsia="Times New Roman"/>
          <w:bCs/>
          <w:kern w:val="0"/>
          <w:sz w:val="22"/>
          <w:szCs w:val="22"/>
          <w:lang w:eastAsia="en-AU"/>
          <w14:ligatures w14:val="none"/>
        </w:rPr>
        <w:t>that the only indications that are permitted to be used in relation to medicines that are sunscreen products are the indications specified in Part 1</w:t>
      </w:r>
      <w:r w:rsidR="00A00C1B" w:rsidRPr="00421D34">
        <w:rPr>
          <w:rFonts w:eastAsia="Times New Roman"/>
          <w:bCs/>
          <w:kern w:val="0"/>
          <w:sz w:val="22"/>
          <w:szCs w:val="22"/>
          <w:lang w:eastAsia="en-AU"/>
          <w14:ligatures w14:val="none"/>
        </w:rPr>
        <w:t>6</w:t>
      </w:r>
      <w:r w:rsidRPr="00421D34">
        <w:rPr>
          <w:rFonts w:eastAsia="Times New Roman"/>
          <w:bCs/>
          <w:kern w:val="0"/>
          <w:sz w:val="22"/>
          <w:szCs w:val="22"/>
          <w:lang w:eastAsia="en-AU"/>
          <w14:ligatures w14:val="none"/>
        </w:rPr>
        <w:t xml:space="preserve"> of Schedule 1</w:t>
      </w:r>
      <w:r w:rsidR="00733AD0" w:rsidRPr="00421D34">
        <w:rPr>
          <w:rFonts w:eastAsia="Times New Roman"/>
          <w:bCs/>
          <w:kern w:val="0"/>
          <w:sz w:val="22"/>
          <w:szCs w:val="22"/>
          <w:lang w:eastAsia="en-AU"/>
          <w14:ligatures w14:val="none"/>
        </w:rPr>
        <w:t>;</w:t>
      </w:r>
    </w:p>
    <w:p w14:paraId="55EA1BB1" w14:textId="7331598F" w:rsidR="004F6F0C" w:rsidRPr="00421D34" w:rsidRDefault="004F6F0C" w:rsidP="00733AD0">
      <w:pPr>
        <w:pStyle w:val="ListParagraph"/>
        <w:numPr>
          <w:ilvl w:val="0"/>
          <w:numId w:val="5"/>
        </w:numPr>
        <w:spacing w:after="0" w:line="240" w:lineRule="auto"/>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introduc</w:t>
      </w:r>
      <w:r w:rsidR="00F46706" w:rsidRPr="00421D34">
        <w:rPr>
          <w:rFonts w:eastAsia="Times New Roman"/>
          <w:bCs/>
          <w:kern w:val="0"/>
          <w:sz w:val="22"/>
          <w:szCs w:val="22"/>
          <w:lang w:eastAsia="en-AU"/>
          <w14:ligatures w14:val="none"/>
        </w:rPr>
        <w:t>ing</w:t>
      </w:r>
      <w:r w:rsidRPr="00421D34">
        <w:rPr>
          <w:rFonts w:eastAsia="Times New Roman"/>
          <w:bCs/>
          <w:kern w:val="0"/>
          <w:sz w:val="22"/>
          <w:szCs w:val="22"/>
          <w:lang w:eastAsia="en-AU"/>
          <w14:ligatures w14:val="none"/>
        </w:rPr>
        <w:t xml:space="preserve"> a new table in </w:t>
      </w:r>
      <w:r w:rsidR="009445E4" w:rsidRPr="00421D34">
        <w:rPr>
          <w:rFonts w:eastAsia="Times New Roman"/>
          <w:bCs/>
          <w:kern w:val="0"/>
          <w:sz w:val="22"/>
          <w:szCs w:val="22"/>
          <w:lang w:eastAsia="en-AU"/>
          <w14:ligatures w14:val="none"/>
        </w:rPr>
        <w:t>Part 1</w:t>
      </w:r>
      <w:r w:rsidR="006E28BC" w:rsidRPr="00421D34">
        <w:rPr>
          <w:rFonts w:eastAsia="Times New Roman"/>
          <w:bCs/>
          <w:kern w:val="0"/>
          <w:sz w:val="22"/>
          <w:szCs w:val="22"/>
          <w:lang w:eastAsia="en-AU"/>
          <w14:ligatures w14:val="none"/>
        </w:rPr>
        <w:t>7</w:t>
      </w:r>
      <w:r w:rsidR="009445E4" w:rsidRPr="00421D34">
        <w:rPr>
          <w:rFonts w:eastAsia="Times New Roman"/>
          <w:bCs/>
          <w:kern w:val="0"/>
          <w:sz w:val="22"/>
          <w:szCs w:val="22"/>
          <w:lang w:eastAsia="en-AU"/>
          <w14:ligatures w14:val="none"/>
        </w:rPr>
        <w:t xml:space="preserve"> of </w:t>
      </w:r>
      <w:r w:rsidRPr="00421D34">
        <w:rPr>
          <w:rFonts w:eastAsia="Times New Roman"/>
          <w:bCs/>
          <w:kern w:val="0"/>
          <w:sz w:val="22"/>
          <w:szCs w:val="22"/>
          <w:lang w:eastAsia="en-AU"/>
          <w14:ligatures w14:val="none"/>
        </w:rPr>
        <w:t>Schedule 1 setting out indications relating to pregnancy</w:t>
      </w:r>
      <w:r w:rsidR="009445E4" w:rsidRPr="00421D34">
        <w:rPr>
          <w:rFonts w:eastAsia="Times New Roman"/>
          <w:bCs/>
          <w:kern w:val="0"/>
          <w:sz w:val="22"/>
          <w:szCs w:val="22"/>
          <w:lang w:eastAsia="en-AU"/>
          <w14:ligatures w14:val="none"/>
        </w:rPr>
        <w:t xml:space="preserve"> – the </w:t>
      </w:r>
      <w:r w:rsidRPr="00421D34">
        <w:rPr>
          <w:rFonts w:eastAsia="Times New Roman"/>
          <w:bCs/>
          <w:kern w:val="0"/>
          <w:sz w:val="22"/>
          <w:szCs w:val="22"/>
          <w:lang w:eastAsia="en-AU"/>
          <w14:ligatures w14:val="none"/>
        </w:rPr>
        <w:t>indications contained in this new table are existing indications that were previously specified in the table of indication relating to the reproductive system</w:t>
      </w:r>
      <w:r w:rsidR="009445E4" w:rsidRPr="00421D34">
        <w:rPr>
          <w:rFonts w:eastAsia="Times New Roman"/>
          <w:bCs/>
          <w:kern w:val="0"/>
          <w:sz w:val="22"/>
          <w:szCs w:val="22"/>
          <w:lang w:eastAsia="en-AU"/>
          <w14:ligatures w14:val="none"/>
        </w:rPr>
        <w:t xml:space="preserve"> in the former Determination</w:t>
      </w:r>
      <w:r w:rsidRPr="00421D34">
        <w:rPr>
          <w:rFonts w:eastAsia="Times New Roman"/>
          <w:bCs/>
          <w:kern w:val="0"/>
          <w:sz w:val="22"/>
          <w:szCs w:val="22"/>
          <w:lang w:eastAsia="en-AU"/>
          <w14:ligatures w14:val="none"/>
        </w:rPr>
        <w:t>;</w:t>
      </w:r>
    </w:p>
    <w:p w14:paraId="61E666CA" w14:textId="0EAF96C0" w:rsidR="00760AD0" w:rsidRPr="00421D34" w:rsidRDefault="004F6F0C" w:rsidP="00733AD0">
      <w:pPr>
        <w:pStyle w:val="ListParagraph"/>
        <w:numPr>
          <w:ilvl w:val="0"/>
          <w:numId w:val="5"/>
        </w:numPr>
        <w:spacing w:after="0" w:line="240" w:lineRule="auto"/>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lastRenderedPageBreak/>
        <w:t>introduc</w:t>
      </w:r>
      <w:r w:rsidR="00F46706" w:rsidRPr="00421D34">
        <w:rPr>
          <w:rFonts w:eastAsia="Times New Roman"/>
          <w:bCs/>
          <w:kern w:val="0"/>
          <w:sz w:val="22"/>
          <w:szCs w:val="22"/>
          <w:lang w:eastAsia="en-AU"/>
          <w14:ligatures w14:val="none"/>
        </w:rPr>
        <w:t>ing</w:t>
      </w:r>
      <w:r w:rsidRPr="00421D34">
        <w:rPr>
          <w:rFonts w:eastAsia="Times New Roman"/>
          <w:bCs/>
          <w:kern w:val="0"/>
          <w:sz w:val="22"/>
          <w:szCs w:val="22"/>
          <w:lang w:eastAsia="en-AU"/>
          <w14:ligatures w14:val="none"/>
        </w:rPr>
        <w:t xml:space="preserve"> a new table in </w:t>
      </w:r>
      <w:r w:rsidR="009445E4" w:rsidRPr="00421D34">
        <w:rPr>
          <w:rFonts w:eastAsia="Times New Roman"/>
          <w:bCs/>
          <w:kern w:val="0"/>
          <w:sz w:val="22"/>
          <w:szCs w:val="22"/>
          <w:lang w:eastAsia="en-AU"/>
          <w14:ligatures w14:val="none"/>
        </w:rPr>
        <w:t>Part 1</w:t>
      </w:r>
      <w:r w:rsidR="006E28BC" w:rsidRPr="00421D34">
        <w:rPr>
          <w:rFonts w:eastAsia="Times New Roman"/>
          <w:bCs/>
          <w:kern w:val="0"/>
          <w:sz w:val="22"/>
          <w:szCs w:val="22"/>
          <w:lang w:eastAsia="en-AU"/>
          <w14:ligatures w14:val="none"/>
        </w:rPr>
        <w:t>6</w:t>
      </w:r>
      <w:r w:rsidR="009445E4" w:rsidRPr="00421D34">
        <w:rPr>
          <w:rFonts w:eastAsia="Times New Roman"/>
          <w:bCs/>
          <w:kern w:val="0"/>
          <w:sz w:val="22"/>
          <w:szCs w:val="22"/>
          <w:lang w:eastAsia="en-AU"/>
          <w14:ligatures w14:val="none"/>
        </w:rPr>
        <w:t xml:space="preserve"> in </w:t>
      </w:r>
      <w:r w:rsidRPr="00421D34">
        <w:rPr>
          <w:rFonts w:eastAsia="Times New Roman"/>
          <w:bCs/>
          <w:kern w:val="0"/>
          <w:sz w:val="22"/>
          <w:szCs w:val="22"/>
          <w:lang w:eastAsia="en-AU"/>
          <w14:ligatures w14:val="none"/>
        </w:rPr>
        <w:t>Schedule 1 specifying sunscreen indications</w:t>
      </w:r>
      <w:r w:rsidR="009445E4" w:rsidRPr="00421D34">
        <w:rPr>
          <w:rFonts w:eastAsia="Times New Roman"/>
          <w:bCs/>
          <w:kern w:val="0"/>
          <w:sz w:val="22"/>
          <w:szCs w:val="22"/>
          <w:lang w:eastAsia="en-AU"/>
          <w14:ligatures w14:val="none"/>
        </w:rPr>
        <w:t xml:space="preserve"> – the </w:t>
      </w:r>
      <w:r w:rsidRPr="00421D34">
        <w:rPr>
          <w:rFonts w:eastAsia="Times New Roman"/>
          <w:bCs/>
          <w:kern w:val="0"/>
          <w:sz w:val="22"/>
          <w:szCs w:val="22"/>
          <w:lang w:eastAsia="en-AU"/>
          <w14:ligatures w14:val="none"/>
        </w:rPr>
        <w:t>indications contained in this new table are existing indications that were previously specified in the table of indication</w:t>
      </w:r>
      <w:r w:rsidR="009445E4" w:rsidRPr="00421D34">
        <w:rPr>
          <w:rFonts w:eastAsia="Times New Roman"/>
          <w:bCs/>
          <w:kern w:val="0"/>
          <w:sz w:val="22"/>
          <w:szCs w:val="22"/>
          <w:lang w:eastAsia="en-AU"/>
          <w14:ligatures w14:val="none"/>
        </w:rPr>
        <w:t>s</w:t>
      </w:r>
      <w:r w:rsidRPr="00421D34">
        <w:rPr>
          <w:rFonts w:eastAsia="Times New Roman"/>
          <w:bCs/>
          <w:kern w:val="0"/>
          <w:sz w:val="22"/>
          <w:szCs w:val="22"/>
          <w:lang w:eastAsia="en-AU"/>
          <w14:ligatures w14:val="none"/>
        </w:rPr>
        <w:t xml:space="preserve"> relating to skin</w:t>
      </w:r>
      <w:r w:rsidR="009445E4" w:rsidRPr="00421D34">
        <w:rPr>
          <w:rFonts w:eastAsia="Times New Roman"/>
          <w:bCs/>
          <w:kern w:val="0"/>
          <w:sz w:val="22"/>
          <w:szCs w:val="22"/>
          <w:lang w:eastAsia="en-AU"/>
          <w14:ligatures w14:val="none"/>
        </w:rPr>
        <w:t xml:space="preserve"> in the former Determination</w:t>
      </w:r>
      <w:r w:rsidR="00760AD0" w:rsidRPr="00421D34">
        <w:rPr>
          <w:rFonts w:eastAsia="Times New Roman"/>
          <w:bCs/>
          <w:kern w:val="0"/>
          <w:sz w:val="22"/>
          <w:szCs w:val="22"/>
          <w:lang w:eastAsia="en-AU"/>
          <w14:ligatures w14:val="none"/>
        </w:rPr>
        <w:t xml:space="preserve">; </w:t>
      </w:r>
      <w:r w:rsidR="00FA28FB" w:rsidRPr="00421D34">
        <w:rPr>
          <w:rFonts w:eastAsia="Times New Roman"/>
          <w:bCs/>
          <w:kern w:val="0"/>
          <w:sz w:val="22"/>
          <w:szCs w:val="22"/>
          <w:lang w:eastAsia="en-AU"/>
          <w14:ligatures w14:val="none"/>
        </w:rPr>
        <w:t>and</w:t>
      </w:r>
    </w:p>
    <w:p w14:paraId="33469B71" w14:textId="4448796A" w:rsidR="004F6F0C" w:rsidRPr="00421D34" w:rsidRDefault="00760AD0" w:rsidP="00733AD0">
      <w:pPr>
        <w:pStyle w:val="ListParagraph"/>
        <w:numPr>
          <w:ilvl w:val="0"/>
          <w:numId w:val="5"/>
        </w:numPr>
        <w:spacing w:after="0" w:line="240" w:lineRule="auto"/>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 xml:space="preserve">making other minor editorial </w:t>
      </w:r>
      <w:r w:rsidR="008560E1" w:rsidRPr="00421D34">
        <w:rPr>
          <w:rFonts w:eastAsia="Times New Roman"/>
          <w:bCs/>
          <w:kern w:val="0"/>
          <w:sz w:val="22"/>
          <w:szCs w:val="22"/>
          <w:lang w:eastAsia="en-AU"/>
          <w14:ligatures w14:val="none"/>
        </w:rPr>
        <w:t xml:space="preserve">and typographical </w:t>
      </w:r>
      <w:r w:rsidRPr="00421D34">
        <w:rPr>
          <w:rFonts w:eastAsia="Times New Roman"/>
          <w:bCs/>
          <w:kern w:val="0"/>
          <w:sz w:val="22"/>
          <w:szCs w:val="22"/>
          <w:lang w:eastAsia="en-AU"/>
          <w14:ligatures w14:val="none"/>
        </w:rPr>
        <w:t>amendments and corrections</w:t>
      </w:r>
      <w:r w:rsidR="006962F2" w:rsidRPr="00421D34">
        <w:rPr>
          <w:rFonts w:eastAsia="Times New Roman"/>
          <w:bCs/>
          <w:kern w:val="0"/>
          <w:sz w:val="22"/>
          <w:szCs w:val="22"/>
          <w:lang w:eastAsia="en-AU"/>
          <w14:ligatures w14:val="none"/>
        </w:rPr>
        <w:t>.</w:t>
      </w:r>
    </w:p>
    <w:p w14:paraId="436F0672" w14:textId="4AA38448" w:rsidR="004F6F0C" w:rsidRPr="00421D34" w:rsidRDefault="004F6F0C" w:rsidP="004D107E">
      <w:pPr>
        <w:spacing w:after="0" w:line="240" w:lineRule="auto"/>
        <w:contextualSpacing/>
        <w:rPr>
          <w:rFonts w:eastAsia="Times New Roman"/>
          <w:bCs/>
          <w:kern w:val="0"/>
          <w:sz w:val="22"/>
          <w:szCs w:val="22"/>
          <w:lang w:eastAsia="en-AU"/>
          <w14:ligatures w14:val="none"/>
        </w:rPr>
      </w:pPr>
    </w:p>
    <w:p w14:paraId="7E78450B" w14:textId="437CEF0D" w:rsidR="0041629C" w:rsidRPr="00421D34" w:rsidRDefault="00FA28FB" w:rsidP="00421D34">
      <w:pPr>
        <w:autoSpaceDE w:val="0"/>
        <w:autoSpaceDN w:val="0"/>
        <w:adjustRightInd w:val="0"/>
        <w:spacing w:after="0" w:line="240" w:lineRule="auto"/>
        <w:contextualSpacing/>
        <w:rPr>
          <w:rFonts w:eastAsia="Times New Roman"/>
          <w:bCs/>
          <w:kern w:val="0"/>
          <w:sz w:val="22"/>
          <w:szCs w:val="22"/>
          <w:lang w:eastAsia="en-AU"/>
          <w14:ligatures w14:val="none"/>
        </w:rPr>
      </w:pPr>
      <w:r w:rsidRPr="00421D34">
        <w:rPr>
          <w:rFonts w:eastAsia="Times New Roman"/>
          <w:kern w:val="0"/>
          <w:sz w:val="22"/>
          <w:szCs w:val="22"/>
          <w:lang w:eastAsia="en-AU"/>
          <w14:ligatures w14:val="none"/>
        </w:rPr>
        <w:t>The new requirement that the only indications that may be used in relation to listed sunscreen products are those indications that relate to sun protection,</w:t>
      </w:r>
      <w:r w:rsidR="00210A96" w:rsidRPr="00421D34">
        <w:rPr>
          <w:rFonts w:eastAsia="Times New Roman"/>
          <w:kern w:val="0"/>
          <w:sz w:val="22"/>
          <w:szCs w:val="22"/>
          <w:lang w:eastAsia="en-AU"/>
          <w14:ligatures w14:val="none"/>
        </w:rPr>
        <w:t xml:space="preserve"> </w:t>
      </w:r>
      <w:r w:rsidR="0041629C" w:rsidRPr="00421D34">
        <w:rPr>
          <w:rFonts w:eastAsia="Times New Roman"/>
          <w:kern w:val="0"/>
          <w:sz w:val="22"/>
          <w:szCs w:val="22"/>
          <w:lang w:eastAsia="en-AU"/>
          <w14:ligatures w14:val="none"/>
        </w:rPr>
        <w:t>give effect to</w:t>
      </w:r>
      <w:r w:rsidR="00210A96" w:rsidRPr="00421D34">
        <w:rPr>
          <w:rFonts w:eastAsia="Times New Roman"/>
          <w:kern w:val="0"/>
          <w:sz w:val="22"/>
          <w:szCs w:val="22"/>
          <w:lang w:eastAsia="en-AU"/>
          <w14:ligatures w14:val="none"/>
        </w:rPr>
        <w:t xml:space="preserve"> longstanding TGA policy</w:t>
      </w:r>
      <w:r w:rsidR="007017F3" w:rsidRPr="00421D34">
        <w:rPr>
          <w:rFonts w:eastAsia="Times New Roman"/>
          <w:kern w:val="0"/>
          <w:sz w:val="22"/>
          <w:szCs w:val="22"/>
          <w:lang w:eastAsia="en-AU"/>
          <w14:ligatures w14:val="none"/>
        </w:rPr>
        <w:t>.</w:t>
      </w:r>
      <w:r w:rsidRPr="00421D34">
        <w:rPr>
          <w:rFonts w:eastAsia="Times New Roman"/>
          <w:kern w:val="0"/>
          <w:sz w:val="22"/>
          <w:szCs w:val="22"/>
          <w:lang w:eastAsia="en-AU"/>
          <w14:ligatures w14:val="none"/>
        </w:rPr>
        <w:t xml:space="preserve"> </w:t>
      </w:r>
      <w:r w:rsidR="00C14FC6" w:rsidRPr="00421D34">
        <w:rPr>
          <w:rFonts w:eastAsia="Times New Roman"/>
          <w:bCs/>
          <w:kern w:val="0"/>
          <w:sz w:val="22"/>
          <w:szCs w:val="22"/>
          <w:lang w:eastAsia="en-AU"/>
          <w14:ligatures w14:val="none"/>
        </w:rPr>
        <w:t xml:space="preserve">While sunscreens can include non-therapeutic claims </w:t>
      </w:r>
      <w:r w:rsidR="007017F3" w:rsidRPr="00421D34">
        <w:rPr>
          <w:rFonts w:eastAsia="Times New Roman"/>
          <w:bCs/>
          <w:kern w:val="0"/>
          <w:sz w:val="22"/>
          <w:szCs w:val="22"/>
          <w:lang w:eastAsia="en-AU"/>
          <w14:ligatures w14:val="none"/>
        </w:rPr>
        <w:t xml:space="preserve">(e.g. cosmetic or insect-repellent claims) </w:t>
      </w:r>
      <w:r w:rsidR="00C14FC6" w:rsidRPr="00421D34">
        <w:rPr>
          <w:rFonts w:eastAsia="Times New Roman"/>
          <w:bCs/>
          <w:kern w:val="0"/>
          <w:sz w:val="22"/>
          <w:szCs w:val="22"/>
          <w:lang w:eastAsia="en-AU"/>
          <w14:ligatures w14:val="none"/>
        </w:rPr>
        <w:t xml:space="preserve">on their label, it has been a long-standing policy </w:t>
      </w:r>
      <w:r w:rsidR="0041629C" w:rsidRPr="00421D34">
        <w:rPr>
          <w:rFonts w:eastAsia="Times New Roman"/>
          <w:bCs/>
          <w:kern w:val="0"/>
          <w:sz w:val="22"/>
          <w:szCs w:val="22"/>
          <w:lang w:eastAsia="en-AU"/>
          <w14:ligatures w14:val="none"/>
        </w:rPr>
        <w:t>of</w:t>
      </w:r>
      <w:r w:rsidR="00C14FC6" w:rsidRPr="00421D34">
        <w:rPr>
          <w:rFonts w:eastAsia="Times New Roman"/>
          <w:bCs/>
          <w:kern w:val="0"/>
          <w:sz w:val="22"/>
          <w:szCs w:val="22"/>
          <w:lang w:eastAsia="en-AU"/>
          <w14:ligatures w14:val="none"/>
        </w:rPr>
        <w:t xml:space="preserve"> the TGA that if a sunscreen makes </w:t>
      </w:r>
      <w:r w:rsidR="0041629C" w:rsidRPr="00421D34">
        <w:rPr>
          <w:rFonts w:eastAsia="Times New Roman"/>
          <w:bCs/>
          <w:kern w:val="0"/>
          <w:sz w:val="22"/>
          <w:szCs w:val="22"/>
          <w:lang w:eastAsia="en-AU"/>
          <w14:ligatures w14:val="none"/>
        </w:rPr>
        <w:t>therapeutic claims</w:t>
      </w:r>
      <w:r w:rsidR="00C14FC6" w:rsidRPr="00421D34">
        <w:rPr>
          <w:rFonts w:eastAsia="Times New Roman"/>
          <w:bCs/>
          <w:kern w:val="0"/>
          <w:sz w:val="22"/>
          <w:szCs w:val="22"/>
          <w:lang w:eastAsia="en-AU"/>
          <w14:ligatures w14:val="none"/>
        </w:rPr>
        <w:t xml:space="preserve"> other than </w:t>
      </w:r>
      <w:r w:rsidR="007017F3" w:rsidRPr="00421D34">
        <w:rPr>
          <w:rFonts w:eastAsia="Times New Roman"/>
          <w:bCs/>
          <w:kern w:val="0"/>
          <w:sz w:val="22"/>
          <w:szCs w:val="22"/>
          <w:lang w:eastAsia="en-AU"/>
          <w14:ligatures w14:val="none"/>
        </w:rPr>
        <w:t xml:space="preserve">indications related to sun </w:t>
      </w:r>
      <w:r w:rsidR="0041629C" w:rsidRPr="00421D34">
        <w:rPr>
          <w:rFonts w:eastAsia="Times New Roman"/>
          <w:bCs/>
          <w:kern w:val="0"/>
          <w:sz w:val="22"/>
          <w:szCs w:val="22"/>
          <w:lang w:eastAsia="en-AU"/>
          <w14:ligatures w14:val="none"/>
        </w:rPr>
        <w:t>protection,</w:t>
      </w:r>
      <w:r w:rsidR="007017F3" w:rsidRPr="00421D34">
        <w:rPr>
          <w:rFonts w:eastAsia="Times New Roman"/>
          <w:bCs/>
          <w:kern w:val="0"/>
          <w:sz w:val="22"/>
          <w:szCs w:val="22"/>
          <w:lang w:eastAsia="en-AU"/>
          <w14:ligatures w14:val="none"/>
        </w:rPr>
        <w:t xml:space="preserve"> </w:t>
      </w:r>
      <w:r w:rsidR="00C14FC6" w:rsidRPr="00421D34">
        <w:rPr>
          <w:rFonts w:eastAsia="Times New Roman"/>
          <w:bCs/>
          <w:kern w:val="0"/>
          <w:sz w:val="22"/>
          <w:szCs w:val="22"/>
          <w:lang w:eastAsia="en-AU"/>
          <w14:ligatures w14:val="none"/>
        </w:rPr>
        <w:t xml:space="preserve">then the </w:t>
      </w:r>
      <w:r w:rsidR="0041629C" w:rsidRPr="00421D34">
        <w:rPr>
          <w:rFonts w:eastAsia="Times New Roman"/>
          <w:bCs/>
          <w:kern w:val="0"/>
          <w:sz w:val="22"/>
          <w:szCs w:val="22"/>
          <w:lang w:eastAsia="en-AU"/>
          <w14:ligatures w14:val="none"/>
        </w:rPr>
        <w:t>sunscreen</w:t>
      </w:r>
      <w:r w:rsidR="00C14FC6" w:rsidRPr="00421D34">
        <w:rPr>
          <w:rFonts w:eastAsia="Times New Roman"/>
          <w:bCs/>
          <w:kern w:val="0"/>
          <w:sz w:val="22"/>
          <w:szCs w:val="22"/>
          <w:lang w:eastAsia="en-AU"/>
          <w14:ligatures w14:val="none"/>
        </w:rPr>
        <w:t xml:space="preserve"> is required to be registered on the </w:t>
      </w:r>
      <w:r w:rsidR="0041629C" w:rsidRPr="00421D34">
        <w:rPr>
          <w:rFonts w:eastAsia="Times New Roman"/>
          <w:bCs/>
          <w:kern w:val="0"/>
          <w:sz w:val="22"/>
          <w:szCs w:val="22"/>
          <w:lang w:eastAsia="en-AU"/>
          <w14:ligatures w14:val="none"/>
        </w:rPr>
        <w:t>Register</w:t>
      </w:r>
      <w:r w:rsidR="00C14FC6" w:rsidRPr="00421D34">
        <w:rPr>
          <w:rFonts w:eastAsia="Times New Roman"/>
          <w:bCs/>
          <w:kern w:val="0"/>
          <w:sz w:val="22"/>
          <w:szCs w:val="22"/>
          <w:lang w:eastAsia="en-AU"/>
          <w14:ligatures w14:val="none"/>
        </w:rPr>
        <w:t xml:space="preserve"> and undergo a pre-market evaluation for safety, quality and efficacy.</w:t>
      </w:r>
    </w:p>
    <w:p w14:paraId="03E6E63C" w14:textId="77777777" w:rsidR="0041629C" w:rsidRPr="00421D34" w:rsidRDefault="0041629C" w:rsidP="00C14FC6">
      <w:pPr>
        <w:spacing w:after="0" w:line="240" w:lineRule="auto"/>
        <w:contextualSpacing/>
        <w:rPr>
          <w:rFonts w:eastAsia="Times New Roman"/>
          <w:bCs/>
          <w:kern w:val="0"/>
          <w:sz w:val="22"/>
          <w:szCs w:val="22"/>
          <w:lang w:eastAsia="en-AU"/>
          <w14:ligatures w14:val="none"/>
        </w:rPr>
      </w:pPr>
    </w:p>
    <w:p w14:paraId="3283D5E3" w14:textId="68A79282" w:rsidR="007017F3" w:rsidRPr="00421D34" w:rsidRDefault="0041629C" w:rsidP="00C14FC6">
      <w:pPr>
        <w:spacing w:after="0" w:line="240" w:lineRule="auto"/>
        <w:contextualSpacing/>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A</w:t>
      </w:r>
      <w:r w:rsidR="00C14FC6" w:rsidRPr="00421D34">
        <w:rPr>
          <w:rFonts w:eastAsia="Times New Roman"/>
          <w:bCs/>
          <w:kern w:val="0"/>
          <w:sz w:val="22"/>
          <w:szCs w:val="22"/>
          <w:lang w:eastAsia="en-AU"/>
          <w14:ligatures w14:val="none"/>
        </w:rPr>
        <w:t xml:space="preserve"> requirement in column 4 of table 12 </w:t>
      </w:r>
      <w:r w:rsidRPr="00421D34">
        <w:rPr>
          <w:rFonts w:eastAsia="Times New Roman"/>
          <w:bCs/>
          <w:kern w:val="0"/>
          <w:sz w:val="22"/>
          <w:szCs w:val="22"/>
          <w:lang w:eastAsia="en-AU"/>
          <w14:ligatures w14:val="none"/>
        </w:rPr>
        <w:t>in Schedule 1 to the</w:t>
      </w:r>
      <w:r w:rsidR="00C14FC6" w:rsidRPr="00421D34">
        <w:rPr>
          <w:rFonts w:eastAsia="Times New Roman"/>
          <w:bCs/>
          <w:kern w:val="0"/>
          <w:sz w:val="22"/>
          <w:szCs w:val="22"/>
          <w:lang w:eastAsia="en-AU"/>
          <w14:ligatures w14:val="none"/>
        </w:rPr>
        <w:t xml:space="preserve"> </w:t>
      </w:r>
      <w:r w:rsidR="007B193C" w:rsidRPr="00421D34">
        <w:rPr>
          <w:rFonts w:eastAsia="Times New Roman"/>
          <w:bCs/>
          <w:kern w:val="0"/>
          <w:sz w:val="22"/>
          <w:szCs w:val="22"/>
          <w:lang w:eastAsia="en-AU"/>
          <w14:ligatures w14:val="none"/>
        </w:rPr>
        <w:t xml:space="preserve">former </w:t>
      </w:r>
      <w:r w:rsidR="00C14FC6" w:rsidRPr="00421D34">
        <w:rPr>
          <w:rFonts w:eastAsia="Times New Roman"/>
          <w:bCs/>
          <w:kern w:val="0"/>
          <w:sz w:val="22"/>
          <w:szCs w:val="22"/>
          <w:lang w:eastAsia="en-AU"/>
          <w14:ligatures w14:val="none"/>
        </w:rPr>
        <w:t xml:space="preserve">Determination </w:t>
      </w:r>
      <w:r w:rsidRPr="00421D34">
        <w:rPr>
          <w:rFonts w:eastAsia="Times New Roman"/>
          <w:bCs/>
          <w:kern w:val="0"/>
          <w:sz w:val="22"/>
          <w:szCs w:val="22"/>
          <w:lang w:eastAsia="en-AU"/>
          <w14:ligatures w14:val="none"/>
        </w:rPr>
        <w:t>stating that</w:t>
      </w:r>
      <w:r w:rsidR="00C14FC6" w:rsidRPr="00421D34">
        <w:rPr>
          <w:rFonts w:eastAsia="Times New Roman"/>
          <w:bCs/>
          <w:kern w:val="0"/>
          <w:sz w:val="22"/>
          <w:szCs w:val="22"/>
          <w:lang w:eastAsia="en-AU"/>
          <w14:ligatures w14:val="none"/>
        </w:rPr>
        <w:t xml:space="preserve"> sunscreen-specific indications are ‘for use in sunscreen products only’ or ‘can only be used for sunscreen products (with certain SPF ratings)’ </w:t>
      </w:r>
      <w:r w:rsidR="007017F3" w:rsidRPr="00421D34">
        <w:rPr>
          <w:rFonts w:eastAsia="Times New Roman"/>
          <w:bCs/>
          <w:kern w:val="0"/>
          <w:sz w:val="22"/>
          <w:szCs w:val="22"/>
          <w:lang w:eastAsia="en-AU"/>
          <w14:ligatures w14:val="none"/>
        </w:rPr>
        <w:t>clearly provide</w:t>
      </w:r>
      <w:r w:rsidR="00336CB8" w:rsidRPr="00421D34">
        <w:rPr>
          <w:rFonts w:eastAsia="Times New Roman"/>
          <w:bCs/>
          <w:kern w:val="0"/>
          <w:sz w:val="22"/>
          <w:szCs w:val="22"/>
          <w:lang w:eastAsia="en-AU"/>
          <w14:ligatures w14:val="none"/>
        </w:rPr>
        <w:t>d</w:t>
      </w:r>
      <w:r w:rsidR="007017F3" w:rsidRPr="00421D34">
        <w:rPr>
          <w:rFonts w:eastAsia="Times New Roman"/>
          <w:bCs/>
          <w:kern w:val="0"/>
          <w:sz w:val="22"/>
          <w:szCs w:val="22"/>
          <w:lang w:eastAsia="en-AU"/>
          <w14:ligatures w14:val="none"/>
        </w:rPr>
        <w:t xml:space="preserve"> </w:t>
      </w:r>
      <w:r w:rsidR="00C14FC6" w:rsidRPr="00421D34">
        <w:rPr>
          <w:rFonts w:eastAsia="Times New Roman"/>
          <w:bCs/>
          <w:kern w:val="0"/>
          <w:sz w:val="22"/>
          <w:szCs w:val="22"/>
          <w:lang w:eastAsia="en-AU"/>
          <w14:ligatures w14:val="none"/>
        </w:rPr>
        <w:t xml:space="preserve">that sunscreen-specific indications cannot be used for non-sunscreen products. However, the </w:t>
      </w:r>
      <w:r w:rsidR="007B193C" w:rsidRPr="00421D34">
        <w:rPr>
          <w:rFonts w:eastAsia="Times New Roman"/>
          <w:bCs/>
          <w:kern w:val="0"/>
          <w:sz w:val="22"/>
          <w:szCs w:val="22"/>
          <w:lang w:eastAsia="en-AU"/>
          <w14:ligatures w14:val="none"/>
        </w:rPr>
        <w:t xml:space="preserve">former </w:t>
      </w:r>
      <w:r w:rsidR="00C14FC6" w:rsidRPr="00421D34">
        <w:rPr>
          <w:rFonts w:eastAsia="Times New Roman"/>
          <w:bCs/>
          <w:kern w:val="0"/>
          <w:sz w:val="22"/>
          <w:szCs w:val="22"/>
          <w:lang w:eastAsia="en-AU"/>
          <w14:ligatures w14:val="none"/>
        </w:rPr>
        <w:t>Determination d</w:t>
      </w:r>
      <w:r w:rsidR="007017F3" w:rsidRPr="00421D34">
        <w:rPr>
          <w:rFonts w:eastAsia="Times New Roman"/>
          <w:bCs/>
          <w:kern w:val="0"/>
          <w:sz w:val="22"/>
          <w:szCs w:val="22"/>
          <w:lang w:eastAsia="en-AU"/>
          <w14:ligatures w14:val="none"/>
        </w:rPr>
        <w:t>id</w:t>
      </w:r>
      <w:r w:rsidR="00C14FC6" w:rsidRPr="00421D34">
        <w:rPr>
          <w:rFonts w:eastAsia="Times New Roman"/>
          <w:bCs/>
          <w:kern w:val="0"/>
          <w:sz w:val="22"/>
          <w:szCs w:val="22"/>
          <w:lang w:eastAsia="en-AU"/>
          <w14:ligatures w14:val="none"/>
        </w:rPr>
        <w:t xml:space="preserve"> not explicitly indicate that sunscreen products cannot use other indications</w:t>
      </w:r>
      <w:r w:rsidR="003B22F0" w:rsidRPr="00421D34">
        <w:rPr>
          <w:rFonts w:eastAsia="Times New Roman"/>
          <w:bCs/>
          <w:kern w:val="0"/>
          <w:sz w:val="22"/>
          <w:szCs w:val="22"/>
          <w:lang w:eastAsia="en-AU"/>
          <w14:ligatures w14:val="none"/>
        </w:rPr>
        <w:t xml:space="preserve"> that are not sunscreen-specific</w:t>
      </w:r>
      <w:r w:rsidR="00C14FC6" w:rsidRPr="00421D34">
        <w:rPr>
          <w:rFonts w:eastAsia="Times New Roman"/>
          <w:bCs/>
          <w:kern w:val="0"/>
          <w:sz w:val="22"/>
          <w:szCs w:val="22"/>
          <w:lang w:eastAsia="en-AU"/>
          <w14:ligatures w14:val="none"/>
        </w:rPr>
        <w:t>.</w:t>
      </w:r>
      <w:r w:rsidR="007017F3" w:rsidRPr="00421D34">
        <w:rPr>
          <w:rFonts w:eastAsia="Times New Roman"/>
          <w:bCs/>
          <w:kern w:val="0"/>
          <w:sz w:val="22"/>
          <w:szCs w:val="22"/>
          <w:lang w:eastAsia="en-AU"/>
          <w14:ligatures w14:val="none"/>
        </w:rPr>
        <w:t xml:space="preserve"> </w:t>
      </w:r>
      <w:r w:rsidR="003B22F0" w:rsidRPr="00421D34">
        <w:rPr>
          <w:rFonts w:eastAsia="Times New Roman"/>
          <w:bCs/>
          <w:kern w:val="0"/>
          <w:sz w:val="22"/>
          <w:szCs w:val="22"/>
          <w:lang w:eastAsia="en-AU"/>
          <w14:ligatures w14:val="none"/>
        </w:rPr>
        <w:t>The Determination clarifies this in new subsection 6(3).</w:t>
      </w:r>
    </w:p>
    <w:p w14:paraId="2601B1B5" w14:textId="77777777" w:rsidR="007017F3" w:rsidRPr="00421D34" w:rsidRDefault="007017F3" w:rsidP="00C14FC6">
      <w:pPr>
        <w:spacing w:after="0" w:line="240" w:lineRule="auto"/>
        <w:contextualSpacing/>
        <w:rPr>
          <w:rFonts w:eastAsia="Times New Roman"/>
          <w:bCs/>
          <w:kern w:val="0"/>
          <w:sz w:val="22"/>
          <w:szCs w:val="22"/>
          <w:lang w:eastAsia="en-AU"/>
          <w14:ligatures w14:val="none"/>
        </w:rPr>
      </w:pPr>
    </w:p>
    <w:p w14:paraId="7C133AB0" w14:textId="50C1AA5A" w:rsidR="007017F3" w:rsidRPr="00421D34" w:rsidRDefault="007017F3" w:rsidP="004D107E">
      <w:pPr>
        <w:spacing w:after="0" w:line="240" w:lineRule="auto"/>
        <w:contextualSpacing/>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 xml:space="preserve">The reasons </w:t>
      </w:r>
      <w:r w:rsidR="00336CB8" w:rsidRPr="00421D34">
        <w:rPr>
          <w:rFonts w:eastAsia="Times New Roman"/>
          <w:bCs/>
          <w:kern w:val="0"/>
          <w:sz w:val="22"/>
          <w:szCs w:val="22"/>
          <w:lang w:eastAsia="en-AU"/>
          <w14:ligatures w14:val="none"/>
        </w:rPr>
        <w:t xml:space="preserve">that </w:t>
      </w:r>
      <w:r w:rsidR="003B22F0" w:rsidRPr="00421D34">
        <w:rPr>
          <w:rFonts w:eastAsia="Times New Roman"/>
          <w:bCs/>
          <w:kern w:val="0"/>
          <w:sz w:val="22"/>
          <w:szCs w:val="22"/>
          <w:lang w:eastAsia="en-AU"/>
          <w14:ligatures w14:val="none"/>
        </w:rPr>
        <w:t xml:space="preserve">listed </w:t>
      </w:r>
      <w:r w:rsidR="00336CB8" w:rsidRPr="00421D34">
        <w:rPr>
          <w:rFonts w:eastAsia="Times New Roman"/>
          <w:bCs/>
          <w:kern w:val="0"/>
          <w:sz w:val="22"/>
          <w:szCs w:val="22"/>
          <w:lang w:eastAsia="en-AU"/>
          <w14:ligatures w14:val="none"/>
        </w:rPr>
        <w:t xml:space="preserve">sunscreens can only use </w:t>
      </w:r>
      <w:r w:rsidR="003B22F0" w:rsidRPr="00421D34">
        <w:rPr>
          <w:rFonts w:eastAsia="Times New Roman"/>
          <w:bCs/>
          <w:kern w:val="0"/>
          <w:sz w:val="22"/>
          <w:szCs w:val="22"/>
          <w:lang w:eastAsia="en-AU"/>
          <w14:ligatures w14:val="none"/>
        </w:rPr>
        <w:t>sunscreen-</w:t>
      </w:r>
      <w:r w:rsidR="00336CB8" w:rsidRPr="00421D34">
        <w:rPr>
          <w:rFonts w:eastAsia="Times New Roman"/>
          <w:bCs/>
          <w:kern w:val="0"/>
          <w:sz w:val="22"/>
          <w:szCs w:val="22"/>
          <w:lang w:eastAsia="en-AU"/>
          <w14:ligatures w14:val="none"/>
        </w:rPr>
        <w:t>specific indications</w:t>
      </w:r>
      <w:r w:rsidR="003B22F0" w:rsidRPr="00421D34">
        <w:rPr>
          <w:rFonts w:eastAsia="Times New Roman"/>
          <w:bCs/>
          <w:kern w:val="0"/>
          <w:sz w:val="22"/>
          <w:szCs w:val="22"/>
          <w:lang w:eastAsia="en-AU"/>
          <w14:ligatures w14:val="none"/>
        </w:rPr>
        <w:t>, and sunscreens with other therapeutic claims should be assessed by the TGA for safety, quality and efficacy,</w:t>
      </w:r>
      <w:r w:rsidR="00336CB8" w:rsidRPr="00421D34">
        <w:rPr>
          <w:rFonts w:eastAsia="Times New Roman"/>
          <w:bCs/>
          <w:kern w:val="0"/>
          <w:sz w:val="22"/>
          <w:szCs w:val="22"/>
          <w:lang w:eastAsia="en-AU"/>
          <w14:ligatures w14:val="none"/>
        </w:rPr>
        <w:t xml:space="preserve"> are as follows:</w:t>
      </w:r>
    </w:p>
    <w:p w14:paraId="4C546192" w14:textId="77777777" w:rsidR="007017F3" w:rsidRPr="00421D34" w:rsidRDefault="007017F3" w:rsidP="004D107E">
      <w:pPr>
        <w:spacing w:after="0" w:line="240" w:lineRule="auto"/>
        <w:contextualSpacing/>
        <w:rPr>
          <w:rFonts w:eastAsia="Times New Roman"/>
          <w:bCs/>
          <w:kern w:val="0"/>
          <w:sz w:val="22"/>
          <w:szCs w:val="22"/>
          <w:lang w:eastAsia="en-AU"/>
          <w14:ligatures w14:val="none"/>
        </w:rPr>
      </w:pPr>
    </w:p>
    <w:p w14:paraId="4EF7329D" w14:textId="7045CAFC" w:rsidR="00336CB8" w:rsidRPr="00421D34" w:rsidRDefault="00336CB8" w:rsidP="00336CB8">
      <w:pPr>
        <w:pStyle w:val="ListParagraph"/>
        <w:numPr>
          <w:ilvl w:val="0"/>
          <w:numId w:val="5"/>
        </w:numPr>
        <w:spacing w:after="0" w:line="240" w:lineRule="auto"/>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Sunscreens are an important health measure in Australia and can refer to prevention of skin cancer, unlike any other listed medicine. Having other non-sunscreen indications (e.g. ‘Reduce</w:t>
      </w:r>
      <w:r w:rsidR="003B22F0" w:rsidRPr="00421D34">
        <w:rPr>
          <w:rFonts w:eastAsia="Times New Roman"/>
          <w:bCs/>
          <w:kern w:val="0"/>
          <w:sz w:val="22"/>
          <w:szCs w:val="22"/>
          <w:lang w:eastAsia="en-AU"/>
          <w14:ligatures w14:val="none"/>
        </w:rPr>
        <w:t>s</w:t>
      </w:r>
      <w:r w:rsidRPr="00421D34">
        <w:rPr>
          <w:rFonts w:eastAsia="Times New Roman"/>
          <w:bCs/>
          <w:kern w:val="0"/>
          <w:sz w:val="22"/>
          <w:szCs w:val="22"/>
          <w:lang w:eastAsia="en-AU"/>
          <w14:ligatures w14:val="none"/>
        </w:rPr>
        <w:t xml:space="preserve"> symptoms of nappy rash’</w:t>
      </w:r>
      <w:r w:rsidR="003B22F0" w:rsidRPr="00421D34">
        <w:rPr>
          <w:rFonts w:eastAsia="Times New Roman"/>
          <w:bCs/>
          <w:kern w:val="0"/>
          <w:sz w:val="22"/>
          <w:szCs w:val="22"/>
          <w:lang w:eastAsia="en-AU"/>
          <w14:ligatures w14:val="none"/>
        </w:rPr>
        <w:t xml:space="preserve"> or</w:t>
      </w:r>
      <w:r w:rsidRPr="00421D34">
        <w:rPr>
          <w:rFonts w:eastAsia="Times New Roman"/>
          <w:bCs/>
          <w:kern w:val="0"/>
          <w:sz w:val="22"/>
          <w:szCs w:val="22"/>
          <w:lang w:eastAsia="en-AU"/>
          <w14:ligatures w14:val="none"/>
        </w:rPr>
        <w:t xml:space="preserve"> ‘Improve</w:t>
      </w:r>
      <w:r w:rsidR="003B22F0" w:rsidRPr="00421D34">
        <w:rPr>
          <w:rFonts w:eastAsia="Times New Roman"/>
          <w:bCs/>
          <w:kern w:val="0"/>
          <w:sz w:val="22"/>
          <w:szCs w:val="22"/>
          <w:lang w:eastAsia="en-AU"/>
          <w14:ligatures w14:val="none"/>
        </w:rPr>
        <w:t>s</w:t>
      </w:r>
      <w:r w:rsidRPr="00421D34">
        <w:rPr>
          <w:rFonts w:eastAsia="Times New Roman"/>
          <w:bCs/>
          <w:kern w:val="0"/>
          <w:sz w:val="22"/>
          <w:szCs w:val="22"/>
          <w:lang w:eastAsia="en-AU"/>
          <w14:ligatures w14:val="none"/>
        </w:rPr>
        <w:t xml:space="preserve"> hair growth’) </w:t>
      </w:r>
      <w:r w:rsidR="003B22F0" w:rsidRPr="00421D34">
        <w:rPr>
          <w:rFonts w:eastAsia="Times New Roman"/>
          <w:bCs/>
          <w:kern w:val="0"/>
          <w:sz w:val="22"/>
          <w:szCs w:val="22"/>
          <w:lang w:eastAsia="en-AU"/>
          <w14:ligatures w14:val="none"/>
        </w:rPr>
        <w:t xml:space="preserve">associated with a sunscreen product </w:t>
      </w:r>
      <w:r w:rsidRPr="00421D34">
        <w:rPr>
          <w:rFonts w:eastAsia="Times New Roman"/>
          <w:bCs/>
          <w:kern w:val="0"/>
          <w:sz w:val="22"/>
          <w:szCs w:val="22"/>
          <w:lang w:eastAsia="en-AU"/>
          <w14:ligatures w14:val="none"/>
        </w:rPr>
        <w:t>may dilute the important health message that these products should be used for the prevention of skin cancer</w:t>
      </w:r>
      <w:r w:rsidR="003B22F0" w:rsidRPr="00421D34">
        <w:rPr>
          <w:rFonts w:eastAsia="Times New Roman"/>
          <w:bCs/>
          <w:kern w:val="0"/>
          <w:sz w:val="22"/>
          <w:szCs w:val="22"/>
          <w:lang w:eastAsia="en-AU"/>
          <w14:ligatures w14:val="none"/>
        </w:rPr>
        <w:t>.</w:t>
      </w:r>
    </w:p>
    <w:p w14:paraId="31089E8C" w14:textId="2AEBA2B6" w:rsidR="00F86B5C" w:rsidRPr="00421D34" w:rsidRDefault="00336CB8" w:rsidP="00336CB8">
      <w:pPr>
        <w:pStyle w:val="ListParagraph"/>
        <w:numPr>
          <w:ilvl w:val="0"/>
          <w:numId w:val="5"/>
        </w:numPr>
        <w:spacing w:after="0" w:line="240" w:lineRule="auto"/>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 xml:space="preserve">It is important that sunscreens are used according to the directions on the label and are applied in a way that </w:t>
      </w:r>
      <w:r w:rsidR="003B22F0" w:rsidRPr="00421D34">
        <w:rPr>
          <w:rFonts w:eastAsia="Times New Roman"/>
          <w:bCs/>
          <w:kern w:val="0"/>
          <w:sz w:val="22"/>
          <w:szCs w:val="22"/>
          <w:lang w:eastAsia="en-AU"/>
          <w14:ligatures w14:val="none"/>
        </w:rPr>
        <w:t>makes the sunscreen most</w:t>
      </w:r>
      <w:r w:rsidRPr="00421D34">
        <w:rPr>
          <w:rFonts w:eastAsia="Times New Roman"/>
          <w:bCs/>
          <w:kern w:val="0"/>
          <w:sz w:val="22"/>
          <w:szCs w:val="22"/>
          <w:lang w:eastAsia="en-AU"/>
          <w14:ligatures w14:val="none"/>
        </w:rPr>
        <w:t xml:space="preserve"> effective. Many people may apply </w:t>
      </w:r>
      <w:r w:rsidR="003B22F0" w:rsidRPr="00421D34">
        <w:rPr>
          <w:rFonts w:eastAsia="Times New Roman"/>
          <w:bCs/>
          <w:kern w:val="0"/>
          <w:sz w:val="22"/>
          <w:szCs w:val="22"/>
          <w:lang w:eastAsia="en-AU"/>
          <w14:ligatures w14:val="none"/>
        </w:rPr>
        <w:t>sunscreen</w:t>
      </w:r>
      <w:r w:rsidRPr="00421D34">
        <w:rPr>
          <w:rFonts w:eastAsia="Times New Roman"/>
          <w:bCs/>
          <w:kern w:val="0"/>
          <w:sz w:val="22"/>
          <w:szCs w:val="22"/>
          <w:lang w:eastAsia="en-AU"/>
          <w14:ligatures w14:val="none"/>
        </w:rPr>
        <w:t xml:space="preserve"> too sparingly</w:t>
      </w:r>
      <w:r w:rsidR="003B22F0" w:rsidRPr="00421D34">
        <w:rPr>
          <w:rFonts w:eastAsia="Times New Roman"/>
          <w:bCs/>
          <w:kern w:val="0"/>
          <w:sz w:val="22"/>
          <w:szCs w:val="22"/>
          <w:lang w:eastAsia="en-AU"/>
          <w14:ligatures w14:val="none"/>
        </w:rPr>
        <w:t>,</w:t>
      </w:r>
      <w:r w:rsidRPr="00421D34">
        <w:rPr>
          <w:rFonts w:eastAsia="Times New Roman"/>
          <w:bCs/>
          <w:kern w:val="0"/>
          <w:sz w:val="22"/>
          <w:szCs w:val="22"/>
          <w:lang w:eastAsia="en-AU"/>
          <w14:ligatures w14:val="none"/>
        </w:rPr>
        <w:t xml:space="preserve"> and not frequently enough, and consequently do not receive the benefits </w:t>
      </w:r>
      <w:r w:rsidR="003B22F0" w:rsidRPr="00421D34">
        <w:rPr>
          <w:rFonts w:eastAsia="Times New Roman"/>
          <w:bCs/>
          <w:kern w:val="0"/>
          <w:sz w:val="22"/>
          <w:szCs w:val="22"/>
          <w:lang w:eastAsia="en-AU"/>
          <w14:ligatures w14:val="none"/>
        </w:rPr>
        <w:t>that sunscreens</w:t>
      </w:r>
      <w:r w:rsidRPr="00421D34">
        <w:rPr>
          <w:rFonts w:eastAsia="Times New Roman"/>
          <w:bCs/>
          <w:kern w:val="0"/>
          <w:sz w:val="22"/>
          <w:szCs w:val="22"/>
          <w:lang w:eastAsia="en-AU"/>
          <w14:ligatures w14:val="none"/>
        </w:rPr>
        <w:t xml:space="preserve"> are designed to deliver. Having multiple indications on a </w:t>
      </w:r>
      <w:r w:rsidR="003B22F0" w:rsidRPr="00421D34">
        <w:rPr>
          <w:rFonts w:eastAsia="Times New Roman"/>
          <w:bCs/>
          <w:kern w:val="0"/>
          <w:sz w:val="22"/>
          <w:szCs w:val="22"/>
          <w:lang w:eastAsia="en-AU"/>
          <w14:ligatures w14:val="none"/>
        </w:rPr>
        <w:t>sunscreen</w:t>
      </w:r>
      <w:r w:rsidRPr="00421D34">
        <w:rPr>
          <w:rFonts w:eastAsia="Times New Roman"/>
          <w:bCs/>
          <w:kern w:val="0"/>
          <w:sz w:val="22"/>
          <w:szCs w:val="22"/>
          <w:lang w:eastAsia="en-AU"/>
          <w14:ligatures w14:val="none"/>
        </w:rPr>
        <w:t xml:space="preserve"> label may require multiple different directions for use, which may be confusing and lead to inappropriate use of the product for </w:t>
      </w:r>
      <w:r w:rsidR="007F2CBB" w:rsidRPr="00421D34">
        <w:rPr>
          <w:rFonts w:eastAsia="Times New Roman"/>
          <w:bCs/>
          <w:kern w:val="0"/>
          <w:sz w:val="22"/>
          <w:szCs w:val="22"/>
          <w:lang w:eastAsia="en-AU"/>
          <w14:ligatures w14:val="none"/>
        </w:rPr>
        <w:t>sun</w:t>
      </w:r>
      <w:r w:rsidRPr="00421D34">
        <w:rPr>
          <w:rFonts w:eastAsia="Times New Roman"/>
          <w:bCs/>
          <w:kern w:val="0"/>
          <w:sz w:val="22"/>
          <w:szCs w:val="22"/>
          <w:lang w:eastAsia="en-AU"/>
          <w14:ligatures w14:val="none"/>
        </w:rPr>
        <w:t xml:space="preserve"> protection.</w:t>
      </w:r>
    </w:p>
    <w:p w14:paraId="7019F8C2" w14:textId="09965243" w:rsidR="00AB78CE" w:rsidRPr="00421D34" w:rsidRDefault="00AB78CE" w:rsidP="00AB78CE">
      <w:pPr>
        <w:pStyle w:val="ListParagraph"/>
        <w:numPr>
          <w:ilvl w:val="0"/>
          <w:numId w:val="5"/>
        </w:numPr>
        <w:spacing w:after="0" w:line="240" w:lineRule="auto"/>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In addition, different directions for use depending on the therapeutic purpose may have safety implications. An example may be a formulation that reduces the occurrence of eczema and is directed for localised topical use on broken skin, which directly conflicts with required label statements for sunscreens whereby they should not be applied to broken skin.</w:t>
      </w:r>
    </w:p>
    <w:p w14:paraId="6A62785A" w14:textId="2CCDE38E" w:rsidR="00F86B5C" w:rsidRPr="00421D34" w:rsidRDefault="00F86B5C" w:rsidP="00F86B5C">
      <w:pPr>
        <w:pStyle w:val="ListParagraph"/>
        <w:numPr>
          <w:ilvl w:val="0"/>
          <w:numId w:val="5"/>
        </w:numPr>
        <w:spacing w:after="0" w:line="240" w:lineRule="auto"/>
        <w:rPr>
          <w:rFonts w:eastAsia="Times New Roman"/>
          <w:bCs/>
          <w:kern w:val="0"/>
          <w:sz w:val="22"/>
          <w:szCs w:val="22"/>
          <w:lang w:eastAsia="en-AU"/>
          <w14:ligatures w14:val="none"/>
        </w:rPr>
      </w:pPr>
      <w:r w:rsidRPr="00421D34">
        <w:rPr>
          <w:rFonts w:eastAsia="Times New Roman"/>
          <w:kern w:val="0"/>
          <w:sz w:val="22"/>
          <w:szCs w:val="22"/>
          <w:lang w:eastAsia="en-AU"/>
          <w14:ligatures w14:val="none"/>
        </w:rPr>
        <w:t>S</w:t>
      </w:r>
      <w:r w:rsidR="00210A96" w:rsidRPr="00421D34">
        <w:rPr>
          <w:rFonts w:eastAsia="Times New Roman"/>
          <w:bCs/>
          <w:kern w:val="0"/>
          <w:sz w:val="22"/>
          <w:szCs w:val="22"/>
          <w:lang w:eastAsia="en-AU"/>
          <w14:ligatures w14:val="none"/>
        </w:rPr>
        <w:t xml:space="preserve">unscreen active ingredients in the </w:t>
      </w:r>
      <w:r w:rsidR="009D4FA2" w:rsidRPr="00421D34">
        <w:rPr>
          <w:rFonts w:eastAsia="Times New Roman"/>
          <w:bCs/>
          <w:i/>
          <w:iCs/>
          <w:kern w:val="0"/>
          <w:sz w:val="22"/>
          <w:szCs w:val="22"/>
          <w:lang w:eastAsia="en-AU"/>
          <w14:ligatures w14:val="none"/>
        </w:rPr>
        <w:t>Therapeutic Goods (</w:t>
      </w:r>
      <w:r w:rsidR="00210A96" w:rsidRPr="00421D34">
        <w:rPr>
          <w:rFonts w:eastAsia="Times New Roman"/>
          <w:bCs/>
          <w:i/>
          <w:iCs/>
          <w:kern w:val="0"/>
          <w:sz w:val="22"/>
          <w:szCs w:val="22"/>
          <w:lang w:eastAsia="en-AU"/>
          <w14:ligatures w14:val="none"/>
        </w:rPr>
        <w:t>Permissible Ingredients</w:t>
      </w:r>
      <w:r w:rsidR="009D4FA2" w:rsidRPr="00421D34">
        <w:rPr>
          <w:rFonts w:eastAsia="Times New Roman"/>
          <w:bCs/>
          <w:i/>
          <w:iCs/>
          <w:kern w:val="0"/>
          <w:sz w:val="22"/>
          <w:szCs w:val="22"/>
          <w:lang w:eastAsia="en-AU"/>
          <w14:ligatures w14:val="none"/>
        </w:rPr>
        <w:t>)</w:t>
      </w:r>
      <w:r w:rsidR="00210A96" w:rsidRPr="00421D34">
        <w:rPr>
          <w:rFonts w:eastAsia="Times New Roman"/>
          <w:bCs/>
          <w:i/>
          <w:iCs/>
          <w:kern w:val="0"/>
          <w:sz w:val="22"/>
          <w:szCs w:val="22"/>
          <w:lang w:eastAsia="en-AU"/>
          <w14:ligatures w14:val="none"/>
        </w:rPr>
        <w:t xml:space="preserve"> Determination </w:t>
      </w:r>
      <w:r w:rsidR="009D4FA2" w:rsidRPr="00421D34">
        <w:rPr>
          <w:rFonts w:eastAsia="Times New Roman"/>
          <w:bCs/>
          <w:i/>
          <w:iCs/>
          <w:kern w:val="0"/>
          <w:sz w:val="22"/>
          <w:szCs w:val="22"/>
          <w:lang w:eastAsia="en-AU"/>
          <w14:ligatures w14:val="none"/>
        </w:rPr>
        <w:t xml:space="preserve">(No. 1) 2025 </w:t>
      </w:r>
      <w:r w:rsidR="00210A96" w:rsidRPr="00421D34">
        <w:rPr>
          <w:rFonts w:eastAsia="Times New Roman"/>
          <w:bCs/>
          <w:kern w:val="0"/>
          <w:sz w:val="22"/>
          <w:szCs w:val="22"/>
          <w:lang w:eastAsia="en-AU"/>
          <w14:ligatures w14:val="none"/>
        </w:rPr>
        <w:t xml:space="preserve">were assessed for safety in the context of use in sunscreens. There may be unintended consequences when these ingredients are used for other purposes and at frequencies and doses different to sunscreen use that have not been considered as part of </w:t>
      </w:r>
      <w:r w:rsidR="009D4FA2" w:rsidRPr="00421D34">
        <w:rPr>
          <w:rFonts w:eastAsia="Times New Roman"/>
          <w:bCs/>
          <w:kern w:val="0"/>
          <w:sz w:val="22"/>
          <w:szCs w:val="22"/>
          <w:lang w:eastAsia="en-AU"/>
          <w14:ligatures w14:val="none"/>
        </w:rPr>
        <w:t>a</w:t>
      </w:r>
      <w:r w:rsidR="00210A96" w:rsidRPr="00421D34">
        <w:rPr>
          <w:rFonts w:eastAsia="Times New Roman"/>
          <w:bCs/>
          <w:kern w:val="0"/>
          <w:sz w:val="22"/>
          <w:szCs w:val="22"/>
          <w:lang w:eastAsia="en-AU"/>
          <w14:ligatures w14:val="none"/>
        </w:rPr>
        <w:t xml:space="preserve"> safety assessment. For example, sunscreens with UV filters provide protection from exposure to the sun’s radiation. Having indications other than sun </w:t>
      </w:r>
      <w:r w:rsidR="009D4FA2" w:rsidRPr="00421D34">
        <w:rPr>
          <w:rFonts w:eastAsia="Times New Roman"/>
          <w:bCs/>
          <w:kern w:val="0"/>
          <w:sz w:val="22"/>
          <w:szCs w:val="22"/>
          <w:lang w:eastAsia="en-AU"/>
          <w14:ligatures w14:val="none"/>
        </w:rPr>
        <w:t>protection</w:t>
      </w:r>
      <w:r w:rsidR="00210A96" w:rsidRPr="00421D34">
        <w:rPr>
          <w:rFonts w:eastAsia="Times New Roman"/>
          <w:bCs/>
          <w:kern w:val="0"/>
          <w:sz w:val="22"/>
          <w:szCs w:val="22"/>
          <w:lang w:eastAsia="en-AU"/>
          <w14:ligatures w14:val="none"/>
        </w:rPr>
        <w:t xml:space="preserve"> will potentially lead to people applying UV filters to their skin when there is no risk of sun exposure (e.g. when they are indoors or at night). There may be unintended consequences from increased and unnecessary use of UV filters which have not been assessed for use in that context.</w:t>
      </w:r>
    </w:p>
    <w:p w14:paraId="5099C609" w14:textId="1E6976C8" w:rsidR="004F6F0C" w:rsidRPr="00421D34" w:rsidRDefault="004F6F0C" w:rsidP="004D107E">
      <w:pPr>
        <w:spacing w:after="0" w:line="240" w:lineRule="auto"/>
        <w:contextualSpacing/>
        <w:rPr>
          <w:rFonts w:eastAsia="Times New Roman"/>
          <w:bCs/>
          <w:kern w:val="0"/>
          <w:sz w:val="22"/>
          <w:szCs w:val="22"/>
          <w:lang w:eastAsia="en-AU"/>
          <w14:ligatures w14:val="none"/>
        </w:rPr>
      </w:pPr>
    </w:p>
    <w:p w14:paraId="72F8D1E8" w14:textId="13E09FE8" w:rsidR="00DB707A" w:rsidRPr="00421D34" w:rsidRDefault="00DB707A" w:rsidP="004D107E">
      <w:pPr>
        <w:spacing w:after="0" w:line="240" w:lineRule="auto"/>
        <w:contextualSpacing/>
        <w:rPr>
          <w:rFonts w:eastAsia="Times New Roman"/>
          <w:bCs/>
          <w:kern w:val="0"/>
          <w:sz w:val="22"/>
          <w:szCs w:val="22"/>
          <w:lang w:eastAsia="en-AU"/>
          <w14:ligatures w14:val="none"/>
        </w:rPr>
      </w:pPr>
      <w:r w:rsidRPr="00421D34">
        <w:rPr>
          <w:rFonts w:eastAsia="Times New Roman"/>
          <w:b/>
          <w:kern w:val="0"/>
          <w:sz w:val="22"/>
          <w:szCs w:val="22"/>
          <w:lang w:eastAsia="en-AU"/>
          <w14:ligatures w14:val="none"/>
        </w:rPr>
        <w:t>Incorporation by reference</w:t>
      </w:r>
    </w:p>
    <w:p w14:paraId="19C36B4A" w14:textId="77777777" w:rsidR="00DB707A" w:rsidRPr="00421D34" w:rsidRDefault="00DB707A" w:rsidP="004D107E">
      <w:pPr>
        <w:spacing w:after="0" w:line="240" w:lineRule="auto"/>
        <w:contextualSpacing/>
        <w:rPr>
          <w:rFonts w:eastAsia="Times New Roman"/>
          <w:bCs/>
          <w:kern w:val="0"/>
          <w:sz w:val="22"/>
          <w:szCs w:val="22"/>
          <w:lang w:eastAsia="en-AU"/>
          <w14:ligatures w14:val="none"/>
        </w:rPr>
      </w:pPr>
    </w:p>
    <w:p w14:paraId="09F184D6" w14:textId="2982C235" w:rsidR="000B23C6" w:rsidRPr="00421D34" w:rsidRDefault="000B23C6" w:rsidP="004D107E">
      <w:pPr>
        <w:spacing w:after="0" w:line="240" w:lineRule="auto"/>
        <w:contextualSpacing/>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 xml:space="preserve">Subsection 26BF(6) of the Act relevantly provides that, despite subsection 14(2) of the </w:t>
      </w:r>
      <w:r w:rsidRPr="00421D34">
        <w:rPr>
          <w:rFonts w:eastAsia="Times New Roman"/>
          <w:bCs/>
          <w:i/>
          <w:iCs/>
          <w:kern w:val="0"/>
          <w:sz w:val="22"/>
          <w:szCs w:val="22"/>
          <w:lang w:eastAsia="en-AU"/>
          <w14:ligatures w14:val="none"/>
        </w:rPr>
        <w:t>Legislation Act 2003</w:t>
      </w:r>
      <w:r w:rsidRPr="00421D34">
        <w:rPr>
          <w:rFonts w:eastAsia="Times New Roman"/>
          <w:bCs/>
          <w:kern w:val="0"/>
          <w:sz w:val="22"/>
          <w:szCs w:val="22"/>
          <w:lang w:eastAsia="en-AU"/>
          <w14:ligatures w14:val="none"/>
        </w:rPr>
        <w:t xml:space="preserve"> (the Legislation Act), a determination under this provision may make provision in relation to a matter by applying, adopting or incorporating, with or without modification, any matter contained in an instrument or other writing as in force or existing from time to time.</w:t>
      </w:r>
    </w:p>
    <w:p w14:paraId="63182441" w14:textId="77777777" w:rsidR="000B23C6" w:rsidRPr="00421D34" w:rsidRDefault="000B23C6" w:rsidP="004D107E">
      <w:pPr>
        <w:spacing w:after="0" w:line="240" w:lineRule="auto"/>
        <w:contextualSpacing/>
        <w:rPr>
          <w:rFonts w:eastAsia="Times New Roman"/>
          <w:bCs/>
          <w:kern w:val="0"/>
          <w:sz w:val="22"/>
          <w:szCs w:val="22"/>
          <w:lang w:eastAsia="en-AU"/>
          <w14:ligatures w14:val="none"/>
        </w:rPr>
      </w:pPr>
    </w:p>
    <w:p w14:paraId="4EA354FE" w14:textId="4CA93707" w:rsidR="000B23C6" w:rsidRPr="00421D34" w:rsidRDefault="000B23C6" w:rsidP="004D107E">
      <w:pPr>
        <w:spacing w:after="0" w:line="240" w:lineRule="auto"/>
        <w:contextualSpacing/>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The following identifies and explains the documents that are incorporated by reference in the Determination, the intended manner of incorporation and where they may be obtained.</w:t>
      </w:r>
    </w:p>
    <w:p w14:paraId="3A60575C" w14:textId="77777777" w:rsidR="000B23C6" w:rsidRPr="00421D34" w:rsidRDefault="000B23C6" w:rsidP="004D107E">
      <w:pPr>
        <w:spacing w:after="0" w:line="240" w:lineRule="auto"/>
        <w:contextualSpacing/>
        <w:rPr>
          <w:rFonts w:eastAsia="Times New Roman"/>
          <w:bCs/>
          <w:kern w:val="0"/>
          <w:sz w:val="22"/>
          <w:szCs w:val="22"/>
          <w:lang w:eastAsia="en-AU"/>
          <w14:ligatures w14:val="none"/>
        </w:rPr>
      </w:pPr>
    </w:p>
    <w:p w14:paraId="75630D89" w14:textId="77777777" w:rsidR="000B23C6" w:rsidRPr="00421D34" w:rsidRDefault="000B23C6" w:rsidP="004F6F0C">
      <w:pPr>
        <w:keepNext/>
        <w:spacing w:after="0" w:line="240" w:lineRule="auto"/>
        <w:contextualSpacing/>
        <w:rPr>
          <w:rFonts w:eastAsia="Times New Roman"/>
          <w:bCs/>
          <w:kern w:val="0"/>
          <w:sz w:val="22"/>
          <w:szCs w:val="22"/>
          <w:lang w:eastAsia="en-AU"/>
          <w14:ligatures w14:val="none"/>
        </w:rPr>
      </w:pPr>
      <w:r w:rsidRPr="00421D34">
        <w:rPr>
          <w:rFonts w:eastAsia="Times New Roman"/>
          <w:bCs/>
          <w:i/>
          <w:iCs/>
          <w:kern w:val="0"/>
          <w:sz w:val="22"/>
          <w:szCs w:val="22"/>
          <w:lang w:eastAsia="en-AU"/>
          <w14:ligatures w14:val="none"/>
        </w:rPr>
        <w:t>Code tables</w:t>
      </w:r>
    </w:p>
    <w:p w14:paraId="740B2937" w14:textId="77777777" w:rsidR="000B23C6" w:rsidRPr="00421D34" w:rsidRDefault="000B23C6" w:rsidP="004F6F0C">
      <w:pPr>
        <w:keepNext/>
        <w:spacing w:after="0" w:line="240" w:lineRule="auto"/>
        <w:contextualSpacing/>
        <w:rPr>
          <w:rFonts w:eastAsia="Times New Roman"/>
          <w:bCs/>
          <w:kern w:val="0"/>
          <w:sz w:val="22"/>
          <w:szCs w:val="22"/>
          <w:lang w:eastAsia="en-AU"/>
          <w14:ligatures w14:val="none"/>
        </w:rPr>
      </w:pPr>
    </w:p>
    <w:p w14:paraId="4597F1B5" w14:textId="46049B3B" w:rsidR="000B23C6" w:rsidRPr="00421D34" w:rsidRDefault="000B23C6" w:rsidP="004F6F0C">
      <w:pPr>
        <w:keepNext/>
        <w:spacing w:after="0" w:line="240" w:lineRule="auto"/>
        <w:contextualSpacing/>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 xml:space="preserve">The Determination incorporates by reference the code tables, which are published by the TGA and provide terminology for use in product applications and on medicine labels, where relevant. The code tables </w:t>
      </w:r>
      <w:r w:rsidR="009A681D" w:rsidRPr="00421D34">
        <w:rPr>
          <w:rFonts w:eastAsia="Times New Roman"/>
          <w:bCs/>
          <w:kern w:val="0"/>
          <w:sz w:val="22"/>
          <w:szCs w:val="22"/>
          <w:lang w:eastAsia="en-AU"/>
          <w14:ligatures w14:val="none"/>
        </w:rPr>
        <w:t>are</w:t>
      </w:r>
      <w:r w:rsidRPr="00421D34">
        <w:rPr>
          <w:rFonts w:eastAsia="Times New Roman"/>
          <w:bCs/>
          <w:kern w:val="0"/>
          <w:sz w:val="22"/>
          <w:szCs w:val="22"/>
          <w:lang w:eastAsia="en-AU"/>
          <w14:ligatures w14:val="none"/>
        </w:rPr>
        <w:t xml:space="preserve"> incorporated as in force or existing from time to time, in accordance with subsection</w:t>
      </w:r>
      <w:r w:rsidR="008560E1" w:rsidRPr="00421D34">
        <w:rPr>
          <w:rFonts w:eastAsia="Times New Roman"/>
          <w:bCs/>
          <w:kern w:val="0"/>
          <w:sz w:val="22"/>
          <w:szCs w:val="22"/>
          <w:lang w:eastAsia="en-AU"/>
          <w14:ligatures w14:val="none"/>
        </w:rPr>
        <w:t> </w:t>
      </w:r>
      <w:r w:rsidRPr="00421D34">
        <w:rPr>
          <w:rFonts w:eastAsia="Times New Roman"/>
          <w:bCs/>
          <w:kern w:val="0"/>
          <w:sz w:val="22"/>
          <w:szCs w:val="22"/>
          <w:lang w:eastAsia="en-AU"/>
          <w14:ligatures w14:val="none"/>
        </w:rPr>
        <w:t xml:space="preserve">26BF(6) of the Act. The code tables </w:t>
      </w:r>
      <w:r w:rsidR="009A681D" w:rsidRPr="00421D34">
        <w:rPr>
          <w:rFonts w:eastAsia="Times New Roman"/>
          <w:bCs/>
          <w:kern w:val="0"/>
          <w:sz w:val="22"/>
          <w:szCs w:val="22"/>
          <w:lang w:eastAsia="en-AU"/>
          <w14:ligatures w14:val="none"/>
        </w:rPr>
        <w:t>are</w:t>
      </w:r>
      <w:r w:rsidRPr="00421D34">
        <w:rPr>
          <w:rFonts w:eastAsia="Times New Roman"/>
          <w:bCs/>
          <w:kern w:val="0"/>
          <w:sz w:val="22"/>
          <w:szCs w:val="22"/>
          <w:lang w:eastAsia="en-AU"/>
          <w14:ligatures w14:val="none"/>
        </w:rPr>
        <w:t xml:space="preserve"> freely available on the TGA website via the </w:t>
      </w:r>
      <w:r w:rsidRPr="00421D34">
        <w:rPr>
          <w:rFonts w:eastAsia="Times New Roman"/>
          <w:bCs/>
          <w:i/>
          <w:iCs/>
          <w:kern w:val="0"/>
          <w:sz w:val="22"/>
          <w:szCs w:val="22"/>
          <w:lang w:eastAsia="en-AU"/>
          <w14:ligatures w14:val="none"/>
        </w:rPr>
        <w:t>Public TGA Information</w:t>
      </w:r>
      <w:r w:rsidRPr="00421D34">
        <w:rPr>
          <w:rFonts w:eastAsia="Times New Roman"/>
          <w:bCs/>
          <w:kern w:val="0"/>
          <w:sz w:val="22"/>
          <w:szCs w:val="22"/>
          <w:lang w:eastAsia="en-AU"/>
          <w14:ligatures w14:val="none"/>
        </w:rPr>
        <w:t xml:space="preserve"> menu in the TGA eBusiness Services at www.ebs.tga.gov.au.</w:t>
      </w:r>
    </w:p>
    <w:p w14:paraId="46603F23" w14:textId="77777777" w:rsidR="000B23C6" w:rsidRPr="00421D34" w:rsidRDefault="000B23C6" w:rsidP="004D107E">
      <w:pPr>
        <w:spacing w:after="0" w:line="240" w:lineRule="auto"/>
        <w:contextualSpacing/>
        <w:rPr>
          <w:rFonts w:eastAsia="Times New Roman"/>
          <w:bCs/>
          <w:kern w:val="0"/>
          <w:sz w:val="22"/>
          <w:szCs w:val="22"/>
          <w:lang w:eastAsia="en-AU"/>
          <w14:ligatures w14:val="none"/>
        </w:rPr>
      </w:pPr>
    </w:p>
    <w:p w14:paraId="76B3A8BB" w14:textId="0CCE6043" w:rsidR="00DB707A" w:rsidRPr="00421D34" w:rsidRDefault="00DB707A" w:rsidP="004D107E">
      <w:pPr>
        <w:spacing w:after="0" w:line="240" w:lineRule="auto"/>
        <w:contextualSpacing/>
        <w:rPr>
          <w:rFonts w:eastAsia="Times New Roman"/>
          <w:bCs/>
          <w:kern w:val="0"/>
          <w:sz w:val="22"/>
          <w:szCs w:val="22"/>
          <w:lang w:eastAsia="en-AU"/>
          <w14:ligatures w14:val="none"/>
        </w:rPr>
      </w:pPr>
      <w:r w:rsidRPr="00421D34">
        <w:rPr>
          <w:rFonts w:eastAsia="Times New Roman"/>
          <w:bCs/>
          <w:i/>
          <w:iCs/>
          <w:kern w:val="0"/>
          <w:sz w:val="22"/>
          <w:szCs w:val="22"/>
          <w:lang w:eastAsia="en-AU"/>
          <w14:ligatures w14:val="none"/>
        </w:rPr>
        <w:t>Evidence guidelines</w:t>
      </w:r>
    </w:p>
    <w:p w14:paraId="60B34693" w14:textId="77777777" w:rsidR="00DB707A" w:rsidRPr="00421D34" w:rsidRDefault="00DB707A" w:rsidP="004D107E">
      <w:pPr>
        <w:spacing w:after="0" w:line="240" w:lineRule="auto"/>
        <w:contextualSpacing/>
        <w:rPr>
          <w:rFonts w:eastAsia="Times New Roman"/>
          <w:bCs/>
          <w:kern w:val="0"/>
          <w:sz w:val="22"/>
          <w:szCs w:val="22"/>
          <w:lang w:eastAsia="en-AU"/>
          <w14:ligatures w14:val="none"/>
        </w:rPr>
      </w:pPr>
    </w:p>
    <w:p w14:paraId="77639AFD" w14:textId="5BE51877" w:rsidR="009A681D" w:rsidRPr="00421D34" w:rsidRDefault="009A681D" w:rsidP="004D107E">
      <w:pPr>
        <w:spacing w:after="0" w:line="240" w:lineRule="auto"/>
        <w:contextualSpacing/>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 xml:space="preserve">The Determination incorporates by reference the </w:t>
      </w:r>
      <w:r w:rsidR="008560E1" w:rsidRPr="00421D34">
        <w:rPr>
          <w:rFonts w:eastAsia="Times New Roman"/>
          <w:bCs/>
          <w:kern w:val="0"/>
          <w:sz w:val="22"/>
          <w:szCs w:val="22"/>
          <w:lang w:eastAsia="en-AU"/>
          <w14:ligatures w14:val="none"/>
        </w:rPr>
        <w:t xml:space="preserve">document titled </w:t>
      </w:r>
      <w:r w:rsidR="008560E1" w:rsidRPr="00421D34">
        <w:rPr>
          <w:rFonts w:eastAsia="Times New Roman"/>
          <w:bCs/>
          <w:i/>
          <w:iCs/>
          <w:kern w:val="0"/>
          <w:sz w:val="22"/>
          <w:szCs w:val="22"/>
          <w:lang w:eastAsia="en-AU"/>
          <w14:ligatures w14:val="none"/>
        </w:rPr>
        <w:t>Supporting claims and indications for listed medicines</w:t>
      </w:r>
      <w:r w:rsidRPr="00421D34">
        <w:rPr>
          <w:rFonts w:eastAsia="Times New Roman"/>
          <w:bCs/>
          <w:kern w:val="0"/>
          <w:sz w:val="22"/>
          <w:szCs w:val="22"/>
          <w:lang w:eastAsia="en-AU"/>
          <w14:ligatures w14:val="none"/>
        </w:rPr>
        <w:t xml:space="preserve"> (the evidence guidelines). The evidence guidelines provide information regarding the type of evidence that is required to support indications for listed complementary medicines, and obligations in relation to holding such evidence. The evidence guidelines are incorporated as in force or existing from time to time, in accordance with subsection</w:t>
      </w:r>
      <w:r w:rsidR="008560E1" w:rsidRPr="00421D34">
        <w:rPr>
          <w:rFonts w:eastAsia="Times New Roman"/>
          <w:bCs/>
          <w:kern w:val="0"/>
          <w:sz w:val="22"/>
          <w:szCs w:val="22"/>
          <w:lang w:eastAsia="en-AU"/>
          <w14:ligatures w14:val="none"/>
        </w:rPr>
        <w:t> </w:t>
      </w:r>
      <w:r w:rsidRPr="00421D34">
        <w:rPr>
          <w:rFonts w:eastAsia="Times New Roman"/>
          <w:bCs/>
          <w:kern w:val="0"/>
          <w:sz w:val="22"/>
          <w:szCs w:val="22"/>
          <w:lang w:eastAsia="en-AU"/>
          <w14:ligatures w14:val="none"/>
        </w:rPr>
        <w:t>26BF(6) of the Act, and may be accessed for free from the TGA website at www.tga.gov.au.</w:t>
      </w:r>
    </w:p>
    <w:p w14:paraId="380C8C74" w14:textId="77777777" w:rsidR="009A681D" w:rsidRPr="00421D34" w:rsidRDefault="009A681D" w:rsidP="004D107E">
      <w:pPr>
        <w:spacing w:after="0" w:line="240" w:lineRule="auto"/>
        <w:contextualSpacing/>
        <w:rPr>
          <w:rFonts w:eastAsia="Times New Roman"/>
          <w:bCs/>
          <w:kern w:val="0"/>
          <w:sz w:val="22"/>
          <w:szCs w:val="22"/>
          <w:lang w:eastAsia="en-AU"/>
          <w14:ligatures w14:val="none"/>
        </w:rPr>
      </w:pPr>
    </w:p>
    <w:p w14:paraId="07AF163F" w14:textId="68E16C66" w:rsidR="00DB707A" w:rsidRPr="00421D34" w:rsidRDefault="00DB707A" w:rsidP="004D107E">
      <w:pPr>
        <w:spacing w:after="0" w:line="240" w:lineRule="auto"/>
        <w:contextualSpacing/>
        <w:rPr>
          <w:rFonts w:eastAsia="Times New Roman"/>
          <w:bCs/>
          <w:kern w:val="0"/>
          <w:sz w:val="22"/>
          <w:szCs w:val="22"/>
          <w:lang w:eastAsia="en-AU"/>
          <w14:ligatures w14:val="none"/>
        </w:rPr>
      </w:pPr>
      <w:r w:rsidRPr="00421D34">
        <w:rPr>
          <w:rFonts w:eastAsia="Times New Roman"/>
          <w:bCs/>
          <w:i/>
          <w:iCs/>
          <w:kern w:val="0"/>
          <w:sz w:val="22"/>
          <w:szCs w:val="22"/>
          <w:lang w:eastAsia="en-AU"/>
          <w14:ligatures w14:val="none"/>
        </w:rPr>
        <w:t>Therapeutic Goods Advertising Code</w:t>
      </w:r>
    </w:p>
    <w:p w14:paraId="78F4B776" w14:textId="77777777" w:rsidR="009A681D" w:rsidRPr="00421D34" w:rsidRDefault="009A681D" w:rsidP="004D107E">
      <w:pPr>
        <w:spacing w:after="0" w:line="240" w:lineRule="auto"/>
        <w:contextualSpacing/>
        <w:rPr>
          <w:rFonts w:eastAsia="Times New Roman"/>
          <w:bCs/>
          <w:kern w:val="0"/>
          <w:sz w:val="22"/>
          <w:szCs w:val="22"/>
          <w:lang w:eastAsia="en-AU"/>
          <w14:ligatures w14:val="none"/>
        </w:rPr>
      </w:pPr>
    </w:p>
    <w:p w14:paraId="2312344A" w14:textId="753EEE45" w:rsidR="009A681D" w:rsidRPr="00421D34" w:rsidRDefault="00AC5651" w:rsidP="004D107E">
      <w:pPr>
        <w:spacing w:after="0" w:line="240" w:lineRule="auto"/>
        <w:contextualSpacing/>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The</w:t>
      </w:r>
      <w:r w:rsidR="00D074CC" w:rsidRPr="00421D34">
        <w:rPr>
          <w:rFonts w:eastAsia="Times New Roman"/>
          <w:bCs/>
          <w:kern w:val="0"/>
          <w:sz w:val="22"/>
          <w:szCs w:val="22"/>
          <w:lang w:eastAsia="en-AU"/>
          <w14:ligatures w14:val="none"/>
        </w:rPr>
        <w:t xml:space="preserve"> Determination incorporates by reference the</w:t>
      </w:r>
      <w:r w:rsidRPr="00421D34">
        <w:rPr>
          <w:rFonts w:eastAsia="Times New Roman"/>
          <w:bCs/>
          <w:kern w:val="0"/>
          <w:sz w:val="22"/>
          <w:szCs w:val="22"/>
          <w:lang w:eastAsia="en-AU"/>
          <w14:ligatures w14:val="none"/>
        </w:rPr>
        <w:t xml:space="preserve"> </w:t>
      </w:r>
      <w:r w:rsidR="00C450B4" w:rsidRPr="00421D34">
        <w:rPr>
          <w:rFonts w:eastAsia="Times New Roman"/>
          <w:bCs/>
          <w:kern w:val="0"/>
          <w:sz w:val="22"/>
          <w:szCs w:val="22"/>
          <w:lang w:eastAsia="en-AU"/>
          <w14:ligatures w14:val="none"/>
        </w:rPr>
        <w:t>Therapeutic Goods Advertising Code</w:t>
      </w:r>
      <w:r w:rsidR="00D074CC" w:rsidRPr="00421D34">
        <w:rPr>
          <w:rFonts w:eastAsia="Times New Roman"/>
          <w:bCs/>
          <w:kern w:val="0"/>
          <w:sz w:val="22"/>
          <w:szCs w:val="22"/>
          <w:lang w:eastAsia="en-AU"/>
          <w14:ligatures w14:val="none"/>
        </w:rPr>
        <w:t>.</w:t>
      </w:r>
      <w:r w:rsidR="00DB707A" w:rsidRPr="00421D34">
        <w:rPr>
          <w:rFonts w:eastAsia="Times New Roman"/>
          <w:bCs/>
          <w:kern w:val="0"/>
          <w:sz w:val="22"/>
          <w:szCs w:val="22"/>
          <w:lang w:eastAsia="en-AU"/>
          <w14:ligatures w14:val="none"/>
        </w:rPr>
        <w:t xml:space="preserve"> </w:t>
      </w:r>
      <w:r w:rsidR="00C450B4" w:rsidRPr="00421D34">
        <w:rPr>
          <w:rFonts w:eastAsia="Times New Roman"/>
          <w:bCs/>
          <w:kern w:val="0"/>
          <w:sz w:val="22"/>
          <w:szCs w:val="22"/>
          <w:lang w:eastAsia="en-AU"/>
          <w14:ligatures w14:val="none"/>
        </w:rPr>
        <w:t>T</w:t>
      </w:r>
      <w:r w:rsidR="00DB707A" w:rsidRPr="00421D34">
        <w:rPr>
          <w:rFonts w:eastAsia="Times New Roman"/>
          <w:bCs/>
          <w:kern w:val="0"/>
          <w:sz w:val="22"/>
          <w:szCs w:val="22"/>
          <w:lang w:eastAsia="en-AU"/>
          <w14:ligatures w14:val="none"/>
        </w:rPr>
        <w:t>he Determination incorporates the meaning of ‘serious’ as that term is defined in section 28 of the Therapeutic Goods Advertising Code. The Therapeutic Goods Advertising Cod</w:t>
      </w:r>
      <w:r w:rsidR="009A681D" w:rsidRPr="00421D34">
        <w:rPr>
          <w:rFonts w:eastAsia="Times New Roman"/>
          <w:bCs/>
          <w:kern w:val="0"/>
          <w:sz w:val="22"/>
          <w:szCs w:val="22"/>
          <w:lang w:eastAsia="en-AU"/>
          <w14:ligatures w14:val="none"/>
        </w:rPr>
        <w:t>e</w:t>
      </w:r>
      <w:r w:rsidR="00DB707A" w:rsidRPr="00421D34">
        <w:rPr>
          <w:rFonts w:eastAsia="Times New Roman"/>
          <w:bCs/>
          <w:kern w:val="0"/>
          <w:sz w:val="22"/>
          <w:szCs w:val="22"/>
          <w:lang w:eastAsia="en-AU"/>
          <w14:ligatures w14:val="none"/>
        </w:rPr>
        <w:t xml:space="preserve"> is defined in subsection 3(1) of the Act as meaning the code in force under section 42BAA of the Act, which is currently the </w:t>
      </w:r>
      <w:r w:rsidR="00DB707A" w:rsidRPr="00421D34">
        <w:rPr>
          <w:rFonts w:eastAsia="Times New Roman"/>
          <w:bCs/>
          <w:i/>
          <w:iCs/>
          <w:kern w:val="0"/>
          <w:sz w:val="22"/>
          <w:szCs w:val="22"/>
          <w:lang w:eastAsia="en-AU"/>
          <w14:ligatures w14:val="none"/>
        </w:rPr>
        <w:t>Therapeutic Goods</w:t>
      </w:r>
      <w:r w:rsidR="009A681D" w:rsidRPr="00421D34">
        <w:rPr>
          <w:rFonts w:eastAsia="Times New Roman"/>
          <w:bCs/>
          <w:i/>
          <w:iCs/>
          <w:kern w:val="0"/>
          <w:sz w:val="22"/>
          <w:szCs w:val="22"/>
          <w:lang w:eastAsia="en-AU"/>
          <w14:ligatures w14:val="none"/>
        </w:rPr>
        <w:t xml:space="preserve"> (Therapeutic Goods Advertising Code) Instrument 2021</w:t>
      </w:r>
      <w:r w:rsidR="009A681D" w:rsidRPr="00421D34">
        <w:rPr>
          <w:rFonts w:eastAsia="Times New Roman"/>
          <w:bCs/>
          <w:kern w:val="0"/>
          <w:sz w:val="22"/>
          <w:szCs w:val="22"/>
          <w:lang w:eastAsia="en-AU"/>
          <w14:ligatures w14:val="none"/>
        </w:rPr>
        <w:t>.</w:t>
      </w:r>
    </w:p>
    <w:p w14:paraId="40BA4D79" w14:textId="77777777" w:rsidR="009A681D" w:rsidRPr="00421D34" w:rsidRDefault="009A681D" w:rsidP="004D107E">
      <w:pPr>
        <w:spacing w:after="0" w:line="240" w:lineRule="auto"/>
        <w:contextualSpacing/>
        <w:rPr>
          <w:rFonts w:eastAsia="Times New Roman"/>
          <w:bCs/>
          <w:kern w:val="0"/>
          <w:sz w:val="22"/>
          <w:szCs w:val="22"/>
          <w:lang w:eastAsia="en-AU"/>
          <w14:ligatures w14:val="none"/>
        </w:rPr>
      </w:pPr>
    </w:p>
    <w:p w14:paraId="2D0E0B0E" w14:textId="60642BC1" w:rsidR="00DB707A" w:rsidRPr="00421D34" w:rsidRDefault="00DB707A" w:rsidP="004D107E">
      <w:pPr>
        <w:spacing w:after="0" w:line="240" w:lineRule="auto"/>
        <w:contextualSpacing/>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The Therapeutic Goods Advertising Code sets out a range of requirements relating to the advertising of therapeutic goods in Australia. The Determination incorporates the Therapeutic Goods Advertising as in force or existing from time to time</w:t>
      </w:r>
      <w:r w:rsidR="009A681D" w:rsidRPr="00421D34">
        <w:rPr>
          <w:rFonts w:eastAsia="Times New Roman"/>
          <w:bCs/>
          <w:kern w:val="0"/>
          <w:sz w:val="22"/>
          <w:szCs w:val="22"/>
          <w:lang w:eastAsia="en-AU"/>
          <w14:ligatures w14:val="none"/>
        </w:rPr>
        <w:t xml:space="preserve">, in accordance with </w:t>
      </w:r>
      <w:r w:rsidR="00C450B4" w:rsidRPr="00421D34">
        <w:rPr>
          <w:rFonts w:eastAsia="Times New Roman"/>
          <w:bCs/>
          <w:kern w:val="0"/>
          <w:sz w:val="22"/>
          <w:szCs w:val="22"/>
          <w:lang w:eastAsia="en-AU"/>
          <w14:ligatures w14:val="none"/>
        </w:rPr>
        <w:t xml:space="preserve">paragraph 14(1)(a) of the </w:t>
      </w:r>
      <w:r w:rsidR="00C450B4" w:rsidRPr="00421D34">
        <w:rPr>
          <w:rFonts w:eastAsia="Times New Roman"/>
          <w:bCs/>
          <w:i/>
          <w:iCs/>
          <w:kern w:val="0"/>
          <w:sz w:val="22"/>
          <w:szCs w:val="22"/>
          <w:lang w:eastAsia="en-AU"/>
          <w14:ligatures w14:val="none"/>
        </w:rPr>
        <w:t>Legislation Act 2003</w:t>
      </w:r>
      <w:r w:rsidR="009A681D" w:rsidRPr="00421D34">
        <w:rPr>
          <w:rFonts w:eastAsia="Times New Roman"/>
          <w:bCs/>
          <w:kern w:val="0"/>
          <w:sz w:val="22"/>
          <w:szCs w:val="22"/>
          <w:lang w:eastAsia="en-AU"/>
          <w14:ligatures w14:val="none"/>
        </w:rPr>
        <w:t>, and is available for free from the Federal Register of Legislation website at www.legislation.gov.au.</w:t>
      </w:r>
    </w:p>
    <w:p w14:paraId="3B0055AB" w14:textId="77777777" w:rsidR="00DB707A" w:rsidRPr="00421D34" w:rsidRDefault="00DB707A" w:rsidP="004D107E">
      <w:pPr>
        <w:spacing w:after="0" w:line="240" w:lineRule="auto"/>
        <w:contextualSpacing/>
        <w:rPr>
          <w:rFonts w:eastAsia="Times New Roman"/>
          <w:bCs/>
          <w:kern w:val="0"/>
          <w:sz w:val="22"/>
          <w:szCs w:val="22"/>
          <w:lang w:eastAsia="en-AU"/>
          <w14:ligatures w14:val="none"/>
        </w:rPr>
      </w:pPr>
    </w:p>
    <w:p w14:paraId="1B242498" w14:textId="387346AD" w:rsidR="004D107E" w:rsidRPr="00421D34" w:rsidRDefault="004D107E" w:rsidP="003A31F8">
      <w:pPr>
        <w:keepNext/>
        <w:spacing w:after="0" w:line="240" w:lineRule="auto"/>
        <w:contextualSpacing/>
        <w:rPr>
          <w:rFonts w:eastAsia="Times New Roman"/>
          <w:bCs/>
          <w:kern w:val="0"/>
          <w:sz w:val="22"/>
          <w:szCs w:val="22"/>
          <w:lang w:eastAsia="en-AU"/>
          <w14:ligatures w14:val="none"/>
        </w:rPr>
      </w:pPr>
      <w:r w:rsidRPr="00421D34">
        <w:rPr>
          <w:rFonts w:eastAsia="Times New Roman"/>
          <w:b/>
          <w:kern w:val="0"/>
          <w:sz w:val="22"/>
          <w:szCs w:val="22"/>
          <w:lang w:eastAsia="en-AU"/>
          <w14:ligatures w14:val="none"/>
        </w:rPr>
        <w:t>Consultation</w:t>
      </w:r>
    </w:p>
    <w:p w14:paraId="621E9212" w14:textId="77777777" w:rsidR="004D107E" w:rsidRPr="00421D34" w:rsidRDefault="004D107E" w:rsidP="003A31F8">
      <w:pPr>
        <w:keepNext/>
        <w:spacing w:after="0" w:line="240" w:lineRule="auto"/>
        <w:contextualSpacing/>
        <w:rPr>
          <w:rFonts w:eastAsia="Times New Roman"/>
          <w:bCs/>
          <w:kern w:val="0"/>
          <w:sz w:val="22"/>
          <w:szCs w:val="22"/>
          <w:lang w:eastAsia="en-AU"/>
          <w14:ligatures w14:val="none"/>
        </w:rPr>
      </w:pPr>
    </w:p>
    <w:p w14:paraId="151110BA" w14:textId="77777777" w:rsidR="00DC60D7" w:rsidRPr="00421D34" w:rsidRDefault="00131533" w:rsidP="004D107E">
      <w:pPr>
        <w:spacing w:after="0" w:line="240" w:lineRule="auto"/>
        <w:contextualSpacing/>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 xml:space="preserve">Between </w:t>
      </w:r>
      <w:r w:rsidR="00873E83" w:rsidRPr="00421D34">
        <w:rPr>
          <w:rFonts w:eastAsia="Times New Roman"/>
          <w:bCs/>
          <w:kern w:val="0"/>
          <w:sz w:val="22"/>
          <w:szCs w:val="22"/>
          <w:lang w:eastAsia="en-AU"/>
          <w14:ligatures w14:val="none"/>
        </w:rPr>
        <w:t xml:space="preserve">24 April 2023 and 31 May 2023, the TGA consulted publicly on the proposal to clarify </w:t>
      </w:r>
      <w:r w:rsidR="006F0063" w:rsidRPr="00421D34">
        <w:rPr>
          <w:rFonts w:eastAsia="Times New Roman"/>
          <w:bCs/>
          <w:kern w:val="0"/>
          <w:sz w:val="22"/>
          <w:szCs w:val="22"/>
          <w:lang w:eastAsia="en-AU"/>
          <w14:ligatures w14:val="none"/>
        </w:rPr>
        <w:t xml:space="preserve">indications that may be used in relation to sunscreen products. </w:t>
      </w:r>
      <w:r w:rsidR="00F75F3E" w:rsidRPr="00421D34">
        <w:rPr>
          <w:rFonts w:eastAsia="Times New Roman"/>
          <w:bCs/>
          <w:kern w:val="0"/>
          <w:sz w:val="22"/>
          <w:szCs w:val="22"/>
          <w:lang w:eastAsia="en-AU"/>
          <w14:ligatures w14:val="none"/>
        </w:rPr>
        <w:t>Nineteen responses were received from various stakeholders</w:t>
      </w:r>
      <w:r w:rsidR="009D4FA2" w:rsidRPr="00421D34">
        <w:rPr>
          <w:rFonts w:eastAsia="Times New Roman"/>
          <w:bCs/>
          <w:kern w:val="0"/>
          <w:sz w:val="22"/>
          <w:szCs w:val="22"/>
          <w:lang w:eastAsia="en-AU"/>
          <w14:ligatures w14:val="none"/>
        </w:rPr>
        <w:t>,</w:t>
      </w:r>
      <w:r w:rsidR="00F75F3E" w:rsidRPr="00421D34">
        <w:rPr>
          <w:rFonts w:eastAsia="Times New Roman"/>
          <w:bCs/>
          <w:kern w:val="0"/>
          <w:sz w:val="22"/>
          <w:szCs w:val="22"/>
          <w:lang w:eastAsia="en-AU"/>
          <w14:ligatures w14:val="none"/>
        </w:rPr>
        <w:t xml:space="preserve"> including</w:t>
      </w:r>
      <w:r w:rsidR="004E2EAD" w:rsidRPr="00421D34">
        <w:rPr>
          <w:rFonts w:eastAsia="Times New Roman"/>
          <w:bCs/>
          <w:kern w:val="0"/>
          <w:sz w:val="22"/>
          <w:szCs w:val="22"/>
          <w:lang w:eastAsia="en-AU"/>
          <w14:ligatures w14:val="none"/>
        </w:rPr>
        <w:t xml:space="preserve"> sponsors, manufacturers, </w:t>
      </w:r>
      <w:r w:rsidR="00D10C01" w:rsidRPr="00421D34">
        <w:rPr>
          <w:rFonts w:eastAsia="Times New Roman"/>
          <w:bCs/>
          <w:kern w:val="0"/>
          <w:sz w:val="22"/>
          <w:szCs w:val="22"/>
          <w:lang w:eastAsia="en-AU"/>
          <w14:ligatures w14:val="none"/>
        </w:rPr>
        <w:t xml:space="preserve">regulatory agents, industry </w:t>
      </w:r>
      <w:r w:rsidR="008E6A4D" w:rsidRPr="00421D34">
        <w:rPr>
          <w:rFonts w:eastAsia="Times New Roman"/>
          <w:bCs/>
          <w:kern w:val="0"/>
          <w:sz w:val="22"/>
          <w:szCs w:val="22"/>
          <w:lang w:eastAsia="en-AU"/>
          <w14:ligatures w14:val="none"/>
        </w:rPr>
        <w:t>organisations</w:t>
      </w:r>
      <w:r w:rsidR="00D10C01" w:rsidRPr="00421D34">
        <w:rPr>
          <w:rFonts w:eastAsia="Times New Roman"/>
          <w:bCs/>
          <w:kern w:val="0"/>
          <w:sz w:val="22"/>
          <w:szCs w:val="22"/>
          <w:lang w:eastAsia="en-AU"/>
          <w14:ligatures w14:val="none"/>
        </w:rPr>
        <w:t xml:space="preserve">, government organisations, </w:t>
      </w:r>
      <w:r w:rsidR="008E6A4D" w:rsidRPr="00421D34">
        <w:rPr>
          <w:rFonts w:eastAsia="Times New Roman"/>
          <w:bCs/>
          <w:kern w:val="0"/>
          <w:sz w:val="22"/>
          <w:szCs w:val="22"/>
          <w:lang w:eastAsia="en-AU"/>
          <w14:ligatures w14:val="none"/>
        </w:rPr>
        <w:t xml:space="preserve">health professionals, </w:t>
      </w:r>
      <w:r w:rsidR="00D10C01" w:rsidRPr="00421D34">
        <w:rPr>
          <w:rFonts w:eastAsia="Times New Roman"/>
          <w:bCs/>
          <w:kern w:val="0"/>
          <w:sz w:val="22"/>
          <w:szCs w:val="22"/>
          <w:lang w:eastAsia="en-AU"/>
          <w14:ligatures w14:val="none"/>
        </w:rPr>
        <w:t xml:space="preserve">consumer </w:t>
      </w:r>
      <w:r w:rsidR="008E6A4D" w:rsidRPr="00421D34">
        <w:rPr>
          <w:rFonts w:eastAsia="Times New Roman"/>
          <w:bCs/>
          <w:kern w:val="0"/>
          <w:sz w:val="22"/>
          <w:szCs w:val="22"/>
          <w:lang w:eastAsia="en-AU"/>
          <w14:ligatures w14:val="none"/>
        </w:rPr>
        <w:t>groups</w:t>
      </w:r>
      <w:r w:rsidR="00D10C01" w:rsidRPr="00421D34">
        <w:rPr>
          <w:rFonts w:eastAsia="Times New Roman"/>
          <w:bCs/>
          <w:kern w:val="0"/>
          <w:sz w:val="22"/>
          <w:szCs w:val="22"/>
          <w:lang w:eastAsia="en-AU"/>
          <w14:ligatures w14:val="none"/>
        </w:rPr>
        <w:t xml:space="preserve"> and a not-for-profit organisation.</w:t>
      </w:r>
    </w:p>
    <w:p w14:paraId="2F347D13" w14:textId="77777777" w:rsidR="00DC60D7" w:rsidRPr="00421D34" w:rsidRDefault="00DC60D7" w:rsidP="004D107E">
      <w:pPr>
        <w:spacing w:after="0" w:line="240" w:lineRule="auto"/>
        <w:contextualSpacing/>
        <w:rPr>
          <w:rFonts w:eastAsia="Times New Roman"/>
          <w:bCs/>
          <w:kern w:val="0"/>
          <w:sz w:val="22"/>
          <w:szCs w:val="22"/>
          <w:lang w:eastAsia="en-AU"/>
          <w14:ligatures w14:val="none"/>
        </w:rPr>
      </w:pPr>
    </w:p>
    <w:p w14:paraId="10DF9B85" w14:textId="4847D8E8" w:rsidR="00DC60D7" w:rsidRPr="00421D34" w:rsidRDefault="00A43CA6" w:rsidP="004D107E">
      <w:pPr>
        <w:spacing w:after="0" w:line="240" w:lineRule="auto"/>
        <w:contextualSpacing/>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 xml:space="preserve">The majority of respondents supported the proposal to </w:t>
      </w:r>
      <w:r w:rsidR="004276C7" w:rsidRPr="00421D34">
        <w:rPr>
          <w:rFonts w:eastAsia="Times New Roman"/>
          <w:bCs/>
          <w:kern w:val="0"/>
          <w:sz w:val="22"/>
          <w:szCs w:val="22"/>
          <w:lang w:eastAsia="en-AU"/>
          <w14:ligatures w14:val="none"/>
        </w:rPr>
        <w:t xml:space="preserve">clarify that the only indications that may be used in relation to listed sunscreens are </w:t>
      </w:r>
      <w:r w:rsidR="00B930FF" w:rsidRPr="00421D34">
        <w:rPr>
          <w:rFonts w:eastAsia="Times New Roman"/>
          <w:bCs/>
          <w:kern w:val="0"/>
          <w:sz w:val="22"/>
          <w:szCs w:val="22"/>
          <w:lang w:eastAsia="en-AU"/>
          <w14:ligatures w14:val="none"/>
        </w:rPr>
        <w:t>those indications specified in the Determination as being for sunscreen products only.</w:t>
      </w:r>
      <w:r w:rsidR="008E6A4D" w:rsidRPr="00421D34">
        <w:rPr>
          <w:rFonts w:eastAsia="Times New Roman"/>
          <w:bCs/>
          <w:kern w:val="0"/>
          <w:sz w:val="22"/>
          <w:szCs w:val="22"/>
          <w:lang w:eastAsia="en-AU"/>
          <w14:ligatures w14:val="none"/>
        </w:rPr>
        <w:t xml:space="preserve"> Many respondents stated that the continuation of the policy position was important for maintaining the integrity </w:t>
      </w:r>
      <w:r w:rsidR="00DE3FCA" w:rsidRPr="00421D34">
        <w:rPr>
          <w:rFonts w:eastAsia="Times New Roman"/>
          <w:bCs/>
          <w:kern w:val="0"/>
          <w:sz w:val="22"/>
          <w:szCs w:val="22"/>
          <w:lang w:eastAsia="en-AU"/>
          <w14:ligatures w14:val="none"/>
        </w:rPr>
        <w:t>o</w:t>
      </w:r>
      <w:r w:rsidR="008E6A4D" w:rsidRPr="00421D34">
        <w:rPr>
          <w:rFonts w:eastAsia="Times New Roman"/>
          <w:bCs/>
          <w:kern w:val="0"/>
          <w:sz w:val="22"/>
          <w:szCs w:val="22"/>
          <w:lang w:eastAsia="en-AU"/>
          <w14:ligatures w14:val="none"/>
        </w:rPr>
        <w:t>f these products and the important role they have in health care in Australia</w:t>
      </w:r>
      <w:r w:rsidR="00DE3FCA" w:rsidRPr="00421D34">
        <w:rPr>
          <w:rFonts w:eastAsia="Times New Roman"/>
          <w:bCs/>
          <w:kern w:val="0"/>
          <w:sz w:val="22"/>
          <w:szCs w:val="22"/>
          <w:lang w:eastAsia="en-AU"/>
          <w14:ligatures w14:val="none"/>
        </w:rPr>
        <w:t xml:space="preserve">, due to </w:t>
      </w:r>
      <w:r w:rsidR="00DC60D7" w:rsidRPr="00421D34">
        <w:rPr>
          <w:rFonts w:eastAsia="Times New Roman"/>
          <w:bCs/>
          <w:kern w:val="0"/>
          <w:sz w:val="22"/>
          <w:szCs w:val="22"/>
          <w:lang w:eastAsia="en-AU"/>
          <w14:ligatures w14:val="none"/>
        </w:rPr>
        <w:t xml:space="preserve">the high rates of skin cancer in </w:t>
      </w:r>
      <w:r w:rsidR="00DE3FCA" w:rsidRPr="00421D34">
        <w:rPr>
          <w:rFonts w:eastAsia="Times New Roman"/>
          <w:bCs/>
          <w:kern w:val="0"/>
          <w:sz w:val="22"/>
          <w:szCs w:val="22"/>
          <w:lang w:eastAsia="en-AU"/>
          <w14:ligatures w14:val="none"/>
        </w:rPr>
        <w:t>Australia</w:t>
      </w:r>
      <w:r w:rsidR="008E6A4D" w:rsidRPr="00421D34">
        <w:rPr>
          <w:rFonts w:eastAsia="Times New Roman"/>
          <w:bCs/>
          <w:kern w:val="0"/>
          <w:sz w:val="22"/>
          <w:szCs w:val="22"/>
          <w:lang w:eastAsia="en-AU"/>
          <w14:ligatures w14:val="none"/>
        </w:rPr>
        <w:t>.</w:t>
      </w:r>
    </w:p>
    <w:p w14:paraId="252EFB54" w14:textId="77777777" w:rsidR="00DC60D7" w:rsidRPr="00421D34" w:rsidRDefault="00DC60D7" w:rsidP="004D107E">
      <w:pPr>
        <w:spacing w:after="0" w:line="240" w:lineRule="auto"/>
        <w:contextualSpacing/>
        <w:rPr>
          <w:rFonts w:eastAsia="Times New Roman"/>
          <w:bCs/>
          <w:kern w:val="0"/>
          <w:sz w:val="22"/>
          <w:szCs w:val="22"/>
          <w:lang w:eastAsia="en-AU"/>
          <w14:ligatures w14:val="none"/>
        </w:rPr>
      </w:pPr>
    </w:p>
    <w:p w14:paraId="156103C3" w14:textId="6FBCB142" w:rsidR="00AB78CE" w:rsidRPr="00421D34" w:rsidRDefault="007549DD" w:rsidP="004D107E">
      <w:pPr>
        <w:spacing w:after="0" w:line="240" w:lineRule="auto"/>
        <w:contextualSpacing/>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However, a</w:t>
      </w:r>
      <w:r w:rsidR="00727039" w:rsidRPr="00421D34">
        <w:rPr>
          <w:rFonts w:eastAsia="Times New Roman"/>
          <w:bCs/>
          <w:kern w:val="0"/>
          <w:sz w:val="22"/>
          <w:szCs w:val="22"/>
          <w:lang w:eastAsia="en-AU"/>
          <w14:ligatures w14:val="none"/>
        </w:rPr>
        <w:t xml:space="preserve"> smal</w:t>
      </w:r>
      <w:r w:rsidR="00961DEA" w:rsidRPr="00421D34">
        <w:rPr>
          <w:rFonts w:eastAsia="Times New Roman"/>
          <w:bCs/>
          <w:kern w:val="0"/>
          <w:sz w:val="22"/>
          <w:szCs w:val="22"/>
          <w:lang w:eastAsia="en-AU"/>
          <w14:ligatures w14:val="none"/>
        </w:rPr>
        <w:t>l group</w:t>
      </w:r>
      <w:r w:rsidR="00727039" w:rsidRPr="00421D34">
        <w:rPr>
          <w:rFonts w:eastAsia="Times New Roman"/>
          <w:bCs/>
          <w:kern w:val="0"/>
          <w:sz w:val="22"/>
          <w:szCs w:val="22"/>
          <w:lang w:eastAsia="en-AU"/>
          <w14:ligatures w14:val="none"/>
        </w:rPr>
        <w:t xml:space="preserve"> </w:t>
      </w:r>
      <w:r w:rsidR="0074528C" w:rsidRPr="00421D34">
        <w:rPr>
          <w:rFonts w:eastAsia="Times New Roman"/>
          <w:bCs/>
          <w:kern w:val="0"/>
          <w:sz w:val="22"/>
          <w:szCs w:val="22"/>
          <w:lang w:eastAsia="en-AU"/>
          <w14:ligatures w14:val="none"/>
        </w:rPr>
        <w:t>of respondents</w:t>
      </w:r>
      <w:r w:rsidR="00D268C2" w:rsidRPr="00421D34">
        <w:rPr>
          <w:rFonts w:eastAsia="Times New Roman"/>
          <w:bCs/>
          <w:kern w:val="0"/>
          <w:sz w:val="22"/>
          <w:szCs w:val="22"/>
          <w:lang w:eastAsia="en-AU"/>
          <w14:ligatures w14:val="none"/>
        </w:rPr>
        <w:t xml:space="preserve">, including </w:t>
      </w:r>
      <w:r w:rsidR="003914EE" w:rsidRPr="00421D34">
        <w:rPr>
          <w:rFonts w:eastAsia="Times New Roman"/>
          <w:bCs/>
          <w:kern w:val="0"/>
          <w:sz w:val="22"/>
          <w:szCs w:val="22"/>
          <w:lang w:eastAsia="en-AU"/>
          <w14:ligatures w14:val="none"/>
        </w:rPr>
        <w:t xml:space="preserve">sponsors and regulatory agents, </w:t>
      </w:r>
      <w:r w:rsidR="0074528C" w:rsidRPr="00421D34">
        <w:rPr>
          <w:rFonts w:eastAsia="Times New Roman"/>
          <w:bCs/>
          <w:kern w:val="0"/>
          <w:sz w:val="22"/>
          <w:szCs w:val="22"/>
          <w:lang w:eastAsia="en-AU"/>
          <w14:ligatures w14:val="none"/>
        </w:rPr>
        <w:t>supported</w:t>
      </w:r>
      <w:r w:rsidR="00BB60CB" w:rsidRPr="00421D34">
        <w:rPr>
          <w:rFonts w:eastAsia="Times New Roman"/>
          <w:bCs/>
          <w:kern w:val="0"/>
          <w:sz w:val="22"/>
          <w:szCs w:val="22"/>
          <w:lang w:eastAsia="en-AU"/>
          <w14:ligatures w14:val="none"/>
        </w:rPr>
        <w:t xml:space="preserve"> options allowing sunscreen to make </w:t>
      </w:r>
      <w:r w:rsidR="006B00A1" w:rsidRPr="00421D34">
        <w:rPr>
          <w:rFonts w:eastAsia="Times New Roman"/>
          <w:bCs/>
          <w:kern w:val="0"/>
          <w:sz w:val="22"/>
          <w:szCs w:val="22"/>
          <w:lang w:eastAsia="en-AU"/>
          <w14:ligatures w14:val="none"/>
        </w:rPr>
        <w:t>non-sunscreen related indications and claims</w:t>
      </w:r>
      <w:r w:rsidRPr="00421D34">
        <w:rPr>
          <w:rFonts w:eastAsia="Times New Roman"/>
          <w:bCs/>
          <w:kern w:val="0"/>
          <w:sz w:val="22"/>
          <w:szCs w:val="22"/>
          <w:lang w:eastAsia="en-AU"/>
          <w14:ligatures w14:val="none"/>
        </w:rPr>
        <w:t>, as t</w:t>
      </w:r>
      <w:r w:rsidR="00642405" w:rsidRPr="00421D34">
        <w:rPr>
          <w:rFonts w:eastAsia="Times New Roman"/>
          <w:bCs/>
          <w:kern w:val="0"/>
          <w:sz w:val="22"/>
          <w:szCs w:val="22"/>
          <w:lang w:eastAsia="en-AU"/>
          <w14:ligatures w14:val="none"/>
        </w:rPr>
        <w:t>he</w:t>
      </w:r>
      <w:r w:rsidR="00D268C2" w:rsidRPr="00421D34">
        <w:rPr>
          <w:rFonts w:eastAsia="Times New Roman"/>
          <w:bCs/>
          <w:kern w:val="0"/>
          <w:sz w:val="22"/>
          <w:szCs w:val="22"/>
          <w:lang w:eastAsia="en-AU"/>
          <w14:ligatures w14:val="none"/>
        </w:rPr>
        <w:t>y</w:t>
      </w:r>
      <w:r w:rsidR="00642405" w:rsidRPr="00421D34">
        <w:rPr>
          <w:rFonts w:eastAsia="Times New Roman"/>
          <w:bCs/>
          <w:kern w:val="0"/>
          <w:sz w:val="22"/>
          <w:szCs w:val="22"/>
          <w:lang w:eastAsia="en-AU"/>
          <w14:ligatures w14:val="none"/>
        </w:rPr>
        <w:t xml:space="preserve"> </w:t>
      </w:r>
      <w:r w:rsidR="00D268C2" w:rsidRPr="00421D34">
        <w:rPr>
          <w:rFonts w:eastAsia="Times New Roman"/>
          <w:bCs/>
          <w:kern w:val="0"/>
          <w:sz w:val="22"/>
          <w:szCs w:val="22"/>
          <w:lang w:eastAsia="en-AU"/>
          <w14:ligatures w14:val="none"/>
        </w:rPr>
        <w:t xml:space="preserve">believed these options would foster </w:t>
      </w:r>
      <w:r w:rsidR="00642405" w:rsidRPr="00421D34">
        <w:rPr>
          <w:rFonts w:eastAsia="Times New Roman"/>
          <w:bCs/>
          <w:kern w:val="0"/>
          <w:sz w:val="22"/>
          <w:szCs w:val="22"/>
          <w:lang w:eastAsia="en-AU"/>
          <w14:ligatures w14:val="none"/>
        </w:rPr>
        <w:t xml:space="preserve">innovation and </w:t>
      </w:r>
      <w:r w:rsidR="008F434D" w:rsidRPr="00421D34">
        <w:rPr>
          <w:rFonts w:eastAsia="Times New Roman"/>
          <w:bCs/>
          <w:kern w:val="0"/>
          <w:sz w:val="22"/>
          <w:szCs w:val="22"/>
          <w:lang w:eastAsia="en-AU"/>
          <w14:ligatures w14:val="none"/>
        </w:rPr>
        <w:t xml:space="preserve">provide </w:t>
      </w:r>
      <w:r w:rsidR="00642405" w:rsidRPr="00421D34">
        <w:rPr>
          <w:rFonts w:eastAsia="Times New Roman"/>
          <w:bCs/>
          <w:kern w:val="0"/>
          <w:sz w:val="22"/>
          <w:szCs w:val="22"/>
          <w:lang w:eastAsia="en-AU"/>
          <w14:ligatures w14:val="none"/>
        </w:rPr>
        <w:t xml:space="preserve">marketing </w:t>
      </w:r>
      <w:r w:rsidR="00E7430C" w:rsidRPr="00421D34">
        <w:rPr>
          <w:rFonts w:eastAsia="Times New Roman"/>
          <w:bCs/>
          <w:kern w:val="0"/>
          <w:sz w:val="22"/>
          <w:szCs w:val="22"/>
          <w:lang w:eastAsia="en-AU"/>
          <w14:ligatures w14:val="none"/>
        </w:rPr>
        <w:t>advantage</w:t>
      </w:r>
      <w:r w:rsidR="008F434D" w:rsidRPr="00421D34">
        <w:rPr>
          <w:rFonts w:eastAsia="Times New Roman"/>
          <w:bCs/>
          <w:kern w:val="0"/>
          <w:sz w:val="22"/>
          <w:szCs w:val="22"/>
          <w:lang w:eastAsia="en-AU"/>
          <w14:ligatures w14:val="none"/>
        </w:rPr>
        <w:t>s</w:t>
      </w:r>
      <w:r w:rsidR="00E7430C" w:rsidRPr="00421D34">
        <w:rPr>
          <w:rFonts w:eastAsia="Times New Roman"/>
          <w:bCs/>
          <w:kern w:val="0"/>
          <w:sz w:val="22"/>
          <w:szCs w:val="22"/>
          <w:lang w:eastAsia="en-AU"/>
          <w14:ligatures w14:val="none"/>
        </w:rPr>
        <w:t xml:space="preserve"> for sunscreen sponsors to </w:t>
      </w:r>
      <w:r w:rsidR="00BC4CBA" w:rsidRPr="00421D34">
        <w:rPr>
          <w:rFonts w:eastAsia="Times New Roman"/>
          <w:bCs/>
          <w:kern w:val="0"/>
          <w:sz w:val="22"/>
          <w:szCs w:val="22"/>
          <w:lang w:eastAsia="en-AU"/>
          <w14:ligatures w14:val="none"/>
        </w:rPr>
        <w:t xml:space="preserve">differentiate </w:t>
      </w:r>
      <w:r w:rsidR="00E7430C" w:rsidRPr="00421D34">
        <w:rPr>
          <w:rFonts w:eastAsia="Times New Roman"/>
          <w:bCs/>
          <w:kern w:val="0"/>
          <w:sz w:val="22"/>
          <w:szCs w:val="22"/>
          <w:lang w:eastAsia="en-AU"/>
          <w14:ligatures w14:val="none"/>
        </w:rPr>
        <w:t>their products</w:t>
      </w:r>
      <w:r w:rsidR="00BC4CBA" w:rsidRPr="00421D34">
        <w:rPr>
          <w:rFonts w:eastAsia="Times New Roman"/>
          <w:bCs/>
          <w:kern w:val="0"/>
          <w:sz w:val="22"/>
          <w:szCs w:val="22"/>
          <w:lang w:eastAsia="en-AU"/>
          <w14:ligatures w14:val="none"/>
        </w:rPr>
        <w:t xml:space="preserve">. </w:t>
      </w:r>
      <w:r w:rsidR="00DE3FCA" w:rsidRPr="00421D34">
        <w:rPr>
          <w:rFonts w:eastAsia="Times New Roman"/>
          <w:bCs/>
          <w:kern w:val="0"/>
          <w:sz w:val="22"/>
          <w:szCs w:val="22"/>
          <w:lang w:eastAsia="en-AU"/>
          <w14:ligatures w14:val="none"/>
        </w:rPr>
        <w:t>The</w:t>
      </w:r>
      <w:r w:rsidR="00DC60D7" w:rsidRPr="00421D34">
        <w:rPr>
          <w:rFonts w:eastAsia="Times New Roman"/>
          <w:bCs/>
          <w:kern w:val="0"/>
          <w:sz w:val="22"/>
          <w:szCs w:val="22"/>
          <w:lang w:eastAsia="en-AU"/>
          <w14:ligatures w14:val="none"/>
        </w:rPr>
        <w:t xml:space="preserve"> views of these respondents was considered carefully in determining the appropriate option. However, the</w:t>
      </w:r>
      <w:r w:rsidR="00DE3FCA" w:rsidRPr="00421D34">
        <w:rPr>
          <w:rFonts w:eastAsia="Times New Roman"/>
          <w:bCs/>
          <w:kern w:val="0"/>
          <w:sz w:val="22"/>
          <w:szCs w:val="22"/>
          <w:lang w:eastAsia="en-AU"/>
          <w14:ligatures w14:val="none"/>
        </w:rPr>
        <w:t xml:space="preserve"> TGA considers that these benefits</w:t>
      </w:r>
      <w:r w:rsidR="00DC60D7" w:rsidRPr="00421D34">
        <w:rPr>
          <w:rFonts w:eastAsia="Times New Roman"/>
          <w:bCs/>
          <w:kern w:val="0"/>
          <w:sz w:val="22"/>
          <w:szCs w:val="22"/>
          <w:lang w:eastAsia="en-AU"/>
          <w14:ligatures w14:val="none"/>
        </w:rPr>
        <w:t xml:space="preserve"> associated with allowing sunscreen products to make non-sunscreen related claims are outweighed</w:t>
      </w:r>
      <w:r w:rsidR="00DE3FCA" w:rsidRPr="00421D34">
        <w:rPr>
          <w:rFonts w:eastAsia="Times New Roman"/>
          <w:bCs/>
          <w:kern w:val="0"/>
          <w:sz w:val="22"/>
          <w:szCs w:val="22"/>
          <w:lang w:eastAsia="en-AU"/>
          <w14:ligatures w14:val="none"/>
        </w:rPr>
        <w:t xml:space="preserve"> </w:t>
      </w:r>
      <w:r w:rsidR="00DC60D7" w:rsidRPr="00421D34">
        <w:rPr>
          <w:rFonts w:eastAsia="Times New Roman"/>
          <w:bCs/>
          <w:kern w:val="0"/>
          <w:sz w:val="22"/>
          <w:szCs w:val="22"/>
          <w:lang w:eastAsia="en-AU"/>
          <w14:ligatures w14:val="none"/>
        </w:rPr>
        <w:t xml:space="preserve">by the </w:t>
      </w:r>
      <w:r w:rsidR="00DE3FCA" w:rsidRPr="00421D34">
        <w:rPr>
          <w:rFonts w:eastAsia="Times New Roman"/>
          <w:bCs/>
          <w:kern w:val="0"/>
          <w:sz w:val="22"/>
          <w:szCs w:val="22"/>
          <w:lang w:eastAsia="en-AU"/>
          <w14:ligatures w14:val="none"/>
        </w:rPr>
        <w:t xml:space="preserve">safety concerns that </w:t>
      </w:r>
      <w:r w:rsidR="00DE3FCA" w:rsidRPr="00421D34">
        <w:rPr>
          <w:rFonts w:eastAsia="Times New Roman"/>
          <w:bCs/>
          <w:kern w:val="0"/>
          <w:sz w:val="22"/>
          <w:szCs w:val="22"/>
          <w:lang w:eastAsia="en-AU"/>
          <w14:ligatures w14:val="none"/>
        </w:rPr>
        <w:lastRenderedPageBreak/>
        <w:t>are addressed by clarifying that the only indications that may be used in relation to listed sunscreens are those indications specified in the Determination.</w:t>
      </w:r>
    </w:p>
    <w:p w14:paraId="03C5BA6B" w14:textId="77777777" w:rsidR="00482599" w:rsidRPr="00421D34" w:rsidRDefault="00482599" w:rsidP="004D107E">
      <w:pPr>
        <w:spacing w:after="0" w:line="240" w:lineRule="auto"/>
        <w:contextualSpacing/>
        <w:rPr>
          <w:rFonts w:eastAsia="Times New Roman"/>
          <w:bCs/>
          <w:kern w:val="0"/>
          <w:sz w:val="22"/>
          <w:szCs w:val="22"/>
          <w:lang w:eastAsia="en-AU"/>
          <w14:ligatures w14:val="none"/>
        </w:rPr>
      </w:pPr>
    </w:p>
    <w:p w14:paraId="4A2863D4" w14:textId="15ED1A97" w:rsidR="004D107E" w:rsidRPr="00421D34" w:rsidRDefault="004D107E" w:rsidP="004D107E">
      <w:pPr>
        <w:spacing w:after="0" w:line="240" w:lineRule="auto"/>
        <w:contextualSpacing/>
        <w:rPr>
          <w:rFonts w:eastAsia="Times New Roman"/>
          <w:bCs/>
          <w:kern w:val="0"/>
          <w:sz w:val="22"/>
          <w:szCs w:val="22"/>
          <w:lang w:eastAsia="en-AU"/>
          <w14:ligatures w14:val="none"/>
        </w:rPr>
      </w:pPr>
      <w:r w:rsidRPr="00421D34">
        <w:rPr>
          <w:rFonts w:eastAsia="Times New Roman"/>
          <w:b/>
          <w:kern w:val="0"/>
          <w:sz w:val="22"/>
          <w:szCs w:val="22"/>
          <w:lang w:eastAsia="en-AU"/>
          <w14:ligatures w14:val="none"/>
        </w:rPr>
        <w:t>Other details</w:t>
      </w:r>
    </w:p>
    <w:p w14:paraId="5E32C304" w14:textId="77777777" w:rsidR="004D107E" w:rsidRPr="00421D34" w:rsidRDefault="004D107E" w:rsidP="004D107E">
      <w:pPr>
        <w:spacing w:after="0" w:line="240" w:lineRule="auto"/>
        <w:contextualSpacing/>
        <w:rPr>
          <w:rFonts w:eastAsia="Times New Roman"/>
          <w:bCs/>
          <w:kern w:val="0"/>
          <w:sz w:val="22"/>
          <w:szCs w:val="22"/>
          <w:lang w:eastAsia="en-AU"/>
          <w14:ligatures w14:val="none"/>
        </w:rPr>
      </w:pPr>
    </w:p>
    <w:p w14:paraId="2E64E4E0" w14:textId="492CC1F1" w:rsidR="00B43870" w:rsidRPr="00421D34" w:rsidRDefault="00B43870" w:rsidP="004D107E">
      <w:pPr>
        <w:spacing w:after="0" w:line="240" w:lineRule="auto"/>
        <w:contextualSpacing/>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 xml:space="preserve">Details of the Determination are set out in </w:t>
      </w:r>
      <w:r w:rsidRPr="00421D34">
        <w:rPr>
          <w:rFonts w:eastAsia="Times New Roman"/>
          <w:b/>
          <w:kern w:val="0"/>
          <w:sz w:val="22"/>
          <w:szCs w:val="22"/>
          <w:lang w:eastAsia="en-AU"/>
          <w14:ligatures w14:val="none"/>
        </w:rPr>
        <w:t>Attachment A</w:t>
      </w:r>
      <w:r w:rsidRPr="00421D34">
        <w:rPr>
          <w:rFonts w:eastAsia="Times New Roman"/>
          <w:bCs/>
          <w:kern w:val="0"/>
          <w:sz w:val="22"/>
          <w:szCs w:val="22"/>
          <w:lang w:eastAsia="en-AU"/>
          <w14:ligatures w14:val="none"/>
        </w:rPr>
        <w:t>.</w:t>
      </w:r>
    </w:p>
    <w:p w14:paraId="56F5BEDE" w14:textId="77777777" w:rsidR="00B43870" w:rsidRPr="00421D34" w:rsidRDefault="00B43870" w:rsidP="004D107E">
      <w:pPr>
        <w:spacing w:after="0" w:line="240" w:lineRule="auto"/>
        <w:contextualSpacing/>
        <w:rPr>
          <w:rFonts w:eastAsia="Times New Roman"/>
          <w:bCs/>
          <w:kern w:val="0"/>
          <w:sz w:val="22"/>
          <w:szCs w:val="22"/>
          <w:lang w:eastAsia="en-AU"/>
          <w14:ligatures w14:val="none"/>
        </w:rPr>
      </w:pPr>
    </w:p>
    <w:p w14:paraId="493664F6" w14:textId="5519069A" w:rsidR="00B43870" w:rsidRPr="00421D34" w:rsidRDefault="00B43870" w:rsidP="004D107E">
      <w:pPr>
        <w:spacing w:after="0" w:line="240" w:lineRule="auto"/>
        <w:contextualSpacing/>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 xml:space="preserve">The Determination is compatible with the human rights and freedoms recognised or declared under section 3 of the </w:t>
      </w:r>
      <w:r w:rsidRPr="00421D34">
        <w:rPr>
          <w:rFonts w:eastAsia="Times New Roman"/>
          <w:bCs/>
          <w:i/>
          <w:iCs/>
          <w:kern w:val="0"/>
          <w:sz w:val="22"/>
          <w:szCs w:val="22"/>
          <w:lang w:eastAsia="en-AU"/>
          <w14:ligatures w14:val="none"/>
        </w:rPr>
        <w:t>Human Rights (Parliamentary Scrutiny) Act 2011</w:t>
      </w:r>
      <w:r w:rsidRPr="00421D34">
        <w:rPr>
          <w:rFonts w:eastAsia="Times New Roman"/>
          <w:bCs/>
          <w:kern w:val="0"/>
          <w:sz w:val="22"/>
          <w:szCs w:val="22"/>
          <w:lang w:eastAsia="en-AU"/>
          <w14:ligatures w14:val="none"/>
        </w:rPr>
        <w:t xml:space="preserve">. A full statement of compatibility is set out in </w:t>
      </w:r>
      <w:r w:rsidRPr="00421D34">
        <w:rPr>
          <w:rFonts w:eastAsia="Times New Roman"/>
          <w:b/>
          <w:kern w:val="0"/>
          <w:sz w:val="22"/>
          <w:szCs w:val="22"/>
          <w:lang w:eastAsia="en-AU"/>
          <w14:ligatures w14:val="none"/>
        </w:rPr>
        <w:t>Attachment B</w:t>
      </w:r>
      <w:r w:rsidRPr="00421D34">
        <w:rPr>
          <w:rFonts w:eastAsia="Times New Roman"/>
          <w:bCs/>
          <w:kern w:val="0"/>
          <w:sz w:val="22"/>
          <w:szCs w:val="22"/>
          <w:lang w:eastAsia="en-AU"/>
          <w14:ligatures w14:val="none"/>
        </w:rPr>
        <w:t>.</w:t>
      </w:r>
    </w:p>
    <w:p w14:paraId="4118DBB1" w14:textId="77777777" w:rsidR="00B43870" w:rsidRPr="00421D34" w:rsidRDefault="00B43870" w:rsidP="004D107E">
      <w:pPr>
        <w:spacing w:after="0" w:line="240" w:lineRule="auto"/>
        <w:contextualSpacing/>
        <w:rPr>
          <w:rFonts w:eastAsia="Times New Roman"/>
          <w:bCs/>
          <w:kern w:val="0"/>
          <w:sz w:val="22"/>
          <w:szCs w:val="22"/>
          <w:lang w:eastAsia="en-AU"/>
          <w14:ligatures w14:val="none"/>
        </w:rPr>
      </w:pPr>
    </w:p>
    <w:p w14:paraId="5146E2BA" w14:textId="2FA4E734" w:rsidR="00B03B27" w:rsidRPr="00421D34" w:rsidRDefault="00A370A6" w:rsidP="004D107E">
      <w:pPr>
        <w:spacing w:after="0" w:line="240" w:lineRule="auto"/>
        <w:contextualSpacing/>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 xml:space="preserve">The OIA have advised that </w:t>
      </w:r>
      <w:r w:rsidR="009075B0" w:rsidRPr="00421D34">
        <w:rPr>
          <w:rFonts w:eastAsia="Times New Roman"/>
          <w:bCs/>
          <w:kern w:val="0"/>
          <w:sz w:val="22"/>
          <w:szCs w:val="22"/>
          <w:lang w:eastAsia="en-AU"/>
          <w14:ligatures w14:val="none"/>
        </w:rPr>
        <w:t xml:space="preserve">a detailed analysis is not required as </w:t>
      </w:r>
      <w:r w:rsidRPr="00421D34">
        <w:rPr>
          <w:rFonts w:eastAsia="Times New Roman"/>
          <w:bCs/>
          <w:kern w:val="0"/>
          <w:sz w:val="22"/>
          <w:szCs w:val="22"/>
          <w:lang w:eastAsia="en-AU"/>
          <w14:ligatures w14:val="none"/>
        </w:rPr>
        <w:t xml:space="preserve">the impacts of the proposed changes do not represent a significant difference from the status quo. </w:t>
      </w:r>
      <w:r w:rsidR="00862DB4" w:rsidRPr="00421D34">
        <w:rPr>
          <w:rFonts w:eastAsia="Times New Roman"/>
          <w:bCs/>
          <w:kern w:val="0"/>
          <w:sz w:val="22"/>
          <w:szCs w:val="22"/>
          <w:lang w:eastAsia="en-AU"/>
          <w14:ligatures w14:val="none"/>
        </w:rPr>
        <w:t>T</w:t>
      </w:r>
      <w:r w:rsidRPr="00421D34">
        <w:rPr>
          <w:rFonts w:eastAsia="Times New Roman"/>
          <w:bCs/>
          <w:kern w:val="0"/>
          <w:sz w:val="22"/>
          <w:szCs w:val="22"/>
          <w:lang w:eastAsia="en-AU"/>
          <w14:ligatures w14:val="none"/>
        </w:rPr>
        <w:t>herefore, the preparation of an Impact Analysis is not required (OIA reference</w:t>
      </w:r>
      <w:r w:rsidR="00862DB4" w:rsidRPr="00421D34">
        <w:rPr>
          <w:rFonts w:eastAsia="Times New Roman"/>
          <w:bCs/>
          <w:kern w:val="0"/>
          <w:sz w:val="22"/>
          <w:szCs w:val="22"/>
          <w:lang w:eastAsia="en-AU"/>
          <w14:ligatures w14:val="none"/>
        </w:rPr>
        <w:t xml:space="preserve"> OIA25-09171</w:t>
      </w:r>
      <w:r w:rsidRPr="00421D34">
        <w:rPr>
          <w:rFonts w:eastAsia="Times New Roman"/>
          <w:bCs/>
          <w:kern w:val="0"/>
          <w:sz w:val="22"/>
          <w:szCs w:val="22"/>
          <w:lang w:eastAsia="en-AU"/>
          <w14:ligatures w14:val="none"/>
        </w:rPr>
        <w:t>)</w:t>
      </w:r>
      <w:r w:rsidR="00964A1F" w:rsidRPr="00421D34">
        <w:rPr>
          <w:rFonts w:eastAsia="Times New Roman"/>
          <w:bCs/>
          <w:kern w:val="0"/>
          <w:sz w:val="22"/>
          <w:szCs w:val="22"/>
          <w:lang w:eastAsia="en-AU"/>
          <w14:ligatures w14:val="none"/>
        </w:rPr>
        <w:t>.</w:t>
      </w:r>
      <w:r w:rsidRPr="00421D34">
        <w:rPr>
          <w:rFonts w:eastAsia="Times New Roman"/>
          <w:bCs/>
          <w:kern w:val="0"/>
          <w:sz w:val="22"/>
          <w:szCs w:val="22"/>
          <w:lang w:eastAsia="en-AU"/>
          <w14:ligatures w14:val="none"/>
        </w:rPr>
        <w:t xml:space="preserve"> </w:t>
      </w:r>
    </w:p>
    <w:p w14:paraId="4B600C77" w14:textId="77777777" w:rsidR="00B03B27" w:rsidRPr="00421D34" w:rsidRDefault="00B03B27" w:rsidP="004D107E">
      <w:pPr>
        <w:spacing w:after="0" w:line="240" w:lineRule="auto"/>
        <w:contextualSpacing/>
        <w:rPr>
          <w:rFonts w:eastAsia="Times New Roman"/>
          <w:bCs/>
          <w:kern w:val="0"/>
          <w:sz w:val="22"/>
          <w:szCs w:val="22"/>
          <w:lang w:eastAsia="en-AU"/>
          <w14:ligatures w14:val="none"/>
        </w:rPr>
      </w:pPr>
    </w:p>
    <w:p w14:paraId="5CEFD91F" w14:textId="023EF795" w:rsidR="004D107E" w:rsidRPr="00421D34" w:rsidRDefault="00B43870" w:rsidP="00421D34">
      <w:pPr>
        <w:spacing w:after="0" w:line="240" w:lineRule="auto"/>
        <w:contextualSpacing/>
        <w:jc w:val="both"/>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 xml:space="preserve">The Determination is a disallowable legislative instrument for the purposes of </w:t>
      </w:r>
      <w:r w:rsidR="008430A4" w:rsidRPr="00421D34">
        <w:rPr>
          <w:rFonts w:eastAsia="Times New Roman"/>
          <w:bCs/>
          <w:kern w:val="0"/>
          <w:sz w:val="22"/>
          <w:szCs w:val="22"/>
          <w:lang w:eastAsia="en-AU"/>
          <w14:ligatures w14:val="none"/>
        </w:rPr>
        <w:t xml:space="preserve">the </w:t>
      </w:r>
      <w:r w:rsidR="008430A4" w:rsidRPr="00421D34">
        <w:rPr>
          <w:rFonts w:eastAsia="Times New Roman"/>
          <w:bCs/>
          <w:i/>
          <w:iCs/>
          <w:kern w:val="0"/>
          <w:sz w:val="22"/>
          <w:szCs w:val="22"/>
          <w:lang w:eastAsia="en-AU"/>
          <w14:ligatures w14:val="none"/>
        </w:rPr>
        <w:t>Legislation Act</w:t>
      </w:r>
      <w:r w:rsidR="001D5263" w:rsidRPr="00421D34">
        <w:rPr>
          <w:rFonts w:eastAsia="Times New Roman"/>
          <w:bCs/>
          <w:i/>
          <w:iCs/>
          <w:kern w:val="0"/>
          <w:sz w:val="22"/>
          <w:szCs w:val="22"/>
          <w:lang w:eastAsia="en-AU"/>
          <w14:ligatures w14:val="none"/>
        </w:rPr>
        <w:t xml:space="preserve"> 2003</w:t>
      </w:r>
      <w:r w:rsidR="00DB707A" w:rsidRPr="00421D34">
        <w:rPr>
          <w:rFonts w:eastAsia="Times New Roman"/>
          <w:bCs/>
          <w:kern w:val="0"/>
          <w:sz w:val="22"/>
          <w:szCs w:val="22"/>
          <w:lang w:eastAsia="en-AU"/>
          <w14:ligatures w14:val="none"/>
        </w:rPr>
        <w:t>,</w:t>
      </w:r>
      <w:r w:rsidR="00777C11" w:rsidRPr="00421D34">
        <w:rPr>
          <w:rFonts w:eastAsia="Times New Roman"/>
          <w:bCs/>
          <w:kern w:val="0"/>
          <w:sz w:val="22"/>
          <w:szCs w:val="22"/>
          <w:lang w:eastAsia="en-AU"/>
          <w14:ligatures w14:val="none"/>
        </w:rPr>
        <w:t>and commences</w:t>
      </w:r>
      <w:r w:rsidR="008B4589" w:rsidRPr="00421D34">
        <w:rPr>
          <w:rFonts w:eastAsia="Times New Roman"/>
          <w:bCs/>
          <w:kern w:val="0"/>
          <w:sz w:val="22"/>
          <w:szCs w:val="22"/>
          <w:lang w:eastAsia="en-AU"/>
          <w14:ligatures w14:val="none"/>
        </w:rPr>
        <w:t xml:space="preserve"> on</w:t>
      </w:r>
      <w:r w:rsidR="00DB707A" w:rsidRPr="00421D34">
        <w:rPr>
          <w:rFonts w:eastAsia="Times New Roman"/>
          <w:bCs/>
          <w:kern w:val="0"/>
          <w:sz w:val="22"/>
          <w:szCs w:val="22"/>
          <w:lang w:eastAsia="en-AU"/>
          <w14:ligatures w14:val="none"/>
        </w:rPr>
        <w:t xml:space="preserve"> the day after it is registered on the Federal Register of Legislation</w:t>
      </w:r>
      <w:r w:rsidR="008B4589" w:rsidRPr="00421D34">
        <w:rPr>
          <w:rFonts w:eastAsia="Times New Roman"/>
          <w:bCs/>
          <w:kern w:val="0"/>
          <w:sz w:val="22"/>
          <w:szCs w:val="22"/>
          <w:lang w:eastAsia="en-AU"/>
          <w14:ligatures w14:val="none"/>
        </w:rPr>
        <w:t>.</w:t>
      </w:r>
    </w:p>
    <w:p w14:paraId="7D13EC5F" w14:textId="005FEED4" w:rsidR="004D107E" w:rsidRPr="00421D34" w:rsidRDefault="004D107E">
      <w:pPr>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br w:type="page"/>
      </w:r>
    </w:p>
    <w:p w14:paraId="7B59E74C" w14:textId="7AA4A261" w:rsidR="004D107E" w:rsidRPr="00421D34" w:rsidRDefault="004D107E" w:rsidP="004D107E">
      <w:pPr>
        <w:autoSpaceDE w:val="0"/>
        <w:autoSpaceDN w:val="0"/>
        <w:adjustRightInd w:val="0"/>
        <w:spacing w:after="0" w:line="240" w:lineRule="auto"/>
        <w:contextualSpacing/>
        <w:jc w:val="right"/>
        <w:rPr>
          <w:rFonts w:eastAsia="Times New Roman"/>
          <w:kern w:val="0"/>
          <w:sz w:val="22"/>
          <w:szCs w:val="22"/>
          <w:lang w:eastAsia="en-AU"/>
          <w14:ligatures w14:val="none"/>
        </w:rPr>
      </w:pPr>
      <w:r w:rsidRPr="00421D34">
        <w:rPr>
          <w:rFonts w:eastAsia="Times New Roman"/>
          <w:b/>
          <w:bCs/>
          <w:kern w:val="0"/>
          <w:sz w:val="22"/>
          <w:szCs w:val="22"/>
          <w:lang w:eastAsia="en-AU"/>
          <w14:ligatures w14:val="none"/>
        </w:rPr>
        <w:lastRenderedPageBreak/>
        <w:t>ATTACHMENT A</w:t>
      </w:r>
    </w:p>
    <w:p w14:paraId="5434F22F" w14:textId="77777777" w:rsidR="004D107E" w:rsidRPr="00421D34" w:rsidRDefault="004D107E" w:rsidP="004D107E">
      <w:pPr>
        <w:autoSpaceDE w:val="0"/>
        <w:autoSpaceDN w:val="0"/>
        <w:adjustRightInd w:val="0"/>
        <w:spacing w:after="0" w:line="240" w:lineRule="auto"/>
        <w:contextualSpacing/>
        <w:rPr>
          <w:rFonts w:eastAsia="Times New Roman"/>
          <w:kern w:val="0"/>
          <w:sz w:val="22"/>
          <w:szCs w:val="22"/>
          <w:lang w:eastAsia="en-AU"/>
          <w14:ligatures w14:val="none"/>
        </w:rPr>
      </w:pPr>
    </w:p>
    <w:p w14:paraId="26F97EA1" w14:textId="64467B1F" w:rsidR="004D107E" w:rsidRPr="00421D34" w:rsidRDefault="004D107E" w:rsidP="004D107E">
      <w:pPr>
        <w:autoSpaceDE w:val="0"/>
        <w:autoSpaceDN w:val="0"/>
        <w:adjustRightInd w:val="0"/>
        <w:spacing w:after="0" w:line="240" w:lineRule="auto"/>
        <w:contextualSpacing/>
        <w:rPr>
          <w:rFonts w:eastAsia="Times New Roman"/>
          <w:kern w:val="0"/>
          <w:sz w:val="22"/>
          <w:szCs w:val="22"/>
          <w:lang w:eastAsia="en-AU"/>
          <w14:ligatures w14:val="none"/>
        </w:rPr>
      </w:pPr>
      <w:r w:rsidRPr="00421D34">
        <w:rPr>
          <w:rFonts w:eastAsia="Times New Roman"/>
          <w:b/>
          <w:bCs/>
          <w:kern w:val="0"/>
          <w:sz w:val="22"/>
          <w:szCs w:val="22"/>
          <w:lang w:eastAsia="en-AU"/>
          <w14:ligatures w14:val="none"/>
        </w:rPr>
        <w:t xml:space="preserve">Details of the </w:t>
      </w:r>
      <w:r w:rsidRPr="00421D34">
        <w:rPr>
          <w:rFonts w:eastAsia="Times New Roman"/>
          <w:b/>
          <w:bCs/>
          <w:i/>
          <w:iCs/>
          <w:kern w:val="0"/>
          <w:sz w:val="22"/>
          <w:szCs w:val="22"/>
          <w:lang w:eastAsia="en-AU"/>
          <w14:ligatures w14:val="none"/>
        </w:rPr>
        <w:t xml:space="preserve">Therapeutic Goods (Permissible Indications) Determination </w:t>
      </w:r>
      <w:r w:rsidR="00DB707A" w:rsidRPr="00421D34">
        <w:rPr>
          <w:rFonts w:eastAsia="Times New Roman"/>
          <w:b/>
          <w:bCs/>
          <w:i/>
          <w:iCs/>
          <w:kern w:val="0"/>
          <w:sz w:val="22"/>
          <w:szCs w:val="22"/>
          <w:lang w:eastAsia="en-AU"/>
          <w14:ligatures w14:val="none"/>
        </w:rPr>
        <w:t xml:space="preserve">(No. 1) </w:t>
      </w:r>
      <w:r w:rsidRPr="00421D34">
        <w:rPr>
          <w:rFonts w:eastAsia="Times New Roman"/>
          <w:b/>
          <w:bCs/>
          <w:i/>
          <w:iCs/>
          <w:kern w:val="0"/>
          <w:sz w:val="22"/>
          <w:szCs w:val="22"/>
          <w:lang w:eastAsia="en-AU"/>
          <w14:ligatures w14:val="none"/>
        </w:rPr>
        <w:t>202</w:t>
      </w:r>
      <w:r w:rsidR="00204DF4" w:rsidRPr="00421D34">
        <w:rPr>
          <w:rFonts w:eastAsia="Times New Roman"/>
          <w:b/>
          <w:bCs/>
          <w:i/>
          <w:iCs/>
          <w:kern w:val="0"/>
          <w:sz w:val="22"/>
          <w:szCs w:val="22"/>
          <w:lang w:eastAsia="en-AU"/>
          <w14:ligatures w14:val="none"/>
        </w:rPr>
        <w:t>5</w:t>
      </w:r>
    </w:p>
    <w:p w14:paraId="6700B1B8" w14:textId="77777777" w:rsidR="004D107E" w:rsidRPr="00421D34" w:rsidRDefault="004D107E" w:rsidP="004D107E">
      <w:pPr>
        <w:autoSpaceDE w:val="0"/>
        <w:autoSpaceDN w:val="0"/>
        <w:adjustRightInd w:val="0"/>
        <w:spacing w:after="0" w:line="240" w:lineRule="auto"/>
        <w:contextualSpacing/>
        <w:rPr>
          <w:rFonts w:eastAsia="Times New Roman"/>
          <w:kern w:val="0"/>
          <w:sz w:val="22"/>
          <w:szCs w:val="22"/>
          <w:lang w:eastAsia="en-AU"/>
          <w14:ligatures w14:val="none"/>
        </w:rPr>
      </w:pPr>
    </w:p>
    <w:p w14:paraId="6F8B4164" w14:textId="5CE4A4B1" w:rsidR="004D107E" w:rsidRPr="00421D34" w:rsidRDefault="004D107E" w:rsidP="004D107E">
      <w:pPr>
        <w:autoSpaceDE w:val="0"/>
        <w:autoSpaceDN w:val="0"/>
        <w:adjustRightInd w:val="0"/>
        <w:spacing w:after="0" w:line="240" w:lineRule="auto"/>
        <w:contextualSpacing/>
        <w:rPr>
          <w:rFonts w:eastAsia="Times New Roman"/>
          <w:kern w:val="0"/>
          <w:sz w:val="22"/>
          <w:szCs w:val="22"/>
          <w:lang w:eastAsia="en-AU"/>
          <w14:ligatures w14:val="none"/>
        </w:rPr>
      </w:pPr>
      <w:r w:rsidRPr="00421D34">
        <w:rPr>
          <w:rFonts w:eastAsia="Times New Roman"/>
          <w:b/>
          <w:bCs/>
          <w:kern w:val="0"/>
          <w:sz w:val="22"/>
          <w:szCs w:val="22"/>
          <w:lang w:eastAsia="en-AU"/>
          <w14:ligatures w14:val="none"/>
        </w:rPr>
        <w:t>Section 1 – Name</w:t>
      </w:r>
    </w:p>
    <w:p w14:paraId="46C45405" w14:textId="77777777" w:rsidR="00B03B27" w:rsidRPr="00421D34" w:rsidRDefault="00B03B27" w:rsidP="004D107E">
      <w:pPr>
        <w:autoSpaceDE w:val="0"/>
        <w:autoSpaceDN w:val="0"/>
        <w:adjustRightInd w:val="0"/>
        <w:spacing w:after="0" w:line="240" w:lineRule="auto"/>
        <w:contextualSpacing/>
        <w:rPr>
          <w:rFonts w:eastAsia="Times New Roman"/>
          <w:kern w:val="0"/>
          <w:sz w:val="22"/>
          <w:szCs w:val="22"/>
          <w:lang w:eastAsia="en-AU"/>
          <w14:ligatures w14:val="none"/>
        </w:rPr>
      </w:pPr>
    </w:p>
    <w:p w14:paraId="245DAC08" w14:textId="7EEE4E2B" w:rsidR="00B03B27" w:rsidRPr="00421D34" w:rsidRDefault="00B03B27" w:rsidP="004D107E">
      <w:pPr>
        <w:autoSpaceDE w:val="0"/>
        <w:autoSpaceDN w:val="0"/>
        <w:adjustRightInd w:val="0"/>
        <w:spacing w:after="0" w:line="240" w:lineRule="auto"/>
        <w:contextualSpacing/>
        <w:rPr>
          <w:rFonts w:eastAsia="Times New Roman"/>
          <w:kern w:val="0"/>
          <w:sz w:val="22"/>
          <w:szCs w:val="22"/>
          <w:lang w:eastAsia="en-AU"/>
          <w14:ligatures w14:val="none"/>
        </w:rPr>
      </w:pPr>
      <w:r w:rsidRPr="00421D34">
        <w:rPr>
          <w:rFonts w:eastAsia="Times New Roman"/>
          <w:kern w:val="0"/>
          <w:sz w:val="22"/>
          <w:szCs w:val="22"/>
          <w:lang w:eastAsia="en-AU"/>
          <w14:ligatures w14:val="none"/>
        </w:rPr>
        <w:t xml:space="preserve">This section provides that the name of the instrument is the </w:t>
      </w:r>
      <w:r w:rsidRPr="00421D34">
        <w:rPr>
          <w:rFonts w:eastAsia="Times New Roman"/>
          <w:i/>
          <w:iCs/>
          <w:kern w:val="0"/>
          <w:sz w:val="22"/>
          <w:szCs w:val="22"/>
          <w:lang w:eastAsia="en-AU"/>
          <w14:ligatures w14:val="none"/>
        </w:rPr>
        <w:t xml:space="preserve">Therapeutic Goods (Permissible Indications) Determination </w:t>
      </w:r>
      <w:r w:rsidR="00DB707A" w:rsidRPr="00421D34">
        <w:rPr>
          <w:rFonts w:eastAsia="Times New Roman"/>
          <w:i/>
          <w:iCs/>
          <w:kern w:val="0"/>
          <w:sz w:val="22"/>
          <w:szCs w:val="22"/>
          <w:lang w:eastAsia="en-AU"/>
          <w14:ligatures w14:val="none"/>
        </w:rPr>
        <w:t xml:space="preserve">(No. 1) </w:t>
      </w:r>
      <w:r w:rsidRPr="00421D34">
        <w:rPr>
          <w:rFonts w:eastAsia="Times New Roman"/>
          <w:i/>
          <w:iCs/>
          <w:kern w:val="0"/>
          <w:sz w:val="22"/>
          <w:szCs w:val="22"/>
          <w:lang w:eastAsia="en-AU"/>
          <w14:ligatures w14:val="none"/>
        </w:rPr>
        <w:t>202</w:t>
      </w:r>
      <w:r w:rsidR="00204DF4" w:rsidRPr="00421D34">
        <w:rPr>
          <w:rFonts w:eastAsia="Times New Roman"/>
          <w:i/>
          <w:iCs/>
          <w:kern w:val="0"/>
          <w:sz w:val="22"/>
          <w:szCs w:val="22"/>
          <w:lang w:eastAsia="en-AU"/>
          <w14:ligatures w14:val="none"/>
        </w:rPr>
        <w:t>5</w:t>
      </w:r>
      <w:r w:rsidRPr="00421D34">
        <w:rPr>
          <w:rFonts w:eastAsia="Times New Roman"/>
          <w:kern w:val="0"/>
          <w:sz w:val="22"/>
          <w:szCs w:val="22"/>
          <w:lang w:eastAsia="en-AU"/>
          <w14:ligatures w14:val="none"/>
        </w:rPr>
        <w:t xml:space="preserve"> (the Determination).</w:t>
      </w:r>
    </w:p>
    <w:p w14:paraId="4F019812" w14:textId="77777777" w:rsidR="004D107E" w:rsidRPr="00421D34" w:rsidRDefault="004D107E" w:rsidP="004D107E">
      <w:pPr>
        <w:autoSpaceDE w:val="0"/>
        <w:autoSpaceDN w:val="0"/>
        <w:adjustRightInd w:val="0"/>
        <w:spacing w:after="0" w:line="240" w:lineRule="auto"/>
        <w:contextualSpacing/>
        <w:rPr>
          <w:rFonts w:eastAsia="Times New Roman"/>
          <w:kern w:val="0"/>
          <w:sz w:val="22"/>
          <w:szCs w:val="22"/>
          <w:lang w:eastAsia="en-AU"/>
          <w14:ligatures w14:val="none"/>
        </w:rPr>
      </w:pPr>
    </w:p>
    <w:p w14:paraId="6C1B9983" w14:textId="02A7B80F" w:rsidR="004D107E" w:rsidRPr="00421D34" w:rsidRDefault="004D107E" w:rsidP="004D107E">
      <w:pPr>
        <w:autoSpaceDE w:val="0"/>
        <w:autoSpaceDN w:val="0"/>
        <w:adjustRightInd w:val="0"/>
        <w:spacing w:after="0" w:line="240" w:lineRule="auto"/>
        <w:contextualSpacing/>
        <w:rPr>
          <w:rFonts w:eastAsia="Times New Roman"/>
          <w:kern w:val="0"/>
          <w:sz w:val="22"/>
          <w:szCs w:val="22"/>
          <w:lang w:eastAsia="en-AU"/>
          <w14:ligatures w14:val="none"/>
        </w:rPr>
      </w:pPr>
      <w:r w:rsidRPr="00421D34">
        <w:rPr>
          <w:rFonts w:eastAsia="Times New Roman"/>
          <w:b/>
          <w:bCs/>
          <w:kern w:val="0"/>
          <w:sz w:val="22"/>
          <w:szCs w:val="22"/>
          <w:lang w:eastAsia="en-AU"/>
          <w14:ligatures w14:val="none"/>
        </w:rPr>
        <w:t>Section 2 – Commencement</w:t>
      </w:r>
    </w:p>
    <w:p w14:paraId="26F3B2AD" w14:textId="77777777" w:rsidR="004D107E" w:rsidRPr="00421D34" w:rsidRDefault="004D107E" w:rsidP="004D107E">
      <w:pPr>
        <w:autoSpaceDE w:val="0"/>
        <w:autoSpaceDN w:val="0"/>
        <w:adjustRightInd w:val="0"/>
        <w:spacing w:after="0" w:line="240" w:lineRule="auto"/>
        <w:contextualSpacing/>
        <w:rPr>
          <w:rFonts w:eastAsia="Times New Roman"/>
          <w:kern w:val="0"/>
          <w:sz w:val="22"/>
          <w:szCs w:val="22"/>
          <w:lang w:eastAsia="en-AU"/>
          <w14:ligatures w14:val="none"/>
        </w:rPr>
      </w:pPr>
    </w:p>
    <w:p w14:paraId="7E5415F5" w14:textId="31265AAF" w:rsidR="00A1429C" w:rsidRPr="00421D34" w:rsidRDefault="00A1429C" w:rsidP="004D107E">
      <w:pPr>
        <w:autoSpaceDE w:val="0"/>
        <w:autoSpaceDN w:val="0"/>
        <w:adjustRightInd w:val="0"/>
        <w:spacing w:after="0" w:line="240" w:lineRule="auto"/>
        <w:contextualSpacing/>
        <w:rPr>
          <w:rFonts w:eastAsia="Times New Roman"/>
          <w:kern w:val="0"/>
          <w:sz w:val="22"/>
          <w:szCs w:val="22"/>
          <w:lang w:eastAsia="en-AU"/>
          <w14:ligatures w14:val="none"/>
        </w:rPr>
      </w:pPr>
      <w:r w:rsidRPr="00421D34">
        <w:rPr>
          <w:rFonts w:eastAsia="Times New Roman"/>
          <w:kern w:val="0"/>
          <w:sz w:val="22"/>
          <w:szCs w:val="22"/>
          <w:lang w:eastAsia="en-AU"/>
          <w14:ligatures w14:val="none"/>
        </w:rPr>
        <w:t>This section provides that the Determination commences</w:t>
      </w:r>
      <w:r w:rsidR="008B4589" w:rsidRPr="00421D34">
        <w:rPr>
          <w:rFonts w:eastAsia="Times New Roman"/>
          <w:kern w:val="0"/>
          <w:sz w:val="22"/>
          <w:szCs w:val="22"/>
          <w:lang w:eastAsia="en-AU"/>
          <w14:ligatures w14:val="none"/>
        </w:rPr>
        <w:t xml:space="preserve"> on </w:t>
      </w:r>
      <w:r w:rsidR="00DB707A" w:rsidRPr="00421D34">
        <w:rPr>
          <w:rFonts w:eastAsia="Times New Roman"/>
          <w:kern w:val="0"/>
          <w:sz w:val="22"/>
          <w:szCs w:val="22"/>
          <w:lang w:eastAsia="en-AU"/>
          <w14:ligatures w14:val="none"/>
        </w:rPr>
        <w:t>the day after it is registered on the Federal Register of Legislation</w:t>
      </w:r>
      <w:r w:rsidR="008B4589" w:rsidRPr="00421D34">
        <w:rPr>
          <w:rFonts w:eastAsia="Times New Roman"/>
          <w:kern w:val="0"/>
          <w:sz w:val="22"/>
          <w:szCs w:val="22"/>
          <w:lang w:eastAsia="en-AU"/>
          <w14:ligatures w14:val="none"/>
        </w:rPr>
        <w:t>.</w:t>
      </w:r>
    </w:p>
    <w:p w14:paraId="498F1520" w14:textId="77777777" w:rsidR="00A1429C" w:rsidRPr="00421D34" w:rsidRDefault="00A1429C" w:rsidP="004D107E">
      <w:pPr>
        <w:autoSpaceDE w:val="0"/>
        <w:autoSpaceDN w:val="0"/>
        <w:adjustRightInd w:val="0"/>
        <w:spacing w:after="0" w:line="240" w:lineRule="auto"/>
        <w:contextualSpacing/>
        <w:rPr>
          <w:rFonts w:eastAsia="Times New Roman"/>
          <w:kern w:val="0"/>
          <w:sz w:val="22"/>
          <w:szCs w:val="22"/>
          <w:lang w:eastAsia="en-AU"/>
          <w14:ligatures w14:val="none"/>
        </w:rPr>
      </w:pPr>
    </w:p>
    <w:p w14:paraId="594DE98B" w14:textId="58B3011A" w:rsidR="004D107E" w:rsidRPr="00421D34" w:rsidRDefault="004D107E" w:rsidP="004D107E">
      <w:pPr>
        <w:autoSpaceDE w:val="0"/>
        <w:autoSpaceDN w:val="0"/>
        <w:adjustRightInd w:val="0"/>
        <w:spacing w:after="0" w:line="240" w:lineRule="auto"/>
        <w:contextualSpacing/>
        <w:rPr>
          <w:rFonts w:eastAsia="Times New Roman"/>
          <w:kern w:val="0"/>
          <w:sz w:val="22"/>
          <w:szCs w:val="22"/>
          <w:lang w:eastAsia="en-AU"/>
          <w14:ligatures w14:val="none"/>
        </w:rPr>
      </w:pPr>
      <w:r w:rsidRPr="00421D34">
        <w:rPr>
          <w:rFonts w:eastAsia="Times New Roman"/>
          <w:b/>
          <w:bCs/>
          <w:kern w:val="0"/>
          <w:sz w:val="22"/>
          <w:szCs w:val="22"/>
          <w:lang w:eastAsia="en-AU"/>
          <w14:ligatures w14:val="none"/>
        </w:rPr>
        <w:t>Section 3 – Authority</w:t>
      </w:r>
    </w:p>
    <w:p w14:paraId="28F4F979" w14:textId="77777777" w:rsidR="004D107E" w:rsidRPr="00421D34" w:rsidRDefault="004D107E" w:rsidP="004D107E">
      <w:pPr>
        <w:autoSpaceDE w:val="0"/>
        <w:autoSpaceDN w:val="0"/>
        <w:adjustRightInd w:val="0"/>
        <w:spacing w:after="0" w:line="240" w:lineRule="auto"/>
        <w:contextualSpacing/>
        <w:rPr>
          <w:rFonts w:eastAsia="Times New Roman"/>
          <w:kern w:val="0"/>
          <w:sz w:val="22"/>
          <w:szCs w:val="22"/>
          <w:lang w:eastAsia="en-AU"/>
          <w14:ligatures w14:val="none"/>
        </w:rPr>
      </w:pPr>
    </w:p>
    <w:p w14:paraId="4A400555" w14:textId="37F256FD" w:rsidR="00A1429C" w:rsidRPr="00421D34" w:rsidRDefault="00A1429C" w:rsidP="004D107E">
      <w:pPr>
        <w:autoSpaceDE w:val="0"/>
        <w:autoSpaceDN w:val="0"/>
        <w:adjustRightInd w:val="0"/>
        <w:spacing w:after="0" w:line="240" w:lineRule="auto"/>
        <w:contextualSpacing/>
        <w:rPr>
          <w:rFonts w:eastAsia="Times New Roman"/>
          <w:kern w:val="0"/>
          <w:sz w:val="22"/>
          <w:szCs w:val="22"/>
          <w:lang w:eastAsia="en-AU"/>
          <w14:ligatures w14:val="none"/>
        </w:rPr>
      </w:pPr>
      <w:r w:rsidRPr="00421D34">
        <w:rPr>
          <w:rFonts w:eastAsia="Times New Roman"/>
          <w:kern w:val="0"/>
          <w:sz w:val="22"/>
          <w:szCs w:val="22"/>
          <w:lang w:eastAsia="en-AU"/>
          <w14:ligatures w14:val="none"/>
        </w:rPr>
        <w:t>This section provides that the legislative auth</w:t>
      </w:r>
      <w:r w:rsidR="00B4620D" w:rsidRPr="00421D34">
        <w:rPr>
          <w:rFonts w:eastAsia="Times New Roman"/>
          <w:kern w:val="0"/>
          <w:sz w:val="22"/>
          <w:szCs w:val="22"/>
          <w:lang w:eastAsia="en-AU"/>
          <w14:ligatures w14:val="none"/>
        </w:rPr>
        <w:t>ority for making the Determination is section 26B</w:t>
      </w:r>
      <w:r w:rsidR="00DB707A" w:rsidRPr="00421D34">
        <w:rPr>
          <w:rFonts w:eastAsia="Times New Roman"/>
          <w:kern w:val="0"/>
          <w:sz w:val="22"/>
          <w:szCs w:val="22"/>
          <w:lang w:eastAsia="en-AU"/>
          <w14:ligatures w14:val="none"/>
        </w:rPr>
        <w:t>F</w:t>
      </w:r>
      <w:r w:rsidR="00B4620D" w:rsidRPr="00421D34">
        <w:rPr>
          <w:rFonts w:eastAsia="Times New Roman"/>
          <w:kern w:val="0"/>
          <w:sz w:val="22"/>
          <w:szCs w:val="22"/>
          <w:lang w:eastAsia="en-AU"/>
          <w14:ligatures w14:val="none"/>
        </w:rPr>
        <w:t xml:space="preserve"> of the </w:t>
      </w:r>
      <w:r w:rsidR="00B4620D" w:rsidRPr="00421D34">
        <w:rPr>
          <w:rFonts w:eastAsia="Times New Roman"/>
          <w:i/>
          <w:iCs/>
          <w:kern w:val="0"/>
          <w:sz w:val="22"/>
          <w:szCs w:val="22"/>
          <w:lang w:eastAsia="en-AU"/>
          <w14:ligatures w14:val="none"/>
        </w:rPr>
        <w:t>Therapeutic Goods Act 1989</w:t>
      </w:r>
      <w:r w:rsidR="00B4620D" w:rsidRPr="00421D34">
        <w:rPr>
          <w:rFonts w:eastAsia="Times New Roman"/>
          <w:kern w:val="0"/>
          <w:sz w:val="22"/>
          <w:szCs w:val="22"/>
          <w:lang w:eastAsia="en-AU"/>
          <w14:ligatures w14:val="none"/>
        </w:rPr>
        <w:t xml:space="preserve"> (the Act).</w:t>
      </w:r>
    </w:p>
    <w:p w14:paraId="16495DAA" w14:textId="77777777" w:rsidR="00F34318" w:rsidRPr="00421D34" w:rsidRDefault="00F34318" w:rsidP="004D107E">
      <w:pPr>
        <w:autoSpaceDE w:val="0"/>
        <w:autoSpaceDN w:val="0"/>
        <w:adjustRightInd w:val="0"/>
        <w:spacing w:after="0" w:line="240" w:lineRule="auto"/>
        <w:contextualSpacing/>
        <w:rPr>
          <w:rFonts w:eastAsia="Times New Roman"/>
          <w:kern w:val="0"/>
          <w:sz w:val="22"/>
          <w:szCs w:val="22"/>
          <w:lang w:eastAsia="en-AU"/>
          <w14:ligatures w14:val="none"/>
        </w:rPr>
      </w:pPr>
    </w:p>
    <w:p w14:paraId="781D8AB2" w14:textId="673826D8" w:rsidR="004D107E" w:rsidRPr="00421D34" w:rsidRDefault="004D107E" w:rsidP="004D107E">
      <w:pPr>
        <w:autoSpaceDE w:val="0"/>
        <w:autoSpaceDN w:val="0"/>
        <w:adjustRightInd w:val="0"/>
        <w:spacing w:after="0" w:line="240" w:lineRule="auto"/>
        <w:contextualSpacing/>
        <w:rPr>
          <w:rFonts w:eastAsia="Times New Roman"/>
          <w:kern w:val="0"/>
          <w:sz w:val="22"/>
          <w:szCs w:val="22"/>
          <w:lang w:eastAsia="en-AU"/>
          <w14:ligatures w14:val="none"/>
        </w:rPr>
      </w:pPr>
      <w:r w:rsidRPr="00421D34">
        <w:rPr>
          <w:rFonts w:eastAsia="Times New Roman"/>
          <w:b/>
          <w:bCs/>
          <w:kern w:val="0"/>
          <w:sz w:val="22"/>
          <w:szCs w:val="22"/>
          <w:lang w:eastAsia="en-AU"/>
          <w14:ligatures w14:val="none"/>
        </w:rPr>
        <w:t xml:space="preserve">Section 4 – </w:t>
      </w:r>
      <w:r w:rsidR="00DB707A" w:rsidRPr="00421D34">
        <w:rPr>
          <w:rFonts w:eastAsia="Times New Roman"/>
          <w:b/>
          <w:bCs/>
          <w:kern w:val="0"/>
          <w:sz w:val="22"/>
          <w:szCs w:val="22"/>
          <w:lang w:eastAsia="en-AU"/>
          <w14:ligatures w14:val="none"/>
        </w:rPr>
        <w:t>Definitions</w:t>
      </w:r>
    </w:p>
    <w:p w14:paraId="6762A36B" w14:textId="77777777" w:rsidR="004D107E" w:rsidRPr="00421D34" w:rsidRDefault="004D107E" w:rsidP="004D107E">
      <w:pPr>
        <w:autoSpaceDE w:val="0"/>
        <w:autoSpaceDN w:val="0"/>
        <w:adjustRightInd w:val="0"/>
        <w:spacing w:after="0" w:line="240" w:lineRule="auto"/>
        <w:contextualSpacing/>
        <w:rPr>
          <w:rFonts w:eastAsia="Times New Roman"/>
          <w:kern w:val="0"/>
          <w:sz w:val="22"/>
          <w:szCs w:val="22"/>
          <w:lang w:eastAsia="en-AU"/>
          <w14:ligatures w14:val="none"/>
        </w:rPr>
      </w:pPr>
    </w:p>
    <w:p w14:paraId="320169A6" w14:textId="30EB5F89" w:rsidR="00F34318" w:rsidRPr="00421D34" w:rsidRDefault="00F34318" w:rsidP="004D107E">
      <w:pPr>
        <w:autoSpaceDE w:val="0"/>
        <w:autoSpaceDN w:val="0"/>
        <w:adjustRightInd w:val="0"/>
        <w:spacing w:after="0" w:line="240" w:lineRule="auto"/>
        <w:contextualSpacing/>
        <w:rPr>
          <w:rFonts w:eastAsia="Times New Roman"/>
          <w:kern w:val="0"/>
          <w:sz w:val="22"/>
          <w:szCs w:val="22"/>
          <w:lang w:eastAsia="en-AU"/>
          <w14:ligatures w14:val="none"/>
        </w:rPr>
      </w:pPr>
      <w:r w:rsidRPr="00421D34">
        <w:rPr>
          <w:rFonts w:eastAsia="Times New Roman"/>
          <w:kern w:val="0"/>
          <w:sz w:val="22"/>
          <w:szCs w:val="22"/>
          <w:lang w:eastAsia="en-AU"/>
          <w14:ligatures w14:val="none"/>
        </w:rPr>
        <w:t xml:space="preserve">This section </w:t>
      </w:r>
      <w:r w:rsidR="002951D9" w:rsidRPr="00421D34">
        <w:rPr>
          <w:rFonts w:eastAsia="Times New Roman"/>
          <w:kern w:val="0"/>
          <w:sz w:val="22"/>
          <w:szCs w:val="22"/>
          <w:lang w:eastAsia="en-AU"/>
          <w14:ligatures w14:val="none"/>
        </w:rPr>
        <w:t>provides definitions for key terms used in the Determination, including for example, ‘code tables’, ‘evidence guidelines’, ‘health professional’ and ‘medically diagnosed’.</w:t>
      </w:r>
    </w:p>
    <w:p w14:paraId="79C62467" w14:textId="77777777" w:rsidR="002951D9" w:rsidRPr="00421D34" w:rsidRDefault="002951D9" w:rsidP="004D107E">
      <w:pPr>
        <w:autoSpaceDE w:val="0"/>
        <w:autoSpaceDN w:val="0"/>
        <w:adjustRightInd w:val="0"/>
        <w:spacing w:after="0" w:line="240" w:lineRule="auto"/>
        <w:contextualSpacing/>
        <w:rPr>
          <w:rFonts w:eastAsia="Times New Roman"/>
          <w:kern w:val="0"/>
          <w:sz w:val="22"/>
          <w:szCs w:val="22"/>
          <w:lang w:eastAsia="en-AU"/>
          <w14:ligatures w14:val="none"/>
        </w:rPr>
      </w:pPr>
    </w:p>
    <w:p w14:paraId="6A8445B0" w14:textId="01B4D9F5" w:rsidR="002951D9" w:rsidRPr="00421D34" w:rsidRDefault="002951D9" w:rsidP="004D107E">
      <w:pPr>
        <w:autoSpaceDE w:val="0"/>
        <w:autoSpaceDN w:val="0"/>
        <w:adjustRightInd w:val="0"/>
        <w:spacing w:after="0" w:line="240" w:lineRule="auto"/>
        <w:contextualSpacing/>
        <w:rPr>
          <w:rFonts w:eastAsia="Times New Roman"/>
          <w:kern w:val="0"/>
          <w:sz w:val="22"/>
          <w:szCs w:val="22"/>
          <w:lang w:eastAsia="en-AU"/>
          <w14:ligatures w14:val="none"/>
        </w:rPr>
      </w:pPr>
      <w:r w:rsidRPr="00421D34">
        <w:rPr>
          <w:rFonts w:eastAsia="Times New Roman"/>
          <w:kern w:val="0"/>
          <w:sz w:val="22"/>
          <w:szCs w:val="22"/>
          <w:lang w:eastAsia="en-AU"/>
          <w14:ligatures w14:val="none"/>
        </w:rPr>
        <w:t>This section also notes that a number of terms used in the Determination have the meaning given in subsection 3(1) of the Act, including for example, ‘health practitioner’, ‘indications’, ‘label’ and ‘presentation’.</w:t>
      </w:r>
    </w:p>
    <w:p w14:paraId="4CDF50A0" w14:textId="77777777" w:rsidR="00404FEF" w:rsidRPr="00421D34" w:rsidRDefault="00404FEF" w:rsidP="004D107E">
      <w:pPr>
        <w:autoSpaceDE w:val="0"/>
        <w:autoSpaceDN w:val="0"/>
        <w:adjustRightInd w:val="0"/>
        <w:spacing w:after="0" w:line="240" w:lineRule="auto"/>
        <w:contextualSpacing/>
        <w:rPr>
          <w:rFonts w:eastAsia="Times New Roman"/>
          <w:kern w:val="0"/>
          <w:sz w:val="22"/>
          <w:szCs w:val="22"/>
          <w:lang w:eastAsia="en-AU"/>
          <w14:ligatures w14:val="none"/>
        </w:rPr>
      </w:pPr>
    </w:p>
    <w:p w14:paraId="1CC06441" w14:textId="4F81927D" w:rsidR="00DB707A" w:rsidRPr="00421D34" w:rsidRDefault="00DB707A" w:rsidP="004D107E">
      <w:pPr>
        <w:autoSpaceDE w:val="0"/>
        <w:autoSpaceDN w:val="0"/>
        <w:adjustRightInd w:val="0"/>
        <w:spacing w:after="0" w:line="240" w:lineRule="auto"/>
        <w:contextualSpacing/>
        <w:rPr>
          <w:rFonts w:eastAsia="Times New Roman"/>
          <w:kern w:val="0"/>
          <w:sz w:val="22"/>
          <w:szCs w:val="22"/>
          <w:lang w:eastAsia="en-AU"/>
          <w14:ligatures w14:val="none"/>
        </w:rPr>
      </w:pPr>
      <w:r w:rsidRPr="00421D34">
        <w:rPr>
          <w:rFonts w:eastAsia="Times New Roman"/>
          <w:b/>
          <w:bCs/>
          <w:kern w:val="0"/>
          <w:sz w:val="22"/>
          <w:szCs w:val="22"/>
          <w:lang w:eastAsia="en-AU"/>
          <w14:ligatures w14:val="none"/>
        </w:rPr>
        <w:t>Section 5 – Permissible indications</w:t>
      </w:r>
    </w:p>
    <w:p w14:paraId="2983A84D" w14:textId="77777777" w:rsidR="00DB707A" w:rsidRPr="00421D34" w:rsidRDefault="00DB707A" w:rsidP="004D107E">
      <w:pPr>
        <w:autoSpaceDE w:val="0"/>
        <w:autoSpaceDN w:val="0"/>
        <w:adjustRightInd w:val="0"/>
        <w:spacing w:after="0" w:line="240" w:lineRule="auto"/>
        <w:contextualSpacing/>
        <w:rPr>
          <w:rFonts w:eastAsia="Times New Roman"/>
          <w:kern w:val="0"/>
          <w:sz w:val="22"/>
          <w:szCs w:val="22"/>
          <w:lang w:eastAsia="en-AU"/>
          <w14:ligatures w14:val="none"/>
        </w:rPr>
      </w:pPr>
    </w:p>
    <w:p w14:paraId="5431FA53" w14:textId="5BD881FB" w:rsidR="002951D9" w:rsidRPr="00421D34" w:rsidRDefault="002951D9" w:rsidP="004D107E">
      <w:pPr>
        <w:autoSpaceDE w:val="0"/>
        <w:autoSpaceDN w:val="0"/>
        <w:adjustRightInd w:val="0"/>
        <w:spacing w:after="0" w:line="240" w:lineRule="auto"/>
        <w:contextualSpacing/>
        <w:rPr>
          <w:rFonts w:eastAsia="Times New Roman"/>
          <w:kern w:val="0"/>
          <w:sz w:val="22"/>
          <w:szCs w:val="22"/>
          <w:lang w:eastAsia="en-AU"/>
          <w14:ligatures w14:val="none"/>
        </w:rPr>
      </w:pPr>
      <w:r w:rsidRPr="00421D34">
        <w:rPr>
          <w:rFonts w:eastAsia="Times New Roman"/>
          <w:kern w:val="0"/>
          <w:sz w:val="22"/>
          <w:szCs w:val="22"/>
          <w:lang w:eastAsia="en-AU"/>
          <w14:ligatures w14:val="none"/>
        </w:rPr>
        <w:t>Section 5 of the Determination provides for permitted indication for the purposes of paragraph 26BF(1)(a) of the Act.</w:t>
      </w:r>
    </w:p>
    <w:p w14:paraId="56129A7C" w14:textId="77777777" w:rsidR="002951D9" w:rsidRPr="00421D34" w:rsidRDefault="002951D9" w:rsidP="004D107E">
      <w:pPr>
        <w:autoSpaceDE w:val="0"/>
        <w:autoSpaceDN w:val="0"/>
        <w:adjustRightInd w:val="0"/>
        <w:spacing w:after="0" w:line="240" w:lineRule="auto"/>
        <w:contextualSpacing/>
        <w:rPr>
          <w:rFonts w:eastAsia="Times New Roman"/>
          <w:kern w:val="0"/>
          <w:sz w:val="22"/>
          <w:szCs w:val="22"/>
          <w:lang w:eastAsia="en-AU"/>
          <w14:ligatures w14:val="none"/>
        </w:rPr>
      </w:pPr>
    </w:p>
    <w:p w14:paraId="35041D87" w14:textId="18B09039" w:rsidR="00DB707A" w:rsidRPr="00421D34" w:rsidRDefault="002951D9" w:rsidP="004D107E">
      <w:pPr>
        <w:autoSpaceDE w:val="0"/>
        <w:autoSpaceDN w:val="0"/>
        <w:adjustRightInd w:val="0"/>
        <w:spacing w:after="0" w:line="240" w:lineRule="auto"/>
        <w:contextualSpacing/>
        <w:rPr>
          <w:rFonts w:eastAsia="Times New Roman"/>
          <w:kern w:val="0"/>
          <w:sz w:val="22"/>
          <w:szCs w:val="22"/>
          <w:lang w:eastAsia="en-AU"/>
          <w14:ligatures w14:val="none"/>
        </w:rPr>
      </w:pPr>
      <w:r w:rsidRPr="00421D34">
        <w:rPr>
          <w:rFonts w:eastAsia="Times New Roman"/>
          <w:kern w:val="0"/>
          <w:sz w:val="22"/>
          <w:szCs w:val="22"/>
          <w:lang w:eastAsia="en-AU"/>
          <w14:ligatures w14:val="none"/>
        </w:rPr>
        <w:t>In particular, paragraph 5(a) provides that each indication specified in</w:t>
      </w:r>
      <w:r w:rsidR="00421D34" w:rsidRPr="00421D34">
        <w:rPr>
          <w:rFonts w:eastAsia="Times New Roman"/>
          <w:kern w:val="0"/>
          <w:sz w:val="22"/>
          <w:szCs w:val="22"/>
          <w:lang w:eastAsia="en-AU"/>
          <w14:ligatures w14:val="none"/>
        </w:rPr>
        <w:t xml:space="preserve"> column 2</w:t>
      </w:r>
      <w:r w:rsidRPr="00421D34">
        <w:rPr>
          <w:rFonts w:eastAsia="Times New Roman"/>
          <w:kern w:val="0"/>
          <w:sz w:val="22"/>
          <w:szCs w:val="22"/>
          <w:lang w:eastAsia="en-AU"/>
          <w14:ligatures w14:val="none"/>
        </w:rPr>
        <w:t xml:space="preserve"> </w:t>
      </w:r>
      <w:r w:rsidR="00421D34" w:rsidRPr="00421D34">
        <w:rPr>
          <w:rFonts w:eastAsia="Times New Roman"/>
          <w:kern w:val="0"/>
          <w:sz w:val="22"/>
          <w:szCs w:val="22"/>
          <w:lang w:eastAsia="en-AU"/>
          <w14:ligatures w14:val="none"/>
        </w:rPr>
        <w:t xml:space="preserve">of the </w:t>
      </w:r>
      <w:r w:rsidRPr="00421D34">
        <w:rPr>
          <w:rFonts w:eastAsia="Times New Roman"/>
          <w:kern w:val="0"/>
          <w:sz w:val="22"/>
          <w:szCs w:val="22"/>
          <w:lang w:eastAsia="en-AU"/>
          <w14:ligatures w14:val="none"/>
        </w:rPr>
        <w:t>table</w:t>
      </w:r>
      <w:r w:rsidR="00421D34" w:rsidRPr="00421D34">
        <w:rPr>
          <w:rFonts w:eastAsia="Times New Roman"/>
          <w:kern w:val="0"/>
          <w:sz w:val="22"/>
          <w:szCs w:val="22"/>
          <w:lang w:eastAsia="en-AU"/>
          <w14:ligatures w14:val="none"/>
        </w:rPr>
        <w:t>s</w:t>
      </w:r>
      <w:r w:rsidRPr="00421D34">
        <w:rPr>
          <w:rFonts w:eastAsia="Times New Roman"/>
          <w:kern w:val="0"/>
          <w:sz w:val="22"/>
          <w:szCs w:val="22"/>
          <w:lang w:eastAsia="en-AU"/>
          <w14:ligatures w14:val="none"/>
        </w:rPr>
        <w:t xml:space="preserve"> in Parts 1 to 17 of Schedule 1 to the Determination is covered by the Determination for the purposes of paragraph 26BF(1)(a) of the Act.</w:t>
      </w:r>
    </w:p>
    <w:p w14:paraId="7D2394F2" w14:textId="77777777" w:rsidR="002951D9" w:rsidRPr="00421D34" w:rsidRDefault="002951D9" w:rsidP="004D107E">
      <w:pPr>
        <w:autoSpaceDE w:val="0"/>
        <w:autoSpaceDN w:val="0"/>
        <w:adjustRightInd w:val="0"/>
        <w:spacing w:after="0" w:line="240" w:lineRule="auto"/>
        <w:contextualSpacing/>
        <w:rPr>
          <w:rFonts w:eastAsia="Times New Roman"/>
          <w:kern w:val="0"/>
          <w:sz w:val="22"/>
          <w:szCs w:val="22"/>
          <w:lang w:eastAsia="en-AU"/>
          <w14:ligatures w14:val="none"/>
        </w:rPr>
      </w:pPr>
    </w:p>
    <w:p w14:paraId="6D88CE32" w14:textId="0710E021" w:rsidR="001D5263" w:rsidRPr="00421D34" w:rsidRDefault="002951D9" w:rsidP="004D107E">
      <w:pPr>
        <w:autoSpaceDE w:val="0"/>
        <w:autoSpaceDN w:val="0"/>
        <w:adjustRightInd w:val="0"/>
        <w:spacing w:after="0" w:line="240" w:lineRule="auto"/>
        <w:contextualSpacing/>
        <w:rPr>
          <w:rFonts w:eastAsia="Times New Roman"/>
          <w:kern w:val="0"/>
          <w:sz w:val="22"/>
          <w:szCs w:val="22"/>
          <w:lang w:eastAsia="en-AU"/>
          <w14:ligatures w14:val="none"/>
        </w:rPr>
      </w:pPr>
      <w:r w:rsidRPr="00421D34">
        <w:rPr>
          <w:rFonts w:eastAsia="Times New Roman"/>
          <w:kern w:val="0"/>
          <w:sz w:val="22"/>
          <w:szCs w:val="22"/>
          <w:lang w:eastAsia="en-AU"/>
          <w14:ligatures w14:val="none"/>
        </w:rPr>
        <w:t>Paragraph 5(b) provides that each indication specified in</w:t>
      </w:r>
      <w:r w:rsidR="00421D34" w:rsidRPr="00421D34">
        <w:rPr>
          <w:rFonts w:eastAsia="Times New Roman"/>
          <w:kern w:val="0"/>
          <w:sz w:val="22"/>
          <w:szCs w:val="22"/>
          <w:lang w:eastAsia="en-AU"/>
          <w14:ligatures w14:val="none"/>
        </w:rPr>
        <w:t xml:space="preserve"> column 2 of the tables</w:t>
      </w:r>
      <w:r w:rsidRPr="00421D34">
        <w:rPr>
          <w:rFonts w:eastAsia="Times New Roman"/>
          <w:kern w:val="0"/>
          <w:sz w:val="22"/>
          <w:szCs w:val="22"/>
          <w:lang w:eastAsia="en-AU"/>
          <w14:ligatures w14:val="none"/>
        </w:rPr>
        <w:t xml:space="preserve"> in Parts 1 to</w:t>
      </w:r>
      <w:r w:rsidR="001D5263" w:rsidRPr="00421D34">
        <w:rPr>
          <w:rFonts w:eastAsia="Times New Roman"/>
          <w:kern w:val="0"/>
          <w:sz w:val="22"/>
          <w:szCs w:val="22"/>
          <w:lang w:eastAsia="en-AU"/>
          <w14:ligatures w14:val="none"/>
        </w:rPr>
        <w:t> </w:t>
      </w:r>
      <w:r w:rsidRPr="00421D34">
        <w:rPr>
          <w:rFonts w:eastAsia="Times New Roman"/>
          <w:kern w:val="0"/>
          <w:sz w:val="22"/>
          <w:szCs w:val="22"/>
          <w:lang w:eastAsia="en-AU"/>
          <w14:ligatures w14:val="none"/>
        </w:rPr>
        <w:t>17 of Schedule 1 to the Determination when modified using one or more qualifying statements set out in the code tables under the headings specified in subparagraphs 5(b)(i) to (iv).</w:t>
      </w:r>
      <w:r w:rsidR="001D5263" w:rsidRPr="00421D34">
        <w:rPr>
          <w:rFonts w:eastAsia="Times New Roman"/>
          <w:kern w:val="0"/>
          <w:sz w:val="22"/>
          <w:szCs w:val="22"/>
          <w:lang w:eastAsia="en-AU"/>
          <w14:ligatures w14:val="none"/>
        </w:rPr>
        <w:t xml:space="preserve"> </w:t>
      </w:r>
    </w:p>
    <w:p w14:paraId="4C5A5C9C" w14:textId="77777777" w:rsidR="001D5263" w:rsidRPr="00421D34" w:rsidRDefault="001D5263" w:rsidP="004D107E">
      <w:pPr>
        <w:autoSpaceDE w:val="0"/>
        <w:autoSpaceDN w:val="0"/>
        <w:adjustRightInd w:val="0"/>
        <w:spacing w:after="0" w:line="240" w:lineRule="auto"/>
        <w:contextualSpacing/>
        <w:rPr>
          <w:rFonts w:eastAsia="Times New Roman"/>
          <w:kern w:val="0"/>
          <w:sz w:val="22"/>
          <w:szCs w:val="22"/>
          <w:lang w:eastAsia="en-AU"/>
          <w14:ligatures w14:val="none"/>
        </w:rPr>
      </w:pPr>
    </w:p>
    <w:p w14:paraId="3E814A5E" w14:textId="1739B5C5" w:rsidR="002951D9" w:rsidRPr="00421D34" w:rsidRDefault="001D5263" w:rsidP="004D107E">
      <w:pPr>
        <w:autoSpaceDE w:val="0"/>
        <w:autoSpaceDN w:val="0"/>
        <w:adjustRightInd w:val="0"/>
        <w:spacing w:after="0" w:line="240" w:lineRule="auto"/>
        <w:contextualSpacing/>
        <w:rPr>
          <w:rFonts w:eastAsia="Times New Roman"/>
          <w:kern w:val="0"/>
          <w:sz w:val="22"/>
          <w:szCs w:val="22"/>
          <w:lang w:eastAsia="en-AU"/>
          <w14:ligatures w14:val="none"/>
        </w:rPr>
      </w:pPr>
      <w:r w:rsidRPr="00421D34">
        <w:rPr>
          <w:rFonts w:eastAsia="Times New Roman"/>
          <w:kern w:val="0"/>
          <w:sz w:val="22"/>
          <w:szCs w:val="22"/>
          <w:lang w:eastAsia="en-AU"/>
          <w14:ligatures w14:val="none"/>
        </w:rPr>
        <w:t xml:space="preserve">The note to section 5 clarifies </w:t>
      </w:r>
      <w:r w:rsidRPr="00421D34">
        <w:rPr>
          <w:rFonts w:eastAsia="Times New Roman"/>
          <w:bCs/>
          <w:kern w:val="0"/>
          <w:sz w:val="22"/>
          <w:szCs w:val="22"/>
          <w:lang w:eastAsia="en-AU"/>
          <w14:ligatures w14:val="none"/>
        </w:rPr>
        <w:t xml:space="preserve">that the population qualifiers </w:t>
      </w:r>
      <w:r w:rsidR="009075B0" w:rsidRPr="00421D34">
        <w:rPr>
          <w:rFonts w:eastAsia="Times New Roman"/>
          <w:bCs/>
          <w:kern w:val="0"/>
          <w:sz w:val="22"/>
          <w:szCs w:val="22"/>
          <w:lang w:eastAsia="en-AU"/>
          <w14:ligatures w14:val="none"/>
        </w:rPr>
        <w:t xml:space="preserve">in the code tables </w:t>
      </w:r>
      <w:r w:rsidRPr="00421D34">
        <w:rPr>
          <w:rFonts w:eastAsia="Times New Roman"/>
          <w:bCs/>
          <w:kern w:val="0"/>
          <w:sz w:val="22"/>
          <w:szCs w:val="22"/>
          <w:lang w:eastAsia="en-AU"/>
          <w14:ligatures w14:val="none"/>
        </w:rPr>
        <w:t>do not include pregnant individuals and there is a separate table in Part 1</w:t>
      </w:r>
      <w:r w:rsidR="009075B0" w:rsidRPr="00421D34">
        <w:rPr>
          <w:rFonts w:eastAsia="Times New Roman"/>
          <w:bCs/>
          <w:kern w:val="0"/>
          <w:sz w:val="22"/>
          <w:szCs w:val="22"/>
          <w:lang w:eastAsia="en-AU"/>
          <w14:ligatures w14:val="none"/>
        </w:rPr>
        <w:t>7</w:t>
      </w:r>
      <w:r w:rsidRPr="00421D34">
        <w:rPr>
          <w:rFonts w:eastAsia="Times New Roman"/>
          <w:bCs/>
          <w:kern w:val="0"/>
          <w:sz w:val="22"/>
          <w:szCs w:val="22"/>
          <w:lang w:eastAsia="en-AU"/>
          <w14:ligatures w14:val="none"/>
        </w:rPr>
        <w:t xml:space="preserve"> of Schedule 1 with indications </w:t>
      </w:r>
      <w:r w:rsidR="009075B0" w:rsidRPr="00421D34">
        <w:rPr>
          <w:rFonts w:eastAsia="Times New Roman"/>
          <w:bCs/>
          <w:kern w:val="0"/>
          <w:sz w:val="22"/>
          <w:szCs w:val="22"/>
          <w:lang w:eastAsia="en-AU"/>
          <w14:ligatures w14:val="none"/>
        </w:rPr>
        <w:t>relating to</w:t>
      </w:r>
      <w:r w:rsidRPr="00421D34">
        <w:rPr>
          <w:rFonts w:eastAsia="Times New Roman"/>
          <w:bCs/>
          <w:kern w:val="0"/>
          <w:sz w:val="22"/>
          <w:szCs w:val="22"/>
          <w:lang w:eastAsia="en-AU"/>
          <w14:ligatures w14:val="none"/>
        </w:rPr>
        <w:t xml:space="preserve"> pregnancy or pregnant populations.</w:t>
      </w:r>
    </w:p>
    <w:p w14:paraId="36710F5C" w14:textId="77777777" w:rsidR="00DB707A" w:rsidRPr="00421D34" w:rsidRDefault="00DB707A" w:rsidP="004D107E">
      <w:pPr>
        <w:autoSpaceDE w:val="0"/>
        <w:autoSpaceDN w:val="0"/>
        <w:adjustRightInd w:val="0"/>
        <w:spacing w:after="0" w:line="240" w:lineRule="auto"/>
        <w:contextualSpacing/>
        <w:rPr>
          <w:rFonts w:eastAsia="Times New Roman"/>
          <w:kern w:val="0"/>
          <w:sz w:val="22"/>
          <w:szCs w:val="22"/>
          <w:lang w:eastAsia="en-AU"/>
          <w14:ligatures w14:val="none"/>
        </w:rPr>
      </w:pPr>
    </w:p>
    <w:p w14:paraId="4F609EED" w14:textId="5BFAA033" w:rsidR="00DB707A" w:rsidRPr="00421D34" w:rsidRDefault="00DB707A" w:rsidP="004D107E">
      <w:pPr>
        <w:autoSpaceDE w:val="0"/>
        <w:autoSpaceDN w:val="0"/>
        <w:adjustRightInd w:val="0"/>
        <w:spacing w:after="0" w:line="240" w:lineRule="auto"/>
        <w:contextualSpacing/>
        <w:rPr>
          <w:rFonts w:eastAsia="Times New Roman"/>
          <w:kern w:val="0"/>
          <w:sz w:val="22"/>
          <w:szCs w:val="22"/>
          <w:lang w:eastAsia="en-AU"/>
          <w14:ligatures w14:val="none"/>
        </w:rPr>
      </w:pPr>
      <w:r w:rsidRPr="00421D34">
        <w:rPr>
          <w:rFonts w:eastAsia="Times New Roman"/>
          <w:b/>
          <w:bCs/>
          <w:kern w:val="0"/>
          <w:sz w:val="22"/>
          <w:szCs w:val="22"/>
          <w:lang w:eastAsia="en-AU"/>
          <w14:ligatures w14:val="none"/>
        </w:rPr>
        <w:t>Section 6 – Requirements in relation to permissible indications</w:t>
      </w:r>
    </w:p>
    <w:p w14:paraId="20BD190F" w14:textId="77777777" w:rsidR="00DB707A" w:rsidRPr="00421D34" w:rsidRDefault="00DB707A" w:rsidP="004D107E">
      <w:pPr>
        <w:autoSpaceDE w:val="0"/>
        <w:autoSpaceDN w:val="0"/>
        <w:adjustRightInd w:val="0"/>
        <w:spacing w:after="0" w:line="240" w:lineRule="auto"/>
        <w:contextualSpacing/>
        <w:rPr>
          <w:rFonts w:eastAsia="Times New Roman"/>
          <w:kern w:val="0"/>
          <w:sz w:val="22"/>
          <w:szCs w:val="22"/>
          <w:lang w:eastAsia="en-AU"/>
          <w14:ligatures w14:val="none"/>
        </w:rPr>
      </w:pPr>
    </w:p>
    <w:p w14:paraId="1F63962B" w14:textId="47133132" w:rsidR="00DB707A" w:rsidRPr="00421D34" w:rsidRDefault="002951D9" w:rsidP="004D107E">
      <w:pPr>
        <w:autoSpaceDE w:val="0"/>
        <w:autoSpaceDN w:val="0"/>
        <w:adjustRightInd w:val="0"/>
        <w:spacing w:after="0" w:line="240" w:lineRule="auto"/>
        <w:contextualSpacing/>
        <w:rPr>
          <w:rFonts w:eastAsia="Times New Roman"/>
          <w:kern w:val="0"/>
          <w:sz w:val="22"/>
          <w:szCs w:val="22"/>
          <w:lang w:eastAsia="en-AU"/>
          <w14:ligatures w14:val="none"/>
        </w:rPr>
      </w:pPr>
      <w:r w:rsidRPr="00421D34">
        <w:rPr>
          <w:rFonts w:eastAsia="Times New Roman"/>
          <w:kern w:val="0"/>
          <w:sz w:val="22"/>
          <w:szCs w:val="22"/>
          <w:lang w:eastAsia="en-AU"/>
          <w14:ligatures w14:val="none"/>
        </w:rPr>
        <w:t>Section 6 specifies requirements in relation to an indication covered by the Determination for the purposes of paragraph 26BF(1)(b) of the Act.</w:t>
      </w:r>
    </w:p>
    <w:p w14:paraId="013AAC75" w14:textId="77777777" w:rsidR="002951D9" w:rsidRPr="00421D34" w:rsidRDefault="002951D9" w:rsidP="004D107E">
      <w:pPr>
        <w:autoSpaceDE w:val="0"/>
        <w:autoSpaceDN w:val="0"/>
        <w:adjustRightInd w:val="0"/>
        <w:spacing w:after="0" w:line="240" w:lineRule="auto"/>
        <w:contextualSpacing/>
        <w:rPr>
          <w:rFonts w:eastAsia="Times New Roman"/>
          <w:kern w:val="0"/>
          <w:sz w:val="22"/>
          <w:szCs w:val="22"/>
          <w:lang w:eastAsia="en-AU"/>
          <w14:ligatures w14:val="none"/>
        </w:rPr>
      </w:pPr>
    </w:p>
    <w:p w14:paraId="0F69F96F" w14:textId="5E365684" w:rsidR="002951D9" w:rsidRPr="00421D34" w:rsidRDefault="002951D9" w:rsidP="004D107E">
      <w:pPr>
        <w:autoSpaceDE w:val="0"/>
        <w:autoSpaceDN w:val="0"/>
        <w:adjustRightInd w:val="0"/>
        <w:spacing w:after="0" w:line="240" w:lineRule="auto"/>
        <w:contextualSpacing/>
        <w:rPr>
          <w:rFonts w:eastAsia="Times New Roman"/>
          <w:kern w:val="0"/>
          <w:sz w:val="22"/>
          <w:szCs w:val="22"/>
          <w:lang w:eastAsia="en-AU"/>
          <w14:ligatures w14:val="none"/>
        </w:rPr>
      </w:pPr>
      <w:r w:rsidRPr="00421D34">
        <w:rPr>
          <w:rFonts w:eastAsia="Times New Roman"/>
          <w:kern w:val="0"/>
          <w:sz w:val="22"/>
          <w:szCs w:val="22"/>
          <w:lang w:eastAsia="en-AU"/>
          <w14:ligatures w14:val="none"/>
        </w:rPr>
        <w:t xml:space="preserve">Subsection 6(2) provides that each indication specified in column 2 </w:t>
      </w:r>
      <w:r w:rsidR="00D758FC" w:rsidRPr="00421D34">
        <w:rPr>
          <w:rFonts w:eastAsia="Times New Roman"/>
          <w:kern w:val="0"/>
          <w:sz w:val="22"/>
          <w:szCs w:val="22"/>
          <w:lang w:eastAsia="en-AU"/>
          <w14:ligatures w14:val="none"/>
        </w:rPr>
        <w:t>of a table in Parts 1 to 17 of Schedule 1, may only be used for a medicine if the indication is supported by evidence of the type specified in column 3, and that the requirements specified in column 4 (if any) are met, in relation to the relevant indication.</w:t>
      </w:r>
    </w:p>
    <w:p w14:paraId="1199D7D0" w14:textId="77777777" w:rsidR="00D758FC" w:rsidRPr="00421D34" w:rsidRDefault="00D758FC" w:rsidP="004D107E">
      <w:pPr>
        <w:autoSpaceDE w:val="0"/>
        <w:autoSpaceDN w:val="0"/>
        <w:adjustRightInd w:val="0"/>
        <w:spacing w:after="0" w:line="240" w:lineRule="auto"/>
        <w:contextualSpacing/>
        <w:rPr>
          <w:rFonts w:eastAsia="Times New Roman"/>
          <w:kern w:val="0"/>
          <w:sz w:val="22"/>
          <w:szCs w:val="22"/>
          <w:lang w:eastAsia="en-AU"/>
          <w14:ligatures w14:val="none"/>
        </w:rPr>
      </w:pPr>
    </w:p>
    <w:p w14:paraId="4D18923C" w14:textId="1BFEFAA5" w:rsidR="00D758FC" w:rsidRPr="00421D34" w:rsidRDefault="00D758FC" w:rsidP="004D107E">
      <w:pPr>
        <w:autoSpaceDE w:val="0"/>
        <w:autoSpaceDN w:val="0"/>
        <w:adjustRightInd w:val="0"/>
        <w:spacing w:after="0" w:line="240" w:lineRule="auto"/>
        <w:contextualSpacing/>
        <w:rPr>
          <w:rFonts w:eastAsia="Times New Roman"/>
          <w:kern w:val="0"/>
          <w:sz w:val="22"/>
          <w:szCs w:val="22"/>
          <w:lang w:eastAsia="en-AU"/>
          <w14:ligatures w14:val="none"/>
        </w:rPr>
      </w:pPr>
      <w:r w:rsidRPr="00421D34">
        <w:rPr>
          <w:rFonts w:eastAsia="Times New Roman"/>
          <w:kern w:val="0"/>
          <w:sz w:val="22"/>
          <w:szCs w:val="22"/>
          <w:lang w:eastAsia="en-AU"/>
          <w14:ligatures w14:val="none"/>
        </w:rPr>
        <w:lastRenderedPageBreak/>
        <w:t>Subsection 6(3) provides that in relation to a medicine that is a sunscreen product, the only indications that may be used in relation to the product are the indications specified in column 2 of an item in the table in Part 1</w:t>
      </w:r>
      <w:r w:rsidR="003B4073" w:rsidRPr="00421D34">
        <w:rPr>
          <w:rFonts w:eastAsia="Times New Roman"/>
          <w:kern w:val="0"/>
          <w:sz w:val="22"/>
          <w:szCs w:val="22"/>
          <w:lang w:eastAsia="en-AU"/>
          <w14:ligatures w14:val="none"/>
        </w:rPr>
        <w:t>6</w:t>
      </w:r>
      <w:r w:rsidRPr="00421D34">
        <w:rPr>
          <w:rFonts w:eastAsia="Times New Roman"/>
          <w:kern w:val="0"/>
          <w:sz w:val="22"/>
          <w:szCs w:val="22"/>
          <w:lang w:eastAsia="en-AU"/>
          <w14:ligatures w14:val="none"/>
        </w:rPr>
        <w:t xml:space="preserve"> of Schedule 1, which relate to sunscreens.</w:t>
      </w:r>
    </w:p>
    <w:p w14:paraId="3B72EDBA" w14:textId="77777777" w:rsidR="00D758FC" w:rsidRPr="00421D34" w:rsidRDefault="00D758FC" w:rsidP="004D107E">
      <w:pPr>
        <w:autoSpaceDE w:val="0"/>
        <w:autoSpaceDN w:val="0"/>
        <w:adjustRightInd w:val="0"/>
        <w:spacing w:after="0" w:line="240" w:lineRule="auto"/>
        <w:contextualSpacing/>
        <w:rPr>
          <w:rFonts w:eastAsia="Times New Roman"/>
          <w:kern w:val="0"/>
          <w:sz w:val="22"/>
          <w:szCs w:val="22"/>
          <w:lang w:eastAsia="en-AU"/>
          <w14:ligatures w14:val="none"/>
        </w:rPr>
      </w:pPr>
    </w:p>
    <w:p w14:paraId="5C8A63B7" w14:textId="33C24D95" w:rsidR="00D758FC" w:rsidRPr="00421D34" w:rsidRDefault="00D758FC" w:rsidP="004D107E">
      <w:pPr>
        <w:autoSpaceDE w:val="0"/>
        <w:autoSpaceDN w:val="0"/>
        <w:adjustRightInd w:val="0"/>
        <w:spacing w:after="0" w:line="240" w:lineRule="auto"/>
        <w:contextualSpacing/>
        <w:rPr>
          <w:rFonts w:eastAsia="Times New Roman"/>
          <w:kern w:val="0"/>
          <w:sz w:val="22"/>
          <w:szCs w:val="22"/>
          <w:lang w:eastAsia="en-AU"/>
          <w14:ligatures w14:val="none"/>
        </w:rPr>
      </w:pPr>
      <w:r w:rsidRPr="00421D34">
        <w:rPr>
          <w:rFonts w:eastAsia="Times New Roman"/>
          <w:kern w:val="0"/>
          <w:sz w:val="22"/>
          <w:szCs w:val="22"/>
          <w:lang w:eastAsia="en-AU"/>
          <w14:ligatures w14:val="none"/>
        </w:rPr>
        <w:t>The note to subsection 6(3) makes it clear that for medicines that are sunscreen products, the requirements specified in subsection 6(3) apply in addition to the requirements specified in subsection 6(2).</w:t>
      </w:r>
    </w:p>
    <w:p w14:paraId="08C0D8D7" w14:textId="77777777" w:rsidR="00D758FC" w:rsidRPr="00421D34" w:rsidRDefault="00D758FC" w:rsidP="004D107E">
      <w:pPr>
        <w:autoSpaceDE w:val="0"/>
        <w:autoSpaceDN w:val="0"/>
        <w:adjustRightInd w:val="0"/>
        <w:spacing w:after="0" w:line="240" w:lineRule="auto"/>
        <w:contextualSpacing/>
        <w:rPr>
          <w:rFonts w:eastAsia="Times New Roman"/>
          <w:kern w:val="0"/>
          <w:sz w:val="22"/>
          <w:szCs w:val="22"/>
          <w:lang w:eastAsia="en-AU"/>
          <w14:ligatures w14:val="none"/>
        </w:rPr>
      </w:pPr>
    </w:p>
    <w:p w14:paraId="4139B90C" w14:textId="43481AE1" w:rsidR="00D758FC" w:rsidRPr="00421D34" w:rsidRDefault="00D758FC" w:rsidP="004D107E">
      <w:pPr>
        <w:autoSpaceDE w:val="0"/>
        <w:autoSpaceDN w:val="0"/>
        <w:adjustRightInd w:val="0"/>
        <w:spacing w:after="0" w:line="240" w:lineRule="auto"/>
        <w:contextualSpacing/>
        <w:rPr>
          <w:rFonts w:eastAsia="Times New Roman"/>
          <w:kern w:val="0"/>
          <w:sz w:val="22"/>
          <w:szCs w:val="22"/>
          <w:lang w:eastAsia="en-AU"/>
          <w14:ligatures w14:val="none"/>
        </w:rPr>
      </w:pPr>
      <w:r w:rsidRPr="00421D34">
        <w:rPr>
          <w:rFonts w:eastAsia="Times New Roman"/>
          <w:kern w:val="0"/>
          <w:sz w:val="22"/>
          <w:szCs w:val="22"/>
          <w:lang w:eastAsia="en-AU"/>
          <w14:ligatures w14:val="none"/>
        </w:rPr>
        <w:t>Subsection 6(4) of the Determination provides that i</w:t>
      </w:r>
      <w:r w:rsidR="00561052" w:rsidRPr="00421D34">
        <w:rPr>
          <w:rFonts w:eastAsia="Times New Roman"/>
          <w:kern w:val="0"/>
          <w:sz w:val="22"/>
          <w:szCs w:val="22"/>
          <w:lang w:eastAsia="en-AU"/>
          <w14:ligatures w14:val="none"/>
        </w:rPr>
        <w:t>f</w:t>
      </w:r>
      <w:r w:rsidRPr="00421D34">
        <w:rPr>
          <w:rFonts w:eastAsia="Times New Roman"/>
          <w:kern w:val="0"/>
          <w:sz w:val="22"/>
          <w:szCs w:val="22"/>
          <w:lang w:eastAsia="en-AU"/>
          <w14:ligatures w14:val="none"/>
        </w:rPr>
        <w:t xml:space="preserve"> the wording of an indication is varied on the label of a medicine, then the indication as varied must not change the meaning or intent of the indication, infer or imply that the medicine is for the treatment of a serious form of a disease, ailment, defect or injury, or infer or imply that the medicines is for preventing or curing a disease, ailment, defect or injury.</w:t>
      </w:r>
    </w:p>
    <w:p w14:paraId="0402DF66" w14:textId="77777777" w:rsidR="00D758FC" w:rsidRPr="00421D34" w:rsidRDefault="00D758FC" w:rsidP="004D107E">
      <w:pPr>
        <w:autoSpaceDE w:val="0"/>
        <w:autoSpaceDN w:val="0"/>
        <w:adjustRightInd w:val="0"/>
        <w:spacing w:after="0" w:line="240" w:lineRule="auto"/>
        <w:contextualSpacing/>
        <w:rPr>
          <w:rFonts w:eastAsia="Times New Roman"/>
          <w:kern w:val="0"/>
          <w:sz w:val="22"/>
          <w:szCs w:val="22"/>
          <w:lang w:eastAsia="en-AU"/>
          <w14:ligatures w14:val="none"/>
        </w:rPr>
      </w:pPr>
    </w:p>
    <w:p w14:paraId="3F16D2EB" w14:textId="601AD48F" w:rsidR="00D758FC" w:rsidRPr="00421D34" w:rsidRDefault="00D758FC" w:rsidP="004D107E">
      <w:pPr>
        <w:autoSpaceDE w:val="0"/>
        <w:autoSpaceDN w:val="0"/>
        <w:adjustRightInd w:val="0"/>
        <w:spacing w:after="0" w:line="240" w:lineRule="auto"/>
        <w:contextualSpacing/>
        <w:rPr>
          <w:rFonts w:eastAsia="Times New Roman"/>
          <w:kern w:val="0"/>
          <w:sz w:val="22"/>
          <w:szCs w:val="22"/>
          <w:lang w:eastAsia="en-AU"/>
          <w14:ligatures w14:val="none"/>
        </w:rPr>
      </w:pPr>
      <w:r w:rsidRPr="00421D34">
        <w:rPr>
          <w:rFonts w:eastAsia="Times New Roman"/>
          <w:kern w:val="0"/>
          <w:sz w:val="22"/>
          <w:szCs w:val="22"/>
          <w:lang w:eastAsia="en-AU"/>
          <w14:ligatures w14:val="none"/>
        </w:rPr>
        <w:t>Subsection 6(5) of the Determination provides that if 2 or more indications are combined on the label of the medicine to form simple sentences, then the indication as combined must not change the meaning or intent of each indication, infer or imply that the medicine is for the treatment of a serious form of a disease, ailment, defect or injury, or infer or imply that the medicines is for preventing or curing a disease, ailment, defect or injury.</w:t>
      </w:r>
    </w:p>
    <w:p w14:paraId="06910D55" w14:textId="77777777" w:rsidR="00D758FC" w:rsidRPr="00421D34" w:rsidRDefault="00D758FC" w:rsidP="004D107E">
      <w:pPr>
        <w:autoSpaceDE w:val="0"/>
        <w:autoSpaceDN w:val="0"/>
        <w:adjustRightInd w:val="0"/>
        <w:spacing w:after="0" w:line="240" w:lineRule="auto"/>
        <w:contextualSpacing/>
        <w:rPr>
          <w:rFonts w:eastAsia="Times New Roman"/>
          <w:kern w:val="0"/>
          <w:sz w:val="22"/>
          <w:szCs w:val="22"/>
          <w:lang w:eastAsia="en-AU"/>
          <w14:ligatures w14:val="none"/>
        </w:rPr>
      </w:pPr>
    </w:p>
    <w:p w14:paraId="425855CC" w14:textId="173F648F" w:rsidR="002B1EDD" w:rsidRPr="00421D34" w:rsidRDefault="00FB4738" w:rsidP="004D107E">
      <w:pPr>
        <w:autoSpaceDE w:val="0"/>
        <w:autoSpaceDN w:val="0"/>
        <w:adjustRightInd w:val="0"/>
        <w:spacing w:after="0" w:line="240" w:lineRule="auto"/>
        <w:contextualSpacing/>
        <w:rPr>
          <w:rFonts w:eastAsia="Times New Roman"/>
          <w:kern w:val="0"/>
          <w:sz w:val="22"/>
          <w:szCs w:val="22"/>
          <w:lang w:eastAsia="en-AU"/>
          <w14:ligatures w14:val="none"/>
        </w:rPr>
      </w:pPr>
      <w:r w:rsidRPr="00421D34">
        <w:rPr>
          <w:rFonts w:eastAsia="Times New Roman"/>
          <w:kern w:val="0"/>
          <w:sz w:val="22"/>
          <w:szCs w:val="22"/>
          <w:lang w:eastAsia="en-AU"/>
          <w14:ligatures w14:val="none"/>
        </w:rPr>
        <w:t>Subsection</w:t>
      </w:r>
      <w:r w:rsidR="002B1EDD" w:rsidRPr="00421D34">
        <w:rPr>
          <w:rFonts w:eastAsia="Times New Roman"/>
          <w:kern w:val="0"/>
          <w:sz w:val="22"/>
          <w:szCs w:val="22"/>
          <w:lang w:eastAsia="en-AU"/>
          <w14:ligatures w14:val="none"/>
        </w:rPr>
        <w:t xml:space="preserve"> 6(6) of the Determination provides </w:t>
      </w:r>
      <w:r w:rsidR="00DF7DBD" w:rsidRPr="00421D34">
        <w:rPr>
          <w:rFonts w:eastAsia="Times New Roman"/>
          <w:kern w:val="0"/>
          <w:sz w:val="22"/>
          <w:szCs w:val="22"/>
          <w:lang w:eastAsia="en-AU"/>
          <w14:ligatures w14:val="none"/>
        </w:rPr>
        <w:t>that</w:t>
      </w:r>
      <w:r w:rsidR="009075B0" w:rsidRPr="00421D34">
        <w:rPr>
          <w:rFonts w:eastAsia="Times New Roman"/>
          <w:kern w:val="0"/>
          <w:sz w:val="22"/>
          <w:szCs w:val="22"/>
          <w:lang w:eastAsia="en-AU"/>
          <w14:ligatures w14:val="none"/>
        </w:rPr>
        <w:t xml:space="preserve"> indications</w:t>
      </w:r>
      <w:r w:rsidRPr="00421D34">
        <w:rPr>
          <w:rFonts w:eastAsia="Times New Roman"/>
          <w:kern w:val="0"/>
          <w:sz w:val="22"/>
          <w:szCs w:val="22"/>
          <w:lang w:eastAsia="en-AU"/>
          <w14:ligatures w14:val="none"/>
        </w:rPr>
        <w:t xml:space="preserve"> specified in</w:t>
      </w:r>
      <w:r w:rsidR="00F21A1F" w:rsidRPr="00421D34">
        <w:rPr>
          <w:rFonts w:eastAsia="Times New Roman"/>
          <w:kern w:val="0"/>
          <w:sz w:val="22"/>
          <w:szCs w:val="22"/>
          <w:lang w:eastAsia="en-AU"/>
          <w14:ligatures w14:val="none"/>
        </w:rPr>
        <w:t xml:space="preserve"> column 2 of the table in</w:t>
      </w:r>
      <w:r w:rsidRPr="00421D34">
        <w:rPr>
          <w:rFonts w:eastAsia="Times New Roman"/>
          <w:kern w:val="0"/>
          <w:sz w:val="22"/>
          <w:szCs w:val="22"/>
          <w:lang w:eastAsia="en-AU"/>
          <w14:ligatures w14:val="none"/>
        </w:rPr>
        <w:t xml:space="preserve"> Part 17</w:t>
      </w:r>
      <w:r w:rsidR="003E4E27" w:rsidRPr="00421D34">
        <w:rPr>
          <w:rFonts w:eastAsia="Times New Roman"/>
          <w:kern w:val="0"/>
          <w:sz w:val="22"/>
          <w:szCs w:val="22"/>
          <w:lang w:eastAsia="en-AU"/>
          <w14:ligatures w14:val="none"/>
        </w:rPr>
        <w:t xml:space="preserve"> </w:t>
      </w:r>
      <w:r w:rsidRPr="00421D34">
        <w:rPr>
          <w:rFonts w:eastAsia="Times New Roman"/>
          <w:kern w:val="0"/>
          <w:sz w:val="22"/>
          <w:szCs w:val="22"/>
          <w:lang w:eastAsia="en-AU"/>
          <w14:ligatures w14:val="none"/>
        </w:rPr>
        <w:t>of Schedule 1</w:t>
      </w:r>
      <w:r w:rsidR="006B74A9" w:rsidRPr="00421D34">
        <w:rPr>
          <w:rFonts w:eastAsia="Times New Roman"/>
          <w:kern w:val="0"/>
          <w:sz w:val="22"/>
          <w:szCs w:val="22"/>
          <w:lang w:eastAsia="en-AU"/>
          <w14:ligatures w14:val="none"/>
        </w:rPr>
        <w:t>,</w:t>
      </w:r>
      <w:r w:rsidR="003E4E27" w:rsidRPr="00421D34">
        <w:rPr>
          <w:rFonts w:eastAsia="Times New Roman"/>
          <w:kern w:val="0"/>
          <w:sz w:val="22"/>
          <w:szCs w:val="22"/>
          <w:lang w:eastAsia="en-AU"/>
          <w14:ligatures w14:val="none"/>
        </w:rPr>
        <w:t xml:space="preserve"> which relate to pregnancy,</w:t>
      </w:r>
      <w:r w:rsidRPr="00421D34">
        <w:rPr>
          <w:rFonts w:eastAsia="Times New Roman"/>
          <w:kern w:val="0"/>
          <w:sz w:val="22"/>
          <w:szCs w:val="22"/>
          <w:lang w:eastAsia="en-AU"/>
          <w14:ligatures w14:val="none"/>
        </w:rPr>
        <w:t xml:space="preserve"> </w:t>
      </w:r>
      <w:r w:rsidR="00D36C29" w:rsidRPr="00421D34">
        <w:rPr>
          <w:rFonts w:eastAsia="Times New Roman"/>
          <w:kern w:val="0"/>
          <w:sz w:val="22"/>
          <w:szCs w:val="22"/>
          <w:lang w:eastAsia="en-AU"/>
          <w14:ligatures w14:val="none"/>
        </w:rPr>
        <w:t xml:space="preserve">must not be combined </w:t>
      </w:r>
      <w:r w:rsidR="00340A97" w:rsidRPr="00421D34">
        <w:rPr>
          <w:rFonts w:eastAsia="Times New Roman"/>
          <w:kern w:val="0"/>
          <w:sz w:val="22"/>
          <w:szCs w:val="22"/>
          <w:lang w:eastAsia="en-AU"/>
          <w14:ligatures w14:val="none"/>
        </w:rPr>
        <w:t>on the label of the medicine to form</w:t>
      </w:r>
      <w:r w:rsidR="006B74A9" w:rsidRPr="00421D34">
        <w:rPr>
          <w:rFonts w:eastAsia="Times New Roman"/>
          <w:kern w:val="0"/>
          <w:sz w:val="22"/>
          <w:szCs w:val="22"/>
          <w:lang w:eastAsia="en-AU"/>
          <w14:ligatures w14:val="none"/>
        </w:rPr>
        <w:t xml:space="preserve"> </w:t>
      </w:r>
      <w:r w:rsidR="009075B0" w:rsidRPr="00421D34">
        <w:rPr>
          <w:rFonts w:eastAsia="Times New Roman"/>
          <w:kern w:val="0"/>
          <w:sz w:val="22"/>
          <w:szCs w:val="22"/>
          <w:lang w:eastAsia="en-AU"/>
          <w14:ligatures w14:val="none"/>
        </w:rPr>
        <w:t xml:space="preserve">a </w:t>
      </w:r>
      <w:r w:rsidR="006B74A9" w:rsidRPr="00421D34">
        <w:rPr>
          <w:rFonts w:eastAsia="Times New Roman"/>
          <w:kern w:val="0"/>
          <w:sz w:val="22"/>
          <w:szCs w:val="22"/>
          <w:lang w:eastAsia="en-AU"/>
          <w14:ligatures w14:val="none"/>
        </w:rPr>
        <w:t xml:space="preserve">simple sentence with an indication specified in </w:t>
      </w:r>
      <w:r w:rsidR="00F21A1F" w:rsidRPr="00421D34">
        <w:rPr>
          <w:rFonts w:eastAsia="Times New Roman"/>
          <w:kern w:val="0"/>
          <w:sz w:val="22"/>
          <w:szCs w:val="22"/>
          <w:lang w:eastAsia="en-AU"/>
          <w14:ligatures w14:val="none"/>
        </w:rPr>
        <w:t>column 2 of the table</w:t>
      </w:r>
      <w:r w:rsidR="009075B0" w:rsidRPr="00421D34">
        <w:rPr>
          <w:rFonts w:eastAsia="Times New Roman"/>
          <w:kern w:val="0"/>
          <w:sz w:val="22"/>
          <w:szCs w:val="22"/>
          <w:lang w:eastAsia="en-AU"/>
          <w14:ligatures w14:val="none"/>
        </w:rPr>
        <w:t>s</w:t>
      </w:r>
      <w:r w:rsidR="00F21A1F" w:rsidRPr="00421D34">
        <w:rPr>
          <w:rFonts w:eastAsia="Times New Roman"/>
          <w:kern w:val="0"/>
          <w:sz w:val="22"/>
          <w:szCs w:val="22"/>
          <w:lang w:eastAsia="en-AU"/>
          <w14:ligatures w14:val="none"/>
        </w:rPr>
        <w:t xml:space="preserve"> in Parts 1 to 16 of Schedule 1</w:t>
      </w:r>
      <w:r w:rsidR="003E4E27" w:rsidRPr="00421D34">
        <w:rPr>
          <w:rFonts w:eastAsia="Times New Roman"/>
          <w:kern w:val="0"/>
          <w:sz w:val="22"/>
          <w:szCs w:val="22"/>
          <w:lang w:eastAsia="en-AU"/>
          <w14:ligatures w14:val="none"/>
        </w:rPr>
        <w:t>.</w:t>
      </w:r>
    </w:p>
    <w:p w14:paraId="19058F6B" w14:textId="77777777" w:rsidR="00B331B1" w:rsidRPr="00421D34" w:rsidRDefault="00B331B1" w:rsidP="004D107E">
      <w:pPr>
        <w:autoSpaceDE w:val="0"/>
        <w:autoSpaceDN w:val="0"/>
        <w:adjustRightInd w:val="0"/>
        <w:spacing w:after="0" w:line="240" w:lineRule="auto"/>
        <w:contextualSpacing/>
        <w:rPr>
          <w:rFonts w:eastAsia="Times New Roman"/>
          <w:kern w:val="0"/>
          <w:sz w:val="22"/>
          <w:szCs w:val="22"/>
          <w:lang w:eastAsia="en-AU"/>
          <w14:ligatures w14:val="none"/>
        </w:rPr>
      </w:pPr>
    </w:p>
    <w:p w14:paraId="2EC0B82F" w14:textId="44ACB365" w:rsidR="002B1EDD" w:rsidRPr="00421D34" w:rsidRDefault="00211020" w:rsidP="004D107E">
      <w:pPr>
        <w:autoSpaceDE w:val="0"/>
        <w:autoSpaceDN w:val="0"/>
        <w:adjustRightInd w:val="0"/>
        <w:spacing w:after="0" w:line="240" w:lineRule="auto"/>
        <w:contextualSpacing/>
        <w:rPr>
          <w:rFonts w:eastAsia="Times New Roman"/>
          <w:kern w:val="0"/>
          <w:sz w:val="22"/>
          <w:szCs w:val="22"/>
          <w:lang w:eastAsia="en-AU"/>
          <w14:ligatures w14:val="none"/>
        </w:rPr>
      </w:pPr>
      <w:r w:rsidRPr="00421D34">
        <w:rPr>
          <w:rFonts w:eastAsia="Times New Roman"/>
          <w:kern w:val="0"/>
          <w:sz w:val="22"/>
          <w:szCs w:val="22"/>
          <w:lang w:eastAsia="en-AU"/>
          <w14:ligatures w14:val="none"/>
        </w:rPr>
        <w:t>The note to subsection 6(6) makes it clear that while indications specified in column 2 of an item in a table in Part 17 of Schedule must not be combined on the label with an indication specified in column</w:t>
      </w:r>
      <w:r w:rsidR="00DC60D7" w:rsidRPr="00421D34">
        <w:rPr>
          <w:rFonts w:eastAsia="Times New Roman"/>
          <w:kern w:val="0"/>
          <w:sz w:val="22"/>
          <w:szCs w:val="22"/>
          <w:lang w:eastAsia="en-AU"/>
          <w14:ligatures w14:val="none"/>
        </w:rPr>
        <w:t> </w:t>
      </w:r>
      <w:r w:rsidRPr="00421D34">
        <w:rPr>
          <w:rFonts w:eastAsia="Times New Roman"/>
          <w:kern w:val="0"/>
          <w:sz w:val="22"/>
          <w:szCs w:val="22"/>
          <w:lang w:eastAsia="en-AU"/>
          <w14:ligatures w14:val="none"/>
        </w:rPr>
        <w:t>2 of an item in a table in Parts 1 to 16 of Schedule 1</w:t>
      </w:r>
      <w:r w:rsidR="00013524" w:rsidRPr="00421D34">
        <w:rPr>
          <w:rFonts w:eastAsia="Times New Roman"/>
          <w:kern w:val="0"/>
          <w:sz w:val="22"/>
          <w:szCs w:val="22"/>
          <w:lang w:eastAsia="en-AU"/>
          <w14:ligatures w14:val="none"/>
        </w:rPr>
        <w:t xml:space="preserve"> to form a simple sentence</w:t>
      </w:r>
      <w:r w:rsidRPr="00421D34">
        <w:rPr>
          <w:rFonts w:eastAsia="Times New Roman"/>
          <w:kern w:val="0"/>
          <w:sz w:val="22"/>
          <w:szCs w:val="22"/>
          <w:lang w:eastAsia="en-AU"/>
          <w14:ligatures w14:val="none"/>
        </w:rPr>
        <w:t>, these indications may be listed separately on the label of a medicine.</w:t>
      </w:r>
    </w:p>
    <w:p w14:paraId="579A25C4" w14:textId="77777777" w:rsidR="00211020" w:rsidRPr="00421D34" w:rsidRDefault="00211020" w:rsidP="004D107E">
      <w:pPr>
        <w:autoSpaceDE w:val="0"/>
        <w:autoSpaceDN w:val="0"/>
        <w:adjustRightInd w:val="0"/>
        <w:spacing w:after="0" w:line="240" w:lineRule="auto"/>
        <w:contextualSpacing/>
        <w:rPr>
          <w:rFonts w:eastAsia="Times New Roman"/>
          <w:kern w:val="0"/>
          <w:sz w:val="22"/>
          <w:szCs w:val="22"/>
          <w:lang w:eastAsia="en-AU"/>
          <w14:ligatures w14:val="none"/>
        </w:rPr>
      </w:pPr>
    </w:p>
    <w:p w14:paraId="29B9ADA6" w14:textId="76017CB1" w:rsidR="00D758FC" w:rsidRPr="00421D34" w:rsidRDefault="00D758FC" w:rsidP="004D107E">
      <w:pPr>
        <w:autoSpaceDE w:val="0"/>
        <w:autoSpaceDN w:val="0"/>
        <w:adjustRightInd w:val="0"/>
        <w:spacing w:after="0" w:line="240" w:lineRule="auto"/>
        <w:contextualSpacing/>
        <w:rPr>
          <w:rFonts w:eastAsia="Times New Roman"/>
          <w:kern w:val="0"/>
          <w:sz w:val="22"/>
          <w:szCs w:val="22"/>
          <w:lang w:eastAsia="en-AU"/>
          <w14:ligatures w14:val="none"/>
        </w:rPr>
      </w:pPr>
      <w:r w:rsidRPr="00421D34">
        <w:rPr>
          <w:rFonts w:eastAsia="Times New Roman"/>
          <w:kern w:val="0"/>
          <w:sz w:val="22"/>
          <w:szCs w:val="22"/>
          <w:lang w:eastAsia="en-AU"/>
          <w14:ligatures w14:val="none"/>
        </w:rPr>
        <w:t>Subsection 6(</w:t>
      </w:r>
      <w:r w:rsidR="00463130" w:rsidRPr="00421D34">
        <w:rPr>
          <w:rFonts w:eastAsia="Times New Roman"/>
          <w:kern w:val="0"/>
          <w:sz w:val="22"/>
          <w:szCs w:val="22"/>
          <w:lang w:eastAsia="en-AU"/>
          <w14:ligatures w14:val="none"/>
        </w:rPr>
        <w:t>7</w:t>
      </w:r>
      <w:r w:rsidRPr="00421D34">
        <w:rPr>
          <w:rFonts w:eastAsia="Times New Roman"/>
          <w:kern w:val="0"/>
          <w:sz w:val="22"/>
          <w:szCs w:val="22"/>
          <w:lang w:eastAsia="en-AU"/>
          <w14:ligatures w14:val="none"/>
        </w:rPr>
        <w:t xml:space="preserve">) of the Determination provides that if an indication is modified by one or more qualifying statements in accordance with paragraph </w:t>
      </w:r>
      <w:r w:rsidR="00561052" w:rsidRPr="00421D34">
        <w:rPr>
          <w:rFonts w:eastAsia="Times New Roman"/>
          <w:kern w:val="0"/>
          <w:sz w:val="22"/>
          <w:szCs w:val="22"/>
          <w:lang w:eastAsia="en-AU"/>
          <w14:ligatures w14:val="none"/>
        </w:rPr>
        <w:t>6(</w:t>
      </w:r>
      <w:r w:rsidRPr="00421D34">
        <w:rPr>
          <w:rFonts w:eastAsia="Times New Roman"/>
          <w:kern w:val="0"/>
          <w:sz w:val="22"/>
          <w:szCs w:val="22"/>
          <w:lang w:eastAsia="en-AU"/>
          <w14:ligatures w14:val="none"/>
        </w:rPr>
        <w:t>5</w:t>
      </w:r>
      <w:r w:rsidR="00561052" w:rsidRPr="00421D34">
        <w:rPr>
          <w:rFonts w:eastAsia="Times New Roman"/>
          <w:kern w:val="0"/>
          <w:sz w:val="22"/>
          <w:szCs w:val="22"/>
          <w:lang w:eastAsia="en-AU"/>
          <w14:ligatures w14:val="none"/>
        </w:rPr>
        <w:t>)</w:t>
      </w:r>
      <w:r w:rsidRPr="00421D34">
        <w:rPr>
          <w:rFonts w:eastAsia="Times New Roman"/>
          <w:kern w:val="0"/>
          <w:sz w:val="22"/>
          <w:szCs w:val="22"/>
          <w:lang w:eastAsia="en-AU"/>
          <w14:ligatures w14:val="none"/>
        </w:rPr>
        <w:t>(b), whether or not the indication is varied or combined in accordance with subsection 6(4) or (5), then each qualifying statement must be set out on the label of the medicine, and the indication as modified or combined must not infer or imply that the medicine is for the treatment of a serious form of a disease, ailment, defect or injury.</w:t>
      </w:r>
    </w:p>
    <w:p w14:paraId="75305363" w14:textId="77777777" w:rsidR="00D758FC" w:rsidRPr="00421D34" w:rsidRDefault="00D758FC" w:rsidP="004D107E">
      <w:pPr>
        <w:autoSpaceDE w:val="0"/>
        <w:autoSpaceDN w:val="0"/>
        <w:adjustRightInd w:val="0"/>
        <w:spacing w:after="0" w:line="240" w:lineRule="auto"/>
        <w:contextualSpacing/>
        <w:rPr>
          <w:rFonts w:eastAsia="Times New Roman"/>
          <w:kern w:val="0"/>
          <w:sz w:val="22"/>
          <w:szCs w:val="22"/>
          <w:lang w:eastAsia="en-AU"/>
          <w14:ligatures w14:val="none"/>
        </w:rPr>
      </w:pPr>
    </w:p>
    <w:p w14:paraId="335FEA0B" w14:textId="32197BBA" w:rsidR="00D758FC" w:rsidRPr="00421D34" w:rsidRDefault="00D758FC" w:rsidP="004D107E">
      <w:pPr>
        <w:autoSpaceDE w:val="0"/>
        <w:autoSpaceDN w:val="0"/>
        <w:adjustRightInd w:val="0"/>
        <w:spacing w:after="0" w:line="240" w:lineRule="auto"/>
        <w:contextualSpacing/>
        <w:rPr>
          <w:rFonts w:eastAsia="Times New Roman"/>
          <w:kern w:val="0"/>
          <w:sz w:val="22"/>
          <w:szCs w:val="22"/>
          <w:lang w:eastAsia="en-AU"/>
          <w14:ligatures w14:val="none"/>
        </w:rPr>
      </w:pPr>
      <w:r w:rsidRPr="00421D34">
        <w:rPr>
          <w:rFonts w:eastAsia="Times New Roman"/>
          <w:kern w:val="0"/>
          <w:sz w:val="22"/>
          <w:szCs w:val="22"/>
          <w:lang w:eastAsia="en-AU"/>
          <w14:ligatures w14:val="none"/>
        </w:rPr>
        <w:t>Subsection 6(</w:t>
      </w:r>
      <w:r w:rsidR="00463130" w:rsidRPr="00421D34">
        <w:rPr>
          <w:rFonts w:eastAsia="Times New Roman"/>
          <w:kern w:val="0"/>
          <w:sz w:val="22"/>
          <w:szCs w:val="22"/>
          <w:lang w:eastAsia="en-AU"/>
          <w14:ligatures w14:val="none"/>
        </w:rPr>
        <w:t>8</w:t>
      </w:r>
      <w:r w:rsidRPr="00421D34">
        <w:rPr>
          <w:rFonts w:eastAsia="Times New Roman"/>
          <w:kern w:val="0"/>
          <w:sz w:val="22"/>
          <w:szCs w:val="22"/>
          <w:lang w:eastAsia="en-AU"/>
          <w14:ligatures w14:val="none"/>
        </w:rPr>
        <w:t>) of the Determination provides that if an indication in relation to a medicine is supported by traditional evidence, the indication must be qualified with an appropriate traditional context qualifier, as set out in the code tables, and that qualifier must be included on the label of the medicine.</w:t>
      </w:r>
    </w:p>
    <w:p w14:paraId="5F7F45F6" w14:textId="77777777" w:rsidR="00DB707A" w:rsidRPr="00421D34" w:rsidRDefault="00DB707A" w:rsidP="004D107E">
      <w:pPr>
        <w:autoSpaceDE w:val="0"/>
        <w:autoSpaceDN w:val="0"/>
        <w:adjustRightInd w:val="0"/>
        <w:spacing w:after="0" w:line="240" w:lineRule="auto"/>
        <w:contextualSpacing/>
        <w:rPr>
          <w:rFonts w:eastAsia="Times New Roman"/>
          <w:kern w:val="0"/>
          <w:sz w:val="22"/>
          <w:szCs w:val="22"/>
          <w:lang w:eastAsia="en-AU"/>
          <w14:ligatures w14:val="none"/>
        </w:rPr>
      </w:pPr>
    </w:p>
    <w:p w14:paraId="4DB2D6CF" w14:textId="17DC8B64" w:rsidR="00DB707A" w:rsidRPr="00421D34" w:rsidRDefault="00DB707A" w:rsidP="004D107E">
      <w:pPr>
        <w:autoSpaceDE w:val="0"/>
        <w:autoSpaceDN w:val="0"/>
        <w:adjustRightInd w:val="0"/>
        <w:spacing w:after="0" w:line="240" w:lineRule="auto"/>
        <w:contextualSpacing/>
        <w:rPr>
          <w:rFonts w:eastAsia="Times New Roman"/>
          <w:kern w:val="0"/>
          <w:sz w:val="22"/>
          <w:szCs w:val="22"/>
          <w:lang w:eastAsia="en-AU"/>
          <w14:ligatures w14:val="none"/>
        </w:rPr>
      </w:pPr>
      <w:r w:rsidRPr="00421D34">
        <w:rPr>
          <w:rFonts w:eastAsia="Times New Roman"/>
          <w:b/>
          <w:bCs/>
          <w:kern w:val="0"/>
          <w:sz w:val="22"/>
          <w:szCs w:val="22"/>
          <w:lang w:eastAsia="en-AU"/>
          <w14:ligatures w14:val="none"/>
        </w:rPr>
        <w:t>Section 7 – Repeals</w:t>
      </w:r>
    </w:p>
    <w:p w14:paraId="03694C4B" w14:textId="77777777" w:rsidR="00DB707A" w:rsidRPr="00421D34" w:rsidRDefault="00DB707A" w:rsidP="004D107E">
      <w:pPr>
        <w:autoSpaceDE w:val="0"/>
        <w:autoSpaceDN w:val="0"/>
        <w:adjustRightInd w:val="0"/>
        <w:spacing w:after="0" w:line="240" w:lineRule="auto"/>
        <w:contextualSpacing/>
        <w:rPr>
          <w:rFonts w:eastAsia="Times New Roman"/>
          <w:kern w:val="0"/>
          <w:sz w:val="22"/>
          <w:szCs w:val="22"/>
          <w:lang w:eastAsia="en-AU"/>
          <w14:ligatures w14:val="none"/>
        </w:rPr>
      </w:pPr>
    </w:p>
    <w:p w14:paraId="22FF45B3" w14:textId="7786DE8C" w:rsidR="00D758FC" w:rsidRPr="00421D34" w:rsidRDefault="00D758FC" w:rsidP="004D107E">
      <w:pPr>
        <w:autoSpaceDE w:val="0"/>
        <w:autoSpaceDN w:val="0"/>
        <w:adjustRightInd w:val="0"/>
        <w:spacing w:after="0" w:line="240" w:lineRule="auto"/>
        <w:contextualSpacing/>
        <w:rPr>
          <w:rFonts w:eastAsia="Times New Roman"/>
          <w:kern w:val="0"/>
          <w:sz w:val="22"/>
          <w:szCs w:val="22"/>
          <w:lang w:eastAsia="en-AU"/>
          <w14:ligatures w14:val="none"/>
        </w:rPr>
      </w:pPr>
      <w:r w:rsidRPr="00421D34">
        <w:rPr>
          <w:rFonts w:eastAsia="Times New Roman"/>
          <w:kern w:val="0"/>
          <w:sz w:val="22"/>
          <w:szCs w:val="22"/>
          <w:lang w:eastAsia="en-AU"/>
          <w14:ligatures w14:val="none"/>
        </w:rPr>
        <w:t>This section provides that each instrument that is specified in Schedule 2 to the Determination is repealed as set out in the applicable items in that Schedule.</w:t>
      </w:r>
    </w:p>
    <w:p w14:paraId="56492A8E" w14:textId="77777777" w:rsidR="00D758FC" w:rsidRPr="00421D34" w:rsidRDefault="00D758FC" w:rsidP="004D107E">
      <w:pPr>
        <w:autoSpaceDE w:val="0"/>
        <w:autoSpaceDN w:val="0"/>
        <w:adjustRightInd w:val="0"/>
        <w:spacing w:after="0" w:line="240" w:lineRule="auto"/>
        <w:contextualSpacing/>
        <w:rPr>
          <w:rFonts w:eastAsia="Times New Roman"/>
          <w:kern w:val="0"/>
          <w:sz w:val="22"/>
          <w:szCs w:val="22"/>
          <w:lang w:eastAsia="en-AU"/>
          <w14:ligatures w14:val="none"/>
        </w:rPr>
      </w:pPr>
    </w:p>
    <w:p w14:paraId="0A8487BC" w14:textId="3243CFF3" w:rsidR="004D107E" w:rsidRPr="00421D34" w:rsidRDefault="004D107E" w:rsidP="004D107E">
      <w:pPr>
        <w:autoSpaceDE w:val="0"/>
        <w:autoSpaceDN w:val="0"/>
        <w:adjustRightInd w:val="0"/>
        <w:spacing w:after="0" w:line="240" w:lineRule="auto"/>
        <w:contextualSpacing/>
        <w:rPr>
          <w:rFonts w:eastAsia="Times New Roman"/>
          <w:kern w:val="0"/>
          <w:sz w:val="22"/>
          <w:szCs w:val="22"/>
          <w:lang w:eastAsia="en-AU"/>
          <w14:ligatures w14:val="none"/>
        </w:rPr>
      </w:pPr>
      <w:r w:rsidRPr="00421D34">
        <w:rPr>
          <w:rFonts w:eastAsia="Times New Roman"/>
          <w:b/>
          <w:bCs/>
          <w:kern w:val="0"/>
          <w:sz w:val="22"/>
          <w:szCs w:val="22"/>
          <w:lang w:eastAsia="en-AU"/>
          <w14:ligatures w14:val="none"/>
        </w:rPr>
        <w:t>Schedule 1</w:t>
      </w:r>
      <w:r w:rsidR="00DB707A" w:rsidRPr="00421D34">
        <w:rPr>
          <w:rFonts w:eastAsia="Times New Roman"/>
          <w:b/>
          <w:bCs/>
          <w:kern w:val="0"/>
          <w:sz w:val="22"/>
          <w:szCs w:val="22"/>
          <w:lang w:eastAsia="en-AU"/>
          <w14:ligatures w14:val="none"/>
        </w:rPr>
        <w:t xml:space="preserve"> – Specified permissible indications and requirements applying to these indications when contained in a medicine</w:t>
      </w:r>
    </w:p>
    <w:p w14:paraId="2B6768D2" w14:textId="77777777" w:rsidR="004D107E" w:rsidRPr="00421D34" w:rsidRDefault="004D107E" w:rsidP="004D107E">
      <w:pPr>
        <w:autoSpaceDE w:val="0"/>
        <w:autoSpaceDN w:val="0"/>
        <w:adjustRightInd w:val="0"/>
        <w:spacing w:after="0" w:line="240" w:lineRule="auto"/>
        <w:contextualSpacing/>
        <w:rPr>
          <w:rFonts w:eastAsia="Times New Roman"/>
          <w:kern w:val="0"/>
          <w:sz w:val="22"/>
          <w:szCs w:val="22"/>
          <w:lang w:eastAsia="en-AU"/>
          <w14:ligatures w14:val="none"/>
        </w:rPr>
      </w:pPr>
    </w:p>
    <w:p w14:paraId="1CBE5E32" w14:textId="5B7222E6" w:rsidR="000A3CB2" w:rsidRPr="00421D34" w:rsidRDefault="000A3CB2" w:rsidP="004D107E">
      <w:pPr>
        <w:autoSpaceDE w:val="0"/>
        <w:autoSpaceDN w:val="0"/>
        <w:adjustRightInd w:val="0"/>
        <w:spacing w:after="0" w:line="240" w:lineRule="auto"/>
        <w:contextualSpacing/>
        <w:rPr>
          <w:rFonts w:eastAsia="Times New Roman"/>
          <w:kern w:val="0"/>
          <w:sz w:val="22"/>
          <w:szCs w:val="22"/>
          <w:lang w:eastAsia="en-AU"/>
          <w14:ligatures w14:val="none"/>
        </w:rPr>
      </w:pPr>
      <w:r w:rsidRPr="00421D34">
        <w:rPr>
          <w:rFonts w:eastAsia="Times New Roman"/>
          <w:kern w:val="0"/>
          <w:sz w:val="22"/>
          <w:szCs w:val="22"/>
          <w:lang w:eastAsia="en-AU"/>
          <w14:ligatures w14:val="none"/>
        </w:rPr>
        <w:t>Schedule 1</w:t>
      </w:r>
      <w:r w:rsidR="00D758FC" w:rsidRPr="00421D34">
        <w:rPr>
          <w:rFonts w:eastAsia="Times New Roman"/>
          <w:kern w:val="0"/>
          <w:sz w:val="22"/>
          <w:szCs w:val="22"/>
          <w:lang w:eastAsia="en-AU"/>
          <w14:ligatures w14:val="none"/>
        </w:rPr>
        <w:t xml:space="preserve"> specifies indications and related requirements for the purposes of sections 5 and 6 of the Determination, and consists of the following 17 Parts:</w:t>
      </w:r>
    </w:p>
    <w:p w14:paraId="2E1CD18A" w14:textId="7AA78A84" w:rsidR="00D758FC" w:rsidRPr="00421D34" w:rsidRDefault="00D758FC" w:rsidP="00D758FC">
      <w:pPr>
        <w:pStyle w:val="ListParagraph"/>
        <w:numPr>
          <w:ilvl w:val="0"/>
          <w:numId w:val="6"/>
        </w:numPr>
        <w:autoSpaceDE w:val="0"/>
        <w:autoSpaceDN w:val="0"/>
        <w:adjustRightInd w:val="0"/>
        <w:spacing w:after="0" w:line="240" w:lineRule="auto"/>
        <w:rPr>
          <w:rFonts w:eastAsia="Times New Roman"/>
          <w:kern w:val="0"/>
          <w:sz w:val="22"/>
          <w:szCs w:val="22"/>
          <w:lang w:eastAsia="en-AU"/>
          <w14:ligatures w14:val="none"/>
        </w:rPr>
      </w:pPr>
      <w:r w:rsidRPr="00421D34">
        <w:rPr>
          <w:rFonts w:eastAsia="Times New Roman"/>
          <w:kern w:val="0"/>
          <w:sz w:val="22"/>
          <w:szCs w:val="22"/>
          <w:lang w:eastAsia="en-AU"/>
          <w14:ligatures w14:val="none"/>
        </w:rPr>
        <w:t>Part 1 specifies indications relating to general health or body parts;</w:t>
      </w:r>
    </w:p>
    <w:p w14:paraId="43F0E075" w14:textId="0879D927" w:rsidR="00D758FC" w:rsidRPr="00421D34" w:rsidRDefault="00D758FC" w:rsidP="00D758FC">
      <w:pPr>
        <w:pStyle w:val="ListParagraph"/>
        <w:numPr>
          <w:ilvl w:val="0"/>
          <w:numId w:val="6"/>
        </w:numPr>
        <w:autoSpaceDE w:val="0"/>
        <w:autoSpaceDN w:val="0"/>
        <w:adjustRightInd w:val="0"/>
        <w:spacing w:after="0" w:line="240" w:lineRule="auto"/>
        <w:rPr>
          <w:rFonts w:eastAsia="Times New Roman"/>
          <w:kern w:val="0"/>
          <w:sz w:val="22"/>
          <w:szCs w:val="22"/>
          <w:lang w:eastAsia="en-AU"/>
          <w14:ligatures w14:val="none"/>
        </w:rPr>
      </w:pPr>
      <w:r w:rsidRPr="00421D34">
        <w:rPr>
          <w:rFonts w:eastAsia="Times New Roman"/>
          <w:kern w:val="0"/>
          <w:sz w:val="22"/>
          <w:szCs w:val="22"/>
          <w:lang w:eastAsia="en-AU"/>
          <w14:ligatures w14:val="none"/>
        </w:rPr>
        <w:t>Part 2 specifies indications relating to bone;</w:t>
      </w:r>
    </w:p>
    <w:p w14:paraId="4C2DD592" w14:textId="31B5A72C" w:rsidR="00D758FC" w:rsidRPr="00421D34" w:rsidRDefault="00D758FC" w:rsidP="00D758FC">
      <w:pPr>
        <w:pStyle w:val="ListParagraph"/>
        <w:numPr>
          <w:ilvl w:val="0"/>
          <w:numId w:val="6"/>
        </w:numPr>
        <w:autoSpaceDE w:val="0"/>
        <w:autoSpaceDN w:val="0"/>
        <w:adjustRightInd w:val="0"/>
        <w:spacing w:after="0" w:line="240" w:lineRule="auto"/>
        <w:rPr>
          <w:rFonts w:eastAsia="Times New Roman"/>
          <w:kern w:val="0"/>
          <w:sz w:val="22"/>
          <w:szCs w:val="22"/>
          <w:lang w:eastAsia="en-AU"/>
          <w14:ligatures w14:val="none"/>
        </w:rPr>
      </w:pPr>
      <w:r w:rsidRPr="00421D34">
        <w:rPr>
          <w:rFonts w:eastAsia="Times New Roman"/>
          <w:kern w:val="0"/>
          <w:sz w:val="22"/>
          <w:szCs w:val="22"/>
          <w:lang w:eastAsia="en-AU"/>
          <w14:ligatures w14:val="none"/>
        </w:rPr>
        <w:t>Part 3 specifies indications relating to the cardiovascular system;</w:t>
      </w:r>
    </w:p>
    <w:p w14:paraId="51775310" w14:textId="77777777" w:rsidR="00D758FC" w:rsidRPr="00421D34" w:rsidRDefault="00D758FC" w:rsidP="00D758FC">
      <w:pPr>
        <w:pStyle w:val="ListParagraph"/>
        <w:numPr>
          <w:ilvl w:val="0"/>
          <w:numId w:val="6"/>
        </w:numPr>
        <w:autoSpaceDE w:val="0"/>
        <w:autoSpaceDN w:val="0"/>
        <w:adjustRightInd w:val="0"/>
        <w:spacing w:after="0" w:line="240" w:lineRule="auto"/>
        <w:rPr>
          <w:rFonts w:eastAsia="Times New Roman"/>
          <w:kern w:val="0"/>
          <w:sz w:val="22"/>
          <w:szCs w:val="22"/>
          <w:lang w:eastAsia="en-AU"/>
          <w14:ligatures w14:val="none"/>
        </w:rPr>
      </w:pPr>
      <w:r w:rsidRPr="00421D34">
        <w:rPr>
          <w:rFonts w:eastAsia="Times New Roman"/>
          <w:kern w:val="0"/>
          <w:sz w:val="22"/>
          <w:szCs w:val="22"/>
          <w:lang w:eastAsia="en-AU"/>
          <w14:ligatures w14:val="none"/>
        </w:rPr>
        <w:lastRenderedPageBreak/>
        <w:t>Part 4 specifies indications relating to endocrine system;</w:t>
      </w:r>
    </w:p>
    <w:p w14:paraId="32203CA0" w14:textId="369E30EC" w:rsidR="00D758FC" w:rsidRPr="00421D34" w:rsidRDefault="00D758FC" w:rsidP="00D758FC">
      <w:pPr>
        <w:pStyle w:val="ListParagraph"/>
        <w:numPr>
          <w:ilvl w:val="0"/>
          <w:numId w:val="6"/>
        </w:numPr>
        <w:autoSpaceDE w:val="0"/>
        <w:autoSpaceDN w:val="0"/>
        <w:adjustRightInd w:val="0"/>
        <w:spacing w:after="0" w:line="240" w:lineRule="auto"/>
        <w:rPr>
          <w:rFonts w:eastAsia="Times New Roman"/>
          <w:kern w:val="0"/>
          <w:sz w:val="22"/>
          <w:szCs w:val="22"/>
          <w:lang w:eastAsia="en-AU"/>
          <w14:ligatures w14:val="none"/>
        </w:rPr>
      </w:pPr>
      <w:r w:rsidRPr="00421D34">
        <w:rPr>
          <w:rFonts w:eastAsia="Times New Roman"/>
          <w:kern w:val="0"/>
          <w:sz w:val="22"/>
          <w:szCs w:val="22"/>
          <w:lang w:eastAsia="en-AU"/>
          <w14:ligatures w14:val="none"/>
        </w:rPr>
        <w:t>Part 5 specifies indications relating to the gastrointestinal system;</w:t>
      </w:r>
    </w:p>
    <w:p w14:paraId="118035BB" w14:textId="7BA60948" w:rsidR="00D758FC" w:rsidRPr="00421D34" w:rsidRDefault="00D758FC" w:rsidP="00D758FC">
      <w:pPr>
        <w:pStyle w:val="ListParagraph"/>
        <w:numPr>
          <w:ilvl w:val="0"/>
          <w:numId w:val="6"/>
        </w:numPr>
        <w:autoSpaceDE w:val="0"/>
        <w:autoSpaceDN w:val="0"/>
        <w:adjustRightInd w:val="0"/>
        <w:spacing w:after="0" w:line="240" w:lineRule="auto"/>
        <w:rPr>
          <w:rFonts w:eastAsia="Times New Roman"/>
          <w:kern w:val="0"/>
          <w:sz w:val="22"/>
          <w:szCs w:val="22"/>
          <w:lang w:eastAsia="en-AU"/>
          <w14:ligatures w14:val="none"/>
        </w:rPr>
      </w:pPr>
      <w:r w:rsidRPr="00421D34">
        <w:rPr>
          <w:rFonts w:eastAsia="Times New Roman"/>
          <w:kern w:val="0"/>
          <w:sz w:val="22"/>
          <w:szCs w:val="22"/>
          <w:lang w:eastAsia="en-AU"/>
          <w14:ligatures w14:val="none"/>
        </w:rPr>
        <w:t>Part 6 specifies indications relating to the immune system;</w:t>
      </w:r>
    </w:p>
    <w:p w14:paraId="5C0D8A8C" w14:textId="2A8D4F48" w:rsidR="00D758FC" w:rsidRPr="00421D34" w:rsidRDefault="00D758FC" w:rsidP="00D758FC">
      <w:pPr>
        <w:pStyle w:val="ListParagraph"/>
        <w:numPr>
          <w:ilvl w:val="0"/>
          <w:numId w:val="6"/>
        </w:numPr>
        <w:autoSpaceDE w:val="0"/>
        <w:autoSpaceDN w:val="0"/>
        <w:adjustRightInd w:val="0"/>
        <w:spacing w:after="0" w:line="240" w:lineRule="auto"/>
        <w:rPr>
          <w:rFonts w:eastAsia="Times New Roman"/>
          <w:kern w:val="0"/>
          <w:sz w:val="22"/>
          <w:szCs w:val="22"/>
          <w:lang w:eastAsia="en-AU"/>
          <w14:ligatures w14:val="none"/>
        </w:rPr>
      </w:pPr>
      <w:r w:rsidRPr="00421D34">
        <w:rPr>
          <w:rFonts w:eastAsia="Times New Roman"/>
          <w:kern w:val="0"/>
          <w:sz w:val="22"/>
          <w:szCs w:val="22"/>
          <w:lang w:eastAsia="en-AU"/>
          <w14:ligatures w14:val="none"/>
        </w:rPr>
        <w:t>Part 7 specifies indications relating to muscles;</w:t>
      </w:r>
    </w:p>
    <w:p w14:paraId="21A04D8E" w14:textId="58ACE81D" w:rsidR="00D758FC" w:rsidRPr="00421D34" w:rsidRDefault="00D758FC" w:rsidP="00D758FC">
      <w:pPr>
        <w:pStyle w:val="ListParagraph"/>
        <w:numPr>
          <w:ilvl w:val="0"/>
          <w:numId w:val="6"/>
        </w:numPr>
        <w:autoSpaceDE w:val="0"/>
        <w:autoSpaceDN w:val="0"/>
        <w:adjustRightInd w:val="0"/>
        <w:spacing w:after="0" w:line="240" w:lineRule="auto"/>
        <w:rPr>
          <w:rFonts w:eastAsia="Times New Roman"/>
          <w:kern w:val="0"/>
          <w:sz w:val="22"/>
          <w:szCs w:val="22"/>
          <w:lang w:eastAsia="en-AU"/>
          <w14:ligatures w14:val="none"/>
        </w:rPr>
      </w:pPr>
      <w:r w:rsidRPr="00421D34">
        <w:rPr>
          <w:rFonts w:eastAsia="Times New Roman"/>
          <w:kern w:val="0"/>
          <w:sz w:val="22"/>
          <w:szCs w:val="22"/>
          <w:lang w:eastAsia="en-AU"/>
          <w14:ligatures w14:val="none"/>
        </w:rPr>
        <w:t>Part 8 specifies indications relating to the nervous system;</w:t>
      </w:r>
    </w:p>
    <w:p w14:paraId="5E06F894" w14:textId="49A51B85" w:rsidR="00D758FC" w:rsidRPr="00421D34" w:rsidRDefault="00D758FC" w:rsidP="00D758FC">
      <w:pPr>
        <w:pStyle w:val="ListParagraph"/>
        <w:numPr>
          <w:ilvl w:val="0"/>
          <w:numId w:val="6"/>
        </w:numPr>
        <w:autoSpaceDE w:val="0"/>
        <w:autoSpaceDN w:val="0"/>
        <w:adjustRightInd w:val="0"/>
        <w:spacing w:after="0" w:line="240" w:lineRule="auto"/>
        <w:rPr>
          <w:rFonts w:eastAsia="Times New Roman"/>
          <w:kern w:val="0"/>
          <w:sz w:val="22"/>
          <w:szCs w:val="22"/>
          <w:lang w:eastAsia="en-AU"/>
          <w14:ligatures w14:val="none"/>
        </w:rPr>
      </w:pPr>
      <w:r w:rsidRPr="00421D34">
        <w:rPr>
          <w:rFonts w:eastAsia="Times New Roman"/>
          <w:kern w:val="0"/>
          <w:sz w:val="22"/>
          <w:szCs w:val="22"/>
          <w:lang w:eastAsia="en-AU"/>
          <w14:ligatures w14:val="none"/>
        </w:rPr>
        <w:t>Part 9 specifies indications relating to nutrition;</w:t>
      </w:r>
    </w:p>
    <w:p w14:paraId="0AC4E9E4" w14:textId="5A312073" w:rsidR="00D758FC" w:rsidRPr="00421D34" w:rsidRDefault="00D758FC" w:rsidP="00D758FC">
      <w:pPr>
        <w:pStyle w:val="ListParagraph"/>
        <w:numPr>
          <w:ilvl w:val="0"/>
          <w:numId w:val="6"/>
        </w:numPr>
        <w:autoSpaceDE w:val="0"/>
        <w:autoSpaceDN w:val="0"/>
        <w:adjustRightInd w:val="0"/>
        <w:spacing w:after="0" w:line="240" w:lineRule="auto"/>
        <w:rPr>
          <w:rFonts w:eastAsia="Times New Roman"/>
          <w:kern w:val="0"/>
          <w:sz w:val="22"/>
          <w:szCs w:val="22"/>
          <w:lang w:eastAsia="en-AU"/>
          <w14:ligatures w14:val="none"/>
        </w:rPr>
      </w:pPr>
      <w:r w:rsidRPr="00421D34">
        <w:rPr>
          <w:rFonts w:eastAsia="Times New Roman"/>
          <w:kern w:val="0"/>
          <w:sz w:val="22"/>
          <w:szCs w:val="22"/>
          <w:lang w:eastAsia="en-AU"/>
          <w14:ligatures w14:val="none"/>
        </w:rPr>
        <w:t>Part 1</w:t>
      </w:r>
      <w:r w:rsidR="0026315E">
        <w:rPr>
          <w:rFonts w:eastAsia="Times New Roman"/>
          <w:kern w:val="0"/>
          <w:sz w:val="22"/>
          <w:szCs w:val="22"/>
          <w:lang w:eastAsia="en-AU"/>
          <w14:ligatures w14:val="none"/>
        </w:rPr>
        <w:t>0</w:t>
      </w:r>
      <w:r w:rsidRPr="00421D34">
        <w:rPr>
          <w:rFonts w:eastAsia="Times New Roman"/>
          <w:kern w:val="0"/>
          <w:sz w:val="22"/>
          <w:szCs w:val="22"/>
          <w:lang w:eastAsia="en-AU"/>
          <w14:ligatures w14:val="none"/>
        </w:rPr>
        <w:t xml:space="preserve"> specifies indications relating to the reproductive system;</w:t>
      </w:r>
    </w:p>
    <w:p w14:paraId="3471C809" w14:textId="6572D141" w:rsidR="00D758FC" w:rsidRPr="00421D34" w:rsidRDefault="00D758FC" w:rsidP="00D758FC">
      <w:pPr>
        <w:pStyle w:val="ListParagraph"/>
        <w:numPr>
          <w:ilvl w:val="0"/>
          <w:numId w:val="6"/>
        </w:numPr>
        <w:autoSpaceDE w:val="0"/>
        <w:autoSpaceDN w:val="0"/>
        <w:adjustRightInd w:val="0"/>
        <w:spacing w:after="0" w:line="240" w:lineRule="auto"/>
        <w:rPr>
          <w:rFonts w:eastAsia="Times New Roman"/>
          <w:kern w:val="0"/>
          <w:sz w:val="22"/>
          <w:szCs w:val="22"/>
          <w:lang w:eastAsia="en-AU"/>
          <w14:ligatures w14:val="none"/>
        </w:rPr>
      </w:pPr>
      <w:r w:rsidRPr="00421D34">
        <w:rPr>
          <w:rFonts w:eastAsia="Times New Roman"/>
          <w:kern w:val="0"/>
          <w:sz w:val="22"/>
          <w:szCs w:val="22"/>
          <w:lang w:eastAsia="en-AU"/>
          <w14:ligatures w14:val="none"/>
        </w:rPr>
        <w:t>Part 1</w:t>
      </w:r>
      <w:r w:rsidR="0026315E">
        <w:rPr>
          <w:rFonts w:eastAsia="Times New Roman"/>
          <w:kern w:val="0"/>
          <w:sz w:val="22"/>
          <w:szCs w:val="22"/>
          <w:lang w:eastAsia="en-AU"/>
          <w14:ligatures w14:val="none"/>
        </w:rPr>
        <w:t>1</w:t>
      </w:r>
      <w:r w:rsidRPr="00421D34">
        <w:rPr>
          <w:rFonts w:eastAsia="Times New Roman"/>
          <w:kern w:val="0"/>
          <w:sz w:val="22"/>
          <w:szCs w:val="22"/>
          <w:lang w:eastAsia="en-AU"/>
          <w14:ligatures w14:val="none"/>
        </w:rPr>
        <w:t xml:space="preserve"> specifies indications relating to the respiratory system;</w:t>
      </w:r>
    </w:p>
    <w:p w14:paraId="05EC1D5B" w14:textId="27C5A117" w:rsidR="00D758FC" w:rsidRPr="00421D34" w:rsidRDefault="00D758FC" w:rsidP="00D758FC">
      <w:pPr>
        <w:pStyle w:val="ListParagraph"/>
        <w:numPr>
          <w:ilvl w:val="0"/>
          <w:numId w:val="6"/>
        </w:numPr>
        <w:autoSpaceDE w:val="0"/>
        <w:autoSpaceDN w:val="0"/>
        <w:adjustRightInd w:val="0"/>
        <w:spacing w:after="0" w:line="240" w:lineRule="auto"/>
        <w:rPr>
          <w:rFonts w:eastAsia="Times New Roman"/>
          <w:kern w:val="0"/>
          <w:sz w:val="22"/>
          <w:szCs w:val="22"/>
          <w:lang w:eastAsia="en-AU"/>
          <w14:ligatures w14:val="none"/>
        </w:rPr>
      </w:pPr>
      <w:r w:rsidRPr="00421D34">
        <w:rPr>
          <w:rFonts w:eastAsia="Times New Roman"/>
          <w:kern w:val="0"/>
          <w:sz w:val="22"/>
          <w:szCs w:val="22"/>
          <w:lang w:eastAsia="en-AU"/>
          <w14:ligatures w14:val="none"/>
        </w:rPr>
        <w:t>Part 1</w:t>
      </w:r>
      <w:r w:rsidR="0026315E">
        <w:rPr>
          <w:rFonts w:eastAsia="Times New Roman"/>
          <w:kern w:val="0"/>
          <w:sz w:val="22"/>
          <w:szCs w:val="22"/>
          <w:lang w:eastAsia="en-AU"/>
          <w14:ligatures w14:val="none"/>
        </w:rPr>
        <w:t>2</w:t>
      </w:r>
      <w:r w:rsidRPr="00421D34">
        <w:rPr>
          <w:rFonts w:eastAsia="Times New Roman"/>
          <w:kern w:val="0"/>
          <w:sz w:val="22"/>
          <w:szCs w:val="22"/>
          <w:lang w:eastAsia="en-AU"/>
          <w14:ligatures w14:val="none"/>
        </w:rPr>
        <w:t xml:space="preserve"> specifies indications relating to skin;</w:t>
      </w:r>
    </w:p>
    <w:p w14:paraId="3C71BD29" w14:textId="18E0C7EA" w:rsidR="00D758FC" w:rsidRPr="00421D34" w:rsidRDefault="00D758FC" w:rsidP="00D758FC">
      <w:pPr>
        <w:pStyle w:val="ListParagraph"/>
        <w:numPr>
          <w:ilvl w:val="0"/>
          <w:numId w:val="6"/>
        </w:numPr>
        <w:autoSpaceDE w:val="0"/>
        <w:autoSpaceDN w:val="0"/>
        <w:adjustRightInd w:val="0"/>
        <w:spacing w:after="0" w:line="240" w:lineRule="auto"/>
        <w:rPr>
          <w:rFonts w:eastAsia="Times New Roman"/>
          <w:kern w:val="0"/>
          <w:sz w:val="22"/>
          <w:szCs w:val="22"/>
          <w:lang w:eastAsia="en-AU"/>
          <w14:ligatures w14:val="none"/>
        </w:rPr>
      </w:pPr>
      <w:r w:rsidRPr="00421D34">
        <w:rPr>
          <w:rFonts w:eastAsia="Times New Roman"/>
          <w:kern w:val="0"/>
          <w:sz w:val="22"/>
          <w:szCs w:val="22"/>
          <w:lang w:eastAsia="en-AU"/>
          <w14:ligatures w14:val="none"/>
        </w:rPr>
        <w:t>Part 1</w:t>
      </w:r>
      <w:r w:rsidR="0026315E">
        <w:rPr>
          <w:rFonts w:eastAsia="Times New Roman"/>
          <w:kern w:val="0"/>
          <w:sz w:val="22"/>
          <w:szCs w:val="22"/>
          <w:lang w:eastAsia="en-AU"/>
          <w14:ligatures w14:val="none"/>
        </w:rPr>
        <w:t>3</w:t>
      </w:r>
      <w:r w:rsidRPr="00421D34">
        <w:rPr>
          <w:rFonts w:eastAsia="Times New Roman"/>
          <w:kern w:val="0"/>
          <w:sz w:val="22"/>
          <w:szCs w:val="22"/>
          <w:lang w:eastAsia="en-AU"/>
          <w14:ligatures w14:val="none"/>
        </w:rPr>
        <w:t xml:space="preserve"> specifies indications relating to the urinary system;</w:t>
      </w:r>
    </w:p>
    <w:p w14:paraId="63BDBD50" w14:textId="270F08F5" w:rsidR="00D758FC" w:rsidRPr="00421D34" w:rsidRDefault="00D758FC" w:rsidP="00D758FC">
      <w:pPr>
        <w:pStyle w:val="ListParagraph"/>
        <w:numPr>
          <w:ilvl w:val="0"/>
          <w:numId w:val="6"/>
        </w:numPr>
        <w:autoSpaceDE w:val="0"/>
        <w:autoSpaceDN w:val="0"/>
        <w:adjustRightInd w:val="0"/>
        <w:spacing w:after="0" w:line="240" w:lineRule="auto"/>
        <w:rPr>
          <w:rFonts w:eastAsia="Times New Roman"/>
          <w:kern w:val="0"/>
          <w:sz w:val="22"/>
          <w:szCs w:val="22"/>
          <w:lang w:eastAsia="en-AU"/>
          <w14:ligatures w14:val="none"/>
        </w:rPr>
      </w:pPr>
      <w:r w:rsidRPr="00421D34">
        <w:rPr>
          <w:rFonts w:eastAsia="Times New Roman"/>
          <w:kern w:val="0"/>
          <w:sz w:val="22"/>
          <w:szCs w:val="22"/>
          <w:lang w:eastAsia="en-AU"/>
          <w14:ligatures w14:val="none"/>
        </w:rPr>
        <w:t>Part 1</w:t>
      </w:r>
      <w:r w:rsidR="0026315E">
        <w:rPr>
          <w:rFonts w:eastAsia="Times New Roman"/>
          <w:kern w:val="0"/>
          <w:sz w:val="22"/>
          <w:szCs w:val="22"/>
          <w:lang w:eastAsia="en-AU"/>
          <w14:ligatures w14:val="none"/>
        </w:rPr>
        <w:t>4</w:t>
      </w:r>
      <w:r w:rsidRPr="00421D34">
        <w:rPr>
          <w:rFonts w:eastAsia="Times New Roman"/>
          <w:kern w:val="0"/>
          <w:sz w:val="22"/>
          <w:szCs w:val="22"/>
          <w:lang w:eastAsia="en-AU"/>
          <w14:ligatures w14:val="none"/>
        </w:rPr>
        <w:t xml:space="preserve"> specifies traditional Chinese medicine indications;</w:t>
      </w:r>
    </w:p>
    <w:p w14:paraId="78989E5E" w14:textId="11960B7A" w:rsidR="00B05BE2" w:rsidRPr="00421D34" w:rsidRDefault="00D758FC" w:rsidP="00D758FC">
      <w:pPr>
        <w:pStyle w:val="ListParagraph"/>
        <w:numPr>
          <w:ilvl w:val="0"/>
          <w:numId w:val="6"/>
        </w:numPr>
        <w:autoSpaceDE w:val="0"/>
        <w:autoSpaceDN w:val="0"/>
        <w:adjustRightInd w:val="0"/>
        <w:spacing w:after="0" w:line="240" w:lineRule="auto"/>
        <w:rPr>
          <w:rFonts w:eastAsia="Times New Roman"/>
          <w:kern w:val="0"/>
          <w:sz w:val="22"/>
          <w:szCs w:val="22"/>
          <w:lang w:eastAsia="en-AU"/>
          <w14:ligatures w14:val="none"/>
        </w:rPr>
      </w:pPr>
      <w:r w:rsidRPr="00421D34">
        <w:rPr>
          <w:rFonts w:eastAsia="Times New Roman"/>
          <w:kern w:val="0"/>
          <w:sz w:val="22"/>
          <w:szCs w:val="22"/>
          <w:lang w:eastAsia="en-AU"/>
          <w14:ligatures w14:val="none"/>
        </w:rPr>
        <w:t>Part 1</w:t>
      </w:r>
      <w:r w:rsidR="0026315E">
        <w:rPr>
          <w:rFonts w:eastAsia="Times New Roman"/>
          <w:kern w:val="0"/>
          <w:sz w:val="22"/>
          <w:szCs w:val="22"/>
          <w:lang w:eastAsia="en-AU"/>
          <w14:ligatures w14:val="none"/>
        </w:rPr>
        <w:t>5</w:t>
      </w:r>
      <w:r w:rsidRPr="00421D34">
        <w:rPr>
          <w:rFonts w:eastAsia="Times New Roman"/>
          <w:kern w:val="0"/>
          <w:sz w:val="22"/>
          <w:szCs w:val="22"/>
          <w:lang w:eastAsia="en-AU"/>
          <w14:ligatures w14:val="none"/>
        </w:rPr>
        <w:t xml:space="preserve"> specifies traditional Ayurvedic medicine indications</w:t>
      </w:r>
      <w:r w:rsidR="00B05BE2" w:rsidRPr="00421D34">
        <w:rPr>
          <w:rFonts w:eastAsia="Times New Roman"/>
          <w:kern w:val="0"/>
          <w:sz w:val="22"/>
          <w:szCs w:val="22"/>
          <w:lang w:eastAsia="en-AU"/>
          <w14:ligatures w14:val="none"/>
        </w:rPr>
        <w:t>;</w:t>
      </w:r>
    </w:p>
    <w:p w14:paraId="7E5D80B9" w14:textId="77777777" w:rsidR="006E28BC" w:rsidRPr="00421D34" w:rsidRDefault="001829DA" w:rsidP="00B05BE2">
      <w:pPr>
        <w:pStyle w:val="ListParagraph"/>
        <w:numPr>
          <w:ilvl w:val="0"/>
          <w:numId w:val="6"/>
        </w:numPr>
        <w:autoSpaceDE w:val="0"/>
        <w:autoSpaceDN w:val="0"/>
        <w:adjustRightInd w:val="0"/>
        <w:spacing w:after="0" w:line="240" w:lineRule="auto"/>
        <w:rPr>
          <w:rFonts w:eastAsia="Times New Roman"/>
          <w:kern w:val="0"/>
          <w:sz w:val="22"/>
          <w:szCs w:val="22"/>
          <w:lang w:eastAsia="en-AU"/>
          <w14:ligatures w14:val="none"/>
        </w:rPr>
      </w:pPr>
      <w:r w:rsidRPr="00421D34">
        <w:rPr>
          <w:rFonts w:eastAsia="Times New Roman"/>
          <w:kern w:val="0"/>
          <w:sz w:val="22"/>
          <w:szCs w:val="22"/>
          <w:lang w:eastAsia="en-AU"/>
          <w14:ligatures w14:val="none"/>
        </w:rPr>
        <w:t>Part 16 specifies sunscreen indications;</w:t>
      </w:r>
    </w:p>
    <w:p w14:paraId="7145B2E6" w14:textId="49D152AD" w:rsidR="00B05BE2" w:rsidRPr="00421D34" w:rsidRDefault="00B05BE2" w:rsidP="00B05BE2">
      <w:pPr>
        <w:pStyle w:val="ListParagraph"/>
        <w:numPr>
          <w:ilvl w:val="0"/>
          <w:numId w:val="6"/>
        </w:numPr>
        <w:autoSpaceDE w:val="0"/>
        <w:autoSpaceDN w:val="0"/>
        <w:adjustRightInd w:val="0"/>
        <w:spacing w:after="0" w:line="240" w:lineRule="auto"/>
        <w:rPr>
          <w:rFonts w:eastAsia="Times New Roman"/>
          <w:kern w:val="0"/>
          <w:sz w:val="22"/>
          <w:szCs w:val="22"/>
          <w:lang w:eastAsia="en-AU"/>
          <w14:ligatures w14:val="none"/>
        </w:rPr>
      </w:pPr>
      <w:r w:rsidRPr="00421D34">
        <w:rPr>
          <w:rFonts w:eastAsia="Times New Roman"/>
          <w:kern w:val="0"/>
          <w:sz w:val="22"/>
          <w:szCs w:val="22"/>
          <w:lang w:eastAsia="en-AU"/>
          <w14:ligatures w14:val="none"/>
        </w:rPr>
        <w:t>Part 1</w:t>
      </w:r>
      <w:r w:rsidR="001829DA" w:rsidRPr="00421D34">
        <w:rPr>
          <w:rFonts w:eastAsia="Times New Roman"/>
          <w:kern w:val="0"/>
          <w:sz w:val="22"/>
          <w:szCs w:val="22"/>
          <w:lang w:eastAsia="en-AU"/>
          <w14:ligatures w14:val="none"/>
        </w:rPr>
        <w:t>7</w:t>
      </w:r>
      <w:r w:rsidRPr="00421D34">
        <w:rPr>
          <w:rFonts w:eastAsia="Times New Roman"/>
          <w:kern w:val="0"/>
          <w:sz w:val="22"/>
          <w:szCs w:val="22"/>
          <w:lang w:eastAsia="en-AU"/>
          <w14:ligatures w14:val="none"/>
        </w:rPr>
        <w:t xml:space="preserve"> specifies indications relating to pregnancy;</w:t>
      </w:r>
    </w:p>
    <w:p w14:paraId="74801EF7" w14:textId="77777777" w:rsidR="00D758FC" w:rsidRPr="00421D34" w:rsidRDefault="00D758FC" w:rsidP="004D107E">
      <w:pPr>
        <w:autoSpaceDE w:val="0"/>
        <w:autoSpaceDN w:val="0"/>
        <w:adjustRightInd w:val="0"/>
        <w:spacing w:after="0" w:line="240" w:lineRule="auto"/>
        <w:contextualSpacing/>
        <w:rPr>
          <w:rFonts w:eastAsia="Times New Roman"/>
          <w:kern w:val="0"/>
          <w:sz w:val="22"/>
          <w:szCs w:val="22"/>
          <w:lang w:eastAsia="en-AU"/>
          <w14:ligatures w14:val="none"/>
        </w:rPr>
      </w:pPr>
    </w:p>
    <w:p w14:paraId="62E0CEF7" w14:textId="706B24D9" w:rsidR="00DB707A" w:rsidRPr="00421D34" w:rsidRDefault="00DB707A" w:rsidP="004D107E">
      <w:pPr>
        <w:autoSpaceDE w:val="0"/>
        <w:autoSpaceDN w:val="0"/>
        <w:adjustRightInd w:val="0"/>
        <w:spacing w:after="0" w:line="240" w:lineRule="auto"/>
        <w:contextualSpacing/>
        <w:rPr>
          <w:rFonts w:eastAsia="Times New Roman"/>
          <w:b/>
          <w:bCs/>
          <w:kern w:val="0"/>
          <w:sz w:val="22"/>
          <w:szCs w:val="22"/>
          <w:lang w:eastAsia="en-AU"/>
          <w14:ligatures w14:val="none"/>
        </w:rPr>
      </w:pPr>
      <w:r w:rsidRPr="00421D34">
        <w:rPr>
          <w:rFonts w:eastAsia="Times New Roman"/>
          <w:b/>
          <w:bCs/>
          <w:kern w:val="0"/>
          <w:sz w:val="22"/>
          <w:szCs w:val="22"/>
          <w:lang w:eastAsia="en-AU"/>
          <w14:ligatures w14:val="none"/>
        </w:rPr>
        <w:t>Schedule 2 - Repeals</w:t>
      </w:r>
    </w:p>
    <w:p w14:paraId="14E2A545" w14:textId="77777777" w:rsidR="005364A6" w:rsidRPr="00421D34" w:rsidRDefault="005364A6" w:rsidP="004D107E">
      <w:pPr>
        <w:autoSpaceDE w:val="0"/>
        <w:autoSpaceDN w:val="0"/>
        <w:adjustRightInd w:val="0"/>
        <w:spacing w:after="0" w:line="240" w:lineRule="auto"/>
        <w:contextualSpacing/>
        <w:rPr>
          <w:rFonts w:eastAsia="Times New Roman"/>
          <w:kern w:val="0"/>
          <w:sz w:val="22"/>
          <w:szCs w:val="22"/>
          <w:lang w:eastAsia="en-AU"/>
          <w14:ligatures w14:val="none"/>
        </w:rPr>
      </w:pPr>
    </w:p>
    <w:p w14:paraId="75E361C5" w14:textId="41EE6EFA" w:rsidR="00DB707A" w:rsidRPr="00421D34" w:rsidRDefault="00DB707A" w:rsidP="004D107E">
      <w:pPr>
        <w:autoSpaceDE w:val="0"/>
        <w:autoSpaceDN w:val="0"/>
        <w:adjustRightInd w:val="0"/>
        <w:spacing w:after="0" w:line="240" w:lineRule="auto"/>
        <w:contextualSpacing/>
        <w:rPr>
          <w:rFonts w:eastAsia="Times New Roman"/>
          <w:kern w:val="0"/>
          <w:sz w:val="22"/>
          <w:szCs w:val="22"/>
          <w:lang w:eastAsia="en-AU"/>
          <w14:ligatures w14:val="none"/>
        </w:rPr>
      </w:pPr>
      <w:r w:rsidRPr="00421D34">
        <w:rPr>
          <w:rFonts w:eastAsia="Times New Roman"/>
          <w:kern w:val="0"/>
          <w:sz w:val="22"/>
          <w:szCs w:val="22"/>
          <w:lang w:eastAsia="en-AU"/>
          <w14:ligatures w14:val="none"/>
        </w:rPr>
        <w:t>Schedule 2</w:t>
      </w:r>
      <w:r w:rsidR="00D758FC" w:rsidRPr="00421D34">
        <w:rPr>
          <w:rFonts w:eastAsia="Times New Roman"/>
          <w:kern w:val="0"/>
          <w:sz w:val="22"/>
          <w:szCs w:val="22"/>
          <w:lang w:eastAsia="en-AU"/>
          <w14:ligatures w14:val="none"/>
        </w:rPr>
        <w:t xml:space="preserve"> provides that the Determination repeals the </w:t>
      </w:r>
      <w:r w:rsidR="00D758FC" w:rsidRPr="00421D34">
        <w:rPr>
          <w:rFonts w:eastAsia="Times New Roman"/>
          <w:i/>
          <w:iCs/>
          <w:kern w:val="0"/>
          <w:sz w:val="22"/>
          <w:szCs w:val="22"/>
          <w:lang w:eastAsia="en-AU"/>
          <w14:ligatures w14:val="none"/>
        </w:rPr>
        <w:t>Therapeutic Goods (Permissible Indications) Determination (No. 1) 2021</w:t>
      </w:r>
      <w:r w:rsidR="00D758FC" w:rsidRPr="00421D34">
        <w:rPr>
          <w:rFonts w:eastAsia="Times New Roman"/>
          <w:kern w:val="0"/>
          <w:sz w:val="22"/>
          <w:szCs w:val="22"/>
          <w:lang w:eastAsia="en-AU"/>
          <w14:ligatures w14:val="none"/>
        </w:rPr>
        <w:t>.</w:t>
      </w:r>
    </w:p>
    <w:p w14:paraId="592BA0E1" w14:textId="79C7BC4A" w:rsidR="004D107E" w:rsidRPr="00421D34" w:rsidRDefault="004D107E">
      <w:pPr>
        <w:rPr>
          <w:rFonts w:eastAsia="Times New Roman"/>
          <w:kern w:val="0"/>
          <w:sz w:val="22"/>
          <w:szCs w:val="22"/>
          <w:lang w:eastAsia="en-AU"/>
          <w14:ligatures w14:val="none"/>
        </w:rPr>
      </w:pPr>
      <w:r w:rsidRPr="00421D34">
        <w:rPr>
          <w:rFonts w:eastAsia="Times New Roman"/>
          <w:kern w:val="0"/>
          <w:sz w:val="22"/>
          <w:szCs w:val="22"/>
          <w:lang w:eastAsia="en-AU"/>
          <w14:ligatures w14:val="none"/>
        </w:rPr>
        <w:br w:type="page"/>
      </w:r>
    </w:p>
    <w:p w14:paraId="7E8F59F1" w14:textId="0A92C720" w:rsidR="004D107E" w:rsidRPr="00421D34" w:rsidRDefault="004D107E" w:rsidP="004D107E">
      <w:pPr>
        <w:autoSpaceDE w:val="0"/>
        <w:autoSpaceDN w:val="0"/>
        <w:adjustRightInd w:val="0"/>
        <w:spacing w:after="0" w:line="240" w:lineRule="auto"/>
        <w:contextualSpacing/>
        <w:jc w:val="right"/>
        <w:rPr>
          <w:rFonts w:eastAsia="Times New Roman"/>
          <w:kern w:val="0"/>
          <w:sz w:val="22"/>
          <w:szCs w:val="22"/>
          <w:lang w:eastAsia="en-AU"/>
          <w14:ligatures w14:val="none"/>
        </w:rPr>
      </w:pPr>
      <w:r w:rsidRPr="00421D34">
        <w:rPr>
          <w:rFonts w:eastAsia="Times New Roman"/>
          <w:b/>
          <w:bCs/>
          <w:kern w:val="0"/>
          <w:sz w:val="22"/>
          <w:szCs w:val="22"/>
          <w:lang w:eastAsia="en-AU"/>
          <w14:ligatures w14:val="none"/>
        </w:rPr>
        <w:lastRenderedPageBreak/>
        <w:t>ATTACHMENT B</w:t>
      </w:r>
    </w:p>
    <w:p w14:paraId="0A347D9D" w14:textId="77777777" w:rsidR="004D107E" w:rsidRPr="00421D34" w:rsidRDefault="004D107E" w:rsidP="004D107E">
      <w:pPr>
        <w:autoSpaceDE w:val="0"/>
        <w:autoSpaceDN w:val="0"/>
        <w:adjustRightInd w:val="0"/>
        <w:spacing w:after="0" w:line="240" w:lineRule="auto"/>
        <w:contextualSpacing/>
        <w:jc w:val="right"/>
        <w:rPr>
          <w:rFonts w:eastAsia="Times New Roman"/>
          <w:kern w:val="0"/>
          <w:sz w:val="22"/>
          <w:szCs w:val="22"/>
          <w:lang w:eastAsia="en-AU"/>
          <w14:ligatures w14:val="none"/>
        </w:rPr>
      </w:pPr>
    </w:p>
    <w:p w14:paraId="5E2B2CD9" w14:textId="565E97D0" w:rsidR="004D107E" w:rsidRPr="00421D34" w:rsidRDefault="004D107E" w:rsidP="004D107E">
      <w:pPr>
        <w:autoSpaceDE w:val="0"/>
        <w:autoSpaceDN w:val="0"/>
        <w:adjustRightInd w:val="0"/>
        <w:spacing w:after="0" w:line="240" w:lineRule="auto"/>
        <w:contextualSpacing/>
        <w:jc w:val="center"/>
        <w:rPr>
          <w:rFonts w:eastAsia="Times New Roman"/>
          <w:kern w:val="0"/>
          <w:sz w:val="22"/>
          <w:szCs w:val="22"/>
          <w:lang w:eastAsia="en-AU"/>
          <w14:ligatures w14:val="none"/>
        </w:rPr>
      </w:pPr>
      <w:r w:rsidRPr="00421D34">
        <w:rPr>
          <w:rFonts w:eastAsia="Times New Roman"/>
          <w:b/>
          <w:bCs/>
          <w:kern w:val="0"/>
          <w:sz w:val="22"/>
          <w:szCs w:val="22"/>
          <w:lang w:eastAsia="en-AU"/>
          <w14:ligatures w14:val="none"/>
        </w:rPr>
        <w:t>Statement of compatibility with Human Rights</w:t>
      </w:r>
    </w:p>
    <w:p w14:paraId="554676AC" w14:textId="77777777" w:rsidR="004D107E" w:rsidRPr="00421D34" w:rsidRDefault="004D107E" w:rsidP="004D107E">
      <w:pPr>
        <w:autoSpaceDE w:val="0"/>
        <w:autoSpaceDN w:val="0"/>
        <w:adjustRightInd w:val="0"/>
        <w:spacing w:after="0" w:line="240" w:lineRule="auto"/>
        <w:contextualSpacing/>
        <w:jc w:val="center"/>
        <w:rPr>
          <w:rFonts w:eastAsia="Times New Roman"/>
          <w:kern w:val="0"/>
          <w:sz w:val="22"/>
          <w:szCs w:val="22"/>
          <w:lang w:eastAsia="en-AU"/>
          <w14:ligatures w14:val="none"/>
        </w:rPr>
      </w:pPr>
    </w:p>
    <w:p w14:paraId="35E7D81F" w14:textId="3C2D763E" w:rsidR="004D107E" w:rsidRPr="00421D34" w:rsidRDefault="004D107E" w:rsidP="004D107E">
      <w:pPr>
        <w:autoSpaceDE w:val="0"/>
        <w:autoSpaceDN w:val="0"/>
        <w:adjustRightInd w:val="0"/>
        <w:spacing w:after="0" w:line="240" w:lineRule="auto"/>
        <w:contextualSpacing/>
        <w:jc w:val="center"/>
        <w:rPr>
          <w:rFonts w:eastAsia="Times New Roman"/>
          <w:kern w:val="0"/>
          <w:sz w:val="22"/>
          <w:szCs w:val="22"/>
          <w:lang w:eastAsia="en-AU"/>
          <w14:ligatures w14:val="none"/>
        </w:rPr>
      </w:pPr>
      <w:r w:rsidRPr="00421D34">
        <w:rPr>
          <w:rFonts w:eastAsia="Times New Roman"/>
          <w:kern w:val="0"/>
          <w:sz w:val="22"/>
          <w:szCs w:val="22"/>
          <w:lang w:eastAsia="en-AU"/>
          <w14:ligatures w14:val="none"/>
        </w:rPr>
        <w:t xml:space="preserve">Prepared in accordance with Part 3 of the </w:t>
      </w:r>
      <w:r w:rsidRPr="00421D34">
        <w:rPr>
          <w:rFonts w:eastAsia="Times New Roman"/>
          <w:i/>
          <w:iCs/>
          <w:kern w:val="0"/>
          <w:sz w:val="22"/>
          <w:szCs w:val="22"/>
          <w:lang w:eastAsia="en-AU"/>
          <w14:ligatures w14:val="none"/>
        </w:rPr>
        <w:t>Human Rights (Parliamentary Scrutiny) Act 2011</w:t>
      </w:r>
    </w:p>
    <w:p w14:paraId="1558FAF1" w14:textId="77777777" w:rsidR="004D107E" w:rsidRPr="00421D34" w:rsidRDefault="004D107E" w:rsidP="004D107E">
      <w:pPr>
        <w:autoSpaceDE w:val="0"/>
        <w:autoSpaceDN w:val="0"/>
        <w:adjustRightInd w:val="0"/>
        <w:spacing w:after="0" w:line="240" w:lineRule="auto"/>
        <w:contextualSpacing/>
        <w:jc w:val="center"/>
        <w:rPr>
          <w:rFonts w:eastAsia="Times New Roman"/>
          <w:kern w:val="0"/>
          <w:sz w:val="22"/>
          <w:szCs w:val="22"/>
          <w:lang w:eastAsia="en-AU"/>
          <w14:ligatures w14:val="none"/>
        </w:rPr>
      </w:pPr>
    </w:p>
    <w:p w14:paraId="3774303A" w14:textId="78BCF879" w:rsidR="004D107E" w:rsidRPr="00421D34" w:rsidRDefault="004D107E" w:rsidP="004D107E">
      <w:pPr>
        <w:autoSpaceDE w:val="0"/>
        <w:autoSpaceDN w:val="0"/>
        <w:adjustRightInd w:val="0"/>
        <w:spacing w:after="0" w:line="240" w:lineRule="auto"/>
        <w:contextualSpacing/>
        <w:jc w:val="center"/>
        <w:rPr>
          <w:rFonts w:eastAsia="Times New Roman"/>
          <w:kern w:val="0"/>
          <w:sz w:val="22"/>
          <w:szCs w:val="22"/>
          <w:lang w:eastAsia="en-AU"/>
          <w14:ligatures w14:val="none"/>
        </w:rPr>
      </w:pPr>
      <w:r w:rsidRPr="00421D34">
        <w:rPr>
          <w:rFonts w:eastAsia="Times New Roman"/>
          <w:b/>
          <w:bCs/>
          <w:i/>
          <w:iCs/>
          <w:kern w:val="0"/>
          <w:sz w:val="22"/>
          <w:szCs w:val="22"/>
          <w:lang w:eastAsia="en-AU"/>
          <w14:ligatures w14:val="none"/>
        </w:rPr>
        <w:t xml:space="preserve">Therapeutic Goods (Permissible Indications) Determination </w:t>
      </w:r>
      <w:r w:rsidR="00DB707A" w:rsidRPr="00421D34">
        <w:rPr>
          <w:rFonts w:eastAsia="Times New Roman"/>
          <w:b/>
          <w:bCs/>
          <w:i/>
          <w:iCs/>
          <w:kern w:val="0"/>
          <w:sz w:val="22"/>
          <w:szCs w:val="22"/>
          <w:lang w:eastAsia="en-AU"/>
          <w14:ligatures w14:val="none"/>
        </w:rPr>
        <w:t xml:space="preserve">(No. 1) </w:t>
      </w:r>
      <w:r w:rsidRPr="00421D34">
        <w:rPr>
          <w:rFonts w:eastAsia="Times New Roman"/>
          <w:b/>
          <w:bCs/>
          <w:i/>
          <w:iCs/>
          <w:kern w:val="0"/>
          <w:sz w:val="22"/>
          <w:szCs w:val="22"/>
          <w:lang w:eastAsia="en-AU"/>
          <w14:ligatures w14:val="none"/>
        </w:rPr>
        <w:t>202</w:t>
      </w:r>
      <w:r w:rsidR="00204DF4" w:rsidRPr="00421D34">
        <w:rPr>
          <w:rFonts w:eastAsia="Times New Roman"/>
          <w:b/>
          <w:bCs/>
          <w:i/>
          <w:iCs/>
          <w:kern w:val="0"/>
          <w:sz w:val="22"/>
          <w:szCs w:val="22"/>
          <w:lang w:eastAsia="en-AU"/>
          <w14:ligatures w14:val="none"/>
        </w:rPr>
        <w:t>5</w:t>
      </w:r>
    </w:p>
    <w:p w14:paraId="1F02486D" w14:textId="77777777" w:rsidR="004D107E" w:rsidRPr="00421D34" w:rsidRDefault="004D107E" w:rsidP="004D107E">
      <w:pPr>
        <w:autoSpaceDE w:val="0"/>
        <w:autoSpaceDN w:val="0"/>
        <w:adjustRightInd w:val="0"/>
        <w:spacing w:after="0" w:line="240" w:lineRule="auto"/>
        <w:contextualSpacing/>
        <w:jc w:val="center"/>
        <w:rPr>
          <w:rFonts w:eastAsia="Times New Roman"/>
          <w:kern w:val="0"/>
          <w:sz w:val="22"/>
          <w:szCs w:val="22"/>
          <w:lang w:eastAsia="en-AU"/>
          <w14:ligatures w14:val="none"/>
        </w:rPr>
      </w:pPr>
    </w:p>
    <w:p w14:paraId="0426949B" w14:textId="7F7C85D6" w:rsidR="004D107E" w:rsidRPr="00421D34" w:rsidRDefault="004D107E" w:rsidP="004D107E">
      <w:pPr>
        <w:autoSpaceDE w:val="0"/>
        <w:autoSpaceDN w:val="0"/>
        <w:adjustRightInd w:val="0"/>
        <w:spacing w:after="0" w:line="240" w:lineRule="auto"/>
        <w:contextualSpacing/>
        <w:rPr>
          <w:rFonts w:eastAsia="Times New Roman"/>
          <w:kern w:val="0"/>
          <w:sz w:val="22"/>
          <w:szCs w:val="22"/>
          <w:lang w:eastAsia="en-AU"/>
          <w14:ligatures w14:val="none"/>
        </w:rPr>
      </w:pPr>
      <w:r w:rsidRPr="00421D34">
        <w:rPr>
          <w:rFonts w:eastAsia="Times New Roman"/>
          <w:kern w:val="0"/>
          <w:sz w:val="22"/>
          <w:szCs w:val="22"/>
          <w:lang w:eastAsia="en-AU"/>
          <w14:ligatures w14:val="none"/>
        </w:rPr>
        <w:t xml:space="preserve">This disallowable legislative instrument is compatible with the human rights and freedoms recognised or declared in the international instruments listed in section 3 of the </w:t>
      </w:r>
      <w:r w:rsidRPr="00421D34">
        <w:rPr>
          <w:rFonts w:eastAsia="Times New Roman"/>
          <w:i/>
          <w:iCs/>
          <w:kern w:val="0"/>
          <w:sz w:val="22"/>
          <w:szCs w:val="22"/>
          <w:lang w:eastAsia="en-AU"/>
          <w14:ligatures w14:val="none"/>
        </w:rPr>
        <w:t>Human Rights (Parliamentary Scrutiny) Act 2011</w:t>
      </w:r>
      <w:r w:rsidRPr="00421D34">
        <w:rPr>
          <w:rFonts w:eastAsia="Times New Roman"/>
          <w:kern w:val="0"/>
          <w:sz w:val="22"/>
          <w:szCs w:val="22"/>
          <w:lang w:eastAsia="en-AU"/>
          <w14:ligatures w14:val="none"/>
        </w:rPr>
        <w:t>.</w:t>
      </w:r>
    </w:p>
    <w:p w14:paraId="6D760ACC" w14:textId="77777777" w:rsidR="004D107E" w:rsidRPr="00421D34" w:rsidRDefault="004D107E" w:rsidP="004D107E">
      <w:pPr>
        <w:autoSpaceDE w:val="0"/>
        <w:autoSpaceDN w:val="0"/>
        <w:adjustRightInd w:val="0"/>
        <w:spacing w:after="0" w:line="240" w:lineRule="auto"/>
        <w:contextualSpacing/>
        <w:rPr>
          <w:rFonts w:eastAsia="Times New Roman"/>
          <w:kern w:val="0"/>
          <w:sz w:val="22"/>
          <w:szCs w:val="22"/>
          <w:lang w:eastAsia="en-AU"/>
          <w14:ligatures w14:val="none"/>
        </w:rPr>
      </w:pPr>
    </w:p>
    <w:p w14:paraId="7EBCD1FA" w14:textId="10168930" w:rsidR="004D107E" w:rsidRPr="00421D34" w:rsidRDefault="004D107E" w:rsidP="004D107E">
      <w:pPr>
        <w:autoSpaceDE w:val="0"/>
        <w:autoSpaceDN w:val="0"/>
        <w:adjustRightInd w:val="0"/>
        <w:spacing w:after="0" w:line="240" w:lineRule="auto"/>
        <w:contextualSpacing/>
        <w:rPr>
          <w:rFonts w:eastAsia="Times New Roman"/>
          <w:kern w:val="0"/>
          <w:sz w:val="22"/>
          <w:szCs w:val="22"/>
          <w:lang w:eastAsia="en-AU"/>
          <w14:ligatures w14:val="none"/>
        </w:rPr>
      </w:pPr>
      <w:r w:rsidRPr="00421D34">
        <w:rPr>
          <w:rFonts w:eastAsia="Times New Roman"/>
          <w:b/>
          <w:bCs/>
          <w:kern w:val="0"/>
          <w:sz w:val="22"/>
          <w:szCs w:val="22"/>
          <w:lang w:eastAsia="en-AU"/>
          <w14:ligatures w14:val="none"/>
        </w:rPr>
        <w:t>Overview of the legislative instrument</w:t>
      </w:r>
    </w:p>
    <w:p w14:paraId="0222661C" w14:textId="77777777" w:rsidR="00C80EFF" w:rsidRPr="00421D34" w:rsidRDefault="00C80EFF" w:rsidP="00C80EFF">
      <w:pPr>
        <w:spacing w:after="0" w:line="240" w:lineRule="auto"/>
        <w:contextualSpacing/>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Subsection 26BF(1) of the Act relevantly provides that the Minister may, by legislative instrument, make a determination relating to indications and requirements relating to those indications. In making a determination under subsection 26BF(1) of the Act, the Minister may have regard to whether the indication is a therapeutic use that relates to one or more of the following matters listed in subsection 26BF(2) of the Act:</w:t>
      </w:r>
    </w:p>
    <w:p w14:paraId="7CB3F36B" w14:textId="77777777" w:rsidR="00C80EFF" w:rsidRPr="00421D34" w:rsidRDefault="00C80EFF" w:rsidP="00C80EFF">
      <w:pPr>
        <w:pStyle w:val="ListParagraph"/>
        <w:numPr>
          <w:ilvl w:val="0"/>
          <w:numId w:val="1"/>
        </w:numPr>
        <w:spacing w:after="0" w:line="240" w:lineRule="auto"/>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maintaining health;</w:t>
      </w:r>
    </w:p>
    <w:p w14:paraId="1E8E595F" w14:textId="77777777" w:rsidR="00C80EFF" w:rsidRPr="00421D34" w:rsidRDefault="00C80EFF" w:rsidP="00C80EFF">
      <w:pPr>
        <w:pStyle w:val="ListParagraph"/>
        <w:numPr>
          <w:ilvl w:val="0"/>
          <w:numId w:val="1"/>
        </w:numPr>
        <w:spacing w:after="0" w:line="240" w:lineRule="auto"/>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enhancing health;</w:t>
      </w:r>
    </w:p>
    <w:p w14:paraId="5607418A" w14:textId="77777777" w:rsidR="00C80EFF" w:rsidRPr="00421D34" w:rsidRDefault="00C80EFF" w:rsidP="00C80EFF">
      <w:pPr>
        <w:pStyle w:val="ListParagraph"/>
        <w:numPr>
          <w:ilvl w:val="0"/>
          <w:numId w:val="1"/>
        </w:numPr>
        <w:spacing w:after="0" w:line="240" w:lineRule="auto"/>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preventing a dietary deficiency;</w:t>
      </w:r>
    </w:p>
    <w:p w14:paraId="6F6A3587" w14:textId="77777777" w:rsidR="00C80EFF" w:rsidRPr="00421D34" w:rsidRDefault="00C80EFF" w:rsidP="00C80EFF">
      <w:pPr>
        <w:pStyle w:val="ListParagraph"/>
        <w:numPr>
          <w:ilvl w:val="0"/>
          <w:numId w:val="1"/>
        </w:numPr>
        <w:spacing w:after="0" w:line="240" w:lineRule="auto"/>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a disease, ailment, defect or injury, other than a serious form of the disease, ailment defect of injury.</w:t>
      </w:r>
    </w:p>
    <w:p w14:paraId="5894798C" w14:textId="77777777" w:rsidR="00C80EFF" w:rsidRPr="00421D34" w:rsidRDefault="00C80EFF" w:rsidP="00C80EFF">
      <w:pPr>
        <w:pStyle w:val="ListParagraph"/>
        <w:spacing w:after="0" w:line="240" w:lineRule="auto"/>
        <w:rPr>
          <w:rFonts w:eastAsia="Times New Roman"/>
          <w:bCs/>
          <w:kern w:val="0"/>
          <w:sz w:val="22"/>
          <w:szCs w:val="22"/>
          <w:lang w:eastAsia="en-AU"/>
          <w14:ligatures w14:val="none"/>
        </w:rPr>
      </w:pPr>
    </w:p>
    <w:p w14:paraId="5307D34A" w14:textId="77777777" w:rsidR="00C80EFF" w:rsidRPr="00421D34" w:rsidRDefault="00C80EFF" w:rsidP="00C80EFF">
      <w:pPr>
        <w:spacing w:after="0" w:line="240" w:lineRule="auto"/>
        <w:contextualSpacing/>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Subsection 26BF(3) of the Act provides that the matters set out in subsection 26BF(2), listed above, do not limit the matters to which the Minister may have regard in deciding whether to make a determination under subsection 26BF(1) in relation to a particular indication.</w:t>
      </w:r>
    </w:p>
    <w:p w14:paraId="6E419925" w14:textId="77777777" w:rsidR="00C80EFF" w:rsidRPr="00421D34" w:rsidRDefault="00C80EFF" w:rsidP="00C80EFF">
      <w:pPr>
        <w:spacing w:after="0" w:line="240" w:lineRule="auto"/>
        <w:contextualSpacing/>
        <w:rPr>
          <w:rFonts w:eastAsia="Times New Roman"/>
          <w:bCs/>
          <w:kern w:val="0"/>
          <w:sz w:val="22"/>
          <w:szCs w:val="22"/>
          <w:lang w:eastAsia="en-AU"/>
          <w14:ligatures w14:val="none"/>
        </w:rPr>
      </w:pPr>
    </w:p>
    <w:p w14:paraId="659D036B" w14:textId="77777777" w:rsidR="00C80EFF" w:rsidRPr="00421D34" w:rsidRDefault="00C80EFF" w:rsidP="00C80EFF">
      <w:pPr>
        <w:spacing w:after="0" w:line="240" w:lineRule="auto"/>
        <w:contextualSpacing/>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 xml:space="preserve">The </w:t>
      </w:r>
      <w:r w:rsidRPr="00421D34">
        <w:rPr>
          <w:rFonts w:eastAsia="Times New Roman"/>
          <w:bCs/>
          <w:i/>
          <w:iCs/>
          <w:kern w:val="0"/>
          <w:sz w:val="22"/>
          <w:szCs w:val="22"/>
          <w:lang w:eastAsia="en-AU"/>
          <w14:ligatures w14:val="none"/>
        </w:rPr>
        <w:t>Therapeutic Goods (Permissible Indications) Determination (No. 1) 2025</w:t>
      </w:r>
      <w:r w:rsidRPr="00421D34">
        <w:rPr>
          <w:rFonts w:eastAsia="Times New Roman"/>
          <w:bCs/>
          <w:kern w:val="0"/>
          <w:sz w:val="22"/>
          <w:szCs w:val="22"/>
          <w:lang w:eastAsia="en-AU"/>
          <w14:ligatures w14:val="none"/>
        </w:rPr>
        <w:t xml:space="preserve"> (the Determination) repeals and replaces the </w:t>
      </w:r>
      <w:r w:rsidRPr="00421D34">
        <w:rPr>
          <w:rFonts w:eastAsia="Times New Roman"/>
          <w:bCs/>
          <w:i/>
          <w:iCs/>
          <w:kern w:val="0"/>
          <w:sz w:val="22"/>
          <w:szCs w:val="22"/>
          <w:lang w:eastAsia="en-AU"/>
          <w14:ligatures w14:val="none"/>
        </w:rPr>
        <w:t>Therapeutic Goods (Permissible Indications) Determination (No. 1) 2021</w:t>
      </w:r>
      <w:r w:rsidRPr="00421D34">
        <w:rPr>
          <w:rFonts w:eastAsia="Times New Roman"/>
          <w:bCs/>
          <w:kern w:val="0"/>
          <w:sz w:val="22"/>
          <w:szCs w:val="22"/>
          <w:lang w:eastAsia="en-AU"/>
          <w14:ligatures w14:val="none"/>
        </w:rPr>
        <w:t xml:space="preserve"> (the former Determination) and specifies indications (statements of therapeutic use) that are permitted to be made in relation to medicines listed in the Australian Register of Therapeutic Goods (the Register) under section 26A of the Act. These medicines are, principally, listed complementary medicines and a small number of listed over the counter medicines, such as sunscreens. The Determination also specifies requirements regarding the use of such indications in relation to these medicines.</w:t>
      </w:r>
    </w:p>
    <w:p w14:paraId="1FC301A3" w14:textId="77777777" w:rsidR="00C80EFF" w:rsidRPr="00421D34" w:rsidRDefault="00C80EFF" w:rsidP="00C80EFF">
      <w:pPr>
        <w:spacing w:after="0" w:line="240" w:lineRule="auto"/>
        <w:contextualSpacing/>
        <w:rPr>
          <w:rFonts w:eastAsia="Times New Roman"/>
          <w:bCs/>
          <w:kern w:val="0"/>
          <w:sz w:val="22"/>
          <w:szCs w:val="22"/>
          <w:lang w:eastAsia="en-AU"/>
          <w14:ligatures w14:val="none"/>
        </w:rPr>
      </w:pPr>
    </w:p>
    <w:p w14:paraId="17228EB4" w14:textId="77777777" w:rsidR="00C80EFF" w:rsidRPr="00421D34" w:rsidRDefault="00C80EFF" w:rsidP="00C80EFF">
      <w:pPr>
        <w:spacing w:after="0" w:line="240" w:lineRule="auto"/>
        <w:contextualSpacing/>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Medicines that are listed in the Register under section 26A of the Act (listed medicines) are considered to be ‘low risk’ and are not individually evaluated before those medicines are entered in the Register. The application process requires applicants to certify, under subsection 26A(2) of the Act, that the medicine to which the application relates is eligible for listing and compliant with a number of important regulatory requirements. For example, that the medicine is safe for the purpose for which it is to be used and complies with all applicable standards.</w:t>
      </w:r>
    </w:p>
    <w:p w14:paraId="23C9439E" w14:textId="77777777" w:rsidR="00C80EFF" w:rsidRPr="00421D34" w:rsidRDefault="00C80EFF" w:rsidP="00C80EFF">
      <w:pPr>
        <w:spacing w:after="0" w:line="240" w:lineRule="auto"/>
        <w:contextualSpacing/>
        <w:rPr>
          <w:rFonts w:eastAsia="Times New Roman"/>
          <w:bCs/>
          <w:kern w:val="0"/>
          <w:sz w:val="22"/>
          <w:szCs w:val="22"/>
          <w:lang w:eastAsia="en-AU"/>
          <w14:ligatures w14:val="none"/>
        </w:rPr>
      </w:pPr>
    </w:p>
    <w:p w14:paraId="7B33CF06" w14:textId="414151ED" w:rsidR="00C80EFF" w:rsidRPr="00421D34" w:rsidRDefault="00C80EFF" w:rsidP="00C80EFF">
      <w:pPr>
        <w:spacing w:after="0" w:line="240" w:lineRule="auto"/>
        <w:contextualSpacing/>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 xml:space="preserve">As these listed medicines are not evaluated by the TGA prior to obtaining market approval to the general public, the Act contains certain regulatory mechanisms to help ensure that those medicines are manufactured to appropriate quality standards and able to be used by consumers safely. In particular, the medicines may only contain ingredients from a specified list of ingredients made by the Minster under section 26BB of the Act (set out in the </w:t>
      </w:r>
      <w:r w:rsidRPr="00421D34">
        <w:rPr>
          <w:rFonts w:eastAsia="Times New Roman"/>
          <w:bCs/>
          <w:i/>
          <w:iCs/>
          <w:kern w:val="0"/>
          <w:sz w:val="22"/>
          <w:szCs w:val="22"/>
          <w:lang w:eastAsia="en-AU"/>
          <w14:ligatures w14:val="none"/>
        </w:rPr>
        <w:t>Therapeutic Goods (Permissible Ingredients) Determination (No. 1) 2025</w:t>
      </w:r>
      <w:r w:rsidRPr="00421D34">
        <w:rPr>
          <w:rFonts w:eastAsia="Times New Roman"/>
          <w:bCs/>
          <w:kern w:val="0"/>
          <w:sz w:val="22"/>
          <w:szCs w:val="22"/>
          <w:lang w:eastAsia="en-AU"/>
          <w14:ligatures w14:val="none"/>
        </w:rPr>
        <w:t>), and any indications, or therapeutic claims, for those medicines must be covered by a list of permissible indications made by the Minister under section 26BF of the Act. These ‘pre-approved’ low-level indications are set out in the Determination for this purpose and are designed to ensure that claims of therapeutic use for medicines listed under section 26A do not overstate their respective therapeutic benefits.</w:t>
      </w:r>
    </w:p>
    <w:p w14:paraId="0D9A1617" w14:textId="77777777" w:rsidR="00C80EFF" w:rsidRPr="00421D34" w:rsidRDefault="00C80EFF" w:rsidP="00C80EFF">
      <w:pPr>
        <w:spacing w:after="0" w:line="240" w:lineRule="auto"/>
        <w:contextualSpacing/>
        <w:rPr>
          <w:rFonts w:eastAsia="Times New Roman"/>
          <w:bCs/>
          <w:kern w:val="0"/>
          <w:sz w:val="22"/>
          <w:szCs w:val="22"/>
          <w:lang w:eastAsia="en-AU"/>
          <w14:ligatures w14:val="none"/>
        </w:rPr>
      </w:pPr>
    </w:p>
    <w:p w14:paraId="6B4E1C09" w14:textId="77777777" w:rsidR="00C80EFF" w:rsidRPr="00421D34" w:rsidRDefault="00C80EFF" w:rsidP="00C80EFF">
      <w:pPr>
        <w:spacing w:after="0" w:line="240" w:lineRule="auto"/>
        <w:contextualSpacing/>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The requirement of listed medicines to use indications covered by the Determination is designed to ensure transparency, to provide greater protection for consumers from misleading or inappropriate claims in relation to such goods, and to otherwise assist industry to use appropriate low-level indications for listed medicines.</w:t>
      </w:r>
    </w:p>
    <w:p w14:paraId="2E968181" w14:textId="77777777" w:rsidR="00C80EFF" w:rsidRPr="00421D34" w:rsidRDefault="00C80EFF" w:rsidP="00C80EFF">
      <w:pPr>
        <w:spacing w:after="0" w:line="240" w:lineRule="auto"/>
        <w:contextualSpacing/>
        <w:rPr>
          <w:rFonts w:eastAsia="Times New Roman"/>
          <w:bCs/>
          <w:kern w:val="0"/>
          <w:sz w:val="22"/>
          <w:szCs w:val="22"/>
          <w:lang w:eastAsia="en-AU"/>
          <w14:ligatures w14:val="none"/>
        </w:rPr>
      </w:pPr>
    </w:p>
    <w:p w14:paraId="5EF2EBA2" w14:textId="77777777" w:rsidR="00C80EFF" w:rsidRPr="00421D34" w:rsidRDefault="00C80EFF" w:rsidP="00C80EFF">
      <w:pPr>
        <w:spacing w:after="0" w:line="240" w:lineRule="auto"/>
        <w:contextualSpacing/>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An applicant for the listing of a medicine must certify a range of matters specified in section 26A of the Act. In particular, paragraphs 26A(2)(fba), (fd) and (fe) require an applicant to certify that the indications included in the medicine’s entry in the Register, and on the label, are covered by a determination made under subsection 26BF(1), and that any relevant requirements specified in the determination have not been contravened.</w:t>
      </w:r>
    </w:p>
    <w:p w14:paraId="2846816A" w14:textId="77777777" w:rsidR="00C80EFF" w:rsidRPr="00421D34" w:rsidRDefault="00C80EFF" w:rsidP="00C80EFF">
      <w:pPr>
        <w:spacing w:after="0" w:line="240" w:lineRule="auto"/>
        <w:contextualSpacing/>
        <w:rPr>
          <w:rFonts w:eastAsia="Times New Roman"/>
          <w:bCs/>
          <w:kern w:val="0"/>
          <w:sz w:val="22"/>
          <w:szCs w:val="22"/>
          <w:lang w:eastAsia="en-AU"/>
          <w14:ligatures w14:val="none"/>
        </w:rPr>
      </w:pPr>
    </w:p>
    <w:p w14:paraId="33DF9800" w14:textId="77777777" w:rsidR="00C80EFF" w:rsidRPr="00421D34" w:rsidRDefault="00C80EFF" w:rsidP="00C80EFF">
      <w:pPr>
        <w:spacing w:after="0" w:line="240" w:lineRule="auto"/>
        <w:contextualSpacing/>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If a person making an application for the listing of a medicine incorrectly certifies the matters required under subsection 26A(2) in relation to indications, the Secretary may cancel or suspend the medicine from the Register (paragraphs 30(1)(e) and 29D(1)(b) of the Act refer). Criminal and civil penalty provisions may apply if a person makes a false or misleading statement in, or in connection with, a certification of a matter under subsection 26A(2) of the Act, including in relation to permissible indications and related requirements (sections 21A and 21B of the Act refer).</w:t>
      </w:r>
    </w:p>
    <w:p w14:paraId="5E561EB0" w14:textId="77777777" w:rsidR="00C80EFF" w:rsidRPr="00421D34" w:rsidRDefault="00C80EFF" w:rsidP="00C80EFF">
      <w:pPr>
        <w:spacing w:after="0" w:line="240" w:lineRule="auto"/>
        <w:contextualSpacing/>
        <w:rPr>
          <w:rFonts w:eastAsia="Times New Roman"/>
          <w:bCs/>
          <w:kern w:val="0"/>
          <w:sz w:val="22"/>
          <w:szCs w:val="22"/>
          <w:lang w:eastAsia="en-AU"/>
          <w14:ligatures w14:val="none"/>
        </w:rPr>
      </w:pPr>
    </w:p>
    <w:p w14:paraId="28E42AB8" w14:textId="77777777" w:rsidR="00C80EFF" w:rsidRPr="00421D34" w:rsidRDefault="00C80EFF" w:rsidP="00C80EFF">
      <w:pPr>
        <w:spacing w:after="0" w:line="240" w:lineRule="auto"/>
        <w:contextualSpacing/>
        <w:rPr>
          <w:rFonts w:eastAsia="Times New Roman"/>
          <w:bCs/>
          <w:i/>
          <w:iCs/>
          <w:kern w:val="0"/>
          <w:sz w:val="22"/>
          <w:szCs w:val="22"/>
          <w:lang w:eastAsia="en-AU"/>
          <w14:ligatures w14:val="none"/>
        </w:rPr>
      </w:pPr>
      <w:r w:rsidRPr="00421D34">
        <w:rPr>
          <w:rFonts w:eastAsia="Times New Roman"/>
          <w:bCs/>
          <w:i/>
          <w:iCs/>
          <w:kern w:val="0"/>
          <w:sz w:val="22"/>
          <w:szCs w:val="22"/>
          <w:lang w:eastAsia="en-AU"/>
          <w14:ligatures w14:val="none"/>
        </w:rPr>
        <w:t>Permissible indications</w:t>
      </w:r>
    </w:p>
    <w:p w14:paraId="54479415" w14:textId="77777777" w:rsidR="00C80EFF" w:rsidRPr="00421D34" w:rsidRDefault="00C80EFF" w:rsidP="00C80EFF">
      <w:pPr>
        <w:spacing w:after="0" w:line="240" w:lineRule="auto"/>
        <w:contextualSpacing/>
        <w:rPr>
          <w:rFonts w:eastAsia="Times New Roman"/>
          <w:bCs/>
          <w:kern w:val="0"/>
          <w:sz w:val="22"/>
          <w:szCs w:val="22"/>
          <w:lang w:eastAsia="en-AU"/>
          <w14:ligatures w14:val="none"/>
        </w:rPr>
      </w:pPr>
    </w:p>
    <w:p w14:paraId="5908CF28" w14:textId="01F0C28C" w:rsidR="00C80EFF" w:rsidRPr="00421D34" w:rsidRDefault="00C80EFF" w:rsidP="00C80EFF">
      <w:pPr>
        <w:spacing w:after="0" w:line="240" w:lineRule="auto"/>
        <w:contextualSpacing/>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The Determination specifies indications, for the purposes of paragraphs 26BF(1)(a) of the Act, that may be used in relation to listed medicines These indications have been determined to be sufficiently low-level and appropriate for such medicines.</w:t>
      </w:r>
    </w:p>
    <w:p w14:paraId="42001017" w14:textId="77777777" w:rsidR="00C80EFF" w:rsidRPr="00421D34" w:rsidRDefault="00C80EFF" w:rsidP="00C80EFF">
      <w:pPr>
        <w:spacing w:after="0" w:line="240" w:lineRule="auto"/>
        <w:contextualSpacing/>
        <w:rPr>
          <w:rFonts w:eastAsia="Times New Roman"/>
          <w:bCs/>
          <w:kern w:val="0"/>
          <w:sz w:val="22"/>
          <w:szCs w:val="22"/>
          <w:lang w:eastAsia="en-AU"/>
          <w14:ligatures w14:val="none"/>
        </w:rPr>
      </w:pPr>
    </w:p>
    <w:p w14:paraId="1776250A" w14:textId="77777777" w:rsidR="00C80EFF" w:rsidRPr="00421D34" w:rsidRDefault="00C80EFF" w:rsidP="00C80EFF">
      <w:pPr>
        <w:spacing w:after="0" w:line="240" w:lineRule="auto"/>
        <w:contextualSpacing/>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The Determination also permits the use of a small number of indications that relate to the following:</w:t>
      </w:r>
    </w:p>
    <w:p w14:paraId="2A77AC94" w14:textId="77777777" w:rsidR="00C80EFF" w:rsidRPr="00421D34" w:rsidRDefault="00C80EFF" w:rsidP="00C80EFF">
      <w:pPr>
        <w:pStyle w:val="ListParagraph"/>
        <w:numPr>
          <w:ilvl w:val="0"/>
          <w:numId w:val="2"/>
        </w:numPr>
        <w:spacing w:after="0" w:line="240" w:lineRule="auto"/>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the link between vitamin D and calcium (referring to osteoporosis);</w:t>
      </w:r>
    </w:p>
    <w:p w14:paraId="4C24693B" w14:textId="77777777" w:rsidR="00C80EFF" w:rsidRPr="00421D34" w:rsidRDefault="00C80EFF" w:rsidP="00C80EFF">
      <w:pPr>
        <w:pStyle w:val="ListParagraph"/>
        <w:numPr>
          <w:ilvl w:val="0"/>
          <w:numId w:val="2"/>
        </w:numPr>
        <w:spacing w:after="0" w:line="240" w:lineRule="auto"/>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the link between folic acid and neural tube defects;</w:t>
      </w:r>
    </w:p>
    <w:p w14:paraId="2BE5D081" w14:textId="77777777" w:rsidR="00C80EFF" w:rsidRPr="00421D34" w:rsidRDefault="00C80EFF" w:rsidP="00C80EFF">
      <w:pPr>
        <w:pStyle w:val="ListParagraph"/>
        <w:numPr>
          <w:ilvl w:val="0"/>
          <w:numId w:val="2"/>
        </w:numPr>
        <w:spacing w:after="0" w:line="240" w:lineRule="auto"/>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the use of broad-spectrum sunscreens with a sun protection factor of 30 or higher in relation to the prevention of skin cancer.</w:t>
      </w:r>
    </w:p>
    <w:p w14:paraId="2A7CB710" w14:textId="77777777" w:rsidR="00C80EFF" w:rsidRPr="00421D34" w:rsidRDefault="00C80EFF" w:rsidP="00C80EFF">
      <w:pPr>
        <w:spacing w:after="0" w:line="240" w:lineRule="auto"/>
        <w:contextualSpacing/>
        <w:rPr>
          <w:rFonts w:eastAsia="Times New Roman"/>
          <w:bCs/>
          <w:kern w:val="0"/>
          <w:sz w:val="22"/>
          <w:szCs w:val="22"/>
          <w:lang w:eastAsia="en-AU"/>
          <w14:ligatures w14:val="none"/>
        </w:rPr>
      </w:pPr>
    </w:p>
    <w:p w14:paraId="0D879E42" w14:textId="77777777" w:rsidR="00C80EFF" w:rsidRPr="00421D34" w:rsidRDefault="00C80EFF" w:rsidP="00C80EFF">
      <w:pPr>
        <w:spacing w:after="0" w:line="240" w:lineRule="auto"/>
        <w:contextualSpacing/>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The inclusion of such indications in the Determination principally reflects the importance of these indications in relation to public health and their history of use.</w:t>
      </w:r>
    </w:p>
    <w:p w14:paraId="26CEFB5B" w14:textId="77777777" w:rsidR="00C80EFF" w:rsidRPr="00421D34" w:rsidRDefault="00C80EFF" w:rsidP="00C80EFF">
      <w:pPr>
        <w:spacing w:after="0" w:line="240" w:lineRule="auto"/>
        <w:contextualSpacing/>
        <w:rPr>
          <w:rFonts w:eastAsia="Times New Roman"/>
          <w:bCs/>
          <w:kern w:val="0"/>
          <w:sz w:val="22"/>
          <w:szCs w:val="22"/>
          <w:lang w:eastAsia="en-AU"/>
          <w14:ligatures w14:val="none"/>
        </w:rPr>
      </w:pPr>
    </w:p>
    <w:p w14:paraId="6D8DA06E" w14:textId="77777777" w:rsidR="00C80EFF" w:rsidRPr="00421D34" w:rsidRDefault="00C80EFF" w:rsidP="00C80EFF">
      <w:pPr>
        <w:spacing w:after="0" w:line="240" w:lineRule="auto"/>
        <w:contextualSpacing/>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It should also be noted that paragraph 5(b) of the Determination has the effect of allowing persons in whose names the medicines are included in the Register to modify a permissible indication, to align with the supporting evidence that person holds in relation to the medicine, by using qualifying statements set out under one of the following headings in the code tables document published by the TGA:</w:t>
      </w:r>
    </w:p>
    <w:p w14:paraId="6D509C03" w14:textId="77777777" w:rsidR="00C80EFF" w:rsidRPr="00421D34" w:rsidRDefault="00C80EFF" w:rsidP="00C80EFF">
      <w:pPr>
        <w:pStyle w:val="ListParagraph"/>
        <w:numPr>
          <w:ilvl w:val="0"/>
          <w:numId w:val="3"/>
        </w:numPr>
        <w:spacing w:after="0" w:line="240" w:lineRule="auto"/>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traditional context qualifiers—which specify the traditional paradigm for medicines supported by evidence of traditional use, for example, ‘Traditionally used in Western herbal medicine’. The traditional context is a mandatory qualifier for indications where the sponsor holds evidence of traditional use;</w:t>
      </w:r>
    </w:p>
    <w:p w14:paraId="487E0943" w14:textId="77777777" w:rsidR="00C80EFF" w:rsidRPr="00421D34" w:rsidRDefault="00C80EFF" w:rsidP="00C80EFF">
      <w:pPr>
        <w:pStyle w:val="ListParagraph"/>
        <w:numPr>
          <w:ilvl w:val="0"/>
          <w:numId w:val="3"/>
        </w:numPr>
        <w:spacing w:after="0" w:line="240" w:lineRule="auto"/>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population qualifiers—which specify the target population for a medicine, for example, ‘In healthy individuals’, ‘In adults’ or ‘In females’;</w:t>
      </w:r>
    </w:p>
    <w:p w14:paraId="26363804" w14:textId="77777777" w:rsidR="00C80EFF" w:rsidRPr="00421D34" w:rsidRDefault="00C80EFF" w:rsidP="00C80EFF">
      <w:pPr>
        <w:pStyle w:val="ListParagraph"/>
        <w:numPr>
          <w:ilvl w:val="0"/>
          <w:numId w:val="3"/>
        </w:numPr>
        <w:spacing w:after="0" w:line="240" w:lineRule="auto"/>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time of use qualifiers—which indicate the time of the intended therapeutic benefit for a medicine, for example ‘Maintain/support energy levels during the day’. or the time of occurrence of a symptom of a disease, ailment defect or injury, for example, ‘Decrease/reduce/relieve muscle stiffness after exercise’;</w:t>
      </w:r>
    </w:p>
    <w:p w14:paraId="090FC1C8" w14:textId="77777777" w:rsidR="00C80EFF" w:rsidRPr="00421D34" w:rsidRDefault="00C80EFF" w:rsidP="00C80EFF">
      <w:pPr>
        <w:pStyle w:val="ListParagraph"/>
        <w:numPr>
          <w:ilvl w:val="0"/>
          <w:numId w:val="3"/>
        </w:numPr>
        <w:spacing w:after="0" w:line="240" w:lineRule="auto"/>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Traditional Chinese Medicine (TCM) patter qualifiers—which are only available for traditional Chinese medicines, and specify the underlying ‘pattern’ causing symptoms of a condition or illness in the TCM paradigm, for example ‘Spleen Qi Deficiency pattern’.</w:t>
      </w:r>
    </w:p>
    <w:p w14:paraId="3C89BE58" w14:textId="77777777" w:rsidR="00C80EFF" w:rsidRPr="00421D34" w:rsidRDefault="00C80EFF" w:rsidP="00C80EFF">
      <w:pPr>
        <w:spacing w:after="0" w:line="240" w:lineRule="auto"/>
        <w:contextualSpacing/>
        <w:rPr>
          <w:rFonts w:eastAsia="Times New Roman"/>
          <w:bCs/>
          <w:kern w:val="0"/>
          <w:sz w:val="22"/>
          <w:szCs w:val="22"/>
          <w:lang w:eastAsia="en-AU"/>
          <w14:ligatures w14:val="none"/>
        </w:rPr>
      </w:pPr>
    </w:p>
    <w:p w14:paraId="0B5801A6" w14:textId="77777777" w:rsidR="00C80EFF" w:rsidRPr="00421D34" w:rsidRDefault="00C80EFF" w:rsidP="00C92EF0">
      <w:pPr>
        <w:keepNext/>
        <w:spacing w:after="0" w:line="240" w:lineRule="auto"/>
        <w:contextualSpacing/>
        <w:rPr>
          <w:rFonts w:eastAsia="Times New Roman"/>
          <w:bCs/>
          <w:i/>
          <w:iCs/>
          <w:kern w:val="0"/>
          <w:sz w:val="22"/>
          <w:szCs w:val="22"/>
          <w:lang w:eastAsia="en-AU"/>
          <w14:ligatures w14:val="none"/>
        </w:rPr>
      </w:pPr>
      <w:r w:rsidRPr="00421D34">
        <w:rPr>
          <w:rFonts w:eastAsia="Times New Roman"/>
          <w:bCs/>
          <w:i/>
          <w:iCs/>
          <w:kern w:val="0"/>
          <w:sz w:val="22"/>
          <w:szCs w:val="22"/>
          <w:lang w:eastAsia="en-AU"/>
          <w14:ligatures w14:val="none"/>
        </w:rPr>
        <w:lastRenderedPageBreak/>
        <w:t>Requirements for indications</w:t>
      </w:r>
    </w:p>
    <w:p w14:paraId="4A440250" w14:textId="77777777" w:rsidR="00C80EFF" w:rsidRPr="00421D34" w:rsidRDefault="00C80EFF" w:rsidP="00C92EF0">
      <w:pPr>
        <w:keepNext/>
        <w:spacing w:after="0" w:line="240" w:lineRule="auto"/>
        <w:contextualSpacing/>
        <w:rPr>
          <w:rFonts w:eastAsia="Times New Roman"/>
          <w:bCs/>
          <w:kern w:val="0"/>
          <w:sz w:val="22"/>
          <w:szCs w:val="22"/>
          <w:lang w:eastAsia="en-AU"/>
          <w14:ligatures w14:val="none"/>
        </w:rPr>
      </w:pPr>
    </w:p>
    <w:p w14:paraId="2E199C11" w14:textId="77777777" w:rsidR="00C80EFF" w:rsidRPr="00421D34" w:rsidRDefault="00C80EFF" w:rsidP="00C92EF0">
      <w:pPr>
        <w:keepNext/>
        <w:spacing w:after="0" w:line="240" w:lineRule="auto"/>
        <w:contextualSpacing/>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In addition to specifying permissible indications for listed medicines, the Determination also specifies requirements, for the purposes of paragraph 26BF(1)(b) of the Act, which persons must comply with when using the permissible indications for their listed medicines. These requirements principally relate to ensuring the safe and appropriate use of listed medicines and may, for example:</w:t>
      </w:r>
    </w:p>
    <w:p w14:paraId="27850C52" w14:textId="77777777" w:rsidR="00C80EFF" w:rsidRPr="00421D34" w:rsidRDefault="00C80EFF" w:rsidP="00C80EFF">
      <w:pPr>
        <w:pStyle w:val="ListParagraph"/>
        <w:numPr>
          <w:ilvl w:val="0"/>
          <w:numId w:val="4"/>
        </w:numPr>
        <w:spacing w:after="0" w:line="240" w:lineRule="auto"/>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specify the type of evidence that a sponsor must hold to support the use of an indication, such as scientific evidence or evidence of traditional use;</w:t>
      </w:r>
    </w:p>
    <w:p w14:paraId="36367EF4" w14:textId="77777777" w:rsidR="00C80EFF" w:rsidRPr="00421D34" w:rsidRDefault="00C80EFF" w:rsidP="00C80EFF">
      <w:pPr>
        <w:pStyle w:val="ListParagraph"/>
        <w:numPr>
          <w:ilvl w:val="0"/>
          <w:numId w:val="4"/>
        </w:numPr>
        <w:spacing w:after="0" w:line="240" w:lineRule="auto"/>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specify a vulnerable population for which the indication is not suitable, such as children; or</w:t>
      </w:r>
    </w:p>
    <w:p w14:paraId="63B13652" w14:textId="77777777" w:rsidR="00C80EFF" w:rsidRPr="00421D34" w:rsidRDefault="00C80EFF" w:rsidP="00C80EFF">
      <w:pPr>
        <w:pStyle w:val="ListParagraph"/>
        <w:numPr>
          <w:ilvl w:val="0"/>
          <w:numId w:val="4"/>
        </w:numPr>
        <w:spacing w:after="0" w:line="240" w:lineRule="auto"/>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require a statement to accompany the use of an indication on the label of a medicine, for example, ‘If symptoms persist talk to your health professional’.</w:t>
      </w:r>
    </w:p>
    <w:p w14:paraId="207DE645" w14:textId="77777777" w:rsidR="00C80EFF" w:rsidRPr="00421D34" w:rsidRDefault="00C80EFF" w:rsidP="00C80EFF">
      <w:pPr>
        <w:spacing w:after="0" w:line="240" w:lineRule="auto"/>
        <w:contextualSpacing/>
        <w:rPr>
          <w:rFonts w:eastAsia="Times New Roman"/>
          <w:bCs/>
          <w:kern w:val="0"/>
          <w:sz w:val="22"/>
          <w:szCs w:val="22"/>
          <w:lang w:eastAsia="en-AU"/>
          <w14:ligatures w14:val="none"/>
        </w:rPr>
      </w:pPr>
    </w:p>
    <w:p w14:paraId="18F7AFEC" w14:textId="306B003D" w:rsidR="00C80EFF" w:rsidRPr="00421D34" w:rsidRDefault="00C80EFF" w:rsidP="00C80EFF">
      <w:pPr>
        <w:spacing w:after="0" w:line="240" w:lineRule="auto"/>
        <w:contextualSpacing/>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Schedule 1 to the Determination contains tables in 17 Parts that set out, for the purposes of sections 5 and 6 of the Determination, the indications that may be used in relation to listed medicines, requirements relating to the type of evidence required to support the use of an indication, and the requirements relating to the use of that indication.</w:t>
      </w:r>
    </w:p>
    <w:p w14:paraId="7124B5D1" w14:textId="77777777" w:rsidR="00C80EFF" w:rsidRPr="00421D34" w:rsidRDefault="00C80EFF" w:rsidP="00C80EFF">
      <w:pPr>
        <w:spacing w:after="0" w:line="240" w:lineRule="auto"/>
        <w:contextualSpacing/>
        <w:rPr>
          <w:rFonts w:eastAsia="Times New Roman"/>
          <w:bCs/>
          <w:kern w:val="0"/>
          <w:sz w:val="22"/>
          <w:szCs w:val="22"/>
          <w:lang w:eastAsia="en-AU"/>
          <w14:ligatures w14:val="none"/>
        </w:rPr>
      </w:pPr>
    </w:p>
    <w:p w14:paraId="285FFEE6" w14:textId="77777777" w:rsidR="00C80EFF" w:rsidRPr="00421D34" w:rsidRDefault="00C80EFF" w:rsidP="00C80EFF">
      <w:pPr>
        <w:spacing w:after="0" w:line="240" w:lineRule="auto"/>
        <w:contextualSpacing/>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Relevantly, subsections 6(3) to 6(7) of the Determination set out a number of overarching requirements that are not replicated in the tables in Schedule 1. These include, for example, a requirement that if the wording of a permissible indication is varied on the label of a medicine, or combined with another permissible indication to form a simple sentence, then the meaning or intent of the indication must not be changed, and the varied or combined indication must not infer or imply that the medicine is indicated for the treatment of a serious form of a disease, ailment, defect, or injury. ‘Serious’ in this context is defined in section 4 of the Determination as having the same meaning as serious, in relation to a form of a disease, condition, ailment or defect in section 28 of the Therapeutic Goods Advertising Code.</w:t>
      </w:r>
    </w:p>
    <w:p w14:paraId="05C28DA8" w14:textId="77777777" w:rsidR="00C80EFF" w:rsidRPr="00421D34" w:rsidRDefault="00C80EFF" w:rsidP="00C80EFF">
      <w:pPr>
        <w:spacing w:after="0" w:line="240" w:lineRule="auto"/>
        <w:contextualSpacing/>
        <w:rPr>
          <w:rFonts w:eastAsia="Times New Roman"/>
          <w:bCs/>
          <w:kern w:val="0"/>
          <w:sz w:val="22"/>
          <w:szCs w:val="22"/>
          <w:lang w:eastAsia="en-AU"/>
          <w14:ligatures w14:val="none"/>
        </w:rPr>
      </w:pPr>
    </w:p>
    <w:p w14:paraId="13C1202E" w14:textId="0C643959" w:rsidR="00C80EFF" w:rsidRPr="00421D34" w:rsidRDefault="00C80EFF" w:rsidP="00C80EFF">
      <w:pPr>
        <w:spacing w:after="0" w:line="240" w:lineRule="auto"/>
        <w:contextualSpacing/>
        <w:rPr>
          <w:rFonts w:eastAsia="Times New Roman"/>
          <w:bCs/>
          <w:i/>
          <w:iCs/>
          <w:kern w:val="0"/>
          <w:sz w:val="22"/>
          <w:szCs w:val="22"/>
          <w:lang w:eastAsia="en-AU"/>
          <w14:ligatures w14:val="none"/>
        </w:rPr>
      </w:pPr>
      <w:r w:rsidRPr="00421D34">
        <w:rPr>
          <w:rFonts w:eastAsia="Times New Roman"/>
          <w:bCs/>
          <w:i/>
          <w:iCs/>
          <w:kern w:val="0"/>
          <w:sz w:val="22"/>
          <w:szCs w:val="22"/>
          <w:lang w:eastAsia="en-AU"/>
          <w14:ligatures w14:val="none"/>
        </w:rPr>
        <w:t>Amendments</w:t>
      </w:r>
    </w:p>
    <w:p w14:paraId="72FC3663" w14:textId="77777777" w:rsidR="00C80EFF" w:rsidRPr="00421D34" w:rsidRDefault="00C80EFF" w:rsidP="00C80EFF">
      <w:pPr>
        <w:spacing w:after="0" w:line="240" w:lineRule="auto"/>
        <w:contextualSpacing/>
        <w:rPr>
          <w:rFonts w:eastAsia="Times New Roman"/>
          <w:bCs/>
          <w:kern w:val="0"/>
          <w:sz w:val="22"/>
          <w:szCs w:val="22"/>
          <w:lang w:eastAsia="en-AU"/>
          <w14:ligatures w14:val="none"/>
        </w:rPr>
      </w:pPr>
    </w:p>
    <w:p w14:paraId="50BF5E36" w14:textId="77777777" w:rsidR="00C80EFF" w:rsidRPr="00421D34" w:rsidRDefault="00C80EFF" w:rsidP="00C80EFF">
      <w:pPr>
        <w:spacing w:after="0" w:line="240" w:lineRule="auto"/>
        <w:contextualSpacing/>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The Determination repeals and replaces the former Determination, and incorporates a number of changes in comparison to the former Determination, including in particular:</w:t>
      </w:r>
    </w:p>
    <w:p w14:paraId="588E2D56" w14:textId="77777777" w:rsidR="00C80EFF" w:rsidRPr="00421D34" w:rsidRDefault="00C80EFF" w:rsidP="00C80EFF">
      <w:pPr>
        <w:pStyle w:val="ListParagraph"/>
        <w:numPr>
          <w:ilvl w:val="0"/>
          <w:numId w:val="5"/>
        </w:numPr>
        <w:spacing w:line="240" w:lineRule="auto"/>
        <w:rPr>
          <w:rFonts w:eastAsia="Times New Roman"/>
          <w:b/>
          <w:bCs/>
          <w:kern w:val="0"/>
          <w:sz w:val="22"/>
          <w:szCs w:val="22"/>
          <w:lang w:eastAsia="en-AU"/>
          <w14:ligatures w14:val="none"/>
        </w:rPr>
      </w:pPr>
      <w:r w:rsidRPr="00421D34">
        <w:rPr>
          <w:rFonts w:eastAsia="Times New Roman"/>
          <w:bCs/>
          <w:kern w:val="0"/>
          <w:sz w:val="22"/>
          <w:szCs w:val="22"/>
          <w:lang w:eastAsia="en-AU"/>
          <w14:ligatures w14:val="none"/>
        </w:rPr>
        <w:t xml:space="preserve">incorporating the code tables, and the listed medicines evidence guidelines (titled </w:t>
      </w:r>
      <w:r w:rsidRPr="00421D34">
        <w:rPr>
          <w:rFonts w:eastAsia="Times New Roman"/>
          <w:i/>
          <w:iCs/>
          <w:kern w:val="0"/>
          <w:sz w:val="22"/>
          <w:szCs w:val="22"/>
          <w:lang w:eastAsia="en-AU"/>
          <w14:ligatures w14:val="none"/>
        </w:rPr>
        <w:t>Supporting claims and indications for listed medicines</w:t>
      </w:r>
      <w:r w:rsidRPr="00421D34">
        <w:rPr>
          <w:rFonts w:eastAsia="Times New Roman"/>
          <w:bCs/>
          <w:kern w:val="0"/>
          <w:sz w:val="22"/>
          <w:szCs w:val="22"/>
          <w:lang w:eastAsia="en-AU"/>
          <w14:ligatures w14:val="none"/>
        </w:rPr>
        <w:t>), as in force or existing from time to time in accordance with subsection 26BF(6) of the Act;</w:t>
      </w:r>
    </w:p>
    <w:p w14:paraId="616E0F69" w14:textId="77777777" w:rsidR="00C80EFF" w:rsidRPr="00421D34" w:rsidRDefault="00C80EFF" w:rsidP="00C80EFF">
      <w:pPr>
        <w:pStyle w:val="ListParagraph"/>
        <w:numPr>
          <w:ilvl w:val="0"/>
          <w:numId w:val="5"/>
        </w:numPr>
        <w:spacing w:after="0" w:line="240" w:lineRule="auto"/>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refining the definition of health professional;</w:t>
      </w:r>
    </w:p>
    <w:p w14:paraId="565220CF" w14:textId="77777777" w:rsidR="00C80EFF" w:rsidRPr="00421D34" w:rsidRDefault="00C80EFF" w:rsidP="00C80EFF">
      <w:pPr>
        <w:pStyle w:val="ListParagraph"/>
        <w:numPr>
          <w:ilvl w:val="0"/>
          <w:numId w:val="5"/>
        </w:numPr>
        <w:spacing w:after="0" w:line="240" w:lineRule="auto"/>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introducing a note in section 5 to clarify that the population qualifiers do not include a qualifier for pregnant individuals and that there is a separate table in Schedule 1 that sets out the indications that can be used for pregnancy or pregnant populations (i.e. Part 17 in Schedule 1);</w:t>
      </w:r>
    </w:p>
    <w:p w14:paraId="27C19418" w14:textId="77777777" w:rsidR="00C80EFF" w:rsidRPr="00421D34" w:rsidRDefault="00C80EFF" w:rsidP="00C80EFF">
      <w:pPr>
        <w:pStyle w:val="ListParagraph"/>
        <w:numPr>
          <w:ilvl w:val="0"/>
          <w:numId w:val="5"/>
        </w:numPr>
        <w:spacing w:after="0" w:line="240" w:lineRule="auto"/>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correcting an error in item 3 of Table 13 in Schedule 1 to the former Determination, to replace the reference to “reducing urinary PH” to “increasing urinary pH”;</w:t>
      </w:r>
    </w:p>
    <w:p w14:paraId="485B2FF7" w14:textId="77777777" w:rsidR="00C80EFF" w:rsidRPr="00421D34" w:rsidRDefault="00C80EFF" w:rsidP="00C80EFF">
      <w:pPr>
        <w:pStyle w:val="ListParagraph"/>
        <w:numPr>
          <w:ilvl w:val="0"/>
          <w:numId w:val="5"/>
        </w:numPr>
        <w:spacing w:after="0" w:line="240" w:lineRule="auto"/>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introducing a new requirement in section 6 of the Determination that supports a longstanding policy position that the only indications that are permitted to be used in relation to medicines that are sunscreen products are the indications specified in Part 16 of Schedule 1;</w:t>
      </w:r>
    </w:p>
    <w:p w14:paraId="6D4BE900" w14:textId="7BF8BF8E" w:rsidR="00C80EFF" w:rsidRPr="00421D34" w:rsidRDefault="00C80EFF" w:rsidP="00C80EFF">
      <w:pPr>
        <w:pStyle w:val="ListParagraph"/>
        <w:numPr>
          <w:ilvl w:val="0"/>
          <w:numId w:val="5"/>
        </w:numPr>
        <w:spacing w:after="0" w:line="240" w:lineRule="auto"/>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introducing a new table in Part 17 of Schedule 1 setting out indications relating to pregnancy – the indications contained in this new table are existing indications that were previously specified in the table of indication relating to the reproductive system in the former Determination;</w:t>
      </w:r>
    </w:p>
    <w:p w14:paraId="14368FC7" w14:textId="77777777" w:rsidR="00C80EFF" w:rsidRPr="00421D34" w:rsidRDefault="00C80EFF" w:rsidP="00C80EFF">
      <w:pPr>
        <w:pStyle w:val="ListParagraph"/>
        <w:numPr>
          <w:ilvl w:val="0"/>
          <w:numId w:val="5"/>
        </w:numPr>
        <w:spacing w:after="0" w:line="240" w:lineRule="auto"/>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introducing a new table in Part 16 in Schedule 1 specifying sunscreen indications – the indications contained in this new table are existing indications that were previously specified in the table of indications relating to skin in the former Determination; and</w:t>
      </w:r>
    </w:p>
    <w:p w14:paraId="0C3672A1" w14:textId="77777777" w:rsidR="00C80EFF" w:rsidRPr="00421D34" w:rsidRDefault="00C80EFF" w:rsidP="00C80EFF">
      <w:pPr>
        <w:pStyle w:val="ListParagraph"/>
        <w:numPr>
          <w:ilvl w:val="0"/>
          <w:numId w:val="5"/>
        </w:numPr>
        <w:spacing w:after="0" w:line="240" w:lineRule="auto"/>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making other minor editorial and typographical amendments and corrections.</w:t>
      </w:r>
    </w:p>
    <w:p w14:paraId="1FD839D8" w14:textId="77777777" w:rsidR="00C80EFF" w:rsidRPr="00421D34" w:rsidRDefault="00C80EFF" w:rsidP="00C80EFF">
      <w:pPr>
        <w:spacing w:after="0" w:line="240" w:lineRule="auto"/>
        <w:contextualSpacing/>
        <w:rPr>
          <w:rFonts w:eastAsia="Times New Roman"/>
          <w:bCs/>
          <w:kern w:val="0"/>
          <w:sz w:val="22"/>
          <w:szCs w:val="22"/>
          <w:lang w:eastAsia="en-AU"/>
          <w14:ligatures w14:val="none"/>
        </w:rPr>
      </w:pPr>
    </w:p>
    <w:p w14:paraId="5984CED2" w14:textId="0AA46FAC" w:rsidR="00C80EFF" w:rsidRPr="00421D34" w:rsidRDefault="00C80EFF" w:rsidP="00C92EF0">
      <w:pPr>
        <w:autoSpaceDE w:val="0"/>
        <w:autoSpaceDN w:val="0"/>
        <w:adjustRightInd w:val="0"/>
        <w:spacing w:after="0" w:line="240" w:lineRule="auto"/>
        <w:contextualSpacing/>
        <w:rPr>
          <w:rFonts w:eastAsia="Times New Roman"/>
          <w:bCs/>
          <w:kern w:val="0"/>
          <w:sz w:val="22"/>
          <w:szCs w:val="22"/>
          <w:lang w:eastAsia="en-AU"/>
          <w14:ligatures w14:val="none"/>
        </w:rPr>
      </w:pPr>
      <w:r w:rsidRPr="00421D34">
        <w:rPr>
          <w:rFonts w:eastAsia="Times New Roman"/>
          <w:kern w:val="0"/>
          <w:sz w:val="22"/>
          <w:szCs w:val="22"/>
          <w:lang w:eastAsia="en-AU"/>
          <w14:ligatures w14:val="none"/>
        </w:rPr>
        <w:lastRenderedPageBreak/>
        <w:t xml:space="preserve">The new requirement that the only indications that may be used in relation to listed sunscreen products are those indications that relate to sun protection, give effect to longstanding TGA policy. </w:t>
      </w:r>
      <w:r w:rsidRPr="00421D34">
        <w:rPr>
          <w:rFonts w:eastAsia="Times New Roman"/>
          <w:bCs/>
          <w:kern w:val="0"/>
          <w:sz w:val="22"/>
          <w:szCs w:val="22"/>
          <w:lang w:eastAsia="en-AU"/>
          <w14:ligatures w14:val="none"/>
        </w:rPr>
        <w:t>While sunscreens can include non-therapeutic claims (e.g. cosmetic or insect-repellent claims) on their label, it has been a long-standing policy of the TGA that if a sunscreen makes therapeutic claims other than indications related to sun protection, then the sunscreen is required to be registered on the Register and undergo a pre-market evaluation for safety, quality and efficacy.</w:t>
      </w:r>
    </w:p>
    <w:p w14:paraId="56FF2E45" w14:textId="77777777" w:rsidR="00C80EFF" w:rsidRPr="00421D34" w:rsidRDefault="00C80EFF" w:rsidP="00C80EFF">
      <w:pPr>
        <w:spacing w:after="0" w:line="240" w:lineRule="auto"/>
        <w:contextualSpacing/>
        <w:rPr>
          <w:rFonts w:eastAsia="Times New Roman"/>
          <w:bCs/>
          <w:kern w:val="0"/>
          <w:sz w:val="22"/>
          <w:szCs w:val="22"/>
          <w:lang w:eastAsia="en-AU"/>
          <w14:ligatures w14:val="none"/>
        </w:rPr>
      </w:pPr>
    </w:p>
    <w:p w14:paraId="169F010F" w14:textId="77777777" w:rsidR="00C80EFF" w:rsidRPr="00421D34" w:rsidRDefault="00C80EFF" w:rsidP="00C80EFF">
      <w:pPr>
        <w:spacing w:after="0" w:line="240" w:lineRule="auto"/>
        <w:contextualSpacing/>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A requirement in column 4 of table 12 in Schedule 1 to the former Determination stating that sunscreen-specific indications are ‘for use in sunscreen products only’ or ‘can only be used for sunscreen products (with certain SPF ratings)’ clearly provided that sunscreen-specific indications cannot be used for non-sunscreen products. However, the former Determination did not explicitly indicate that sunscreen products cannot use other indications that are not sunscreen-specific. The Determination clarifies this in new subsection 6(3).</w:t>
      </w:r>
    </w:p>
    <w:p w14:paraId="6CF856D1" w14:textId="77777777" w:rsidR="00C80EFF" w:rsidRPr="00421D34" w:rsidRDefault="00C80EFF" w:rsidP="00C80EFF">
      <w:pPr>
        <w:spacing w:after="0" w:line="240" w:lineRule="auto"/>
        <w:contextualSpacing/>
        <w:rPr>
          <w:rFonts w:eastAsia="Times New Roman"/>
          <w:bCs/>
          <w:kern w:val="0"/>
          <w:sz w:val="22"/>
          <w:szCs w:val="22"/>
          <w:lang w:eastAsia="en-AU"/>
          <w14:ligatures w14:val="none"/>
        </w:rPr>
      </w:pPr>
    </w:p>
    <w:p w14:paraId="0E277CE0" w14:textId="77777777" w:rsidR="00C80EFF" w:rsidRPr="00421D34" w:rsidRDefault="00C80EFF" w:rsidP="00C80EFF">
      <w:pPr>
        <w:spacing w:after="0" w:line="240" w:lineRule="auto"/>
        <w:contextualSpacing/>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The reasons that listed sunscreens can only use sunscreen-specific indications, and sunscreens with other therapeutic claims should be assessed by the TGA for safety, quality and efficacy, are as follows:</w:t>
      </w:r>
    </w:p>
    <w:p w14:paraId="1BEE550D" w14:textId="77777777" w:rsidR="00C80EFF" w:rsidRPr="00421D34" w:rsidRDefault="00C80EFF" w:rsidP="00C80EFF">
      <w:pPr>
        <w:spacing w:after="0" w:line="240" w:lineRule="auto"/>
        <w:contextualSpacing/>
        <w:rPr>
          <w:rFonts w:eastAsia="Times New Roman"/>
          <w:bCs/>
          <w:kern w:val="0"/>
          <w:sz w:val="22"/>
          <w:szCs w:val="22"/>
          <w:lang w:eastAsia="en-AU"/>
          <w14:ligatures w14:val="none"/>
        </w:rPr>
      </w:pPr>
    </w:p>
    <w:p w14:paraId="214185A1" w14:textId="77777777" w:rsidR="00C80EFF" w:rsidRPr="00421D34" w:rsidRDefault="00C80EFF" w:rsidP="00C80EFF">
      <w:pPr>
        <w:pStyle w:val="ListParagraph"/>
        <w:numPr>
          <w:ilvl w:val="0"/>
          <w:numId w:val="5"/>
        </w:numPr>
        <w:spacing w:after="0" w:line="240" w:lineRule="auto"/>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Sunscreens are an important health measure in Australia and can refer to prevention of skin cancer, unlike any other listed medicine. Having other non-sunscreen indications (e.g. ‘Reduces symptoms of nappy rash’ or ‘Improves hair growth’) associated with a sunscreen product may dilute the important health message that these products should be used for the prevention of skin cancer.</w:t>
      </w:r>
    </w:p>
    <w:p w14:paraId="69B023EA" w14:textId="615CCAC9" w:rsidR="00C80EFF" w:rsidRPr="00421D34" w:rsidRDefault="00C80EFF" w:rsidP="00C80EFF">
      <w:pPr>
        <w:pStyle w:val="ListParagraph"/>
        <w:numPr>
          <w:ilvl w:val="0"/>
          <w:numId w:val="5"/>
        </w:numPr>
        <w:spacing w:after="0" w:line="240" w:lineRule="auto"/>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It is important that sunscreens are used according to the directions on the label and are applied in a way that makes the sunscreen most effective. Many people may apply sunscreen too sparingly, and not frequently enough, and consequently do not receive the benefits that sunscreens are designed to deliver. Having multiple indications on a sunscreen label may require multiple different directions for use, which may be confusing and lead to inappropriate use of the product for sun protection.</w:t>
      </w:r>
    </w:p>
    <w:p w14:paraId="255EAB37" w14:textId="77777777" w:rsidR="00C80EFF" w:rsidRPr="00421D34" w:rsidRDefault="00C80EFF" w:rsidP="00C80EFF">
      <w:pPr>
        <w:pStyle w:val="ListParagraph"/>
        <w:numPr>
          <w:ilvl w:val="0"/>
          <w:numId w:val="5"/>
        </w:numPr>
        <w:spacing w:after="0" w:line="240" w:lineRule="auto"/>
        <w:rPr>
          <w:rFonts w:eastAsia="Times New Roman"/>
          <w:bCs/>
          <w:kern w:val="0"/>
          <w:sz w:val="22"/>
          <w:szCs w:val="22"/>
          <w:lang w:eastAsia="en-AU"/>
          <w14:ligatures w14:val="none"/>
        </w:rPr>
      </w:pPr>
      <w:r w:rsidRPr="00421D34">
        <w:rPr>
          <w:rFonts w:eastAsia="Times New Roman"/>
          <w:bCs/>
          <w:kern w:val="0"/>
          <w:sz w:val="22"/>
          <w:szCs w:val="22"/>
          <w:lang w:eastAsia="en-AU"/>
          <w14:ligatures w14:val="none"/>
        </w:rPr>
        <w:t>In addition, different directions for use depending on the therapeutic purpose may have safety implications. An example may be a formulation that reduces the occurrence of eczema and is directed for localised topical use on broken skin, which directly conflicts with required label statements for sunscreens whereby they should not be applied to broken skin.</w:t>
      </w:r>
    </w:p>
    <w:p w14:paraId="3BDB2357" w14:textId="3FDC6ECA" w:rsidR="00C80EFF" w:rsidRPr="00421D34" w:rsidRDefault="00C80EFF" w:rsidP="00C80EFF">
      <w:pPr>
        <w:pStyle w:val="ListParagraph"/>
        <w:numPr>
          <w:ilvl w:val="0"/>
          <w:numId w:val="5"/>
        </w:numPr>
        <w:spacing w:after="0" w:line="240" w:lineRule="auto"/>
        <w:rPr>
          <w:rFonts w:eastAsia="Times New Roman"/>
          <w:bCs/>
          <w:kern w:val="0"/>
          <w:sz w:val="22"/>
          <w:szCs w:val="22"/>
          <w:lang w:eastAsia="en-AU"/>
          <w14:ligatures w14:val="none"/>
        </w:rPr>
      </w:pPr>
      <w:r w:rsidRPr="00421D34">
        <w:rPr>
          <w:rFonts w:eastAsia="Times New Roman"/>
          <w:kern w:val="0"/>
          <w:sz w:val="22"/>
          <w:szCs w:val="22"/>
          <w:lang w:eastAsia="en-AU"/>
          <w14:ligatures w14:val="none"/>
        </w:rPr>
        <w:t>S</w:t>
      </w:r>
      <w:r w:rsidRPr="00421D34">
        <w:rPr>
          <w:rFonts w:eastAsia="Times New Roman"/>
          <w:bCs/>
          <w:kern w:val="0"/>
          <w:sz w:val="22"/>
          <w:szCs w:val="22"/>
          <w:lang w:eastAsia="en-AU"/>
          <w14:ligatures w14:val="none"/>
        </w:rPr>
        <w:t xml:space="preserve">unscreen active ingredients in the </w:t>
      </w:r>
      <w:r w:rsidRPr="00421D34">
        <w:rPr>
          <w:rFonts w:eastAsia="Times New Roman"/>
          <w:bCs/>
          <w:i/>
          <w:iCs/>
          <w:kern w:val="0"/>
          <w:sz w:val="22"/>
          <w:szCs w:val="22"/>
          <w:lang w:eastAsia="en-AU"/>
          <w14:ligatures w14:val="none"/>
        </w:rPr>
        <w:t xml:space="preserve">Therapeutic Goods (Permissible Ingredients) Determination (No. 1) 2025 </w:t>
      </w:r>
      <w:r w:rsidRPr="00421D34">
        <w:rPr>
          <w:rFonts w:eastAsia="Times New Roman"/>
          <w:bCs/>
          <w:kern w:val="0"/>
          <w:sz w:val="22"/>
          <w:szCs w:val="22"/>
          <w:lang w:eastAsia="en-AU"/>
          <w14:ligatures w14:val="none"/>
        </w:rPr>
        <w:t>were assessed for safety in the context of use in sunscreens. There may be unintended consequences when these ingredients are used for other purposes and at frequencies and doses different to sunscreen use that have not been considered as part of a safety assessment. For example, sunscreens with UV filters provide protection from exposure to the sun’s radiation. Having indications other than sun protection will potentially lead to people applying UV filters to their skin when there is no risk of sun exposure (e.g. when they are indoors or at night). There may be unintended consequences from increased and unnecessary use of UV filters which have not been assessed for use in that context.</w:t>
      </w:r>
    </w:p>
    <w:p w14:paraId="0E2B4F71" w14:textId="77777777" w:rsidR="004D107E" w:rsidRPr="00421D34" w:rsidRDefault="004D107E" w:rsidP="004D107E">
      <w:pPr>
        <w:autoSpaceDE w:val="0"/>
        <w:autoSpaceDN w:val="0"/>
        <w:adjustRightInd w:val="0"/>
        <w:spacing w:after="0" w:line="240" w:lineRule="auto"/>
        <w:contextualSpacing/>
        <w:rPr>
          <w:rFonts w:eastAsia="Times New Roman"/>
          <w:kern w:val="0"/>
          <w:sz w:val="22"/>
          <w:szCs w:val="22"/>
          <w:lang w:eastAsia="en-AU"/>
          <w14:ligatures w14:val="none"/>
        </w:rPr>
      </w:pPr>
    </w:p>
    <w:p w14:paraId="65F445D3" w14:textId="70423A09" w:rsidR="004D107E" w:rsidRPr="00421D34" w:rsidRDefault="004D107E" w:rsidP="004D107E">
      <w:pPr>
        <w:autoSpaceDE w:val="0"/>
        <w:autoSpaceDN w:val="0"/>
        <w:adjustRightInd w:val="0"/>
        <w:spacing w:after="0" w:line="240" w:lineRule="auto"/>
        <w:contextualSpacing/>
        <w:rPr>
          <w:rFonts w:eastAsia="Times New Roman"/>
          <w:kern w:val="0"/>
          <w:sz w:val="22"/>
          <w:szCs w:val="22"/>
          <w:lang w:eastAsia="en-AU"/>
          <w14:ligatures w14:val="none"/>
        </w:rPr>
      </w:pPr>
      <w:r w:rsidRPr="00421D34">
        <w:rPr>
          <w:rFonts w:eastAsia="Times New Roman"/>
          <w:b/>
          <w:bCs/>
          <w:kern w:val="0"/>
          <w:sz w:val="22"/>
          <w:szCs w:val="22"/>
          <w:lang w:eastAsia="en-AU"/>
          <w14:ligatures w14:val="none"/>
        </w:rPr>
        <w:t>Human rights implications</w:t>
      </w:r>
    </w:p>
    <w:p w14:paraId="5D90E765" w14:textId="77777777" w:rsidR="004D107E" w:rsidRPr="00421D34" w:rsidRDefault="004D107E" w:rsidP="004D107E">
      <w:pPr>
        <w:autoSpaceDE w:val="0"/>
        <w:autoSpaceDN w:val="0"/>
        <w:adjustRightInd w:val="0"/>
        <w:spacing w:after="0" w:line="240" w:lineRule="auto"/>
        <w:contextualSpacing/>
        <w:rPr>
          <w:rFonts w:eastAsia="Times New Roman"/>
          <w:kern w:val="0"/>
          <w:sz w:val="22"/>
          <w:szCs w:val="22"/>
          <w:lang w:eastAsia="en-AU"/>
          <w14:ligatures w14:val="none"/>
        </w:rPr>
      </w:pPr>
    </w:p>
    <w:p w14:paraId="6BD694D0" w14:textId="3545FFC4" w:rsidR="00FE3251" w:rsidRPr="00421D34" w:rsidRDefault="00FE3251" w:rsidP="004D107E">
      <w:pPr>
        <w:autoSpaceDE w:val="0"/>
        <w:autoSpaceDN w:val="0"/>
        <w:adjustRightInd w:val="0"/>
        <w:spacing w:after="0" w:line="240" w:lineRule="auto"/>
        <w:contextualSpacing/>
        <w:rPr>
          <w:rFonts w:eastAsia="Times New Roman"/>
          <w:kern w:val="0"/>
          <w:sz w:val="22"/>
          <w:szCs w:val="22"/>
          <w:lang w:eastAsia="en-AU"/>
          <w14:ligatures w14:val="none"/>
        </w:rPr>
      </w:pPr>
      <w:r w:rsidRPr="00421D34">
        <w:rPr>
          <w:rFonts w:eastAsia="Times New Roman"/>
          <w:kern w:val="0"/>
          <w:sz w:val="22"/>
          <w:szCs w:val="22"/>
          <w:lang w:eastAsia="en-AU"/>
          <w14:ligatures w14:val="none"/>
        </w:rPr>
        <w:t>The Determination engages the right to health in Article 12 of the International Covenant on Economic, Social and Cultural Rights (the ICESCR). Article 12 of the ICESCR promotes the right of all individuals to enjoy the highest attainable standard of physical and mental health, and includes an obligation to take reasonable measures within available resources to progressively secure broader enjoyment of the right.</w:t>
      </w:r>
    </w:p>
    <w:p w14:paraId="104E2510" w14:textId="77777777" w:rsidR="00FE3251" w:rsidRPr="00421D34" w:rsidRDefault="00FE3251" w:rsidP="004D107E">
      <w:pPr>
        <w:autoSpaceDE w:val="0"/>
        <w:autoSpaceDN w:val="0"/>
        <w:adjustRightInd w:val="0"/>
        <w:spacing w:after="0" w:line="240" w:lineRule="auto"/>
        <w:contextualSpacing/>
        <w:rPr>
          <w:rFonts w:eastAsia="Times New Roman"/>
          <w:kern w:val="0"/>
          <w:sz w:val="22"/>
          <w:szCs w:val="22"/>
          <w:lang w:eastAsia="en-AU"/>
          <w14:ligatures w14:val="none"/>
        </w:rPr>
      </w:pPr>
    </w:p>
    <w:p w14:paraId="4518E006" w14:textId="736B9502" w:rsidR="00FE3251" w:rsidRPr="00421D34" w:rsidRDefault="00FE3251" w:rsidP="004D107E">
      <w:pPr>
        <w:autoSpaceDE w:val="0"/>
        <w:autoSpaceDN w:val="0"/>
        <w:adjustRightInd w:val="0"/>
        <w:spacing w:after="0" w:line="240" w:lineRule="auto"/>
        <w:contextualSpacing/>
        <w:rPr>
          <w:rFonts w:eastAsia="Times New Roman"/>
          <w:kern w:val="0"/>
          <w:sz w:val="22"/>
          <w:szCs w:val="22"/>
          <w:lang w:eastAsia="en-AU"/>
          <w14:ligatures w14:val="none"/>
        </w:rPr>
      </w:pPr>
      <w:r w:rsidRPr="00421D34">
        <w:rPr>
          <w:rFonts w:eastAsia="Times New Roman"/>
          <w:kern w:val="0"/>
          <w:sz w:val="22"/>
          <w:szCs w:val="22"/>
          <w:lang w:eastAsia="en-AU"/>
          <w14:ligatures w14:val="none"/>
        </w:rPr>
        <w:t xml:space="preserve">In </w:t>
      </w:r>
      <w:r w:rsidRPr="00421D34">
        <w:rPr>
          <w:rFonts w:eastAsia="Times New Roman"/>
          <w:i/>
          <w:iCs/>
          <w:kern w:val="0"/>
          <w:sz w:val="22"/>
          <w:szCs w:val="22"/>
          <w:lang w:eastAsia="en-AU"/>
          <w14:ligatures w14:val="none"/>
        </w:rPr>
        <w:t>General Comment No. 14</w:t>
      </w:r>
      <w:r w:rsidR="007A41F1" w:rsidRPr="00421D34">
        <w:rPr>
          <w:rFonts w:eastAsia="Times New Roman"/>
          <w:i/>
          <w:iCs/>
          <w:kern w:val="0"/>
          <w:sz w:val="22"/>
          <w:szCs w:val="22"/>
          <w:lang w:eastAsia="en-AU"/>
          <w14:ligatures w14:val="none"/>
        </w:rPr>
        <w:t>: The Right to the Highest Attainable Standard of Health</w:t>
      </w:r>
      <w:r w:rsidR="007A41F1" w:rsidRPr="00421D34">
        <w:rPr>
          <w:rFonts w:eastAsia="Times New Roman"/>
          <w:kern w:val="0"/>
          <w:sz w:val="22"/>
          <w:szCs w:val="22"/>
          <w:lang w:eastAsia="en-AU"/>
          <w14:ligatures w14:val="none"/>
        </w:rPr>
        <w:t xml:space="preserve"> (Art. 12) (2000), the United Nations Committee on Economic, Social and</w:t>
      </w:r>
      <w:r w:rsidR="00171F1D" w:rsidRPr="00421D34">
        <w:rPr>
          <w:rFonts w:eastAsia="Times New Roman"/>
          <w:kern w:val="0"/>
          <w:sz w:val="22"/>
          <w:szCs w:val="22"/>
          <w:lang w:eastAsia="en-AU"/>
          <w14:ligatures w14:val="none"/>
        </w:rPr>
        <w:t xml:space="preserve"> Cultural Rights states that health is a ‘fundamental human right indispensable for the exercise of other </w:t>
      </w:r>
      <w:r w:rsidR="00E86992" w:rsidRPr="00421D34">
        <w:rPr>
          <w:rFonts w:eastAsia="Times New Roman"/>
          <w:kern w:val="0"/>
          <w:sz w:val="22"/>
          <w:szCs w:val="22"/>
          <w:lang w:eastAsia="en-AU"/>
          <w14:ligatures w14:val="none"/>
        </w:rPr>
        <w:t xml:space="preserve">human rights’, and that the right to </w:t>
      </w:r>
      <w:r w:rsidR="00E86992" w:rsidRPr="00421D34">
        <w:rPr>
          <w:rFonts w:eastAsia="Times New Roman"/>
          <w:kern w:val="0"/>
          <w:sz w:val="22"/>
          <w:szCs w:val="22"/>
          <w:lang w:eastAsia="en-AU"/>
          <w14:ligatures w14:val="none"/>
        </w:rPr>
        <w:lastRenderedPageBreak/>
        <w:t>health is not to be understood as the right to be healthy, but includes the right to a system of health protection which provides equal opportunity for people to enjoy the highest attainable level of health.</w:t>
      </w:r>
    </w:p>
    <w:p w14:paraId="581A706F" w14:textId="77777777" w:rsidR="000A43C6" w:rsidRPr="00421D34" w:rsidRDefault="000A43C6" w:rsidP="004D107E">
      <w:pPr>
        <w:autoSpaceDE w:val="0"/>
        <w:autoSpaceDN w:val="0"/>
        <w:adjustRightInd w:val="0"/>
        <w:spacing w:after="0" w:line="240" w:lineRule="auto"/>
        <w:contextualSpacing/>
        <w:rPr>
          <w:rFonts w:eastAsia="Times New Roman"/>
          <w:kern w:val="0"/>
          <w:sz w:val="22"/>
          <w:szCs w:val="22"/>
          <w:lang w:eastAsia="en-AU"/>
          <w14:ligatures w14:val="none"/>
        </w:rPr>
      </w:pPr>
    </w:p>
    <w:p w14:paraId="19E7934C" w14:textId="482C1020" w:rsidR="000A43C6" w:rsidRPr="00421D34" w:rsidRDefault="000A43C6" w:rsidP="004D107E">
      <w:pPr>
        <w:autoSpaceDE w:val="0"/>
        <w:autoSpaceDN w:val="0"/>
        <w:adjustRightInd w:val="0"/>
        <w:spacing w:after="0" w:line="240" w:lineRule="auto"/>
        <w:contextualSpacing/>
        <w:rPr>
          <w:rFonts w:eastAsia="Times New Roman"/>
          <w:kern w:val="0"/>
          <w:sz w:val="22"/>
          <w:szCs w:val="22"/>
          <w:lang w:eastAsia="en-AU"/>
          <w14:ligatures w14:val="none"/>
        </w:rPr>
      </w:pPr>
      <w:r w:rsidRPr="00421D34">
        <w:rPr>
          <w:rFonts w:eastAsia="Times New Roman"/>
          <w:kern w:val="0"/>
          <w:sz w:val="22"/>
          <w:szCs w:val="22"/>
          <w:lang w:eastAsia="en-AU"/>
          <w14:ligatures w14:val="none"/>
        </w:rPr>
        <w:t xml:space="preserve">Specifying permissible indications that are considered to be safe for use in relation to listed medicines, together </w:t>
      </w:r>
      <w:r w:rsidR="000769F3">
        <w:rPr>
          <w:rFonts w:eastAsia="Times New Roman"/>
          <w:kern w:val="0"/>
          <w:sz w:val="22"/>
          <w:szCs w:val="22"/>
          <w:lang w:eastAsia="en-AU"/>
          <w14:ligatures w14:val="none"/>
        </w:rPr>
        <w:t>with</w:t>
      </w:r>
      <w:r w:rsidRPr="00421D34">
        <w:rPr>
          <w:rFonts w:eastAsia="Times New Roman"/>
          <w:kern w:val="0"/>
          <w:sz w:val="22"/>
          <w:szCs w:val="22"/>
          <w:lang w:eastAsia="en-AU"/>
          <w14:ligatures w14:val="none"/>
        </w:rPr>
        <w:t xml:space="preserve"> important requirements relating to the use of those indications for such medicines, will enable Australian consumers to be better protected from the making of inappropriate claims about the benefits of listed medicines and also more aware of important safety information relating to the use of such products. Consumers will also be better able to make more informed decisions about such medicines as a result of these measures.</w:t>
      </w:r>
    </w:p>
    <w:p w14:paraId="143FA544" w14:textId="77777777" w:rsidR="000A43C6" w:rsidRPr="00421D34" w:rsidRDefault="000A43C6" w:rsidP="004D107E">
      <w:pPr>
        <w:autoSpaceDE w:val="0"/>
        <w:autoSpaceDN w:val="0"/>
        <w:adjustRightInd w:val="0"/>
        <w:spacing w:after="0" w:line="240" w:lineRule="auto"/>
        <w:contextualSpacing/>
        <w:rPr>
          <w:rFonts w:eastAsia="Times New Roman"/>
          <w:kern w:val="0"/>
          <w:sz w:val="22"/>
          <w:szCs w:val="22"/>
          <w:lang w:eastAsia="en-AU"/>
          <w14:ligatures w14:val="none"/>
        </w:rPr>
      </w:pPr>
    </w:p>
    <w:p w14:paraId="4F61CC56" w14:textId="15D0708B" w:rsidR="00646A28" w:rsidRPr="00421D34" w:rsidRDefault="000A43C6" w:rsidP="004D107E">
      <w:pPr>
        <w:autoSpaceDE w:val="0"/>
        <w:autoSpaceDN w:val="0"/>
        <w:adjustRightInd w:val="0"/>
        <w:spacing w:after="0" w:line="240" w:lineRule="auto"/>
        <w:contextualSpacing/>
        <w:rPr>
          <w:rFonts w:eastAsia="Times New Roman"/>
          <w:kern w:val="0"/>
          <w:sz w:val="22"/>
          <w:szCs w:val="22"/>
          <w:lang w:eastAsia="en-AU"/>
          <w14:ligatures w14:val="none"/>
        </w:rPr>
      </w:pPr>
      <w:r w:rsidRPr="00421D34">
        <w:rPr>
          <w:rFonts w:eastAsia="Times New Roman"/>
          <w:kern w:val="0"/>
          <w:sz w:val="22"/>
          <w:szCs w:val="22"/>
          <w:lang w:eastAsia="en-AU"/>
          <w14:ligatures w14:val="none"/>
        </w:rPr>
        <w:t xml:space="preserve">Additionally, introducing a requirement that </w:t>
      </w:r>
      <w:r w:rsidR="00646A28" w:rsidRPr="00421D34">
        <w:rPr>
          <w:rFonts w:eastAsia="Times New Roman"/>
          <w:kern w:val="0"/>
          <w:sz w:val="22"/>
          <w:szCs w:val="22"/>
          <w:lang w:eastAsia="en-AU"/>
          <w14:ligatures w14:val="none"/>
        </w:rPr>
        <w:t>the</w:t>
      </w:r>
      <w:r w:rsidRPr="00421D34">
        <w:rPr>
          <w:rFonts w:eastAsia="Times New Roman"/>
          <w:kern w:val="0"/>
          <w:sz w:val="22"/>
          <w:szCs w:val="22"/>
          <w:lang w:eastAsia="en-AU"/>
          <w14:ligatures w14:val="none"/>
        </w:rPr>
        <w:t xml:space="preserve"> only </w:t>
      </w:r>
      <w:r w:rsidR="00646A28" w:rsidRPr="00421D34">
        <w:rPr>
          <w:rFonts w:eastAsia="Times New Roman"/>
          <w:kern w:val="0"/>
          <w:sz w:val="22"/>
          <w:szCs w:val="22"/>
          <w:lang w:eastAsia="en-AU"/>
          <w14:ligatures w14:val="none"/>
        </w:rPr>
        <w:t>indications that may be used in relation to</w:t>
      </w:r>
      <w:r w:rsidRPr="00421D34">
        <w:rPr>
          <w:rFonts w:eastAsia="Times New Roman"/>
          <w:kern w:val="0"/>
          <w:sz w:val="22"/>
          <w:szCs w:val="22"/>
          <w:lang w:eastAsia="en-AU"/>
          <w14:ligatures w14:val="none"/>
        </w:rPr>
        <w:t xml:space="preserve"> listed sunscreen products</w:t>
      </w:r>
      <w:r w:rsidR="00646A28" w:rsidRPr="00421D34">
        <w:rPr>
          <w:rFonts w:eastAsia="Times New Roman"/>
          <w:kern w:val="0"/>
          <w:sz w:val="22"/>
          <w:szCs w:val="22"/>
          <w:lang w:eastAsia="en-AU"/>
          <w14:ligatures w14:val="none"/>
        </w:rPr>
        <w:t xml:space="preserve"> </w:t>
      </w:r>
      <w:r w:rsidRPr="00421D34">
        <w:rPr>
          <w:rFonts w:eastAsia="Times New Roman"/>
          <w:kern w:val="0"/>
          <w:sz w:val="22"/>
          <w:szCs w:val="22"/>
          <w:lang w:eastAsia="en-AU"/>
          <w14:ligatures w14:val="none"/>
        </w:rPr>
        <w:t>are</w:t>
      </w:r>
      <w:r w:rsidR="00646A28" w:rsidRPr="00421D34">
        <w:rPr>
          <w:rFonts w:eastAsia="Times New Roman"/>
          <w:kern w:val="0"/>
          <w:sz w:val="22"/>
          <w:szCs w:val="22"/>
          <w:lang w:eastAsia="en-AU"/>
          <w14:ligatures w14:val="none"/>
        </w:rPr>
        <w:t xml:space="preserve"> </w:t>
      </w:r>
      <w:r w:rsidRPr="00421D34">
        <w:rPr>
          <w:rFonts w:eastAsia="Times New Roman"/>
          <w:kern w:val="0"/>
          <w:sz w:val="22"/>
          <w:szCs w:val="22"/>
          <w:lang w:eastAsia="en-AU"/>
          <w14:ligatures w14:val="none"/>
        </w:rPr>
        <w:t xml:space="preserve">those </w:t>
      </w:r>
      <w:r w:rsidR="00646A28" w:rsidRPr="00421D34">
        <w:rPr>
          <w:rFonts w:eastAsia="Times New Roman"/>
          <w:kern w:val="0"/>
          <w:sz w:val="22"/>
          <w:szCs w:val="22"/>
          <w:lang w:eastAsia="en-AU"/>
          <w14:ligatures w14:val="none"/>
        </w:rPr>
        <w:t>indications that relate to sun protection</w:t>
      </w:r>
      <w:r w:rsidRPr="00421D34">
        <w:rPr>
          <w:rFonts w:eastAsia="Times New Roman"/>
          <w:kern w:val="0"/>
          <w:sz w:val="22"/>
          <w:szCs w:val="22"/>
          <w:lang w:eastAsia="en-AU"/>
          <w14:ligatures w14:val="none"/>
        </w:rPr>
        <w:t>,</w:t>
      </w:r>
      <w:r w:rsidR="00646A28" w:rsidRPr="00421D34">
        <w:rPr>
          <w:rFonts w:eastAsia="Times New Roman"/>
          <w:kern w:val="0"/>
          <w:sz w:val="22"/>
          <w:szCs w:val="22"/>
          <w:lang w:eastAsia="en-AU"/>
          <w14:ligatures w14:val="none"/>
        </w:rPr>
        <w:t xml:space="preserve"> ensures that consumers clearly receiv</w:t>
      </w:r>
      <w:r w:rsidRPr="00421D34">
        <w:rPr>
          <w:rFonts w:eastAsia="Times New Roman"/>
          <w:kern w:val="0"/>
          <w:sz w:val="22"/>
          <w:szCs w:val="22"/>
          <w:lang w:eastAsia="en-AU"/>
          <w14:ligatures w14:val="none"/>
        </w:rPr>
        <w:t>e</w:t>
      </w:r>
      <w:r w:rsidR="00646A28" w:rsidRPr="00421D34">
        <w:rPr>
          <w:rFonts w:eastAsia="Times New Roman"/>
          <w:kern w:val="0"/>
          <w:sz w:val="22"/>
          <w:szCs w:val="22"/>
          <w:lang w:eastAsia="en-AU"/>
          <w14:ligatures w14:val="none"/>
        </w:rPr>
        <w:t xml:space="preserve"> important health messaging about the use of </w:t>
      </w:r>
      <w:r w:rsidRPr="00421D34">
        <w:rPr>
          <w:rFonts w:eastAsia="Times New Roman"/>
          <w:kern w:val="0"/>
          <w:sz w:val="22"/>
          <w:szCs w:val="22"/>
          <w:lang w:eastAsia="en-AU"/>
          <w14:ligatures w14:val="none"/>
        </w:rPr>
        <w:t>such</w:t>
      </w:r>
      <w:r w:rsidR="00646A28" w:rsidRPr="00421D34">
        <w:rPr>
          <w:rFonts w:eastAsia="Times New Roman"/>
          <w:kern w:val="0"/>
          <w:sz w:val="22"/>
          <w:szCs w:val="22"/>
          <w:lang w:eastAsia="en-AU"/>
          <w14:ligatures w14:val="none"/>
        </w:rPr>
        <w:t xml:space="preserve"> products for the prevention of skin cancer. Further, it minimises risks of consumer confusion about the appropriate way to use the product for sun protection.</w:t>
      </w:r>
    </w:p>
    <w:p w14:paraId="06373EED" w14:textId="77777777" w:rsidR="00FE3251" w:rsidRPr="00421D34" w:rsidRDefault="00FE3251" w:rsidP="004D107E">
      <w:pPr>
        <w:autoSpaceDE w:val="0"/>
        <w:autoSpaceDN w:val="0"/>
        <w:adjustRightInd w:val="0"/>
        <w:spacing w:after="0" w:line="240" w:lineRule="auto"/>
        <w:contextualSpacing/>
        <w:rPr>
          <w:rFonts w:eastAsia="Times New Roman"/>
          <w:kern w:val="0"/>
          <w:sz w:val="22"/>
          <w:szCs w:val="22"/>
          <w:lang w:eastAsia="en-AU"/>
          <w14:ligatures w14:val="none"/>
        </w:rPr>
      </w:pPr>
    </w:p>
    <w:p w14:paraId="68122669" w14:textId="7CA80C56" w:rsidR="004D107E" w:rsidRPr="00421D34" w:rsidRDefault="004D107E" w:rsidP="004D107E">
      <w:pPr>
        <w:autoSpaceDE w:val="0"/>
        <w:autoSpaceDN w:val="0"/>
        <w:adjustRightInd w:val="0"/>
        <w:spacing w:after="0" w:line="240" w:lineRule="auto"/>
        <w:contextualSpacing/>
        <w:rPr>
          <w:rFonts w:eastAsia="Times New Roman"/>
          <w:kern w:val="0"/>
          <w:sz w:val="22"/>
          <w:szCs w:val="22"/>
          <w:lang w:eastAsia="en-AU"/>
          <w14:ligatures w14:val="none"/>
        </w:rPr>
      </w:pPr>
      <w:r w:rsidRPr="00421D34">
        <w:rPr>
          <w:rFonts w:eastAsia="Times New Roman"/>
          <w:b/>
          <w:bCs/>
          <w:kern w:val="0"/>
          <w:sz w:val="22"/>
          <w:szCs w:val="22"/>
          <w:lang w:eastAsia="en-AU"/>
          <w14:ligatures w14:val="none"/>
        </w:rPr>
        <w:t>Conclusion</w:t>
      </w:r>
    </w:p>
    <w:p w14:paraId="2E0AE0EC" w14:textId="77777777" w:rsidR="004D107E" w:rsidRPr="00421D34" w:rsidRDefault="004D107E" w:rsidP="004D107E">
      <w:pPr>
        <w:autoSpaceDE w:val="0"/>
        <w:autoSpaceDN w:val="0"/>
        <w:adjustRightInd w:val="0"/>
        <w:spacing w:after="0" w:line="240" w:lineRule="auto"/>
        <w:contextualSpacing/>
        <w:rPr>
          <w:rFonts w:eastAsia="Times New Roman"/>
          <w:kern w:val="0"/>
          <w:sz w:val="22"/>
          <w:szCs w:val="22"/>
          <w:lang w:eastAsia="en-AU"/>
          <w14:ligatures w14:val="none"/>
        </w:rPr>
      </w:pPr>
    </w:p>
    <w:p w14:paraId="722ACF07" w14:textId="049529AE" w:rsidR="004D107E" w:rsidRPr="004D107E" w:rsidRDefault="00C81277" w:rsidP="004D107E">
      <w:pPr>
        <w:autoSpaceDE w:val="0"/>
        <w:autoSpaceDN w:val="0"/>
        <w:adjustRightInd w:val="0"/>
        <w:spacing w:after="0" w:line="240" w:lineRule="auto"/>
        <w:contextualSpacing/>
        <w:rPr>
          <w:rFonts w:eastAsia="Times New Roman"/>
          <w:kern w:val="0"/>
          <w:sz w:val="22"/>
          <w:szCs w:val="22"/>
          <w:lang w:eastAsia="en-AU"/>
          <w14:ligatures w14:val="none"/>
        </w:rPr>
      </w:pPr>
      <w:r w:rsidRPr="00421D34">
        <w:rPr>
          <w:rFonts w:eastAsia="Times New Roman"/>
          <w:kern w:val="0"/>
          <w:sz w:val="22"/>
          <w:szCs w:val="22"/>
          <w:lang w:eastAsia="en-AU"/>
          <w14:ligatures w14:val="none"/>
        </w:rPr>
        <w:t>The Determination is compatible with human rights because it promotes the right to health in Art</w:t>
      </w:r>
      <w:r w:rsidR="00DD6D53" w:rsidRPr="00421D34">
        <w:rPr>
          <w:rFonts w:eastAsia="Times New Roman"/>
          <w:kern w:val="0"/>
          <w:sz w:val="22"/>
          <w:szCs w:val="22"/>
          <w:lang w:eastAsia="en-AU"/>
          <w14:ligatures w14:val="none"/>
        </w:rPr>
        <w:t>icle</w:t>
      </w:r>
      <w:r w:rsidR="00C87B79" w:rsidRPr="00421D34">
        <w:rPr>
          <w:rFonts w:eastAsia="Times New Roman"/>
          <w:kern w:val="0"/>
          <w:sz w:val="22"/>
          <w:szCs w:val="22"/>
          <w:lang w:eastAsia="en-AU"/>
          <w14:ligatures w14:val="none"/>
        </w:rPr>
        <w:t> </w:t>
      </w:r>
      <w:r w:rsidR="00DD6D53" w:rsidRPr="00421D34">
        <w:rPr>
          <w:rFonts w:eastAsia="Times New Roman"/>
          <w:kern w:val="0"/>
          <w:sz w:val="22"/>
          <w:szCs w:val="22"/>
          <w:lang w:eastAsia="en-AU"/>
          <w14:ligatures w14:val="none"/>
        </w:rPr>
        <w:t>12 of the ICESCR as outlined above, and otherwise does not raise any human rights issues.</w:t>
      </w:r>
    </w:p>
    <w:sectPr w:rsidR="004D107E" w:rsidRPr="004D107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1E082" w14:textId="77777777" w:rsidR="00853194" w:rsidRDefault="00853194" w:rsidP="0010650A">
      <w:pPr>
        <w:spacing w:after="0" w:line="240" w:lineRule="auto"/>
      </w:pPr>
      <w:r>
        <w:separator/>
      </w:r>
    </w:p>
  </w:endnote>
  <w:endnote w:type="continuationSeparator" w:id="0">
    <w:p w14:paraId="7AAB909A" w14:textId="77777777" w:rsidR="00853194" w:rsidRDefault="00853194" w:rsidP="00106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4051462"/>
      <w:docPartObj>
        <w:docPartGallery w:val="Page Numbers (Bottom of Page)"/>
        <w:docPartUnique/>
      </w:docPartObj>
    </w:sdtPr>
    <w:sdtEndPr>
      <w:rPr>
        <w:noProof/>
      </w:rPr>
    </w:sdtEndPr>
    <w:sdtContent>
      <w:p w14:paraId="3406F0ED" w14:textId="3346F572" w:rsidR="0010650A" w:rsidRDefault="001065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BA5404" w14:textId="77777777" w:rsidR="0010650A" w:rsidRDefault="00106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E3A57" w14:textId="77777777" w:rsidR="00853194" w:rsidRDefault="00853194" w:rsidP="0010650A">
      <w:pPr>
        <w:spacing w:after="0" w:line="240" w:lineRule="auto"/>
      </w:pPr>
      <w:r>
        <w:separator/>
      </w:r>
    </w:p>
  </w:footnote>
  <w:footnote w:type="continuationSeparator" w:id="0">
    <w:p w14:paraId="2CE5A088" w14:textId="77777777" w:rsidR="00853194" w:rsidRDefault="00853194" w:rsidP="001065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40022"/>
    <w:multiLevelType w:val="hybridMultilevel"/>
    <w:tmpl w:val="7D00C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1B6A35"/>
    <w:multiLevelType w:val="hybridMultilevel"/>
    <w:tmpl w:val="7E783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AAD1C58"/>
    <w:multiLevelType w:val="hybridMultilevel"/>
    <w:tmpl w:val="3B5A3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A655F5"/>
    <w:multiLevelType w:val="hybridMultilevel"/>
    <w:tmpl w:val="D61CA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D687D66"/>
    <w:multiLevelType w:val="hybridMultilevel"/>
    <w:tmpl w:val="FBB86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FDC6730"/>
    <w:multiLevelType w:val="hybridMultilevel"/>
    <w:tmpl w:val="C1F8B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5918839">
    <w:abstractNumId w:val="5"/>
  </w:num>
  <w:num w:numId="2" w16cid:durableId="92360687">
    <w:abstractNumId w:val="2"/>
  </w:num>
  <w:num w:numId="3" w16cid:durableId="1104686698">
    <w:abstractNumId w:val="3"/>
  </w:num>
  <w:num w:numId="4" w16cid:durableId="1011950137">
    <w:abstractNumId w:val="1"/>
  </w:num>
  <w:num w:numId="5" w16cid:durableId="1985159092">
    <w:abstractNumId w:val="4"/>
  </w:num>
  <w:num w:numId="6" w16cid:durableId="1323004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07E"/>
    <w:rsid w:val="00001421"/>
    <w:rsid w:val="00003F72"/>
    <w:rsid w:val="0000699A"/>
    <w:rsid w:val="00013524"/>
    <w:rsid w:val="000550D8"/>
    <w:rsid w:val="00066600"/>
    <w:rsid w:val="00071F30"/>
    <w:rsid w:val="000769F3"/>
    <w:rsid w:val="000A3CB2"/>
    <w:rsid w:val="000A43C6"/>
    <w:rsid w:val="000A6CA9"/>
    <w:rsid w:val="000B23C6"/>
    <w:rsid w:val="000C3C52"/>
    <w:rsid w:val="000F2727"/>
    <w:rsid w:val="001051DF"/>
    <w:rsid w:val="001061D0"/>
    <w:rsid w:val="0010650A"/>
    <w:rsid w:val="00122A5E"/>
    <w:rsid w:val="00131533"/>
    <w:rsid w:val="0014095A"/>
    <w:rsid w:val="0014456B"/>
    <w:rsid w:val="00145C77"/>
    <w:rsid w:val="001530EF"/>
    <w:rsid w:val="001627E3"/>
    <w:rsid w:val="00163542"/>
    <w:rsid w:val="00171145"/>
    <w:rsid w:val="00171F1D"/>
    <w:rsid w:val="001829DA"/>
    <w:rsid w:val="00183CAD"/>
    <w:rsid w:val="00192D59"/>
    <w:rsid w:val="001A0A2E"/>
    <w:rsid w:val="001A20AA"/>
    <w:rsid w:val="001A70A8"/>
    <w:rsid w:val="001B7A59"/>
    <w:rsid w:val="001D2832"/>
    <w:rsid w:val="001D5263"/>
    <w:rsid w:val="002004C0"/>
    <w:rsid w:val="00204615"/>
    <w:rsid w:val="00204DF4"/>
    <w:rsid w:val="00210A96"/>
    <w:rsid w:val="00211020"/>
    <w:rsid w:val="00230238"/>
    <w:rsid w:val="00230FBE"/>
    <w:rsid w:val="00251B24"/>
    <w:rsid w:val="00254215"/>
    <w:rsid w:val="0026315E"/>
    <w:rsid w:val="00280050"/>
    <w:rsid w:val="00292FFB"/>
    <w:rsid w:val="00293429"/>
    <w:rsid w:val="002951D9"/>
    <w:rsid w:val="00295D99"/>
    <w:rsid w:val="002B0D70"/>
    <w:rsid w:val="002B1EDD"/>
    <w:rsid w:val="002C0AED"/>
    <w:rsid w:val="002D59FB"/>
    <w:rsid w:val="002F7148"/>
    <w:rsid w:val="00301F29"/>
    <w:rsid w:val="003146F4"/>
    <w:rsid w:val="00326291"/>
    <w:rsid w:val="00336CB8"/>
    <w:rsid w:val="0033770E"/>
    <w:rsid w:val="00340A97"/>
    <w:rsid w:val="00361A8B"/>
    <w:rsid w:val="00361B3E"/>
    <w:rsid w:val="00365474"/>
    <w:rsid w:val="003656FC"/>
    <w:rsid w:val="00370EB4"/>
    <w:rsid w:val="003914EE"/>
    <w:rsid w:val="0039514D"/>
    <w:rsid w:val="003A31F8"/>
    <w:rsid w:val="003A60AC"/>
    <w:rsid w:val="003B22F0"/>
    <w:rsid w:val="003B2407"/>
    <w:rsid w:val="003B3F11"/>
    <w:rsid w:val="003B4073"/>
    <w:rsid w:val="003C61AF"/>
    <w:rsid w:val="003E4E27"/>
    <w:rsid w:val="003F5D3F"/>
    <w:rsid w:val="00402353"/>
    <w:rsid w:val="00404FEF"/>
    <w:rsid w:val="0041629C"/>
    <w:rsid w:val="004207AD"/>
    <w:rsid w:val="00421D34"/>
    <w:rsid w:val="004261CD"/>
    <w:rsid w:val="00426BEC"/>
    <w:rsid w:val="004276C7"/>
    <w:rsid w:val="00463130"/>
    <w:rsid w:val="00475EAE"/>
    <w:rsid w:val="00482599"/>
    <w:rsid w:val="00497678"/>
    <w:rsid w:val="004C12EB"/>
    <w:rsid w:val="004C7113"/>
    <w:rsid w:val="004D107E"/>
    <w:rsid w:val="004E2EAD"/>
    <w:rsid w:val="004F52AF"/>
    <w:rsid w:val="004F6F0C"/>
    <w:rsid w:val="00504DB9"/>
    <w:rsid w:val="005101F0"/>
    <w:rsid w:val="005128E0"/>
    <w:rsid w:val="00517A73"/>
    <w:rsid w:val="00521FF6"/>
    <w:rsid w:val="00532BB3"/>
    <w:rsid w:val="005364A6"/>
    <w:rsid w:val="00561052"/>
    <w:rsid w:val="00563CAF"/>
    <w:rsid w:val="005700B1"/>
    <w:rsid w:val="00581146"/>
    <w:rsid w:val="00586A0A"/>
    <w:rsid w:val="005A2B8B"/>
    <w:rsid w:val="005A3291"/>
    <w:rsid w:val="005C33D2"/>
    <w:rsid w:val="005C3F7E"/>
    <w:rsid w:val="005C5F8A"/>
    <w:rsid w:val="005C6F59"/>
    <w:rsid w:val="005D44B5"/>
    <w:rsid w:val="005E562A"/>
    <w:rsid w:val="005F1F6A"/>
    <w:rsid w:val="005F3DDF"/>
    <w:rsid w:val="005F6012"/>
    <w:rsid w:val="006105A9"/>
    <w:rsid w:val="00610E9A"/>
    <w:rsid w:val="00623663"/>
    <w:rsid w:val="0062633C"/>
    <w:rsid w:val="00632CE0"/>
    <w:rsid w:val="00642405"/>
    <w:rsid w:val="00646A28"/>
    <w:rsid w:val="00665198"/>
    <w:rsid w:val="006962F2"/>
    <w:rsid w:val="006A1CD1"/>
    <w:rsid w:val="006B00A1"/>
    <w:rsid w:val="006B74A9"/>
    <w:rsid w:val="006D1AA0"/>
    <w:rsid w:val="006D7F6C"/>
    <w:rsid w:val="006E28BC"/>
    <w:rsid w:val="006F0063"/>
    <w:rsid w:val="006F7E50"/>
    <w:rsid w:val="007017F3"/>
    <w:rsid w:val="007068A1"/>
    <w:rsid w:val="00720145"/>
    <w:rsid w:val="00727039"/>
    <w:rsid w:val="00733AD0"/>
    <w:rsid w:val="00742F3B"/>
    <w:rsid w:val="00744BDE"/>
    <w:rsid w:val="0074528C"/>
    <w:rsid w:val="00747996"/>
    <w:rsid w:val="007549DD"/>
    <w:rsid w:val="00760AD0"/>
    <w:rsid w:val="007720C7"/>
    <w:rsid w:val="00777C11"/>
    <w:rsid w:val="007A41F1"/>
    <w:rsid w:val="007A4898"/>
    <w:rsid w:val="007B193C"/>
    <w:rsid w:val="007C471A"/>
    <w:rsid w:val="007E2EA2"/>
    <w:rsid w:val="007E5D46"/>
    <w:rsid w:val="007F2BD1"/>
    <w:rsid w:val="007F2CBB"/>
    <w:rsid w:val="007F7C7B"/>
    <w:rsid w:val="00824AE9"/>
    <w:rsid w:val="008430A4"/>
    <w:rsid w:val="00853194"/>
    <w:rsid w:val="008560E1"/>
    <w:rsid w:val="00856B03"/>
    <w:rsid w:val="00861D76"/>
    <w:rsid w:val="00862DB4"/>
    <w:rsid w:val="00870FC1"/>
    <w:rsid w:val="00873E83"/>
    <w:rsid w:val="008800BA"/>
    <w:rsid w:val="008B4589"/>
    <w:rsid w:val="008C07B8"/>
    <w:rsid w:val="008D18EF"/>
    <w:rsid w:val="008E6A4D"/>
    <w:rsid w:val="008F07CA"/>
    <w:rsid w:val="008F0A0F"/>
    <w:rsid w:val="008F434D"/>
    <w:rsid w:val="00907194"/>
    <w:rsid w:val="009075B0"/>
    <w:rsid w:val="009077DB"/>
    <w:rsid w:val="00912282"/>
    <w:rsid w:val="00925B60"/>
    <w:rsid w:val="00927C6F"/>
    <w:rsid w:val="00943576"/>
    <w:rsid w:val="009445E4"/>
    <w:rsid w:val="00944BF6"/>
    <w:rsid w:val="00952491"/>
    <w:rsid w:val="00954064"/>
    <w:rsid w:val="00961DEA"/>
    <w:rsid w:val="00961F0E"/>
    <w:rsid w:val="00964A1F"/>
    <w:rsid w:val="00981115"/>
    <w:rsid w:val="00995D20"/>
    <w:rsid w:val="009A0952"/>
    <w:rsid w:val="009A681D"/>
    <w:rsid w:val="009B06B2"/>
    <w:rsid w:val="009B558A"/>
    <w:rsid w:val="009D05A1"/>
    <w:rsid w:val="009D4FA2"/>
    <w:rsid w:val="009E0034"/>
    <w:rsid w:val="009F3DE9"/>
    <w:rsid w:val="009F4B9A"/>
    <w:rsid w:val="00A00C1B"/>
    <w:rsid w:val="00A0110D"/>
    <w:rsid w:val="00A14219"/>
    <w:rsid w:val="00A1429C"/>
    <w:rsid w:val="00A3216D"/>
    <w:rsid w:val="00A37045"/>
    <w:rsid w:val="00A370A6"/>
    <w:rsid w:val="00A43CA6"/>
    <w:rsid w:val="00A467E6"/>
    <w:rsid w:val="00A51352"/>
    <w:rsid w:val="00A951B9"/>
    <w:rsid w:val="00A9620E"/>
    <w:rsid w:val="00AB78CE"/>
    <w:rsid w:val="00AC3B72"/>
    <w:rsid w:val="00AC5651"/>
    <w:rsid w:val="00AD178F"/>
    <w:rsid w:val="00AE7962"/>
    <w:rsid w:val="00B02069"/>
    <w:rsid w:val="00B03B27"/>
    <w:rsid w:val="00B05BE2"/>
    <w:rsid w:val="00B331B1"/>
    <w:rsid w:val="00B33F0A"/>
    <w:rsid w:val="00B35DE9"/>
    <w:rsid w:val="00B43870"/>
    <w:rsid w:val="00B4620D"/>
    <w:rsid w:val="00B546C8"/>
    <w:rsid w:val="00B55FF0"/>
    <w:rsid w:val="00B56A3A"/>
    <w:rsid w:val="00B6218B"/>
    <w:rsid w:val="00B63C19"/>
    <w:rsid w:val="00B84954"/>
    <w:rsid w:val="00B930FF"/>
    <w:rsid w:val="00B963D4"/>
    <w:rsid w:val="00B97AFE"/>
    <w:rsid w:val="00BB0004"/>
    <w:rsid w:val="00BB60CB"/>
    <w:rsid w:val="00BC4CBA"/>
    <w:rsid w:val="00BF6DA6"/>
    <w:rsid w:val="00C14FC6"/>
    <w:rsid w:val="00C20A70"/>
    <w:rsid w:val="00C32298"/>
    <w:rsid w:val="00C35C33"/>
    <w:rsid w:val="00C450B4"/>
    <w:rsid w:val="00C523CE"/>
    <w:rsid w:val="00C54631"/>
    <w:rsid w:val="00C62404"/>
    <w:rsid w:val="00C643E6"/>
    <w:rsid w:val="00C72A50"/>
    <w:rsid w:val="00C80EFF"/>
    <w:rsid w:val="00C80FE1"/>
    <w:rsid w:val="00C81277"/>
    <w:rsid w:val="00C84A85"/>
    <w:rsid w:val="00C87B79"/>
    <w:rsid w:val="00C92EF0"/>
    <w:rsid w:val="00CB5BD9"/>
    <w:rsid w:val="00CC19A3"/>
    <w:rsid w:val="00CC6B78"/>
    <w:rsid w:val="00CE7C28"/>
    <w:rsid w:val="00CF0F4D"/>
    <w:rsid w:val="00D0265D"/>
    <w:rsid w:val="00D02AB2"/>
    <w:rsid w:val="00D074CC"/>
    <w:rsid w:val="00D10C01"/>
    <w:rsid w:val="00D268C2"/>
    <w:rsid w:val="00D356B6"/>
    <w:rsid w:val="00D36C29"/>
    <w:rsid w:val="00D4300D"/>
    <w:rsid w:val="00D45937"/>
    <w:rsid w:val="00D612CD"/>
    <w:rsid w:val="00D667FA"/>
    <w:rsid w:val="00D758FC"/>
    <w:rsid w:val="00D977B4"/>
    <w:rsid w:val="00DB40DC"/>
    <w:rsid w:val="00DB707A"/>
    <w:rsid w:val="00DC60D7"/>
    <w:rsid w:val="00DC7838"/>
    <w:rsid w:val="00DD43EE"/>
    <w:rsid w:val="00DD6D53"/>
    <w:rsid w:val="00DD77FC"/>
    <w:rsid w:val="00DD7DCB"/>
    <w:rsid w:val="00DE3FCA"/>
    <w:rsid w:val="00DF57A9"/>
    <w:rsid w:val="00DF7DBD"/>
    <w:rsid w:val="00E148B7"/>
    <w:rsid w:val="00E16293"/>
    <w:rsid w:val="00E31D92"/>
    <w:rsid w:val="00E37C26"/>
    <w:rsid w:val="00E433D5"/>
    <w:rsid w:val="00E45DC9"/>
    <w:rsid w:val="00E67CDC"/>
    <w:rsid w:val="00E7430C"/>
    <w:rsid w:val="00E86992"/>
    <w:rsid w:val="00E933BE"/>
    <w:rsid w:val="00EB286C"/>
    <w:rsid w:val="00EC4598"/>
    <w:rsid w:val="00ED4074"/>
    <w:rsid w:val="00ED4960"/>
    <w:rsid w:val="00ED520B"/>
    <w:rsid w:val="00EF5BC0"/>
    <w:rsid w:val="00F04902"/>
    <w:rsid w:val="00F07A43"/>
    <w:rsid w:val="00F14D6C"/>
    <w:rsid w:val="00F21A1F"/>
    <w:rsid w:val="00F311B5"/>
    <w:rsid w:val="00F34318"/>
    <w:rsid w:val="00F41B7E"/>
    <w:rsid w:val="00F46706"/>
    <w:rsid w:val="00F749AB"/>
    <w:rsid w:val="00F75F3E"/>
    <w:rsid w:val="00F86B5C"/>
    <w:rsid w:val="00FA28FB"/>
    <w:rsid w:val="00FA2FA6"/>
    <w:rsid w:val="00FB005D"/>
    <w:rsid w:val="00FB4738"/>
    <w:rsid w:val="00FC54C4"/>
    <w:rsid w:val="00FE3251"/>
    <w:rsid w:val="00FE51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6CC56"/>
  <w15:chartTrackingRefBased/>
  <w15:docId w15:val="{4A24EEC3-D2DA-4898-B44F-09AE860B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5D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5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50A"/>
  </w:style>
  <w:style w:type="paragraph" w:styleId="Footer">
    <w:name w:val="footer"/>
    <w:basedOn w:val="Normal"/>
    <w:link w:val="FooterChar"/>
    <w:uiPriority w:val="99"/>
    <w:unhideWhenUsed/>
    <w:rsid w:val="001065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50A"/>
  </w:style>
  <w:style w:type="character" w:styleId="CommentReference">
    <w:name w:val="annotation reference"/>
    <w:basedOn w:val="DefaultParagraphFont"/>
    <w:uiPriority w:val="99"/>
    <w:semiHidden/>
    <w:unhideWhenUsed/>
    <w:rsid w:val="002D59FB"/>
    <w:rPr>
      <w:sz w:val="16"/>
      <w:szCs w:val="16"/>
    </w:rPr>
  </w:style>
  <w:style w:type="paragraph" w:styleId="CommentText">
    <w:name w:val="annotation text"/>
    <w:basedOn w:val="Normal"/>
    <w:link w:val="CommentTextChar"/>
    <w:uiPriority w:val="99"/>
    <w:unhideWhenUsed/>
    <w:rsid w:val="002D59FB"/>
    <w:pPr>
      <w:spacing w:line="240" w:lineRule="auto"/>
    </w:pPr>
    <w:rPr>
      <w:sz w:val="20"/>
      <w:szCs w:val="20"/>
    </w:rPr>
  </w:style>
  <w:style w:type="character" w:customStyle="1" w:styleId="CommentTextChar">
    <w:name w:val="Comment Text Char"/>
    <w:basedOn w:val="DefaultParagraphFont"/>
    <w:link w:val="CommentText"/>
    <w:uiPriority w:val="99"/>
    <w:rsid w:val="002D59FB"/>
    <w:rPr>
      <w:sz w:val="20"/>
      <w:szCs w:val="20"/>
    </w:rPr>
  </w:style>
  <w:style w:type="paragraph" w:styleId="CommentSubject">
    <w:name w:val="annotation subject"/>
    <w:basedOn w:val="CommentText"/>
    <w:next w:val="CommentText"/>
    <w:link w:val="CommentSubjectChar"/>
    <w:uiPriority w:val="99"/>
    <w:semiHidden/>
    <w:unhideWhenUsed/>
    <w:rsid w:val="002D59FB"/>
    <w:rPr>
      <w:b/>
      <w:bCs/>
    </w:rPr>
  </w:style>
  <w:style w:type="character" w:customStyle="1" w:styleId="CommentSubjectChar">
    <w:name w:val="Comment Subject Char"/>
    <w:basedOn w:val="CommentTextChar"/>
    <w:link w:val="CommentSubject"/>
    <w:uiPriority w:val="99"/>
    <w:semiHidden/>
    <w:rsid w:val="002D59FB"/>
    <w:rPr>
      <w:b/>
      <w:bCs/>
      <w:sz w:val="20"/>
      <w:szCs w:val="20"/>
    </w:rPr>
  </w:style>
  <w:style w:type="character" w:styleId="Hyperlink">
    <w:name w:val="Hyperlink"/>
    <w:basedOn w:val="DefaultParagraphFont"/>
    <w:uiPriority w:val="99"/>
    <w:unhideWhenUsed/>
    <w:rsid w:val="00DB707A"/>
    <w:rPr>
      <w:color w:val="0563C1" w:themeColor="hyperlink"/>
      <w:u w:val="single"/>
    </w:rPr>
  </w:style>
  <w:style w:type="character" w:styleId="UnresolvedMention">
    <w:name w:val="Unresolved Mention"/>
    <w:basedOn w:val="DefaultParagraphFont"/>
    <w:uiPriority w:val="99"/>
    <w:semiHidden/>
    <w:unhideWhenUsed/>
    <w:rsid w:val="00DB707A"/>
    <w:rPr>
      <w:color w:val="605E5C"/>
      <w:shd w:val="clear" w:color="auto" w:fill="E1DFDD"/>
    </w:rPr>
  </w:style>
  <w:style w:type="paragraph" w:styleId="ListParagraph">
    <w:name w:val="List Paragraph"/>
    <w:basedOn w:val="Normal"/>
    <w:uiPriority w:val="34"/>
    <w:qFormat/>
    <w:rsid w:val="00163542"/>
    <w:pPr>
      <w:ind w:left="720"/>
      <w:contextualSpacing/>
    </w:pPr>
  </w:style>
  <w:style w:type="paragraph" w:styleId="Revision">
    <w:name w:val="Revision"/>
    <w:hidden/>
    <w:uiPriority w:val="99"/>
    <w:semiHidden/>
    <w:rsid w:val="007720C7"/>
    <w:pPr>
      <w:spacing w:after="0" w:line="240" w:lineRule="auto"/>
    </w:pPr>
  </w:style>
  <w:style w:type="character" w:customStyle="1" w:styleId="Heading1Char">
    <w:name w:val="Heading 1 Char"/>
    <w:basedOn w:val="DefaultParagraphFont"/>
    <w:link w:val="Heading1"/>
    <w:uiPriority w:val="9"/>
    <w:rsid w:val="00E45DC9"/>
    <w:rPr>
      <w:rFonts w:asciiTheme="majorHAnsi" w:eastAsiaTheme="majorEastAsia" w:hAnsiTheme="majorHAnsi" w:cstheme="majorBidi"/>
      <w:color w:val="2F5496" w:themeColor="accent1" w:themeShade="BF"/>
      <w:sz w:val="32"/>
      <w:szCs w:val="32"/>
    </w:rPr>
  </w:style>
  <w:style w:type="paragraph" w:customStyle="1" w:styleId="TBLText">
    <w:name w:val="TBL Text"/>
    <w:basedOn w:val="Normal"/>
    <w:uiPriority w:val="9"/>
    <w:qFormat/>
    <w:rsid w:val="00AB78CE"/>
    <w:pPr>
      <w:spacing w:after="0" w:line="240" w:lineRule="auto"/>
    </w:pPr>
    <w:rPr>
      <w:rFonts w:asciiTheme="minorHAnsi" w:eastAsiaTheme="minorEastAsia" w:hAnsiTheme="minorHAnsi" w:cstheme="minorBidi"/>
      <w:kern w:val="0"/>
      <w:sz w:val="18"/>
      <w:szCs w:val="18"/>
      <w14:ligatures w14:val="none"/>
    </w:rPr>
  </w:style>
  <w:style w:type="character" w:styleId="FootnoteReference">
    <w:name w:val="footnote reference"/>
    <w:basedOn w:val="DefaultParagraphFont"/>
    <w:uiPriority w:val="99"/>
    <w:rsid w:val="00AB78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751419">
      <w:bodyDiv w:val="1"/>
      <w:marLeft w:val="0"/>
      <w:marRight w:val="0"/>
      <w:marTop w:val="0"/>
      <w:marBottom w:val="0"/>
      <w:divBdr>
        <w:top w:val="none" w:sz="0" w:space="0" w:color="auto"/>
        <w:left w:val="none" w:sz="0" w:space="0" w:color="auto"/>
        <w:bottom w:val="none" w:sz="0" w:space="0" w:color="auto"/>
        <w:right w:val="none" w:sz="0" w:space="0" w:color="auto"/>
      </w:divBdr>
    </w:div>
    <w:div w:id="181417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786</TotalTime>
  <Pages>14</Pages>
  <Words>6372</Words>
  <Characters>36322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Jess</dc:creator>
  <cp:keywords/>
  <dc:description/>
  <cp:lastModifiedBy>CLARKE, Avinash</cp:lastModifiedBy>
  <cp:revision>75</cp:revision>
  <dcterms:created xsi:type="dcterms:W3CDTF">2025-02-26T22:45:00Z</dcterms:created>
  <dcterms:modified xsi:type="dcterms:W3CDTF">2025-03-26T05:00:00Z</dcterms:modified>
</cp:coreProperties>
</file>