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B6602" w14:textId="77777777" w:rsidR="00B86157" w:rsidRPr="00852694" w:rsidRDefault="00B86157" w:rsidP="00B86157">
      <w:pPr>
        <w:spacing w:before="240" w:after="240" w:line="276" w:lineRule="auto"/>
        <w:ind w:right="-1"/>
        <w:jc w:val="center"/>
        <w:rPr>
          <w:sz w:val="22"/>
          <w:szCs w:val="22"/>
          <w:u w:val="single"/>
          <w:lang w:eastAsia="en-AU"/>
        </w:rPr>
      </w:pPr>
      <w:r w:rsidRPr="00852694">
        <w:rPr>
          <w:sz w:val="22"/>
          <w:szCs w:val="22"/>
          <w:u w:val="single"/>
          <w:lang w:eastAsia="en-AU"/>
        </w:rPr>
        <w:t>EXPLANATORY STATEMENT</w:t>
      </w:r>
    </w:p>
    <w:p w14:paraId="5145231B" w14:textId="77777777" w:rsidR="00B86157" w:rsidRPr="00852694" w:rsidRDefault="00B86157" w:rsidP="00B86157">
      <w:pPr>
        <w:keepNext/>
        <w:spacing w:before="240" w:after="240" w:line="276" w:lineRule="auto"/>
        <w:jc w:val="center"/>
        <w:outlineLvl w:val="0"/>
        <w:rPr>
          <w:sz w:val="22"/>
          <w:szCs w:val="22"/>
        </w:rPr>
      </w:pPr>
      <w:r w:rsidRPr="00852694">
        <w:rPr>
          <w:sz w:val="22"/>
          <w:szCs w:val="22"/>
        </w:rPr>
        <w:t>Issued by authority of the Australian Fisheries Management Authority</w:t>
      </w:r>
    </w:p>
    <w:p w14:paraId="6460AE7B" w14:textId="77777777" w:rsidR="00B86157" w:rsidRPr="00852694" w:rsidRDefault="00B86157" w:rsidP="00B86157">
      <w:pPr>
        <w:keepNext/>
        <w:spacing w:before="240" w:after="240" w:line="276" w:lineRule="auto"/>
        <w:jc w:val="center"/>
        <w:outlineLvl w:val="0"/>
        <w:rPr>
          <w:i/>
          <w:sz w:val="22"/>
          <w:szCs w:val="22"/>
        </w:rPr>
      </w:pPr>
      <w:r w:rsidRPr="00852694">
        <w:rPr>
          <w:i/>
          <w:sz w:val="22"/>
          <w:szCs w:val="22"/>
        </w:rPr>
        <w:t>Fisheries Management Act 1991</w:t>
      </w:r>
    </w:p>
    <w:p w14:paraId="6C127F32" w14:textId="7BBE08EC" w:rsidR="00B86157" w:rsidRPr="00852694" w:rsidRDefault="00905315" w:rsidP="00B86157">
      <w:pPr>
        <w:autoSpaceDE w:val="0"/>
        <w:autoSpaceDN w:val="0"/>
        <w:adjustRightInd w:val="0"/>
        <w:spacing w:before="240" w:after="240" w:line="276" w:lineRule="auto"/>
        <w:jc w:val="center"/>
        <w:rPr>
          <w:i/>
          <w:iCs/>
          <w:sz w:val="22"/>
          <w:szCs w:val="22"/>
        </w:rPr>
      </w:pPr>
      <w:r w:rsidRPr="00852694">
        <w:rPr>
          <w:i/>
          <w:sz w:val="22"/>
          <w:szCs w:val="22"/>
        </w:rPr>
        <w:t>Southern and Eastern Scalefish and Shark Fishery Management Plan 2003</w:t>
      </w:r>
    </w:p>
    <w:p w14:paraId="1CA68B31" w14:textId="5AF0D35A" w:rsidR="00B86157" w:rsidRPr="004C1AA4" w:rsidRDefault="00905315" w:rsidP="00B86157">
      <w:pPr>
        <w:pStyle w:val="AFMANormal"/>
        <w:spacing w:after="600" w:line="276" w:lineRule="auto"/>
        <w:jc w:val="center"/>
        <w:rPr>
          <w:b/>
          <w:i/>
          <w:sz w:val="22"/>
          <w:szCs w:val="22"/>
        </w:rPr>
      </w:pPr>
      <w:bookmarkStart w:id="0" w:name="OLE_LINK5"/>
      <w:r w:rsidRPr="004C1AA4">
        <w:rPr>
          <w:b/>
          <w:i/>
          <w:sz w:val="22"/>
          <w:szCs w:val="22"/>
        </w:rPr>
        <w:t xml:space="preserve">Southern and Eastern Scalefish and Shark Fishery (Total Allowable Catch for Quota Species) Determination </w:t>
      </w:r>
      <w:bookmarkEnd w:id="0"/>
      <w:r w:rsidRPr="004C1AA4">
        <w:rPr>
          <w:b/>
          <w:i/>
          <w:sz w:val="22"/>
          <w:szCs w:val="22"/>
        </w:rPr>
        <w:t>202</w:t>
      </w:r>
      <w:r w:rsidR="00FF3119">
        <w:rPr>
          <w:b/>
          <w:i/>
          <w:sz w:val="22"/>
          <w:szCs w:val="22"/>
        </w:rPr>
        <w:t>5</w:t>
      </w:r>
    </w:p>
    <w:p w14:paraId="7590BD82" w14:textId="20F11824" w:rsidR="001F725A" w:rsidRPr="004C1AA4" w:rsidRDefault="001F725A" w:rsidP="001F725A">
      <w:pPr>
        <w:autoSpaceDE w:val="0"/>
        <w:autoSpaceDN w:val="0"/>
        <w:adjustRightInd w:val="0"/>
        <w:spacing w:before="240" w:after="240" w:line="276" w:lineRule="auto"/>
        <w:jc w:val="both"/>
        <w:rPr>
          <w:sz w:val="22"/>
          <w:szCs w:val="22"/>
        </w:rPr>
      </w:pPr>
      <w:r w:rsidRPr="004C1AA4">
        <w:rPr>
          <w:sz w:val="22"/>
          <w:szCs w:val="22"/>
        </w:rPr>
        <w:t xml:space="preserve">The </w:t>
      </w:r>
      <w:r w:rsidRPr="004C1AA4">
        <w:rPr>
          <w:i/>
          <w:sz w:val="22"/>
          <w:szCs w:val="22"/>
        </w:rPr>
        <w:t>Southern and Eastern Scalefish and Shark Fishery (Total Allowable Catch for Quota Species) Determination</w:t>
      </w:r>
      <w:r w:rsidRPr="004C1AA4">
        <w:rPr>
          <w:sz w:val="22"/>
          <w:szCs w:val="22"/>
        </w:rPr>
        <w:t xml:space="preserve"> </w:t>
      </w:r>
      <w:r w:rsidRPr="004C1AA4">
        <w:rPr>
          <w:i/>
          <w:sz w:val="22"/>
          <w:szCs w:val="22"/>
        </w:rPr>
        <w:t>202</w:t>
      </w:r>
      <w:r w:rsidR="006F4B32">
        <w:rPr>
          <w:i/>
          <w:sz w:val="22"/>
          <w:szCs w:val="22"/>
        </w:rPr>
        <w:t>5</w:t>
      </w:r>
      <w:r w:rsidRPr="004C1AA4">
        <w:rPr>
          <w:sz w:val="22"/>
          <w:szCs w:val="22"/>
        </w:rPr>
        <w:t xml:space="preserve"> (</w:t>
      </w:r>
      <w:r w:rsidRPr="009A6E80">
        <w:rPr>
          <w:b/>
          <w:sz w:val="22"/>
          <w:szCs w:val="22"/>
        </w:rPr>
        <w:t xml:space="preserve">the </w:t>
      </w:r>
      <w:r w:rsidR="00BB030D" w:rsidRPr="009A6E80">
        <w:rPr>
          <w:b/>
          <w:sz w:val="22"/>
          <w:szCs w:val="22"/>
        </w:rPr>
        <w:t>Instrument</w:t>
      </w:r>
      <w:r w:rsidRPr="004C1AA4">
        <w:rPr>
          <w:sz w:val="22"/>
          <w:szCs w:val="22"/>
        </w:rPr>
        <w:t xml:space="preserve">) is a legislative instrument for the purposes of the </w:t>
      </w:r>
      <w:r w:rsidRPr="004C1AA4">
        <w:rPr>
          <w:i/>
          <w:sz w:val="22"/>
          <w:szCs w:val="22"/>
        </w:rPr>
        <w:t>Legislation Act 2003</w:t>
      </w:r>
      <w:r w:rsidRPr="004C1AA4">
        <w:rPr>
          <w:sz w:val="22"/>
          <w:szCs w:val="22"/>
        </w:rPr>
        <w:t>.</w:t>
      </w:r>
    </w:p>
    <w:p w14:paraId="3C368B2D" w14:textId="168B4DDD" w:rsidR="00B86157" w:rsidRPr="00572ACA" w:rsidRDefault="00B86157" w:rsidP="00B86157">
      <w:pPr>
        <w:autoSpaceDE w:val="0"/>
        <w:autoSpaceDN w:val="0"/>
        <w:adjustRightInd w:val="0"/>
        <w:spacing w:before="240" w:after="240" w:line="276" w:lineRule="auto"/>
        <w:jc w:val="both"/>
        <w:rPr>
          <w:sz w:val="22"/>
          <w:szCs w:val="22"/>
        </w:rPr>
      </w:pPr>
      <w:r w:rsidRPr="00572ACA">
        <w:rPr>
          <w:sz w:val="22"/>
          <w:szCs w:val="22"/>
        </w:rPr>
        <w:t xml:space="preserve">Subsection 17(5) of the </w:t>
      </w:r>
      <w:r w:rsidRPr="00572ACA">
        <w:rPr>
          <w:i/>
          <w:sz w:val="22"/>
          <w:szCs w:val="22"/>
        </w:rPr>
        <w:t>Fisheries Management Act 1991</w:t>
      </w:r>
      <w:r w:rsidRPr="00572ACA">
        <w:rPr>
          <w:sz w:val="22"/>
          <w:szCs w:val="22"/>
        </w:rPr>
        <w:t xml:space="preserve"> (</w:t>
      </w:r>
      <w:r w:rsidRPr="009A6E80">
        <w:rPr>
          <w:b/>
          <w:sz w:val="22"/>
          <w:szCs w:val="22"/>
        </w:rPr>
        <w:t>the Act</w:t>
      </w:r>
      <w:r w:rsidRPr="00572ACA">
        <w:rPr>
          <w:sz w:val="22"/>
          <w:szCs w:val="22"/>
        </w:rPr>
        <w:t>) provides that a plan of management made under the Act is to set out, amongst other things, the objectives of the plan of management and measures by which the objectives are to be attained.</w:t>
      </w:r>
    </w:p>
    <w:p w14:paraId="5181E64B" w14:textId="3BEFC117" w:rsidR="00905315" w:rsidRPr="002E5227" w:rsidRDefault="00B86157" w:rsidP="00B86157">
      <w:pPr>
        <w:pStyle w:val="AFMANormal"/>
        <w:spacing w:after="240" w:line="276" w:lineRule="auto"/>
        <w:rPr>
          <w:sz w:val="22"/>
          <w:szCs w:val="22"/>
        </w:rPr>
      </w:pPr>
      <w:r w:rsidRPr="002E5227">
        <w:rPr>
          <w:sz w:val="22"/>
          <w:szCs w:val="22"/>
        </w:rPr>
        <w:t>Paragraph 17(6)(aa) of the Act provides that a plan of management made</w:t>
      </w:r>
      <w:r w:rsidR="000845B4" w:rsidRPr="002E5227">
        <w:rPr>
          <w:sz w:val="22"/>
          <w:szCs w:val="22"/>
        </w:rPr>
        <w:t xml:space="preserve"> under the Act</w:t>
      </w:r>
      <w:r w:rsidRPr="002E5227">
        <w:rPr>
          <w:sz w:val="22"/>
          <w:szCs w:val="22"/>
        </w:rPr>
        <w:t xml:space="preserve"> may provide for the Australian Fisheries Management Authority (</w:t>
      </w:r>
      <w:r w:rsidRPr="009A6E80">
        <w:rPr>
          <w:b/>
          <w:sz w:val="22"/>
          <w:szCs w:val="22"/>
        </w:rPr>
        <w:t>AFMA</w:t>
      </w:r>
      <w:r w:rsidRPr="002E5227">
        <w:rPr>
          <w:sz w:val="22"/>
          <w:szCs w:val="22"/>
        </w:rPr>
        <w:t xml:space="preserve">) to determine the fishing capacity permitted for the fishery or a part of the fishery in respect of a particular period or periods. </w:t>
      </w:r>
    </w:p>
    <w:p w14:paraId="3E756996" w14:textId="767F7893" w:rsidR="007B422C" w:rsidRPr="002E5227" w:rsidRDefault="007B422C" w:rsidP="007B422C">
      <w:pPr>
        <w:autoSpaceDE w:val="0"/>
        <w:autoSpaceDN w:val="0"/>
        <w:adjustRightInd w:val="0"/>
        <w:spacing w:before="240" w:after="240" w:line="276" w:lineRule="auto"/>
        <w:jc w:val="both"/>
        <w:rPr>
          <w:color w:val="000000"/>
          <w:sz w:val="22"/>
          <w:szCs w:val="22"/>
          <w:lang w:val="en-US"/>
        </w:rPr>
      </w:pPr>
      <w:r w:rsidRPr="002E5227">
        <w:rPr>
          <w:color w:val="000000"/>
          <w:sz w:val="22"/>
          <w:szCs w:val="22"/>
          <w:lang w:val="en-US"/>
        </w:rPr>
        <w:t xml:space="preserve">Subsection 11(1) of the </w:t>
      </w:r>
      <w:r w:rsidRPr="002E5227">
        <w:rPr>
          <w:i/>
          <w:color w:val="000000"/>
          <w:sz w:val="22"/>
          <w:szCs w:val="22"/>
          <w:lang w:val="en-US"/>
        </w:rPr>
        <w:t>Southern and Eastern Scalefish and Shark Fishery Management Plan</w:t>
      </w:r>
      <w:r w:rsidRPr="002E5227">
        <w:rPr>
          <w:color w:val="000000"/>
          <w:sz w:val="22"/>
          <w:szCs w:val="22"/>
          <w:lang w:val="en-US"/>
        </w:rPr>
        <w:t xml:space="preserve"> </w:t>
      </w:r>
      <w:r w:rsidRPr="002E5227">
        <w:rPr>
          <w:i/>
          <w:iCs/>
          <w:color w:val="000000"/>
          <w:sz w:val="22"/>
          <w:szCs w:val="22"/>
          <w:lang w:val="en-US"/>
        </w:rPr>
        <w:t xml:space="preserve">2003 </w:t>
      </w:r>
      <w:r w:rsidRPr="002E5227">
        <w:rPr>
          <w:color w:val="000000"/>
          <w:sz w:val="22"/>
          <w:szCs w:val="22"/>
          <w:lang w:val="en-US"/>
        </w:rPr>
        <w:t>(</w:t>
      </w:r>
      <w:r w:rsidRPr="009A6E80">
        <w:rPr>
          <w:b/>
          <w:color w:val="000000"/>
          <w:sz w:val="22"/>
          <w:szCs w:val="22"/>
          <w:lang w:val="en-US"/>
        </w:rPr>
        <w:t xml:space="preserve">the Management Plan) </w:t>
      </w:r>
      <w:r w:rsidRPr="002E5227">
        <w:rPr>
          <w:color w:val="000000"/>
          <w:sz w:val="22"/>
          <w:szCs w:val="22"/>
          <w:lang w:val="en-US"/>
        </w:rPr>
        <w:t>provides that AFMA must determine a Total Allowable Catch (</w:t>
      </w:r>
      <w:r w:rsidRPr="009A6E80">
        <w:rPr>
          <w:b/>
          <w:color w:val="000000"/>
          <w:sz w:val="22"/>
          <w:szCs w:val="22"/>
          <w:lang w:val="en-US"/>
        </w:rPr>
        <w:t>TAC</w:t>
      </w:r>
      <w:r w:rsidRPr="002E5227">
        <w:rPr>
          <w:color w:val="000000"/>
          <w:sz w:val="22"/>
          <w:szCs w:val="22"/>
          <w:lang w:val="en-US"/>
        </w:rPr>
        <w:t xml:space="preserve">) </w:t>
      </w:r>
      <w:r w:rsidR="003513CC" w:rsidRPr="002E5227">
        <w:rPr>
          <w:color w:val="000000"/>
          <w:sz w:val="22"/>
          <w:szCs w:val="22"/>
          <w:lang w:val="en-US"/>
        </w:rPr>
        <w:t xml:space="preserve">for each quota species </w:t>
      </w:r>
      <w:r w:rsidRPr="002E5227">
        <w:rPr>
          <w:color w:val="000000"/>
          <w:sz w:val="22"/>
          <w:szCs w:val="22"/>
          <w:lang w:val="en-US"/>
        </w:rPr>
        <w:t xml:space="preserve">for a fishing year no later than 31 March immediately before the commencement of the fishing year. </w:t>
      </w:r>
    </w:p>
    <w:p w14:paraId="427DC1AF" w14:textId="71F257AC" w:rsidR="007B422C" w:rsidRPr="00D023E7" w:rsidRDefault="007B422C" w:rsidP="007B422C">
      <w:pPr>
        <w:autoSpaceDE w:val="0"/>
        <w:autoSpaceDN w:val="0"/>
        <w:adjustRightInd w:val="0"/>
        <w:spacing w:before="240" w:after="240" w:line="276" w:lineRule="auto"/>
        <w:jc w:val="both"/>
        <w:rPr>
          <w:color w:val="000000"/>
          <w:sz w:val="22"/>
          <w:szCs w:val="22"/>
          <w:lang w:val="en-US"/>
        </w:rPr>
      </w:pPr>
      <w:r w:rsidRPr="00D023E7">
        <w:rPr>
          <w:color w:val="000000"/>
          <w:sz w:val="22"/>
          <w:szCs w:val="22"/>
          <w:lang w:val="en-US"/>
        </w:rPr>
        <w:t xml:space="preserve">Prior to making this </w:t>
      </w:r>
      <w:r w:rsidR="004E61DB" w:rsidRPr="00D023E7">
        <w:rPr>
          <w:color w:val="000000"/>
          <w:sz w:val="22"/>
          <w:szCs w:val="22"/>
          <w:lang w:val="en-US"/>
        </w:rPr>
        <w:t>Instrument</w:t>
      </w:r>
      <w:r w:rsidRPr="00D023E7">
        <w:rPr>
          <w:color w:val="000000"/>
          <w:sz w:val="22"/>
          <w:szCs w:val="22"/>
          <w:lang w:val="en-US"/>
        </w:rPr>
        <w:t>, AFMA met the requirements of paragraphs 12(a) to (c) of the Management Plan. Further detail as to how these requirements were met is outlined in detail bel</w:t>
      </w:r>
      <w:r w:rsidR="003F5BB7" w:rsidRPr="00D023E7">
        <w:rPr>
          <w:color w:val="000000"/>
          <w:sz w:val="22"/>
          <w:szCs w:val="22"/>
          <w:lang w:val="en-US"/>
        </w:rPr>
        <w:t>ow.</w:t>
      </w:r>
    </w:p>
    <w:p w14:paraId="135E296C" w14:textId="77777777" w:rsidR="00B86157" w:rsidRPr="00C67298" w:rsidRDefault="00B86157" w:rsidP="00B86157">
      <w:pPr>
        <w:autoSpaceDE w:val="0"/>
        <w:autoSpaceDN w:val="0"/>
        <w:adjustRightInd w:val="0"/>
        <w:spacing w:before="240" w:after="240" w:line="276" w:lineRule="auto"/>
        <w:jc w:val="both"/>
        <w:rPr>
          <w:b/>
          <w:sz w:val="22"/>
          <w:szCs w:val="22"/>
        </w:rPr>
      </w:pPr>
      <w:r w:rsidRPr="00C67298">
        <w:rPr>
          <w:b/>
          <w:sz w:val="22"/>
          <w:szCs w:val="22"/>
        </w:rPr>
        <w:t xml:space="preserve">Purpose </w:t>
      </w:r>
    </w:p>
    <w:p w14:paraId="3087BE4F" w14:textId="139D974E" w:rsidR="007B422C" w:rsidRPr="00C67298" w:rsidRDefault="007B422C" w:rsidP="00B86157">
      <w:pPr>
        <w:pStyle w:val="AFMANormal"/>
        <w:spacing w:after="240" w:line="276" w:lineRule="auto"/>
        <w:rPr>
          <w:color w:val="000000"/>
          <w:sz w:val="22"/>
          <w:szCs w:val="22"/>
          <w:lang w:val="en-US"/>
        </w:rPr>
      </w:pPr>
      <w:r w:rsidRPr="00C67298">
        <w:rPr>
          <w:color w:val="000000"/>
          <w:sz w:val="22"/>
          <w:szCs w:val="22"/>
          <w:lang w:val="en-US"/>
        </w:rPr>
        <w:t xml:space="preserve">The </w:t>
      </w:r>
      <w:r w:rsidR="00BB030D" w:rsidRPr="00C67298">
        <w:rPr>
          <w:color w:val="000000"/>
          <w:sz w:val="22"/>
          <w:szCs w:val="22"/>
          <w:lang w:val="en-US"/>
        </w:rPr>
        <w:t>Instrument</w:t>
      </w:r>
      <w:r w:rsidRPr="00C67298">
        <w:rPr>
          <w:color w:val="000000"/>
          <w:sz w:val="22"/>
          <w:szCs w:val="22"/>
          <w:lang w:val="en-US"/>
        </w:rPr>
        <w:t xml:space="preserve"> determines the TAC for each quota species for the </w:t>
      </w:r>
      <w:r w:rsidR="00261F79" w:rsidRPr="00C67298">
        <w:rPr>
          <w:color w:val="000000"/>
          <w:sz w:val="22"/>
          <w:szCs w:val="22"/>
          <w:lang w:val="en-US"/>
        </w:rPr>
        <w:t>202</w:t>
      </w:r>
      <w:r w:rsidR="007A2275">
        <w:rPr>
          <w:color w:val="000000"/>
          <w:sz w:val="22"/>
          <w:szCs w:val="22"/>
          <w:lang w:val="en-US"/>
        </w:rPr>
        <w:t>5</w:t>
      </w:r>
      <w:r w:rsidR="00CF11FB" w:rsidRPr="00C67298">
        <w:rPr>
          <w:color w:val="000000"/>
          <w:sz w:val="22"/>
          <w:szCs w:val="22"/>
          <w:lang w:val="en-US"/>
        </w:rPr>
        <w:t>-2</w:t>
      </w:r>
      <w:r w:rsidR="007A2275">
        <w:rPr>
          <w:color w:val="000000"/>
          <w:sz w:val="22"/>
          <w:szCs w:val="22"/>
          <w:lang w:val="en-US"/>
        </w:rPr>
        <w:t>6</w:t>
      </w:r>
      <w:r w:rsidR="00261F79" w:rsidRPr="00C67298">
        <w:rPr>
          <w:color w:val="000000"/>
          <w:sz w:val="22"/>
          <w:szCs w:val="22"/>
          <w:lang w:val="en-US"/>
        </w:rPr>
        <w:t xml:space="preserve"> </w:t>
      </w:r>
      <w:r w:rsidRPr="00C67298">
        <w:rPr>
          <w:color w:val="000000"/>
          <w:sz w:val="22"/>
          <w:szCs w:val="22"/>
          <w:lang w:val="en-US"/>
        </w:rPr>
        <w:t>fishing year</w:t>
      </w:r>
      <w:r w:rsidR="00261F79" w:rsidRPr="00C67298">
        <w:rPr>
          <w:color w:val="000000"/>
          <w:sz w:val="22"/>
          <w:szCs w:val="22"/>
          <w:lang w:val="en-US"/>
        </w:rPr>
        <w:t xml:space="preserve"> in the Southern and Eastern Scalefish and Shark Fishery (</w:t>
      </w:r>
      <w:r w:rsidR="00261F79" w:rsidRPr="009A6E80">
        <w:rPr>
          <w:b/>
          <w:color w:val="000000"/>
          <w:sz w:val="22"/>
          <w:szCs w:val="22"/>
          <w:lang w:val="en-US"/>
        </w:rPr>
        <w:t>the Fishery</w:t>
      </w:r>
      <w:r w:rsidR="00261F79" w:rsidRPr="00C67298">
        <w:rPr>
          <w:color w:val="000000"/>
          <w:sz w:val="22"/>
          <w:szCs w:val="22"/>
          <w:lang w:val="en-US"/>
        </w:rPr>
        <w:t>)</w:t>
      </w:r>
      <w:r w:rsidRPr="00C67298">
        <w:rPr>
          <w:color w:val="000000"/>
          <w:sz w:val="22"/>
          <w:szCs w:val="22"/>
          <w:lang w:val="en-US"/>
        </w:rPr>
        <w:t xml:space="preserve">. </w:t>
      </w:r>
    </w:p>
    <w:p w14:paraId="39C3C434" w14:textId="06DADE1E" w:rsidR="00B52CD4" w:rsidRPr="00FC32BD" w:rsidRDefault="00B52CD4" w:rsidP="00B86157">
      <w:pPr>
        <w:pStyle w:val="AFMANormal"/>
        <w:spacing w:after="240" w:line="276" w:lineRule="auto"/>
        <w:rPr>
          <w:color w:val="000000"/>
          <w:sz w:val="22"/>
          <w:szCs w:val="22"/>
          <w:highlight w:val="yellow"/>
          <w:lang w:val="en-US"/>
        </w:rPr>
      </w:pPr>
      <w:r w:rsidRPr="00C67298">
        <w:rPr>
          <w:color w:val="000000"/>
          <w:sz w:val="22"/>
          <w:szCs w:val="22"/>
          <w:lang w:val="en-US"/>
        </w:rPr>
        <w:t xml:space="preserve">In determining a TAC for a quota species under subsection 11(1) of the Management Plan, AFMA must have regard to reference points for the species that AFMA has determined as appropriate for maintaining ecologically viable stocks of these species under section 9 of the Management Plan (subsection 11(2)). AFMA may determine specific TACs for a quota species for </w:t>
      </w:r>
      <w:proofErr w:type="gramStart"/>
      <w:r w:rsidRPr="00C67298">
        <w:rPr>
          <w:color w:val="000000"/>
          <w:sz w:val="22"/>
          <w:szCs w:val="22"/>
          <w:lang w:val="en-US"/>
        </w:rPr>
        <w:t>particular parts</w:t>
      </w:r>
      <w:proofErr w:type="gramEnd"/>
      <w:r w:rsidRPr="00C67298">
        <w:rPr>
          <w:color w:val="000000"/>
          <w:sz w:val="22"/>
          <w:szCs w:val="22"/>
          <w:lang w:val="en-US"/>
        </w:rPr>
        <w:t xml:space="preserve"> of the area of the fishery (subsection 11(3)). Under subsection 11(4), the determination of a TAC under subsection 11(1) must specify the TAC expressed in whole weight or a specified other weight and must specify the </w:t>
      </w:r>
      <w:proofErr w:type="gramStart"/>
      <w:r w:rsidRPr="00C67298">
        <w:rPr>
          <w:color w:val="000000"/>
          <w:sz w:val="22"/>
          <w:szCs w:val="22"/>
          <w:lang w:val="en-US"/>
        </w:rPr>
        <w:t>particular parts</w:t>
      </w:r>
      <w:proofErr w:type="gramEnd"/>
      <w:r w:rsidRPr="00C67298">
        <w:rPr>
          <w:color w:val="000000"/>
          <w:sz w:val="22"/>
          <w:szCs w:val="22"/>
          <w:lang w:val="en-US"/>
        </w:rPr>
        <w:t xml:space="preserve"> of the fishery to which the TAC applies.</w:t>
      </w:r>
    </w:p>
    <w:p w14:paraId="0D5C3B09" w14:textId="77777777" w:rsidR="00B86157" w:rsidRPr="00A9283F" w:rsidRDefault="00B86157" w:rsidP="00B86157">
      <w:pPr>
        <w:pStyle w:val="AFMANormal"/>
        <w:spacing w:after="240" w:line="276" w:lineRule="auto"/>
        <w:rPr>
          <w:b/>
          <w:sz w:val="22"/>
          <w:szCs w:val="22"/>
        </w:rPr>
      </w:pPr>
      <w:r w:rsidRPr="00A9283F">
        <w:rPr>
          <w:b/>
          <w:sz w:val="22"/>
          <w:szCs w:val="22"/>
        </w:rPr>
        <w:t>Background</w:t>
      </w:r>
    </w:p>
    <w:p w14:paraId="58BD5BAA" w14:textId="473E5CCB" w:rsidR="00AF208C" w:rsidRPr="00A9283F" w:rsidRDefault="00AF208C" w:rsidP="00AF208C">
      <w:pPr>
        <w:autoSpaceDE w:val="0"/>
        <w:autoSpaceDN w:val="0"/>
        <w:adjustRightInd w:val="0"/>
        <w:spacing w:before="240" w:after="240" w:line="276" w:lineRule="auto"/>
        <w:jc w:val="both"/>
        <w:rPr>
          <w:color w:val="000000"/>
          <w:sz w:val="22"/>
          <w:szCs w:val="22"/>
          <w:lang w:val="en-US"/>
        </w:rPr>
      </w:pPr>
      <w:r w:rsidRPr="00A9283F">
        <w:rPr>
          <w:color w:val="000000"/>
          <w:sz w:val="22"/>
          <w:szCs w:val="22"/>
          <w:lang w:val="en-US"/>
        </w:rPr>
        <w:t xml:space="preserve">The Fishery covers the area of waters from approximately 80 nautical miles off the coast near Fraser Island in Queensland, south around Tasmania and west to Cape Leeuwin in Western Australia. The area of the </w:t>
      </w:r>
      <w:r w:rsidR="00540429" w:rsidRPr="00A9283F">
        <w:rPr>
          <w:color w:val="000000"/>
          <w:sz w:val="22"/>
          <w:szCs w:val="22"/>
          <w:lang w:val="en-US"/>
        </w:rPr>
        <w:t xml:space="preserve">Fishery </w:t>
      </w:r>
      <w:r w:rsidRPr="00A9283F">
        <w:rPr>
          <w:color w:val="000000"/>
          <w:sz w:val="22"/>
          <w:szCs w:val="22"/>
          <w:lang w:val="en-US"/>
        </w:rPr>
        <w:t xml:space="preserve">encompasses almost half of the waters within the Australian Fishing Zone. The </w:t>
      </w:r>
      <w:r w:rsidR="00540429" w:rsidRPr="00A9283F">
        <w:rPr>
          <w:color w:val="000000"/>
          <w:sz w:val="22"/>
          <w:szCs w:val="22"/>
          <w:lang w:val="en-US"/>
        </w:rPr>
        <w:t>Fishery</w:t>
      </w:r>
      <w:r w:rsidRPr="00A9283F">
        <w:rPr>
          <w:color w:val="000000"/>
          <w:sz w:val="22"/>
          <w:szCs w:val="22"/>
          <w:lang w:val="en-US"/>
        </w:rPr>
        <w:t xml:space="preserve"> operates in both Commonwealth and State waters under jurisdictional arrangements made under Part 5 of the Act. Those </w:t>
      </w:r>
      <w:r w:rsidRPr="00A9283F">
        <w:rPr>
          <w:color w:val="000000"/>
          <w:sz w:val="22"/>
          <w:szCs w:val="22"/>
          <w:lang w:val="en-US"/>
        </w:rPr>
        <w:lastRenderedPageBreak/>
        <w:t>arrangements vary the application of the Offshore Constitutional Settlement with resp</w:t>
      </w:r>
      <w:r w:rsidR="00540429" w:rsidRPr="00A9283F">
        <w:rPr>
          <w:color w:val="000000"/>
          <w:sz w:val="22"/>
          <w:szCs w:val="22"/>
          <w:lang w:val="en-US"/>
        </w:rPr>
        <w:t>ect to fisheries jurisdiction.</w:t>
      </w:r>
    </w:p>
    <w:p w14:paraId="737263DE" w14:textId="78A248DF" w:rsidR="00AF208C" w:rsidRPr="00981B6D" w:rsidRDefault="00AF208C" w:rsidP="00AF208C">
      <w:pPr>
        <w:autoSpaceDE w:val="0"/>
        <w:autoSpaceDN w:val="0"/>
        <w:adjustRightInd w:val="0"/>
        <w:spacing w:before="240" w:after="240" w:line="276" w:lineRule="auto"/>
        <w:jc w:val="both"/>
        <w:rPr>
          <w:color w:val="000000"/>
          <w:sz w:val="22"/>
          <w:szCs w:val="22"/>
          <w:lang w:val="en-US"/>
        </w:rPr>
      </w:pPr>
      <w:r w:rsidRPr="00981B6D">
        <w:rPr>
          <w:color w:val="000000"/>
          <w:sz w:val="22"/>
          <w:szCs w:val="22"/>
          <w:lang w:val="en-US"/>
        </w:rPr>
        <w:t xml:space="preserve">Management in the </w:t>
      </w:r>
      <w:r w:rsidR="00540429" w:rsidRPr="00981B6D">
        <w:rPr>
          <w:color w:val="000000"/>
          <w:sz w:val="22"/>
          <w:szCs w:val="22"/>
          <w:lang w:val="en-US"/>
        </w:rPr>
        <w:t>Fishery</w:t>
      </w:r>
      <w:r w:rsidRPr="00981B6D">
        <w:rPr>
          <w:color w:val="000000"/>
          <w:sz w:val="22"/>
          <w:szCs w:val="22"/>
          <w:lang w:val="en-US"/>
        </w:rPr>
        <w:t xml:space="preserve"> is mainly through output controls in the form of TAC limits set under the Act, pursuant to the Management Plan, and in accordance with the Commonwealth Fisheries Harvest Strategy Policy</w:t>
      </w:r>
      <w:r w:rsidR="00E2796F">
        <w:rPr>
          <w:rStyle w:val="FootnoteReference"/>
          <w:color w:val="000000"/>
          <w:sz w:val="22"/>
          <w:szCs w:val="22"/>
          <w:lang w:val="en-US"/>
        </w:rPr>
        <w:footnoteReference w:id="2"/>
      </w:r>
      <w:r w:rsidRPr="00981B6D">
        <w:rPr>
          <w:color w:val="000000"/>
          <w:sz w:val="22"/>
          <w:szCs w:val="22"/>
          <w:lang w:val="en-US"/>
        </w:rPr>
        <w:t xml:space="preserve"> and the specific S</w:t>
      </w:r>
      <w:r w:rsidR="00786F7A" w:rsidRPr="00981B6D">
        <w:rPr>
          <w:color w:val="000000"/>
          <w:sz w:val="22"/>
          <w:szCs w:val="22"/>
          <w:lang w:val="en-US"/>
        </w:rPr>
        <w:t>outhern and Eastern Scalefish and Shark Fishery (</w:t>
      </w:r>
      <w:r w:rsidR="00786F7A" w:rsidRPr="00B271B3">
        <w:rPr>
          <w:b/>
          <w:color w:val="000000"/>
          <w:sz w:val="22"/>
          <w:szCs w:val="22"/>
          <w:lang w:val="en-US"/>
        </w:rPr>
        <w:t>S</w:t>
      </w:r>
      <w:r w:rsidRPr="00B271B3">
        <w:rPr>
          <w:b/>
          <w:color w:val="000000"/>
          <w:sz w:val="22"/>
          <w:szCs w:val="22"/>
          <w:lang w:val="en-US"/>
        </w:rPr>
        <w:t>ESSF</w:t>
      </w:r>
      <w:r w:rsidR="00786F7A" w:rsidRPr="00981B6D">
        <w:rPr>
          <w:color w:val="000000"/>
          <w:sz w:val="22"/>
          <w:szCs w:val="22"/>
          <w:lang w:val="en-US"/>
        </w:rPr>
        <w:t>)</w:t>
      </w:r>
      <w:r w:rsidRPr="00981B6D">
        <w:rPr>
          <w:color w:val="000000"/>
          <w:sz w:val="22"/>
          <w:szCs w:val="22"/>
          <w:lang w:val="en-US"/>
        </w:rPr>
        <w:t xml:space="preserve"> Harvest Strategy Framework (</w:t>
      </w:r>
      <w:r w:rsidR="005A0F35" w:rsidRPr="00B271B3">
        <w:rPr>
          <w:b/>
          <w:color w:val="000000"/>
          <w:sz w:val="22"/>
          <w:szCs w:val="22"/>
          <w:lang w:val="en-US"/>
        </w:rPr>
        <w:t xml:space="preserve">SESSF </w:t>
      </w:r>
      <w:r w:rsidRPr="00B271B3">
        <w:rPr>
          <w:b/>
          <w:color w:val="000000"/>
          <w:sz w:val="22"/>
          <w:szCs w:val="22"/>
          <w:lang w:val="en-US"/>
        </w:rPr>
        <w:t>HSF</w:t>
      </w:r>
      <w:r w:rsidRPr="00981B6D">
        <w:rPr>
          <w:color w:val="000000"/>
          <w:sz w:val="22"/>
          <w:szCs w:val="22"/>
          <w:lang w:val="en-US"/>
        </w:rPr>
        <w:t>)</w:t>
      </w:r>
      <w:r w:rsidR="002A0FF9">
        <w:rPr>
          <w:rStyle w:val="FootnoteReference"/>
          <w:color w:val="000000"/>
          <w:sz w:val="22"/>
          <w:szCs w:val="22"/>
          <w:lang w:val="en-US"/>
        </w:rPr>
        <w:footnoteReference w:id="3"/>
      </w:r>
      <w:r w:rsidRPr="00981B6D">
        <w:rPr>
          <w:color w:val="000000"/>
          <w:sz w:val="22"/>
          <w:szCs w:val="22"/>
          <w:lang w:val="en-US"/>
        </w:rPr>
        <w:t xml:space="preserve">. Input controls are also used, which include a limit on the number of boats that operate in each sector of the </w:t>
      </w:r>
      <w:r w:rsidR="003513CC" w:rsidRPr="00981B6D">
        <w:rPr>
          <w:color w:val="000000"/>
          <w:sz w:val="22"/>
          <w:szCs w:val="22"/>
          <w:lang w:val="en-US"/>
        </w:rPr>
        <w:t>F</w:t>
      </w:r>
      <w:r w:rsidRPr="00981B6D">
        <w:rPr>
          <w:color w:val="000000"/>
          <w:sz w:val="22"/>
          <w:szCs w:val="22"/>
          <w:lang w:val="en-US"/>
        </w:rPr>
        <w:t xml:space="preserve">ishery, as well as gear restrictions such as limits on mesh size and the amount of fishing gear that may be used. </w:t>
      </w:r>
    </w:p>
    <w:p w14:paraId="1A74970D" w14:textId="77777777" w:rsidR="00B86157" w:rsidRPr="00422FD7" w:rsidRDefault="00B86157" w:rsidP="00B86157">
      <w:pPr>
        <w:pStyle w:val="AFMANormal"/>
        <w:keepNext/>
        <w:spacing w:before="0" w:after="240"/>
        <w:rPr>
          <w:b/>
          <w:szCs w:val="24"/>
        </w:rPr>
      </w:pPr>
      <w:r w:rsidRPr="00422FD7">
        <w:rPr>
          <w:b/>
          <w:szCs w:val="24"/>
        </w:rPr>
        <w:t>Consultation</w:t>
      </w:r>
    </w:p>
    <w:p w14:paraId="79A673D3" w14:textId="67562C92" w:rsidR="00B52CD4" w:rsidRPr="00422FD7" w:rsidRDefault="00B52CD4" w:rsidP="00B52CD4">
      <w:pPr>
        <w:autoSpaceDE w:val="0"/>
        <w:autoSpaceDN w:val="0"/>
        <w:adjustRightInd w:val="0"/>
        <w:spacing w:before="240" w:after="240" w:line="276" w:lineRule="auto"/>
        <w:jc w:val="both"/>
        <w:rPr>
          <w:color w:val="000000"/>
          <w:sz w:val="22"/>
          <w:szCs w:val="22"/>
          <w:lang w:val="en-US"/>
        </w:rPr>
      </w:pPr>
      <w:r w:rsidRPr="00422FD7">
        <w:rPr>
          <w:color w:val="000000"/>
          <w:sz w:val="22"/>
          <w:szCs w:val="22"/>
          <w:lang w:val="en-US"/>
        </w:rPr>
        <w:t xml:space="preserve">Section 12 of the Management Plan provides that, </w:t>
      </w:r>
      <w:r w:rsidR="00261F79" w:rsidRPr="00422FD7">
        <w:rPr>
          <w:color w:val="000000"/>
          <w:sz w:val="22"/>
          <w:szCs w:val="22"/>
          <w:lang w:val="en-US"/>
        </w:rPr>
        <w:t xml:space="preserve">in determining </w:t>
      </w:r>
      <w:r w:rsidRPr="00422FD7">
        <w:rPr>
          <w:color w:val="000000"/>
          <w:sz w:val="22"/>
          <w:szCs w:val="22"/>
          <w:lang w:val="en-US"/>
        </w:rPr>
        <w:t xml:space="preserve">a TAC for a quota species for a fishing year, </w:t>
      </w:r>
      <w:r w:rsidR="00261F79" w:rsidRPr="00422FD7">
        <w:rPr>
          <w:color w:val="000000"/>
          <w:sz w:val="22"/>
          <w:szCs w:val="22"/>
          <w:lang w:val="en-US"/>
        </w:rPr>
        <w:t>AFMA</w:t>
      </w:r>
      <w:r w:rsidRPr="00422FD7">
        <w:rPr>
          <w:color w:val="000000"/>
          <w:sz w:val="22"/>
          <w:szCs w:val="22"/>
          <w:lang w:val="en-US"/>
        </w:rPr>
        <w:t xml:space="preserve"> must consult </w:t>
      </w:r>
      <w:r w:rsidR="00B85CF1" w:rsidRPr="00422FD7">
        <w:rPr>
          <w:color w:val="000000"/>
          <w:sz w:val="22"/>
          <w:szCs w:val="22"/>
          <w:lang w:val="en-US"/>
        </w:rPr>
        <w:t>with any relevant management advisory committee</w:t>
      </w:r>
      <w:r w:rsidR="003513CC" w:rsidRPr="00422FD7">
        <w:rPr>
          <w:color w:val="000000"/>
          <w:sz w:val="22"/>
          <w:szCs w:val="22"/>
          <w:lang w:val="en-US"/>
        </w:rPr>
        <w:t xml:space="preserve"> (</w:t>
      </w:r>
      <w:r w:rsidR="003513CC" w:rsidRPr="00B271B3">
        <w:rPr>
          <w:b/>
          <w:color w:val="000000"/>
          <w:sz w:val="22"/>
          <w:szCs w:val="22"/>
          <w:lang w:val="en-US"/>
        </w:rPr>
        <w:t>MAC</w:t>
      </w:r>
      <w:r w:rsidR="003513CC" w:rsidRPr="00422FD7">
        <w:rPr>
          <w:color w:val="000000"/>
          <w:sz w:val="22"/>
          <w:szCs w:val="22"/>
          <w:lang w:val="en-US"/>
        </w:rPr>
        <w:t>)</w:t>
      </w:r>
      <w:r w:rsidR="00B85CF1" w:rsidRPr="00422FD7">
        <w:rPr>
          <w:color w:val="000000"/>
          <w:sz w:val="22"/>
          <w:szCs w:val="22"/>
          <w:lang w:val="en-US"/>
        </w:rPr>
        <w:t xml:space="preserve"> and have regard to any view expressed in that consultation</w:t>
      </w:r>
      <w:r w:rsidRPr="00422FD7">
        <w:rPr>
          <w:color w:val="000000"/>
          <w:sz w:val="22"/>
          <w:szCs w:val="22"/>
          <w:lang w:val="en-US"/>
        </w:rPr>
        <w:t xml:space="preserve"> (paragraph 12(a))</w:t>
      </w:r>
      <w:r w:rsidR="00B85CF1" w:rsidRPr="00422FD7">
        <w:rPr>
          <w:color w:val="000000"/>
          <w:sz w:val="22"/>
          <w:szCs w:val="22"/>
          <w:lang w:val="en-US"/>
        </w:rPr>
        <w:t>;</w:t>
      </w:r>
      <w:r w:rsidRPr="00422FD7">
        <w:rPr>
          <w:color w:val="000000"/>
          <w:sz w:val="22"/>
          <w:szCs w:val="22"/>
          <w:lang w:val="en-US"/>
        </w:rPr>
        <w:t xml:space="preserve"> and take into account advice from the relevant resource assessment group </w:t>
      </w:r>
      <w:r w:rsidR="003513CC" w:rsidRPr="00422FD7">
        <w:rPr>
          <w:color w:val="000000"/>
          <w:sz w:val="22"/>
          <w:szCs w:val="22"/>
          <w:lang w:val="en-US"/>
        </w:rPr>
        <w:t>(</w:t>
      </w:r>
      <w:r w:rsidR="003513CC" w:rsidRPr="00B271B3">
        <w:rPr>
          <w:b/>
          <w:color w:val="000000"/>
          <w:sz w:val="22"/>
          <w:szCs w:val="22"/>
          <w:lang w:val="en-US"/>
        </w:rPr>
        <w:t>RAG</w:t>
      </w:r>
      <w:r w:rsidR="003513CC" w:rsidRPr="00422FD7">
        <w:rPr>
          <w:color w:val="000000"/>
          <w:sz w:val="22"/>
          <w:szCs w:val="22"/>
          <w:lang w:val="en-US"/>
        </w:rPr>
        <w:t xml:space="preserve">) </w:t>
      </w:r>
      <w:r w:rsidRPr="00422FD7">
        <w:rPr>
          <w:color w:val="000000"/>
          <w:sz w:val="22"/>
          <w:szCs w:val="22"/>
          <w:lang w:val="en-US"/>
        </w:rPr>
        <w:t xml:space="preserve">about the stock status of a quota species (paragraph 12(b)). AFMA must also </w:t>
      </w:r>
      <w:proofErr w:type="gramStart"/>
      <w:r w:rsidRPr="00422FD7">
        <w:rPr>
          <w:color w:val="000000"/>
          <w:sz w:val="22"/>
          <w:szCs w:val="22"/>
          <w:lang w:val="en-US"/>
        </w:rPr>
        <w:t>take into account</w:t>
      </w:r>
      <w:proofErr w:type="gramEnd"/>
      <w:r w:rsidRPr="00422FD7">
        <w:rPr>
          <w:color w:val="000000"/>
          <w:sz w:val="22"/>
          <w:szCs w:val="22"/>
          <w:lang w:val="en-US"/>
        </w:rPr>
        <w:t xml:space="preserve"> all fishing mortality from all sectors within the fishery and overlapping or adjacent fisheries, the ecological implications</w:t>
      </w:r>
      <w:r w:rsidR="00B12A86" w:rsidRPr="00422FD7">
        <w:rPr>
          <w:color w:val="000000"/>
          <w:sz w:val="22"/>
          <w:szCs w:val="22"/>
          <w:lang w:val="en-US"/>
        </w:rPr>
        <w:t xml:space="preserve"> </w:t>
      </w:r>
      <w:r w:rsidRPr="00422FD7">
        <w:rPr>
          <w:color w:val="000000"/>
          <w:sz w:val="22"/>
          <w:szCs w:val="22"/>
          <w:lang w:val="en-US"/>
        </w:rPr>
        <w:t xml:space="preserve">of harvesting the TAC, the distribution and population structure of the species and the precautionary principle (paragraph 12(c)). AFMA may also consider the views of any other interested person (paragraph 12(d)).  </w:t>
      </w:r>
    </w:p>
    <w:p w14:paraId="70790900" w14:textId="378C93D0" w:rsidR="007B422C" w:rsidRPr="00422FD7" w:rsidRDefault="007B422C" w:rsidP="007B422C">
      <w:pPr>
        <w:autoSpaceDE w:val="0"/>
        <w:autoSpaceDN w:val="0"/>
        <w:adjustRightInd w:val="0"/>
        <w:spacing w:before="240" w:after="240" w:line="276" w:lineRule="auto"/>
        <w:jc w:val="both"/>
        <w:rPr>
          <w:color w:val="000000"/>
          <w:sz w:val="22"/>
          <w:szCs w:val="22"/>
          <w:lang w:val="en-US" w:eastAsia="en-AU"/>
        </w:rPr>
      </w:pPr>
      <w:r w:rsidRPr="00422FD7">
        <w:rPr>
          <w:color w:val="000000"/>
          <w:sz w:val="22"/>
          <w:szCs w:val="22"/>
          <w:lang w:val="en-US" w:eastAsia="en-AU"/>
        </w:rPr>
        <w:t xml:space="preserve">AFMA has established RAGs and MACs to assist AFMA in the performance of its functions. Notably, the functions of MACs established by AFMA include the function of being a liaison body between AFMA and persons engaged in a fishery (pursuant to paragraph 57(2)(a) of the </w:t>
      </w:r>
      <w:r w:rsidRPr="00422FD7">
        <w:rPr>
          <w:i/>
          <w:color w:val="000000"/>
          <w:sz w:val="22"/>
          <w:szCs w:val="22"/>
          <w:lang w:val="en-US" w:eastAsia="en-AU"/>
        </w:rPr>
        <w:t>Fisheries Administration Act 1991</w:t>
      </w:r>
      <w:r w:rsidR="003F5BB7" w:rsidRPr="00422FD7">
        <w:rPr>
          <w:i/>
          <w:color w:val="000000"/>
          <w:sz w:val="22"/>
          <w:szCs w:val="22"/>
          <w:lang w:val="en-US" w:eastAsia="en-AU"/>
        </w:rPr>
        <w:t>)</w:t>
      </w:r>
      <w:r w:rsidRPr="00422FD7">
        <w:rPr>
          <w:color w:val="000000"/>
          <w:sz w:val="22"/>
          <w:szCs w:val="22"/>
          <w:lang w:val="en-US" w:eastAsia="en-AU"/>
        </w:rPr>
        <w:t>.</w:t>
      </w:r>
    </w:p>
    <w:p w14:paraId="189B3DF0" w14:textId="23F82F61" w:rsidR="005800A0" w:rsidRPr="00FF138F" w:rsidRDefault="005800A0" w:rsidP="005800A0">
      <w:pPr>
        <w:autoSpaceDE w:val="0"/>
        <w:autoSpaceDN w:val="0"/>
        <w:adjustRightInd w:val="0"/>
        <w:spacing w:before="240" w:after="240" w:line="276" w:lineRule="auto"/>
        <w:jc w:val="both"/>
        <w:rPr>
          <w:color w:val="000000"/>
          <w:sz w:val="22"/>
          <w:szCs w:val="22"/>
          <w:lang w:val="en-US" w:eastAsia="en-AU"/>
        </w:rPr>
      </w:pPr>
      <w:r w:rsidRPr="00FF138F">
        <w:rPr>
          <w:color w:val="000000"/>
          <w:sz w:val="22"/>
          <w:szCs w:val="22"/>
          <w:lang w:val="en-US" w:eastAsia="en-AU"/>
        </w:rPr>
        <w:t>RAG</w:t>
      </w:r>
      <w:r w:rsidR="009A6E80">
        <w:rPr>
          <w:color w:val="000000"/>
          <w:sz w:val="22"/>
          <w:szCs w:val="22"/>
          <w:lang w:val="en-US" w:eastAsia="en-AU"/>
        </w:rPr>
        <w:t>s</w:t>
      </w:r>
      <w:r w:rsidRPr="00FF138F">
        <w:rPr>
          <w:color w:val="000000"/>
          <w:sz w:val="22"/>
          <w:szCs w:val="22"/>
          <w:lang w:val="en-US" w:eastAsia="en-AU"/>
        </w:rPr>
        <w:t xml:space="preserve"> provide advice and recommendations to management advisory committees, AFMA management, the AFMA Commission and the AFMA Research Committee, on the status of fish stocks, substocks, species (target and non-target), fishery economics and on the impact of fishing on the marine environment. SESSFRAG is the key research and scientific committee for management of the SESSF. The group reviews the previous year’s assessments for quota species, general research priorities for the fishery and provides fishery wide advice. The group provides oversight and recommendations to </w:t>
      </w:r>
      <w:r w:rsidR="00E917D5" w:rsidRPr="00FF138F">
        <w:rPr>
          <w:color w:val="000000"/>
          <w:sz w:val="22"/>
          <w:szCs w:val="22"/>
          <w:lang w:val="en-US" w:eastAsia="en-AU"/>
        </w:rPr>
        <w:t xml:space="preserve">the South East </w:t>
      </w:r>
      <w:r w:rsidR="00042955" w:rsidRPr="00FF138F">
        <w:rPr>
          <w:color w:val="000000"/>
          <w:sz w:val="22"/>
          <w:szCs w:val="22"/>
          <w:lang w:val="en-US" w:eastAsia="en-AU"/>
        </w:rPr>
        <w:t>RAG (</w:t>
      </w:r>
      <w:r w:rsidRPr="00B271B3">
        <w:rPr>
          <w:b/>
          <w:color w:val="000000"/>
          <w:sz w:val="22"/>
          <w:szCs w:val="22"/>
          <w:lang w:val="en-US" w:eastAsia="en-AU"/>
        </w:rPr>
        <w:t>SERAG</w:t>
      </w:r>
      <w:r w:rsidR="00042955" w:rsidRPr="00FF138F">
        <w:rPr>
          <w:color w:val="000000"/>
          <w:sz w:val="22"/>
          <w:szCs w:val="22"/>
          <w:lang w:val="en-US" w:eastAsia="en-AU"/>
        </w:rPr>
        <w:t>)</w:t>
      </w:r>
      <w:r w:rsidRPr="00FF138F">
        <w:rPr>
          <w:color w:val="000000"/>
          <w:sz w:val="22"/>
          <w:szCs w:val="22"/>
          <w:lang w:val="en-US" w:eastAsia="en-AU"/>
        </w:rPr>
        <w:t>, SharkRAG and</w:t>
      </w:r>
      <w:r w:rsidR="00042955" w:rsidRPr="00FF138F">
        <w:rPr>
          <w:color w:val="000000"/>
          <w:sz w:val="22"/>
          <w:szCs w:val="22"/>
          <w:lang w:val="en-US" w:eastAsia="en-AU"/>
        </w:rPr>
        <w:t xml:space="preserve"> the Great Australian Bight RAG (</w:t>
      </w:r>
      <w:r w:rsidRPr="00B271B3">
        <w:rPr>
          <w:b/>
          <w:color w:val="000000"/>
          <w:sz w:val="22"/>
          <w:szCs w:val="22"/>
          <w:lang w:val="en-US" w:eastAsia="en-AU"/>
        </w:rPr>
        <w:t>GABRAG</w:t>
      </w:r>
      <w:r w:rsidR="00042955" w:rsidRPr="00FF138F">
        <w:rPr>
          <w:color w:val="000000"/>
          <w:sz w:val="22"/>
          <w:szCs w:val="22"/>
          <w:lang w:val="en-US" w:eastAsia="en-AU"/>
        </w:rPr>
        <w:t>)</w:t>
      </w:r>
      <w:r w:rsidRPr="00FF138F">
        <w:rPr>
          <w:color w:val="000000"/>
          <w:sz w:val="22"/>
          <w:szCs w:val="22"/>
          <w:lang w:val="en-US" w:eastAsia="en-AU"/>
        </w:rPr>
        <w:t>. Industry, fisheries scientists and economists are represented on SESSFRAG, SERAG, SharkRAG and GABRAG.</w:t>
      </w:r>
    </w:p>
    <w:p w14:paraId="6C60F334" w14:textId="557FF2E2" w:rsidR="00A5499C" w:rsidRPr="00FF138F" w:rsidRDefault="00A20F64" w:rsidP="00B87C62">
      <w:pPr>
        <w:autoSpaceDE w:val="0"/>
        <w:autoSpaceDN w:val="0"/>
        <w:adjustRightInd w:val="0"/>
        <w:spacing w:before="240" w:after="240" w:line="276" w:lineRule="auto"/>
        <w:jc w:val="both"/>
        <w:rPr>
          <w:color w:val="000000"/>
          <w:sz w:val="22"/>
          <w:szCs w:val="22"/>
          <w:lang w:val="en-US" w:eastAsia="en-AU"/>
        </w:rPr>
      </w:pPr>
      <w:r w:rsidRPr="00FF138F">
        <w:rPr>
          <w:color w:val="000000"/>
          <w:sz w:val="22"/>
          <w:szCs w:val="22"/>
          <w:lang w:val="en-US" w:eastAsia="en-AU"/>
        </w:rPr>
        <w:t xml:space="preserve">These groups provide general recommendations on fishery related research and recommended biological catches for the following species: </w:t>
      </w:r>
    </w:p>
    <w:p w14:paraId="28959B46" w14:textId="09D1297E" w:rsidR="00A20F64" w:rsidRPr="00FF138F" w:rsidRDefault="00A20F64" w:rsidP="00F71D93">
      <w:pPr>
        <w:pStyle w:val="ListParagraph"/>
        <w:numPr>
          <w:ilvl w:val="0"/>
          <w:numId w:val="3"/>
        </w:numPr>
        <w:autoSpaceDE w:val="0"/>
        <w:autoSpaceDN w:val="0"/>
        <w:adjustRightInd w:val="0"/>
        <w:spacing w:before="240" w:after="240" w:line="276" w:lineRule="auto"/>
        <w:jc w:val="both"/>
        <w:rPr>
          <w:color w:val="000000"/>
          <w:sz w:val="22"/>
          <w:szCs w:val="22"/>
          <w:lang w:val="en-US" w:eastAsia="en-AU"/>
        </w:rPr>
      </w:pPr>
      <w:r w:rsidRPr="292365FC">
        <w:rPr>
          <w:color w:val="000000" w:themeColor="text1"/>
          <w:sz w:val="22"/>
          <w:szCs w:val="22"/>
          <w:lang w:val="en-US" w:eastAsia="en-AU"/>
        </w:rPr>
        <w:t xml:space="preserve">SERAG – alfonsino, blue-eye trevella, blue grenadier, blue warehou, deepwater sharks, gemfish (east/west), jackass morwong, John dory, mirror dory, ocean perch, orange roughy (all zones except </w:t>
      </w:r>
      <w:r w:rsidRPr="292365FC">
        <w:rPr>
          <w:color w:val="000000" w:themeColor="text1"/>
          <w:sz w:val="22"/>
          <w:szCs w:val="22"/>
          <w:lang w:val="en-US" w:eastAsia="en-AU"/>
        </w:rPr>
        <w:lastRenderedPageBreak/>
        <w:t>Albany/ Esperance), pink ling, redfish, ribaldo, royal red prawn, oreo (basket and smooth cascade/ non cascade), school whiting, silver trevally, silver warehou and tiger flathead.</w:t>
      </w:r>
    </w:p>
    <w:p w14:paraId="38317E12" w14:textId="396A05FC" w:rsidR="00A20F64" w:rsidRPr="00FF138F" w:rsidRDefault="00A20F64" w:rsidP="00524BDB">
      <w:pPr>
        <w:pStyle w:val="ListParagraph"/>
        <w:numPr>
          <w:ilvl w:val="0"/>
          <w:numId w:val="3"/>
        </w:numPr>
        <w:autoSpaceDE w:val="0"/>
        <w:autoSpaceDN w:val="0"/>
        <w:adjustRightInd w:val="0"/>
        <w:spacing w:before="240" w:after="240" w:line="276" w:lineRule="auto"/>
        <w:jc w:val="both"/>
        <w:rPr>
          <w:color w:val="000000"/>
          <w:sz w:val="22"/>
          <w:szCs w:val="22"/>
          <w:lang w:val="en-US" w:eastAsia="en-AU"/>
        </w:rPr>
      </w:pPr>
      <w:r w:rsidRPr="292365FC">
        <w:rPr>
          <w:color w:val="000000" w:themeColor="text1"/>
          <w:sz w:val="22"/>
          <w:szCs w:val="22"/>
          <w:lang w:val="en-US" w:eastAsia="en-AU"/>
        </w:rPr>
        <w:t xml:space="preserve">SharkRAG – elephantfish, gummy shark, saw shark and school shark. </w:t>
      </w:r>
    </w:p>
    <w:p w14:paraId="33745B48" w14:textId="4D4B280C" w:rsidR="00A20F64" w:rsidRPr="00FF138F" w:rsidRDefault="00A20F64" w:rsidP="00524BDB">
      <w:pPr>
        <w:pStyle w:val="ListParagraph"/>
        <w:numPr>
          <w:ilvl w:val="0"/>
          <w:numId w:val="3"/>
        </w:numPr>
        <w:autoSpaceDE w:val="0"/>
        <w:autoSpaceDN w:val="0"/>
        <w:adjustRightInd w:val="0"/>
        <w:spacing w:before="240" w:after="240" w:line="276" w:lineRule="auto"/>
        <w:jc w:val="both"/>
        <w:rPr>
          <w:color w:val="000000"/>
          <w:sz w:val="22"/>
          <w:szCs w:val="22"/>
          <w:lang w:val="en-US" w:eastAsia="en-AU"/>
        </w:rPr>
      </w:pPr>
      <w:r w:rsidRPr="292365FC">
        <w:rPr>
          <w:color w:val="000000" w:themeColor="text1"/>
          <w:sz w:val="22"/>
          <w:szCs w:val="22"/>
          <w:lang w:val="en-US" w:eastAsia="en-AU"/>
        </w:rPr>
        <w:t xml:space="preserve">GABRAG – </w:t>
      </w:r>
      <w:r w:rsidR="00BE7C95">
        <w:rPr>
          <w:color w:val="000000" w:themeColor="text1"/>
          <w:sz w:val="22"/>
          <w:szCs w:val="22"/>
          <w:lang w:val="en-US" w:eastAsia="en-AU"/>
        </w:rPr>
        <w:t>b</w:t>
      </w:r>
      <w:r w:rsidRPr="292365FC">
        <w:rPr>
          <w:color w:val="000000" w:themeColor="text1"/>
          <w:sz w:val="22"/>
          <w:szCs w:val="22"/>
          <w:lang w:val="en-US" w:eastAsia="en-AU"/>
        </w:rPr>
        <w:t>ight redfish, deepwater flathead and orange roughy (Albany/ Esperance)</w:t>
      </w:r>
    </w:p>
    <w:p w14:paraId="2838F287" w14:textId="08A1AFDD" w:rsidR="00A20F64" w:rsidRPr="00FF138F" w:rsidRDefault="00A20F64" w:rsidP="00A20F64">
      <w:pPr>
        <w:autoSpaceDE w:val="0"/>
        <w:autoSpaceDN w:val="0"/>
        <w:adjustRightInd w:val="0"/>
        <w:spacing w:before="240" w:after="240" w:line="276" w:lineRule="auto"/>
        <w:jc w:val="both"/>
        <w:rPr>
          <w:color w:val="000000"/>
          <w:sz w:val="22"/>
          <w:szCs w:val="22"/>
          <w:lang w:val="en-US" w:eastAsia="en-AU"/>
        </w:rPr>
      </w:pPr>
      <w:r w:rsidRPr="00FF138F">
        <w:rPr>
          <w:color w:val="000000"/>
          <w:sz w:val="22"/>
          <w:szCs w:val="22"/>
          <w:lang w:val="en-US" w:eastAsia="en-AU"/>
        </w:rPr>
        <w:t xml:space="preserve">MACs provide management advice to AFMA on the scientific and </w:t>
      </w:r>
      <w:r w:rsidR="00393D57" w:rsidRPr="00FF138F">
        <w:rPr>
          <w:color w:val="000000"/>
          <w:sz w:val="22"/>
          <w:szCs w:val="22"/>
          <w:lang w:val="en-US" w:eastAsia="en-AU"/>
        </w:rPr>
        <w:t>economic status of fish stocks, substocks, species (target and non-target species) and the impacts of fishing on the marine environment. Membership consists of industry, economists, conservationists, state governments, recreational fishers and other interested groups.</w:t>
      </w:r>
    </w:p>
    <w:p w14:paraId="1CEE0FD2" w14:textId="71FF3541" w:rsidR="00393D57" w:rsidRPr="00FF138F" w:rsidRDefault="00A172A3" w:rsidP="00A20F64">
      <w:pPr>
        <w:autoSpaceDE w:val="0"/>
        <w:autoSpaceDN w:val="0"/>
        <w:adjustRightInd w:val="0"/>
        <w:spacing w:before="240" w:after="240" w:line="276" w:lineRule="auto"/>
        <w:jc w:val="both"/>
        <w:rPr>
          <w:color w:val="000000"/>
          <w:sz w:val="22"/>
          <w:szCs w:val="22"/>
          <w:lang w:val="en-US" w:eastAsia="en-AU"/>
        </w:rPr>
      </w:pPr>
      <w:r w:rsidRPr="00FF138F">
        <w:rPr>
          <w:color w:val="000000"/>
          <w:sz w:val="22"/>
          <w:szCs w:val="22"/>
          <w:lang w:val="en-US" w:eastAsia="en-AU"/>
        </w:rPr>
        <w:t xml:space="preserve">The South East </w:t>
      </w:r>
      <w:r w:rsidR="00393D57" w:rsidRPr="00FF138F">
        <w:rPr>
          <w:color w:val="000000"/>
          <w:sz w:val="22"/>
          <w:szCs w:val="22"/>
          <w:lang w:val="en-US" w:eastAsia="en-AU"/>
        </w:rPr>
        <w:t xml:space="preserve">MAC </w:t>
      </w:r>
      <w:r w:rsidRPr="00FF138F">
        <w:rPr>
          <w:color w:val="000000"/>
          <w:sz w:val="22"/>
          <w:szCs w:val="22"/>
          <w:lang w:val="en-US" w:eastAsia="en-AU"/>
        </w:rPr>
        <w:t>(</w:t>
      </w:r>
      <w:r w:rsidRPr="00B271B3">
        <w:rPr>
          <w:b/>
          <w:color w:val="000000"/>
          <w:sz w:val="22"/>
          <w:szCs w:val="22"/>
          <w:lang w:val="en-US" w:eastAsia="en-AU"/>
        </w:rPr>
        <w:t>SEMAC</w:t>
      </w:r>
      <w:r w:rsidRPr="00FF138F">
        <w:rPr>
          <w:color w:val="000000"/>
          <w:sz w:val="22"/>
          <w:szCs w:val="22"/>
          <w:lang w:val="en-US" w:eastAsia="en-AU"/>
        </w:rPr>
        <w:t xml:space="preserve">) </w:t>
      </w:r>
      <w:r w:rsidR="00393D57" w:rsidRPr="00FF138F">
        <w:rPr>
          <w:color w:val="000000"/>
          <w:sz w:val="22"/>
          <w:szCs w:val="22"/>
          <w:lang w:val="en-US" w:eastAsia="en-AU"/>
        </w:rPr>
        <w:t>is the overarching committee that provides management advice to AFMA for the SESSF (excluding the Great Australian Bight Trawl Sector (</w:t>
      </w:r>
      <w:r w:rsidR="00393D57" w:rsidRPr="00B271B3">
        <w:rPr>
          <w:b/>
          <w:color w:val="000000"/>
          <w:sz w:val="22"/>
          <w:szCs w:val="22"/>
          <w:lang w:val="en-US" w:eastAsia="en-AU"/>
        </w:rPr>
        <w:t>GABTS</w:t>
      </w:r>
      <w:r w:rsidR="00393D57" w:rsidRPr="00FF138F">
        <w:rPr>
          <w:color w:val="000000"/>
          <w:sz w:val="22"/>
          <w:szCs w:val="22"/>
          <w:lang w:val="en-US" w:eastAsia="en-AU"/>
        </w:rPr>
        <w:t>)); Small Pelagic Fishery (</w:t>
      </w:r>
      <w:r w:rsidR="00393D57" w:rsidRPr="00B271B3">
        <w:rPr>
          <w:b/>
          <w:color w:val="000000"/>
          <w:sz w:val="22"/>
          <w:szCs w:val="22"/>
          <w:lang w:val="en-US" w:eastAsia="en-AU"/>
        </w:rPr>
        <w:t>SPF</w:t>
      </w:r>
      <w:r w:rsidR="00393D57" w:rsidRPr="00FF138F">
        <w:rPr>
          <w:color w:val="000000"/>
          <w:sz w:val="22"/>
          <w:szCs w:val="22"/>
          <w:lang w:val="en-US" w:eastAsia="en-AU"/>
        </w:rPr>
        <w:t>) and the Southern Squid Jig Fishery (</w:t>
      </w:r>
      <w:r w:rsidR="00393D57" w:rsidRPr="00B271B3">
        <w:rPr>
          <w:b/>
          <w:color w:val="000000"/>
          <w:sz w:val="22"/>
          <w:szCs w:val="22"/>
          <w:lang w:val="en-US" w:eastAsia="en-AU"/>
        </w:rPr>
        <w:t>SSJF</w:t>
      </w:r>
      <w:r w:rsidR="00393D57" w:rsidRPr="00FF138F">
        <w:rPr>
          <w:color w:val="000000"/>
          <w:sz w:val="22"/>
          <w:szCs w:val="22"/>
          <w:lang w:val="en-US" w:eastAsia="en-AU"/>
        </w:rPr>
        <w:t>). SEMAC receives advice from SERAG, SharkRAG, SESSFRAG, the Small Pelagic Fishery Resource Assessment Group (</w:t>
      </w:r>
      <w:r w:rsidR="00393D57" w:rsidRPr="00B271B3">
        <w:rPr>
          <w:b/>
          <w:color w:val="000000"/>
          <w:sz w:val="22"/>
          <w:szCs w:val="22"/>
          <w:lang w:val="en-US" w:eastAsia="en-AU"/>
        </w:rPr>
        <w:t>SPFRAG)</w:t>
      </w:r>
      <w:r w:rsidR="00393D57" w:rsidRPr="00FF138F">
        <w:rPr>
          <w:color w:val="000000"/>
          <w:sz w:val="22"/>
          <w:szCs w:val="22"/>
          <w:lang w:val="en-US" w:eastAsia="en-AU"/>
        </w:rPr>
        <w:t xml:space="preserve"> and the Southern Squid Jig Fishery Resource Assessment Group (</w:t>
      </w:r>
      <w:r w:rsidR="00393D57" w:rsidRPr="00B271B3">
        <w:rPr>
          <w:b/>
          <w:color w:val="000000"/>
          <w:sz w:val="22"/>
          <w:szCs w:val="22"/>
          <w:lang w:val="en-US" w:eastAsia="en-AU"/>
        </w:rPr>
        <w:t>SquidRAG</w:t>
      </w:r>
      <w:r w:rsidR="00393D57" w:rsidRPr="00FF138F">
        <w:rPr>
          <w:color w:val="000000"/>
          <w:sz w:val="22"/>
          <w:szCs w:val="22"/>
          <w:lang w:val="en-US" w:eastAsia="en-AU"/>
        </w:rPr>
        <w:t>).</w:t>
      </w:r>
    </w:p>
    <w:p w14:paraId="4F209448" w14:textId="21C639BC" w:rsidR="00393D57" w:rsidRPr="00FF138F" w:rsidRDefault="00A172A3" w:rsidP="00A20F64">
      <w:pPr>
        <w:autoSpaceDE w:val="0"/>
        <w:autoSpaceDN w:val="0"/>
        <w:adjustRightInd w:val="0"/>
        <w:spacing w:before="240" w:after="240" w:line="276" w:lineRule="auto"/>
        <w:jc w:val="both"/>
        <w:rPr>
          <w:color w:val="000000"/>
          <w:sz w:val="22"/>
          <w:szCs w:val="22"/>
          <w:lang w:val="en-US" w:eastAsia="en-AU"/>
        </w:rPr>
      </w:pPr>
      <w:r w:rsidRPr="00FF138F">
        <w:rPr>
          <w:color w:val="000000"/>
          <w:sz w:val="22"/>
          <w:szCs w:val="22"/>
          <w:lang w:val="en-US" w:eastAsia="en-AU"/>
        </w:rPr>
        <w:t>The Great Australian Bight MAC (</w:t>
      </w:r>
      <w:r w:rsidR="00393D57" w:rsidRPr="00B271B3">
        <w:rPr>
          <w:b/>
          <w:color w:val="000000"/>
          <w:sz w:val="22"/>
          <w:szCs w:val="22"/>
          <w:lang w:val="en-US" w:eastAsia="en-AU"/>
        </w:rPr>
        <w:t>GABMAC</w:t>
      </w:r>
      <w:r w:rsidRPr="00B271B3">
        <w:rPr>
          <w:b/>
          <w:color w:val="000000"/>
          <w:sz w:val="22"/>
          <w:szCs w:val="22"/>
          <w:lang w:val="en-US" w:eastAsia="en-AU"/>
        </w:rPr>
        <w:t>)</w:t>
      </w:r>
      <w:r w:rsidR="00393D57" w:rsidRPr="00FF138F">
        <w:rPr>
          <w:color w:val="000000"/>
          <w:sz w:val="22"/>
          <w:szCs w:val="22"/>
          <w:lang w:val="en-US" w:eastAsia="en-AU"/>
        </w:rPr>
        <w:t xml:space="preserve"> provides management advice to AFMA for the GABTS and receives scientific advice from GABRAG.</w:t>
      </w:r>
    </w:p>
    <w:p w14:paraId="6C88DF15" w14:textId="4467B458" w:rsidR="001429A0" w:rsidRPr="00622BB4" w:rsidRDefault="001429A0" w:rsidP="001429A0">
      <w:pPr>
        <w:autoSpaceDE w:val="0"/>
        <w:autoSpaceDN w:val="0"/>
        <w:adjustRightInd w:val="0"/>
        <w:spacing w:before="240" w:after="240" w:line="276" w:lineRule="auto"/>
        <w:jc w:val="both"/>
        <w:rPr>
          <w:color w:val="000000" w:themeColor="text1"/>
          <w:sz w:val="22"/>
          <w:szCs w:val="22"/>
          <w:lang w:val="en-US" w:eastAsia="en-AU"/>
        </w:rPr>
      </w:pPr>
      <w:r w:rsidRPr="00622BB4">
        <w:rPr>
          <w:color w:val="000000" w:themeColor="text1"/>
          <w:sz w:val="22"/>
          <w:szCs w:val="22"/>
          <w:lang w:val="en-US" w:eastAsia="en-AU"/>
        </w:rPr>
        <w:t xml:space="preserve">Prior to making this Instrument, AFMA consulted with SERAG on </w:t>
      </w:r>
      <w:r>
        <w:rPr>
          <w:color w:val="000000" w:themeColor="text1"/>
          <w:sz w:val="22"/>
          <w:szCs w:val="22"/>
          <w:lang w:val="en-US" w:eastAsia="en-AU"/>
        </w:rPr>
        <w:t>22</w:t>
      </w:r>
      <w:r w:rsidRPr="00622BB4">
        <w:rPr>
          <w:color w:val="000000" w:themeColor="text1"/>
          <w:sz w:val="22"/>
          <w:szCs w:val="22"/>
          <w:lang w:val="en-US" w:eastAsia="en-AU"/>
        </w:rPr>
        <w:t>-2</w:t>
      </w:r>
      <w:r>
        <w:rPr>
          <w:color w:val="000000" w:themeColor="text1"/>
          <w:sz w:val="22"/>
          <w:szCs w:val="22"/>
          <w:lang w:val="en-US" w:eastAsia="en-AU"/>
        </w:rPr>
        <w:t>3</w:t>
      </w:r>
      <w:r w:rsidRPr="00622BB4">
        <w:rPr>
          <w:color w:val="000000" w:themeColor="text1"/>
          <w:sz w:val="22"/>
          <w:szCs w:val="22"/>
          <w:lang w:val="en-US" w:eastAsia="en-AU"/>
        </w:rPr>
        <w:t xml:space="preserve"> </w:t>
      </w:r>
      <w:r>
        <w:rPr>
          <w:color w:val="000000" w:themeColor="text1"/>
          <w:sz w:val="22"/>
          <w:szCs w:val="22"/>
          <w:lang w:val="en-US" w:eastAsia="en-AU"/>
        </w:rPr>
        <w:t>October</w:t>
      </w:r>
      <w:r w:rsidRPr="00622BB4">
        <w:rPr>
          <w:color w:val="000000" w:themeColor="text1"/>
          <w:sz w:val="22"/>
          <w:szCs w:val="22"/>
          <w:lang w:val="en-US" w:eastAsia="en-AU"/>
        </w:rPr>
        <w:t xml:space="preserve"> and </w:t>
      </w:r>
      <w:r>
        <w:rPr>
          <w:color w:val="000000" w:themeColor="text1"/>
          <w:sz w:val="22"/>
          <w:szCs w:val="22"/>
          <w:lang w:val="en-US" w:eastAsia="en-AU"/>
        </w:rPr>
        <w:t>26</w:t>
      </w:r>
      <w:r w:rsidRPr="00622BB4">
        <w:rPr>
          <w:color w:val="000000" w:themeColor="text1"/>
          <w:sz w:val="22"/>
          <w:szCs w:val="22"/>
          <w:lang w:val="en-US" w:eastAsia="en-AU"/>
        </w:rPr>
        <w:t>-</w:t>
      </w:r>
      <w:r>
        <w:rPr>
          <w:color w:val="000000" w:themeColor="text1"/>
          <w:sz w:val="22"/>
          <w:szCs w:val="22"/>
          <w:lang w:val="en-US" w:eastAsia="en-AU"/>
        </w:rPr>
        <w:t>28</w:t>
      </w:r>
      <w:r w:rsidRPr="00622BB4">
        <w:rPr>
          <w:color w:val="000000" w:themeColor="text1"/>
          <w:sz w:val="22"/>
          <w:szCs w:val="22"/>
          <w:lang w:val="en-US" w:eastAsia="en-AU"/>
        </w:rPr>
        <w:t xml:space="preserve"> November 20</w:t>
      </w:r>
      <w:r>
        <w:rPr>
          <w:color w:val="000000" w:themeColor="text1"/>
          <w:sz w:val="22"/>
          <w:szCs w:val="22"/>
          <w:lang w:val="en-US" w:eastAsia="en-AU"/>
        </w:rPr>
        <w:t>24</w:t>
      </w:r>
      <w:r w:rsidRPr="00622BB4">
        <w:rPr>
          <w:color w:val="000000" w:themeColor="text1"/>
          <w:sz w:val="22"/>
          <w:szCs w:val="22"/>
          <w:lang w:val="en-US" w:eastAsia="en-AU"/>
        </w:rPr>
        <w:t xml:space="preserve">, SharkRAG on </w:t>
      </w:r>
      <w:r>
        <w:rPr>
          <w:color w:val="000000" w:themeColor="text1"/>
          <w:sz w:val="22"/>
          <w:szCs w:val="22"/>
          <w:lang w:val="en-US" w:eastAsia="en-AU"/>
        </w:rPr>
        <w:t>25 July</w:t>
      </w:r>
      <w:r w:rsidRPr="00622BB4">
        <w:rPr>
          <w:color w:val="000000" w:themeColor="text1"/>
          <w:sz w:val="22"/>
          <w:szCs w:val="22"/>
          <w:lang w:val="en-US" w:eastAsia="en-AU"/>
        </w:rPr>
        <w:t xml:space="preserve"> and </w:t>
      </w:r>
      <w:r>
        <w:rPr>
          <w:color w:val="000000" w:themeColor="text1"/>
          <w:sz w:val="22"/>
          <w:szCs w:val="22"/>
          <w:lang w:val="en-US" w:eastAsia="en-AU"/>
        </w:rPr>
        <w:t>28-2</w:t>
      </w:r>
      <w:r w:rsidR="001124BA">
        <w:rPr>
          <w:color w:val="000000" w:themeColor="text1"/>
          <w:sz w:val="22"/>
          <w:szCs w:val="22"/>
          <w:lang w:val="en-US" w:eastAsia="en-AU"/>
        </w:rPr>
        <w:t>9</w:t>
      </w:r>
      <w:r>
        <w:rPr>
          <w:color w:val="000000" w:themeColor="text1"/>
          <w:sz w:val="22"/>
          <w:szCs w:val="22"/>
          <w:lang w:val="en-US" w:eastAsia="en-AU"/>
        </w:rPr>
        <w:t xml:space="preserve"> November</w:t>
      </w:r>
      <w:r w:rsidRPr="00622BB4">
        <w:rPr>
          <w:color w:val="000000" w:themeColor="text1"/>
          <w:sz w:val="22"/>
          <w:szCs w:val="22"/>
          <w:lang w:val="en-US" w:eastAsia="en-AU"/>
        </w:rPr>
        <w:t xml:space="preserve"> 202</w:t>
      </w:r>
      <w:r>
        <w:rPr>
          <w:color w:val="000000" w:themeColor="text1"/>
          <w:sz w:val="22"/>
          <w:szCs w:val="22"/>
          <w:lang w:val="en-US" w:eastAsia="en-AU"/>
        </w:rPr>
        <w:t>4</w:t>
      </w:r>
      <w:r w:rsidRPr="00622BB4">
        <w:rPr>
          <w:color w:val="000000" w:themeColor="text1"/>
          <w:sz w:val="22"/>
          <w:szCs w:val="22"/>
          <w:lang w:val="en-US" w:eastAsia="en-AU"/>
        </w:rPr>
        <w:t xml:space="preserve">, GABRAG on </w:t>
      </w:r>
      <w:r>
        <w:rPr>
          <w:color w:val="000000" w:themeColor="text1"/>
          <w:sz w:val="22"/>
          <w:szCs w:val="22"/>
          <w:lang w:val="en-US" w:eastAsia="en-AU"/>
        </w:rPr>
        <w:t>18 September</w:t>
      </w:r>
      <w:r w:rsidRPr="00622BB4">
        <w:rPr>
          <w:color w:val="000000" w:themeColor="text1"/>
          <w:sz w:val="22"/>
          <w:szCs w:val="22"/>
          <w:lang w:val="en-US" w:eastAsia="en-AU"/>
        </w:rPr>
        <w:t xml:space="preserve"> and </w:t>
      </w:r>
      <w:r>
        <w:rPr>
          <w:color w:val="000000" w:themeColor="text1"/>
          <w:sz w:val="22"/>
          <w:szCs w:val="22"/>
          <w:lang w:val="en-US" w:eastAsia="en-AU"/>
        </w:rPr>
        <w:t>8</w:t>
      </w:r>
      <w:r w:rsidRPr="00622BB4">
        <w:rPr>
          <w:color w:val="000000" w:themeColor="text1"/>
          <w:sz w:val="22"/>
          <w:szCs w:val="22"/>
          <w:lang w:val="en-US" w:eastAsia="en-AU"/>
        </w:rPr>
        <w:t xml:space="preserve"> November 202</w:t>
      </w:r>
      <w:r>
        <w:rPr>
          <w:color w:val="000000" w:themeColor="text1"/>
          <w:sz w:val="22"/>
          <w:szCs w:val="22"/>
          <w:lang w:val="en-US" w:eastAsia="en-AU"/>
        </w:rPr>
        <w:t>4</w:t>
      </w:r>
      <w:r w:rsidRPr="00622BB4">
        <w:rPr>
          <w:color w:val="000000" w:themeColor="text1"/>
          <w:sz w:val="22"/>
          <w:szCs w:val="22"/>
          <w:lang w:val="en-US" w:eastAsia="en-AU"/>
        </w:rPr>
        <w:t xml:space="preserve">, GABMAC on </w:t>
      </w:r>
      <w:r>
        <w:rPr>
          <w:color w:val="000000" w:themeColor="text1"/>
          <w:sz w:val="22"/>
          <w:szCs w:val="22"/>
          <w:lang w:val="en-US" w:eastAsia="en-AU"/>
        </w:rPr>
        <w:t>20</w:t>
      </w:r>
      <w:r w:rsidRPr="00622BB4">
        <w:rPr>
          <w:color w:val="000000" w:themeColor="text1"/>
          <w:sz w:val="22"/>
          <w:szCs w:val="22"/>
          <w:lang w:val="en-US" w:eastAsia="en-AU"/>
        </w:rPr>
        <w:t xml:space="preserve"> November 202</w:t>
      </w:r>
      <w:r w:rsidR="00C14DFC">
        <w:rPr>
          <w:color w:val="000000" w:themeColor="text1"/>
          <w:sz w:val="22"/>
          <w:szCs w:val="22"/>
          <w:lang w:val="en-US" w:eastAsia="en-AU"/>
        </w:rPr>
        <w:t>4</w:t>
      </w:r>
      <w:r w:rsidRPr="00622BB4">
        <w:rPr>
          <w:color w:val="000000" w:themeColor="text1"/>
          <w:sz w:val="22"/>
          <w:szCs w:val="22"/>
          <w:lang w:val="en-US" w:eastAsia="en-AU"/>
        </w:rPr>
        <w:t xml:space="preserve"> and SEMAC on </w:t>
      </w:r>
      <w:r>
        <w:rPr>
          <w:color w:val="000000" w:themeColor="text1"/>
          <w:sz w:val="22"/>
          <w:szCs w:val="22"/>
          <w:lang w:val="en-US" w:eastAsia="en-AU"/>
        </w:rPr>
        <w:t>5</w:t>
      </w:r>
      <w:r w:rsidRPr="00622BB4">
        <w:rPr>
          <w:color w:val="000000" w:themeColor="text1"/>
          <w:sz w:val="22"/>
          <w:szCs w:val="22"/>
          <w:lang w:val="en-US" w:eastAsia="en-AU"/>
        </w:rPr>
        <w:t>-</w:t>
      </w:r>
      <w:r>
        <w:rPr>
          <w:color w:val="000000" w:themeColor="text1"/>
          <w:sz w:val="22"/>
          <w:szCs w:val="22"/>
          <w:lang w:val="en-US" w:eastAsia="en-AU"/>
        </w:rPr>
        <w:t>6</w:t>
      </w:r>
      <w:r w:rsidRPr="00622BB4">
        <w:rPr>
          <w:color w:val="000000" w:themeColor="text1"/>
          <w:sz w:val="22"/>
          <w:szCs w:val="22"/>
          <w:lang w:val="en-US" w:eastAsia="en-AU"/>
        </w:rPr>
        <w:t xml:space="preserve"> February 202</w:t>
      </w:r>
      <w:r>
        <w:rPr>
          <w:color w:val="000000" w:themeColor="text1"/>
          <w:sz w:val="22"/>
          <w:szCs w:val="22"/>
          <w:lang w:val="en-US" w:eastAsia="en-AU"/>
        </w:rPr>
        <w:t>5</w:t>
      </w:r>
      <w:r w:rsidRPr="00622BB4">
        <w:rPr>
          <w:color w:val="000000" w:themeColor="text1"/>
          <w:sz w:val="22"/>
          <w:szCs w:val="22"/>
          <w:lang w:val="en-US" w:eastAsia="en-AU"/>
        </w:rPr>
        <w:t xml:space="preserve">. </w:t>
      </w:r>
    </w:p>
    <w:p w14:paraId="3C8C43E2" w14:textId="01D8FA56" w:rsidR="007B422C" w:rsidRPr="00D37681" w:rsidRDefault="0086727B" w:rsidP="007B422C">
      <w:pPr>
        <w:autoSpaceDE w:val="0"/>
        <w:autoSpaceDN w:val="0"/>
        <w:adjustRightInd w:val="0"/>
        <w:spacing w:before="240" w:after="240" w:line="276" w:lineRule="auto"/>
        <w:jc w:val="both"/>
        <w:rPr>
          <w:color w:val="000000"/>
          <w:sz w:val="22"/>
          <w:szCs w:val="22"/>
          <w:lang w:val="en-US"/>
        </w:rPr>
      </w:pPr>
      <w:r w:rsidRPr="00D37681">
        <w:rPr>
          <w:color w:val="000000"/>
          <w:sz w:val="22"/>
          <w:szCs w:val="22"/>
          <w:lang w:val="en-US" w:eastAsia="en-AU"/>
        </w:rPr>
        <w:t>First</w:t>
      </w:r>
      <w:r w:rsidR="00047493" w:rsidRPr="00D37681">
        <w:rPr>
          <w:color w:val="000000"/>
          <w:sz w:val="22"/>
          <w:szCs w:val="22"/>
          <w:lang w:val="en-US" w:eastAsia="en-AU"/>
        </w:rPr>
        <w:t xml:space="preserve">, </w:t>
      </w:r>
      <w:r w:rsidR="007B422C" w:rsidRPr="00D37681">
        <w:rPr>
          <w:color w:val="000000"/>
          <w:sz w:val="22"/>
          <w:szCs w:val="22"/>
          <w:lang w:val="en-US" w:eastAsia="en-AU"/>
        </w:rPr>
        <w:t xml:space="preserve">a series of species stock assessments were considered and advised upon </w:t>
      </w:r>
      <w:r w:rsidR="003334C2" w:rsidRPr="00D37681">
        <w:rPr>
          <w:color w:val="000000"/>
          <w:sz w:val="22"/>
          <w:szCs w:val="22"/>
          <w:lang w:val="en-US" w:eastAsia="en-AU"/>
        </w:rPr>
        <w:t xml:space="preserve">at RAG meetings </w:t>
      </w:r>
      <w:r w:rsidR="007B422C" w:rsidRPr="00D37681">
        <w:rPr>
          <w:color w:val="000000"/>
          <w:sz w:val="22"/>
          <w:szCs w:val="22"/>
          <w:lang w:val="en-US" w:eastAsia="en-AU"/>
        </w:rPr>
        <w:t xml:space="preserve">for the </w:t>
      </w:r>
      <w:r w:rsidR="00C262C3" w:rsidRPr="00D37681">
        <w:rPr>
          <w:color w:val="000000"/>
          <w:sz w:val="22"/>
          <w:szCs w:val="22"/>
          <w:lang w:val="en-US" w:eastAsia="en-AU"/>
        </w:rPr>
        <w:t>F</w:t>
      </w:r>
      <w:r w:rsidR="001F1F49" w:rsidRPr="00D37681">
        <w:rPr>
          <w:color w:val="000000"/>
          <w:sz w:val="22"/>
          <w:szCs w:val="22"/>
          <w:lang w:val="en-US" w:eastAsia="en-AU"/>
        </w:rPr>
        <w:t>ishery</w:t>
      </w:r>
      <w:r w:rsidR="007B422C" w:rsidRPr="00D37681">
        <w:rPr>
          <w:color w:val="000000"/>
          <w:sz w:val="22"/>
          <w:szCs w:val="22"/>
          <w:lang w:val="en-US" w:eastAsia="en-AU"/>
        </w:rPr>
        <w:t xml:space="preserve"> quota species listed in the </w:t>
      </w:r>
      <w:r w:rsidR="004E61DB" w:rsidRPr="00D37681">
        <w:rPr>
          <w:color w:val="000000"/>
          <w:sz w:val="22"/>
          <w:szCs w:val="22"/>
          <w:lang w:val="en-US" w:eastAsia="en-AU"/>
        </w:rPr>
        <w:t>Instrument</w:t>
      </w:r>
      <w:r w:rsidR="007B422C" w:rsidRPr="00D37681">
        <w:rPr>
          <w:color w:val="000000"/>
          <w:sz w:val="22"/>
          <w:szCs w:val="22"/>
          <w:lang w:val="en-US" w:eastAsia="en-AU"/>
        </w:rPr>
        <w:t xml:space="preserve">. </w:t>
      </w:r>
      <w:r w:rsidR="007B422C" w:rsidRPr="00D37681">
        <w:rPr>
          <w:color w:val="000000"/>
          <w:sz w:val="22"/>
          <w:szCs w:val="22"/>
          <w:lang w:val="en-US"/>
        </w:rPr>
        <w:t xml:space="preserve">The stock assessments are based on the </w:t>
      </w:r>
      <w:r w:rsidR="005A0F35" w:rsidRPr="00D37681">
        <w:rPr>
          <w:color w:val="000000"/>
          <w:sz w:val="22"/>
          <w:szCs w:val="22"/>
          <w:lang w:val="en-US"/>
        </w:rPr>
        <w:t xml:space="preserve">SESSF </w:t>
      </w:r>
      <w:r w:rsidR="007B422C" w:rsidRPr="00D37681">
        <w:rPr>
          <w:color w:val="000000"/>
          <w:sz w:val="22"/>
          <w:szCs w:val="22"/>
          <w:lang w:val="en-US"/>
        </w:rPr>
        <w:t>HSF and provide for a recommended biological catch (</w:t>
      </w:r>
      <w:r w:rsidR="007B422C" w:rsidRPr="00B271B3">
        <w:rPr>
          <w:b/>
          <w:color w:val="000000"/>
          <w:sz w:val="22"/>
          <w:szCs w:val="22"/>
          <w:lang w:val="en-US"/>
        </w:rPr>
        <w:t>RBC</w:t>
      </w:r>
      <w:r w:rsidR="007B422C" w:rsidRPr="00D37681">
        <w:rPr>
          <w:color w:val="000000"/>
          <w:sz w:val="22"/>
          <w:szCs w:val="22"/>
          <w:lang w:val="en-US"/>
        </w:rPr>
        <w:t xml:space="preserve">). The RBC provides the best scientific advice on what the total mortality should be for each species or stock, </w:t>
      </w:r>
      <w:r w:rsidR="0009228C" w:rsidRPr="00D37681">
        <w:rPr>
          <w:color w:val="000000"/>
          <w:sz w:val="22"/>
          <w:szCs w:val="22"/>
          <w:lang w:val="en-US"/>
        </w:rPr>
        <w:t xml:space="preserve">primarily </w:t>
      </w:r>
      <w:proofErr w:type="gramStart"/>
      <w:r w:rsidR="007B422C" w:rsidRPr="00D37681">
        <w:rPr>
          <w:color w:val="000000"/>
          <w:sz w:val="22"/>
          <w:szCs w:val="22"/>
          <w:lang w:val="en-US"/>
        </w:rPr>
        <w:t>taking into account</w:t>
      </w:r>
      <w:proofErr w:type="gramEnd"/>
      <w:r w:rsidR="007B422C" w:rsidRPr="00D37681">
        <w:rPr>
          <w:color w:val="000000"/>
          <w:sz w:val="22"/>
          <w:szCs w:val="22"/>
          <w:lang w:val="en-US"/>
        </w:rPr>
        <w:t xml:space="preserve"> fishing and natural mortality. </w:t>
      </w:r>
    </w:p>
    <w:p w14:paraId="6C150173" w14:textId="6B87DA00" w:rsidR="007B422C" w:rsidRPr="00F32C31" w:rsidRDefault="007B422C" w:rsidP="007B422C">
      <w:pPr>
        <w:autoSpaceDE w:val="0"/>
        <w:autoSpaceDN w:val="0"/>
        <w:adjustRightInd w:val="0"/>
        <w:spacing w:before="240" w:after="240" w:line="276" w:lineRule="auto"/>
        <w:jc w:val="both"/>
        <w:rPr>
          <w:color w:val="000000"/>
          <w:sz w:val="22"/>
          <w:szCs w:val="22"/>
          <w:lang w:val="en-US"/>
        </w:rPr>
      </w:pPr>
      <w:r w:rsidRPr="000E1C63">
        <w:rPr>
          <w:color w:val="000000"/>
          <w:sz w:val="22"/>
          <w:szCs w:val="22"/>
          <w:lang w:val="en-US"/>
        </w:rPr>
        <w:t xml:space="preserve">Once the RAGs provided advice </w:t>
      </w:r>
      <w:r w:rsidR="00A10CF1" w:rsidRPr="000E1C63">
        <w:rPr>
          <w:color w:val="000000"/>
          <w:sz w:val="22"/>
          <w:szCs w:val="22"/>
          <w:lang w:val="en-US"/>
        </w:rPr>
        <w:t>on</w:t>
      </w:r>
      <w:r w:rsidRPr="000E1C63">
        <w:rPr>
          <w:color w:val="000000"/>
          <w:sz w:val="22"/>
          <w:szCs w:val="22"/>
          <w:lang w:val="en-US"/>
        </w:rPr>
        <w:t xml:space="preserve"> the RBCs for </w:t>
      </w:r>
      <w:r w:rsidR="00C262C3" w:rsidRPr="000E1C63">
        <w:rPr>
          <w:color w:val="000000"/>
          <w:sz w:val="22"/>
          <w:szCs w:val="22"/>
          <w:lang w:val="en-US"/>
        </w:rPr>
        <w:t>the Fisher</w:t>
      </w:r>
      <w:r w:rsidR="001F1F49" w:rsidRPr="000E1C63">
        <w:rPr>
          <w:color w:val="000000"/>
          <w:sz w:val="22"/>
          <w:szCs w:val="22"/>
          <w:lang w:val="en-US"/>
        </w:rPr>
        <w:t>y</w:t>
      </w:r>
      <w:r w:rsidRPr="000E1C63">
        <w:rPr>
          <w:color w:val="000000"/>
          <w:sz w:val="22"/>
          <w:szCs w:val="22"/>
          <w:lang w:val="en-US"/>
        </w:rPr>
        <w:t xml:space="preserve"> quota species, AFMA translated the RBCs into proposed TACs. The TAC represents the recommended Commonwealth commercial catch for each species or stock, </w:t>
      </w:r>
      <w:proofErr w:type="gramStart"/>
      <w:r w:rsidRPr="000E1C63">
        <w:rPr>
          <w:color w:val="000000"/>
          <w:sz w:val="22"/>
          <w:szCs w:val="22"/>
          <w:lang w:val="en-US"/>
        </w:rPr>
        <w:t>taking into account</w:t>
      </w:r>
      <w:proofErr w:type="gramEnd"/>
      <w:r w:rsidRPr="000E1C63">
        <w:rPr>
          <w:color w:val="000000"/>
          <w:sz w:val="22"/>
          <w:szCs w:val="22"/>
          <w:lang w:val="en-US"/>
        </w:rPr>
        <w:t xml:space="preserve"> the expected mortality from incidental catch, discards, and landings in other jurisdictions, and applying decision rules contained in the </w:t>
      </w:r>
      <w:r w:rsidR="005A0F35" w:rsidRPr="000E1C63">
        <w:rPr>
          <w:color w:val="000000"/>
          <w:sz w:val="22"/>
          <w:szCs w:val="22"/>
          <w:lang w:val="en-US"/>
        </w:rPr>
        <w:t xml:space="preserve">SESSF </w:t>
      </w:r>
      <w:r w:rsidRPr="000E1C63">
        <w:rPr>
          <w:color w:val="000000"/>
          <w:sz w:val="22"/>
          <w:szCs w:val="22"/>
          <w:lang w:val="en-US"/>
        </w:rPr>
        <w:t>HSF</w:t>
      </w:r>
      <w:r w:rsidR="00ED5353" w:rsidRPr="000E1C63">
        <w:rPr>
          <w:color w:val="000000"/>
          <w:sz w:val="22"/>
          <w:szCs w:val="22"/>
          <w:lang w:val="en-US"/>
        </w:rPr>
        <w:t xml:space="preserve">, including discount factors to account </w:t>
      </w:r>
      <w:r w:rsidR="00ED5353" w:rsidRPr="00F32C31">
        <w:rPr>
          <w:color w:val="000000"/>
          <w:sz w:val="22"/>
          <w:szCs w:val="22"/>
          <w:lang w:val="en-US"/>
        </w:rPr>
        <w:t>for uncertainty in assessment outputs</w:t>
      </w:r>
      <w:r w:rsidRPr="00F32C31">
        <w:rPr>
          <w:color w:val="000000"/>
          <w:sz w:val="22"/>
          <w:szCs w:val="22"/>
          <w:lang w:val="en-US"/>
        </w:rPr>
        <w:t>.</w:t>
      </w:r>
    </w:p>
    <w:p w14:paraId="4DF77D00" w14:textId="5349B1DE" w:rsidR="00FD488F" w:rsidRPr="00F32C31" w:rsidRDefault="007B422C" w:rsidP="0093734A">
      <w:pPr>
        <w:autoSpaceDE w:val="0"/>
        <w:autoSpaceDN w:val="0"/>
        <w:adjustRightInd w:val="0"/>
        <w:spacing w:before="240" w:after="240" w:line="276" w:lineRule="auto"/>
        <w:jc w:val="both"/>
        <w:rPr>
          <w:color w:val="000000" w:themeColor="text1"/>
          <w:sz w:val="22"/>
          <w:szCs w:val="22"/>
          <w:lang w:val="en-US"/>
        </w:rPr>
      </w:pPr>
      <w:r w:rsidRPr="00F32C31">
        <w:rPr>
          <w:color w:val="000000" w:themeColor="text1"/>
          <w:sz w:val="22"/>
          <w:szCs w:val="22"/>
          <w:lang w:val="en-US"/>
        </w:rPr>
        <w:t xml:space="preserve">Advice from the RAGs and proposed TACs were then considered by SEMAC and GABMAC. SEMAC and GABMAC discussed the TAC recommendations, as well as undercatch and overcatch percentages and determined amounts, which provide for ‘carry over’ or ‘carry under’ of quota between fishing </w:t>
      </w:r>
      <w:r w:rsidR="009B463B" w:rsidRPr="00F32C31">
        <w:rPr>
          <w:color w:val="000000" w:themeColor="text1"/>
          <w:sz w:val="22"/>
          <w:szCs w:val="22"/>
          <w:lang w:val="en-US"/>
        </w:rPr>
        <w:t>year</w:t>
      </w:r>
      <w:r w:rsidRPr="00F32C31">
        <w:rPr>
          <w:color w:val="000000" w:themeColor="text1"/>
          <w:sz w:val="22"/>
          <w:szCs w:val="22"/>
          <w:lang w:val="en-US"/>
        </w:rPr>
        <w:t xml:space="preserve">s. SEMAC and GABMAC both supported determining the TACs for </w:t>
      </w:r>
      <w:r w:rsidR="001F1F49" w:rsidRPr="00F32C31">
        <w:rPr>
          <w:color w:val="000000" w:themeColor="text1"/>
          <w:sz w:val="22"/>
          <w:szCs w:val="22"/>
          <w:lang w:val="en-US"/>
        </w:rPr>
        <w:t>the Fishery</w:t>
      </w:r>
      <w:r w:rsidRPr="00F32C31">
        <w:rPr>
          <w:color w:val="000000" w:themeColor="text1"/>
          <w:sz w:val="22"/>
          <w:szCs w:val="22"/>
          <w:lang w:val="en-US"/>
        </w:rPr>
        <w:t xml:space="preserve"> quota species as prescribed in the </w:t>
      </w:r>
      <w:r w:rsidR="004E61DB" w:rsidRPr="00F32C31">
        <w:rPr>
          <w:color w:val="000000" w:themeColor="text1"/>
          <w:sz w:val="22"/>
          <w:szCs w:val="22"/>
          <w:lang w:val="en-US"/>
        </w:rPr>
        <w:t>Instrument</w:t>
      </w:r>
      <w:r w:rsidR="00F32C31">
        <w:rPr>
          <w:color w:val="000000" w:themeColor="text1"/>
          <w:sz w:val="22"/>
          <w:szCs w:val="22"/>
          <w:lang w:val="en-US"/>
        </w:rPr>
        <w:t xml:space="preserve">. </w:t>
      </w:r>
    </w:p>
    <w:p w14:paraId="0FB1C0EE" w14:textId="074EAC35" w:rsidR="007B422C" w:rsidRPr="006934BD" w:rsidRDefault="007B422C" w:rsidP="007B422C">
      <w:pPr>
        <w:autoSpaceDE w:val="0"/>
        <w:autoSpaceDN w:val="0"/>
        <w:adjustRightInd w:val="0"/>
        <w:spacing w:before="240" w:after="240" w:line="276" w:lineRule="auto"/>
        <w:jc w:val="both"/>
        <w:rPr>
          <w:color w:val="000000"/>
          <w:sz w:val="22"/>
          <w:szCs w:val="22"/>
          <w:lang w:val="en-US"/>
        </w:rPr>
      </w:pPr>
      <w:r w:rsidRPr="00F32C31">
        <w:rPr>
          <w:color w:val="000000"/>
          <w:sz w:val="22"/>
          <w:szCs w:val="22"/>
          <w:lang w:val="en-US"/>
        </w:rPr>
        <w:t xml:space="preserve">Recommendations from the relevant meetings of the RAGs and MACs, species summaries </w:t>
      </w:r>
      <w:r w:rsidR="00B47EC6" w:rsidRPr="00F32C31">
        <w:rPr>
          <w:color w:val="000000"/>
          <w:sz w:val="22"/>
          <w:szCs w:val="22"/>
          <w:lang w:val="en-US"/>
        </w:rPr>
        <w:t xml:space="preserve">and stakeholder submissions </w:t>
      </w:r>
      <w:r w:rsidRPr="00F32C31">
        <w:rPr>
          <w:color w:val="000000"/>
          <w:sz w:val="22"/>
          <w:szCs w:val="22"/>
          <w:lang w:val="en-US"/>
        </w:rPr>
        <w:t xml:space="preserve">were provided to the AFMA Commission in making the </w:t>
      </w:r>
      <w:r w:rsidR="00BB030D" w:rsidRPr="00F32C31">
        <w:rPr>
          <w:color w:val="000000"/>
          <w:sz w:val="22"/>
          <w:szCs w:val="22"/>
          <w:lang w:val="en-US"/>
        </w:rPr>
        <w:t>Instrument</w:t>
      </w:r>
      <w:r w:rsidRPr="00F32C31">
        <w:rPr>
          <w:color w:val="000000"/>
          <w:sz w:val="22"/>
          <w:szCs w:val="22"/>
          <w:lang w:val="en-US"/>
        </w:rPr>
        <w:t>.</w:t>
      </w:r>
    </w:p>
    <w:p w14:paraId="4068A5DD" w14:textId="77777777" w:rsidR="00177945" w:rsidRPr="009D6A70" w:rsidRDefault="00177945" w:rsidP="00177945">
      <w:pPr>
        <w:shd w:val="clear" w:color="auto" w:fill="FFFFFF"/>
        <w:spacing w:after="240"/>
        <w:jc w:val="both"/>
        <w:rPr>
          <w:b/>
          <w:bCs/>
          <w:color w:val="000000"/>
          <w:sz w:val="24"/>
          <w:szCs w:val="24"/>
          <w:lang w:eastAsia="en-AU"/>
        </w:rPr>
      </w:pPr>
      <w:r w:rsidRPr="009D6A70">
        <w:rPr>
          <w:b/>
          <w:bCs/>
          <w:color w:val="000000"/>
          <w:sz w:val="24"/>
          <w:szCs w:val="24"/>
          <w:lang w:eastAsia="en-AU"/>
        </w:rPr>
        <w:t>Impact Analysis</w:t>
      </w:r>
    </w:p>
    <w:p w14:paraId="09AFE12F" w14:textId="315E575D" w:rsidR="00177945" w:rsidRPr="00E20E32" w:rsidRDefault="00177945" w:rsidP="00177945">
      <w:pPr>
        <w:autoSpaceDE w:val="0"/>
        <w:autoSpaceDN w:val="0"/>
        <w:adjustRightInd w:val="0"/>
        <w:spacing w:before="240" w:after="240" w:line="276" w:lineRule="auto"/>
        <w:jc w:val="both"/>
        <w:rPr>
          <w:color w:val="000000"/>
          <w:sz w:val="22"/>
          <w:szCs w:val="22"/>
          <w:lang w:val="en-US"/>
        </w:rPr>
      </w:pPr>
      <w:r w:rsidRPr="00E20E32">
        <w:rPr>
          <w:color w:val="000000"/>
          <w:sz w:val="22"/>
          <w:szCs w:val="22"/>
          <w:lang w:val="en-US"/>
        </w:rPr>
        <w:t xml:space="preserve">The Office of Impact Analysis (OIA) does not require an Impact Analysis for this instrument consistent with the carve out arrangement with AFMA for instruments of a minor or machinery nature and which specifically refers to the setting of a TAC in a fishery (OIA reference </w:t>
      </w:r>
      <w:r w:rsidR="000374C5">
        <w:rPr>
          <w:color w:val="000000"/>
          <w:sz w:val="22"/>
          <w:szCs w:val="22"/>
          <w:lang w:val="en-US"/>
        </w:rPr>
        <w:t>230610</w:t>
      </w:r>
      <w:r w:rsidR="00191A71">
        <w:rPr>
          <w:color w:val="000000"/>
          <w:sz w:val="22"/>
          <w:szCs w:val="22"/>
          <w:lang w:val="en-US"/>
        </w:rPr>
        <w:t>7</w:t>
      </w:r>
      <w:r w:rsidRPr="00E20E32">
        <w:rPr>
          <w:color w:val="000000"/>
          <w:sz w:val="22"/>
          <w:szCs w:val="22"/>
          <w:lang w:val="en-US"/>
        </w:rPr>
        <w:t xml:space="preserve">). </w:t>
      </w:r>
    </w:p>
    <w:p w14:paraId="2C64884F" w14:textId="77777777" w:rsidR="00B86157" w:rsidRPr="00590C3B" w:rsidRDefault="00B86157" w:rsidP="00B86157">
      <w:pPr>
        <w:spacing w:before="100" w:beforeAutospacing="1" w:after="100" w:afterAutospacing="1"/>
        <w:jc w:val="both"/>
        <w:rPr>
          <w:b/>
          <w:sz w:val="24"/>
          <w:szCs w:val="24"/>
        </w:rPr>
      </w:pPr>
      <w:r w:rsidRPr="00590C3B">
        <w:rPr>
          <w:b/>
          <w:sz w:val="24"/>
          <w:szCs w:val="24"/>
        </w:rPr>
        <w:lastRenderedPageBreak/>
        <w:t xml:space="preserve">Statement of compatibility prepared in accordance with Part 3 of the </w:t>
      </w:r>
      <w:r w:rsidRPr="00590C3B">
        <w:rPr>
          <w:b/>
          <w:i/>
          <w:sz w:val="24"/>
          <w:szCs w:val="24"/>
        </w:rPr>
        <w:t xml:space="preserve">Human Rights (Parliamentary Scrutiny) Act 2011 </w:t>
      </w:r>
    </w:p>
    <w:p w14:paraId="44C64061" w14:textId="34F5F477" w:rsidR="001B0724" w:rsidRPr="00590C3B" w:rsidRDefault="001B0724" w:rsidP="0081537E">
      <w:pPr>
        <w:autoSpaceDE w:val="0"/>
        <w:autoSpaceDN w:val="0"/>
        <w:adjustRightInd w:val="0"/>
        <w:spacing w:before="240" w:after="240" w:line="276" w:lineRule="auto"/>
        <w:jc w:val="both"/>
        <w:rPr>
          <w:color w:val="000000"/>
          <w:sz w:val="22"/>
          <w:szCs w:val="22"/>
          <w:lang w:val="en-US"/>
        </w:rPr>
      </w:pPr>
      <w:r w:rsidRPr="00590C3B">
        <w:rPr>
          <w:color w:val="000000"/>
          <w:sz w:val="22"/>
          <w:szCs w:val="22"/>
          <w:lang w:val="en-US"/>
        </w:rPr>
        <w:t xml:space="preserve">The Authority assesses under section 3 of the </w:t>
      </w:r>
      <w:r w:rsidRPr="00590C3B">
        <w:rPr>
          <w:i/>
          <w:color w:val="000000"/>
          <w:sz w:val="22"/>
          <w:szCs w:val="22"/>
          <w:lang w:val="en-US"/>
        </w:rPr>
        <w:t>Human Rights (Parliamentary Scrutiny) Act 2011</w:t>
      </w:r>
      <w:r w:rsidRPr="00590C3B">
        <w:rPr>
          <w:color w:val="000000"/>
          <w:sz w:val="22"/>
          <w:szCs w:val="22"/>
          <w:lang w:val="en-US"/>
        </w:rPr>
        <w:t xml:space="preserve"> that this legislative instrument is compatible with human rights.</w:t>
      </w:r>
    </w:p>
    <w:p w14:paraId="23CA8EC5" w14:textId="6BA52E7D" w:rsidR="00B86157" w:rsidRPr="00590C3B" w:rsidRDefault="00B86157" w:rsidP="00B86157">
      <w:pPr>
        <w:pStyle w:val="AFMANormal"/>
        <w:spacing w:before="0" w:after="240"/>
        <w:ind w:left="1276" w:hanging="1276"/>
        <w:rPr>
          <w:sz w:val="22"/>
          <w:szCs w:val="24"/>
        </w:rPr>
      </w:pPr>
      <w:r w:rsidRPr="00590C3B">
        <w:rPr>
          <w:sz w:val="22"/>
          <w:szCs w:val="24"/>
        </w:rPr>
        <w:t xml:space="preserve">Details of the </w:t>
      </w:r>
      <w:r w:rsidR="00BB030D" w:rsidRPr="00590C3B">
        <w:rPr>
          <w:sz w:val="22"/>
          <w:szCs w:val="24"/>
        </w:rPr>
        <w:t xml:space="preserve">Instrument </w:t>
      </w:r>
      <w:r w:rsidRPr="00590C3B">
        <w:rPr>
          <w:sz w:val="22"/>
          <w:szCs w:val="24"/>
        </w:rPr>
        <w:t>are set out below:</w:t>
      </w:r>
    </w:p>
    <w:p w14:paraId="2CD3E7B2" w14:textId="289F7279" w:rsidR="00B86157" w:rsidRPr="00590C3B" w:rsidRDefault="00B85CF1" w:rsidP="00B86157">
      <w:pPr>
        <w:pStyle w:val="AFMANormal"/>
        <w:spacing w:before="0" w:after="240"/>
        <w:ind w:left="1276" w:hanging="1276"/>
        <w:rPr>
          <w:snapToGrid/>
          <w:kern w:val="0"/>
          <w:sz w:val="22"/>
          <w:szCs w:val="22"/>
          <w:lang w:eastAsia="en-AU"/>
        </w:rPr>
      </w:pPr>
      <w:r w:rsidRPr="00590C3B">
        <w:rPr>
          <w:b/>
          <w:i/>
          <w:szCs w:val="24"/>
        </w:rPr>
        <w:t xml:space="preserve">Section </w:t>
      </w:r>
      <w:r w:rsidR="00B86157" w:rsidRPr="00590C3B">
        <w:rPr>
          <w:b/>
          <w:i/>
          <w:szCs w:val="24"/>
        </w:rPr>
        <w:t>1</w:t>
      </w:r>
      <w:r w:rsidR="00B86157" w:rsidRPr="00590C3B">
        <w:rPr>
          <w:szCs w:val="24"/>
        </w:rPr>
        <w:tab/>
      </w:r>
      <w:r w:rsidR="00B86157" w:rsidRPr="00590C3B">
        <w:rPr>
          <w:snapToGrid/>
          <w:kern w:val="0"/>
          <w:sz w:val="22"/>
          <w:szCs w:val="22"/>
          <w:lang w:eastAsia="en-AU"/>
        </w:rPr>
        <w:t xml:space="preserve">Provides for the </w:t>
      </w:r>
      <w:r w:rsidR="00BB030D" w:rsidRPr="00590C3B">
        <w:rPr>
          <w:sz w:val="22"/>
          <w:szCs w:val="24"/>
        </w:rPr>
        <w:t>Instrument</w:t>
      </w:r>
      <w:r w:rsidR="00B86157" w:rsidRPr="00590C3B">
        <w:rPr>
          <w:snapToGrid/>
          <w:kern w:val="0"/>
          <w:sz w:val="22"/>
          <w:szCs w:val="22"/>
          <w:lang w:eastAsia="en-AU"/>
        </w:rPr>
        <w:t xml:space="preserve"> to be cited as the </w:t>
      </w:r>
      <w:r w:rsidR="00376C10" w:rsidRPr="00590C3B">
        <w:rPr>
          <w:i/>
          <w:snapToGrid/>
          <w:kern w:val="0"/>
          <w:sz w:val="22"/>
          <w:szCs w:val="22"/>
          <w:lang w:eastAsia="en-AU"/>
        </w:rPr>
        <w:t>Southern and Eastern Scalefish and Shark Fishery (Total Allowable Catch for Quota Species) Determination 202</w:t>
      </w:r>
      <w:r w:rsidR="00FC6AD0">
        <w:rPr>
          <w:i/>
          <w:snapToGrid/>
          <w:kern w:val="0"/>
          <w:sz w:val="22"/>
          <w:szCs w:val="22"/>
          <w:lang w:eastAsia="en-AU"/>
        </w:rPr>
        <w:t>5</w:t>
      </w:r>
      <w:r w:rsidR="00B86157" w:rsidRPr="00590C3B">
        <w:rPr>
          <w:snapToGrid/>
          <w:kern w:val="0"/>
          <w:sz w:val="22"/>
          <w:szCs w:val="22"/>
          <w:lang w:eastAsia="en-AU"/>
        </w:rPr>
        <w:t>.</w:t>
      </w:r>
    </w:p>
    <w:p w14:paraId="09AA6BCC" w14:textId="67A353B9" w:rsidR="00B85CF1" w:rsidRPr="00590C3B" w:rsidRDefault="00B85CF1" w:rsidP="00BB030D">
      <w:pPr>
        <w:pStyle w:val="AFMANormal"/>
        <w:spacing w:before="0" w:after="240"/>
        <w:ind w:left="1276" w:hanging="1276"/>
        <w:rPr>
          <w:snapToGrid/>
          <w:kern w:val="0"/>
          <w:sz w:val="22"/>
          <w:szCs w:val="22"/>
          <w:lang w:eastAsia="en-AU"/>
        </w:rPr>
      </w:pPr>
      <w:r w:rsidRPr="00590C3B">
        <w:rPr>
          <w:b/>
          <w:i/>
          <w:szCs w:val="24"/>
        </w:rPr>
        <w:t xml:space="preserve">Section </w:t>
      </w:r>
      <w:r w:rsidR="00B86157" w:rsidRPr="00590C3B">
        <w:rPr>
          <w:b/>
          <w:i/>
          <w:szCs w:val="24"/>
        </w:rPr>
        <w:t>2</w:t>
      </w:r>
      <w:r w:rsidR="00B86157" w:rsidRPr="00590C3B">
        <w:rPr>
          <w:i/>
          <w:szCs w:val="24"/>
        </w:rPr>
        <w:tab/>
      </w:r>
      <w:r w:rsidR="00B86157" w:rsidRPr="00590C3B">
        <w:rPr>
          <w:snapToGrid/>
          <w:kern w:val="0"/>
          <w:sz w:val="22"/>
          <w:szCs w:val="22"/>
          <w:lang w:eastAsia="en-AU"/>
        </w:rPr>
        <w:t xml:space="preserve">Provides that the </w:t>
      </w:r>
      <w:r w:rsidR="00BB030D" w:rsidRPr="00590C3B">
        <w:rPr>
          <w:sz w:val="22"/>
          <w:szCs w:val="24"/>
        </w:rPr>
        <w:t>Instrument</w:t>
      </w:r>
      <w:r w:rsidR="00B86157" w:rsidRPr="00590C3B">
        <w:rPr>
          <w:sz w:val="22"/>
          <w:szCs w:val="24"/>
        </w:rPr>
        <w:t xml:space="preserve"> commences </w:t>
      </w:r>
      <w:r w:rsidR="00147066" w:rsidRPr="00590C3B">
        <w:rPr>
          <w:sz w:val="22"/>
          <w:szCs w:val="24"/>
        </w:rPr>
        <w:t>on the day after registration on the Federal Register of Legislation.</w:t>
      </w:r>
      <w:r w:rsidR="00147066" w:rsidRPr="00590C3B">
        <w:rPr>
          <w:szCs w:val="22"/>
        </w:rPr>
        <w:t xml:space="preserve">  </w:t>
      </w:r>
    </w:p>
    <w:p w14:paraId="50B0518A" w14:textId="0BA3BC9B" w:rsidR="00B86157" w:rsidRPr="00590C3B" w:rsidRDefault="00B85CF1" w:rsidP="00B86157">
      <w:pPr>
        <w:pStyle w:val="AFMANormal"/>
        <w:spacing w:before="0" w:after="240"/>
        <w:ind w:left="1276" w:hanging="1276"/>
        <w:rPr>
          <w:snapToGrid/>
          <w:kern w:val="0"/>
          <w:sz w:val="22"/>
          <w:szCs w:val="22"/>
          <w:lang w:eastAsia="en-AU"/>
        </w:rPr>
      </w:pPr>
      <w:r w:rsidRPr="00590C3B">
        <w:rPr>
          <w:b/>
          <w:i/>
          <w:szCs w:val="24"/>
        </w:rPr>
        <w:t xml:space="preserve">Section </w:t>
      </w:r>
      <w:r w:rsidR="00B86157" w:rsidRPr="00590C3B">
        <w:rPr>
          <w:b/>
          <w:i/>
          <w:szCs w:val="24"/>
        </w:rPr>
        <w:t>3</w:t>
      </w:r>
      <w:r w:rsidR="00B86157" w:rsidRPr="00590C3B">
        <w:rPr>
          <w:i/>
          <w:szCs w:val="24"/>
        </w:rPr>
        <w:tab/>
      </w:r>
      <w:r w:rsidR="00B86157" w:rsidRPr="00590C3B">
        <w:rPr>
          <w:snapToGrid/>
          <w:kern w:val="0"/>
          <w:sz w:val="22"/>
          <w:szCs w:val="22"/>
          <w:lang w:eastAsia="en-AU"/>
        </w:rPr>
        <w:t xml:space="preserve">Provides that the </w:t>
      </w:r>
      <w:r w:rsidR="00BB030D" w:rsidRPr="00590C3B">
        <w:rPr>
          <w:sz w:val="22"/>
          <w:szCs w:val="24"/>
        </w:rPr>
        <w:t>Instrument</w:t>
      </w:r>
      <w:r w:rsidR="00B86157" w:rsidRPr="00590C3B">
        <w:rPr>
          <w:snapToGrid/>
          <w:kern w:val="0"/>
          <w:sz w:val="22"/>
          <w:szCs w:val="22"/>
          <w:lang w:eastAsia="en-AU"/>
        </w:rPr>
        <w:t xml:space="preserve"> </w:t>
      </w:r>
      <w:r w:rsidR="004E61DB" w:rsidRPr="00590C3B">
        <w:rPr>
          <w:snapToGrid/>
          <w:kern w:val="0"/>
          <w:sz w:val="22"/>
          <w:szCs w:val="22"/>
          <w:lang w:eastAsia="en-AU"/>
        </w:rPr>
        <w:t>ceases</w:t>
      </w:r>
      <w:r w:rsidR="00B86157" w:rsidRPr="00590C3B">
        <w:rPr>
          <w:snapToGrid/>
          <w:kern w:val="0"/>
          <w:sz w:val="22"/>
          <w:szCs w:val="22"/>
          <w:lang w:eastAsia="en-AU"/>
        </w:rPr>
        <w:t xml:space="preserve"> on 1 </w:t>
      </w:r>
      <w:r w:rsidR="00376C10" w:rsidRPr="00590C3B">
        <w:rPr>
          <w:snapToGrid/>
          <w:kern w:val="0"/>
          <w:sz w:val="22"/>
          <w:szCs w:val="22"/>
          <w:lang w:eastAsia="en-AU"/>
        </w:rPr>
        <w:t>May</w:t>
      </w:r>
      <w:r w:rsidR="00B86157" w:rsidRPr="00590C3B">
        <w:rPr>
          <w:snapToGrid/>
          <w:kern w:val="0"/>
          <w:sz w:val="22"/>
          <w:szCs w:val="22"/>
          <w:lang w:eastAsia="en-AU"/>
        </w:rPr>
        <w:t xml:space="preserve"> 202</w:t>
      </w:r>
      <w:r w:rsidR="00FC6AD0">
        <w:rPr>
          <w:snapToGrid/>
          <w:kern w:val="0"/>
          <w:sz w:val="22"/>
          <w:szCs w:val="22"/>
          <w:lang w:eastAsia="en-AU"/>
        </w:rPr>
        <w:t>6</w:t>
      </w:r>
      <w:r w:rsidR="00B86157" w:rsidRPr="00590C3B">
        <w:rPr>
          <w:snapToGrid/>
          <w:kern w:val="0"/>
          <w:sz w:val="22"/>
          <w:szCs w:val="22"/>
          <w:lang w:eastAsia="en-AU"/>
        </w:rPr>
        <w:t xml:space="preserve">. </w:t>
      </w:r>
    </w:p>
    <w:p w14:paraId="1734F187" w14:textId="51200B67" w:rsidR="00B86157" w:rsidRPr="00590C3B" w:rsidRDefault="00B85CF1" w:rsidP="00B86157">
      <w:pPr>
        <w:pStyle w:val="AFMANormal"/>
        <w:spacing w:before="0" w:after="240"/>
        <w:ind w:left="1276" w:hanging="1276"/>
        <w:rPr>
          <w:snapToGrid/>
          <w:kern w:val="0"/>
          <w:sz w:val="22"/>
          <w:szCs w:val="22"/>
          <w:lang w:eastAsia="en-AU"/>
        </w:rPr>
      </w:pPr>
      <w:r w:rsidRPr="00590C3B">
        <w:rPr>
          <w:b/>
          <w:i/>
          <w:szCs w:val="24"/>
        </w:rPr>
        <w:t xml:space="preserve">Section </w:t>
      </w:r>
      <w:r w:rsidR="00B86157" w:rsidRPr="00590C3B">
        <w:rPr>
          <w:b/>
          <w:i/>
          <w:szCs w:val="24"/>
        </w:rPr>
        <w:t xml:space="preserve">4 </w:t>
      </w:r>
      <w:r w:rsidR="00B86157" w:rsidRPr="00590C3B">
        <w:rPr>
          <w:b/>
          <w:i/>
          <w:szCs w:val="24"/>
        </w:rPr>
        <w:tab/>
      </w:r>
      <w:r w:rsidR="00B86157" w:rsidRPr="00590C3B">
        <w:rPr>
          <w:snapToGrid/>
          <w:kern w:val="0"/>
          <w:sz w:val="22"/>
          <w:szCs w:val="22"/>
          <w:lang w:eastAsia="en-AU"/>
        </w:rPr>
        <w:t xml:space="preserve">Provides </w:t>
      </w:r>
      <w:r w:rsidR="00204A1E" w:rsidRPr="00590C3B">
        <w:rPr>
          <w:snapToGrid/>
          <w:kern w:val="0"/>
          <w:sz w:val="22"/>
          <w:szCs w:val="22"/>
          <w:lang w:eastAsia="en-AU"/>
        </w:rPr>
        <w:t xml:space="preserve">that the authority to make the </w:t>
      </w:r>
      <w:r w:rsidR="00BB030D" w:rsidRPr="00E20E32">
        <w:rPr>
          <w:snapToGrid/>
          <w:kern w:val="0"/>
          <w:sz w:val="22"/>
          <w:szCs w:val="22"/>
          <w:lang w:eastAsia="en-AU"/>
        </w:rPr>
        <w:t>Instrument</w:t>
      </w:r>
      <w:r w:rsidR="00204A1E" w:rsidRPr="00590C3B">
        <w:rPr>
          <w:snapToGrid/>
          <w:kern w:val="0"/>
          <w:sz w:val="22"/>
          <w:szCs w:val="22"/>
          <w:lang w:eastAsia="en-AU"/>
        </w:rPr>
        <w:t xml:space="preserve"> is </w:t>
      </w:r>
      <w:r w:rsidR="0061040C" w:rsidRPr="00E20E32">
        <w:rPr>
          <w:snapToGrid/>
          <w:kern w:val="0"/>
          <w:sz w:val="22"/>
          <w:szCs w:val="22"/>
          <w:lang w:eastAsia="en-AU"/>
        </w:rPr>
        <w:t>subsection 11(1) of the Management Plan for the purpose of paragraph 17(6)(aa) of the Act.</w:t>
      </w:r>
      <w:r w:rsidR="00B86157" w:rsidRPr="00590C3B">
        <w:rPr>
          <w:snapToGrid/>
          <w:kern w:val="0"/>
          <w:sz w:val="22"/>
          <w:szCs w:val="22"/>
          <w:lang w:eastAsia="en-AU"/>
        </w:rPr>
        <w:t xml:space="preserve"> </w:t>
      </w:r>
    </w:p>
    <w:p w14:paraId="620F63B0" w14:textId="4139A783" w:rsidR="000C6105" w:rsidRPr="00590C3B" w:rsidRDefault="00B85CF1" w:rsidP="00B86157">
      <w:pPr>
        <w:pStyle w:val="AFMANormal"/>
        <w:spacing w:before="0" w:after="240"/>
        <w:ind w:left="1276" w:hanging="1276"/>
        <w:rPr>
          <w:snapToGrid/>
          <w:kern w:val="0"/>
          <w:sz w:val="22"/>
          <w:szCs w:val="22"/>
          <w:lang w:eastAsia="en-AU"/>
        </w:rPr>
      </w:pPr>
      <w:r w:rsidRPr="00590C3B">
        <w:rPr>
          <w:b/>
          <w:i/>
          <w:szCs w:val="24"/>
        </w:rPr>
        <w:t xml:space="preserve">Section </w:t>
      </w:r>
      <w:r w:rsidR="00B86157" w:rsidRPr="00590C3B">
        <w:rPr>
          <w:b/>
          <w:i/>
          <w:szCs w:val="24"/>
        </w:rPr>
        <w:t>5</w:t>
      </w:r>
      <w:r w:rsidR="00B86157" w:rsidRPr="00590C3B">
        <w:rPr>
          <w:i/>
          <w:szCs w:val="24"/>
        </w:rPr>
        <w:tab/>
      </w:r>
      <w:r w:rsidR="000C6105" w:rsidRPr="00590C3B">
        <w:rPr>
          <w:snapToGrid/>
          <w:kern w:val="0"/>
          <w:sz w:val="22"/>
          <w:szCs w:val="22"/>
          <w:lang w:eastAsia="en-AU"/>
        </w:rPr>
        <w:t xml:space="preserve">Defines relevant terms for the purpose of the </w:t>
      </w:r>
      <w:r w:rsidR="004E61DB" w:rsidRPr="00590C3B">
        <w:rPr>
          <w:snapToGrid/>
          <w:kern w:val="0"/>
          <w:sz w:val="22"/>
          <w:szCs w:val="22"/>
          <w:lang w:eastAsia="en-AU"/>
        </w:rPr>
        <w:t>Instrument</w:t>
      </w:r>
      <w:r w:rsidR="000C6105" w:rsidRPr="00590C3B">
        <w:rPr>
          <w:snapToGrid/>
          <w:kern w:val="0"/>
          <w:sz w:val="22"/>
          <w:szCs w:val="22"/>
          <w:lang w:eastAsia="en-AU"/>
        </w:rPr>
        <w:t>.</w:t>
      </w:r>
    </w:p>
    <w:p w14:paraId="0B65EEED" w14:textId="3460539F" w:rsidR="000C6105" w:rsidRPr="00590C3B" w:rsidRDefault="000C6105" w:rsidP="00B86157">
      <w:pPr>
        <w:pStyle w:val="AFMANormal"/>
        <w:spacing w:before="0" w:after="240"/>
        <w:ind w:left="1276" w:hanging="1276"/>
        <w:rPr>
          <w:snapToGrid/>
          <w:kern w:val="0"/>
          <w:sz w:val="22"/>
          <w:szCs w:val="22"/>
          <w:lang w:eastAsia="en-AU"/>
        </w:rPr>
      </w:pPr>
      <w:r w:rsidRPr="00590C3B">
        <w:rPr>
          <w:b/>
          <w:i/>
          <w:szCs w:val="24"/>
        </w:rPr>
        <w:tab/>
      </w:r>
      <w:r w:rsidRPr="00590C3B">
        <w:rPr>
          <w:snapToGrid/>
          <w:kern w:val="0"/>
          <w:sz w:val="22"/>
          <w:szCs w:val="22"/>
          <w:lang w:eastAsia="en-AU"/>
        </w:rPr>
        <w:t xml:space="preserve">Subsection (1) provides that the Act is the </w:t>
      </w:r>
      <w:r w:rsidRPr="00590C3B">
        <w:rPr>
          <w:i/>
          <w:snapToGrid/>
          <w:kern w:val="0"/>
          <w:sz w:val="22"/>
          <w:szCs w:val="22"/>
          <w:lang w:eastAsia="en-AU"/>
        </w:rPr>
        <w:t xml:space="preserve">Fisheries Management Act </w:t>
      </w:r>
      <w:proofErr w:type="gramStart"/>
      <w:r w:rsidRPr="00590C3B">
        <w:rPr>
          <w:i/>
          <w:snapToGrid/>
          <w:kern w:val="0"/>
          <w:sz w:val="22"/>
          <w:szCs w:val="22"/>
          <w:lang w:eastAsia="en-AU"/>
        </w:rPr>
        <w:t>1991</w:t>
      </w:r>
      <w:proofErr w:type="gramEnd"/>
      <w:r w:rsidRPr="00590C3B">
        <w:rPr>
          <w:snapToGrid/>
          <w:kern w:val="0"/>
          <w:sz w:val="22"/>
          <w:szCs w:val="22"/>
          <w:lang w:eastAsia="en-AU"/>
        </w:rPr>
        <w:t xml:space="preserve"> and the Management Plan is the</w:t>
      </w:r>
      <w:r w:rsidRPr="00590C3B">
        <w:rPr>
          <w:i/>
          <w:snapToGrid/>
          <w:kern w:val="0"/>
          <w:sz w:val="22"/>
          <w:szCs w:val="22"/>
          <w:lang w:eastAsia="en-AU"/>
        </w:rPr>
        <w:t xml:space="preserve"> Southern and Eastern Scalefish and Shark fishery Management Plan 2003</w:t>
      </w:r>
      <w:r w:rsidRPr="00590C3B">
        <w:rPr>
          <w:snapToGrid/>
          <w:kern w:val="0"/>
          <w:sz w:val="22"/>
          <w:szCs w:val="22"/>
          <w:lang w:eastAsia="en-AU"/>
        </w:rPr>
        <w:t>.</w:t>
      </w:r>
    </w:p>
    <w:p w14:paraId="6E74C0AB" w14:textId="4819D6E3" w:rsidR="000C6105" w:rsidRPr="00590C3B" w:rsidRDefault="000C6105" w:rsidP="00B86157">
      <w:pPr>
        <w:pStyle w:val="AFMANormal"/>
        <w:spacing w:before="0" w:after="240"/>
        <w:ind w:left="1276" w:hanging="1276"/>
        <w:rPr>
          <w:snapToGrid/>
          <w:kern w:val="0"/>
          <w:sz w:val="22"/>
          <w:szCs w:val="22"/>
          <w:lang w:eastAsia="en-AU"/>
        </w:rPr>
      </w:pPr>
      <w:r w:rsidRPr="00590C3B">
        <w:rPr>
          <w:snapToGrid/>
          <w:kern w:val="0"/>
          <w:sz w:val="22"/>
          <w:szCs w:val="22"/>
          <w:lang w:eastAsia="en-AU"/>
        </w:rPr>
        <w:tab/>
        <w:t xml:space="preserve">Subsection (2) provides that terms that are defined in the Management Plan have the same meaning in the </w:t>
      </w:r>
      <w:r w:rsidR="004E61DB" w:rsidRPr="00590C3B">
        <w:rPr>
          <w:snapToGrid/>
          <w:kern w:val="0"/>
          <w:sz w:val="22"/>
          <w:szCs w:val="22"/>
          <w:lang w:eastAsia="en-AU"/>
        </w:rPr>
        <w:t>Instrument</w:t>
      </w:r>
      <w:r w:rsidRPr="00590C3B">
        <w:rPr>
          <w:snapToGrid/>
          <w:kern w:val="0"/>
          <w:sz w:val="22"/>
          <w:szCs w:val="22"/>
          <w:lang w:eastAsia="en-AU"/>
        </w:rPr>
        <w:t xml:space="preserve"> as they do in the Management Plan.</w:t>
      </w:r>
    </w:p>
    <w:p w14:paraId="65228C13" w14:textId="147D1792" w:rsidR="00B86157" w:rsidRPr="00590C3B" w:rsidRDefault="008C2437" w:rsidP="00B12A86">
      <w:pPr>
        <w:pStyle w:val="AFMANormal"/>
        <w:spacing w:before="0" w:after="240"/>
        <w:ind w:left="1276"/>
        <w:rPr>
          <w:snapToGrid/>
          <w:kern w:val="0"/>
          <w:sz w:val="22"/>
          <w:szCs w:val="22"/>
          <w:lang w:eastAsia="en-AU"/>
        </w:rPr>
      </w:pPr>
      <w:r w:rsidRPr="00590C3B">
        <w:rPr>
          <w:snapToGrid/>
          <w:kern w:val="0"/>
          <w:sz w:val="22"/>
          <w:szCs w:val="22"/>
          <w:lang w:eastAsia="en-AU"/>
        </w:rPr>
        <w:t xml:space="preserve">Terms defined in the </w:t>
      </w:r>
      <w:r w:rsidR="00E43D43" w:rsidRPr="00590C3B">
        <w:rPr>
          <w:snapToGrid/>
          <w:kern w:val="0"/>
          <w:sz w:val="22"/>
          <w:szCs w:val="22"/>
          <w:lang w:eastAsia="en-AU"/>
        </w:rPr>
        <w:t>Act</w:t>
      </w:r>
      <w:r w:rsidRPr="00590C3B">
        <w:rPr>
          <w:snapToGrid/>
          <w:kern w:val="0"/>
          <w:sz w:val="22"/>
          <w:szCs w:val="22"/>
          <w:lang w:eastAsia="en-AU"/>
        </w:rPr>
        <w:t xml:space="preserve"> have the same meanings in this </w:t>
      </w:r>
      <w:r w:rsidR="004E61DB" w:rsidRPr="00590C3B">
        <w:rPr>
          <w:snapToGrid/>
          <w:kern w:val="0"/>
          <w:sz w:val="22"/>
          <w:szCs w:val="22"/>
          <w:lang w:eastAsia="en-AU"/>
        </w:rPr>
        <w:t>Instrument</w:t>
      </w:r>
      <w:r w:rsidRPr="00590C3B">
        <w:rPr>
          <w:snapToGrid/>
          <w:kern w:val="0"/>
          <w:sz w:val="22"/>
          <w:szCs w:val="22"/>
          <w:lang w:eastAsia="en-AU"/>
        </w:rPr>
        <w:t>.</w:t>
      </w:r>
      <w:r w:rsidR="00B86157" w:rsidRPr="00590C3B">
        <w:rPr>
          <w:snapToGrid/>
          <w:kern w:val="0"/>
          <w:sz w:val="22"/>
          <w:szCs w:val="22"/>
          <w:lang w:eastAsia="en-AU"/>
        </w:rPr>
        <w:t xml:space="preserve"> </w:t>
      </w:r>
    </w:p>
    <w:p w14:paraId="0D625EB0" w14:textId="57CD7536" w:rsidR="00204A1E" w:rsidRPr="00590C3B" w:rsidRDefault="00B85CF1" w:rsidP="00204A1E">
      <w:pPr>
        <w:pStyle w:val="AFMANormal"/>
        <w:spacing w:after="240"/>
        <w:ind w:left="1276" w:hanging="1276"/>
        <w:rPr>
          <w:szCs w:val="24"/>
        </w:rPr>
      </w:pPr>
      <w:r w:rsidRPr="00590C3B">
        <w:rPr>
          <w:b/>
          <w:i/>
          <w:szCs w:val="24"/>
        </w:rPr>
        <w:t xml:space="preserve">Section </w:t>
      </w:r>
      <w:r w:rsidR="00B86157" w:rsidRPr="00590C3B">
        <w:rPr>
          <w:b/>
          <w:i/>
          <w:szCs w:val="24"/>
        </w:rPr>
        <w:t>6</w:t>
      </w:r>
      <w:r w:rsidR="00B86157" w:rsidRPr="00590C3B">
        <w:rPr>
          <w:i/>
          <w:szCs w:val="24"/>
        </w:rPr>
        <w:tab/>
      </w:r>
      <w:r w:rsidR="00204A1E" w:rsidRPr="00590C3B">
        <w:rPr>
          <w:snapToGrid/>
          <w:kern w:val="0"/>
          <w:sz w:val="22"/>
          <w:szCs w:val="22"/>
          <w:lang w:eastAsia="en-AU"/>
        </w:rPr>
        <w:t>Determines the TAC for quota species of fish, as listed in the Management Plan, where the TAC applies to fish take</w:t>
      </w:r>
      <w:r w:rsidR="00C262C3" w:rsidRPr="00590C3B">
        <w:rPr>
          <w:snapToGrid/>
          <w:kern w:val="0"/>
          <w:sz w:val="22"/>
          <w:szCs w:val="22"/>
          <w:lang w:eastAsia="en-AU"/>
        </w:rPr>
        <w:t>n across the whole area of the Fishery</w:t>
      </w:r>
      <w:r w:rsidR="00204A1E" w:rsidRPr="00590C3B">
        <w:rPr>
          <w:snapToGrid/>
          <w:kern w:val="0"/>
          <w:sz w:val="22"/>
          <w:szCs w:val="22"/>
          <w:lang w:eastAsia="en-AU"/>
        </w:rPr>
        <w:t xml:space="preserve"> (as is described as the ‘area of the fishery’ in Part 1 of Schedule 1 to the Management Plan).</w:t>
      </w:r>
      <w:r w:rsidR="00204A1E" w:rsidRPr="00590C3B">
        <w:rPr>
          <w:szCs w:val="24"/>
        </w:rPr>
        <w:t xml:space="preserve">  </w:t>
      </w:r>
    </w:p>
    <w:p w14:paraId="11D73AEA" w14:textId="28011651" w:rsidR="00204A1E" w:rsidRPr="00590C3B" w:rsidRDefault="00183A29" w:rsidP="00204A1E">
      <w:pPr>
        <w:pStyle w:val="AFMANormal"/>
        <w:spacing w:after="240"/>
        <w:ind w:left="1276"/>
        <w:rPr>
          <w:snapToGrid/>
          <w:kern w:val="0"/>
          <w:sz w:val="22"/>
          <w:szCs w:val="22"/>
          <w:lang w:eastAsia="en-AU"/>
        </w:rPr>
      </w:pPr>
      <w:r w:rsidRPr="00590C3B">
        <w:rPr>
          <w:snapToGrid/>
          <w:kern w:val="0"/>
          <w:sz w:val="22"/>
          <w:szCs w:val="22"/>
          <w:lang w:eastAsia="en-AU"/>
        </w:rPr>
        <w:t xml:space="preserve">Subsection </w:t>
      </w:r>
      <w:r w:rsidR="00204A1E" w:rsidRPr="00590C3B">
        <w:rPr>
          <w:snapToGrid/>
          <w:kern w:val="0"/>
          <w:sz w:val="22"/>
          <w:szCs w:val="22"/>
          <w:lang w:eastAsia="en-AU"/>
        </w:rPr>
        <w:t>(1) provides that section 6 applies for the 202</w:t>
      </w:r>
      <w:r w:rsidR="00CA621F">
        <w:rPr>
          <w:snapToGrid/>
          <w:kern w:val="0"/>
          <w:sz w:val="22"/>
          <w:szCs w:val="22"/>
          <w:lang w:eastAsia="en-AU"/>
        </w:rPr>
        <w:t>5</w:t>
      </w:r>
      <w:r w:rsidR="000B1FF1" w:rsidRPr="00590C3B">
        <w:rPr>
          <w:snapToGrid/>
          <w:kern w:val="0"/>
          <w:sz w:val="22"/>
          <w:szCs w:val="22"/>
          <w:lang w:eastAsia="en-AU"/>
        </w:rPr>
        <w:t>-2</w:t>
      </w:r>
      <w:r w:rsidR="00CA621F">
        <w:rPr>
          <w:snapToGrid/>
          <w:kern w:val="0"/>
          <w:sz w:val="22"/>
          <w:szCs w:val="22"/>
          <w:lang w:eastAsia="en-AU"/>
        </w:rPr>
        <w:t>6</w:t>
      </w:r>
      <w:r w:rsidR="00204A1E" w:rsidRPr="00590C3B">
        <w:rPr>
          <w:snapToGrid/>
          <w:kern w:val="0"/>
          <w:sz w:val="22"/>
          <w:szCs w:val="22"/>
          <w:lang w:eastAsia="en-AU"/>
        </w:rPr>
        <w:t xml:space="preserve"> fishing year commencing on 1 May 202</w:t>
      </w:r>
      <w:r w:rsidR="00541045">
        <w:rPr>
          <w:snapToGrid/>
          <w:kern w:val="0"/>
          <w:sz w:val="22"/>
          <w:szCs w:val="22"/>
          <w:lang w:eastAsia="en-AU"/>
        </w:rPr>
        <w:t>5</w:t>
      </w:r>
      <w:r w:rsidR="00204A1E" w:rsidRPr="00590C3B">
        <w:rPr>
          <w:snapToGrid/>
          <w:kern w:val="0"/>
          <w:sz w:val="22"/>
          <w:szCs w:val="22"/>
          <w:lang w:eastAsia="en-AU"/>
        </w:rPr>
        <w:t xml:space="preserve"> and ending on 30 April 202</w:t>
      </w:r>
      <w:r w:rsidR="00832CAC">
        <w:rPr>
          <w:snapToGrid/>
          <w:kern w:val="0"/>
          <w:sz w:val="22"/>
          <w:szCs w:val="22"/>
          <w:lang w:eastAsia="en-AU"/>
        </w:rPr>
        <w:t>6</w:t>
      </w:r>
      <w:r w:rsidR="00204A1E" w:rsidRPr="00590C3B">
        <w:rPr>
          <w:snapToGrid/>
          <w:kern w:val="0"/>
          <w:sz w:val="22"/>
          <w:szCs w:val="22"/>
          <w:lang w:eastAsia="en-AU"/>
        </w:rPr>
        <w:t xml:space="preserve">. This is consistent with the definition of ‘fishing year’ provided in section 3 of the Management Plan.  </w:t>
      </w:r>
    </w:p>
    <w:p w14:paraId="6A6F9B8C" w14:textId="6BCB8AF3" w:rsidR="00204A1E" w:rsidRPr="00590C3B" w:rsidRDefault="00183A29" w:rsidP="001F1F49">
      <w:pPr>
        <w:pStyle w:val="AFMANormal"/>
        <w:spacing w:after="240"/>
        <w:ind w:left="1276"/>
        <w:rPr>
          <w:snapToGrid/>
          <w:kern w:val="0"/>
          <w:sz w:val="22"/>
          <w:szCs w:val="22"/>
          <w:lang w:eastAsia="en-AU"/>
        </w:rPr>
      </w:pPr>
      <w:r w:rsidRPr="00590C3B">
        <w:rPr>
          <w:snapToGrid/>
          <w:kern w:val="0"/>
          <w:sz w:val="22"/>
          <w:szCs w:val="22"/>
          <w:lang w:eastAsia="en-AU"/>
        </w:rPr>
        <w:t xml:space="preserve">Subsection </w:t>
      </w:r>
      <w:r w:rsidR="00204A1E" w:rsidRPr="00590C3B">
        <w:rPr>
          <w:snapToGrid/>
          <w:kern w:val="0"/>
          <w:sz w:val="22"/>
          <w:szCs w:val="22"/>
          <w:lang w:eastAsia="en-AU"/>
        </w:rPr>
        <w:t xml:space="preserve">(2) determines the TAC for 23 </w:t>
      </w:r>
      <w:r w:rsidR="00646559" w:rsidRPr="00590C3B">
        <w:rPr>
          <w:snapToGrid/>
          <w:kern w:val="0"/>
          <w:sz w:val="22"/>
          <w:szCs w:val="22"/>
          <w:lang w:eastAsia="en-AU"/>
        </w:rPr>
        <w:t xml:space="preserve">quota </w:t>
      </w:r>
      <w:r w:rsidR="00204A1E" w:rsidRPr="00590C3B">
        <w:rPr>
          <w:snapToGrid/>
          <w:kern w:val="0"/>
          <w:sz w:val="22"/>
          <w:szCs w:val="22"/>
          <w:lang w:eastAsia="en-AU"/>
        </w:rPr>
        <w:t>species of fish listed in the table. The TAC for 19 of these quota species is determined on the basis of whole weight of fish. The TAC for three species is determined on the basis of ‘trunked weight’ and the TAC for elephant fish is determined on the basis of the weight of those fish ‘trunked, belly</w:t>
      </w:r>
      <w:r w:rsidR="00B47EC6" w:rsidRPr="00590C3B">
        <w:rPr>
          <w:snapToGrid/>
          <w:kern w:val="0"/>
          <w:sz w:val="22"/>
          <w:szCs w:val="22"/>
          <w:lang w:eastAsia="en-AU"/>
        </w:rPr>
        <w:t xml:space="preserve"> </w:t>
      </w:r>
      <w:r w:rsidR="00204A1E" w:rsidRPr="00590C3B">
        <w:rPr>
          <w:snapToGrid/>
          <w:kern w:val="0"/>
          <w:sz w:val="22"/>
          <w:szCs w:val="22"/>
          <w:lang w:eastAsia="en-AU"/>
        </w:rPr>
        <w:t>flaps removed’.</w:t>
      </w:r>
    </w:p>
    <w:p w14:paraId="3E304618" w14:textId="01A4ADFA" w:rsidR="00204A1E" w:rsidRPr="00590C3B" w:rsidRDefault="00183A29" w:rsidP="0081537E">
      <w:pPr>
        <w:pStyle w:val="AFMANormal"/>
        <w:spacing w:after="240"/>
        <w:ind w:left="1276" w:hanging="1276"/>
        <w:rPr>
          <w:snapToGrid/>
          <w:kern w:val="0"/>
          <w:sz w:val="22"/>
          <w:szCs w:val="22"/>
          <w:lang w:eastAsia="en-AU"/>
        </w:rPr>
      </w:pPr>
      <w:r w:rsidRPr="00590C3B">
        <w:rPr>
          <w:b/>
          <w:i/>
          <w:szCs w:val="24"/>
        </w:rPr>
        <w:t xml:space="preserve">Section </w:t>
      </w:r>
      <w:r w:rsidR="00204A1E" w:rsidRPr="00590C3B">
        <w:rPr>
          <w:b/>
          <w:i/>
          <w:szCs w:val="24"/>
        </w:rPr>
        <w:t>7</w:t>
      </w:r>
      <w:r w:rsidR="00204A1E" w:rsidRPr="00590C3B">
        <w:rPr>
          <w:b/>
          <w:i/>
          <w:szCs w:val="24"/>
        </w:rPr>
        <w:tab/>
      </w:r>
      <w:r w:rsidR="00204A1E" w:rsidRPr="00590C3B">
        <w:rPr>
          <w:snapToGrid/>
          <w:kern w:val="0"/>
          <w:sz w:val="22"/>
          <w:szCs w:val="22"/>
          <w:lang w:eastAsia="en-AU"/>
        </w:rPr>
        <w:t>Determines the TAC for quota species of fish, as listed in the Management Plan, where the TAC applies to fish taken in a part of the area of t</w:t>
      </w:r>
      <w:r w:rsidR="00C262C3" w:rsidRPr="00590C3B">
        <w:rPr>
          <w:snapToGrid/>
          <w:kern w:val="0"/>
          <w:sz w:val="22"/>
          <w:szCs w:val="22"/>
          <w:lang w:eastAsia="en-AU"/>
        </w:rPr>
        <w:t>he Fishery</w:t>
      </w:r>
      <w:r w:rsidR="00204A1E" w:rsidRPr="00590C3B">
        <w:rPr>
          <w:snapToGrid/>
          <w:kern w:val="0"/>
          <w:sz w:val="22"/>
          <w:szCs w:val="22"/>
          <w:lang w:eastAsia="en-AU"/>
        </w:rPr>
        <w:t xml:space="preserve"> as is permitted under subsection 11(3) of the Management Plan.  </w:t>
      </w:r>
    </w:p>
    <w:p w14:paraId="5CFDE833" w14:textId="4671E192" w:rsidR="00204A1E" w:rsidRPr="00F8777F" w:rsidRDefault="00A05AD0" w:rsidP="0081537E">
      <w:pPr>
        <w:pStyle w:val="AFMANormal"/>
        <w:spacing w:after="240"/>
        <w:ind w:left="1276"/>
        <w:rPr>
          <w:snapToGrid/>
          <w:kern w:val="0"/>
          <w:sz w:val="22"/>
          <w:szCs w:val="22"/>
          <w:lang w:eastAsia="en-AU"/>
        </w:rPr>
      </w:pPr>
      <w:r w:rsidRPr="00590C3B">
        <w:rPr>
          <w:snapToGrid/>
          <w:kern w:val="0"/>
          <w:sz w:val="22"/>
          <w:szCs w:val="22"/>
          <w:lang w:eastAsia="en-AU"/>
        </w:rPr>
        <w:t>Subsection (1) provides that section 7 applies for the 202</w:t>
      </w:r>
      <w:r w:rsidR="00CA621F">
        <w:rPr>
          <w:snapToGrid/>
          <w:kern w:val="0"/>
          <w:sz w:val="22"/>
          <w:szCs w:val="22"/>
          <w:lang w:eastAsia="en-AU"/>
        </w:rPr>
        <w:t>5</w:t>
      </w:r>
      <w:r w:rsidR="000B1FF1" w:rsidRPr="00590C3B">
        <w:rPr>
          <w:snapToGrid/>
          <w:kern w:val="0"/>
          <w:sz w:val="22"/>
          <w:szCs w:val="22"/>
          <w:lang w:eastAsia="en-AU"/>
        </w:rPr>
        <w:t>-2</w:t>
      </w:r>
      <w:r w:rsidR="00CA621F">
        <w:rPr>
          <w:snapToGrid/>
          <w:kern w:val="0"/>
          <w:sz w:val="22"/>
          <w:szCs w:val="22"/>
          <w:lang w:eastAsia="en-AU"/>
        </w:rPr>
        <w:t>6</w:t>
      </w:r>
      <w:r w:rsidRPr="00590C3B">
        <w:rPr>
          <w:snapToGrid/>
          <w:kern w:val="0"/>
          <w:sz w:val="22"/>
          <w:szCs w:val="22"/>
          <w:lang w:eastAsia="en-AU"/>
        </w:rPr>
        <w:t xml:space="preserve"> fishing year commencing on 1 May </w:t>
      </w:r>
      <w:r w:rsidR="001E386B" w:rsidRPr="00590C3B">
        <w:rPr>
          <w:snapToGrid/>
          <w:kern w:val="0"/>
          <w:sz w:val="22"/>
          <w:szCs w:val="22"/>
          <w:lang w:eastAsia="en-AU"/>
        </w:rPr>
        <w:t>202</w:t>
      </w:r>
      <w:r w:rsidR="001E386B">
        <w:rPr>
          <w:snapToGrid/>
          <w:kern w:val="0"/>
          <w:sz w:val="22"/>
          <w:szCs w:val="22"/>
          <w:lang w:eastAsia="en-AU"/>
        </w:rPr>
        <w:t>5</w:t>
      </w:r>
      <w:r w:rsidR="001E386B" w:rsidRPr="00590C3B">
        <w:rPr>
          <w:snapToGrid/>
          <w:kern w:val="0"/>
          <w:sz w:val="22"/>
          <w:szCs w:val="22"/>
          <w:lang w:eastAsia="en-AU"/>
        </w:rPr>
        <w:t xml:space="preserve"> </w:t>
      </w:r>
      <w:r w:rsidR="00204A1E" w:rsidRPr="00590C3B">
        <w:rPr>
          <w:snapToGrid/>
          <w:kern w:val="0"/>
          <w:sz w:val="22"/>
          <w:szCs w:val="22"/>
          <w:lang w:eastAsia="en-AU"/>
        </w:rPr>
        <w:t xml:space="preserve">and ending on 30 April </w:t>
      </w:r>
      <w:r w:rsidR="001E386B" w:rsidRPr="00590C3B">
        <w:rPr>
          <w:snapToGrid/>
          <w:kern w:val="0"/>
          <w:sz w:val="22"/>
          <w:szCs w:val="22"/>
          <w:lang w:eastAsia="en-AU"/>
        </w:rPr>
        <w:t>202</w:t>
      </w:r>
      <w:r w:rsidR="001E386B">
        <w:rPr>
          <w:snapToGrid/>
          <w:kern w:val="0"/>
          <w:sz w:val="22"/>
          <w:szCs w:val="22"/>
          <w:lang w:eastAsia="en-AU"/>
        </w:rPr>
        <w:t>6</w:t>
      </w:r>
      <w:r w:rsidR="00204A1E" w:rsidRPr="00590C3B">
        <w:rPr>
          <w:snapToGrid/>
          <w:kern w:val="0"/>
          <w:sz w:val="22"/>
          <w:szCs w:val="22"/>
          <w:lang w:eastAsia="en-AU"/>
        </w:rPr>
        <w:t xml:space="preserve">. This is consistent with the definition of ‘fishing year’ provided </w:t>
      </w:r>
      <w:r w:rsidR="00204A1E" w:rsidRPr="00F8777F">
        <w:rPr>
          <w:snapToGrid/>
          <w:kern w:val="0"/>
          <w:sz w:val="22"/>
          <w:szCs w:val="22"/>
          <w:lang w:eastAsia="en-AU"/>
        </w:rPr>
        <w:t xml:space="preserve">in section 3 of the Management Plan.  </w:t>
      </w:r>
    </w:p>
    <w:p w14:paraId="13C1D26F" w14:textId="5EEC0795" w:rsidR="00204A1E" w:rsidRPr="00F8777F" w:rsidRDefault="00183A29" w:rsidP="0081537E">
      <w:pPr>
        <w:pStyle w:val="AFMANormal"/>
        <w:spacing w:after="240"/>
        <w:ind w:left="1276"/>
        <w:rPr>
          <w:snapToGrid/>
          <w:kern w:val="0"/>
          <w:sz w:val="22"/>
          <w:szCs w:val="22"/>
          <w:lang w:eastAsia="en-AU"/>
        </w:rPr>
      </w:pPr>
      <w:r w:rsidRPr="00F8777F">
        <w:rPr>
          <w:snapToGrid/>
          <w:kern w:val="0"/>
          <w:sz w:val="22"/>
          <w:szCs w:val="22"/>
          <w:lang w:eastAsia="en-AU"/>
        </w:rPr>
        <w:t xml:space="preserve">Subsection </w:t>
      </w:r>
      <w:r w:rsidR="00204A1E" w:rsidRPr="00F8777F">
        <w:rPr>
          <w:snapToGrid/>
          <w:kern w:val="0"/>
          <w:sz w:val="22"/>
          <w:szCs w:val="22"/>
          <w:lang w:eastAsia="en-AU"/>
        </w:rPr>
        <w:t xml:space="preserve">(2) determines the TAC for: </w:t>
      </w:r>
    </w:p>
    <w:p w14:paraId="0DB2A101" w14:textId="77777777" w:rsidR="00204A1E" w:rsidRPr="00F8777F" w:rsidRDefault="00204A1E" w:rsidP="0081537E">
      <w:pPr>
        <w:pStyle w:val="AFMANormal"/>
        <w:numPr>
          <w:ilvl w:val="0"/>
          <w:numId w:val="2"/>
        </w:numPr>
        <w:spacing w:after="240"/>
        <w:rPr>
          <w:snapToGrid/>
          <w:kern w:val="0"/>
          <w:sz w:val="22"/>
          <w:szCs w:val="22"/>
          <w:lang w:eastAsia="en-AU"/>
        </w:rPr>
      </w:pPr>
      <w:r w:rsidRPr="00F8777F">
        <w:rPr>
          <w:snapToGrid/>
          <w:kern w:val="0"/>
          <w:sz w:val="22"/>
          <w:szCs w:val="22"/>
          <w:lang w:eastAsia="en-AU"/>
        </w:rPr>
        <w:lastRenderedPageBreak/>
        <w:t xml:space="preserve">deepwater shark, basket, on the basis of trunked weight within the gemfish and deepwater shark eastern zone (item 1) and within the gemfish and deepwater shark western zone (item 2); </w:t>
      </w:r>
    </w:p>
    <w:p w14:paraId="18D74B14" w14:textId="77777777" w:rsidR="00204A1E" w:rsidRPr="00F8777F" w:rsidRDefault="00204A1E" w:rsidP="0081537E">
      <w:pPr>
        <w:pStyle w:val="AFMANormal"/>
        <w:numPr>
          <w:ilvl w:val="0"/>
          <w:numId w:val="2"/>
        </w:numPr>
        <w:spacing w:after="240"/>
        <w:rPr>
          <w:snapToGrid/>
          <w:kern w:val="0"/>
          <w:sz w:val="22"/>
          <w:szCs w:val="22"/>
          <w:lang w:eastAsia="en-AU"/>
        </w:rPr>
      </w:pPr>
      <w:r w:rsidRPr="00F8777F">
        <w:rPr>
          <w:snapToGrid/>
          <w:kern w:val="0"/>
          <w:sz w:val="22"/>
          <w:szCs w:val="22"/>
          <w:lang w:eastAsia="en-AU"/>
        </w:rPr>
        <w:t xml:space="preserve">gemfish on the basis of whole weight within the gemfish and deepwater shark eastern zone (item 3) and the gemfish and deepwater shark western zone (item 4); </w:t>
      </w:r>
    </w:p>
    <w:p w14:paraId="1667FC16" w14:textId="77777777" w:rsidR="00204A1E" w:rsidRPr="00F8777F" w:rsidRDefault="00204A1E" w:rsidP="0081537E">
      <w:pPr>
        <w:pStyle w:val="AFMANormal"/>
        <w:numPr>
          <w:ilvl w:val="0"/>
          <w:numId w:val="2"/>
        </w:numPr>
        <w:spacing w:after="240"/>
        <w:rPr>
          <w:snapToGrid/>
          <w:kern w:val="0"/>
          <w:sz w:val="22"/>
          <w:szCs w:val="22"/>
          <w:lang w:eastAsia="en-AU"/>
        </w:rPr>
      </w:pPr>
      <w:r w:rsidRPr="00F8777F">
        <w:rPr>
          <w:snapToGrid/>
          <w:kern w:val="0"/>
          <w:sz w:val="22"/>
          <w:szCs w:val="22"/>
          <w:lang w:eastAsia="en-AU"/>
        </w:rPr>
        <w:t>orange roughy on the basis of whole weight within the GAB Albany zone and GAB Esperance zone (item 5), the Cascade Plateau zone (item 6), the orange roughy eastern zone (item 7), the orange roughy southern zone (item 8), and the orange roughy western zone (item 9); and</w:t>
      </w:r>
    </w:p>
    <w:p w14:paraId="17FADE7D" w14:textId="77777777" w:rsidR="006E7FA1" w:rsidRDefault="00204A1E" w:rsidP="0081537E">
      <w:pPr>
        <w:pStyle w:val="AFMANormal"/>
        <w:numPr>
          <w:ilvl w:val="0"/>
          <w:numId w:val="2"/>
        </w:numPr>
        <w:spacing w:after="240"/>
        <w:rPr>
          <w:snapToGrid/>
          <w:kern w:val="0"/>
          <w:sz w:val="22"/>
          <w:szCs w:val="22"/>
          <w:lang w:eastAsia="en-AU"/>
        </w:rPr>
      </w:pPr>
      <w:r w:rsidRPr="00F8777F">
        <w:rPr>
          <w:snapToGrid/>
          <w:kern w:val="0"/>
          <w:sz w:val="22"/>
          <w:szCs w:val="22"/>
          <w:lang w:eastAsia="en-AU"/>
        </w:rPr>
        <w:t>smooth oreo dory on the basis of whole weight within the Cascade Plateau zone (item 10) and areas of the fishery other than the Cascade Plateau zone (item 11).</w:t>
      </w:r>
    </w:p>
    <w:p w14:paraId="4D5028AD" w14:textId="77777777" w:rsidR="006E7FA1" w:rsidRDefault="006E7FA1">
      <w:pPr>
        <w:spacing w:after="200" w:line="276" w:lineRule="auto"/>
        <w:rPr>
          <w:sz w:val="22"/>
          <w:szCs w:val="22"/>
          <w:lang w:eastAsia="en-AU"/>
        </w:rPr>
      </w:pPr>
      <w:r>
        <w:rPr>
          <w:sz w:val="22"/>
          <w:szCs w:val="22"/>
          <w:lang w:eastAsia="en-AU"/>
        </w:rPr>
        <w:br w:type="page"/>
      </w:r>
    </w:p>
    <w:p w14:paraId="5EC9E869" w14:textId="1729C2E3" w:rsidR="00B25483" w:rsidRPr="00F8777F" w:rsidRDefault="00204A1E" w:rsidP="006E7FA1">
      <w:pPr>
        <w:pStyle w:val="AFMANormal"/>
        <w:spacing w:after="240"/>
        <w:ind w:left="2138"/>
        <w:rPr>
          <w:b/>
          <w:sz w:val="22"/>
          <w:szCs w:val="22"/>
        </w:rPr>
      </w:pPr>
      <w:r w:rsidRPr="00F8777F">
        <w:rPr>
          <w:snapToGrid/>
          <w:kern w:val="0"/>
          <w:sz w:val="22"/>
          <w:szCs w:val="22"/>
          <w:lang w:eastAsia="en-AU"/>
        </w:rPr>
        <w:lastRenderedPageBreak/>
        <w:t xml:space="preserve">  </w:t>
      </w:r>
      <w:r w:rsidR="006E7FA1">
        <w:rPr>
          <w:snapToGrid/>
          <w:kern w:val="0"/>
          <w:sz w:val="22"/>
          <w:szCs w:val="22"/>
          <w:lang w:eastAsia="en-AU"/>
        </w:rPr>
        <w:tab/>
      </w:r>
      <w:r w:rsidR="006E7FA1">
        <w:rPr>
          <w:snapToGrid/>
          <w:kern w:val="0"/>
          <w:sz w:val="22"/>
          <w:szCs w:val="22"/>
          <w:lang w:eastAsia="en-AU"/>
        </w:rPr>
        <w:tab/>
      </w:r>
      <w:r w:rsidR="006E7FA1">
        <w:rPr>
          <w:snapToGrid/>
          <w:kern w:val="0"/>
          <w:sz w:val="22"/>
          <w:szCs w:val="22"/>
          <w:lang w:eastAsia="en-AU"/>
        </w:rPr>
        <w:tab/>
      </w:r>
      <w:r w:rsidR="006E7FA1">
        <w:rPr>
          <w:snapToGrid/>
          <w:kern w:val="0"/>
          <w:sz w:val="22"/>
          <w:szCs w:val="22"/>
          <w:lang w:eastAsia="en-AU"/>
        </w:rPr>
        <w:tab/>
      </w:r>
      <w:r w:rsidR="006E7FA1">
        <w:rPr>
          <w:snapToGrid/>
          <w:kern w:val="0"/>
          <w:sz w:val="22"/>
          <w:szCs w:val="22"/>
          <w:lang w:eastAsia="en-AU"/>
        </w:rPr>
        <w:tab/>
      </w:r>
      <w:r w:rsidR="006E7FA1">
        <w:rPr>
          <w:snapToGrid/>
          <w:kern w:val="0"/>
          <w:sz w:val="22"/>
          <w:szCs w:val="22"/>
          <w:lang w:eastAsia="en-AU"/>
        </w:rPr>
        <w:tab/>
      </w:r>
      <w:r w:rsidR="006E7FA1">
        <w:rPr>
          <w:snapToGrid/>
          <w:kern w:val="0"/>
          <w:sz w:val="22"/>
          <w:szCs w:val="22"/>
          <w:lang w:eastAsia="en-AU"/>
        </w:rPr>
        <w:tab/>
      </w:r>
      <w:r w:rsidR="006E7FA1">
        <w:rPr>
          <w:snapToGrid/>
          <w:kern w:val="0"/>
          <w:sz w:val="22"/>
          <w:szCs w:val="22"/>
          <w:lang w:eastAsia="en-AU"/>
        </w:rPr>
        <w:tab/>
      </w:r>
      <w:r w:rsidR="00B25483" w:rsidRPr="00F8777F">
        <w:rPr>
          <w:b/>
          <w:sz w:val="22"/>
          <w:szCs w:val="22"/>
        </w:rPr>
        <w:t>Attachment A</w:t>
      </w:r>
    </w:p>
    <w:p w14:paraId="6AABDF8E" w14:textId="0BEEAF5B" w:rsidR="00B25483" w:rsidRPr="00894C30" w:rsidRDefault="00B25483" w:rsidP="00B25483">
      <w:pPr>
        <w:spacing w:before="240" w:after="240" w:line="276" w:lineRule="auto"/>
        <w:jc w:val="center"/>
        <w:rPr>
          <w:b/>
          <w:sz w:val="22"/>
          <w:szCs w:val="22"/>
        </w:rPr>
      </w:pPr>
      <w:r w:rsidRPr="00894C30">
        <w:rPr>
          <w:b/>
          <w:sz w:val="22"/>
          <w:szCs w:val="22"/>
        </w:rPr>
        <w:t>Statement of Compatibility with Human Rights</w:t>
      </w:r>
    </w:p>
    <w:p w14:paraId="5EAC36DB" w14:textId="77777777" w:rsidR="00B25483" w:rsidRPr="00894C30" w:rsidRDefault="00B25483" w:rsidP="00B25483">
      <w:pPr>
        <w:spacing w:before="240" w:after="240" w:line="276" w:lineRule="auto"/>
        <w:jc w:val="center"/>
        <w:rPr>
          <w:sz w:val="22"/>
          <w:szCs w:val="22"/>
        </w:rPr>
      </w:pPr>
      <w:r w:rsidRPr="00894C30">
        <w:rPr>
          <w:sz w:val="22"/>
          <w:szCs w:val="22"/>
        </w:rPr>
        <w:t xml:space="preserve">Prepared in accordance with Part 3 of the </w:t>
      </w:r>
      <w:r w:rsidRPr="00894C30">
        <w:rPr>
          <w:i/>
          <w:sz w:val="22"/>
          <w:szCs w:val="22"/>
        </w:rPr>
        <w:t>Human Rights (Parliamentary Scrutiny) Act 2011</w:t>
      </w:r>
    </w:p>
    <w:p w14:paraId="0FC15B75" w14:textId="3F929665" w:rsidR="00B25483" w:rsidRPr="00894C30" w:rsidRDefault="00EA1005" w:rsidP="00B25483">
      <w:pPr>
        <w:spacing w:before="240" w:after="240" w:line="276" w:lineRule="auto"/>
        <w:jc w:val="center"/>
        <w:rPr>
          <w:b/>
          <w:i/>
          <w:sz w:val="22"/>
          <w:szCs w:val="22"/>
        </w:rPr>
      </w:pPr>
      <w:r w:rsidRPr="00894C30">
        <w:rPr>
          <w:b/>
          <w:i/>
          <w:sz w:val="22"/>
          <w:szCs w:val="22"/>
          <w:lang w:val="en-US"/>
        </w:rPr>
        <w:t>Southern and Eastern Scalefish and Shark Fishery (Total Allowable Catch for Quota Species) Determination 202</w:t>
      </w:r>
      <w:r w:rsidR="0076439C">
        <w:rPr>
          <w:b/>
          <w:i/>
          <w:sz w:val="22"/>
          <w:szCs w:val="22"/>
          <w:lang w:val="en-US"/>
        </w:rPr>
        <w:t>5</w:t>
      </w:r>
    </w:p>
    <w:p w14:paraId="07DE6090" w14:textId="77777777" w:rsidR="00B25483" w:rsidRPr="00894C30" w:rsidRDefault="00B25483" w:rsidP="00B25483">
      <w:pPr>
        <w:spacing w:before="240" w:after="600" w:line="276" w:lineRule="auto"/>
        <w:jc w:val="center"/>
        <w:rPr>
          <w:sz w:val="22"/>
          <w:szCs w:val="22"/>
        </w:rPr>
      </w:pPr>
      <w:r w:rsidRPr="00894C30">
        <w:rPr>
          <w:sz w:val="22"/>
          <w:szCs w:val="22"/>
        </w:rPr>
        <w:t xml:space="preserve">This Legislative Instrument is compatible with the human rights and freedoms recognised or declared in the international instruments listed in section 3 of the </w:t>
      </w:r>
      <w:r w:rsidRPr="00894C30">
        <w:rPr>
          <w:i/>
          <w:sz w:val="22"/>
          <w:szCs w:val="22"/>
        </w:rPr>
        <w:t>Human Rights (Parliamentary Scrutiny) Act 2011</w:t>
      </w:r>
      <w:r w:rsidRPr="00894C30">
        <w:rPr>
          <w:sz w:val="22"/>
          <w:szCs w:val="22"/>
        </w:rPr>
        <w:t>.</w:t>
      </w:r>
    </w:p>
    <w:p w14:paraId="792B2B9B" w14:textId="77777777" w:rsidR="00B25483" w:rsidRPr="006F38B1" w:rsidRDefault="00B25483" w:rsidP="00B25483">
      <w:pPr>
        <w:spacing w:before="240" w:after="240" w:line="276" w:lineRule="auto"/>
        <w:jc w:val="both"/>
        <w:rPr>
          <w:b/>
          <w:sz w:val="22"/>
          <w:szCs w:val="22"/>
        </w:rPr>
      </w:pPr>
      <w:r w:rsidRPr="006F38B1">
        <w:rPr>
          <w:b/>
          <w:sz w:val="22"/>
          <w:szCs w:val="22"/>
        </w:rPr>
        <w:t>Overview of the Legislative Instrument</w:t>
      </w:r>
    </w:p>
    <w:p w14:paraId="0834DB76" w14:textId="77777777" w:rsidR="00B25483" w:rsidRPr="006F38B1" w:rsidRDefault="00B25483" w:rsidP="00B86157">
      <w:pPr>
        <w:autoSpaceDE w:val="0"/>
        <w:autoSpaceDN w:val="0"/>
        <w:adjustRightInd w:val="0"/>
        <w:spacing w:before="240" w:after="240" w:line="276" w:lineRule="auto"/>
        <w:jc w:val="both"/>
        <w:rPr>
          <w:sz w:val="22"/>
          <w:szCs w:val="22"/>
        </w:rPr>
      </w:pPr>
      <w:r w:rsidRPr="006F38B1">
        <w:rPr>
          <w:sz w:val="22"/>
          <w:szCs w:val="22"/>
        </w:rPr>
        <w:t xml:space="preserve">Subsection 17(5) of the </w:t>
      </w:r>
      <w:r w:rsidRPr="006F38B1">
        <w:rPr>
          <w:i/>
          <w:sz w:val="22"/>
          <w:szCs w:val="22"/>
        </w:rPr>
        <w:t>Fisheries Management Act 1991</w:t>
      </w:r>
      <w:r w:rsidRPr="006F38B1">
        <w:rPr>
          <w:sz w:val="22"/>
          <w:szCs w:val="22"/>
        </w:rPr>
        <w:t xml:space="preserve"> (the Act) provides that a plan of management made under the Act is to set out, amongst other things, the objectives of the plan of management and measures by which the objectives are to be attained.</w:t>
      </w:r>
    </w:p>
    <w:p w14:paraId="6ED404F9" w14:textId="2B5305C7" w:rsidR="00B25483" w:rsidRPr="006F38B1" w:rsidRDefault="00B25483" w:rsidP="00B86157">
      <w:pPr>
        <w:spacing w:before="240" w:after="240" w:line="276" w:lineRule="auto"/>
        <w:jc w:val="both"/>
        <w:rPr>
          <w:snapToGrid w:val="0"/>
          <w:kern w:val="20"/>
          <w:sz w:val="22"/>
          <w:szCs w:val="22"/>
        </w:rPr>
      </w:pPr>
      <w:r w:rsidRPr="006F38B1">
        <w:rPr>
          <w:snapToGrid w:val="0"/>
          <w:kern w:val="20"/>
          <w:sz w:val="22"/>
          <w:szCs w:val="22"/>
        </w:rPr>
        <w:t>Paragraph 17(6)(aa) of the Act provides that a plan of management made under the Act may provide for the Australian Fisheries Management Authority (AFMA) to determine the fishing capacity permitted for the fishery or a part of the fishery in respect of a particular period or periods.</w:t>
      </w:r>
    </w:p>
    <w:p w14:paraId="6F38F536" w14:textId="56823EBC" w:rsidR="004D4C87" w:rsidRPr="003E7B1B" w:rsidRDefault="004D4C87" w:rsidP="004D4C87">
      <w:pPr>
        <w:spacing w:before="240" w:after="240" w:line="276" w:lineRule="auto"/>
        <w:jc w:val="both"/>
        <w:rPr>
          <w:snapToGrid w:val="0"/>
          <w:kern w:val="20"/>
          <w:sz w:val="22"/>
          <w:szCs w:val="22"/>
          <w:lang w:val="en-US"/>
        </w:rPr>
      </w:pPr>
      <w:r w:rsidRPr="003E7B1B">
        <w:rPr>
          <w:snapToGrid w:val="0"/>
          <w:kern w:val="20"/>
          <w:sz w:val="22"/>
          <w:szCs w:val="22"/>
          <w:lang w:val="en-US"/>
        </w:rPr>
        <w:t xml:space="preserve">Section 11 of the </w:t>
      </w:r>
      <w:r w:rsidRPr="003E7B1B">
        <w:rPr>
          <w:i/>
          <w:snapToGrid w:val="0"/>
          <w:kern w:val="20"/>
          <w:sz w:val="22"/>
          <w:szCs w:val="22"/>
          <w:lang w:val="en-US"/>
        </w:rPr>
        <w:t>Southern and Eastern Scalefish and Shark Fishery Management Plan</w:t>
      </w:r>
      <w:r w:rsidRPr="003E7B1B">
        <w:rPr>
          <w:snapToGrid w:val="0"/>
          <w:kern w:val="20"/>
          <w:sz w:val="22"/>
          <w:szCs w:val="22"/>
          <w:lang w:val="en-US"/>
        </w:rPr>
        <w:t xml:space="preserve"> </w:t>
      </w:r>
      <w:r w:rsidRPr="003E7B1B">
        <w:rPr>
          <w:i/>
          <w:iCs/>
          <w:snapToGrid w:val="0"/>
          <w:kern w:val="20"/>
          <w:sz w:val="22"/>
          <w:szCs w:val="22"/>
          <w:lang w:val="en-US"/>
        </w:rPr>
        <w:t xml:space="preserve">2003 </w:t>
      </w:r>
      <w:r w:rsidRPr="003E7B1B">
        <w:rPr>
          <w:snapToGrid w:val="0"/>
          <w:kern w:val="20"/>
          <w:sz w:val="22"/>
          <w:szCs w:val="22"/>
          <w:lang w:val="en-US"/>
        </w:rPr>
        <w:t>(the Management Plan) provides that AFMA must</w:t>
      </w:r>
      <w:r w:rsidR="00183A29" w:rsidRPr="003E7B1B">
        <w:rPr>
          <w:snapToGrid w:val="0"/>
          <w:kern w:val="20"/>
          <w:sz w:val="22"/>
          <w:szCs w:val="22"/>
          <w:lang w:val="en-US"/>
        </w:rPr>
        <w:t>,</w:t>
      </w:r>
      <w:r w:rsidRPr="003E7B1B">
        <w:rPr>
          <w:snapToGrid w:val="0"/>
          <w:kern w:val="20"/>
          <w:sz w:val="22"/>
          <w:szCs w:val="22"/>
          <w:lang w:val="en-US"/>
        </w:rPr>
        <w:t xml:space="preserve"> no later than 31 March</w:t>
      </w:r>
      <w:r w:rsidR="00183A29" w:rsidRPr="003E7B1B">
        <w:rPr>
          <w:snapToGrid w:val="0"/>
          <w:kern w:val="20"/>
          <w:sz w:val="22"/>
          <w:szCs w:val="22"/>
          <w:lang w:val="en-US"/>
        </w:rPr>
        <w:t>,</w:t>
      </w:r>
      <w:r w:rsidRPr="003E7B1B">
        <w:rPr>
          <w:snapToGrid w:val="0"/>
          <w:kern w:val="20"/>
          <w:sz w:val="22"/>
          <w:szCs w:val="22"/>
          <w:lang w:val="en-US"/>
        </w:rPr>
        <w:t xml:space="preserve"> immediately before the commencement of a fishing year, determine a Total Allowable Catch (TAC) for each quota species for the fishing year. In determining a TAC for a quota species or a quota species in a particular area of the fishery, AFMA must have regard to reference points for the species that AFMA has determined as appropriate for maintaining ecologically viable stocks of these species under section 9 of the Management Plan. The determination of a TAC must specify the TAC expressed in whole weight or a specified other weight and must specify the </w:t>
      </w:r>
      <w:proofErr w:type="gramStart"/>
      <w:r w:rsidRPr="003E7B1B">
        <w:rPr>
          <w:snapToGrid w:val="0"/>
          <w:kern w:val="20"/>
          <w:sz w:val="22"/>
          <w:szCs w:val="22"/>
          <w:lang w:val="en-US"/>
        </w:rPr>
        <w:t>particular parts</w:t>
      </w:r>
      <w:proofErr w:type="gramEnd"/>
      <w:r w:rsidRPr="003E7B1B">
        <w:rPr>
          <w:snapToGrid w:val="0"/>
          <w:kern w:val="20"/>
          <w:sz w:val="22"/>
          <w:szCs w:val="22"/>
          <w:lang w:val="en-US"/>
        </w:rPr>
        <w:t xml:space="preserve"> of the fishery to which the TAC applies.</w:t>
      </w:r>
    </w:p>
    <w:p w14:paraId="3B59EDF7" w14:textId="1FA7EAF1" w:rsidR="00183A29" w:rsidRPr="003E7B1B" w:rsidRDefault="00183A29" w:rsidP="00183A29">
      <w:pPr>
        <w:autoSpaceDE w:val="0"/>
        <w:autoSpaceDN w:val="0"/>
        <w:adjustRightInd w:val="0"/>
        <w:spacing w:before="240" w:after="240" w:line="276" w:lineRule="auto"/>
        <w:jc w:val="both"/>
        <w:rPr>
          <w:color w:val="000000"/>
          <w:sz w:val="22"/>
          <w:szCs w:val="22"/>
          <w:lang w:val="en-US"/>
        </w:rPr>
      </w:pPr>
      <w:r w:rsidRPr="003E7B1B">
        <w:rPr>
          <w:color w:val="000000"/>
          <w:sz w:val="22"/>
          <w:szCs w:val="22"/>
          <w:lang w:val="en-US"/>
        </w:rPr>
        <w:t xml:space="preserve">Section 12 of the Management Plan provides that, in determining a TAC for a quota species for a fishing year, AFMA must consult with any relevant management advisory committee and have regard to any view expressed in that consultation (paragraph 12(a)); and </w:t>
      </w:r>
      <w:proofErr w:type="gramStart"/>
      <w:r w:rsidRPr="003E7B1B">
        <w:rPr>
          <w:color w:val="000000"/>
          <w:sz w:val="22"/>
          <w:szCs w:val="22"/>
          <w:lang w:val="en-US"/>
        </w:rPr>
        <w:t>take into account</w:t>
      </w:r>
      <w:proofErr w:type="gramEnd"/>
      <w:r w:rsidRPr="003E7B1B">
        <w:rPr>
          <w:color w:val="000000"/>
          <w:sz w:val="22"/>
          <w:szCs w:val="22"/>
          <w:lang w:val="en-US"/>
        </w:rPr>
        <w:t xml:space="preserve"> advice from the relevant resource assessment group about the stock status of a quota species (paragraph 12(b)). AFMA must also </w:t>
      </w:r>
      <w:proofErr w:type="gramStart"/>
      <w:r w:rsidRPr="003E7B1B">
        <w:rPr>
          <w:color w:val="000000"/>
          <w:sz w:val="22"/>
          <w:szCs w:val="22"/>
          <w:lang w:val="en-US"/>
        </w:rPr>
        <w:t>take into account</w:t>
      </w:r>
      <w:proofErr w:type="gramEnd"/>
      <w:r w:rsidRPr="003E7B1B">
        <w:rPr>
          <w:color w:val="000000"/>
          <w:sz w:val="22"/>
          <w:szCs w:val="22"/>
          <w:lang w:val="en-US"/>
        </w:rPr>
        <w:t xml:space="preserve"> all fishing mortality from all sectors within the fishery and overlapping or adjacent fisheries, the ecological implications of harvesting the TAC, the distribution and population structure of the species and the precautionary principle (paragraph 12(c)). </w:t>
      </w:r>
      <w:r w:rsidR="00080AD0" w:rsidRPr="003E7B1B">
        <w:rPr>
          <w:color w:val="000000"/>
          <w:sz w:val="22"/>
          <w:szCs w:val="22"/>
          <w:lang w:val="en-US"/>
        </w:rPr>
        <w:t xml:space="preserve">AFMA may also consider the views of any other interested person (paragraph 12(d)). </w:t>
      </w:r>
    </w:p>
    <w:p w14:paraId="3DD92D9F" w14:textId="7884CA39" w:rsidR="004D4C87" w:rsidRPr="003E7B1B" w:rsidRDefault="004D4C87" w:rsidP="004D4C87">
      <w:pPr>
        <w:spacing w:before="240" w:after="240" w:line="276" w:lineRule="auto"/>
        <w:jc w:val="both"/>
        <w:rPr>
          <w:snapToGrid w:val="0"/>
          <w:kern w:val="20"/>
          <w:sz w:val="22"/>
          <w:szCs w:val="22"/>
          <w:lang w:val="en-US"/>
        </w:rPr>
      </w:pPr>
      <w:r w:rsidRPr="003E7B1B">
        <w:rPr>
          <w:snapToGrid w:val="0"/>
          <w:kern w:val="20"/>
          <w:sz w:val="22"/>
          <w:szCs w:val="22"/>
          <w:lang w:val="en-US"/>
        </w:rPr>
        <w:t xml:space="preserve">The </w:t>
      </w:r>
      <w:r w:rsidR="00256688" w:rsidRPr="003E7B1B">
        <w:rPr>
          <w:snapToGrid w:val="0"/>
          <w:kern w:val="20"/>
          <w:sz w:val="22"/>
          <w:szCs w:val="22"/>
          <w:lang w:val="en-US"/>
        </w:rPr>
        <w:t>Instrument</w:t>
      </w:r>
      <w:r w:rsidRPr="003E7B1B">
        <w:rPr>
          <w:snapToGrid w:val="0"/>
          <w:kern w:val="20"/>
          <w:sz w:val="22"/>
          <w:szCs w:val="22"/>
          <w:lang w:val="en-US"/>
        </w:rPr>
        <w:t xml:space="preserve"> determines the TAC for each quota species for the 202</w:t>
      </w:r>
      <w:r w:rsidR="0019591E">
        <w:rPr>
          <w:snapToGrid w:val="0"/>
          <w:kern w:val="20"/>
          <w:sz w:val="22"/>
          <w:szCs w:val="22"/>
          <w:lang w:val="en-US"/>
        </w:rPr>
        <w:t>5</w:t>
      </w:r>
      <w:r w:rsidR="000B1FF1" w:rsidRPr="003E7B1B">
        <w:rPr>
          <w:snapToGrid w:val="0"/>
          <w:kern w:val="20"/>
          <w:sz w:val="22"/>
          <w:szCs w:val="22"/>
          <w:lang w:val="en-US"/>
        </w:rPr>
        <w:t>-2</w:t>
      </w:r>
      <w:r w:rsidR="0019591E">
        <w:rPr>
          <w:snapToGrid w:val="0"/>
          <w:kern w:val="20"/>
          <w:sz w:val="22"/>
          <w:szCs w:val="22"/>
          <w:lang w:val="en-US"/>
        </w:rPr>
        <w:t>6</w:t>
      </w:r>
      <w:r w:rsidRPr="003E7B1B">
        <w:rPr>
          <w:snapToGrid w:val="0"/>
          <w:kern w:val="20"/>
          <w:sz w:val="22"/>
          <w:szCs w:val="22"/>
          <w:lang w:val="en-US"/>
        </w:rPr>
        <w:t xml:space="preserve"> fishing year.</w:t>
      </w:r>
    </w:p>
    <w:p w14:paraId="41132A5E" w14:textId="77777777" w:rsidR="00B25483" w:rsidRPr="003E7B1B" w:rsidRDefault="00B25483" w:rsidP="00B25483">
      <w:pPr>
        <w:spacing w:before="240" w:after="240" w:line="276" w:lineRule="auto"/>
        <w:jc w:val="both"/>
        <w:rPr>
          <w:b/>
          <w:sz w:val="22"/>
          <w:szCs w:val="22"/>
        </w:rPr>
      </w:pPr>
      <w:r w:rsidRPr="003E7B1B">
        <w:rPr>
          <w:b/>
          <w:sz w:val="22"/>
          <w:szCs w:val="22"/>
        </w:rPr>
        <w:t>Human rights implications</w:t>
      </w:r>
    </w:p>
    <w:p w14:paraId="174D3CB5" w14:textId="77777777" w:rsidR="00B25483" w:rsidRPr="003E7B1B" w:rsidRDefault="00B25483" w:rsidP="00B25483">
      <w:pPr>
        <w:spacing w:before="240" w:after="240" w:line="276" w:lineRule="auto"/>
        <w:jc w:val="both"/>
        <w:rPr>
          <w:sz w:val="22"/>
          <w:szCs w:val="22"/>
        </w:rPr>
      </w:pPr>
      <w:r w:rsidRPr="003E7B1B">
        <w:rPr>
          <w:sz w:val="22"/>
          <w:szCs w:val="22"/>
        </w:rPr>
        <w:t>This Legislative Instrument does not engage any of the applicable rights or freedoms.</w:t>
      </w:r>
    </w:p>
    <w:p w14:paraId="091EA18E" w14:textId="77777777" w:rsidR="00B25483" w:rsidRPr="003E7B1B" w:rsidRDefault="00B25483" w:rsidP="00B25483">
      <w:pPr>
        <w:spacing w:before="240" w:after="240" w:line="276" w:lineRule="auto"/>
        <w:jc w:val="both"/>
        <w:rPr>
          <w:b/>
          <w:sz w:val="22"/>
          <w:szCs w:val="22"/>
        </w:rPr>
      </w:pPr>
      <w:r w:rsidRPr="003E7B1B">
        <w:rPr>
          <w:b/>
          <w:sz w:val="22"/>
          <w:szCs w:val="22"/>
        </w:rPr>
        <w:t>Conclusion</w:t>
      </w:r>
    </w:p>
    <w:p w14:paraId="5CDB04E9" w14:textId="3D33065A" w:rsidR="00961E62" w:rsidRPr="009F1D5B" w:rsidRDefault="00B25483" w:rsidP="00B12A86">
      <w:pPr>
        <w:spacing w:before="240" w:after="240" w:line="276" w:lineRule="auto"/>
        <w:jc w:val="both"/>
        <w:rPr>
          <w:sz w:val="22"/>
          <w:szCs w:val="22"/>
        </w:rPr>
      </w:pPr>
      <w:r w:rsidRPr="003E7B1B">
        <w:rPr>
          <w:sz w:val="22"/>
          <w:szCs w:val="22"/>
        </w:rPr>
        <w:t>This Legislative Instrument is compatible with human rights as it does not raise any human rights issues.</w:t>
      </w:r>
    </w:p>
    <w:sectPr w:rsidR="00961E62" w:rsidRPr="009F1D5B" w:rsidSect="009F1D5B">
      <w:footerReference w:type="even" r:id="rId12"/>
      <w:footerReference w:type="default" r:id="rId13"/>
      <w:pgSz w:w="11907" w:h="16840" w:code="9"/>
      <w:pgMar w:top="1440" w:right="1080" w:bottom="1440" w:left="108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BFB36" w14:textId="77777777" w:rsidR="00D4784E" w:rsidRDefault="00D4784E">
      <w:r>
        <w:separator/>
      </w:r>
    </w:p>
  </w:endnote>
  <w:endnote w:type="continuationSeparator" w:id="0">
    <w:p w14:paraId="3BC31B66" w14:textId="77777777" w:rsidR="00D4784E" w:rsidRDefault="00D4784E">
      <w:r>
        <w:continuationSeparator/>
      </w:r>
    </w:p>
  </w:endnote>
  <w:endnote w:type="continuationNotice" w:id="1">
    <w:p w14:paraId="3A3FD625" w14:textId="77777777" w:rsidR="00D4784E" w:rsidRDefault="00D47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A9EB8" w14:textId="77777777" w:rsidR="00CC4A0B" w:rsidRDefault="00CC4A0B" w:rsidP="00CC4A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87E111" w14:textId="77777777" w:rsidR="00CC4A0B" w:rsidRDefault="00CC4A0B" w:rsidP="00CC4A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4966F" w14:textId="20B0F23D" w:rsidR="00CC4A0B" w:rsidRPr="00640640" w:rsidRDefault="00CC4A0B" w:rsidP="00CC4A0B">
    <w:pPr>
      <w:pStyle w:val="Footer"/>
      <w:framePr w:wrap="around" w:vAnchor="text" w:hAnchor="margin" w:xAlign="center" w:y="1"/>
      <w:rPr>
        <w:rStyle w:val="PageNumber"/>
        <w:sz w:val="24"/>
        <w:szCs w:val="24"/>
      </w:rPr>
    </w:pPr>
    <w:r w:rsidRPr="00640640">
      <w:rPr>
        <w:rStyle w:val="PageNumber"/>
        <w:sz w:val="24"/>
        <w:szCs w:val="24"/>
      </w:rPr>
      <w:fldChar w:fldCharType="begin"/>
    </w:r>
    <w:r w:rsidRPr="00640640">
      <w:rPr>
        <w:rStyle w:val="PageNumber"/>
        <w:sz w:val="24"/>
        <w:szCs w:val="24"/>
      </w:rPr>
      <w:instrText xml:space="preserve">PAGE  </w:instrText>
    </w:r>
    <w:r w:rsidRPr="00640640">
      <w:rPr>
        <w:rStyle w:val="PageNumber"/>
        <w:sz w:val="24"/>
        <w:szCs w:val="24"/>
      </w:rPr>
      <w:fldChar w:fldCharType="separate"/>
    </w:r>
    <w:r w:rsidR="00F934A4">
      <w:rPr>
        <w:rStyle w:val="PageNumber"/>
        <w:noProof/>
        <w:sz w:val="24"/>
        <w:szCs w:val="24"/>
      </w:rPr>
      <w:t>2</w:t>
    </w:r>
    <w:r w:rsidRPr="00640640">
      <w:rPr>
        <w:rStyle w:val="PageNumber"/>
        <w:sz w:val="24"/>
        <w:szCs w:val="24"/>
      </w:rPr>
      <w:fldChar w:fldCharType="end"/>
    </w:r>
  </w:p>
  <w:p w14:paraId="64EBF7B0" w14:textId="77777777" w:rsidR="00CC4A0B" w:rsidRDefault="00CC4A0B" w:rsidP="00CC4A0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C2C25" w14:textId="77777777" w:rsidR="00D4784E" w:rsidRDefault="00D4784E">
      <w:r>
        <w:separator/>
      </w:r>
    </w:p>
  </w:footnote>
  <w:footnote w:type="continuationSeparator" w:id="0">
    <w:p w14:paraId="087CB5A8" w14:textId="77777777" w:rsidR="00D4784E" w:rsidRDefault="00D4784E">
      <w:r>
        <w:continuationSeparator/>
      </w:r>
    </w:p>
  </w:footnote>
  <w:footnote w:type="continuationNotice" w:id="1">
    <w:p w14:paraId="5C5A9928" w14:textId="77777777" w:rsidR="00D4784E" w:rsidRDefault="00D4784E"/>
  </w:footnote>
  <w:footnote w:id="2">
    <w:p w14:paraId="64588735" w14:textId="2A1FE867" w:rsidR="00C16FAC" w:rsidRPr="00B3493F" w:rsidRDefault="00E2796F" w:rsidP="00C16FAC">
      <w:pPr>
        <w:pStyle w:val="FootnoteText"/>
      </w:pPr>
      <w:r>
        <w:rPr>
          <w:rStyle w:val="FootnoteReference"/>
        </w:rPr>
        <w:footnoteRef/>
      </w:r>
      <w:r>
        <w:t xml:space="preserve"> </w:t>
      </w:r>
      <w:r w:rsidR="00C16FAC" w:rsidRPr="00B3493F">
        <w:t>Commonwealth Fisheries Harvest Strategy means the document titled “Commonwealth Fisheries Harvest Strategy Policy” published by the</w:t>
      </w:r>
      <w:r w:rsidR="00465D61">
        <w:t>n Department of Agriculture and Water Resources, now the</w:t>
      </w:r>
      <w:r w:rsidR="00C16FAC" w:rsidRPr="00B3493F">
        <w:t xml:space="preserve"> Department of Agriculture, Fisheries, and Forestry in 2018. Note: the Commonwealth Fisheries Harvest Strategy could in 202</w:t>
      </w:r>
      <w:r w:rsidR="00FE462F">
        <w:t>5</w:t>
      </w:r>
      <w:r w:rsidR="00C16FAC" w:rsidRPr="00B3493F">
        <w:t xml:space="preserve"> be viewed on the Department’s website </w:t>
      </w:r>
      <w:r w:rsidR="00C16FAC" w:rsidRPr="00512A90">
        <w:t>https://www.agriculture.gov.au/agriculture-land/fisheries/domestic/harvest_strategy_policy</w:t>
      </w:r>
    </w:p>
    <w:p w14:paraId="220BD828" w14:textId="3347F57D" w:rsidR="00E2796F" w:rsidRDefault="00E2796F">
      <w:pPr>
        <w:pStyle w:val="FootnoteText"/>
      </w:pPr>
    </w:p>
  </w:footnote>
  <w:footnote w:id="3">
    <w:p w14:paraId="115241EC" w14:textId="07264A38" w:rsidR="00FC4566" w:rsidRDefault="002A0FF9">
      <w:pPr>
        <w:pStyle w:val="FootnoteText"/>
      </w:pPr>
      <w:r>
        <w:rPr>
          <w:rStyle w:val="FootnoteReference"/>
        </w:rPr>
        <w:footnoteRef/>
      </w:r>
      <w:r>
        <w:t xml:space="preserve"> </w:t>
      </w:r>
      <w:r w:rsidR="00FC4566" w:rsidRPr="00FC4566">
        <w:t>Southern and Eastern Scalefish and Shark Fishery</w:t>
      </w:r>
      <w:r w:rsidR="00465D61">
        <w:t xml:space="preserve"> Harvest Strategy Framework</w:t>
      </w:r>
      <w:r w:rsidR="00FC4566" w:rsidRPr="00FC4566">
        <w:t xml:space="preserve"> means the document title</w:t>
      </w:r>
      <w:r w:rsidR="00B23E43">
        <w:t>d</w:t>
      </w:r>
      <w:r w:rsidR="00FC4566" w:rsidRPr="00FC4566">
        <w:t xml:space="preserve"> “Harvest Strategy Framework for the Southern and Eastern Scalefish and Shark Fishery” published by the Authority in 2009 and last revised in </w:t>
      </w:r>
      <w:r w:rsidR="009F56A5" w:rsidRPr="009F56A5">
        <w:t xml:space="preserve">2024. Note: </w:t>
      </w:r>
      <w:proofErr w:type="gramStart"/>
      <w:r w:rsidR="009F56A5" w:rsidRPr="009F56A5">
        <w:t>the</w:t>
      </w:r>
      <w:proofErr w:type="gramEnd"/>
      <w:r w:rsidR="009F56A5" w:rsidRPr="009F56A5">
        <w:t xml:space="preserve"> Harvest Strategy Framework for the Southern and Eastern Scalefish and Shark Fishery could in 2025 be viewed on the Authority’s website </w:t>
      </w:r>
      <w:r w:rsidR="009F56A5" w:rsidRPr="00512A90">
        <w:t>https://www.afma.gov.au/sites/default/files/2024-03/SESSF-Harvest-Strategy-Amended-2024.pdf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6633F"/>
    <w:multiLevelType w:val="hybridMultilevel"/>
    <w:tmpl w:val="7A884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AC599B"/>
    <w:multiLevelType w:val="hybridMultilevel"/>
    <w:tmpl w:val="BECADD12"/>
    <w:lvl w:ilvl="0" w:tplc="87A4FF1E">
      <w:start w:val="7"/>
      <w:numFmt w:val="bullet"/>
      <w:lvlText w:val=""/>
      <w:lvlJc w:val="left"/>
      <w:pPr>
        <w:ind w:left="1778" w:hanging="360"/>
      </w:pPr>
      <w:rPr>
        <w:rFonts w:ascii="Symbol" w:eastAsia="Times New Roman" w:hAnsi="Symbol" w:cs="Times New Roman"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2" w15:restartNumberingAfterBreak="0">
    <w:nsid w:val="3CE54AAD"/>
    <w:multiLevelType w:val="hybridMultilevel"/>
    <w:tmpl w:val="13E0E422"/>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num w:numId="1" w16cid:durableId="1476215298">
    <w:abstractNumId w:val="1"/>
  </w:num>
  <w:num w:numId="2" w16cid:durableId="761993744">
    <w:abstractNumId w:val="2"/>
  </w:num>
  <w:num w:numId="3" w16cid:durableId="198590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E62"/>
    <w:rsid w:val="00022714"/>
    <w:rsid w:val="0002509F"/>
    <w:rsid w:val="000251BE"/>
    <w:rsid w:val="00032CFA"/>
    <w:rsid w:val="000374C5"/>
    <w:rsid w:val="00042955"/>
    <w:rsid w:val="00047493"/>
    <w:rsid w:val="00047E19"/>
    <w:rsid w:val="00055692"/>
    <w:rsid w:val="00056E30"/>
    <w:rsid w:val="0005734B"/>
    <w:rsid w:val="00060318"/>
    <w:rsid w:val="000641C0"/>
    <w:rsid w:val="00065027"/>
    <w:rsid w:val="000659D3"/>
    <w:rsid w:val="00065FDC"/>
    <w:rsid w:val="0007037D"/>
    <w:rsid w:val="00073693"/>
    <w:rsid w:val="00073CB3"/>
    <w:rsid w:val="00076138"/>
    <w:rsid w:val="00077CC9"/>
    <w:rsid w:val="00077D91"/>
    <w:rsid w:val="00080AD0"/>
    <w:rsid w:val="00080EA9"/>
    <w:rsid w:val="000845B4"/>
    <w:rsid w:val="00084BC9"/>
    <w:rsid w:val="000856BC"/>
    <w:rsid w:val="0009228C"/>
    <w:rsid w:val="00094482"/>
    <w:rsid w:val="000A0197"/>
    <w:rsid w:val="000A0C46"/>
    <w:rsid w:val="000B1FF1"/>
    <w:rsid w:val="000B3891"/>
    <w:rsid w:val="000C0BC5"/>
    <w:rsid w:val="000C6105"/>
    <w:rsid w:val="000D0527"/>
    <w:rsid w:val="000D5B1C"/>
    <w:rsid w:val="000D5C55"/>
    <w:rsid w:val="000D677A"/>
    <w:rsid w:val="000E1C63"/>
    <w:rsid w:val="000F1C50"/>
    <w:rsid w:val="000F67F1"/>
    <w:rsid w:val="000F786A"/>
    <w:rsid w:val="0010083F"/>
    <w:rsid w:val="00103057"/>
    <w:rsid w:val="001124BA"/>
    <w:rsid w:val="0011576E"/>
    <w:rsid w:val="001173A4"/>
    <w:rsid w:val="0012375E"/>
    <w:rsid w:val="0012403A"/>
    <w:rsid w:val="00126390"/>
    <w:rsid w:val="001352F7"/>
    <w:rsid w:val="00141684"/>
    <w:rsid w:val="00141963"/>
    <w:rsid w:val="001429A0"/>
    <w:rsid w:val="00144D49"/>
    <w:rsid w:val="00147066"/>
    <w:rsid w:val="001474F5"/>
    <w:rsid w:val="00155700"/>
    <w:rsid w:val="0016021E"/>
    <w:rsid w:val="00163E49"/>
    <w:rsid w:val="00171990"/>
    <w:rsid w:val="00173F8C"/>
    <w:rsid w:val="00177945"/>
    <w:rsid w:val="00183A29"/>
    <w:rsid w:val="00184280"/>
    <w:rsid w:val="00184D55"/>
    <w:rsid w:val="00191A71"/>
    <w:rsid w:val="00192D7B"/>
    <w:rsid w:val="0019591E"/>
    <w:rsid w:val="00196FA1"/>
    <w:rsid w:val="001A5813"/>
    <w:rsid w:val="001A65BD"/>
    <w:rsid w:val="001B02FE"/>
    <w:rsid w:val="001B0724"/>
    <w:rsid w:val="001B10C1"/>
    <w:rsid w:val="001B37CE"/>
    <w:rsid w:val="001B3CA8"/>
    <w:rsid w:val="001B5BF9"/>
    <w:rsid w:val="001C2825"/>
    <w:rsid w:val="001C683C"/>
    <w:rsid w:val="001D0414"/>
    <w:rsid w:val="001D073D"/>
    <w:rsid w:val="001E2227"/>
    <w:rsid w:val="001E386B"/>
    <w:rsid w:val="001F00AE"/>
    <w:rsid w:val="001F1F49"/>
    <w:rsid w:val="001F41D2"/>
    <w:rsid w:val="001F67F0"/>
    <w:rsid w:val="001F725A"/>
    <w:rsid w:val="0020102A"/>
    <w:rsid w:val="00204A1E"/>
    <w:rsid w:val="002064AD"/>
    <w:rsid w:val="0023583C"/>
    <w:rsid w:val="0023732F"/>
    <w:rsid w:val="0024595D"/>
    <w:rsid w:val="002523A9"/>
    <w:rsid w:val="00253BB8"/>
    <w:rsid w:val="00256688"/>
    <w:rsid w:val="00261F79"/>
    <w:rsid w:val="00262528"/>
    <w:rsid w:val="00270E56"/>
    <w:rsid w:val="002719D9"/>
    <w:rsid w:val="00272E6F"/>
    <w:rsid w:val="00273189"/>
    <w:rsid w:val="00273B05"/>
    <w:rsid w:val="002833D1"/>
    <w:rsid w:val="00284194"/>
    <w:rsid w:val="002875D8"/>
    <w:rsid w:val="002A0FF9"/>
    <w:rsid w:val="002A2C75"/>
    <w:rsid w:val="002A32A1"/>
    <w:rsid w:val="002A44B9"/>
    <w:rsid w:val="002A4A86"/>
    <w:rsid w:val="002A526F"/>
    <w:rsid w:val="002B0581"/>
    <w:rsid w:val="002B54FF"/>
    <w:rsid w:val="002C6C57"/>
    <w:rsid w:val="002C7F21"/>
    <w:rsid w:val="002D2712"/>
    <w:rsid w:val="002D4640"/>
    <w:rsid w:val="002E0C0B"/>
    <w:rsid w:val="002E3CF5"/>
    <w:rsid w:val="002E5227"/>
    <w:rsid w:val="002F3A0E"/>
    <w:rsid w:val="002F7DA9"/>
    <w:rsid w:val="00301EDA"/>
    <w:rsid w:val="003057A4"/>
    <w:rsid w:val="003072FE"/>
    <w:rsid w:val="00310C59"/>
    <w:rsid w:val="003146EE"/>
    <w:rsid w:val="00314F92"/>
    <w:rsid w:val="003224EC"/>
    <w:rsid w:val="00323FE4"/>
    <w:rsid w:val="003304FE"/>
    <w:rsid w:val="003334C2"/>
    <w:rsid w:val="00337B85"/>
    <w:rsid w:val="00340E4F"/>
    <w:rsid w:val="00343CE4"/>
    <w:rsid w:val="003442C9"/>
    <w:rsid w:val="00345497"/>
    <w:rsid w:val="003467D3"/>
    <w:rsid w:val="00346D5A"/>
    <w:rsid w:val="003513CC"/>
    <w:rsid w:val="003608FC"/>
    <w:rsid w:val="00362147"/>
    <w:rsid w:val="003643EB"/>
    <w:rsid w:val="003742EC"/>
    <w:rsid w:val="00376C10"/>
    <w:rsid w:val="00384A1A"/>
    <w:rsid w:val="00385587"/>
    <w:rsid w:val="00393D57"/>
    <w:rsid w:val="00394DBF"/>
    <w:rsid w:val="0039705E"/>
    <w:rsid w:val="003A2293"/>
    <w:rsid w:val="003A44C8"/>
    <w:rsid w:val="003B0E12"/>
    <w:rsid w:val="003B2955"/>
    <w:rsid w:val="003C0EB9"/>
    <w:rsid w:val="003C1744"/>
    <w:rsid w:val="003C2508"/>
    <w:rsid w:val="003D5629"/>
    <w:rsid w:val="003E148D"/>
    <w:rsid w:val="003E7B1B"/>
    <w:rsid w:val="003F5BB7"/>
    <w:rsid w:val="003F655A"/>
    <w:rsid w:val="003F7032"/>
    <w:rsid w:val="00401746"/>
    <w:rsid w:val="00406290"/>
    <w:rsid w:val="00407D0D"/>
    <w:rsid w:val="00415F20"/>
    <w:rsid w:val="004165E6"/>
    <w:rsid w:val="00416E9A"/>
    <w:rsid w:val="0041705F"/>
    <w:rsid w:val="00422C5B"/>
    <w:rsid w:val="00422FD7"/>
    <w:rsid w:val="004239D3"/>
    <w:rsid w:val="00424507"/>
    <w:rsid w:val="0042508F"/>
    <w:rsid w:val="004253C3"/>
    <w:rsid w:val="00427FEF"/>
    <w:rsid w:val="004375D0"/>
    <w:rsid w:val="004403BD"/>
    <w:rsid w:val="00441754"/>
    <w:rsid w:val="00443960"/>
    <w:rsid w:val="0044479D"/>
    <w:rsid w:val="004449D3"/>
    <w:rsid w:val="004450D0"/>
    <w:rsid w:val="00447BC5"/>
    <w:rsid w:val="00456963"/>
    <w:rsid w:val="00462252"/>
    <w:rsid w:val="00465D61"/>
    <w:rsid w:val="00471DB9"/>
    <w:rsid w:val="00474A8E"/>
    <w:rsid w:val="0047677D"/>
    <w:rsid w:val="00491E82"/>
    <w:rsid w:val="00491EA0"/>
    <w:rsid w:val="0049712B"/>
    <w:rsid w:val="004A0C7D"/>
    <w:rsid w:val="004A6ABA"/>
    <w:rsid w:val="004B3118"/>
    <w:rsid w:val="004B7BC0"/>
    <w:rsid w:val="004C19FC"/>
    <w:rsid w:val="004C1AA4"/>
    <w:rsid w:val="004C6066"/>
    <w:rsid w:val="004D0BEC"/>
    <w:rsid w:val="004D20BB"/>
    <w:rsid w:val="004D4124"/>
    <w:rsid w:val="004D4C87"/>
    <w:rsid w:val="004D624C"/>
    <w:rsid w:val="004E034C"/>
    <w:rsid w:val="004E61DB"/>
    <w:rsid w:val="004F0C4D"/>
    <w:rsid w:val="004F614C"/>
    <w:rsid w:val="00504A7D"/>
    <w:rsid w:val="00504C91"/>
    <w:rsid w:val="00512A90"/>
    <w:rsid w:val="0051575B"/>
    <w:rsid w:val="00517933"/>
    <w:rsid w:val="00521898"/>
    <w:rsid w:val="005240EB"/>
    <w:rsid w:val="00524BDB"/>
    <w:rsid w:val="00531EF8"/>
    <w:rsid w:val="00532E8A"/>
    <w:rsid w:val="00534A68"/>
    <w:rsid w:val="00534CAB"/>
    <w:rsid w:val="005376E4"/>
    <w:rsid w:val="00540429"/>
    <w:rsid w:val="00541045"/>
    <w:rsid w:val="00541FB6"/>
    <w:rsid w:val="00543FB5"/>
    <w:rsid w:val="00550685"/>
    <w:rsid w:val="005535CB"/>
    <w:rsid w:val="0055589F"/>
    <w:rsid w:val="0056624A"/>
    <w:rsid w:val="00572ACA"/>
    <w:rsid w:val="005800A0"/>
    <w:rsid w:val="00580452"/>
    <w:rsid w:val="00582FE2"/>
    <w:rsid w:val="00590C3B"/>
    <w:rsid w:val="005A0635"/>
    <w:rsid w:val="005A0F35"/>
    <w:rsid w:val="005A5FC6"/>
    <w:rsid w:val="005A7814"/>
    <w:rsid w:val="005B10C8"/>
    <w:rsid w:val="005B6BB9"/>
    <w:rsid w:val="005C04D7"/>
    <w:rsid w:val="005D03D6"/>
    <w:rsid w:val="005E2B7A"/>
    <w:rsid w:val="005E5F8D"/>
    <w:rsid w:val="005F10AD"/>
    <w:rsid w:val="005F618C"/>
    <w:rsid w:val="005F7317"/>
    <w:rsid w:val="006060A7"/>
    <w:rsid w:val="0061040C"/>
    <w:rsid w:val="0061163A"/>
    <w:rsid w:val="006116AA"/>
    <w:rsid w:val="00612EE8"/>
    <w:rsid w:val="0062330C"/>
    <w:rsid w:val="00625303"/>
    <w:rsid w:val="00630CD3"/>
    <w:rsid w:val="00633088"/>
    <w:rsid w:val="006353F6"/>
    <w:rsid w:val="006359A6"/>
    <w:rsid w:val="006408F9"/>
    <w:rsid w:val="00641D23"/>
    <w:rsid w:val="006423BF"/>
    <w:rsid w:val="006453B6"/>
    <w:rsid w:val="00646559"/>
    <w:rsid w:val="0064779F"/>
    <w:rsid w:val="00653F6C"/>
    <w:rsid w:val="00657B73"/>
    <w:rsid w:val="006609C8"/>
    <w:rsid w:val="00660CE9"/>
    <w:rsid w:val="00661658"/>
    <w:rsid w:val="0066247E"/>
    <w:rsid w:val="00670000"/>
    <w:rsid w:val="006739A1"/>
    <w:rsid w:val="0068650E"/>
    <w:rsid w:val="00691C3C"/>
    <w:rsid w:val="006934BD"/>
    <w:rsid w:val="006962F2"/>
    <w:rsid w:val="006A1374"/>
    <w:rsid w:val="006A2B89"/>
    <w:rsid w:val="006A6EEE"/>
    <w:rsid w:val="006B2439"/>
    <w:rsid w:val="006B3222"/>
    <w:rsid w:val="006B50DD"/>
    <w:rsid w:val="006C2B29"/>
    <w:rsid w:val="006D3027"/>
    <w:rsid w:val="006D68A7"/>
    <w:rsid w:val="006E68A3"/>
    <w:rsid w:val="006E7DA3"/>
    <w:rsid w:val="006E7FA1"/>
    <w:rsid w:val="006F28AC"/>
    <w:rsid w:val="006F38B1"/>
    <w:rsid w:val="006F4B32"/>
    <w:rsid w:val="006F753C"/>
    <w:rsid w:val="00706EE0"/>
    <w:rsid w:val="00707485"/>
    <w:rsid w:val="00712385"/>
    <w:rsid w:val="00715832"/>
    <w:rsid w:val="00715D93"/>
    <w:rsid w:val="007203B7"/>
    <w:rsid w:val="00730A14"/>
    <w:rsid w:val="00731437"/>
    <w:rsid w:val="00731AC0"/>
    <w:rsid w:val="00735D78"/>
    <w:rsid w:val="0074401C"/>
    <w:rsid w:val="0074595A"/>
    <w:rsid w:val="007549C8"/>
    <w:rsid w:val="00760086"/>
    <w:rsid w:val="00761162"/>
    <w:rsid w:val="0076439C"/>
    <w:rsid w:val="00765C01"/>
    <w:rsid w:val="00772341"/>
    <w:rsid w:val="00775AC0"/>
    <w:rsid w:val="007770C5"/>
    <w:rsid w:val="00780B66"/>
    <w:rsid w:val="00780F1C"/>
    <w:rsid w:val="00781D17"/>
    <w:rsid w:val="00786F7A"/>
    <w:rsid w:val="00791026"/>
    <w:rsid w:val="00794667"/>
    <w:rsid w:val="007A2275"/>
    <w:rsid w:val="007A5519"/>
    <w:rsid w:val="007B0733"/>
    <w:rsid w:val="007B116A"/>
    <w:rsid w:val="007B422C"/>
    <w:rsid w:val="007C0463"/>
    <w:rsid w:val="007C0B23"/>
    <w:rsid w:val="007C171F"/>
    <w:rsid w:val="007C3EFC"/>
    <w:rsid w:val="007C5D21"/>
    <w:rsid w:val="007C7146"/>
    <w:rsid w:val="007E12AC"/>
    <w:rsid w:val="007E1783"/>
    <w:rsid w:val="007E1E63"/>
    <w:rsid w:val="007E4384"/>
    <w:rsid w:val="007F272E"/>
    <w:rsid w:val="00801A7C"/>
    <w:rsid w:val="00810548"/>
    <w:rsid w:val="00812092"/>
    <w:rsid w:val="00815259"/>
    <w:rsid w:val="0081537E"/>
    <w:rsid w:val="008167F4"/>
    <w:rsid w:val="00832CAC"/>
    <w:rsid w:val="00834641"/>
    <w:rsid w:val="00835F5A"/>
    <w:rsid w:val="008376C0"/>
    <w:rsid w:val="0084579C"/>
    <w:rsid w:val="00845DB9"/>
    <w:rsid w:val="00846CE7"/>
    <w:rsid w:val="00850B4C"/>
    <w:rsid w:val="00852694"/>
    <w:rsid w:val="00852DCF"/>
    <w:rsid w:val="00862409"/>
    <w:rsid w:val="00863678"/>
    <w:rsid w:val="00866301"/>
    <w:rsid w:val="0086727B"/>
    <w:rsid w:val="008678E2"/>
    <w:rsid w:val="00876571"/>
    <w:rsid w:val="00881EE2"/>
    <w:rsid w:val="0088368A"/>
    <w:rsid w:val="0088412F"/>
    <w:rsid w:val="00884DA9"/>
    <w:rsid w:val="0089112D"/>
    <w:rsid w:val="008932C4"/>
    <w:rsid w:val="00894C30"/>
    <w:rsid w:val="008A3EE6"/>
    <w:rsid w:val="008B53F7"/>
    <w:rsid w:val="008B66A2"/>
    <w:rsid w:val="008C2437"/>
    <w:rsid w:val="008C46F7"/>
    <w:rsid w:val="008C5123"/>
    <w:rsid w:val="008D25FC"/>
    <w:rsid w:val="008D395B"/>
    <w:rsid w:val="008E1511"/>
    <w:rsid w:val="008E6023"/>
    <w:rsid w:val="008F4DA7"/>
    <w:rsid w:val="00901B40"/>
    <w:rsid w:val="00905315"/>
    <w:rsid w:val="00907330"/>
    <w:rsid w:val="00910F55"/>
    <w:rsid w:val="0092291B"/>
    <w:rsid w:val="00926BEC"/>
    <w:rsid w:val="00932CBE"/>
    <w:rsid w:val="00933F52"/>
    <w:rsid w:val="0093734A"/>
    <w:rsid w:val="00945BF9"/>
    <w:rsid w:val="009462ED"/>
    <w:rsid w:val="00961E62"/>
    <w:rsid w:val="009624F1"/>
    <w:rsid w:val="00964B33"/>
    <w:rsid w:val="009725D1"/>
    <w:rsid w:val="00974315"/>
    <w:rsid w:val="009762C3"/>
    <w:rsid w:val="00980894"/>
    <w:rsid w:val="00981B6D"/>
    <w:rsid w:val="00984143"/>
    <w:rsid w:val="009863F3"/>
    <w:rsid w:val="0099206D"/>
    <w:rsid w:val="00993CF8"/>
    <w:rsid w:val="009A169A"/>
    <w:rsid w:val="009A6E80"/>
    <w:rsid w:val="009B0AA6"/>
    <w:rsid w:val="009B2900"/>
    <w:rsid w:val="009B2AEC"/>
    <w:rsid w:val="009B463B"/>
    <w:rsid w:val="009C3356"/>
    <w:rsid w:val="009C7970"/>
    <w:rsid w:val="009C7D50"/>
    <w:rsid w:val="009D1B18"/>
    <w:rsid w:val="009D3AEE"/>
    <w:rsid w:val="009D4201"/>
    <w:rsid w:val="009F05C3"/>
    <w:rsid w:val="009F15A6"/>
    <w:rsid w:val="009F1D5B"/>
    <w:rsid w:val="009F2FBC"/>
    <w:rsid w:val="009F4B5E"/>
    <w:rsid w:val="009F56A5"/>
    <w:rsid w:val="009F7DFB"/>
    <w:rsid w:val="00A05ABD"/>
    <w:rsid w:val="00A05AD0"/>
    <w:rsid w:val="00A05BAD"/>
    <w:rsid w:val="00A06CA3"/>
    <w:rsid w:val="00A07F59"/>
    <w:rsid w:val="00A10CF1"/>
    <w:rsid w:val="00A14176"/>
    <w:rsid w:val="00A1629F"/>
    <w:rsid w:val="00A1695E"/>
    <w:rsid w:val="00A172A3"/>
    <w:rsid w:val="00A20F64"/>
    <w:rsid w:val="00A21D34"/>
    <w:rsid w:val="00A24BA5"/>
    <w:rsid w:val="00A32812"/>
    <w:rsid w:val="00A34C56"/>
    <w:rsid w:val="00A3696C"/>
    <w:rsid w:val="00A40952"/>
    <w:rsid w:val="00A40C37"/>
    <w:rsid w:val="00A4471A"/>
    <w:rsid w:val="00A45E1F"/>
    <w:rsid w:val="00A511CA"/>
    <w:rsid w:val="00A513A8"/>
    <w:rsid w:val="00A53B18"/>
    <w:rsid w:val="00A547AA"/>
    <w:rsid w:val="00A5499C"/>
    <w:rsid w:val="00A57E9B"/>
    <w:rsid w:val="00A606F1"/>
    <w:rsid w:val="00A63188"/>
    <w:rsid w:val="00A63B39"/>
    <w:rsid w:val="00A647DE"/>
    <w:rsid w:val="00A723F1"/>
    <w:rsid w:val="00A73104"/>
    <w:rsid w:val="00A774B5"/>
    <w:rsid w:val="00A83FF3"/>
    <w:rsid w:val="00A84D6B"/>
    <w:rsid w:val="00A8592D"/>
    <w:rsid w:val="00A872F0"/>
    <w:rsid w:val="00A9283F"/>
    <w:rsid w:val="00A940DA"/>
    <w:rsid w:val="00A967E0"/>
    <w:rsid w:val="00A96ACE"/>
    <w:rsid w:val="00AA2080"/>
    <w:rsid w:val="00AA21AF"/>
    <w:rsid w:val="00AA225C"/>
    <w:rsid w:val="00AB6BA9"/>
    <w:rsid w:val="00AC0A55"/>
    <w:rsid w:val="00AD1BEF"/>
    <w:rsid w:val="00AD2446"/>
    <w:rsid w:val="00AD3321"/>
    <w:rsid w:val="00AD5490"/>
    <w:rsid w:val="00AD6D57"/>
    <w:rsid w:val="00AE780E"/>
    <w:rsid w:val="00AF208C"/>
    <w:rsid w:val="00AF3EBD"/>
    <w:rsid w:val="00AF46C5"/>
    <w:rsid w:val="00AF695F"/>
    <w:rsid w:val="00B02A91"/>
    <w:rsid w:val="00B12A86"/>
    <w:rsid w:val="00B13D58"/>
    <w:rsid w:val="00B23E43"/>
    <w:rsid w:val="00B25483"/>
    <w:rsid w:val="00B25A6A"/>
    <w:rsid w:val="00B271B3"/>
    <w:rsid w:val="00B27853"/>
    <w:rsid w:val="00B30698"/>
    <w:rsid w:val="00B30D1E"/>
    <w:rsid w:val="00B3577B"/>
    <w:rsid w:val="00B44ECA"/>
    <w:rsid w:val="00B45564"/>
    <w:rsid w:val="00B47EC6"/>
    <w:rsid w:val="00B52CD4"/>
    <w:rsid w:val="00B55148"/>
    <w:rsid w:val="00B56399"/>
    <w:rsid w:val="00B62EA4"/>
    <w:rsid w:val="00B66CBD"/>
    <w:rsid w:val="00B75C40"/>
    <w:rsid w:val="00B770A9"/>
    <w:rsid w:val="00B812C3"/>
    <w:rsid w:val="00B838FC"/>
    <w:rsid w:val="00B84DDC"/>
    <w:rsid w:val="00B84F62"/>
    <w:rsid w:val="00B85CF1"/>
    <w:rsid w:val="00B86157"/>
    <w:rsid w:val="00B86664"/>
    <w:rsid w:val="00B8760E"/>
    <w:rsid w:val="00B87C62"/>
    <w:rsid w:val="00B95397"/>
    <w:rsid w:val="00B97A4B"/>
    <w:rsid w:val="00BA7B0B"/>
    <w:rsid w:val="00BB030D"/>
    <w:rsid w:val="00BB082F"/>
    <w:rsid w:val="00BB2CE0"/>
    <w:rsid w:val="00BC1A84"/>
    <w:rsid w:val="00BC2722"/>
    <w:rsid w:val="00BC6DA4"/>
    <w:rsid w:val="00BD19DE"/>
    <w:rsid w:val="00BD5386"/>
    <w:rsid w:val="00BE70CE"/>
    <w:rsid w:val="00BE7C95"/>
    <w:rsid w:val="00BF071A"/>
    <w:rsid w:val="00BF181F"/>
    <w:rsid w:val="00C05ED5"/>
    <w:rsid w:val="00C14DFC"/>
    <w:rsid w:val="00C16FAC"/>
    <w:rsid w:val="00C262C3"/>
    <w:rsid w:val="00C31E73"/>
    <w:rsid w:val="00C33609"/>
    <w:rsid w:val="00C36508"/>
    <w:rsid w:val="00C46BD2"/>
    <w:rsid w:val="00C52A19"/>
    <w:rsid w:val="00C57C10"/>
    <w:rsid w:val="00C6025F"/>
    <w:rsid w:val="00C65686"/>
    <w:rsid w:val="00C66757"/>
    <w:rsid w:val="00C67298"/>
    <w:rsid w:val="00C75215"/>
    <w:rsid w:val="00C84E16"/>
    <w:rsid w:val="00C91C92"/>
    <w:rsid w:val="00C9292E"/>
    <w:rsid w:val="00C9546D"/>
    <w:rsid w:val="00C97F08"/>
    <w:rsid w:val="00CA0AE8"/>
    <w:rsid w:val="00CA5B95"/>
    <w:rsid w:val="00CA621F"/>
    <w:rsid w:val="00CC072B"/>
    <w:rsid w:val="00CC14C0"/>
    <w:rsid w:val="00CC1A98"/>
    <w:rsid w:val="00CC3B80"/>
    <w:rsid w:val="00CC4A0B"/>
    <w:rsid w:val="00CD1FD1"/>
    <w:rsid w:val="00CD44BE"/>
    <w:rsid w:val="00CD4EED"/>
    <w:rsid w:val="00CD5B9C"/>
    <w:rsid w:val="00CE17A8"/>
    <w:rsid w:val="00CE5032"/>
    <w:rsid w:val="00CE578B"/>
    <w:rsid w:val="00CF085C"/>
    <w:rsid w:val="00CF0E8A"/>
    <w:rsid w:val="00CF11FB"/>
    <w:rsid w:val="00D00B94"/>
    <w:rsid w:val="00D023E7"/>
    <w:rsid w:val="00D0525D"/>
    <w:rsid w:val="00D113FB"/>
    <w:rsid w:val="00D132AD"/>
    <w:rsid w:val="00D14010"/>
    <w:rsid w:val="00D17621"/>
    <w:rsid w:val="00D33830"/>
    <w:rsid w:val="00D34918"/>
    <w:rsid w:val="00D37681"/>
    <w:rsid w:val="00D4059E"/>
    <w:rsid w:val="00D41E77"/>
    <w:rsid w:val="00D4283C"/>
    <w:rsid w:val="00D439AF"/>
    <w:rsid w:val="00D4784E"/>
    <w:rsid w:val="00D526B5"/>
    <w:rsid w:val="00D558FA"/>
    <w:rsid w:val="00D574B7"/>
    <w:rsid w:val="00D6074A"/>
    <w:rsid w:val="00D61218"/>
    <w:rsid w:val="00D61A13"/>
    <w:rsid w:val="00D65FE0"/>
    <w:rsid w:val="00D800B3"/>
    <w:rsid w:val="00D80ADE"/>
    <w:rsid w:val="00D86AD5"/>
    <w:rsid w:val="00D91E1A"/>
    <w:rsid w:val="00DA0E8C"/>
    <w:rsid w:val="00DA14B2"/>
    <w:rsid w:val="00DA5A06"/>
    <w:rsid w:val="00DB1EB8"/>
    <w:rsid w:val="00DB3819"/>
    <w:rsid w:val="00DC11AD"/>
    <w:rsid w:val="00DC23D5"/>
    <w:rsid w:val="00DD12F0"/>
    <w:rsid w:val="00DE2BA7"/>
    <w:rsid w:val="00DE59C1"/>
    <w:rsid w:val="00E05653"/>
    <w:rsid w:val="00E102F2"/>
    <w:rsid w:val="00E15F0E"/>
    <w:rsid w:val="00E20E32"/>
    <w:rsid w:val="00E21679"/>
    <w:rsid w:val="00E2728A"/>
    <w:rsid w:val="00E2796F"/>
    <w:rsid w:val="00E30775"/>
    <w:rsid w:val="00E32B34"/>
    <w:rsid w:val="00E35F34"/>
    <w:rsid w:val="00E43D43"/>
    <w:rsid w:val="00E45D7C"/>
    <w:rsid w:val="00E74788"/>
    <w:rsid w:val="00E76499"/>
    <w:rsid w:val="00E81CA2"/>
    <w:rsid w:val="00E904CA"/>
    <w:rsid w:val="00E917D5"/>
    <w:rsid w:val="00E93EEA"/>
    <w:rsid w:val="00E93FDB"/>
    <w:rsid w:val="00EA1005"/>
    <w:rsid w:val="00EA7D5D"/>
    <w:rsid w:val="00EB0ED8"/>
    <w:rsid w:val="00EB3998"/>
    <w:rsid w:val="00EB4059"/>
    <w:rsid w:val="00EB6E7D"/>
    <w:rsid w:val="00EC6CAA"/>
    <w:rsid w:val="00EC74B7"/>
    <w:rsid w:val="00ED5353"/>
    <w:rsid w:val="00ED7F0E"/>
    <w:rsid w:val="00EE483C"/>
    <w:rsid w:val="00EE74E3"/>
    <w:rsid w:val="00EF0038"/>
    <w:rsid w:val="00EF4895"/>
    <w:rsid w:val="00EF6BAF"/>
    <w:rsid w:val="00F036D4"/>
    <w:rsid w:val="00F07EBF"/>
    <w:rsid w:val="00F1012D"/>
    <w:rsid w:val="00F1040B"/>
    <w:rsid w:val="00F11FBA"/>
    <w:rsid w:val="00F1241B"/>
    <w:rsid w:val="00F144D0"/>
    <w:rsid w:val="00F23035"/>
    <w:rsid w:val="00F2326D"/>
    <w:rsid w:val="00F24E56"/>
    <w:rsid w:val="00F31ABD"/>
    <w:rsid w:val="00F32C31"/>
    <w:rsid w:val="00F3621E"/>
    <w:rsid w:val="00F36AB1"/>
    <w:rsid w:val="00F400EC"/>
    <w:rsid w:val="00F46DE1"/>
    <w:rsid w:val="00F531A9"/>
    <w:rsid w:val="00F60188"/>
    <w:rsid w:val="00F61AA7"/>
    <w:rsid w:val="00F64C52"/>
    <w:rsid w:val="00F64CAE"/>
    <w:rsid w:val="00F65DF9"/>
    <w:rsid w:val="00F71D93"/>
    <w:rsid w:val="00F73A0C"/>
    <w:rsid w:val="00F747A2"/>
    <w:rsid w:val="00F804FA"/>
    <w:rsid w:val="00F81D6B"/>
    <w:rsid w:val="00F82650"/>
    <w:rsid w:val="00F8596F"/>
    <w:rsid w:val="00F85D06"/>
    <w:rsid w:val="00F8639A"/>
    <w:rsid w:val="00F8777F"/>
    <w:rsid w:val="00F87D90"/>
    <w:rsid w:val="00F905A9"/>
    <w:rsid w:val="00F9316B"/>
    <w:rsid w:val="00F934A4"/>
    <w:rsid w:val="00FA15D5"/>
    <w:rsid w:val="00FA292D"/>
    <w:rsid w:val="00FA4B49"/>
    <w:rsid w:val="00FB73A3"/>
    <w:rsid w:val="00FC0269"/>
    <w:rsid w:val="00FC1DDD"/>
    <w:rsid w:val="00FC32BD"/>
    <w:rsid w:val="00FC3DAB"/>
    <w:rsid w:val="00FC4566"/>
    <w:rsid w:val="00FC6AD0"/>
    <w:rsid w:val="00FC6E02"/>
    <w:rsid w:val="00FD488F"/>
    <w:rsid w:val="00FD61CC"/>
    <w:rsid w:val="00FD7A60"/>
    <w:rsid w:val="00FE33A7"/>
    <w:rsid w:val="00FE462F"/>
    <w:rsid w:val="00FE5FB1"/>
    <w:rsid w:val="00FE6FC3"/>
    <w:rsid w:val="00FE7D1C"/>
    <w:rsid w:val="00FF138F"/>
    <w:rsid w:val="00FF239A"/>
    <w:rsid w:val="00FF2691"/>
    <w:rsid w:val="00FF273E"/>
    <w:rsid w:val="00FF3119"/>
    <w:rsid w:val="13CE2221"/>
    <w:rsid w:val="1C5E0B51"/>
    <w:rsid w:val="1DFD9DEA"/>
    <w:rsid w:val="292365FC"/>
    <w:rsid w:val="396C9AF5"/>
    <w:rsid w:val="48777B72"/>
    <w:rsid w:val="63F67113"/>
    <w:rsid w:val="75BA10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90F31"/>
  <w15:docId w15:val="{16F570E7-420C-4CA1-9AB8-8E22E7B92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E6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61E62"/>
    <w:pPr>
      <w:tabs>
        <w:tab w:val="center" w:pos="4819"/>
        <w:tab w:val="right" w:pos="9071"/>
      </w:tabs>
    </w:pPr>
    <w:rPr>
      <w:sz w:val="24"/>
      <w:lang w:val="en-GB"/>
    </w:rPr>
  </w:style>
  <w:style w:type="character" w:customStyle="1" w:styleId="HeaderChar">
    <w:name w:val="Header Char"/>
    <w:basedOn w:val="DefaultParagraphFont"/>
    <w:link w:val="Header"/>
    <w:rsid w:val="00961E62"/>
    <w:rPr>
      <w:rFonts w:ascii="Times New Roman" w:eastAsia="Times New Roman" w:hAnsi="Times New Roman" w:cs="Times New Roman"/>
      <w:sz w:val="24"/>
      <w:szCs w:val="20"/>
      <w:lang w:val="en-GB"/>
    </w:rPr>
  </w:style>
  <w:style w:type="paragraph" w:styleId="Footer">
    <w:name w:val="footer"/>
    <w:basedOn w:val="Normal"/>
    <w:link w:val="FooterChar"/>
    <w:rsid w:val="00961E62"/>
    <w:pPr>
      <w:tabs>
        <w:tab w:val="center" w:pos="4153"/>
        <w:tab w:val="right" w:pos="8306"/>
      </w:tabs>
    </w:pPr>
  </w:style>
  <w:style w:type="character" w:customStyle="1" w:styleId="FooterChar">
    <w:name w:val="Footer Char"/>
    <w:basedOn w:val="DefaultParagraphFont"/>
    <w:link w:val="Footer"/>
    <w:rsid w:val="00961E62"/>
    <w:rPr>
      <w:rFonts w:ascii="Times New Roman" w:eastAsia="Times New Roman" w:hAnsi="Times New Roman" w:cs="Times New Roman"/>
      <w:sz w:val="20"/>
      <w:szCs w:val="20"/>
    </w:rPr>
  </w:style>
  <w:style w:type="character" w:styleId="PageNumber">
    <w:name w:val="page number"/>
    <w:basedOn w:val="DefaultParagraphFont"/>
    <w:rsid w:val="00961E62"/>
  </w:style>
  <w:style w:type="paragraph" w:styleId="BodyText">
    <w:name w:val="Body Text"/>
    <w:basedOn w:val="Normal"/>
    <w:link w:val="BodyTextChar"/>
    <w:rsid w:val="00961E62"/>
    <w:pPr>
      <w:spacing w:before="120"/>
      <w:jc w:val="both"/>
    </w:pPr>
    <w:rPr>
      <w:sz w:val="24"/>
    </w:rPr>
  </w:style>
  <w:style w:type="character" w:customStyle="1" w:styleId="BodyTextChar">
    <w:name w:val="Body Text Char"/>
    <w:basedOn w:val="DefaultParagraphFont"/>
    <w:link w:val="BodyText"/>
    <w:rsid w:val="00961E62"/>
    <w:rPr>
      <w:rFonts w:ascii="Times New Roman" w:eastAsia="Times New Roman" w:hAnsi="Times New Roman" w:cs="Times New Roman"/>
      <w:sz w:val="24"/>
      <w:szCs w:val="20"/>
    </w:rPr>
  </w:style>
  <w:style w:type="paragraph" w:customStyle="1" w:styleId="AFMANormal">
    <w:name w:val="AFMA Normal"/>
    <w:rsid w:val="00961E62"/>
    <w:pPr>
      <w:spacing w:before="240" w:after="0" w:line="240" w:lineRule="auto"/>
      <w:jc w:val="both"/>
    </w:pPr>
    <w:rPr>
      <w:rFonts w:ascii="Times New Roman" w:eastAsia="Times New Roman" w:hAnsi="Times New Roman" w:cs="Times New Roman"/>
      <w:snapToGrid w:val="0"/>
      <w:kern w:val="20"/>
      <w:sz w:val="24"/>
      <w:szCs w:val="20"/>
    </w:rPr>
  </w:style>
  <w:style w:type="paragraph" w:customStyle="1" w:styleId="heading0">
    <w:name w:val="heading0"/>
    <w:basedOn w:val="Normal"/>
    <w:rsid w:val="00961E62"/>
    <w:pPr>
      <w:spacing w:before="100" w:beforeAutospacing="1" w:after="100" w:afterAutospacing="1"/>
    </w:pPr>
    <w:rPr>
      <w:sz w:val="24"/>
      <w:szCs w:val="24"/>
      <w:lang w:eastAsia="en-AU"/>
    </w:rPr>
  </w:style>
  <w:style w:type="paragraph" w:styleId="NormalWeb">
    <w:name w:val="Normal (Web)"/>
    <w:basedOn w:val="Normal"/>
    <w:rsid w:val="00961E62"/>
    <w:pPr>
      <w:spacing w:before="100" w:beforeAutospacing="1" w:after="100" w:afterAutospacing="1"/>
    </w:pPr>
    <w:rPr>
      <w:sz w:val="24"/>
      <w:szCs w:val="24"/>
      <w:lang w:eastAsia="en-AU"/>
    </w:rPr>
  </w:style>
  <w:style w:type="paragraph" w:styleId="BalloonText">
    <w:name w:val="Balloon Text"/>
    <w:basedOn w:val="Normal"/>
    <w:link w:val="BalloonTextChar"/>
    <w:uiPriority w:val="99"/>
    <w:semiHidden/>
    <w:unhideWhenUsed/>
    <w:rsid w:val="00B56399"/>
    <w:rPr>
      <w:rFonts w:ascii="Tahoma" w:hAnsi="Tahoma" w:cs="Tahoma"/>
      <w:sz w:val="16"/>
      <w:szCs w:val="16"/>
    </w:rPr>
  </w:style>
  <w:style w:type="character" w:customStyle="1" w:styleId="BalloonTextChar">
    <w:name w:val="Balloon Text Char"/>
    <w:basedOn w:val="DefaultParagraphFont"/>
    <w:link w:val="BalloonText"/>
    <w:uiPriority w:val="99"/>
    <w:semiHidden/>
    <w:rsid w:val="00B5639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B0581"/>
    <w:rPr>
      <w:sz w:val="16"/>
      <w:szCs w:val="16"/>
    </w:rPr>
  </w:style>
  <w:style w:type="paragraph" w:styleId="CommentText">
    <w:name w:val="annotation text"/>
    <w:basedOn w:val="Normal"/>
    <w:link w:val="CommentTextChar"/>
    <w:uiPriority w:val="99"/>
    <w:unhideWhenUsed/>
    <w:rsid w:val="002B0581"/>
  </w:style>
  <w:style w:type="character" w:customStyle="1" w:styleId="CommentTextChar">
    <w:name w:val="Comment Text Char"/>
    <w:basedOn w:val="DefaultParagraphFont"/>
    <w:link w:val="CommentText"/>
    <w:uiPriority w:val="99"/>
    <w:rsid w:val="002B05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0581"/>
    <w:rPr>
      <w:b/>
      <w:bCs/>
    </w:rPr>
  </w:style>
  <w:style w:type="character" w:customStyle="1" w:styleId="CommentSubjectChar">
    <w:name w:val="Comment Subject Char"/>
    <w:basedOn w:val="CommentTextChar"/>
    <w:link w:val="CommentSubject"/>
    <w:uiPriority w:val="99"/>
    <w:semiHidden/>
    <w:rsid w:val="002B0581"/>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unhideWhenUsed/>
    <w:rsid w:val="00A06CA3"/>
  </w:style>
  <w:style w:type="character" w:customStyle="1" w:styleId="FootnoteTextChar">
    <w:name w:val="Footnote Text Char"/>
    <w:basedOn w:val="DefaultParagraphFont"/>
    <w:link w:val="FootnoteText"/>
    <w:uiPriority w:val="99"/>
    <w:rsid w:val="00A06CA3"/>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A06CA3"/>
    <w:rPr>
      <w:vertAlign w:val="superscript"/>
    </w:rPr>
  </w:style>
  <w:style w:type="character" w:styleId="Hyperlink">
    <w:name w:val="Hyperlink"/>
    <w:basedOn w:val="DefaultParagraphFont"/>
    <w:uiPriority w:val="99"/>
    <w:unhideWhenUsed/>
    <w:rsid w:val="00A06CA3"/>
    <w:rPr>
      <w:color w:val="0000FF" w:themeColor="hyperlink"/>
      <w:u w:val="single"/>
    </w:rPr>
  </w:style>
  <w:style w:type="paragraph" w:styleId="Revision">
    <w:name w:val="Revision"/>
    <w:hidden/>
    <w:uiPriority w:val="99"/>
    <w:semiHidden/>
    <w:rsid w:val="000C6105"/>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CD5B9C"/>
    <w:pPr>
      <w:ind w:left="720"/>
      <w:contextualSpacing/>
    </w:p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FC4566"/>
    <w:rPr>
      <w:color w:val="605E5C"/>
      <w:shd w:val="clear" w:color="auto" w:fill="E1DFDD"/>
    </w:rPr>
  </w:style>
  <w:style w:type="character" w:styleId="FollowedHyperlink">
    <w:name w:val="FollowedHyperlink"/>
    <w:basedOn w:val="DefaultParagraphFont"/>
    <w:uiPriority w:val="99"/>
    <w:semiHidden/>
    <w:unhideWhenUsed/>
    <w:rsid w:val="00AD24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Status xmlns="9dc7b98a-aa4a-4582-9fad-77df62eff277">CEO Cleared</DocumentStatus>
    <_dlc_DocId xmlns="9dc7b98a-aa4a-4582-9fad-77df62eff277">AFMAROOT-685074830-36565</_dlc_DocId>
    <_dlc_DocIdUrl xmlns="9dc7b98a-aa4a-4582-9fad-77df62eff277">
      <Url>https://afmagovau.sharepoint.com/sites/AFMA-PROD/_layouts/15/DocIdRedir.aspx?ID=AFMAROOT-685074830-36565</Url>
      <Description>AFMAROOT-685074830-36565</Description>
    </_dlc_DocIdUrl>
    <_dlc_DocIdPersistId xmlns="9dc7b98a-aa4a-4582-9fad-77df62eff277">false</_dlc_DocIdPersistId>
    <SharedWithUsers xmlns="9dc7b98a-aa4a-4582-9fad-77df62eff277">
      <UserInfo>
        <DisplayName/>
        <AccountId xsi:nil="true"/>
        <AccountType/>
      </UserInfo>
    </SharedWithUsers>
    <MediaLengthInSeconds xmlns="d01b9356-9774-4515-b85f-82788657dd43" xsi:nil="true"/>
    <lcf76f155ced4ddcb4097134ff3c332f xmlns="d01b9356-9774-4515-b85f-82788657dd43">
      <Terms xmlns="http://schemas.microsoft.com/office/infopath/2007/PartnerControls"/>
    </lcf76f155ced4ddcb4097134ff3c332f>
    <TaxCatchAll xmlns="9dc7b98a-aa4a-4582-9fad-77df62eff277" xsi:nil="true"/>
    <_Flow_SignoffStatus xmlns="d01b9356-9774-4515-b85f-82788657dd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922EE4DB6956409625CCB71A6EB15A" ma:contentTypeVersion="23" ma:contentTypeDescription="Create a new document." ma:contentTypeScope="" ma:versionID="9a41ec54f6b615a3eb0d4d1bf2b1abd0">
  <xsd:schema xmlns:xsd="http://www.w3.org/2001/XMLSchema" xmlns:xs="http://www.w3.org/2001/XMLSchema" xmlns:p="http://schemas.microsoft.com/office/2006/metadata/properties" xmlns:ns2="9dc7b98a-aa4a-4582-9fad-77df62eff277" xmlns:ns3="d01b9356-9774-4515-b85f-82788657dd43" targetNamespace="http://schemas.microsoft.com/office/2006/metadata/properties" ma:root="true" ma:fieldsID="1a64cdb015e18f296790e2b99a5ee1b0" ns2:_="" ns3:_="">
    <xsd:import namespace="9dc7b98a-aa4a-4582-9fad-77df62eff277"/>
    <xsd:import namespace="d01b9356-9774-4515-b85f-82788657dd4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DocumentStatus" minOccurs="0"/>
                <xsd:element ref="ns3:MediaServiceAutoTags" minOccurs="0"/>
                <xsd:element ref="ns3:MediaServiceOCR" minOccurs="0"/>
                <xsd:element ref="ns3:MediaServiceGenerationTime" minOccurs="0"/>
                <xsd:element ref="ns3:MediaServiceEventHashCode" minOccurs="0"/>
                <xsd:element ref="ns3:_Flow_SignoffStatus"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7b98a-aa4a-4582-9fad-77df62eff2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DocumentStatus" ma:index="17" nillable="true" ma:displayName="DocumentStatus" ma:format="Dropdown" ma:internalName="DocumentStatus">
      <xsd:simpleType>
        <xsd:restriction base="dms:Choice">
          <xsd:enumeration value="Draft"/>
          <xsd:enumeration value="SM Cleared"/>
          <xsd:enumeration value="EM/GM Cleared"/>
          <xsd:enumeration value="CEO Cleared"/>
        </xsd:restriction>
      </xsd:simpleType>
    </xsd:element>
    <xsd:element name="TaxCatchAll" ma:index="27" nillable="true" ma:displayName="Taxonomy Catch All Column" ma:hidden="true" ma:list="{4afd6308-b981-43ef-9f96-96d30fe0920b}" ma:internalName="TaxCatchAll" ma:showField="CatchAllData" ma:web="9dc7b98a-aa4a-4582-9fad-77df62eff2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1b9356-9774-4515-b85f-82788657dd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0ffd662-4a1a-4b48-8c9d-d73ee6b85f9b" ma:termSetId="09814cd3-568e-fe90-9814-8d621ff8fb84" ma:anchorId="fba54fb3-c3e1-fe81-a776-ca4b69148c4d" ma:open="true" ma:isKeyword="false">
      <xsd:complexType>
        <xsd:sequence>
          <xsd:element ref="pc:Terms" minOccurs="0" maxOccurs="1"/>
        </xsd:sequence>
      </xsd:complexType>
    </xsd:element>
    <xsd:element name="MediaServiceLocation" ma:index="28" nillable="true" ma:displayName="Location" ma:internalName="MediaServiceLocation" ma:readOnly="true">
      <xsd:simpleType>
        <xsd:restriction base="dms:Text"/>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B3FE01-DEF6-402F-B0F4-0B67D52B00DD}">
  <ds:schemaRefs>
    <ds:schemaRef ds:uri="d01b9356-9774-4515-b85f-82788657dd43"/>
    <ds:schemaRef ds:uri="http://www.w3.org/XML/1998/namespace"/>
    <ds:schemaRef ds:uri="http://purl.org/dc/elements/1.1/"/>
    <ds:schemaRef ds:uri="9dc7b98a-aa4a-4582-9fad-77df62eff277"/>
    <ds:schemaRef ds:uri="http://purl.org/dc/term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22236D-1787-4899-8F05-F649E292A4B3}">
  <ds:schemaRefs>
    <ds:schemaRef ds:uri="http://schemas.openxmlformats.org/officeDocument/2006/bibliography"/>
  </ds:schemaRefs>
</ds:datastoreItem>
</file>

<file path=customXml/itemProps3.xml><?xml version="1.0" encoding="utf-8"?>
<ds:datastoreItem xmlns:ds="http://schemas.openxmlformats.org/officeDocument/2006/customXml" ds:itemID="{4F01BDAC-C1A2-49A2-8E0E-A79DD68E287E}">
  <ds:schemaRefs>
    <ds:schemaRef ds:uri="http://schemas.microsoft.com/sharepoint/v3/contenttype/forms"/>
  </ds:schemaRefs>
</ds:datastoreItem>
</file>

<file path=customXml/itemProps4.xml><?xml version="1.0" encoding="utf-8"?>
<ds:datastoreItem xmlns:ds="http://schemas.openxmlformats.org/officeDocument/2006/customXml" ds:itemID="{7B80A3C1-AF77-460F-989A-AAC33EE0C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7b98a-aa4a-4582-9fad-77df62eff277"/>
    <ds:schemaRef ds:uri="d01b9356-9774-4515-b85f-82788657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BF6A22-A547-4903-A0F7-800B6631BF5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2269</Words>
  <Characters>12934</Characters>
  <Application>Microsoft Office Word</Application>
  <DocSecurity>0</DocSecurity>
  <Lines>107</Lines>
  <Paragraphs>30</Paragraphs>
  <ScaleCrop>false</ScaleCrop>
  <Company/>
  <LinksUpToDate>false</LinksUpToDate>
  <CharactersWithSpaces>15173</CharactersWithSpaces>
  <SharedDoc>false</SharedDoc>
  <HLinks>
    <vt:vector size="12" baseType="variant">
      <vt:variant>
        <vt:i4>7929899</vt:i4>
      </vt:variant>
      <vt:variant>
        <vt:i4>3</vt:i4>
      </vt:variant>
      <vt:variant>
        <vt:i4>0</vt:i4>
      </vt:variant>
      <vt:variant>
        <vt:i4>5</vt:i4>
      </vt:variant>
      <vt:variant>
        <vt:lpwstr>https://www.afma.gov.au/sites/default/files/2024-03/SESSF-Harvest-Strategy-Amended-2024.pdf</vt:lpwstr>
      </vt:variant>
      <vt:variant>
        <vt:lpwstr/>
      </vt:variant>
      <vt:variant>
        <vt:i4>1245277</vt:i4>
      </vt:variant>
      <vt:variant>
        <vt:i4>0</vt:i4>
      </vt:variant>
      <vt:variant>
        <vt:i4>0</vt:i4>
      </vt:variant>
      <vt:variant>
        <vt:i4>5</vt:i4>
      </vt:variant>
      <vt:variant>
        <vt:lpwstr>https://www.agriculture.gov.au/agriculture-land/fisheries/domestic/harvest_strategy_policy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KEARNEY, Brendan</dc:creator>
  <cp:keywords/>
  <cp:lastModifiedBy>CONISTON, Luke</cp:lastModifiedBy>
  <cp:revision>6</cp:revision>
  <cp:lastPrinted>2024-03-18T00:12:00Z</cp:lastPrinted>
  <dcterms:created xsi:type="dcterms:W3CDTF">2025-03-25T04:30:00Z</dcterms:created>
  <dcterms:modified xsi:type="dcterms:W3CDTF">2025-03-26T04:58:00Z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ecc5b202-48c4-468e-a1f8-d9455888936a</vt:lpwstr>
  </property>
  <property fmtid="{D5CDD505-2E9C-101B-9397-08002B2CF9AE}" pid="3" name="ContentTypeId">
    <vt:lpwstr>0x01010012922EE4DB6956409625CCB71A6EB15A</vt:lpwstr>
  </property>
  <property fmtid="{D5CDD505-2E9C-101B-9397-08002B2CF9AE}" pid="4" name="_dlc_DocIdItemGuid">
    <vt:lpwstr>6c20b565-cd9a-4202-b699-6e6be72d7766</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xd_Signature">
    <vt:bool>false</vt:bool>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y fmtid="{D5CDD505-2E9C-101B-9397-08002B2CF9AE}" pid="12" name="Order">
    <vt:r8>3315000</vt:r8>
  </property>
  <property fmtid="{D5CDD505-2E9C-101B-9397-08002B2CF9AE}" pid="13" name="SEC">
    <vt:lpwstr>OFFICIAL</vt:lpwstr>
  </property>
  <property fmtid="{D5CDD505-2E9C-101B-9397-08002B2CF9AE}" pid="14" name="ApplyMark">
    <vt:lpwstr>false</vt:lpwstr>
  </property>
</Properties>
</file>