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3D2E" w14:textId="07B9C8E3" w:rsidR="001B07B5" w:rsidRPr="00E54C47" w:rsidRDefault="00575724" w:rsidP="000E60B1">
      <w:pPr>
        <w:spacing w:before="120" w:after="120" w:line="240" w:lineRule="auto"/>
        <w:jc w:val="center"/>
        <w:rPr>
          <w:rFonts w:ascii="Times New Roman" w:hAnsi="Times New Roman"/>
          <w:b/>
          <w:iCs/>
          <w:sz w:val="28"/>
          <w:szCs w:val="28"/>
        </w:rPr>
      </w:pPr>
      <w:r w:rsidRPr="000829E6">
        <w:rPr>
          <w:rFonts w:ascii="Times New Roman" w:eastAsia="Times New Roman" w:hAnsi="Times New Roman"/>
          <w:iCs/>
          <w:sz w:val="24"/>
          <w:lang w:eastAsia="en-AU"/>
        </w:rPr>
        <w:t>Military Rehabilitation and Compensation (Consequential and Transitional Provisions) Amendment (Review Pathway) Regulations 2025</w:t>
      </w:r>
    </w:p>
    <w:p w14:paraId="21615ABF" w14:textId="77777777" w:rsidR="0047482F" w:rsidRPr="0047482F" w:rsidRDefault="0047482F" w:rsidP="000E60B1">
      <w:pPr>
        <w:spacing w:before="120" w:after="120" w:line="240" w:lineRule="auto"/>
        <w:jc w:val="center"/>
        <w:rPr>
          <w:rFonts w:ascii="Times New Roman" w:hAnsi="Times New Roman"/>
          <w:b/>
          <w:sz w:val="28"/>
          <w:szCs w:val="28"/>
        </w:rPr>
      </w:pPr>
    </w:p>
    <w:p w14:paraId="0740ACAB" w14:textId="77777777" w:rsidR="000E60B1" w:rsidRPr="00F36CE5" w:rsidRDefault="000E60B1" w:rsidP="000E60B1">
      <w:pPr>
        <w:spacing w:before="120" w:after="120" w:line="240" w:lineRule="auto"/>
        <w:jc w:val="center"/>
        <w:rPr>
          <w:rFonts w:ascii="Times New Roman" w:hAnsi="Times New Roman"/>
          <w:b/>
          <w:sz w:val="24"/>
          <w:szCs w:val="24"/>
          <w:u w:val="single"/>
        </w:rPr>
      </w:pPr>
      <w:r w:rsidRPr="00F36CE5">
        <w:rPr>
          <w:rFonts w:ascii="Times New Roman" w:hAnsi="Times New Roman"/>
          <w:b/>
          <w:sz w:val="24"/>
          <w:szCs w:val="24"/>
          <w:u w:val="single"/>
        </w:rPr>
        <w:t>EXPLANATORY STATEMENT</w:t>
      </w:r>
    </w:p>
    <w:p w14:paraId="0740ACAC" w14:textId="77777777" w:rsidR="000E60B1" w:rsidRPr="009D2A47" w:rsidRDefault="000E60B1" w:rsidP="000E60B1">
      <w:pPr>
        <w:spacing w:before="120" w:after="120" w:line="240" w:lineRule="auto"/>
        <w:jc w:val="center"/>
        <w:rPr>
          <w:rFonts w:ascii="Times New Roman" w:hAnsi="Times New Roman"/>
          <w:b/>
          <w:u w:val="single"/>
        </w:rPr>
      </w:pPr>
    </w:p>
    <w:p w14:paraId="0740ACAD" w14:textId="14D7BE97" w:rsidR="000E60B1" w:rsidRPr="00C04ACC" w:rsidRDefault="000E60B1" w:rsidP="000E60B1">
      <w:pPr>
        <w:spacing w:before="120" w:after="120" w:line="240" w:lineRule="auto"/>
        <w:jc w:val="center"/>
        <w:rPr>
          <w:rFonts w:ascii="Times New Roman" w:hAnsi="Times New Roman"/>
        </w:rPr>
      </w:pPr>
      <w:r w:rsidRPr="00C04ACC">
        <w:rPr>
          <w:rFonts w:ascii="Times New Roman" w:hAnsi="Times New Roman"/>
        </w:rPr>
        <w:t xml:space="preserve">Issued by </w:t>
      </w:r>
      <w:r>
        <w:rPr>
          <w:rFonts w:ascii="Times New Roman" w:hAnsi="Times New Roman"/>
        </w:rPr>
        <w:t xml:space="preserve">authority of </w:t>
      </w:r>
      <w:r w:rsidRPr="00C04ACC">
        <w:rPr>
          <w:rFonts w:ascii="Times New Roman" w:hAnsi="Times New Roman"/>
        </w:rPr>
        <w:t xml:space="preserve">the </w:t>
      </w:r>
      <w:r w:rsidRPr="00C04ACC">
        <w:rPr>
          <w:rFonts w:ascii="Times New Roman" w:hAnsi="Times New Roman"/>
          <w:lang w:val="en"/>
        </w:rPr>
        <w:t xml:space="preserve">Minister for </w:t>
      </w:r>
      <w:r w:rsidR="0047482F">
        <w:rPr>
          <w:rFonts w:ascii="Times New Roman" w:hAnsi="Times New Roman"/>
          <w:lang w:val="en"/>
        </w:rPr>
        <w:t>Veterans’ Affairs</w:t>
      </w:r>
      <w:r>
        <w:rPr>
          <w:rFonts w:ascii="Times New Roman" w:hAnsi="Times New Roman"/>
          <w:lang w:val="en"/>
        </w:rPr>
        <w:t xml:space="preserve"> </w:t>
      </w:r>
    </w:p>
    <w:p w14:paraId="0740ACAE" w14:textId="5B9D14F0" w:rsidR="000E60B1" w:rsidRPr="0047482F" w:rsidRDefault="000E60B1" w:rsidP="000E60B1">
      <w:pPr>
        <w:spacing w:before="120" w:after="120" w:line="240" w:lineRule="auto"/>
        <w:jc w:val="center"/>
        <w:rPr>
          <w:rFonts w:ascii="Times New Roman" w:hAnsi="Times New Roman"/>
          <w:lang w:val="en"/>
        </w:rPr>
      </w:pPr>
      <w:r>
        <w:rPr>
          <w:rFonts w:ascii="Times New Roman" w:hAnsi="Times New Roman"/>
          <w:lang w:val="en"/>
        </w:rPr>
        <w:t xml:space="preserve">under </w:t>
      </w:r>
      <w:r w:rsidRPr="0047482F">
        <w:rPr>
          <w:rFonts w:ascii="Times New Roman" w:hAnsi="Times New Roman"/>
          <w:lang w:val="en"/>
        </w:rPr>
        <w:t xml:space="preserve">the </w:t>
      </w:r>
      <w:r w:rsidR="00575724" w:rsidRPr="001944E2">
        <w:rPr>
          <w:rFonts w:ascii="Times New Roman" w:eastAsia="Times New Roman" w:hAnsi="Times New Roman"/>
          <w:i/>
          <w:sz w:val="24"/>
          <w:lang w:eastAsia="en-AU"/>
        </w:rPr>
        <w:t>Military Rehabilitation and Compensation (Consequential and Transitional Provisions) Act 2004</w:t>
      </w:r>
    </w:p>
    <w:p w14:paraId="0740ACAF" w14:textId="77777777" w:rsidR="000E60B1" w:rsidRDefault="000E60B1" w:rsidP="000E60B1">
      <w:pPr>
        <w:spacing w:before="120" w:after="120" w:line="240" w:lineRule="auto"/>
        <w:rPr>
          <w:rFonts w:ascii="Times New Roman" w:eastAsia="Times New Roman" w:hAnsi="Times New Roman"/>
          <w:b/>
          <w:caps/>
          <w:sz w:val="24"/>
          <w:szCs w:val="24"/>
        </w:rPr>
      </w:pPr>
    </w:p>
    <w:p w14:paraId="0740ACB0" w14:textId="77777777" w:rsidR="000E60B1" w:rsidRDefault="000E60B1" w:rsidP="000E60B1">
      <w:pPr>
        <w:spacing w:before="120" w:after="120" w:line="240" w:lineRule="auto"/>
        <w:rPr>
          <w:rFonts w:ascii="Times New Roman" w:eastAsia="Times New Roman" w:hAnsi="Times New Roman"/>
          <w:b/>
          <w:sz w:val="24"/>
          <w:szCs w:val="24"/>
        </w:rPr>
      </w:pPr>
      <w:r w:rsidRPr="005F108B">
        <w:rPr>
          <w:rFonts w:ascii="Times New Roman" w:eastAsia="Times New Roman" w:hAnsi="Times New Roman"/>
          <w:b/>
          <w:caps/>
          <w:sz w:val="24"/>
          <w:szCs w:val="24"/>
        </w:rPr>
        <w:t>Purpose and operation of the Instrument</w:t>
      </w:r>
    </w:p>
    <w:p w14:paraId="1632520D" w14:textId="3F573C41" w:rsidR="00B50B5C" w:rsidRPr="004458A3" w:rsidRDefault="000E60B1" w:rsidP="000E60B1">
      <w:pPr>
        <w:spacing w:before="120" w:after="120" w:line="240" w:lineRule="auto"/>
        <w:rPr>
          <w:rFonts w:ascii="Times New Roman" w:eastAsia="Times New Roman" w:hAnsi="Times New Roman"/>
          <w:lang w:eastAsia="en-AU"/>
        </w:rPr>
      </w:pPr>
      <w:r w:rsidRPr="004458A3">
        <w:rPr>
          <w:rFonts w:ascii="Times New Roman" w:eastAsia="Times New Roman" w:hAnsi="Times New Roman"/>
          <w:lang w:eastAsia="en-AU"/>
        </w:rPr>
        <w:t xml:space="preserve">The </w:t>
      </w:r>
      <w:r w:rsidR="00575724" w:rsidRPr="00FF582B">
        <w:rPr>
          <w:rFonts w:ascii="Times New Roman" w:eastAsia="Times New Roman" w:hAnsi="Times New Roman"/>
          <w:i/>
          <w:lang w:eastAsia="en-AU"/>
        </w:rPr>
        <w:t>Military Rehabilitation and Compensation (Consequential and Transitional Provisions) Act 2004</w:t>
      </w:r>
      <w:r w:rsidRPr="004458A3">
        <w:rPr>
          <w:rFonts w:ascii="Times New Roman" w:eastAsia="Times New Roman" w:hAnsi="Times New Roman"/>
          <w:lang w:eastAsia="en-AU"/>
        </w:rPr>
        <w:t xml:space="preserve"> </w:t>
      </w:r>
      <w:r w:rsidR="00DD64F6" w:rsidRPr="004458A3">
        <w:rPr>
          <w:rFonts w:ascii="Times New Roman" w:eastAsia="Times New Roman" w:hAnsi="Times New Roman"/>
          <w:lang w:eastAsia="en-AU"/>
        </w:rPr>
        <w:t>(</w:t>
      </w:r>
      <w:r w:rsidR="00E54C47" w:rsidRPr="004458A3">
        <w:rPr>
          <w:rFonts w:ascii="Times New Roman" w:eastAsia="Times New Roman" w:hAnsi="Times New Roman"/>
          <w:lang w:eastAsia="en-AU"/>
        </w:rPr>
        <w:t>MRCA-CTPA</w:t>
      </w:r>
      <w:r w:rsidR="00DD64F6" w:rsidRPr="004458A3">
        <w:rPr>
          <w:rFonts w:ascii="Times New Roman" w:eastAsia="Times New Roman" w:hAnsi="Times New Roman"/>
          <w:lang w:eastAsia="en-AU"/>
        </w:rPr>
        <w:t xml:space="preserve">) </w:t>
      </w:r>
      <w:r w:rsidR="00575724" w:rsidRPr="004458A3">
        <w:rPr>
          <w:rFonts w:ascii="Times New Roman" w:eastAsia="Times New Roman" w:hAnsi="Times New Roman"/>
          <w:lang w:eastAsia="en-AU"/>
        </w:rPr>
        <w:t xml:space="preserve">deals with transitional matters in connection with the </w:t>
      </w:r>
      <w:r w:rsidR="00575724" w:rsidRPr="004458A3">
        <w:rPr>
          <w:rFonts w:ascii="Times New Roman" w:eastAsia="Times New Roman" w:hAnsi="Times New Roman"/>
          <w:i/>
          <w:iCs/>
          <w:lang w:eastAsia="en-AU"/>
        </w:rPr>
        <w:t>Military Rehabilitation and Compensation Act 2004</w:t>
      </w:r>
      <w:r w:rsidR="00575724" w:rsidRPr="004458A3">
        <w:rPr>
          <w:rFonts w:ascii="Times New Roman" w:eastAsia="Times New Roman" w:hAnsi="Times New Roman"/>
          <w:lang w:eastAsia="en-AU"/>
        </w:rPr>
        <w:t xml:space="preserve"> (MRCA), which commenced on 1 July 2004</w:t>
      </w:r>
      <w:r w:rsidR="00DB4242" w:rsidRPr="004458A3">
        <w:rPr>
          <w:rFonts w:ascii="Times New Roman" w:eastAsia="Times New Roman" w:hAnsi="Times New Roman"/>
          <w:lang w:eastAsia="en-AU"/>
        </w:rPr>
        <w:t>.</w:t>
      </w:r>
    </w:p>
    <w:p w14:paraId="6CBBA0CA" w14:textId="1CE5EE40" w:rsidR="00EF5B55" w:rsidRPr="00FF582B" w:rsidRDefault="00DD64F6" w:rsidP="004458A3">
      <w:pPr>
        <w:spacing w:before="120" w:after="120" w:line="240" w:lineRule="auto"/>
        <w:rPr>
          <w:rFonts w:ascii="Times New Roman" w:hAnsi="Times New Roman"/>
          <w:b/>
          <w:iCs/>
          <w:sz w:val="28"/>
          <w:szCs w:val="28"/>
        </w:rPr>
      </w:pPr>
      <w:r w:rsidRPr="004458A3">
        <w:rPr>
          <w:rFonts w:ascii="Times New Roman" w:eastAsia="Times New Roman" w:hAnsi="Times New Roman"/>
          <w:lang w:eastAsia="en-AU"/>
        </w:rPr>
        <w:t xml:space="preserve">The </w:t>
      </w:r>
      <w:r w:rsidR="004458A3" w:rsidRPr="00FF582B">
        <w:rPr>
          <w:rFonts w:ascii="Times New Roman" w:eastAsia="Times New Roman" w:hAnsi="Times New Roman"/>
          <w:iCs/>
          <w:lang w:eastAsia="en-AU"/>
        </w:rPr>
        <w:t>Military Rehabilitation and Compensation (Consequential and Transitional Provisions) Amendment (Review Pathway) Regulations 2025</w:t>
      </w:r>
      <w:r w:rsidR="004458A3">
        <w:rPr>
          <w:rFonts w:ascii="Times New Roman" w:eastAsia="Times New Roman" w:hAnsi="Times New Roman"/>
          <w:iCs/>
          <w:lang w:eastAsia="en-AU"/>
        </w:rPr>
        <w:t xml:space="preserve"> (these </w:t>
      </w:r>
      <w:r w:rsidR="004A5225">
        <w:rPr>
          <w:rFonts w:ascii="Times New Roman" w:eastAsia="Times New Roman" w:hAnsi="Times New Roman"/>
          <w:lang w:eastAsia="en-AU"/>
        </w:rPr>
        <w:t xml:space="preserve">New </w:t>
      </w:r>
      <w:r w:rsidRPr="00DD64F6">
        <w:rPr>
          <w:rFonts w:ascii="Times New Roman" w:eastAsia="Times New Roman" w:hAnsi="Times New Roman"/>
          <w:lang w:eastAsia="en-AU"/>
        </w:rPr>
        <w:t>Regulations</w:t>
      </w:r>
      <w:r w:rsidR="004458A3">
        <w:rPr>
          <w:rFonts w:ascii="Times New Roman" w:eastAsia="Times New Roman" w:hAnsi="Times New Roman"/>
          <w:lang w:eastAsia="en-AU"/>
        </w:rPr>
        <w:t>)</w:t>
      </w:r>
      <w:r w:rsidR="002E45BC">
        <w:rPr>
          <w:rFonts w:ascii="Times New Roman" w:eastAsia="Times New Roman" w:hAnsi="Times New Roman"/>
          <w:lang w:eastAsia="en-AU"/>
        </w:rPr>
        <w:t xml:space="preserve"> (Attachment A)</w:t>
      </w:r>
      <w:r w:rsidRPr="00DD64F6">
        <w:rPr>
          <w:rFonts w:ascii="Times New Roman" w:eastAsia="Times New Roman" w:hAnsi="Times New Roman"/>
          <w:lang w:eastAsia="en-AU"/>
        </w:rPr>
        <w:t xml:space="preserve"> amend the </w:t>
      </w:r>
      <w:r w:rsidRPr="00FF582B">
        <w:rPr>
          <w:rFonts w:ascii="Times New Roman" w:eastAsia="Times New Roman" w:hAnsi="Times New Roman"/>
          <w:i/>
          <w:iCs/>
          <w:lang w:eastAsia="en-AU"/>
        </w:rPr>
        <w:t>Military Rehabilitation and Compensation (Consequential and Transitional Provisions) Regulations</w:t>
      </w:r>
      <w:r w:rsidR="004458A3">
        <w:rPr>
          <w:rFonts w:ascii="Times New Roman" w:eastAsia="Times New Roman" w:hAnsi="Times New Roman"/>
          <w:i/>
          <w:iCs/>
          <w:lang w:eastAsia="en-AU"/>
        </w:rPr>
        <w:t> </w:t>
      </w:r>
      <w:r w:rsidRPr="00FF582B">
        <w:rPr>
          <w:rFonts w:ascii="Times New Roman" w:eastAsia="Times New Roman" w:hAnsi="Times New Roman"/>
          <w:i/>
          <w:iCs/>
          <w:lang w:eastAsia="en-AU"/>
        </w:rPr>
        <w:t>2020</w:t>
      </w:r>
      <w:r w:rsidRPr="00DD64F6">
        <w:rPr>
          <w:rFonts w:ascii="Times New Roman" w:eastAsia="Times New Roman" w:hAnsi="Times New Roman"/>
          <w:lang w:eastAsia="en-AU"/>
        </w:rPr>
        <w:t xml:space="preserve"> to </w:t>
      </w:r>
      <w:r w:rsidR="00CD31CF">
        <w:rPr>
          <w:rFonts w:ascii="Times New Roman" w:eastAsia="Times New Roman" w:hAnsi="Times New Roman"/>
          <w:lang w:eastAsia="en-AU"/>
        </w:rPr>
        <w:t>prescribe the</w:t>
      </w:r>
      <w:r w:rsidRPr="00DD64F6">
        <w:rPr>
          <w:rFonts w:ascii="Times New Roman" w:eastAsia="Times New Roman" w:hAnsi="Times New Roman"/>
          <w:lang w:eastAsia="en-AU"/>
        </w:rPr>
        <w:t xml:space="preserve"> travelling expenses </w:t>
      </w:r>
      <w:r w:rsidR="00CD31CF">
        <w:rPr>
          <w:rFonts w:ascii="Times New Roman" w:eastAsia="Times New Roman" w:hAnsi="Times New Roman"/>
          <w:lang w:eastAsia="en-AU"/>
        </w:rPr>
        <w:t>for</w:t>
      </w:r>
      <w:r w:rsidRPr="00DD64F6">
        <w:rPr>
          <w:rFonts w:ascii="Times New Roman" w:eastAsia="Times New Roman" w:hAnsi="Times New Roman"/>
          <w:lang w:eastAsia="en-AU"/>
        </w:rPr>
        <w:t xml:space="preserve"> </w:t>
      </w:r>
      <w:r w:rsidR="00CD31CF">
        <w:rPr>
          <w:rFonts w:ascii="Times New Roman" w:eastAsia="Times New Roman" w:hAnsi="Times New Roman"/>
          <w:lang w:eastAsia="en-AU"/>
        </w:rPr>
        <w:t>an</w:t>
      </w:r>
      <w:r w:rsidRPr="00DD64F6">
        <w:rPr>
          <w:rFonts w:ascii="Times New Roman" w:eastAsia="Times New Roman" w:hAnsi="Times New Roman"/>
          <w:lang w:eastAsia="en-AU"/>
        </w:rPr>
        <w:t xml:space="preserve"> applicant</w:t>
      </w:r>
      <w:r w:rsidR="00CD31CF">
        <w:rPr>
          <w:rFonts w:ascii="Times New Roman" w:eastAsia="Times New Roman" w:hAnsi="Times New Roman"/>
          <w:lang w:eastAsia="en-AU"/>
        </w:rPr>
        <w:t xml:space="preserve"> travelling</w:t>
      </w:r>
      <w:r w:rsidRPr="00DD64F6">
        <w:rPr>
          <w:rFonts w:ascii="Times New Roman" w:eastAsia="Times New Roman" w:hAnsi="Times New Roman"/>
          <w:lang w:eastAsia="en-AU"/>
        </w:rPr>
        <w:t xml:space="preserve"> to obtain relevant documentary medical evidence for a</w:t>
      </w:r>
      <w:r w:rsidR="00CD31CF">
        <w:rPr>
          <w:rFonts w:ascii="Times New Roman" w:eastAsia="Times New Roman" w:hAnsi="Times New Roman"/>
          <w:lang w:eastAsia="en-AU"/>
        </w:rPr>
        <w:t xml:space="preserve"> review by the</w:t>
      </w:r>
      <w:r w:rsidRPr="00DD64F6">
        <w:rPr>
          <w:rFonts w:ascii="Times New Roman" w:eastAsia="Times New Roman" w:hAnsi="Times New Roman"/>
          <w:lang w:eastAsia="en-AU"/>
        </w:rPr>
        <w:t xml:space="preserve"> Veterans Review Board (VRB)</w:t>
      </w:r>
      <w:r>
        <w:rPr>
          <w:rFonts w:ascii="Times New Roman" w:eastAsia="Times New Roman" w:hAnsi="Times New Roman"/>
          <w:lang w:eastAsia="en-AU"/>
        </w:rPr>
        <w:t>.</w:t>
      </w:r>
    </w:p>
    <w:p w14:paraId="1D38264F" w14:textId="4AE53032" w:rsidR="00EF5B55" w:rsidRDefault="00A97F40" w:rsidP="000E60B1">
      <w:pPr>
        <w:spacing w:before="120" w:after="120" w:line="240" w:lineRule="auto"/>
        <w:rPr>
          <w:rFonts w:ascii="Times New Roman" w:eastAsia="Times New Roman" w:hAnsi="Times New Roman"/>
          <w:lang w:eastAsia="en-AU"/>
        </w:rPr>
      </w:pPr>
      <w:r>
        <w:rPr>
          <w:rFonts w:ascii="Times New Roman" w:eastAsia="Times New Roman" w:hAnsi="Times New Roman"/>
          <w:lang w:eastAsia="en-AU"/>
        </w:rPr>
        <w:t xml:space="preserve">The travelling expenses are currently prescribed in the </w:t>
      </w:r>
      <w:r>
        <w:rPr>
          <w:rFonts w:ascii="Times New Roman" w:eastAsia="Times New Roman" w:hAnsi="Times New Roman"/>
          <w:i/>
          <w:iCs/>
          <w:lang w:eastAsia="en-AU"/>
        </w:rPr>
        <w:t xml:space="preserve">Veterans’ Entitlements Regulations 1986 </w:t>
      </w:r>
      <w:r>
        <w:rPr>
          <w:rFonts w:ascii="Times New Roman" w:eastAsia="Times New Roman" w:hAnsi="Times New Roman"/>
          <w:lang w:eastAsia="en-AU"/>
        </w:rPr>
        <w:t xml:space="preserve">under </w:t>
      </w:r>
      <w:r w:rsidR="004A5225">
        <w:rPr>
          <w:rFonts w:ascii="Times New Roman" w:eastAsia="Times New Roman" w:hAnsi="Times New Roman"/>
          <w:lang w:eastAsia="en-AU"/>
        </w:rPr>
        <w:t>subsection</w:t>
      </w:r>
      <w:r w:rsidR="00EF5B55">
        <w:rPr>
          <w:rFonts w:ascii="Times New Roman" w:eastAsia="Times New Roman" w:hAnsi="Times New Roman"/>
          <w:lang w:eastAsia="en-AU"/>
        </w:rPr>
        <w:t xml:space="preserve"> 170(B)(1) of</w:t>
      </w:r>
      <w:r w:rsidR="00D7787C">
        <w:rPr>
          <w:rFonts w:ascii="Times New Roman" w:eastAsia="Times New Roman" w:hAnsi="Times New Roman"/>
          <w:lang w:eastAsia="en-AU"/>
        </w:rPr>
        <w:t xml:space="preserve"> </w:t>
      </w:r>
      <w:r w:rsidR="00D7787C" w:rsidRPr="00D70281">
        <w:rPr>
          <w:rFonts w:ascii="Times New Roman" w:eastAsia="Times New Roman" w:hAnsi="Times New Roman"/>
          <w:lang w:eastAsia="en-AU"/>
        </w:rPr>
        <w:t>the</w:t>
      </w:r>
      <w:r w:rsidR="00EF5B55">
        <w:rPr>
          <w:rFonts w:ascii="Times New Roman" w:eastAsia="Times New Roman" w:hAnsi="Times New Roman"/>
          <w:lang w:eastAsia="en-AU"/>
        </w:rPr>
        <w:t xml:space="preserve"> </w:t>
      </w:r>
      <w:r w:rsidR="00EF5B55" w:rsidRPr="000829E6">
        <w:rPr>
          <w:rFonts w:ascii="Times New Roman" w:eastAsia="Times New Roman" w:hAnsi="Times New Roman"/>
          <w:i/>
          <w:iCs/>
          <w:lang w:eastAsia="en-AU"/>
        </w:rPr>
        <w:t>Veterans’ Entitlement</w:t>
      </w:r>
      <w:r w:rsidR="0074234B" w:rsidRPr="000829E6">
        <w:rPr>
          <w:rFonts w:ascii="Times New Roman" w:eastAsia="Times New Roman" w:hAnsi="Times New Roman"/>
          <w:i/>
          <w:iCs/>
          <w:lang w:eastAsia="en-AU"/>
        </w:rPr>
        <w:t>s</w:t>
      </w:r>
      <w:r w:rsidR="00EF5B55" w:rsidRPr="000829E6">
        <w:rPr>
          <w:rFonts w:ascii="Times New Roman" w:eastAsia="Times New Roman" w:hAnsi="Times New Roman"/>
          <w:i/>
          <w:iCs/>
          <w:lang w:eastAsia="en-AU"/>
        </w:rPr>
        <w:t xml:space="preserve"> Act 1986</w:t>
      </w:r>
      <w:r w:rsidR="00EF5B55" w:rsidRPr="00EF5B55">
        <w:rPr>
          <w:rFonts w:ascii="Times New Roman" w:eastAsia="Times New Roman" w:hAnsi="Times New Roman"/>
          <w:lang w:eastAsia="en-AU"/>
        </w:rPr>
        <w:t xml:space="preserve"> (VEA)</w:t>
      </w:r>
      <w:r>
        <w:rPr>
          <w:rFonts w:ascii="Times New Roman" w:eastAsia="Times New Roman" w:hAnsi="Times New Roman"/>
          <w:lang w:eastAsia="en-AU"/>
        </w:rPr>
        <w:t>, which says</w:t>
      </w:r>
      <w:r w:rsidR="00CB32F5">
        <w:rPr>
          <w:rFonts w:ascii="Times New Roman" w:eastAsia="Times New Roman" w:hAnsi="Times New Roman"/>
          <w:lang w:eastAsia="en-AU"/>
        </w:rPr>
        <w:t>—</w:t>
      </w:r>
      <w:r w:rsidR="00EF5B55">
        <w:rPr>
          <w:rFonts w:ascii="Times New Roman" w:eastAsia="Times New Roman" w:hAnsi="Times New Roman"/>
          <w:lang w:eastAsia="en-AU"/>
        </w:rPr>
        <w:t xml:space="preserve"> </w:t>
      </w:r>
    </w:p>
    <w:p w14:paraId="2B9714AB" w14:textId="05CB8C7B" w:rsidR="00EF5B55" w:rsidRPr="00AC72B0" w:rsidRDefault="00EF5B55" w:rsidP="00FF582B">
      <w:pPr>
        <w:spacing w:before="120" w:after="120" w:line="240" w:lineRule="auto"/>
        <w:ind w:left="284"/>
        <w:rPr>
          <w:rFonts w:ascii="Times New Roman" w:eastAsia="Times New Roman" w:hAnsi="Times New Roman"/>
          <w:i/>
          <w:iCs/>
          <w:lang w:eastAsia="en-AU"/>
        </w:rPr>
      </w:pPr>
      <w:r w:rsidRPr="00AC72B0">
        <w:rPr>
          <w:rFonts w:ascii="Times New Roman" w:eastAsia="Times New Roman" w:hAnsi="Times New Roman"/>
          <w:i/>
          <w:iCs/>
          <w:lang w:eastAsia="en-AU"/>
        </w:rPr>
        <w:t>If an applicant has had to travel to obtain any relevant documentary medical evidence submitted to the Board, the applicant is, subject to this section, entitled to be paid in relation to that travel the travelling expenses that are prescribed.</w:t>
      </w:r>
    </w:p>
    <w:p w14:paraId="48896073" w14:textId="28D8844D" w:rsidR="004A5225" w:rsidRDefault="00A97F40" w:rsidP="000E60B1">
      <w:pPr>
        <w:spacing w:before="120" w:after="120" w:line="240" w:lineRule="auto"/>
        <w:rPr>
          <w:rFonts w:ascii="Times New Roman" w:eastAsia="Times New Roman" w:hAnsi="Times New Roman"/>
          <w:lang w:eastAsia="en-AU"/>
        </w:rPr>
      </w:pPr>
      <w:r>
        <w:rPr>
          <w:rFonts w:ascii="Times New Roman" w:eastAsia="Times New Roman" w:hAnsi="Times New Roman"/>
          <w:lang w:eastAsia="en-AU"/>
        </w:rPr>
        <w:t>S</w:t>
      </w:r>
      <w:r w:rsidR="004A5225">
        <w:rPr>
          <w:rFonts w:ascii="Times New Roman" w:eastAsia="Times New Roman" w:hAnsi="Times New Roman"/>
          <w:lang w:eastAsia="en-AU"/>
        </w:rPr>
        <w:t>ubs</w:t>
      </w:r>
      <w:r>
        <w:rPr>
          <w:rFonts w:ascii="Times New Roman" w:eastAsia="Times New Roman" w:hAnsi="Times New Roman"/>
          <w:lang w:eastAsia="en-AU"/>
        </w:rPr>
        <w:t>ection 170B</w:t>
      </w:r>
      <w:r w:rsidR="004A5225">
        <w:rPr>
          <w:rFonts w:ascii="Times New Roman" w:eastAsia="Times New Roman" w:hAnsi="Times New Roman"/>
          <w:lang w:eastAsia="en-AU"/>
        </w:rPr>
        <w:t>(1)</w:t>
      </w:r>
      <w:r>
        <w:rPr>
          <w:rFonts w:ascii="Times New Roman" w:eastAsia="Times New Roman" w:hAnsi="Times New Roman"/>
          <w:lang w:eastAsia="en-AU"/>
        </w:rPr>
        <w:t xml:space="preserve"> will be repealed by the </w:t>
      </w:r>
      <w:r w:rsidRPr="00FF582B">
        <w:rPr>
          <w:rFonts w:ascii="Times New Roman" w:eastAsia="Times New Roman" w:hAnsi="Times New Roman"/>
          <w:i/>
          <w:iCs/>
          <w:lang w:eastAsia="en-AU"/>
        </w:rPr>
        <w:t xml:space="preserve">Veterans' Entitlements, Treatment and Support (Simplification and Harmonisation) </w:t>
      </w:r>
      <w:r w:rsidR="00EB474D" w:rsidRPr="00FF582B">
        <w:rPr>
          <w:rFonts w:ascii="Times New Roman" w:eastAsia="Times New Roman" w:hAnsi="Times New Roman"/>
          <w:i/>
          <w:iCs/>
          <w:lang w:eastAsia="en-AU"/>
        </w:rPr>
        <w:t>Act 2025</w:t>
      </w:r>
      <w:r w:rsidRPr="009D0DF2">
        <w:rPr>
          <w:rFonts w:ascii="Times New Roman" w:eastAsia="Times New Roman" w:hAnsi="Times New Roman"/>
          <w:lang w:eastAsia="en-AU"/>
        </w:rPr>
        <w:t xml:space="preserve"> (the </w:t>
      </w:r>
      <w:r w:rsidR="00EB474D">
        <w:rPr>
          <w:rFonts w:ascii="Times New Roman" w:eastAsia="Times New Roman" w:hAnsi="Times New Roman"/>
          <w:lang w:eastAsia="en-AU"/>
        </w:rPr>
        <w:t>Simplification Act</w:t>
      </w:r>
      <w:r w:rsidRPr="009D0DF2">
        <w:rPr>
          <w:rFonts w:ascii="Times New Roman" w:eastAsia="Times New Roman" w:hAnsi="Times New Roman"/>
          <w:lang w:eastAsia="en-AU"/>
        </w:rPr>
        <w:t>)</w:t>
      </w:r>
      <w:r>
        <w:rPr>
          <w:rFonts w:ascii="Times New Roman" w:eastAsia="Times New Roman" w:hAnsi="Times New Roman"/>
          <w:lang w:eastAsia="en-AU"/>
        </w:rPr>
        <w:t xml:space="preserve"> 60 days after the </w:t>
      </w:r>
      <w:r w:rsidR="00EB474D">
        <w:rPr>
          <w:rFonts w:ascii="Times New Roman" w:eastAsia="Times New Roman" w:hAnsi="Times New Roman"/>
          <w:lang w:eastAsia="en-AU"/>
        </w:rPr>
        <w:t>Act</w:t>
      </w:r>
      <w:r>
        <w:rPr>
          <w:rFonts w:ascii="Times New Roman" w:eastAsia="Times New Roman" w:hAnsi="Times New Roman"/>
          <w:lang w:eastAsia="en-AU"/>
        </w:rPr>
        <w:t xml:space="preserve"> receives Royal Assent. </w:t>
      </w:r>
      <w:r w:rsidR="004A5225">
        <w:rPr>
          <w:rFonts w:ascii="Times New Roman" w:eastAsia="Times New Roman" w:hAnsi="Times New Roman"/>
          <w:lang w:eastAsia="en-AU"/>
        </w:rPr>
        <w:t xml:space="preserve">The </w:t>
      </w:r>
      <w:r w:rsidR="00EB474D">
        <w:rPr>
          <w:rFonts w:ascii="Times New Roman" w:eastAsia="Times New Roman" w:hAnsi="Times New Roman"/>
          <w:lang w:eastAsia="en-AU"/>
        </w:rPr>
        <w:t>Simplification Act</w:t>
      </w:r>
      <w:r w:rsidR="004A5225">
        <w:rPr>
          <w:rFonts w:ascii="Times New Roman" w:eastAsia="Times New Roman" w:hAnsi="Times New Roman"/>
          <w:lang w:eastAsia="en-AU"/>
        </w:rPr>
        <w:t xml:space="preserve"> will also insert a new subsection 353P(1) into the MRCA, which is substantially similar to subsection 170B(1) of the VEA. </w:t>
      </w:r>
      <w:r>
        <w:rPr>
          <w:rFonts w:ascii="Times New Roman" w:eastAsia="Times New Roman" w:hAnsi="Times New Roman"/>
          <w:lang w:eastAsia="en-AU"/>
        </w:rPr>
        <w:t xml:space="preserve">At the same time, the </w:t>
      </w:r>
      <w:r w:rsidR="00EB474D">
        <w:rPr>
          <w:rFonts w:ascii="Times New Roman" w:eastAsia="Times New Roman" w:hAnsi="Times New Roman"/>
          <w:lang w:eastAsia="en-AU"/>
        </w:rPr>
        <w:t>Act</w:t>
      </w:r>
      <w:r>
        <w:rPr>
          <w:rFonts w:ascii="Times New Roman" w:eastAsia="Times New Roman" w:hAnsi="Times New Roman"/>
          <w:lang w:eastAsia="en-AU"/>
        </w:rPr>
        <w:t xml:space="preserve"> will insert </w:t>
      </w:r>
      <w:r w:rsidR="004A5225">
        <w:rPr>
          <w:rFonts w:ascii="Times New Roman" w:eastAsia="Times New Roman" w:hAnsi="Times New Roman"/>
          <w:lang w:eastAsia="en-AU"/>
        </w:rPr>
        <w:t>a</w:t>
      </w:r>
      <w:r>
        <w:rPr>
          <w:rFonts w:ascii="Times New Roman" w:eastAsia="Times New Roman" w:hAnsi="Times New Roman"/>
          <w:lang w:eastAsia="en-AU"/>
        </w:rPr>
        <w:t xml:space="preserve"> new section 38</w:t>
      </w:r>
      <w:r w:rsidR="009D0DF2" w:rsidRPr="009D0DF2">
        <w:rPr>
          <w:rFonts w:ascii="Times New Roman" w:eastAsia="Times New Roman" w:hAnsi="Times New Roman"/>
          <w:lang w:eastAsia="en-AU"/>
        </w:rPr>
        <w:t xml:space="preserve"> </w:t>
      </w:r>
      <w:r>
        <w:rPr>
          <w:rFonts w:ascii="Times New Roman" w:eastAsia="Times New Roman" w:hAnsi="Times New Roman"/>
          <w:lang w:eastAsia="en-AU"/>
        </w:rPr>
        <w:t>in</w:t>
      </w:r>
      <w:r w:rsidR="009D0DF2" w:rsidRPr="009D0DF2">
        <w:rPr>
          <w:rFonts w:ascii="Times New Roman" w:eastAsia="Times New Roman" w:hAnsi="Times New Roman"/>
          <w:lang w:eastAsia="en-AU"/>
        </w:rPr>
        <w:t>to the MRCA-CTPA</w:t>
      </w:r>
      <w:r>
        <w:rPr>
          <w:rFonts w:ascii="Times New Roman" w:eastAsia="Times New Roman" w:hAnsi="Times New Roman"/>
          <w:lang w:eastAsia="en-AU"/>
        </w:rPr>
        <w:t xml:space="preserve">. </w:t>
      </w:r>
      <w:r w:rsidR="004A5225">
        <w:rPr>
          <w:rFonts w:ascii="Times New Roman" w:eastAsia="Times New Roman" w:hAnsi="Times New Roman"/>
          <w:lang w:eastAsia="en-AU"/>
        </w:rPr>
        <w:t>The n</w:t>
      </w:r>
      <w:r>
        <w:rPr>
          <w:rFonts w:ascii="Times New Roman" w:eastAsia="Times New Roman" w:hAnsi="Times New Roman"/>
          <w:lang w:eastAsia="en-AU"/>
        </w:rPr>
        <w:t>ew section 38</w:t>
      </w:r>
      <w:r w:rsidR="009D0DF2">
        <w:rPr>
          <w:rFonts w:ascii="Times New Roman" w:eastAsia="Times New Roman" w:hAnsi="Times New Roman"/>
          <w:lang w:eastAsia="en-AU"/>
        </w:rPr>
        <w:t xml:space="preserve"> </w:t>
      </w:r>
      <w:r w:rsidR="004A5225">
        <w:rPr>
          <w:rFonts w:ascii="Times New Roman" w:eastAsia="Times New Roman" w:hAnsi="Times New Roman"/>
          <w:lang w:eastAsia="en-AU"/>
        </w:rPr>
        <w:t>will preserve the effect of various</w:t>
      </w:r>
      <w:r w:rsidR="00AC72B0" w:rsidRPr="00AC72B0">
        <w:rPr>
          <w:rFonts w:ascii="Times New Roman" w:eastAsia="Times New Roman" w:hAnsi="Times New Roman"/>
          <w:lang w:eastAsia="en-AU"/>
        </w:rPr>
        <w:t xml:space="preserve"> instruments relating to VRB matters </w:t>
      </w:r>
      <w:r w:rsidR="004A5225">
        <w:rPr>
          <w:rFonts w:ascii="Times New Roman" w:eastAsia="Times New Roman" w:hAnsi="Times New Roman"/>
          <w:lang w:eastAsia="en-AU"/>
        </w:rPr>
        <w:t xml:space="preserve">made under the VEA and continue them </w:t>
      </w:r>
      <w:r w:rsidR="00AC72B0" w:rsidRPr="00AC72B0">
        <w:rPr>
          <w:rFonts w:ascii="Times New Roman" w:eastAsia="Times New Roman" w:hAnsi="Times New Roman"/>
          <w:lang w:eastAsia="en-AU"/>
        </w:rPr>
        <w:t>under the new framework</w:t>
      </w:r>
      <w:r w:rsidR="004A5225">
        <w:rPr>
          <w:rFonts w:ascii="Times New Roman" w:eastAsia="Times New Roman" w:hAnsi="Times New Roman"/>
          <w:lang w:eastAsia="en-AU"/>
        </w:rPr>
        <w:t xml:space="preserve"> established by the </w:t>
      </w:r>
      <w:r w:rsidR="00EB474D">
        <w:rPr>
          <w:rFonts w:ascii="Times New Roman" w:eastAsia="Times New Roman" w:hAnsi="Times New Roman"/>
          <w:lang w:eastAsia="en-AU"/>
        </w:rPr>
        <w:t>Simplification Act</w:t>
      </w:r>
      <w:r w:rsidR="00AC72B0" w:rsidRPr="00AC72B0">
        <w:rPr>
          <w:rFonts w:ascii="Times New Roman" w:eastAsia="Times New Roman" w:hAnsi="Times New Roman"/>
          <w:lang w:eastAsia="en-AU"/>
        </w:rPr>
        <w:t>.</w:t>
      </w:r>
    </w:p>
    <w:p w14:paraId="380710AC" w14:textId="7073ACC3" w:rsidR="00AC72B0" w:rsidRPr="004A5225" w:rsidRDefault="009D0DF2" w:rsidP="000E60B1">
      <w:pPr>
        <w:spacing w:before="120" w:after="120" w:line="240" w:lineRule="auto"/>
        <w:rPr>
          <w:rFonts w:ascii="Times New Roman" w:eastAsia="Times New Roman" w:hAnsi="Times New Roman"/>
          <w:lang w:eastAsia="en-AU"/>
        </w:rPr>
      </w:pPr>
      <w:r w:rsidRPr="009D0DF2">
        <w:rPr>
          <w:rFonts w:ascii="Times New Roman" w:eastAsia="Times New Roman" w:hAnsi="Times New Roman"/>
          <w:lang w:eastAsia="en-AU"/>
        </w:rPr>
        <w:t>However,</w:t>
      </w:r>
      <w:r w:rsidR="004A5225">
        <w:rPr>
          <w:rFonts w:ascii="Times New Roman" w:eastAsia="Times New Roman" w:hAnsi="Times New Roman"/>
          <w:lang w:eastAsia="en-AU"/>
        </w:rPr>
        <w:t xml:space="preserve"> due to an inadvertent drafting omission,</w:t>
      </w:r>
      <w:r w:rsidRPr="009D0DF2">
        <w:rPr>
          <w:rFonts w:ascii="Times New Roman" w:eastAsia="Times New Roman" w:hAnsi="Times New Roman"/>
          <w:lang w:eastAsia="en-AU"/>
        </w:rPr>
        <w:t xml:space="preserve"> </w:t>
      </w:r>
      <w:r w:rsidR="004A5225">
        <w:rPr>
          <w:rFonts w:ascii="Times New Roman" w:eastAsia="Times New Roman" w:hAnsi="Times New Roman"/>
          <w:lang w:eastAsia="en-AU"/>
        </w:rPr>
        <w:t>section 38 will not deal with paragraph 170B(1)</w:t>
      </w:r>
      <w:r w:rsidR="00D7787C">
        <w:rPr>
          <w:rFonts w:ascii="Times New Roman" w:eastAsia="Times New Roman" w:hAnsi="Times New Roman"/>
          <w:lang w:eastAsia="en-AU"/>
        </w:rPr>
        <w:t>.</w:t>
      </w:r>
      <w:r w:rsidR="00AC72B0" w:rsidRPr="00AC72B0">
        <w:rPr>
          <w:rFonts w:ascii="Times New Roman" w:eastAsia="Times New Roman" w:hAnsi="Times New Roman"/>
          <w:lang w:eastAsia="en-AU"/>
        </w:rPr>
        <w:t xml:space="preserve"> </w:t>
      </w:r>
      <w:r w:rsidR="003272EA" w:rsidRPr="003272EA">
        <w:t xml:space="preserve"> </w:t>
      </w:r>
      <w:r w:rsidR="003272EA" w:rsidRPr="003272EA">
        <w:rPr>
          <w:rFonts w:ascii="Times New Roman" w:eastAsia="Times New Roman" w:hAnsi="Times New Roman"/>
          <w:lang w:eastAsia="en-AU"/>
        </w:rPr>
        <w:t>The</w:t>
      </w:r>
      <w:r w:rsidR="004A5225">
        <w:rPr>
          <w:rFonts w:ascii="Times New Roman" w:eastAsia="Times New Roman" w:hAnsi="Times New Roman"/>
          <w:lang w:eastAsia="en-AU"/>
        </w:rPr>
        <w:t>se New Regulations</w:t>
      </w:r>
      <w:r w:rsidR="003272EA" w:rsidRPr="003272EA">
        <w:rPr>
          <w:rFonts w:ascii="Times New Roman" w:eastAsia="Times New Roman" w:hAnsi="Times New Roman"/>
          <w:lang w:eastAsia="en-AU"/>
        </w:rPr>
        <w:t xml:space="preserve"> </w:t>
      </w:r>
      <w:r w:rsidR="004A5225">
        <w:rPr>
          <w:rFonts w:ascii="Times New Roman" w:eastAsia="Times New Roman" w:hAnsi="Times New Roman"/>
          <w:lang w:eastAsia="en-AU"/>
        </w:rPr>
        <w:t>address the inadvertent omission by</w:t>
      </w:r>
      <w:r w:rsidR="003272EA" w:rsidRPr="003272EA">
        <w:rPr>
          <w:rFonts w:ascii="Times New Roman" w:eastAsia="Times New Roman" w:hAnsi="Times New Roman"/>
          <w:lang w:eastAsia="en-AU"/>
        </w:rPr>
        <w:t xml:space="preserve"> </w:t>
      </w:r>
      <w:r w:rsidR="004A5225">
        <w:rPr>
          <w:rFonts w:ascii="Times New Roman" w:eastAsia="Times New Roman" w:hAnsi="Times New Roman"/>
          <w:lang w:eastAsia="en-AU"/>
        </w:rPr>
        <w:t xml:space="preserve">continuing the travelling expenses prescribed </w:t>
      </w:r>
      <w:r w:rsidR="003272EA" w:rsidRPr="003272EA">
        <w:rPr>
          <w:rFonts w:ascii="Times New Roman" w:eastAsia="Times New Roman" w:hAnsi="Times New Roman"/>
          <w:lang w:eastAsia="en-AU"/>
        </w:rPr>
        <w:t xml:space="preserve">under </w:t>
      </w:r>
      <w:r w:rsidR="00D7787C">
        <w:rPr>
          <w:rFonts w:ascii="Times New Roman" w:eastAsia="Times New Roman" w:hAnsi="Times New Roman"/>
          <w:lang w:eastAsia="en-AU"/>
        </w:rPr>
        <w:t xml:space="preserve">subsection </w:t>
      </w:r>
      <w:r w:rsidR="003272EA" w:rsidRPr="003272EA">
        <w:rPr>
          <w:rFonts w:ascii="Times New Roman" w:eastAsia="Times New Roman" w:hAnsi="Times New Roman"/>
          <w:lang w:eastAsia="en-AU"/>
        </w:rPr>
        <w:t>170B(1) of the VEA</w:t>
      </w:r>
      <w:r w:rsidR="004A5225">
        <w:rPr>
          <w:rFonts w:ascii="Times New Roman" w:eastAsia="Times New Roman" w:hAnsi="Times New Roman"/>
          <w:lang w:eastAsia="en-AU"/>
        </w:rPr>
        <w:t xml:space="preserve"> as if they were</w:t>
      </w:r>
      <w:r w:rsidR="003272EA" w:rsidRPr="003272EA">
        <w:rPr>
          <w:rFonts w:ascii="Times New Roman" w:eastAsia="Times New Roman" w:hAnsi="Times New Roman"/>
          <w:lang w:eastAsia="en-AU"/>
        </w:rPr>
        <w:t xml:space="preserve"> </w:t>
      </w:r>
      <w:r w:rsidR="003272EA" w:rsidRPr="004A5225">
        <w:rPr>
          <w:rFonts w:ascii="Times New Roman" w:eastAsia="Times New Roman" w:hAnsi="Times New Roman"/>
          <w:lang w:eastAsia="en-AU"/>
        </w:rPr>
        <w:t xml:space="preserve">made under the </w:t>
      </w:r>
      <w:r w:rsidR="004A5225" w:rsidRPr="004A5225">
        <w:rPr>
          <w:rFonts w:ascii="Times New Roman" w:eastAsia="Times New Roman" w:hAnsi="Times New Roman"/>
          <w:lang w:eastAsia="en-AU"/>
        </w:rPr>
        <w:t xml:space="preserve">new subsection 353P(1) of the </w:t>
      </w:r>
      <w:r w:rsidR="003272EA" w:rsidRPr="004A5225">
        <w:rPr>
          <w:rFonts w:ascii="Times New Roman" w:eastAsia="Times New Roman" w:hAnsi="Times New Roman"/>
          <w:lang w:eastAsia="en-AU"/>
        </w:rPr>
        <w:t>MRCA</w:t>
      </w:r>
      <w:r w:rsidR="004A5225" w:rsidRPr="004A5225">
        <w:rPr>
          <w:rFonts w:ascii="Times New Roman" w:eastAsia="Times New Roman" w:hAnsi="Times New Roman"/>
          <w:lang w:eastAsia="en-AU"/>
        </w:rPr>
        <w:t>.</w:t>
      </w:r>
    </w:p>
    <w:p w14:paraId="6F6AD153" w14:textId="20B7AFE0" w:rsidR="004A5225" w:rsidRPr="00FF582B" w:rsidRDefault="004A5225" w:rsidP="003420C9">
      <w:pPr>
        <w:spacing w:before="120" w:after="120" w:line="240" w:lineRule="auto"/>
        <w:rPr>
          <w:rFonts w:ascii="Times New Roman" w:eastAsia="Times New Roman" w:hAnsi="Times New Roman"/>
          <w:lang w:eastAsia="en-AU"/>
        </w:rPr>
      </w:pPr>
      <w:bookmarkStart w:id="0" w:name="subsection2"/>
      <w:bookmarkEnd w:id="0"/>
      <w:r w:rsidRPr="004A5225">
        <w:rPr>
          <w:rFonts w:ascii="Times New Roman" w:eastAsia="Times New Roman" w:hAnsi="Times New Roman"/>
          <w:lang w:eastAsia="en-AU"/>
        </w:rPr>
        <w:t>These New Regulations</w:t>
      </w:r>
      <w:r w:rsidR="003420C9" w:rsidRPr="004A5225">
        <w:rPr>
          <w:rFonts w:ascii="Times New Roman" w:eastAsia="Times New Roman" w:hAnsi="Times New Roman"/>
          <w:lang w:eastAsia="en-AU"/>
        </w:rPr>
        <w:t xml:space="preserve"> </w:t>
      </w:r>
      <w:r w:rsidRPr="00FF582B">
        <w:rPr>
          <w:rFonts w:ascii="Times New Roman" w:eastAsia="Times New Roman" w:hAnsi="Times New Roman"/>
          <w:lang w:eastAsia="en-AU"/>
        </w:rPr>
        <w:t>commence on the later of the following days:</w:t>
      </w:r>
    </w:p>
    <w:p w14:paraId="20C49F17" w14:textId="57C86179" w:rsidR="003420C9" w:rsidRPr="004A5225" w:rsidRDefault="004A5225" w:rsidP="003420C9">
      <w:pPr>
        <w:spacing w:before="120" w:after="120" w:line="240" w:lineRule="auto"/>
        <w:rPr>
          <w:rFonts w:ascii="Times New Roman" w:eastAsia="Times New Roman" w:hAnsi="Times New Roman"/>
          <w:lang w:eastAsia="en-AU"/>
        </w:rPr>
      </w:pPr>
      <w:r w:rsidRPr="00FF582B">
        <w:rPr>
          <w:rFonts w:ascii="Times New Roman" w:eastAsia="Times New Roman" w:hAnsi="Times New Roman"/>
          <w:lang w:eastAsia="en-AU"/>
        </w:rPr>
        <w:t>(a)</w:t>
      </w:r>
      <w:r w:rsidRPr="00FF582B">
        <w:rPr>
          <w:rFonts w:ascii="Times New Roman" w:eastAsia="Times New Roman" w:hAnsi="Times New Roman"/>
          <w:lang w:eastAsia="en-AU"/>
        </w:rPr>
        <w:tab/>
      </w:r>
      <w:r w:rsidR="003420C9" w:rsidRPr="004A5225">
        <w:rPr>
          <w:rFonts w:ascii="Times New Roman" w:eastAsia="Times New Roman" w:hAnsi="Times New Roman"/>
          <w:lang w:eastAsia="en-AU"/>
        </w:rPr>
        <w:t>the day after the</w:t>
      </w:r>
      <w:r w:rsidR="001B2294">
        <w:rPr>
          <w:rFonts w:ascii="Times New Roman" w:eastAsia="Times New Roman" w:hAnsi="Times New Roman"/>
          <w:lang w:eastAsia="en-AU"/>
        </w:rPr>
        <w:t xml:space="preserve"> Regulations</w:t>
      </w:r>
      <w:r w:rsidR="003420C9" w:rsidRPr="004A5225">
        <w:rPr>
          <w:rFonts w:ascii="Times New Roman" w:eastAsia="Times New Roman" w:hAnsi="Times New Roman"/>
          <w:lang w:eastAsia="en-AU"/>
        </w:rPr>
        <w:t xml:space="preserve"> </w:t>
      </w:r>
      <w:r w:rsidRPr="004A5225">
        <w:rPr>
          <w:rFonts w:ascii="Times New Roman" w:eastAsia="Times New Roman" w:hAnsi="Times New Roman"/>
          <w:lang w:eastAsia="en-AU"/>
        </w:rPr>
        <w:t>are</w:t>
      </w:r>
      <w:r w:rsidR="003420C9" w:rsidRPr="004A5225">
        <w:rPr>
          <w:rFonts w:ascii="Times New Roman" w:eastAsia="Times New Roman" w:hAnsi="Times New Roman"/>
          <w:lang w:eastAsia="en-AU"/>
        </w:rPr>
        <w:t xml:space="preserve"> registered on the Federal Register</w:t>
      </w:r>
      <w:r w:rsidRPr="004A5225">
        <w:rPr>
          <w:rFonts w:ascii="Times New Roman" w:eastAsia="Times New Roman" w:hAnsi="Times New Roman"/>
          <w:lang w:eastAsia="en-AU"/>
        </w:rPr>
        <w:t xml:space="preserve"> of Legislation;</w:t>
      </w:r>
    </w:p>
    <w:p w14:paraId="4DA17581" w14:textId="6AA9B5FF" w:rsidR="004A5225" w:rsidRDefault="004A5225" w:rsidP="003420C9">
      <w:pPr>
        <w:spacing w:before="120" w:after="120" w:line="240" w:lineRule="auto"/>
        <w:rPr>
          <w:rFonts w:ascii="Times New Roman" w:eastAsia="Times New Roman" w:hAnsi="Times New Roman"/>
          <w:lang w:eastAsia="en-AU"/>
        </w:rPr>
      </w:pPr>
      <w:r w:rsidRPr="004A5225">
        <w:rPr>
          <w:rFonts w:ascii="Times New Roman" w:eastAsia="Times New Roman" w:hAnsi="Times New Roman"/>
          <w:lang w:eastAsia="en-AU"/>
        </w:rPr>
        <w:t>(b)</w:t>
      </w:r>
      <w:r w:rsidRPr="004A5225">
        <w:rPr>
          <w:rFonts w:ascii="Times New Roman" w:eastAsia="Times New Roman" w:hAnsi="Times New Roman"/>
          <w:lang w:eastAsia="en-AU"/>
        </w:rPr>
        <w:tab/>
        <w:t>the day subsection 170B(1) of the VEA is repealed.</w:t>
      </w:r>
    </w:p>
    <w:p w14:paraId="20000756" w14:textId="77777777" w:rsidR="00FC77CA" w:rsidRPr="005562D1" w:rsidRDefault="00FC77CA" w:rsidP="000A11EE">
      <w:pPr>
        <w:spacing w:before="120" w:after="120" w:line="240" w:lineRule="auto"/>
        <w:rPr>
          <w:rFonts w:ascii="Times New Roman" w:eastAsia="Times New Roman" w:hAnsi="Times New Roman"/>
          <w:lang w:eastAsia="en-AU"/>
        </w:rPr>
      </w:pPr>
    </w:p>
    <w:p w14:paraId="1622759D" w14:textId="698017E8" w:rsidR="00444718" w:rsidRDefault="00444718" w:rsidP="000A11EE">
      <w:pPr>
        <w:spacing w:before="120" w:after="120" w:line="240" w:lineRule="auto"/>
        <w:rPr>
          <w:rFonts w:ascii="Times New Roman" w:eastAsia="Times New Roman" w:hAnsi="Times New Roman"/>
          <w:b/>
          <w:caps/>
          <w:sz w:val="24"/>
          <w:szCs w:val="24"/>
        </w:rPr>
      </w:pPr>
      <w:r>
        <w:rPr>
          <w:rFonts w:ascii="Times New Roman" w:eastAsia="Times New Roman" w:hAnsi="Times New Roman"/>
          <w:b/>
          <w:caps/>
          <w:sz w:val="24"/>
          <w:szCs w:val="24"/>
        </w:rPr>
        <w:t xml:space="preserve">CONSULTATION </w:t>
      </w:r>
    </w:p>
    <w:p w14:paraId="08D2A6C4" w14:textId="30310C44" w:rsidR="00C22529" w:rsidRPr="00016993" w:rsidRDefault="009A6C94" w:rsidP="009A6C94">
      <w:pPr>
        <w:spacing w:before="120" w:after="120" w:line="240" w:lineRule="auto"/>
        <w:rPr>
          <w:rFonts w:ascii="Times New Roman" w:eastAsia="Times New Roman" w:hAnsi="Times New Roman"/>
          <w:lang w:eastAsia="en-AU"/>
        </w:rPr>
      </w:pPr>
      <w:r w:rsidRPr="009A6C94">
        <w:rPr>
          <w:rFonts w:ascii="Times New Roman" w:eastAsia="Times New Roman" w:hAnsi="Times New Roman"/>
          <w:lang w:eastAsia="en-AU"/>
        </w:rPr>
        <w:t>No external consultation was considered necessary</w:t>
      </w:r>
      <w:r w:rsidR="00AC72B0" w:rsidRPr="00AC72B0">
        <w:rPr>
          <w:rFonts w:ascii="Times New Roman" w:eastAsia="Times New Roman" w:hAnsi="Times New Roman"/>
          <w:lang w:eastAsia="en-AU"/>
        </w:rPr>
        <w:t xml:space="preserve">, as the </w:t>
      </w:r>
      <w:r w:rsidR="001B2294">
        <w:rPr>
          <w:rFonts w:ascii="Times New Roman" w:eastAsia="Times New Roman" w:hAnsi="Times New Roman"/>
          <w:lang w:eastAsia="en-AU"/>
        </w:rPr>
        <w:t xml:space="preserve">New </w:t>
      </w:r>
      <w:r>
        <w:rPr>
          <w:rFonts w:ascii="Times New Roman" w:eastAsia="Times New Roman" w:hAnsi="Times New Roman"/>
          <w:lang w:eastAsia="en-AU"/>
        </w:rPr>
        <w:t>Regulation</w:t>
      </w:r>
      <w:r w:rsidR="001B2294">
        <w:rPr>
          <w:rFonts w:ascii="Times New Roman" w:eastAsia="Times New Roman" w:hAnsi="Times New Roman"/>
          <w:lang w:eastAsia="en-AU"/>
        </w:rPr>
        <w:t>s</w:t>
      </w:r>
      <w:r>
        <w:rPr>
          <w:rFonts w:ascii="Times New Roman" w:eastAsia="Times New Roman" w:hAnsi="Times New Roman"/>
          <w:lang w:eastAsia="en-AU"/>
        </w:rPr>
        <w:t xml:space="preserve"> </w:t>
      </w:r>
      <w:r w:rsidR="00AC72B0" w:rsidRPr="00AC72B0">
        <w:rPr>
          <w:rFonts w:ascii="Times New Roman" w:eastAsia="Times New Roman" w:hAnsi="Times New Roman"/>
          <w:lang w:eastAsia="en-AU"/>
        </w:rPr>
        <w:t xml:space="preserve">mirror the transitional </w:t>
      </w:r>
      <w:r>
        <w:rPr>
          <w:rFonts w:ascii="Times New Roman" w:eastAsia="Times New Roman" w:hAnsi="Times New Roman"/>
          <w:lang w:eastAsia="en-AU"/>
        </w:rPr>
        <w:t xml:space="preserve">arrangements </w:t>
      </w:r>
      <w:r w:rsidR="001B2294">
        <w:rPr>
          <w:rFonts w:ascii="Times New Roman" w:eastAsia="Times New Roman" w:hAnsi="Times New Roman"/>
          <w:lang w:eastAsia="en-AU"/>
        </w:rPr>
        <w:t xml:space="preserve">that will be </w:t>
      </w:r>
      <w:r>
        <w:rPr>
          <w:rFonts w:ascii="Times New Roman" w:eastAsia="Times New Roman" w:hAnsi="Times New Roman"/>
          <w:lang w:eastAsia="en-AU"/>
        </w:rPr>
        <w:t>set out in</w:t>
      </w:r>
      <w:r w:rsidR="001B2294">
        <w:rPr>
          <w:rFonts w:ascii="Times New Roman" w:eastAsia="Times New Roman" w:hAnsi="Times New Roman"/>
          <w:lang w:eastAsia="en-AU"/>
        </w:rPr>
        <w:t xml:space="preserve"> section 38 of the MRCA-CTPA</w:t>
      </w:r>
      <w:r w:rsidRPr="009A6C94">
        <w:rPr>
          <w:rFonts w:ascii="Times New Roman" w:eastAsia="Times New Roman" w:hAnsi="Times New Roman"/>
          <w:lang w:eastAsia="en-AU"/>
        </w:rPr>
        <w:t xml:space="preserve"> </w:t>
      </w:r>
      <w:r>
        <w:rPr>
          <w:rFonts w:ascii="Times New Roman" w:eastAsia="Times New Roman" w:hAnsi="Times New Roman"/>
          <w:lang w:eastAsia="en-AU"/>
        </w:rPr>
        <w:t>for VRB</w:t>
      </w:r>
      <w:r>
        <w:rPr>
          <w:rFonts w:ascii="Times New Roman" w:eastAsia="Times New Roman" w:hAnsi="Times New Roman"/>
          <w:lang w:eastAsia="en-AU"/>
        </w:rPr>
        <w:noBreakHyphen/>
        <w:t>related legislative instruments</w:t>
      </w:r>
      <w:r w:rsidR="00AC72B0" w:rsidRPr="00AC72B0">
        <w:rPr>
          <w:rFonts w:ascii="Times New Roman" w:eastAsia="Times New Roman" w:hAnsi="Times New Roman"/>
          <w:lang w:eastAsia="en-AU"/>
        </w:rPr>
        <w:t>. Th</w:t>
      </w:r>
      <w:r w:rsidR="001B2294">
        <w:rPr>
          <w:rFonts w:ascii="Times New Roman" w:eastAsia="Times New Roman" w:hAnsi="Times New Roman"/>
          <w:lang w:eastAsia="en-AU"/>
        </w:rPr>
        <w:t>e</w:t>
      </w:r>
      <w:r w:rsidR="00AC72B0" w:rsidRPr="00AC72B0">
        <w:rPr>
          <w:rFonts w:ascii="Times New Roman" w:eastAsia="Times New Roman" w:hAnsi="Times New Roman"/>
          <w:lang w:eastAsia="en-AU"/>
        </w:rPr>
        <w:t xml:space="preserve"> </w:t>
      </w:r>
      <w:r>
        <w:rPr>
          <w:rFonts w:ascii="Times New Roman" w:eastAsia="Times New Roman" w:hAnsi="Times New Roman"/>
          <w:lang w:eastAsia="en-AU"/>
        </w:rPr>
        <w:t>Regulation</w:t>
      </w:r>
      <w:r w:rsidR="001B2294">
        <w:rPr>
          <w:rFonts w:ascii="Times New Roman" w:eastAsia="Times New Roman" w:hAnsi="Times New Roman"/>
          <w:lang w:eastAsia="en-AU"/>
        </w:rPr>
        <w:t>s</w:t>
      </w:r>
      <w:r>
        <w:rPr>
          <w:rFonts w:ascii="Times New Roman" w:eastAsia="Times New Roman" w:hAnsi="Times New Roman"/>
          <w:lang w:eastAsia="en-AU"/>
        </w:rPr>
        <w:t xml:space="preserve"> </w:t>
      </w:r>
      <w:r w:rsidR="00AC72B0" w:rsidRPr="00AC72B0">
        <w:rPr>
          <w:rFonts w:ascii="Times New Roman" w:eastAsia="Times New Roman" w:hAnsi="Times New Roman"/>
          <w:lang w:eastAsia="en-AU"/>
        </w:rPr>
        <w:t xml:space="preserve">ensure a beneficial outcome by including the </w:t>
      </w:r>
      <w:r>
        <w:rPr>
          <w:rFonts w:ascii="Times New Roman" w:eastAsia="Times New Roman" w:hAnsi="Times New Roman"/>
          <w:lang w:eastAsia="en-AU"/>
        </w:rPr>
        <w:t>payment</w:t>
      </w:r>
      <w:r w:rsidRPr="00AC72B0">
        <w:rPr>
          <w:rFonts w:ascii="Times New Roman" w:eastAsia="Times New Roman" w:hAnsi="Times New Roman"/>
          <w:lang w:eastAsia="en-AU"/>
        </w:rPr>
        <w:t xml:space="preserve"> </w:t>
      </w:r>
      <w:r w:rsidR="00AC72B0" w:rsidRPr="00AC72B0">
        <w:rPr>
          <w:rFonts w:ascii="Times New Roman" w:eastAsia="Times New Roman" w:hAnsi="Times New Roman"/>
          <w:lang w:eastAsia="en-AU"/>
        </w:rPr>
        <w:t xml:space="preserve">of travel expenses </w:t>
      </w:r>
      <w:r>
        <w:rPr>
          <w:rFonts w:ascii="Times New Roman" w:eastAsia="Times New Roman" w:hAnsi="Times New Roman"/>
          <w:lang w:eastAsia="en-AU"/>
        </w:rPr>
        <w:t xml:space="preserve">by </w:t>
      </w:r>
      <w:r w:rsidRPr="00AC72B0">
        <w:rPr>
          <w:rFonts w:ascii="Times New Roman" w:eastAsia="Times New Roman" w:hAnsi="Times New Roman"/>
          <w:lang w:eastAsia="en-AU"/>
        </w:rPr>
        <w:t xml:space="preserve">a VRB review </w:t>
      </w:r>
      <w:r>
        <w:rPr>
          <w:rFonts w:ascii="Times New Roman" w:eastAsia="Times New Roman" w:hAnsi="Times New Roman"/>
          <w:lang w:eastAsia="en-AU"/>
        </w:rPr>
        <w:t xml:space="preserve">applicant to </w:t>
      </w:r>
      <w:r w:rsidR="00AC72B0" w:rsidRPr="00AC72B0">
        <w:rPr>
          <w:rFonts w:ascii="Times New Roman" w:eastAsia="Times New Roman" w:hAnsi="Times New Roman"/>
          <w:lang w:eastAsia="en-AU"/>
        </w:rPr>
        <w:t xml:space="preserve">obtain relevant documentary medical evidence, </w:t>
      </w:r>
      <w:r>
        <w:rPr>
          <w:rFonts w:ascii="Times New Roman" w:eastAsia="Times New Roman" w:hAnsi="Times New Roman"/>
          <w:lang w:eastAsia="en-AU"/>
        </w:rPr>
        <w:t xml:space="preserve">thus </w:t>
      </w:r>
      <w:r w:rsidR="00AC72B0" w:rsidRPr="00AC72B0">
        <w:rPr>
          <w:rFonts w:ascii="Times New Roman" w:eastAsia="Times New Roman" w:hAnsi="Times New Roman"/>
          <w:lang w:eastAsia="en-AU"/>
        </w:rPr>
        <w:t>maintaining consistency with the original intent of the provision</w:t>
      </w:r>
      <w:r w:rsidR="00EF5B55">
        <w:rPr>
          <w:rFonts w:ascii="Times New Roman" w:eastAsia="Times New Roman" w:hAnsi="Times New Roman"/>
          <w:lang w:eastAsia="en-AU"/>
        </w:rPr>
        <w:t xml:space="preserve">. </w:t>
      </w:r>
    </w:p>
    <w:p w14:paraId="0681BF78" w14:textId="578FE41D" w:rsidR="009A6C94" w:rsidRPr="009A6C94" w:rsidRDefault="009A6C94" w:rsidP="009A6C94">
      <w:pPr>
        <w:spacing w:before="120" w:after="120" w:line="240" w:lineRule="auto"/>
        <w:rPr>
          <w:rFonts w:ascii="Times New Roman" w:eastAsia="Times New Roman" w:hAnsi="Times New Roman"/>
          <w:lang w:eastAsia="en-AU"/>
        </w:rPr>
      </w:pPr>
      <w:r w:rsidRPr="009A6C94">
        <w:rPr>
          <w:rFonts w:ascii="Times New Roman" w:eastAsia="Times New Roman" w:hAnsi="Times New Roman"/>
          <w:lang w:eastAsia="en-AU"/>
        </w:rPr>
        <w:lastRenderedPageBreak/>
        <w:t>In these circumstances</w:t>
      </w:r>
      <w:r>
        <w:rPr>
          <w:rFonts w:ascii="Times New Roman" w:eastAsia="Times New Roman" w:hAnsi="Times New Roman"/>
          <w:lang w:eastAsia="en-AU"/>
        </w:rPr>
        <w:t>,</w:t>
      </w:r>
      <w:r w:rsidRPr="009A6C94">
        <w:rPr>
          <w:rFonts w:ascii="Times New Roman" w:eastAsia="Times New Roman" w:hAnsi="Times New Roman"/>
          <w:lang w:eastAsia="en-AU"/>
        </w:rPr>
        <w:t xml:space="preserve"> it is considered that the requirements of section 17 of the </w:t>
      </w:r>
      <w:r w:rsidRPr="009A6C94">
        <w:rPr>
          <w:rFonts w:ascii="Times New Roman" w:eastAsia="Times New Roman" w:hAnsi="Times New Roman"/>
          <w:i/>
          <w:iCs/>
          <w:lang w:eastAsia="en-AU"/>
        </w:rPr>
        <w:t>Legislation Act 2003</w:t>
      </w:r>
      <w:r w:rsidRPr="009A6C94">
        <w:rPr>
          <w:rFonts w:ascii="Times New Roman" w:eastAsia="Times New Roman" w:hAnsi="Times New Roman"/>
          <w:lang w:eastAsia="en-AU"/>
        </w:rPr>
        <w:t xml:space="preserve"> </w:t>
      </w:r>
      <w:r w:rsidRPr="000477F2">
        <w:rPr>
          <w:rFonts w:ascii="Times New Roman" w:hAnsi="Times New Roman"/>
        </w:rPr>
        <w:t>have been fulfilled.</w:t>
      </w:r>
    </w:p>
    <w:p w14:paraId="0740ACC5" w14:textId="65501936" w:rsidR="000E60B1" w:rsidRPr="00F5374E" w:rsidRDefault="000E60B1" w:rsidP="000E60B1">
      <w:pPr>
        <w:spacing w:before="120" w:after="120" w:line="240" w:lineRule="auto"/>
        <w:rPr>
          <w:rFonts w:ascii="Times New Roman" w:hAnsi="Times New Roman"/>
          <w:b/>
          <w:sz w:val="24"/>
        </w:rPr>
      </w:pPr>
      <w:r w:rsidRPr="00F5374E">
        <w:rPr>
          <w:rFonts w:ascii="Times New Roman" w:hAnsi="Times New Roman"/>
          <w:b/>
          <w:sz w:val="24"/>
        </w:rPr>
        <w:t>REGULATION IMPACT STATEMENT</w:t>
      </w:r>
    </w:p>
    <w:p w14:paraId="222A5795" w14:textId="0B244A91" w:rsidR="001D4FAC" w:rsidRDefault="0044052B" w:rsidP="00F60E71">
      <w:pPr>
        <w:spacing w:before="120" w:after="120" w:line="240" w:lineRule="auto"/>
        <w:rPr>
          <w:rFonts w:ascii="Times New Roman" w:hAnsi="Times New Roman"/>
        </w:rPr>
      </w:pPr>
      <w:r w:rsidRPr="00111096">
        <w:rPr>
          <w:rFonts w:ascii="Times New Roman" w:hAnsi="Times New Roman"/>
        </w:rPr>
        <w:t xml:space="preserve">The Office of Impact </w:t>
      </w:r>
      <w:r w:rsidR="000D32AD">
        <w:rPr>
          <w:rFonts w:ascii="Times New Roman" w:hAnsi="Times New Roman"/>
        </w:rPr>
        <w:t>A</w:t>
      </w:r>
      <w:r w:rsidRPr="00111096">
        <w:rPr>
          <w:rFonts w:ascii="Times New Roman" w:hAnsi="Times New Roman"/>
        </w:rPr>
        <w:t xml:space="preserve">nalysis </w:t>
      </w:r>
      <w:r w:rsidR="00F17CB6">
        <w:rPr>
          <w:rFonts w:ascii="Times New Roman" w:hAnsi="Times New Roman"/>
        </w:rPr>
        <w:t xml:space="preserve">(OIA) </w:t>
      </w:r>
      <w:r w:rsidRPr="00111096">
        <w:rPr>
          <w:rFonts w:ascii="Times New Roman" w:hAnsi="Times New Roman"/>
        </w:rPr>
        <w:t>was consulted regarding this instrument</w:t>
      </w:r>
      <w:r w:rsidR="00C1233F" w:rsidRPr="00111096">
        <w:rPr>
          <w:rFonts w:ascii="Times New Roman" w:hAnsi="Times New Roman"/>
        </w:rPr>
        <w:t xml:space="preserve">. OIA </w:t>
      </w:r>
      <w:r w:rsidRPr="00111096">
        <w:rPr>
          <w:rFonts w:ascii="Times New Roman" w:hAnsi="Times New Roman"/>
        </w:rPr>
        <w:t xml:space="preserve">indicated </w:t>
      </w:r>
      <w:r w:rsidR="00C1233F" w:rsidRPr="00111096">
        <w:rPr>
          <w:rFonts w:ascii="Times New Roman" w:hAnsi="Times New Roman"/>
        </w:rPr>
        <w:t xml:space="preserve">the </w:t>
      </w:r>
      <w:r w:rsidR="001B2294">
        <w:rPr>
          <w:rFonts w:ascii="Times New Roman" w:hAnsi="Times New Roman"/>
        </w:rPr>
        <w:t>New Regulations</w:t>
      </w:r>
      <w:r w:rsidRPr="00111096">
        <w:rPr>
          <w:rFonts w:ascii="Times New Roman" w:hAnsi="Times New Roman"/>
        </w:rPr>
        <w:t xml:space="preserve"> </w:t>
      </w:r>
      <w:r w:rsidR="001B2294">
        <w:rPr>
          <w:rFonts w:ascii="Times New Roman" w:hAnsi="Times New Roman"/>
        </w:rPr>
        <w:t>are</w:t>
      </w:r>
      <w:r w:rsidRPr="00111096">
        <w:rPr>
          <w:rFonts w:ascii="Times New Roman" w:hAnsi="Times New Roman"/>
        </w:rPr>
        <w:t xml:space="preserve"> </w:t>
      </w:r>
      <w:r w:rsidR="00D31334" w:rsidRPr="00111096">
        <w:rPr>
          <w:rFonts w:ascii="Times New Roman" w:hAnsi="Times New Roman"/>
        </w:rPr>
        <w:t>unlikely to have more than a minor regulatory impact.</w:t>
      </w:r>
    </w:p>
    <w:p w14:paraId="3BA8658B" w14:textId="4A045B3E" w:rsidR="000D32AD" w:rsidRDefault="000D32AD" w:rsidP="00F60E71">
      <w:pPr>
        <w:spacing w:before="120" w:after="120" w:line="240" w:lineRule="auto"/>
        <w:rPr>
          <w:rFonts w:ascii="Times New Roman" w:hAnsi="Times New Roman"/>
        </w:rPr>
      </w:pPr>
      <w:r w:rsidRPr="000D32AD">
        <w:rPr>
          <w:rFonts w:ascii="Times New Roman" w:hAnsi="Times New Roman"/>
        </w:rPr>
        <w:t xml:space="preserve">The </w:t>
      </w:r>
      <w:r w:rsidR="00F17CB6">
        <w:rPr>
          <w:rFonts w:ascii="Times New Roman" w:hAnsi="Times New Roman"/>
        </w:rPr>
        <w:t>OIA</w:t>
      </w:r>
      <w:r w:rsidRPr="000D32AD">
        <w:rPr>
          <w:rFonts w:ascii="Times New Roman" w:hAnsi="Times New Roman"/>
        </w:rPr>
        <w:t xml:space="preserve"> advised that a Regulatory Impact Statement is not required as the</w:t>
      </w:r>
      <w:r w:rsidR="001B2294">
        <w:rPr>
          <w:rFonts w:ascii="Times New Roman" w:hAnsi="Times New Roman"/>
        </w:rPr>
        <w:t xml:space="preserve"> Regulations</w:t>
      </w:r>
      <w:r w:rsidR="00BE332C" w:rsidRPr="00111096">
        <w:rPr>
          <w:rFonts w:ascii="Times New Roman" w:hAnsi="Times New Roman"/>
        </w:rPr>
        <w:t xml:space="preserve"> </w:t>
      </w:r>
      <w:r w:rsidR="00BE332C">
        <w:rPr>
          <w:rFonts w:ascii="Times New Roman" w:hAnsi="Times New Roman"/>
        </w:rPr>
        <w:t xml:space="preserve">provide for </w:t>
      </w:r>
      <w:r w:rsidR="00BE332C" w:rsidRPr="00BE332C">
        <w:rPr>
          <w:rFonts w:ascii="Times New Roman" w:hAnsi="Times New Roman"/>
        </w:rPr>
        <w:t>transitional arrangement</w:t>
      </w:r>
      <w:r w:rsidR="00BE332C">
        <w:rPr>
          <w:rFonts w:ascii="Times New Roman" w:hAnsi="Times New Roman"/>
        </w:rPr>
        <w:t>s that</w:t>
      </w:r>
      <w:r w:rsidR="00BE332C" w:rsidRPr="00BE332C">
        <w:rPr>
          <w:rFonts w:ascii="Times New Roman" w:hAnsi="Times New Roman"/>
        </w:rPr>
        <w:t xml:space="preserve"> </w:t>
      </w:r>
      <w:r w:rsidR="00BE332C">
        <w:rPr>
          <w:rFonts w:ascii="Times New Roman" w:hAnsi="Times New Roman"/>
        </w:rPr>
        <w:t>are</w:t>
      </w:r>
      <w:r w:rsidR="00BE332C" w:rsidRPr="00BE332C">
        <w:rPr>
          <w:rFonts w:ascii="Times New Roman" w:hAnsi="Times New Roman"/>
        </w:rPr>
        <w:t xml:space="preserve"> part of the implementation of Veterans’ Compensation and Rehabilitation Legislation Reform for which </w:t>
      </w:r>
      <w:r w:rsidR="00F17CB6">
        <w:rPr>
          <w:rFonts w:ascii="Times New Roman" w:hAnsi="Times New Roman"/>
        </w:rPr>
        <w:t>an</w:t>
      </w:r>
      <w:r w:rsidR="00BE332C" w:rsidRPr="00BE332C">
        <w:rPr>
          <w:rFonts w:ascii="Times New Roman" w:hAnsi="Times New Roman"/>
        </w:rPr>
        <w:t xml:space="preserve"> Impact Analysis has already been completed</w:t>
      </w:r>
      <w:r w:rsidR="001B2294">
        <w:rPr>
          <w:rFonts w:ascii="Times New Roman" w:hAnsi="Times New Roman"/>
        </w:rPr>
        <w:t xml:space="preserve"> </w:t>
      </w:r>
      <w:r w:rsidRPr="000D32AD">
        <w:rPr>
          <w:rFonts w:ascii="Times New Roman" w:hAnsi="Times New Roman"/>
        </w:rPr>
        <w:t>(</w:t>
      </w:r>
      <w:r w:rsidR="001B2294">
        <w:rPr>
          <w:rFonts w:ascii="Times New Roman" w:hAnsi="Times New Roman"/>
        </w:rPr>
        <w:t xml:space="preserve">see </w:t>
      </w:r>
      <w:r w:rsidR="00BE332C" w:rsidRPr="00BE332C">
        <w:rPr>
          <w:rFonts w:ascii="Times New Roman" w:hAnsi="Times New Roman"/>
        </w:rPr>
        <w:t>OIA24-08786</w:t>
      </w:r>
      <w:r w:rsidRPr="000D32AD">
        <w:rPr>
          <w:rFonts w:ascii="Times New Roman" w:hAnsi="Times New Roman"/>
        </w:rPr>
        <w:t>).</w:t>
      </w:r>
    </w:p>
    <w:p w14:paraId="74648826" w14:textId="77777777" w:rsidR="00524C45" w:rsidRPr="00FF582B" w:rsidRDefault="00524C45" w:rsidP="00FF582B">
      <w:pPr>
        <w:pStyle w:val="NoSpacing"/>
        <w:rPr>
          <w:rFonts w:ascii="Times New Roman" w:hAnsi="Times New Roman"/>
        </w:rPr>
      </w:pPr>
    </w:p>
    <w:p w14:paraId="6F84121A" w14:textId="2451AD09" w:rsidR="001D4FAC" w:rsidRPr="00FF582B" w:rsidRDefault="00524C45" w:rsidP="00FF582B">
      <w:pPr>
        <w:pStyle w:val="NoSpacing"/>
        <w:rPr>
          <w:rFonts w:ascii="Times New Roman" w:hAnsi="Times New Roman"/>
        </w:rPr>
      </w:pPr>
      <w:r w:rsidRPr="00FF582B">
        <w:rPr>
          <w:rFonts w:ascii="Times New Roman" w:hAnsi="Times New Roman"/>
        </w:rPr>
        <w:t>Approved by</w:t>
      </w:r>
    </w:p>
    <w:p w14:paraId="61F52A9B" w14:textId="256F91CB" w:rsidR="00524C45" w:rsidRPr="00FF582B" w:rsidRDefault="00524C45" w:rsidP="00FF582B">
      <w:pPr>
        <w:pStyle w:val="NoSpacing"/>
        <w:rPr>
          <w:rFonts w:ascii="Times New Roman" w:hAnsi="Times New Roman"/>
        </w:rPr>
      </w:pPr>
      <w:r w:rsidRPr="00FF582B">
        <w:rPr>
          <w:rFonts w:ascii="Times New Roman" w:hAnsi="Times New Roman"/>
        </w:rPr>
        <w:t>Minister for Veterans’ Affairs</w:t>
      </w:r>
    </w:p>
    <w:p w14:paraId="041259B8" w14:textId="6B439C07" w:rsidR="00524C45" w:rsidRDefault="00524C45" w:rsidP="00524C45">
      <w:pPr>
        <w:pStyle w:val="NoSpacing"/>
        <w:rPr>
          <w:rFonts w:ascii="Times New Roman" w:hAnsi="Times New Roman"/>
        </w:rPr>
      </w:pPr>
      <w:r w:rsidRPr="00FF582B">
        <w:rPr>
          <w:rFonts w:ascii="Times New Roman" w:hAnsi="Times New Roman"/>
        </w:rPr>
        <w:t>Rule-maker</w:t>
      </w:r>
    </w:p>
    <w:p w14:paraId="1BC5B1DB" w14:textId="77777777" w:rsidR="00524C45" w:rsidRDefault="00524C45">
      <w:pPr>
        <w:spacing w:after="160" w:line="259" w:lineRule="auto"/>
        <w:rPr>
          <w:rFonts w:ascii="Times New Roman" w:hAnsi="Times New Roman"/>
        </w:rPr>
      </w:pPr>
      <w:r>
        <w:rPr>
          <w:rFonts w:ascii="Times New Roman" w:hAnsi="Times New Roman"/>
        </w:rPr>
        <w:br w:type="page"/>
      </w:r>
    </w:p>
    <w:p w14:paraId="0740ACCD" w14:textId="0FA26D1B" w:rsidR="000E60B1" w:rsidRDefault="000E60B1" w:rsidP="000E60B1">
      <w:pPr>
        <w:spacing w:before="120" w:after="120" w:line="240" w:lineRule="auto"/>
        <w:jc w:val="center"/>
        <w:rPr>
          <w:rFonts w:ascii="Times New Roman" w:hAnsi="Times New Roman"/>
          <w:b/>
          <w:caps/>
          <w:sz w:val="24"/>
          <w:szCs w:val="24"/>
        </w:rPr>
      </w:pPr>
      <w:r w:rsidRPr="009C0091">
        <w:rPr>
          <w:rFonts w:ascii="Times New Roman" w:hAnsi="Times New Roman"/>
          <w:b/>
          <w:caps/>
          <w:sz w:val="24"/>
          <w:szCs w:val="24"/>
        </w:rPr>
        <w:lastRenderedPageBreak/>
        <w:t>Statement of Compatibility with Human Rights</w:t>
      </w:r>
    </w:p>
    <w:p w14:paraId="0740ACCE" w14:textId="77777777" w:rsidR="000E60B1" w:rsidRDefault="000E60B1" w:rsidP="000E60B1">
      <w:pPr>
        <w:shd w:val="clear" w:color="auto" w:fill="FFFFFF"/>
        <w:spacing w:before="120" w:after="120" w:line="240" w:lineRule="auto"/>
        <w:jc w:val="center"/>
        <w:rPr>
          <w:rFonts w:ascii="Times New Roman" w:hAnsi="Times New Roman"/>
          <w:i/>
        </w:rPr>
      </w:pPr>
      <w:r w:rsidRPr="00DC1C79">
        <w:rPr>
          <w:rFonts w:ascii="Times New Roman" w:hAnsi="Times New Roman"/>
          <w:i/>
        </w:rPr>
        <w:t>Prepared in accordance with Part 3 of the Human Rights (Parliamentary Scrutiny) Act 2011</w:t>
      </w:r>
    </w:p>
    <w:p w14:paraId="2EFB7174" w14:textId="7E1339B2" w:rsidR="005111B3" w:rsidRDefault="009D0DF2" w:rsidP="004F2B6C">
      <w:pPr>
        <w:spacing w:before="120" w:after="120" w:line="240" w:lineRule="auto"/>
        <w:rPr>
          <w:rFonts w:ascii="Times New Roman" w:hAnsi="Times New Roman"/>
        </w:rPr>
      </w:pPr>
      <w:r w:rsidRPr="002D67FB">
        <w:rPr>
          <w:rFonts w:ascii="Times New Roman" w:hAnsi="Times New Roman"/>
        </w:rPr>
        <w:t xml:space="preserve">The Regulations are compatible with the human rights and freedoms recognised or declared in the international instruments listed in section 3 of the </w:t>
      </w:r>
      <w:r w:rsidRPr="00FF582B">
        <w:rPr>
          <w:rFonts w:ascii="Times New Roman" w:hAnsi="Times New Roman"/>
          <w:i/>
          <w:iCs/>
        </w:rPr>
        <w:t>Human Rights (Parliamentary Scrutiny) Act 2011</w:t>
      </w:r>
      <w:r w:rsidRPr="002D67FB">
        <w:rPr>
          <w:rFonts w:ascii="Times New Roman" w:hAnsi="Times New Roman"/>
        </w:rPr>
        <w:t>.</w:t>
      </w:r>
    </w:p>
    <w:p w14:paraId="058A5F00" w14:textId="082E727D" w:rsidR="009D0DF2" w:rsidRDefault="009D0DF2" w:rsidP="004F2B6C">
      <w:pPr>
        <w:spacing w:before="120" w:after="120" w:line="240" w:lineRule="auto"/>
        <w:rPr>
          <w:rFonts w:ascii="Times New Roman" w:hAnsi="Times New Roman"/>
          <w:b/>
          <w:bCs/>
        </w:rPr>
      </w:pPr>
      <w:r w:rsidRPr="002D67FB">
        <w:rPr>
          <w:rFonts w:ascii="Times New Roman" w:hAnsi="Times New Roman"/>
          <w:b/>
          <w:bCs/>
        </w:rPr>
        <w:t>Overview of the Regulations</w:t>
      </w:r>
    </w:p>
    <w:p w14:paraId="0B1B2DA5" w14:textId="23AC1BD8" w:rsidR="009D0DF2" w:rsidRPr="002D67FB" w:rsidRDefault="009D0DF2" w:rsidP="004F2B6C">
      <w:pPr>
        <w:spacing w:before="120" w:after="120" w:line="240" w:lineRule="auto"/>
        <w:rPr>
          <w:rFonts w:ascii="Times New Roman" w:hAnsi="Times New Roman"/>
        </w:rPr>
      </w:pPr>
      <w:r w:rsidRPr="002D67FB">
        <w:rPr>
          <w:rFonts w:ascii="Times New Roman" w:hAnsi="Times New Roman"/>
        </w:rPr>
        <w:t xml:space="preserve">The purpose of the proposed </w:t>
      </w:r>
      <w:r w:rsidR="00E54C47">
        <w:rPr>
          <w:rFonts w:ascii="Times New Roman" w:hAnsi="Times New Roman"/>
        </w:rPr>
        <w:t>R</w:t>
      </w:r>
      <w:r w:rsidRPr="002D67FB">
        <w:rPr>
          <w:rFonts w:ascii="Times New Roman" w:hAnsi="Times New Roman"/>
        </w:rPr>
        <w:t xml:space="preserve">egulations is to allow for the continuance of the instrument made under </w:t>
      </w:r>
      <w:r w:rsidR="001B2294">
        <w:rPr>
          <w:rFonts w:ascii="Times New Roman" w:hAnsi="Times New Roman"/>
        </w:rPr>
        <w:t>subsection</w:t>
      </w:r>
      <w:r w:rsidR="001B2294" w:rsidRPr="002D67FB">
        <w:rPr>
          <w:rFonts w:ascii="Times New Roman" w:hAnsi="Times New Roman"/>
        </w:rPr>
        <w:t xml:space="preserve"> </w:t>
      </w:r>
      <w:r w:rsidRPr="002D67FB">
        <w:rPr>
          <w:rFonts w:ascii="Times New Roman" w:hAnsi="Times New Roman"/>
        </w:rPr>
        <w:t xml:space="preserve">170B(1) of the </w:t>
      </w:r>
      <w:r w:rsidRPr="002D67FB">
        <w:rPr>
          <w:rFonts w:ascii="Times New Roman" w:hAnsi="Times New Roman"/>
          <w:i/>
          <w:iCs/>
        </w:rPr>
        <w:t>Veterans’ Entitlements Act 1986</w:t>
      </w:r>
      <w:r w:rsidRPr="002D67FB">
        <w:rPr>
          <w:rFonts w:ascii="Times New Roman" w:hAnsi="Times New Roman"/>
        </w:rPr>
        <w:t xml:space="preserve"> (VEA), as regulations made under </w:t>
      </w:r>
      <w:r w:rsidR="001B2294">
        <w:rPr>
          <w:rFonts w:ascii="Times New Roman" w:hAnsi="Times New Roman"/>
        </w:rPr>
        <w:t xml:space="preserve">subsection 353P(1) of </w:t>
      </w:r>
      <w:r w:rsidRPr="002D67FB">
        <w:rPr>
          <w:rFonts w:ascii="Times New Roman" w:hAnsi="Times New Roman"/>
        </w:rPr>
        <w:t xml:space="preserve">the </w:t>
      </w:r>
      <w:r w:rsidRPr="002D67FB">
        <w:rPr>
          <w:rFonts w:ascii="Times New Roman" w:hAnsi="Times New Roman"/>
          <w:i/>
          <w:iCs/>
        </w:rPr>
        <w:t>Military Rehabilitation and Compensation 2004</w:t>
      </w:r>
      <w:r w:rsidRPr="002D67FB">
        <w:rPr>
          <w:rFonts w:ascii="Times New Roman" w:hAnsi="Times New Roman"/>
        </w:rPr>
        <w:t xml:space="preserve"> (MRCA)</w:t>
      </w:r>
      <w:r w:rsidR="001B2294">
        <w:rPr>
          <w:rFonts w:ascii="Times New Roman" w:hAnsi="Times New Roman"/>
        </w:rPr>
        <w:t xml:space="preserve">. </w:t>
      </w:r>
      <w:r w:rsidR="00973809">
        <w:rPr>
          <w:rFonts w:ascii="Times New Roman" w:hAnsi="Times New Roman"/>
        </w:rPr>
        <w:t xml:space="preserve">This relates to </w:t>
      </w:r>
      <w:r w:rsidRPr="009D0DF2">
        <w:rPr>
          <w:rFonts w:ascii="Times New Roman" w:hAnsi="Times New Roman"/>
        </w:rPr>
        <w:t xml:space="preserve">travel expenses for applicants obtaining medical evidence for the purposes of a VRB review. </w:t>
      </w:r>
    </w:p>
    <w:p w14:paraId="3F53DC36" w14:textId="77777777" w:rsidR="009D0DF2" w:rsidRDefault="009D0DF2" w:rsidP="004F2B6C">
      <w:pPr>
        <w:spacing w:before="120" w:after="120" w:line="240" w:lineRule="auto"/>
        <w:rPr>
          <w:rFonts w:ascii="Times New Roman" w:hAnsi="Times New Roman"/>
          <w:b/>
          <w:bCs/>
        </w:rPr>
      </w:pPr>
    </w:p>
    <w:p w14:paraId="260DED16" w14:textId="40455828" w:rsidR="009D0DF2" w:rsidRDefault="009D0DF2" w:rsidP="004F2B6C">
      <w:pPr>
        <w:spacing w:before="120" w:after="120" w:line="240" w:lineRule="auto"/>
        <w:rPr>
          <w:rFonts w:ascii="Times New Roman" w:hAnsi="Times New Roman"/>
          <w:b/>
          <w:bCs/>
        </w:rPr>
      </w:pPr>
      <w:r w:rsidRPr="000F41DC">
        <w:rPr>
          <w:rFonts w:ascii="Times New Roman" w:hAnsi="Times New Roman"/>
          <w:b/>
          <w:bCs/>
        </w:rPr>
        <w:t>Human rights implications</w:t>
      </w:r>
    </w:p>
    <w:p w14:paraId="3AC04BD8" w14:textId="77777777" w:rsidR="00973809" w:rsidRPr="00973809" w:rsidRDefault="00973809" w:rsidP="00973809">
      <w:pPr>
        <w:spacing w:before="120" w:after="120" w:line="240" w:lineRule="auto"/>
        <w:rPr>
          <w:rFonts w:ascii="Times New Roman" w:hAnsi="Times New Roman"/>
        </w:rPr>
      </w:pPr>
      <w:r w:rsidRPr="00973809">
        <w:rPr>
          <w:rFonts w:ascii="Times New Roman" w:hAnsi="Times New Roman"/>
        </w:rPr>
        <w:t>The Regulations engage the following rights:</w:t>
      </w:r>
    </w:p>
    <w:p w14:paraId="7E2A7701" w14:textId="7B9DF274" w:rsidR="00973809" w:rsidRPr="00F77FF2" w:rsidRDefault="00973809" w:rsidP="00BE332C">
      <w:pPr>
        <w:pStyle w:val="ListParagraph"/>
        <w:numPr>
          <w:ilvl w:val="0"/>
          <w:numId w:val="2"/>
        </w:numPr>
        <w:spacing w:before="120" w:after="120" w:line="240" w:lineRule="auto"/>
        <w:rPr>
          <w:rFonts w:ascii="Times New Roman" w:hAnsi="Times New Roman"/>
        </w:rPr>
      </w:pPr>
      <w:r w:rsidRPr="00F77FF2">
        <w:rPr>
          <w:rFonts w:ascii="Times New Roman" w:hAnsi="Times New Roman"/>
        </w:rPr>
        <w:t>the right to social security under Article 9 of the International Covenant on Economic, Social and Cultural Rights (ICESCR), and</w:t>
      </w:r>
    </w:p>
    <w:p w14:paraId="188E1C8A" w14:textId="1CBECB96" w:rsidR="00F77FF2" w:rsidRPr="00F77FF2" w:rsidRDefault="00F77FF2" w:rsidP="00BE332C">
      <w:pPr>
        <w:pStyle w:val="ListParagraph"/>
        <w:numPr>
          <w:ilvl w:val="0"/>
          <w:numId w:val="2"/>
        </w:numPr>
        <w:spacing w:before="120" w:after="120" w:line="240" w:lineRule="auto"/>
        <w:rPr>
          <w:rFonts w:ascii="Times New Roman" w:hAnsi="Times New Roman"/>
        </w:rPr>
      </w:pPr>
      <w:r w:rsidRPr="00F77FF2">
        <w:rPr>
          <w:rFonts w:ascii="Times New Roman" w:hAnsi="Times New Roman"/>
        </w:rPr>
        <w:t>the right to an independent, impartial and competent court or tribunal, under article 14(1) of the International Covenant on Civil and Political Rights (ICCPR).</w:t>
      </w:r>
    </w:p>
    <w:p w14:paraId="5F77A146" w14:textId="77777777" w:rsidR="00F77FF2" w:rsidRPr="00F77FF2" w:rsidRDefault="00F77FF2" w:rsidP="00973809">
      <w:pPr>
        <w:spacing w:before="120" w:after="120" w:line="240" w:lineRule="auto"/>
        <w:rPr>
          <w:rFonts w:ascii="Times New Roman" w:hAnsi="Times New Roman"/>
          <w:i/>
          <w:iCs/>
        </w:rPr>
      </w:pPr>
      <w:r w:rsidRPr="00F77FF2">
        <w:rPr>
          <w:rFonts w:ascii="Times New Roman" w:hAnsi="Times New Roman"/>
          <w:i/>
          <w:iCs/>
        </w:rPr>
        <w:t>The right to social security</w:t>
      </w:r>
    </w:p>
    <w:p w14:paraId="3BFBF861" w14:textId="1CB50237" w:rsidR="00EC1490" w:rsidRDefault="00EC1490" w:rsidP="00973809">
      <w:pPr>
        <w:spacing w:before="120" w:after="120" w:line="240" w:lineRule="auto"/>
        <w:rPr>
          <w:rFonts w:ascii="Times New Roman" w:hAnsi="Times New Roman"/>
        </w:rPr>
      </w:pPr>
      <w:r w:rsidRPr="00EC1490">
        <w:rPr>
          <w:rFonts w:ascii="Times New Roman" w:hAnsi="Times New Roman"/>
        </w:rPr>
        <w:t xml:space="preserve">Article 9 of the ICESCR </w:t>
      </w:r>
      <w:r w:rsidR="00F77FF2">
        <w:rPr>
          <w:rFonts w:ascii="Times New Roman" w:hAnsi="Times New Roman"/>
        </w:rPr>
        <w:t xml:space="preserve">provides for the right of </w:t>
      </w:r>
      <w:r w:rsidRPr="00EC1490">
        <w:rPr>
          <w:rFonts w:ascii="Times New Roman" w:hAnsi="Times New Roman"/>
        </w:rPr>
        <w:t xml:space="preserve">everyone to social security, including social insurance.  </w:t>
      </w:r>
      <w:r w:rsidR="00973809" w:rsidRPr="00973809">
        <w:rPr>
          <w:rFonts w:ascii="Times New Roman" w:hAnsi="Times New Roman"/>
        </w:rPr>
        <w:t>Military compensation is analogous to social insurance in that it provides payment of wages and medical costs in respect of injuries, diseases or death occurring as a result of service.</w:t>
      </w:r>
    </w:p>
    <w:p w14:paraId="08231731" w14:textId="6722BC2A" w:rsidR="00F77FF2" w:rsidRDefault="00973809" w:rsidP="00F77FF2">
      <w:pPr>
        <w:spacing w:before="120" w:after="120" w:line="240" w:lineRule="auto"/>
        <w:rPr>
          <w:rFonts w:ascii="Times New Roman" w:hAnsi="Times New Roman"/>
        </w:rPr>
      </w:pPr>
      <w:r>
        <w:rPr>
          <w:rFonts w:ascii="Times New Roman" w:hAnsi="Times New Roman"/>
        </w:rPr>
        <w:t>The Regulation</w:t>
      </w:r>
      <w:r w:rsidR="00524C45">
        <w:rPr>
          <w:rFonts w:ascii="Times New Roman" w:hAnsi="Times New Roman"/>
        </w:rPr>
        <w:t>s</w:t>
      </w:r>
      <w:r>
        <w:rPr>
          <w:rFonts w:ascii="Times New Roman" w:hAnsi="Times New Roman"/>
        </w:rPr>
        <w:t xml:space="preserve"> maintain the prescribed arrangements for travel </w:t>
      </w:r>
      <w:r w:rsidR="00F77FF2">
        <w:rPr>
          <w:rFonts w:ascii="Times New Roman" w:hAnsi="Times New Roman"/>
        </w:rPr>
        <w:t>expenses</w:t>
      </w:r>
      <w:r>
        <w:rPr>
          <w:rFonts w:ascii="Times New Roman" w:hAnsi="Times New Roman"/>
        </w:rPr>
        <w:t xml:space="preserve"> associated with </w:t>
      </w:r>
      <w:r w:rsidR="00F77FF2">
        <w:rPr>
          <w:rFonts w:ascii="Times New Roman" w:hAnsi="Times New Roman"/>
        </w:rPr>
        <w:t>obtaining medical evidence for a VRB review of a person’s compensation entitlements.</w:t>
      </w:r>
      <w:r w:rsidR="00F77FF2" w:rsidRPr="00F77FF2">
        <w:rPr>
          <w:rFonts w:ascii="Times New Roman" w:hAnsi="Times New Roman"/>
        </w:rPr>
        <w:t xml:space="preserve"> </w:t>
      </w:r>
      <w:r w:rsidR="00F77FF2" w:rsidRPr="000477F2">
        <w:rPr>
          <w:rFonts w:ascii="Times New Roman" w:hAnsi="Times New Roman"/>
        </w:rPr>
        <w:t xml:space="preserve">The </w:t>
      </w:r>
      <w:r w:rsidR="00F77FF2">
        <w:rPr>
          <w:rFonts w:ascii="Times New Roman" w:hAnsi="Times New Roman"/>
        </w:rPr>
        <w:t xml:space="preserve">existing prescribed arrangements </w:t>
      </w:r>
      <w:r w:rsidR="00F77FF2" w:rsidRPr="000477F2">
        <w:rPr>
          <w:rFonts w:ascii="Times New Roman" w:hAnsi="Times New Roman"/>
        </w:rPr>
        <w:t>set out the conditions an eligible person must satisfy to be paid travel expenses.</w:t>
      </w:r>
    </w:p>
    <w:p w14:paraId="61272063" w14:textId="4975CFEC" w:rsidR="00F77FF2" w:rsidRPr="00F77FF2" w:rsidRDefault="00F77FF2" w:rsidP="00EC1490">
      <w:pPr>
        <w:spacing w:before="120" w:after="120" w:line="240" w:lineRule="auto"/>
        <w:rPr>
          <w:rFonts w:ascii="Times New Roman" w:hAnsi="Times New Roman"/>
          <w:i/>
          <w:iCs/>
        </w:rPr>
      </w:pPr>
      <w:r>
        <w:rPr>
          <w:rFonts w:ascii="Times New Roman" w:hAnsi="Times New Roman"/>
          <w:i/>
          <w:iCs/>
        </w:rPr>
        <w:t>T</w:t>
      </w:r>
      <w:r w:rsidRPr="00F77FF2">
        <w:rPr>
          <w:rFonts w:ascii="Times New Roman" w:hAnsi="Times New Roman"/>
          <w:i/>
          <w:iCs/>
        </w:rPr>
        <w:t xml:space="preserve">he right to an independent, impartial and competent court or tribunal </w:t>
      </w:r>
    </w:p>
    <w:p w14:paraId="48CB2C3D" w14:textId="2DD9F781" w:rsidR="00111DA5" w:rsidRDefault="00F77FF2" w:rsidP="00EC1490">
      <w:pPr>
        <w:spacing w:before="120" w:after="120" w:line="240" w:lineRule="auto"/>
        <w:rPr>
          <w:rFonts w:ascii="Times New Roman" w:hAnsi="Times New Roman"/>
        </w:rPr>
      </w:pPr>
      <w:r>
        <w:rPr>
          <w:rFonts w:ascii="Times New Roman" w:hAnsi="Times New Roman"/>
        </w:rPr>
        <w:t xml:space="preserve">The Regulations </w:t>
      </w:r>
      <w:r w:rsidR="00524C45">
        <w:rPr>
          <w:rFonts w:ascii="Times New Roman" w:hAnsi="Times New Roman"/>
        </w:rPr>
        <w:t>promote</w:t>
      </w:r>
      <w:r>
        <w:rPr>
          <w:rFonts w:ascii="Times New Roman" w:hAnsi="Times New Roman"/>
        </w:rPr>
        <w:t xml:space="preserve"> </w:t>
      </w:r>
      <w:r w:rsidRPr="00973809">
        <w:rPr>
          <w:rFonts w:ascii="Times New Roman" w:hAnsi="Times New Roman"/>
        </w:rPr>
        <w:t xml:space="preserve">the right to an independent, impartial and competent court or tribunal, by </w:t>
      </w:r>
      <w:r w:rsidR="000477F2" w:rsidRPr="000477F2">
        <w:rPr>
          <w:rFonts w:ascii="Times New Roman" w:hAnsi="Times New Roman"/>
        </w:rPr>
        <w:t>promot</w:t>
      </w:r>
      <w:r>
        <w:rPr>
          <w:rFonts w:ascii="Times New Roman" w:hAnsi="Times New Roman"/>
        </w:rPr>
        <w:t>ing</w:t>
      </w:r>
      <w:r w:rsidR="000477F2" w:rsidRPr="000477F2">
        <w:rPr>
          <w:rFonts w:ascii="Times New Roman" w:hAnsi="Times New Roman"/>
        </w:rPr>
        <w:t xml:space="preserve"> access to </w:t>
      </w:r>
      <w:r>
        <w:rPr>
          <w:rFonts w:ascii="Times New Roman" w:hAnsi="Times New Roman"/>
        </w:rPr>
        <w:t>the VRB</w:t>
      </w:r>
      <w:r w:rsidR="00851E9F" w:rsidRPr="00851E9F">
        <w:t xml:space="preserve"> </w:t>
      </w:r>
      <w:r w:rsidR="00851E9F" w:rsidRPr="00851E9F">
        <w:rPr>
          <w:rFonts w:ascii="Times New Roman" w:hAnsi="Times New Roman"/>
        </w:rPr>
        <w:t>and continu</w:t>
      </w:r>
      <w:r w:rsidR="00851E9F">
        <w:rPr>
          <w:rFonts w:ascii="Times New Roman" w:hAnsi="Times New Roman"/>
        </w:rPr>
        <w:t>ing</w:t>
      </w:r>
      <w:r w:rsidR="00851E9F" w:rsidRPr="00851E9F">
        <w:rPr>
          <w:rFonts w:ascii="Times New Roman" w:hAnsi="Times New Roman"/>
        </w:rPr>
        <w:t xml:space="preserve"> the existing authority relating</w:t>
      </w:r>
      <w:r w:rsidR="00851E9F">
        <w:rPr>
          <w:rFonts w:ascii="Times New Roman" w:hAnsi="Times New Roman"/>
        </w:rPr>
        <w:t xml:space="preserve"> to the payment of travel expenses for a review applicant to obtain relevant medical evidence.</w:t>
      </w:r>
      <w:r>
        <w:rPr>
          <w:rFonts w:ascii="Times New Roman" w:hAnsi="Times New Roman"/>
        </w:rPr>
        <w:t xml:space="preserve"> </w:t>
      </w:r>
    </w:p>
    <w:p w14:paraId="05121B80" w14:textId="586CFEB1" w:rsidR="009D0DF2" w:rsidRDefault="009D0DF2" w:rsidP="004F2B6C">
      <w:pPr>
        <w:spacing w:before="120" w:after="120" w:line="240" w:lineRule="auto"/>
        <w:rPr>
          <w:rFonts w:ascii="Times New Roman" w:hAnsi="Times New Roman"/>
          <w:b/>
          <w:bCs/>
        </w:rPr>
      </w:pPr>
      <w:r w:rsidRPr="009D0DF2">
        <w:rPr>
          <w:rFonts w:ascii="Times New Roman" w:hAnsi="Times New Roman"/>
          <w:b/>
          <w:bCs/>
        </w:rPr>
        <w:t>Conclusion</w:t>
      </w:r>
    </w:p>
    <w:p w14:paraId="4686002A" w14:textId="19BD5882" w:rsidR="009D0DF2" w:rsidRPr="009D0DF2" w:rsidRDefault="00EC1490" w:rsidP="004F2B6C">
      <w:pPr>
        <w:spacing w:before="120" w:after="120" w:line="240" w:lineRule="auto"/>
        <w:rPr>
          <w:rFonts w:ascii="Times New Roman" w:hAnsi="Times New Roman"/>
          <w:b/>
          <w:bCs/>
        </w:rPr>
      </w:pPr>
      <w:r w:rsidRPr="007C1F25">
        <w:rPr>
          <w:rFonts w:ascii="Times New Roman" w:hAnsi="Times New Roman"/>
        </w:rPr>
        <w:t xml:space="preserve">The Regulations are compatible with human rights. </w:t>
      </w:r>
      <w:r w:rsidR="00111DA5" w:rsidRPr="00EC1490">
        <w:rPr>
          <w:rFonts w:ascii="Times New Roman" w:hAnsi="Times New Roman"/>
        </w:rPr>
        <w:t xml:space="preserve">The provisions in the Regulations </w:t>
      </w:r>
      <w:r w:rsidR="00524C45">
        <w:rPr>
          <w:rFonts w:ascii="Times New Roman" w:hAnsi="Times New Roman"/>
        </w:rPr>
        <w:t>promote</w:t>
      </w:r>
      <w:r w:rsidR="00111DA5" w:rsidRPr="00EC1490">
        <w:rPr>
          <w:rFonts w:ascii="Times New Roman" w:hAnsi="Times New Roman"/>
        </w:rPr>
        <w:t xml:space="preserve"> the right to social security </w:t>
      </w:r>
      <w:r w:rsidR="00851E9F">
        <w:rPr>
          <w:rFonts w:ascii="Times New Roman" w:hAnsi="Times New Roman"/>
        </w:rPr>
        <w:t xml:space="preserve">and the right </w:t>
      </w:r>
      <w:r w:rsidR="00851E9F" w:rsidRPr="00851E9F">
        <w:rPr>
          <w:rFonts w:ascii="Times New Roman" w:hAnsi="Times New Roman"/>
        </w:rPr>
        <w:t>to an independent, impartial and competent court or tribunal</w:t>
      </w:r>
      <w:r w:rsidR="00851E9F">
        <w:rPr>
          <w:rFonts w:ascii="Times New Roman" w:hAnsi="Times New Roman"/>
        </w:rPr>
        <w:t xml:space="preserve">, </w:t>
      </w:r>
      <w:r w:rsidR="00111DA5" w:rsidRPr="00EC1490">
        <w:rPr>
          <w:rFonts w:ascii="Times New Roman" w:hAnsi="Times New Roman"/>
        </w:rPr>
        <w:t xml:space="preserve">as they </w:t>
      </w:r>
      <w:r w:rsidR="00F77FF2" w:rsidRPr="000477F2">
        <w:rPr>
          <w:rFonts w:ascii="Times New Roman" w:hAnsi="Times New Roman"/>
        </w:rPr>
        <w:t>ensur</w:t>
      </w:r>
      <w:r w:rsidR="00F77FF2">
        <w:rPr>
          <w:rFonts w:ascii="Times New Roman" w:hAnsi="Times New Roman"/>
        </w:rPr>
        <w:t>e</w:t>
      </w:r>
      <w:r w:rsidR="00F77FF2" w:rsidRPr="000477F2">
        <w:rPr>
          <w:rFonts w:ascii="Times New Roman" w:hAnsi="Times New Roman"/>
        </w:rPr>
        <w:t xml:space="preserve"> the travel expenses and conditions for travel entitlements as prescribed in the</w:t>
      </w:r>
      <w:r w:rsidR="00F17CB6">
        <w:rPr>
          <w:rFonts w:ascii="Times New Roman" w:hAnsi="Times New Roman"/>
        </w:rPr>
        <w:t xml:space="preserve"> VEA </w:t>
      </w:r>
      <w:r w:rsidR="00F77FF2" w:rsidRPr="000477F2">
        <w:rPr>
          <w:rFonts w:ascii="Times New Roman" w:hAnsi="Times New Roman"/>
        </w:rPr>
        <w:t>continue to apply under the corresponding provisions of the MRCA.</w:t>
      </w:r>
    </w:p>
    <w:p w14:paraId="0740ACDA" w14:textId="77777777" w:rsidR="000E60B1" w:rsidRDefault="000E60B1" w:rsidP="000E60B1">
      <w:pPr>
        <w:spacing w:before="120" w:after="120" w:line="240" w:lineRule="auto"/>
        <w:jc w:val="center"/>
        <w:rPr>
          <w:rFonts w:ascii="Times New Roman" w:hAnsi="Times New Roman"/>
          <w:b/>
        </w:rPr>
      </w:pPr>
    </w:p>
    <w:p w14:paraId="0740ACDB" w14:textId="6F76583B" w:rsidR="000E60B1" w:rsidRPr="00157E7E" w:rsidRDefault="00524C45" w:rsidP="00FF582B">
      <w:pPr>
        <w:spacing w:before="120" w:after="120" w:line="240" w:lineRule="auto"/>
        <w:rPr>
          <w:rFonts w:ascii="Times New Roman" w:hAnsi="Times New Roman"/>
          <w:b/>
        </w:rPr>
      </w:pPr>
      <w:r>
        <w:rPr>
          <w:rFonts w:ascii="Times New Roman" w:hAnsi="Times New Roman"/>
          <w:bCs/>
        </w:rPr>
        <w:t>Prepared by</w:t>
      </w:r>
    </w:p>
    <w:p w14:paraId="0740ACDC" w14:textId="693156DF" w:rsidR="000E60B1" w:rsidRDefault="000E60B1" w:rsidP="00524C45">
      <w:pPr>
        <w:spacing w:before="120" w:after="120" w:line="240" w:lineRule="auto"/>
        <w:rPr>
          <w:rFonts w:ascii="Times New Roman" w:hAnsi="Times New Roman"/>
          <w:lang w:val="en"/>
        </w:rPr>
      </w:pPr>
      <w:r w:rsidRPr="00C04ACC">
        <w:rPr>
          <w:rFonts w:ascii="Times New Roman" w:eastAsia="Times New Roman" w:hAnsi="Times New Roman"/>
          <w:bCs/>
          <w:lang w:eastAsia="en-AU"/>
        </w:rPr>
        <w:t xml:space="preserve">Minister </w:t>
      </w:r>
      <w:r w:rsidRPr="00C04ACC">
        <w:rPr>
          <w:rFonts w:ascii="Times New Roman" w:hAnsi="Times New Roman"/>
          <w:lang w:val="en"/>
        </w:rPr>
        <w:t xml:space="preserve">for </w:t>
      </w:r>
      <w:r w:rsidR="004F2B6C">
        <w:rPr>
          <w:rFonts w:ascii="Times New Roman" w:hAnsi="Times New Roman"/>
          <w:lang w:val="en"/>
        </w:rPr>
        <w:t>Veterans’ Affairs</w:t>
      </w:r>
    </w:p>
    <w:p w14:paraId="6B17450C" w14:textId="2A9F2D9E" w:rsidR="00524C45" w:rsidRDefault="00524C45" w:rsidP="00FF582B">
      <w:pPr>
        <w:spacing w:before="120" w:after="120" w:line="240" w:lineRule="auto"/>
        <w:rPr>
          <w:rFonts w:ascii="Times New Roman" w:hAnsi="Times New Roman"/>
          <w:lang w:val="en"/>
        </w:rPr>
      </w:pPr>
      <w:r>
        <w:rPr>
          <w:rFonts w:ascii="Times New Roman" w:hAnsi="Times New Roman"/>
          <w:lang w:val="en"/>
        </w:rPr>
        <w:t>Rule-maker</w:t>
      </w:r>
    </w:p>
    <w:p w14:paraId="0740ACDD" w14:textId="77777777" w:rsidR="000E60B1" w:rsidRDefault="000E60B1" w:rsidP="000E60B1">
      <w:pPr>
        <w:spacing w:before="120" w:after="120" w:line="240" w:lineRule="auto"/>
        <w:rPr>
          <w:rFonts w:ascii="Times New Roman" w:hAnsi="Times New Roman"/>
          <w:b/>
          <w:sz w:val="24"/>
          <w:szCs w:val="24"/>
        </w:rPr>
        <w:sectPr w:rsidR="000E60B1" w:rsidSect="000E60B1">
          <w:headerReference w:type="even" r:id="rId11"/>
          <w:headerReference w:type="default" r:id="rId12"/>
          <w:footerReference w:type="even" r:id="rId13"/>
          <w:footerReference w:type="default" r:id="rId14"/>
          <w:headerReference w:type="first" r:id="rId15"/>
          <w:footerReference w:type="first" r:id="rId16"/>
          <w:pgSz w:w="11906" w:h="16838"/>
          <w:pgMar w:top="1440" w:right="1418" w:bottom="1440" w:left="1418" w:header="709" w:footer="709" w:gutter="0"/>
          <w:cols w:space="708"/>
          <w:docGrid w:linePitch="360"/>
        </w:sectPr>
      </w:pPr>
    </w:p>
    <w:p w14:paraId="0740ACDE" w14:textId="77777777" w:rsidR="000E60B1" w:rsidRPr="00521029" w:rsidRDefault="000E60B1" w:rsidP="000E60B1">
      <w:pPr>
        <w:spacing w:before="120" w:after="120" w:line="240" w:lineRule="auto"/>
        <w:jc w:val="right"/>
        <w:rPr>
          <w:rFonts w:ascii="Times New Roman" w:hAnsi="Times New Roman"/>
          <w:b/>
          <w:sz w:val="24"/>
          <w:szCs w:val="24"/>
        </w:rPr>
      </w:pPr>
      <w:r w:rsidRPr="00521029">
        <w:rPr>
          <w:rFonts w:ascii="Times New Roman" w:hAnsi="Times New Roman"/>
          <w:b/>
          <w:sz w:val="24"/>
          <w:szCs w:val="24"/>
        </w:rPr>
        <w:lastRenderedPageBreak/>
        <w:t>Attachment A</w:t>
      </w:r>
    </w:p>
    <w:p w14:paraId="0740ACDF" w14:textId="77777777" w:rsidR="000E60B1" w:rsidRPr="00521029" w:rsidRDefault="000E60B1" w:rsidP="000E60B1">
      <w:pPr>
        <w:spacing w:before="120" w:after="120" w:line="240" w:lineRule="auto"/>
        <w:jc w:val="center"/>
        <w:rPr>
          <w:rFonts w:ascii="Times New Roman" w:hAnsi="Times New Roman"/>
          <w:b/>
          <w:sz w:val="24"/>
          <w:szCs w:val="24"/>
        </w:rPr>
      </w:pPr>
      <w:r>
        <w:rPr>
          <w:rFonts w:ascii="Times New Roman" w:hAnsi="Times New Roman"/>
          <w:b/>
          <w:sz w:val="24"/>
          <w:szCs w:val="24"/>
        </w:rPr>
        <w:t>NOTES ON SECTIONS</w:t>
      </w:r>
    </w:p>
    <w:p w14:paraId="78B53DDD" w14:textId="77777777" w:rsidR="00154449" w:rsidRPr="00E73F20" w:rsidRDefault="00154449" w:rsidP="00154449">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1 – Name</w:t>
      </w:r>
    </w:p>
    <w:p w14:paraId="67ECF7B6" w14:textId="3882ED2D" w:rsidR="00154449" w:rsidRPr="00F17CB6" w:rsidRDefault="00154449" w:rsidP="00F17CB6">
      <w:pPr>
        <w:spacing w:before="120" w:after="120" w:line="240" w:lineRule="auto"/>
        <w:rPr>
          <w:rFonts w:ascii="Times New Roman" w:eastAsia="Times New Roman" w:hAnsi="Times New Roman"/>
          <w:bCs/>
          <w:lang w:eastAsia="en-AU"/>
        </w:rPr>
      </w:pPr>
      <w:bookmarkStart w:id="1" w:name="_Hlk187230733"/>
      <w:r w:rsidRPr="00E73F20">
        <w:rPr>
          <w:rFonts w:ascii="Times New Roman" w:eastAsia="Times New Roman" w:hAnsi="Times New Roman"/>
          <w:bCs/>
          <w:lang w:eastAsia="en-AU"/>
        </w:rPr>
        <w:t xml:space="preserve">Section 1 provides that the title of the instrument is the </w:t>
      </w:r>
      <w:r w:rsidR="005111B3" w:rsidRPr="00F17CB6">
        <w:rPr>
          <w:rFonts w:ascii="Times New Roman" w:eastAsia="Times New Roman" w:hAnsi="Times New Roman"/>
          <w:bCs/>
          <w:lang w:eastAsia="en-AU"/>
        </w:rPr>
        <w:t>Military Rehabilitation and Compensation (Consequential and Transitional Provisions) Amendment (Review Pathway) Regulations</w:t>
      </w:r>
      <w:r w:rsidR="00524C45" w:rsidRPr="00F17CB6">
        <w:rPr>
          <w:rFonts w:ascii="Times New Roman" w:eastAsia="Times New Roman" w:hAnsi="Times New Roman"/>
          <w:bCs/>
          <w:lang w:eastAsia="en-AU"/>
        </w:rPr>
        <w:t> </w:t>
      </w:r>
      <w:r w:rsidR="005111B3" w:rsidRPr="00F17CB6">
        <w:rPr>
          <w:rFonts w:ascii="Times New Roman" w:eastAsia="Times New Roman" w:hAnsi="Times New Roman"/>
          <w:bCs/>
          <w:lang w:eastAsia="en-AU"/>
        </w:rPr>
        <w:t>2025</w:t>
      </w:r>
      <w:r w:rsidRPr="00F17CB6">
        <w:rPr>
          <w:rFonts w:ascii="Times New Roman" w:eastAsia="Times New Roman" w:hAnsi="Times New Roman"/>
          <w:bCs/>
          <w:lang w:eastAsia="en-AU"/>
        </w:rPr>
        <w:t>.</w:t>
      </w:r>
    </w:p>
    <w:bookmarkEnd w:id="1"/>
    <w:p w14:paraId="08E7E992" w14:textId="11D1A3ED" w:rsidR="00154449" w:rsidRPr="00F17CB6" w:rsidRDefault="00154449" w:rsidP="00F17CB6">
      <w:pPr>
        <w:shd w:val="clear" w:color="auto" w:fill="FFFFFF"/>
        <w:spacing w:before="120" w:after="120" w:line="240" w:lineRule="auto"/>
        <w:rPr>
          <w:rFonts w:ascii="Times New Roman" w:eastAsia="Times New Roman" w:hAnsi="Times New Roman"/>
          <w:b/>
          <w:bCs/>
          <w:lang w:eastAsia="en-AU"/>
        </w:rPr>
      </w:pPr>
      <w:r w:rsidRPr="00F17CB6">
        <w:rPr>
          <w:rFonts w:ascii="Times New Roman" w:eastAsia="Times New Roman" w:hAnsi="Times New Roman"/>
          <w:b/>
          <w:bCs/>
          <w:lang w:eastAsia="en-AU"/>
        </w:rPr>
        <w:t>Section 2 – Commencement</w:t>
      </w:r>
    </w:p>
    <w:p w14:paraId="74606134" w14:textId="25E4EB68" w:rsidR="0050773F" w:rsidRDefault="00154449" w:rsidP="00154449">
      <w:pPr>
        <w:spacing w:before="120" w:after="120" w:line="240" w:lineRule="auto"/>
        <w:rPr>
          <w:rFonts w:ascii="Times New Roman" w:hAnsi="Times New Roman"/>
          <w:color w:val="000000"/>
          <w:shd w:val="clear" w:color="auto" w:fill="FFFFFF"/>
        </w:rPr>
      </w:pPr>
      <w:bookmarkStart w:id="2" w:name="_Hlk187230744"/>
      <w:r w:rsidRPr="0075672D">
        <w:rPr>
          <w:rFonts w:ascii="Times New Roman" w:eastAsia="Times New Roman" w:hAnsi="Times New Roman"/>
          <w:bCs/>
          <w:lang w:eastAsia="en-AU"/>
        </w:rPr>
        <w:t xml:space="preserve">Section 2 provides that the instrument is </w:t>
      </w:r>
      <w:r w:rsidRPr="0075672D">
        <w:rPr>
          <w:rFonts w:ascii="Times New Roman" w:hAnsi="Times New Roman"/>
          <w:color w:val="000000"/>
          <w:shd w:val="clear" w:color="auto" w:fill="FFFFFF"/>
        </w:rPr>
        <w:t>to commence on the day after it is registered on the Federal Register of Legislation</w:t>
      </w:r>
      <w:r w:rsidR="00524C45">
        <w:rPr>
          <w:rFonts w:ascii="Times New Roman" w:hAnsi="Times New Roman"/>
          <w:color w:val="000000"/>
          <w:shd w:val="clear" w:color="auto" w:fill="FFFFFF"/>
        </w:rPr>
        <w:t xml:space="preserve"> or the day Part 1 of Schedule 3</w:t>
      </w:r>
      <w:r w:rsidR="0050773F">
        <w:rPr>
          <w:rFonts w:ascii="Times New Roman" w:hAnsi="Times New Roman"/>
          <w:color w:val="000000"/>
          <w:shd w:val="clear" w:color="auto" w:fill="FFFFFF"/>
        </w:rPr>
        <w:t xml:space="preserve"> of the </w:t>
      </w:r>
      <w:r w:rsidR="00EB474D">
        <w:rPr>
          <w:rFonts w:ascii="Times New Roman" w:hAnsi="Times New Roman"/>
          <w:color w:val="000000"/>
          <w:shd w:val="clear" w:color="auto" w:fill="FFFFFF"/>
        </w:rPr>
        <w:t>Simplification Act</w:t>
      </w:r>
      <w:r w:rsidR="00524C45">
        <w:rPr>
          <w:rFonts w:ascii="Times New Roman" w:hAnsi="Times New Roman"/>
          <w:color w:val="000000"/>
          <w:shd w:val="clear" w:color="auto" w:fill="FFFFFF"/>
        </w:rPr>
        <w:t xml:space="preserve"> (which includes section 95</w:t>
      </w:r>
      <w:r w:rsidR="0050773F">
        <w:rPr>
          <w:rFonts w:ascii="Times New Roman" w:hAnsi="Times New Roman"/>
          <w:color w:val="000000"/>
          <w:shd w:val="clear" w:color="auto" w:fill="FFFFFF"/>
        </w:rPr>
        <w:t xml:space="preserve"> of the </w:t>
      </w:r>
      <w:r w:rsidR="00EB474D">
        <w:rPr>
          <w:rFonts w:ascii="Times New Roman" w:hAnsi="Times New Roman"/>
          <w:color w:val="000000"/>
          <w:shd w:val="clear" w:color="auto" w:fill="FFFFFF"/>
        </w:rPr>
        <w:t>Act</w:t>
      </w:r>
      <w:r w:rsidR="00524C45">
        <w:rPr>
          <w:rFonts w:ascii="Times New Roman" w:hAnsi="Times New Roman"/>
          <w:color w:val="000000"/>
          <w:shd w:val="clear" w:color="auto" w:fill="FFFFFF"/>
        </w:rPr>
        <w:t xml:space="preserve">) </w:t>
      </w:r>
      <w:r w:rsidR="0050773F">
        <w:rPr>
          <w:rFonts w:ascii="Times New Roman" w:hAnsi="Times New Roman"/>
          <w:color w:val="000000"/>
          <w:shd w:val="clear" w:color="auto" w:fill="FFFFFF"/>
        </w:rPr>
        <w:t>commences</w:t>
      </w:r>
      <w:r w:rsidRPr="0075672D">
        <w:rPr>
          <w:rFonts w:ascii="Times New Roman" w:hAnsi="Times New Roman"/>
          <w:color w:val="000000"/>
          <w:shd w:val="clear" w:color="auto" w:fill="FFFFFF"/>
        </w:rPr>
        <w:t>.</w:t>
      </w:r>
      <w:r w:rsidR="00173F0D">
        <w:rPr>
          <w:rFonts w:ascii="Times New Roman" w:hAnsi="Times New Roman"/>
          <w:color w:val="000000"/>
          <w:shd w:val="clear" w:color="auto" w:fill="FFFFFF"/>
        </w:rPr>
        <w:t xml:space="preserve"> </w:t>
      </w:r>
      <w:r w:rsidR="0050773F">
        <w:rPr>
          <w:rFonts w:ascii="Times New Roman" w:hAnsi="Times New Roman"/>
          <w:color w:val="000000"/>
          <w:shd w:val="clear" w:color="auto" w:fill="FFFFFF"/>
        </w:rPr>
        <w:t xml:space="preserve">Section 95 of the </w:t>
      </w:r>
      <w:r w:rsidR="00EB474D">
        <w:rPr>
          <w:rFonts w:ascii="Times New Roman" w:hAnsi="Times New Roman"/>
          <w:color w:val="000000"/>
          <w:shd w:val="clear" w:color="auto" w:fill="FFFFFF"/>
        </w:rPr>
        <w:t>Act</w:t>
      </w:r>
      <w:r w:rsidR="0050773F">
        <w:rPr>
          <w:rFonts w:ascii="Times New Roman" w:hAnsi="Times New Roman"/>
          <w:color w:val="000000"/>
          <w:shd w:val="clear" w:color="auto" w:fill="FFFFFF"/>
        </w:rPr>
        <w:t xml:space="preserve"> will repeal Division 8 of Part IX of the VEA (which contains subsection 170B(1)) 60 days after the </w:t>
      </w:r>
      <w:r w:rsidR="00EB474D">
        <w:rPr>
          <w:rFonts w:ascii="Times New Roman" w:hAnsi="Times New Roman"/>
          <w:color w:val="000000"/>
          <w:shd w:val="clear" w:color="auto" w:fill="FFFFFF"/>
        </w:rPr>
        <w:t>Act</w:t>
      </w:r>
      <w:r w:rsidR="0050773F">
        <w:rPr>
          <w:rFonts w:ascii="Times New Roman" w:hAnsi="Times New Roman"/>
          <w:color w:val="000000"/>
          <w:shd w:val="clear" w:color="auto" w:fill="FFFFFF"/>
        </w:rPr>
        <w:t xml:space="preserve"> receives Royal Assent.</w:t>
      </w:r>
    </w:p>
    <w:bookmarkEnd w:id="2"/>
    <w:p w14:paraId="1CD401ED" w14:textId="77777777" w:rsidR="00154449" w:rsidRDefault="00154449" w:rsidP="00154449">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3 – Authority</w:t>
      </w:r>
    </w:p>
    <w:p w14:paraId="0E388C95" w14:textId="31E65909" w:rsidR="00154449" w:rsidRDefault="00154449" w:rsidP="00154449">
      <w:pPr>
        <w:shd w:val="clear" w:color="auto" w:fill="FFFFFF"/>
        <w:spacing w:before="120" w:after="120" w:line="240" w:lineRule="auto"/>
        <w:rPr>
          <w:rFonts w:ascii="Times New Roman" w:hAnsi="Times New Roman"/>
        </w:rPr>
      </w:pPr>
      <w:bookmarkStart w:id="3" w:name="_Hlk187230761"/>
      <w:r w:rsidRPr="00E8565D">
        <w:rPr>
          <w:rFonts w:ascii="Times New Roman" w:eastAsia="Times New Roman" w:hAnsi="Times New Roman"/>
          <w:lang w:eastAsia="en-AU"/>
        </w:rPr>
        <w:t xml:space="preserve">Section 3 provides that the </w:t>
      </w:r>
      <w:r w:rsidRPr="00E8565D">
        <w:rPr>
          <w:rFonts w:ascii="Times New Roman" w:hAnsi="Times New Roman"/>
        </w:rPr>
        <w:t xml:space="preserve">instrument is made under the </w:t>
      </w:r>
      <w:r w:rsidR="005111B3" w:rsidRPr="005111B3">
        <w:rPr>
          <w:rFonts w:ascii="Times New Roman" w:hAnsi="Times New Roman"/>
          <w:i/>
        </w:rPr>
        <w:t>Military Rehabilitation and Compensation (Consequential and Transitional Provisions) Act 2004</w:t>
      </w:r>
      <w:r w:rsidR="00FF14E1">
        <w:rPr>
          <w:rFonts w:ascii="Times New Roman" w:hAnsi="Times New Roman"/>
          <w:iCs/>
        </w:rPr>
        <w:t xml:space="preserve"> (MRCA-CTPA)</w:t>
      </w:r>
      <w:r w:rsidRPr="00E8565D">
        <w:rPr>
          <w:rFonts w:ascii="Times New Roman" w:hAnsi="Times New Roman"/>
        </w:rPr>
        <w:t>.</w:t>
      </w:r>
    </w:p>
    <w:p w14:paraId="4271AF21" w14:textId="3B41671D" w:rsidR="0050773F" w:rsidRPr="0050773F" w:rsidRDefault="0050773F" w:rsidP="00FF582B">
      <w:pPr>
        <w:spacing w:before="120" w:after="120" w:line="240" w:lineRule="auto"/>
        <w:rPr>
          <w:rFonts w:ascii="Times New Roman" w:eastAsia="Times New Roman" w:hAnsi="Times New Roman"/>
          <w:bCs/>
          <w:lang w:eastAsia="en-AU"/>
        </w:rPr>
      </w:pPr>
      <w:r>
        <w:rPr>
          <w:rFonts w:ascii="Times New Roman" w:hAnsi="Times New Roman"/>
          <w:color w:val="000000"/>
          <w:shd w:val="clear" w:color="auto" w:fill="FFFFFF"/>
        </w:rPr>
        <w:t>T</w:t>
      </w:r>
      <w:r w:rsidRPr="00173F0D">
        <w:rPr>
          <w:rFonts w:ascii="Times New Roman" w:hAnsi="Times New Roman"/>
          <w:color w:val="000000"/>
          <w:shd w:val="clear" w:color="auto" w:fill="FFFFFF"/>
        </w:rPr>
        <w:t>h</w:t>
      </w:r>
      <w:r>
        <w:rPr>
          <w:rFonts w:ascii="Times New Roman" w:hAnsi="Times New Roman"/>
          <w:color w:val="000000"/>
          <w:shd w:val="clear" w:color="auto" w:fill="FFFFFF"/>
        </w:rPr>
        <w:t>is</w:t>
      </w:r>
      <w:r w:rsidRPr="00173F0D">
        <w:rPr>
          <w:rFonts w:ascii="Times New Roman" w:hAnsi="Times New Roman"/>
          <w:color w:val="000000"/>
          <w:shd w:val="clear" w:color="auto" w:fill="FFFFFF"/>
        </w:rPr>
        <w:t xml:space="preserve"> instrument is made </w:t>
      </w:r>
      <w:r>
        <w:rPr>
          <w:rFonts w:ascii="Times New Roman" w:hAnsi="Times New Roman"/>
          <w:color w:val="000000"/>
          <w:shd w:val="clear" w:color="auto" w:fill="FFFFFF"/>
        </w:rPr>
        <w:t>after the new section 39 of the MRCA-CTPA is enacted but before it commences.</w:t>
      </w:r>
      <w:r w:rsidRPr="00173F0D">
        <w:rPr>
          <w:rFonts w:ascii="Times New Roman" w:hAnsi="Times New Roman"/>
          <w:color w:val="000000"/>
          <w:shd w:val="clear" w:color="auto" w:fill="FFFFFF"/>
        </w:rPr>
        <w:t xml:space="preserve"> </w:t>
      </w:r>
      <w:r>
        <w:rPr>
          <w:rFonts w:ascii="Times New Roman" w:hAnsi="Times New Roman"/>
          <w:color w:val="000000"/>
          <w:shd w:val="clear" w:color="auto" w:fill="FFFFFF"/>
        </w:rPr>
        <w:t>T</w:t>
      </w:r>
      <w:r w:rsidRPr="00173F0D">
        <w:rPr>
          <w:rFonts w:ascii="Times New Roman" w:hAnsi="Times New Roman"/>
          <w:color w:val="000000"/>
          <w:shd w:val="clear" w:color="auto" w:fill="FFFFFF"/>
        </w:rPr>
        <w:t xml:space="preserve">herefore, </w:t>
      </w:r>
      <w:r>
        <w:rPr>
          <w:rFonts w:ascii="Times New Roman" w:hAnsi="Times New Roman"/>
          <w:color w:val="000000"/>
          <w:shd w:val="clear" w:color="auto" w:fill="FFFFFF"/>
        </w:rPr>
        <w:t>the instrument is made under</w:t>
      </w:r>
      <w:r w:rsidRPr="00173F0D">
        <w:rPr>
          <w:rFonts w:ascii="Times New Roman" w:hAnsi="Times New Roman"/>
          <w:color w:val="000000"/>
          <w:shd w:val="clear" w:color="auto" w:fill="FFFFFF"/>
        </w:rPr>
        <w:t xml:space="preserve"> section 4 of</w:t>
      </w:r>
      <w:r>
        <w:rPr>
          <w:rFonts w:ascii="Times New Roman" w:hAnsi="Times New Roman"/>
          <w:color w:val="000000"/>
          <w:shd w:val="clear" w:color="auto" w:fill="FFFFFF"/>
        </w:rPr>
        <w:t xml:space="preserve"> </w:t>
      </w:r>
      <w:r w:rsidRPr="00173F0D">
        <w:rPr>
          <w:rFonts w:ascii="Times New Roman" w:hAnsi="Times New Roman"/>
          <w:color w:val="000000"/>
          <w:shd w:val="clear" w:color="auto" w:fill="FFFFFF"/>
        </w:rPr>
        <w:t xml:space="preserve">the </w:t>
      </w:r>
      <w:r w:rsidRPr="00ED1977">
        <w:rPr>
          <w:rFonts w:ascii="Times New Roman" w:hAnsi="Times New Roman"/>
          <w:i/>
          <w:iCs/>
          <w:color w:val="000000"/>
          <w:shd w:val="clear" w:color="auto" w:fill="FFFFFF"/>
        </w:rPr>
        <w:t>Acts Interpretation Act 1901</w:t>
      </w:r>
      <w:r w:rsidRPr="00173F0D">
        <w:rPr>
          <w:rFonts w:ascii="Times New Roman" w:hAnsi="Times New Roman"/>
          <w:color w:val="000000"/>
          <w:shd w:val="clear" w:color="auto" w:fill="FFFFFF"/>
        </w:rPr>
        <w:t>.</w:t>
      </w:r>
    </w:p>
    <w:bookmarkEnd w:id="3"/>
    <w:p w14:paraId="2A75D84B" w14:textId="77777777" w:rsidR="00154449" w:rsidRDefault="00154449" w:rsidP="00154449">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w:t>
      </w:r>
      <w:r>
        <w:rPr>
          <w:rFonts w:ascii="Times New Roman" w:eastAsia="Times New Roman" w:hAnsi="Times New Roman"/>
          <w:b/>
          <w:bCs/>
          <w:lang w:eastAsia="en-AU"/>
        </w:rPr>
        <w:t>4</w:t>
      </w:r>
      <w:r w:rsidRPr="00E73F20">
        <w:rPr>
          <w:rFonts w:ascii="Times New Roman" w:eastAsia="Times New Roman" w:hAnsi="Times New Roman"/>
          <w:b/>
          <w:bCs/>
          <w:lang w:eastAsia="en-AU"/>
        </w:rPr>
        <w:t xml:space="preserve"> – </w:t>
      </w:r>
      <w:r>
        <w:rPr>
          <w:rFonts w:ascii="Times New Roman" w:eastAsia="Times New Roman" w:hAnsi="Times New Roman"/>
          <w:b/>
          <w:bCs/>
          <w:lang w:eastAsia="en-AU"/>
        </w:rPr>
        <w:t>Schedules</w:t>
      </w:r>
    </w:p>
    <w:p w14:paraId="018A3B16" w14:textId="409FF17B" w:rsidR="00154449" w:rsidRDefault="00154449" w:rsidP="00154449">
      <w:pPr>
        <w:shd w:val="clear" w:color="auto" w:fill="FFFFFF"/>
        <w:spacing w:before="120" w:after="120" w:line="240" w:lineRule="auto"/>
        <w:rPr>
          <w:rFonts w:ascii="Times New Roman" w:hAnsi="Times New Roman"/>
        </w:rPr>
      </w:pPr>
      <w:bookmarkStart w:id="4" w:name="_Hlk187230784"/>
      <w:r w:rsidRPr="00DA798A">
        <w:rPr>
          <w:rFonts w:ascii="Times New Roman" w:eastAsia="Times New Roman" w:hAnsi="Times New Roman"/>
          <w:lang w:eastAsia="en-AU"/>
        </w:rPr>
        <w:t xml:space="preserve">Section 4 provides that each </w:t>
      </w:r>
      <w:r w:rsidRPr="00DA798A">
        <w:rPr>
          <w:rFonts w:ascii="Times New Roman" w:hAnsi="Times New Roman"/>
        </w:rPr>
        <w:t>instrument that is specified in a Schedule to th</w:t>
      </w:r>
      <w:r w:rsidR="004F2B6C">
        <w:rPr>
          <w:rFonts w:ascii="Times New Roman" w:hAnsi="Times New Roman"/>
        </w:rPr>
        <w:t>e</w:t>
      </w:r>
      <w:r w:rsidRPr="00DA798A">
        <w:rPr>
          <w:rFonts w:ascii="Times New Roman" w:hAnsi="Times New Roman"/>
        </w:rPr>
        <w:t xml:space="preserve"> instrument is amended or repealed as set out in the applicable items in the Schedule concerned, and any other item in a Schedule to this instrument has effect according to its terms</w:t>
      </w:r>
      <w:r w:rsidR="0050773F">
        <w:rPr>
          <w:rFonts w:ascii="Times New Roman" w:hAnsi="Times New Roman"/>
        </w:rPr>
        <w:t>.</w:t>
      </w:r>
    </w:p>
    <w:p w14:paraId="010A6C9B" w14:textId="07703F58" w:rsidR="0050773F" w:rsidRPr="0040669F" w:rsidRDefault="0050773F" w:rsidP="00154449">
      <w:pPr>
        <w:shd w:val="clear" w:color="auto" w:fill="FFFFFF"/>
        <w:spacing w:before="120" w:after="120" w:line="240" w:lineRule="auto"/>
        <w:rPr>
          <w:rFonts w:ascii="Times New Roman" w:eastAsia="Times New Roman" w:hAnsi="Times New Roman"/>
          <w:lang w:eastAsia="en-AU"/>
        </w:rPr>
      </w:pPr>
      <w:r w:rsidRPr="00F17CB6">
        <w:rPr>
          <w:rFonts w:ascii="Times New Roman" w:eastAsia="Times New Roman" w:hAnsi="Times New Roman"/>
          <w:lang w:eastAsia="en-AU"/>
        </w:rPr>
        <w:t>This is a standard provision giving effect to all schedules to the instrument.</w:t>
      </w:r>
      <w:r w:rsidR="0040669F" w:rsidRPr="00F17CB6">
        <w:rPr>
          <w:rFonts w:ascii="Times New Roman" w:eastAsia="Times New Roman" w:hAnsi="Times New Roman"/>
          <w:lang w:eastAsia="en-AU"/>
        </w:rPr>
        <w:t xml:space="preserve"> Schedule 1 amends the Military Rehabilitation and Compensation (Consequential and Transitional Provisions) Regulations 2020 (CTP Regulations).</w:t>
      </w:r>
    </w:p>
    <w:bookmarkEnd w:id="4"/>
    <w:p w14:paraId="1576FF2B" w14:textId="77777777" w:rsidR="00154449" w:rsidRDefault="00154449" w:rsidP="00154449">
      <w:pPr>
        <w:spacing w:before="120" w:after="120" w:line="240" w:lineRule="auto"/>
        <w:rPr>
          <w:rFonts w:ascii="Times New Roman" w:hAnsi="Times New Roman"/>
          <w:b/>
        </w:rPr>
      </w:pPr>
    </w:p>
    <w:p w14:paraId="19277487" w14:textId="6E9E5434" w:rsidR="00154449" w:rsidRDefault="00154449" w:rsidP="00154449">
      <w:pPr>
        <w:spacing w:before="120" w:after="120" w:line="240" w:lineRule="auto"/>
        <w:rPr>
          <w:rFonts w:ascii="Times New Roman" w:hAnsi="Times New Roman"/>
          <w:b/>
          <w:bCs/>
        </w:rPr>
      </w:pPr>
      <w:r w:rsidRPr="00B81599">
        <w:rPr>
          <w:rFonts w:ascii="Times New Roman" w:hAnsi="Times New Roman"/>
          <w:b/>
        </w:rPr>
        <w:t xml:space="preserve">Schedule 1 </w:t>
      </w:r>
      <w:r>
        <w:rPr>
          <w:rFonts w:ascii="Times New Roman" w:hAnsi="Times New Roman"/>
          <w:b/>
        </w:rPr>
        <w:t>–</w:t>
      </w:r>
      <w:r w:rsidRPr="00B81599">
        <w:rPr>
          <w:rFonts w:ascii="Times New Roman" w:hAnsi="Times New Roman"/>
          <w:b/>
        </w:rPr>
        <w:t xml:space="preserve"> </w:t>
      </w:r>
      <w:r w:rsidRPr="00B81599">
        <w:rPr>
          <w:rFonts w:ascii="Times New Roman" w:hAnsi="Times New Roman"/>
          <w:b/>
          <w:bCs/>
        </w:rPr>
        <w:t>Amendments</w:t>
      </w:r>
    </w:p>
    <w:p w14:paraId="2181787E" w14:textId="77777777" w:rsidR="00426A21" w:rsidRDefault="002641BD" w:rsidP="00154449">
      <w:pPr>
        <w:spacing w:before="120" w:after="120" w:line="240" w:lineRule="auto"/>
        <w:rPr>
          <w:rFonts w:ascii="Times New Roman" w:hAnsi="Times New Roman"/>
        </w:rPr>
      </w:pPr>
      <w:r w:rsidRPr="002568D7">
        <w:rPr>
          <w:rFonts w:ascii="Times New Roman" w:hAnsi="Times New Roman"/>
          <w:b/>
          <w:bCs/>
        </w:rPr>
        <w:t>Item 1</w:t>
      </w:r>
      <w:r w:rsidRPr="002D67FB">
        <w:rPr>
          <w:rFonts w:ascii="Times New Roman" w:hAnsi="Times New Roman"/>
        </w:rPr>
        <w:t xml:space="preserve"> </w:t>
      </w:r>
      <w:r w:rsidR="00426A21">
        <w:rPr>
          <w:rFonts w:ascii="Times New Roman" w:hAnsi="Times New Roman"/>
          <w:b/>
          <w:bCs/>
        </w:rPr>
        <w:t>– Part 1 (heading)</w:t>
      </w:r>
      <w:r w:rsidR="00426A21" w:rsidRPr="002D67FB">
        <w:rPr>
          <w:rFonts w:ascii="Times New Roman" w:hAnsi="Times New Roman"/>
        </w:rPr>
        <w:t xml:space="preserve"> </w:t>
      </w:r>
    </w:p>
    <w:p w14:paraId="778DD0BB" w14:textId="43427B11" w:rsidR="002641BD" w:rsidRDefault="00426A21" w:rsidP="00154449">
      <w:pPr>
        <w:spacing w:before="120" w:after="120" w:line="240" w:lineRule="auto"/>
        <w:rPr>
          <w:rFonts w:ascii="Times New Roman" w:hAnsi="Times New Roman"/>
        </w:rPr>
      </w:pPr>
      <w:r>
        <w:rPr>
          <w:rFonts w:ascii="Times New Roman" w:hAnsi="Times New Roman"/>
        </w:rPr>
        <w:t>Items 1</w:t>
      </w:r>
      <w:r w:rsidR="00AC6D7D">
        <w:rPr>
          <w:rFonts w:ascii="Times New Roman" w:hAnsi="Times New Roman"/>
        </w:rPr>
        <w:t xml:space="preserve"> </w:t>
      </w:r>
      <w:r w:rsidR="002641BD" w:rsidRPr="002D67FB">
        <w:rPr>
          <w:rFonts w:ascii="Times New Roman" w:hAnsi="Times New Roman"/>
        </w:rPr>
        <w:t>insert</w:t>
      </w:r>
      <w:r w:rsidR="00156678">
        <w:rPr>
          <w:rFonts w:ascii="Times New Roman" w:hAnsi="Times New Roman"/>
        </w:rPr>
        <w:t>s</w:t>
      </w:r>
      <w:r w:rsidR="002641BD" w:rsidRPr="002D67FB">
        <w:rPr>
          <w:rFonts w:ascii="Times New Roman" w:hAnsi="Times New Roman"/>
        </w:rPr>
        <w:t xml:space="preserve"> the </w:t>
      </w:r>
      <w:r w:rsidR="00251D4A">
        <w:rPr>
          <w:rFonts w:ascii="Times New Roman" w:hAnsi="Times New Roman"/>
        </w:rPr>
        <w:t xml:space="preserve">new heading </w:t>
      </w:r>
      <w:r w:rsidR="00EE5ABB" w:rsidRPr="00AC6D7D">
        <w:rPr>
          <w:rFonts w:ascii="Times New Roman" w:hAnsi="Times New Roman"/>
        </w:rPr>
        <w:t>“</w:t>
      </w:r>
      <w:r w:rsidR="002641BD" w:rsidRPr="00FF582B">
        <w:rPr>
          <w:rFonts w:ascii="Times New Roman" w:hAnsi="Times New Roman"/>
        </w:rPr>
        <w:t>Part 1– Preliminary</w:t>
      </w:r>
      <w:r w:rsidR="00EE5ABB" w:rsidRPr="00AC6D7D">
        <w:rPr>
          <w:rFonts w:ascii="Times New Roman" w:hAnsi="Times New Roman"/>
        </w:rPr>
        <w:t>”</w:t>
      </w:r>
      <w:r w:rsidR="002641BD" w:rsidRPr="002D67FB">
        <w:rPr>
          <w:rFonts w:ascii="Times New Roman" w:hAnsi="Times New Roman"/>
        </w:rPr>
        <w:t xml:space="preserve"> </w:t>
      </w:r>
      <w:r w:rsidR="00251D4A">
        <w:rPr>
          <w:rFonts w:ascii="Times New Roman" w:hAnsi="Times New Roman"/>
        </w:rPr>
        <w:t xml:space="preserve">before </w:t>
      </w:r>
      <w:r w:rsidR="004A54B5">
        <w:rPr>
          <w:rFonts w:ascii="Times New Roman" w:hAnsi="Times New Roman"/>
        </w:rPr>
        <w:t>section</w:t>
      </w:r>
      <w:r w:rsidR="002641BD" w:rsidRPr="002D67FB">
        <w:rPr>
          <w:rFonts w:ascii="Times New Roman" w:hAnsi="Times New Roman"/>
        </w:rPr>
        <w:t xml:space="preserve"> 1</w:t>
      </w:r>
      <w:r w:rsidR="00AC6D7D">
        <w:rPr>
          <w:rFonts w:ascii="Times New Roman" w:hAnsi="Times New Roman"/>
        </w:rPr>
        <w:t xml:space="preserve">, </w:t>
      </w:r>
      <w:r w:rsidR="004A54B5">
        <w:rPr>
          <w:rFonts w:ascii="Times New Roman" w:hAnsi="Times New Roman"/>
        </w:rPr>
        <w:t>as a navigation aid</w:t>
      </w:r>
      <w:r w:rsidR="002641BD" w:rsidRPr="002D67FB">
        <w:rPr>
          <w:rFonts w:ascii="Times New Roman" w:hAnsi="Times New Roman"/>
        </w:rPr>
        <w:t>.</w:t>
      </w:r>
      <w:r w:rsidR="0040669F">
        <w:rPr>
          <w:rFonts w:ascii="Times New Roman" w:hAnsi="Times New Roman"/>
        </w:rPr>
        <w:t xml:space="preserve"> This amendment is consequential </w:t>
      </w:r>
      <w:r w:rsidR="00D70281">
        <w:rPr>
          <w:rFonts w:ascii="Times New Roman" w:hAnsi="Times New Roman"/>
        </w:rPr>
        <w:t>t</w:t>
      </w:r>
      <w:r w:rsidR="0040669F">
        <w:rPr>
          <w:rFonts w:ascii="Times New Roman" w:hAnsi="Times New Roman"/>
        </w:rPr>
        <w:t>o splitting the existing CTP Regulations into parts to facilitate the creation of the new Part 3.</w:t>
      </w:r>
    </w:p>
    <w:p w14:paraId="1E3D7227" w14:textId="4FFE6904" w:rsidR="00251D4A" w:rsidRDefault="002641BD" w:rsidP="00154449">
      <w:pPr>
        <w:spacing w:before="120" w:after="120" w:line="240" w:lineRule="auto"/>
        <w:rPr>
          <w:rFonts w:ascii="Times New Roman" w:hAnsi="Times New Roman"/>
        </w:rPr>
      </w:pPr>
      <w:r w:rsidRPr="002568D7">
        <w:rPr>
          <w:rFonts w:ascii="Times New Roman" w:hAnsi="Times New Roman"/>
          <w:b/>
          <w:bCs/>
        </w:rPr>
        <w:t>Item 2</w:t>
      </w:r>
      <w:r w:rsidRPr="002D67FB">
        <w:rPr>
          <w:rFonts w:ascii="Times New Roman" w:hAnsi="Times New Roman"/>
        </w:rPr>
        <w:t xml:space="preserve"> </w:t>
      </w:r>
      <w:r w:rsidR="00AC6D7D">
        <w:rPr>
          <w:rFonts w:ascii="Times New Roman" w:hAnsi="Times New Roman"/>
          <w:b/>
          <w:bCs/>
        </w:rPr>
        <w:t>– Part 1</w:t>
      </w:r>
    </w:p>
    <w:p w14:paraId="1269E009" w14:textId="5B067B25" w:rsidR="00D14BE5" w:rsidRDefault="00251D4A" w:rsidP="00154449">
      <w:pPr>
        <w:spacing w:before="120" w:after="120" w:line="240" w:lineRule="auto"/>
        <w:rPr>
          <w:rFonts w:ascii="Times New Roman" w:hAnsi="Times New Roman"/>
        </w:rPr>
      </w:pPr>
      <w:r>
        <w:rPr>
          <w:rFonts w:ascii="Times New Roman" w:hAnsi="Times New Roman"/>
        </w:rPr>
        <w:t xml:space="preserve">Item 2 </w:t>
      </w:r>
      <w:r w:rsidR="002641BD" w:rsidRPr="002D67FB">
        <w:rPr>
          <w:rFonts w:ascii="Times New Roman" w:hAnsi="Times New Roman"/>
        </w:rPr>
        <w:t>add</w:t>
      </w:r>
      <w:r>
        <w:rPr>
          <w:rFonts w:ascii="Times New Roman" w:hAnsi="Times New Roman"/>
        </w:rPr>
        <w:t>s</w:t>
      </w:r>
      <w:r w:rsidR="002641BD" w:rsidRPr="002D67FB">
        <w:rPr>
          <w:rFonts w:ascii="Times New Roman" w:hAnsi="Times New Roman"/>
        </w:rPr>
        <w:t xml:space="preserve"> </w:t>
      </w:r>
      <w:r w:rsidR="00EE5ABB">
        <w:rPr>
          <w:rFonts w:ascii="Times New Roman" w:hAnsi="Times New Roman"/>
        </w:rPr>
        <w:t>“</w:t>
      </w:r>
      <w:r w:rsidR="002641BD" w:rsidRPr="00FF582B">
        <w:rPr>
          <w:rFonts w:ascii="Times New Roman" w:hAnsi="Times New Roman"/>
        </w:rPr>
        <w:t>Simplification Act</w:t>
      </w:r>
      <w:r w:rsidR="00EE5ABB">
        <w:rPr>
          <w:rFonts w:ascii="Times New Roman" w:hAnsi="Times New Roman"/>
        </w:rPr>
        <w:t>”</w:t>
      </w:r>
      <w:r w:rsidR="002641BD" w:rsidRPr="002D67FB">
        <w:rPr>
          <w:rFonts w:ascii="Times New Roman" w:hAnsi="Times New Roman"/>
        </w:rPr>
        <w:t xml:space="preserve"> </w:t>
      </w:r>
      <w:r w:rsidR="004A54B5">
        <w:rPr>
          <w:rFonts w:ascii="Times New Roman" w:hAnsi="Times New Roman"/>
        </w:rPr>
        <w:t xml:space="preserve">at paragraph </w:t>
      </w:r>
      <w:r w:rsidR="002641BD" w:rsidRPr="002D67FB">
        <w:rPr>
          <w:rFonts w:ascii="Times New Roman" w:hAnsi="Times New Roman"/>
        </w:rPr>
        <w:t xml:space="preserve">(c) at the end of note 1 under </w:t>
      </w:r>
      <w:r w:rsidR="004A54B5">
        <w:rPr>
          <w:rFonts w:ascii="Times New Roman" w:hAnsi="Times New Roman"/>
        </w:rPr>
        <w:t>section</w:t>
      </w:r>
      <w:r w:rsidR="002641BD" w:rsidRPr="002D67FB">
        <w:rPr>
          <w:rFonts w:ascii="Times New Roman" w:hAnsi="Times New Roman"/>
        </w:rPr>
        <w:t xml:space="preserve"> 5</w:t>
      </w:r>
      <w:r w:rsidR="004A54B5">
        <w:rPr>
          <w:rFonts w:ascii="Times New Roman" w:hAnsi="Times New Roman"/>
        </w:rPr>
        <w:t xml:space="preserve">, which </w:t>
      </w:r>
      <w:r w:rsidR="00D14BE5" w:rsidRPr="00D14BE5">
        <w:rPr>
          <w:rFonts w:ascii="Times New Roman" w:hAnsi="Times New Roman"/>
        </w:rPr>
        <w:t>contains definitions relevant to the regulations.</w:t>
      </w:r>
      <w:r w:rsidR="004A54B5">
        <w:rPr>
          <w:rFonts w:ascii="Times New Roman" w:hAnsi="Times New Roman"/>
        </w:rPr>
        <w:t xml:space="preserve"> </w:t>
      </w:r>
      <w:r w:rsidR="00D14BE5" w:rsidRPr="00D14BE5">
        <w:rPr>
          <w:rFonts w:ascii="Times New Roman" w:hAnsi="Times New Roman"/>
        </w:rPr>
        <w:t xml:space="preserve">Note 1 lists the definitions used in the Regulations </w:t>
      </w:r>
      <w:r w:rsidR="000F41DC">
        <w:rPr>
          <w:rFonts w:ascii="Times New Roman" w:hAnsi="Times New Roman"/>
        </w:rPr>
        <w:t>which</w:t>
      </w:r>
      <w:r w:rsidR="00D14BE5" w:rsidRPr="00D14BE5">
        <w:rPr>
          <w:rFonts w:ascii="Times New Roman" w:hAnsi="Times New Roman"/>
        </w:rPr>
        <w:t xml:space="preserve"> hav</w:t>
      </w:r>
      <w:r w:rsidR="000F41DC">
        <w:rPr>
          <w:rFonts w:ascii="Times New Roman" w:hAnsi="Times New Roman"/>
        </w:rPr>
        <w:t>e</w:t>
      </w:r>
      <w:r w:rsidR="00D14BE5" w:rsidRPr="00D14BE5">
        <w:rPr>
          <w:rFonts w:ascii="Times New Roman" w:hAnsi="Times New Roman"/>
        </w:rPr>
        <w:t xml:space="preserve"> the same </w:t>
      </w:r>
      <w:r w:rsidR="000F41DC">
        <w:rPr>
          <w:rFonts w:ascii="Times New Roman" w:hAnsi="Times New Roman"/>
        </w:rPr>
        <w:t>meaning a</w:t>
      </w:r>
      <w:r w:rsidR="00D14BE5" w:rsidRPr="00D14BE5">
        <w:rPr>
          <w:rFonts w:ascii="Times New Roman" w:hAnsi="Times New Roman"/>
        </w:rPr>
        <w:t xml:space="preserve">s they have in the </w:t>
      </w:r>
      <w:r w:rsidR="004A54B5" w:rsidRPr="008D28AE">
        <w:rPr>
          <w:rFonts w:ascii="Times New Roman" w:hAnsi="Times New Roman"/>
          <w:i/>
          <w:iCs/>
        </w:rPr>
        <w:t>Military Rehabilitation and Compensation Act 2004</w:t>
      </w:r>
      <w:r w:rsidR="004A54B5">
        <w:rPr>
          <w:rFonts w:ascii="Times New Roman" w:hAnsi="Times New Roman"/>
        </w:rPr>
        <w:t xml:space="preserve"> (MRCA)</w:t>
      </w:r>
      <w:r w:rsidR="00D14BE5" w:rsidRPr="00D14BE5">
        <w:rPr>
          <w:rFonts w:ascii="Times New Roman" w:hAnsi="Times New Roman"/>
        </w:rPr>
        <w:t>.</w:t>
      </w:r>
    </w:p>
    <w:p w14:paraId="182675F9" w14:textId="6EB37686" w:rsidR="00251D4A" w:rsidRDefault="002641BD" w:rsidP="00154449">
      <w:pPr>
        <w:spacing w:before="120" w:after="120" w:line="240" w:lineRule="auto"/>
        <w:rPr>
          <w:rFonts w:ascii="Times New Roman" w:hAnsi="Times New Roman"/>
        </w:rPr>
      </w:pPr>
      <w:r w:rsidRPr="002D67FB">
        <w:rPr>
          <w:rFonts w:ascii="Times New Roman" w:hAnsi="Times New Roman"/>
          <w:b/>
          <w:bCs/>
        </w:rPr>
        <w:t>Item 3</w:t>
      </w:r>
      <w:r>
        <w:rPr>
          <w:rFonts w:ascii="Times New Roman" w:hAnsi="Times New Roman"/>
        </w:rPr>
        <w:t xml:space="preserve"> </w:t>
      </w:r>
      <w:r w:rsidR="00AC6D7D">
        <w:rPr>
          <w:rFonts w:ascii="Times New Roman" w:hAnsi="Times New Roman"/>
          <w:b/>
          <w:bCs/>
        </w:rPr>
        <w:t>– Part 2 (heading)</w:t>
      </w:r>
    </w:p>
    <w:p w14:paraId="33443AC6" w14:textId="6385B835" w:rsidR="002641BD" w:rsidRPr="00AC6D7D" w:rsidRDefault="00AC6D7D" w:rsidP="00154449">
      <w:pPr>
        <w:spacing w:before="120" w:after="120" w:line="240" w:lineRule="auto"/>
        <w:rPr>
          <w:rFonts w:ascii="Times New Roman" w:hAnsi="Times New Roman"/>
        </w:rPr>
      </w:pPr>
      <w:r>
        <w:rPr>
          <w:rFonts w:ascii="Times New Roman" w:hAnsi="Times New Roman"/>
        </w:rPr>
        <w:t xml:space="preserve">Item 3 </w:t>
      </w:r>
      <w:r w:rsidR="002641BD">
        <w:rPr>
          <w:rFonts w:ascii="Times New Roman" w:hAnsi="Times New Roman"/>
        </w:rPr>
        <w:t>insert</w:t>
      </w:r>
      <w:r w:rsidR="00251D4A">
        <w:rPr>
          <w:rFonts w:ascii="Times New Roman" w:hAnsi="Times New Roman"/>
        </w:rPr>
        <w:t>s</w:t>
      </w:r>
      <w:r w:rsidR="002641BD">
        <w:rPr>
          <w:rFonts w:ascii="Times New Roman" w:hAnsi="Times New Roman"/>
        </w:rPr>
        <w:t xml:space="preserve"> a new heading</w:t>
      </w:r>
      <w:r w:rsidR="00251D4A">
        <w:rPr>
          <w:rFonts w:ascii="Times New Roman" w:hAnsi="Times New Roman"/>
        </w:rPr>
        <w:t xml:space="preserve">, </w:t>
      </w:r>
      <w:r w:rsidR="00EE5ABB" w:rsidRPr="00AC6D7D">
        <w:rPr>
          <w:rFonts w:ascii="Times New Roman" w:hAnsi="Times New Roman"/>
        </w:rPr>
        <w:t>“</w:t>
      </w:r>
      <w:r w:rsidR="002641BD" w:rsidRPr="00FF582B">
        <w:rPr>
          <w:rFonts w:ascii="Times New Roman" w:hAnsi="Times New Roman"/>
        </w:rPr>
        <w:t>Part 2 – Matters arising out of the enactment of the MRCA</w:t>
      </w:r>
      <w:r w:rsidR="00EE5ABB" w:rsidRPr="00AC6D7D">
        <w:rPr>
          <w:rFonts w:ascii="Times New Roman" w:hAnsi="Times New Roman"/>
        </w:rPr>
        <w:t>”</w:t>
      </w:r>
      <w:r w:rsidR="004A54B5">
        <w:rPr>
          <w:rFonts w:ascii="Times New Roman" w:hAnsi="Times New Roman"/>
        </w:rPr>
        <w:t xml:space="preserve"> before section 6</w:t>
      </w:r>
      <w:r>
        <w:rPr>
          <w:rFonts w:ascii="Times New Roman" w:hAnsi="Times New Roman"/>
        </w:rPr>
        <w:t>, to assist readers to identify th</w:t>
      </w:r>
      <w:r w:rsidR="004A24E6">
        <w:rPr>
          <w:rFonts w:ascii="Times New Roman" w:hAnsi="Times New Roman"/>
        </w:rPr>
        <w:t xml:space="preserve">e arrangements that are prescribed </w:t>
      </w:r>
      <w:r w:rsidR="004A24E6" w:rsidRPr="004A24E6">
        <w:rPr>
          <w:rFonts w:ascii="Times New Roman" w:hAnsi="Times New Roman"/>
        </w:rPr>
        <w:t>in connection with the MRCA, wh</w:t>
      </w:r>
      <w:r w:rsidR="000F41DC">
        <w:rPr>
          <w:rFonts w:ascii="Times New Roman" w:hAnsi="Times New Roman"/>
        </w:rPr>
        <w:t xml:space="preserve">en it </w:t>
      </w:r>
      <w:r w:rsidR="004A24E6" w:rsidRPr="004A24E6">
        <w:rPr>
          <w:rFonts w:ascii="Times New Roman" w:hAnsi="Times New Roman"/>
        </w:rPr>
        <w:t xml:space="preserve">commenced </w:t>
      </w:r>
      <w:r w:rsidR="007A69E6">
        <w:rPr>
          <w:rFonts w:ascii="Times New Roman" w:hAnsi="Times New Roman"/>
        </w:rPr>
        <w:t>in</w:t>
      </w:r>
      <w:r w:rsidR="004A24E6" w:rsidRPr="004A24E6">
        <w:rPr>
          <w:rFonts w:ascii="Times New Roman" w:hAnsi="Times New Roman"/>
        </w:rPr>
        <w:t xml:space="preserve"> 2004</w:t>
      </w:r>
      <w:r w:rsidR="002641BD" w:rsidRPr="00AC6D7D">
        <w:rPr>
          <w:rFonts w:ascii="Times New Roman" w:hAnsi="Times New Roman"/>
        </w:rPr>
        <w:t>.</w:t>
      </w:r>
      <w:r w:rsidR="0040669F">
        <w:rPr>
          <w:rFonts w:ascii="Times New Roman" w:hAnsi="Times New Roman"/>
        </w:rPr>
        <w:t xml:space="preserve"> This amendment is consequential </w:t>
      </w:r>
      <w:r w:rsidR="00D70281">
        <w:rPr>
          <w:rFonts w:ascii="Times New Roman" w:hAnsi="Times New Roman"/>
        </w:rPr>
        <w:t>t</w:t>
      </w:r>
      <w:r w:rsidR="0040669F">
        <w:rPr>
          <w:rFonts w:ascii="Times New Roman" w:hAnsi="Times New Roman"/>
        </w:rPr>
        <w:t>o splitting the existing CTP Regulations into parts to facilitate the creation of the new Part 3.</w:t>
      </w:r>
    </w:p>
    <w:p w14:paraId="19BB2D0A" w14:textId="3CB96B0A" w:rsidR="00156678" w:rsidRDefault="002641BD" w:rsidP="00154449">
      <w:pPr>
        <w:spacing w:before="120" w:after="120" w:line="240" w:lineRule="auto"/>
        <w:rPr>
          <w:rFonts w:ascii="Times New Roman" w:hAnsi="Times New Roman"/>
        </w:rPr>
      </w:pPr>
      <w:r w:rsidRPr="002D67FB">
        <w:rPr>
          <w:rFonts w:ascii="Times New Roman" w:hAnsi="Times New Roman"/>
          <w:b/>
          <w:bCs/>
        </w:rPr>
        <w:t>Item 4</w:t>
      </w:r>
      <w:r>
        <w:rPr>
          <w:rFonts w:ascii="Times New Roman" w:hAnsi="Times New Roman"/>
        </w:rPr>
        <w:t xml:space="preserve"> </w:t>
      </w:r>
      <w:r w:rsidR="00156678">
        <w:rPr>
          <w:rFonts w:ascii="Times New Roman" w:hAnsi="Times New Roman"/>
        </w:rPr>
        <w:t xml:space="preserve">– </w:t>
      </w:r>
      <w:r w:rsidR="004A24E6" w:rsidRPr="00FF582B">
        <w:rPr>
          <w:rFonts w:ascii="Times New Roman" w:hAnsi="Times New Roman"/>
          <w:b/>
          <w:bCs/>
        </w:rPr>
        <w:t xml:space="preserve">Part 3 (heading), </w:t>
      </w:r>
      <w:r w:rsidR="00156678" w:rsidRPr="00FF582B">
        <w:rPr>
          <w:rFonts w:ascii="Times New Roman" w:hAnsi="Times New Roman"/>
          <w:b/>
          <w:bCs/>
        </w:rPr>
        <w:t>Continued effect of certain instruments</w:t>
      </w:r>
    </w:p>
    <w:p w14:paraId="659366AA" w14:textId="3D580B9A" w:rsidR="002641BD" w:rsidRDefault="00156678" w:rsidP="00154449">
      <w:pPr>
        <w:spacing w:before="120" w:after="120" w:line="240" w:lineRule="auto"/>
        <w:rPr>
          <w:rFonts w:ascii="Times New Roman" w:hAnsi="Times New Roman"/>
        </w:rPr>
      </w:pPr>
      <w:r>
        <w:rPr>
          <w:rFonts w:ascii="Times New Roman" w:hAnsi="Times New Roman"/>
        </w:rPr>
        <w:t xml:space="preserve">Item 4 </w:t>
      </w:r>
      <w:r w:rsidR="002641BD">
        <w:rPr>
          <w:rFonts w:ascii="Times New Roman" w:hAnsi="Times New Roman"/>
        </w:rPr>
        <w:t>insert</w:t>
      </w:r>
      <w:r>
        <w:rPr>
          <w:rFonts w:ascii="Times New Roman" w:hAnsi="Times New Roman"/>
        </w:rPr>
        <w:t>s</w:t>
      </w:r>
      <w:r w:rsidR="002641BD">
        <w:rPr>
          <w:rFonts w:ascii="Times New Roman" w:hAnsi="Times New Roman"/>
        </w:rPr>
        <w:t xml:space="preserve"> after </w:t>
      </w:r>
      <w:r w:rsidR="004A24E6">
        <w:rPr>
          <w:rFonts w:ascii="Times New Roman" w:hAnsi="Times New Roman"/>
        </w:rPr>
        <w:t>section</w:t>
      </w:r>
      <w:r w:rsidR="002641BD">
        <w:rPr>
          <w:rFonts w:ascii="Times New Roman" w:hAnsi="Times New Roman"/>
        </w:rPr>
        <w:t xml:space="preserve"> 7</w:t>
      </w:r>
      <w:r w:rsidR="00AC6D7D">
        <w:rPr>
          <w:rFonts w:ascii="Times New Roman" w:hAnsi="Times New Roman"/>
        </w:rPr>
        <w:t>,</w:t>
      </w:r>
      <w:r w:rsidR="002641BD">
        <w:rPr>
          <w:rFonts w:ascii="Times New Roman" w:hAnsi="Times New Roman"/>
        </w:rPr>
        <w:t xml:space="preserve"> </w:t>
      </w:r>
      <w:r w:rsidR="00AC6D7D">
        <w:rPr>
          <w:rFonts w:ascii="Times New Roman" w:hAnsi="Times New Roman"/>
        </w:rPr>
        <w:t>a new heading for “</w:t>
      </w:r>
      <w:r w:rsidR="002641BD" w:rsidRPr="00FF582B">
        <w:rPr>
          <w:rFonts w:ascii="Times New Roman" w:hAnsi="Times New Roman"/>
        </w:rPr>
        <w:t>Part 3—Matters arising out of the enactment of Schedule 3 to the Simplification Act</w:t>
      </w:r>
      <w:r w:rsidR="00EE5ABB" w:rsidRPr="00251D4A">
        <w:rPr>
          <w:rFonts w:ascii="Times New Roman" w:hAnsi="Times New Roman"/>
        </w:rPr>
        <w:t>”</w:t>
      </w:r>
      <w:r w:rsidR="00AC6D7D">
        <w:rPr>
          <w:rFonts w:ascii="Times New Roman" w:hAnsi="Times New Roman"/>
        </w:rPr>
        <w:t xml:space="preserve"> to divide up the </w:t>
      </w:r>
      <w:r w:rsidR="0040669F">
        <w:rPr>
          <w:rFonts w:ascii="Times New Roman" w:hAnsi="Times New Roman"/>
        </w:rPr>
        <w:t>CTP</w:t>
      </w:r>
      <w:r w:rsidR="00AC6D7D">
        <w:rPr>
          <w:rFonts w:ascii="Times New Roman" w:hAnsi="Times New Roman"/>
        </w:rPr>
        <w:t xml:space="preserve"> Regulations</w:t>
      </w:r>
      <w:r w:rsidR="0040669F">
        <w:rPr>
          <w:rFonts w:ascii="Times New Roman" w:hAnsi="Times New Roman"/>
        </w:rPr>
        <w:t xml:space="preserve"> into parts</w:t>
      </w:r>
      <w:r w:rsidR="004A24E6">
        <w:rPr>
          <w:rFonts w:ascii="Times New Roman" w:hAnsi="Times New Roman"/>
        </w:rPr>
        <w:t>, with new Part 3 to contain provisions that are</w:t>
      </w:r>
      <w:r w:rsidR="00AC6D7D" w:rsidRPr="00AC6D7D">
        <w:rPr>
          <w:rFonts w:ascii="Times New Roman" w:hAnsi="Times New Roman"/>
        </w:rPr>
        <w:t xml:space="preserve"> </w:t>
      </w:r>
      <w:r w:rsidR="004A24E6">
        <w:rPr>
          <w:rFonts w:ascii="Times New Roman" w:hAnsi="Times New Roman"/>
        </w:rPr>
        <w:t>relevant to Schedule 3 of the Simplification Act</w:t>
      </w:r>
      <w:r w:rsidR="00AC6D7D" w:rsidRPr="002D67FB">
        <w:rPr>
          <w:rFonts w:ascii="Times New Roman" w:hAnsi="Times New Roman"/>
        </w:rPr>
        <w:t>.</w:t>
      </w:r>
    </w:p>
    <w:p w14:paraId="58AE8781" w14:textId="7A2F3ED7" w:rsidR="002641BD" w:rsidRDefault="00D14BE5" w:rsidP="00154449">
      <w:pPr>
        <w:spacing w:before="120" w:after="120" w:line="240" w:lineRule="auto"/>
        <w:rPr>
          <w:rFonts w:ascii="Times New Roman" w:hAnsi="Times New Roman"/>
        </w:rPr>
      </w:pPr>
      <w:r>
        <w:rPr>
          <w:rFonts w:ascii="Times New Roman" w:hAnsi="Times New Roman"/>
        </w:rPr>
        <w:t>N</w:t>
      </w:r>
      <w:r w:rsidR="00A653B1">
        <w:rPr>
          <w:rFonts w:ascii="Times New Roman" w:hAnsi="Times New Roman"/>
        </w:rPr>
        <w:t xml:space="preserve">ew </w:t>
      </w:r>
      <w:r w:rsidR="004A24E6">
        <w:rPr>
          <w:rFonts w:ascii="Times New Roman" w:hAnsi="Times New Roman"/>
        </w:rPr>
        <w:t>section</w:t>
      </w:r>
      <w:r w:rsidR="00A653B1">
        <w:rPr>
          <w:rFonts w:ascii="Times New Roman" w:hAnsi="Times New Roman"/>
        </w:rPr>
        <w:t xml:space="preserve"> 8 refer</w:t>
      </w:r>
      <w:r w:rsidR="00EE5ABB">
        <w:rPr>
          <w:rFonts w:ascii="Times New Roman" w:hAnsi="Times New Roman"/>
        </w:rPr>
        <w:t>s</w:t>
      </w:r>
      <w:r w:rsidR="00A653B1">
        <w:rPr>
          <w:rFonts w:ascii="Times New Roman" w:hAnsi="Times New Roman"/>
        </w:rPr>
        <w:t xml:space="preserve"> to the continued effect of certain instruments</w:t>
      </w:r>
      <w:r w:rsidR="00C95C21">
        <w:rPr>
          <w:rFonts w:ascii="Times New Roman" w:hAnsi="Times New Roman"/>
        </w:rPr>
        <w:t>.</w:t>
      </w:r>
    </w:p>
    <w:p w14:paraId="2FF2AB1D" w14:textId="052D4098" w:rsidR="00EB474D" w:rsidRDefault="00C95C21" w:rsidP="00154449">
      <w:pPr>
        <w:spacing w:before="120" w:after="120" w:line="240" w:lineRule="auto"/>
        <w:rPr>
          <w:rFonts w:ascii="Times New Roman" w:hAnsi="Times New Roman"/>
        </w:rPr>
      </w:pPr>
      <w:r>
        <w:rPr>
          <w:rFonts w:ascii="Times New Roman" w:hAnsi="Times New Roman"/>
        </w:rPr>
        <w:t>S</w:t>
      </w:r>
      <w:r w:rsidRPr="00C95C21">
        <w:rPr>
          <w:rFonts w:ascii="Times New Roman" w:hAnsi="Times New Roman"/>
        </w:rPr>
        <w:t>ub</w:t>
      </w:r>
      <w:r w:rsidR="004A24E6">
        <w:rPr>
          <w:rFonts w:ascii="Times New Roman" w:hAnsi="Times New Roman"/>
        </w:rPr>
        <w:t>section</w:t>
      </w:r>
      <w:r>
        <w:rPr>
          <w:rFonts w:ascii="Times New Roman" w:hAnsi="Times New Roman"/>
        </w:rPr>
        <w:t xml:space="preserve"> 8(1) sets out that an instrument made under subsection 170B(1) of the </w:t>
      </w:r>
      <w:r w:rsidR="00EE5ABB">
        <w:rPr>
          <w:rFonts w:ascii="Times New Roman" w:hAnsi="Times New Roman"/>
        </w:rPr>
        <w:t xml:space="preserve">old </w:t>
      </w:r>
      <w:r>
        <w:rPr>
          <w:rFonts w:ascii="Times New Roman" w:hAnsi="Times New Roman"/>
        </w:rPr>
        <w:t xml:space="preserve">VEA </w:t>
      </w:r>
      <w:r w:rsidR="00FF14E1">
        <w:rPr>
          <w:rFonts w:ascii="Times New Roman" w:hAnsi="Times New Roman"/>
        </w:rPr>
        <w:t xml:space="preserve">that is </w:t>
      </w:r>
      <w:r>
        <w:rPr>
          <w:rFonts w:ascii="Times New Roman" w:hAnsi="Times New Roman"/>
        </w:rPr>
        <w:t xml:space="preserve">in force immediately prior to the commencement of the review pathway, will continue to have effect as </w:t>
      </w:r>
      <w:r>
        <w:rPr>
          <w:rFonts w:ascii="Times New Roman" w:hAnsi="Times New Roman"/>
        </w:rPr>
        <w:lastRenderedPageBreak/>
        <w:t>though</w:t>
      </w:r>
      <w:r w:rsidR="00EE5ABB">
        <w:rPr>
          <w:rFonts w:ascii="Times New Roman" w:hAnsi="Times New Roman"/>
        </w:rPr>
        <w:t xml:space="preserve"> it were made under subsection 353P(1) of the MRCA after the review pathway commencement day.</w:t>
      </w:r>
    </w:p>
    <w:p w14:paraId="3770E89C" w14:textId="57E7030D" w:rsidR="004A24E6" w:rsidRDefault="00D14BE5" w:rsidP="00154449">
      <w:pPr>
        <w:spacing w:before="120" w:after="120" w:line="240" w:lineRule="auto"/>
        <w:rPr>
          <w:rFonts w:ascii="Times New Roman" w:hAnsi="Times New Roman"/>
        </w:rPr>
      </w:pPr>
      <w:r>
        <w:rPr>
          <w:rFonts w:ascii="Times New Roman" w:hAnsi="Times New Roman"/>
        </w:rPr>
        <w:t>S</w:t>
      </w:r>
      <w:r w:rsidRPr="00C95C21">
        <w:rPr>
          <w:rFonts w:ascii="Times New Roman" w:hAnsi="Times New Roman"/>
        </w:rPr>
        <w:t>ub</w:t>
      </w:r>
      <w:r w:rsidR="00F15E59">
        <w:rPr>
          <w:rFonts w:ascii="Times New Roman" w:hAnsi="Times New Roman"/>
        </w:rPr>
        <w:t>section</w:t>
      </w:r>
      <w:r>
        <w:rPr>
          <w:rFonts w:ascii="Times New Roman" w:hAnsi="Times New Roman"/>
        </w:rPr>
        <w:t xml:space="preserve"> 8(2) provides that t</w:t>
      </w:r>
      <w:r w:rsidR="00EE5ABB">
        <w:rPr>
          <w:rFonts w:ascii="Times New Roman" w:hAnsi="Times New Roman"/>
        </w:rPr>
        <w:t xml:space="preserve">he terms “old VEA” and “review pathway commencement day” are </w:t>
      </w:r>
      <w:r>
        <w:rPr>
          <w:rFonts w:ascii="Times New Roman" w:hAnsi="Times New Roman"/>
        </w:rPr>
        <w:t xml:space="preserve">as </w:t>
      </w:r>
      <w:r w:rsidR="00EE5ABB">
        <w:rPr>
          <w:rFonts w:ascii="Times New Roman" w:hAnsi="Times New Roman"/>
        </w:rPr>
        <w:t>defined in section 25 of the MRCA</w:t>
      </w:r>
      <w:r w:rsidR="00F17CB6">
        <w:rPr>
          <w:rFonts w:ascii="Times New Roman" w:hAnsi="Times New Roman"/>
        </w:rPr>
        <w:t>-CTPA</w:t>
      </w:r>
      <w:r w:rsidR="00EE5ABB">
        <w:rPr>
          <w:rFonts w:ascii="Times New Roman" w:hAnsi="Times New Roman"/>
        </w:rPr>
        <w:t>.</w:t>
      </w:r>
    </w:p>
    <w:p w14:paraId="0740ACEA" w14:textId="20591A29" w:rsidR="00985074" w:rsidRPr="003D2E23" w:rsidRDefault="00FF14E1" w:rsidP="00A77432">
      <w:pPr>
        <w:pStyle w:val="Definition"/>
        <w:ind w:left="0"/>
      </w:pPr>
      <w:r>
        <w:t>This section mirrors the ‘continued effect’ of similar instruments set out in</w:t>
      </w:r>
      <w:r w:rsidR="00EB474D">
        <w:t xml:space="preserve"> the new section 38 of the</w:t>
      </w:r>
      <w:r>
        <w:t xml:space="preserve"> MRCA-CTPA, as inserted by the </w:t>
      </w:r>
      <w:r w:rsidR="00EB474D">
        <w:t>Simplification Act</w:t>
      </w:r>
      <w:r w:rsidR="00D70281">
        <w:t>,</w:t>
      </w:r>
      <w:r w:rsidR="000F41DC">
        <w:t xml:space="preserve"> to facilitate the payment </w:t>
      </w:r>
      <w:r w:rsidR="007A69E6">
        <w:t>of</w:t>
      </w:r>
      <w:r w:rsidR="000F41DC">
        <w:t xml:space="preserve"> a</w:t>
      </w:r>
      <w:r w:rsidR="007A69E6">
        <w:t>n</w:t>
      </w:r>
      <w:r w:rsidR="000F41DC">
        <w:t xml:space="preserve"> applicant</w:t>
      </w:r>
      <w:r w:rsidR="007A69E6">
        <w:t>’s</w:t>
      </w:r>
      <w:r w:rsidR="000F41DC">
        <w:t xml:space="preserve"> travel expenses associated with obtaining medical evidence for a VRB review</w:t>
      </w:r>
      <w:r w:rsidR="004A24E6">
        <w:t>.</w:t>
      </w:r>
    </w:p>
    <w:sectPr w:rsidR="00985074" w:rsidRPr="003D2E23" w:rsidSect="000E60B1">
      <w:headerReference w:type="default" r:id="rId17"/>
      <w:footerReference w:type="default" r:id="rId18"/>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49C7" w14:textId="77777777" w:rsidR="008A4BD3" w:rsidRDefault="008A4BD3" w:rsidP="000E60B1">
      <w:pPr>
        <w:spacing w:after="0" w:line="240" w:lineRule="auto"/>
      </w:pPr>
      <w:r>
        <w:separator/>
      </w:r>
    </w:p>
  </w:endnote>
  <w:endnote w:type="continuationSeparator" w:id="0">
    <w:p w14:paraId="25853EBA" w14:textId="77777777" w:rsidR="008A4BD3" w:rsidRDefault="008A4BD3" w:rsidP="000E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3E44" w14:textId="77777777" w:rsidR="006E75F8" w:rsidRDefault="006E7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ACF0" w14:textId="25C240C5" w:rsidR="000E60B1" w:rsidRPr="006B03DD" w:rsidRDefault="00A62327">
    <w:pPr>
      <w:pStyle w:val="Footer"/>
      <w:jc w:val="center"/>
      <w:rPr>
        <w:rFonts w:ascii="Times New Roman" w:hAnsi="Times New Roman" w:cs="Times New Roman"/>
      </w:rPr>
    </w:pPr>
    <w:sdt>
      <w:sdtPr>
        <w:id w:val="1995751126"/>
        <w:docPartObj>
          <w:docPartGallery w:val="Page Numbers (Bottom of Page)"/>
          <w:docPartUnique/>
        </w:docPartObj>
      </w:sdtPr>
      <w:sdtEndPr>
        <w:rPr>
          <w:rFonts w:ascii="Times New Roman" w:hAnsi="Times New Roman" w:cs="Times New Roman"/>
          <w:noProof/>
        </w:rPr>
      </w:sdtEndPr>
      <w:sdtContent>
        <w:r w:rsidR="000E60B1" w:rsidRPr="006B03DD">
          <w:rPr>
            <w:rFonts w:ascii="Times New Roman" w:hAnsi="Times New Roman" w:cs="Times New Roman"/>
          </w:rPr>
          <w:fldChar w:fldCharType="begin"/>
        </w:r>
        <w:r w:rsidR="000E60B1" w:rsidRPr="006B03DD">
          <w:rPr>
            <w:rFonts w:ascii="Times New Roman" w:hAnsi="Times New Roman" w:cs="Times New Roman"/>
          </w:rPr>
          <w:instrText xml:space="preserve"> PAGE   \* MERGEFORMAT </w:instrText>
        </w:r>
        <w:r w:rsidR="000E60B1" w:rsidRPr="006B03DD">
          <w:rPr>
            <w:rFonts w:ascii="Times New Roman" w:hAnsi="Times New Roman" w:cs="Times New Roman"/>
          </w:rPr>
          <w:fldChar w:fldCharType="separate"/>
        </w:r>
        <w:r w:rsidR="00A701B7">
          <w:rPr>
            <w:rFonts w:ascii="Times New Roman" w:hAnsi="Times New Roman" w:cs="Times New Roman"/>
            <w:noProof/>
          </w:rPr>
          <w:t>4</w:t>
        </w:r>
        <w:r w:rsidR="000E60B1" w:rsidRPr="006B03DD">
          <w:rPr>
            <w:rFonts w:ascii="Times New Roman" w:hAnsi="Times New Roman" w:cs="Times New Roman"/>
            <w:noProof/>
          </w:rPr>
          <w:fldChar w:fldCharType="end"/>
        </w:r>
      </w:sdtContent>
    </w:sdt>
  </w:p>
  <w:p w14:paraId="0740ACF1" w14:textId="77777777" w:rsidR="000E60B1" w:rsidRDefault="000E6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8618" w14:textId="77777777" w:rsidR="006E75F8" w:rsidRDefault="006E75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ACF3" w14:textId="4189CECE" w:rsidR="000E60B1" w:rsidRPr="006B03DD" w:rsidRDefault="00A62327">
    <w:pPr>
      <w:pStyle w:val="Footer"/>
      <w:jc w:val="center"/>
      <w:rPr>
        <w:rFonts w:ascii="Times New Roman" w:hAnsi="Times New Roman" w:cs="Times New Roman"/>
      </w:rPr>
    </w:pPr>
    <w:sdt>
      <w:sdtPr>
        <w:id w:val="1612933439"/>
        <w:docPartObj>
          <w:docPartGallery w:val="Page Numbers (Bottom of Page)"/>
          <w:docPartUnique/>
        </w:docPartObj>
      </w:sdtPr>
      <w:sdtEndPr>
        <w:rPr>
          <w:rFonts w:ascii="Times New Roman" w:hAnsi="Times New Roman" w:cs="Times New Roman"/>
          <w:noProof/>
        </w:rPr>
      </w:sdtEndPr>
      <w:sdtContent>
        <w:r w:rsidR="000E60B1" w:rsidRPr="006B03DD">
          <w:rPr>
            <w:rFonts w:ascii="Times New Roman" w:hAnsi="Times New Roman" w:cs="Times New Roman"/>
          </w:rPr>
          <w:fldChar w:fldCharType="begin"/>
        </w:r>
        <w:r w:rsidR="000E60B1" w:rsidRPr="006B03DD">
          <w:rPr>
            <w:rFonts w:ascii="Times New Roman" w:hAnsi="Times New Roman" w:cs="Times New Roman"/>
          </w:rPr>
          <w:instrText xml:space="preserve"> PAGE   \* MERGEFORMAT </w:instrText>
        </w:r>
        <w:r w:rsidR="000E60B1" w:rsidRPr="006B03DD">
          <w:rPr>
            <w:rFonts w:ascii="Times New Roman" w:hAnsi="Times New Roman" w:cs="Times New Roman"/>
          </w:rPr>
          <w:fldChar w:fldCharType="separate"/>
        </w:r>
        <w:r w:rsidR="00A701B7">
          <w:rPr>
            <w:rFonts w:ascii="Times New Roman" w:hAnsi="Times New Roman" w:cs="Times New Roman"/>
            <w:noProof/>
          </w:rPr>
          <w:t>6</w:t>
        </w:r>
        <w:r w:rsidR="000E60B1" w:rsidRPr="006B03DD">
          <w:rPr>
            <w:rFonts w:ascii="Times New Roman" w:hAnsi="Times New Roman" w:cs="Times New Roman"/>
            <w:noProof/>
          </w:rPr>
          <w:fldChar w:fldCharType="end"/>
        </w:r>
      </w:sdtContent>
    </w:sdt>
  </w:p>
  <w:p w14:paraId="0740ACF4" w14:textId="77777777" w:rsidR="000E60B1" w:rsidRDefault="000E6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987C" w14:textId="77777777" w:rsidR="008A4BD3" w:rsidRDefault="008A4BD3" w:rsidP="000E60B1">
      <w:pPr>
        <w:spacing w:after="0" w:line="240" w:lineRule="auto"/>
      </w:pPr>
      <w:r>
        <w:separator/>
      </w:r>
    </w:p>
  </w:footnote>
  <w:footnote w:type="continuationSeparator" w:id="0">
    <w:p w14:paraId="05BA3EFC" w14:textId="77777777" w:rsidR="008A4BD3" w:rsidRDefault="008A4BD3" w:rsidP="000E6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80DA" w14:textId="77777777" w:rsidR="006E75F8" w:rsidRDefault="006E7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F2FB" w14:textId="3614E4ED" w:rsidR="005C4989" w:rsidRDefault="005C4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B920" w14:textId="77777777" w:rsidR="006E75F8" w:rsidRDefault="006E75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ACF2" w14:textId="5A994674" w:rsidR="000E60B1" w:rsidRDefault="000E60B1">
    <w:pPr>
      <w:pStyle w:val="Header"/>
    </w:pPr>
  </w:p>
  <w:sdt>
    <w:sdtPr>
      <w:id w:val="-1876919723"/>
      <w:docPartObj>
        <w:docPartGallery w:val="Watermarks"/>
        <w:docPartUnique/>
      </w:docPartObj>
    </w:sdtPr>
    <w:sdtEndPr/>
    <w:sdtContent>
      <w:p w14:paraId="4B83F32E" w14:textId="77777777" w:rsidR="000E60B1" w:rsidRDefault="000E60B1">
        <w:pPr>
          <w:pStyle w:val="Header"/>
        </w:pPr>
        <w:r>
          <w:rPr>
            <w:noProof/>
            <w:lang w:eastAsia="en-AU"/>
          </w:rPr>
          <mc:AlternateContent>
            <mc:Choice Requires="wps">
              <w:drawing>
                <wp:anchor distT="0" distB="0" distL="114300" distR="114300" simplePos="0" relativeHeight="251657216" behindDoc="1" locked="0" layoutInCell="0" allowOverlap="1" wp14:anchorId="0740ACF6" wp14:editId="0740ACF7">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40ACF9" w14:textId="77777777" w:rsidR="000E60B1" w:rsidRDefault="000E60B1" w:rsidP="000E60B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40ACF6"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740ACF9" w14:textId="77777777" w:rsidR="000E60B1" w:rsidRDefault="000E60B1" w:rsidP="000E60B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226"/>
    <w:multiLevelType w:val="hybridMultilevel"/>
    <w:tmpl w:val="3276391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1530311">
    <w:abstractNumId w:val="1"/>
  </w:num>
  <w:num w:numId="2" w16cid:durableId="53334407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B1"/>
    <w:rsid w:val="00016993"/>
    <w:rsid w:val="000403E2"/>
    <w:rsid w:val="000453C5"/>
    <w:rsid w:val="000477F2"/>
    <w:rsid w:val="00053024"/>
    <w:rsid w:val="000569F3"/>
    <w:rsid w:val="000607B5"/>
    <w:rsid w:val="00061B86"/>
    <w:rsid w:val="00064262"/>
    <w:rsid w:val="00073D57"/>
    <w:rsid w:val="0008054C"/>
    <w:rsid w:val="000822FA"/>
    <w:rsid w:val="000829E6"/>
    <w:rsid w:val="00083B70"/>
    <w:rsid w:val="00086CD4"/>
    <w:rsid w:val="0009016B"/>
    <w:rsid w:val="00090253"/>
    <w:rsid w:val="00092954"/>
    <w:rsid w:val="000972B8"/>
    <w:rsid w:val="000A11EE"/>
    <w:rsid w:val="000A7F64"/>
    <w:rsid w:val="000C0784"/>
    <w:rsid w:val="000C3993"/>
    <w:rsid w:val="000D1E76"/>
    <w:rsid w:val="000D32AD"/>
    <w:rsid w:val="000E24B1"/>
    <w:rsid w:val="000E60B1"/>
    <w:rsid w:val="000F41DC"/>
    <w:rsid w:val="001019F2"/>
    <w:rsid w:val="00111096"/>
    <w:rsid w:val="00111DA5"/>
    <w:rsid w:val="00114B1E"/>
    <w:rsid w:val="001201C3"/>
    <w:rsid w:val="00132D8A"/>
    <w:rsid w:val="001340E9"/>
    <w:rsid w:val="00135BE6"/>
    <w:rsid w:val="00141501"/>
    <w:rsid w:val="00144C2F"/>
    <w:rsid w:val="00150ACD"/>
    <w:rsid w:val="00154449"/>
    <w:rsid w:val="00156678"/>
    <w:rsid w:val="001719E5"/>
    <w:rsid w:val="0017209D"/>
    <w:rsid w:val="00173F0D"/>
    <w:rsid w:val="0017460C"/>
    <w:rsid w:val="001831AF"/>
    <w:rsid w:val="00183FB3"/>
    <w:rsid w:val="00187023"/>
    <w:rsid w:val="00191DFA"/>
    <w:rsid w:val="00195B00"/>
    <w:rsid w:val="00195F06"/>
    <w:rsid w:val="001B07B5"/>
    <w:rsid w:val="001B2294"/>
    <w:rsid w:val="001B49E6"/>
    <w:rsid w:val="001B6562"/>
    <w:rsid w:val="001B7D69"/>
    <w:rsid w:val="001C7109"/>
    <w:rsid w:val="001D45C5"/>
    <w:rsid w:val="001D4FAC"/>
    <w:rsid w:val="001F148F"/>
    <w:rsid w:val="00203C1C"/>
    <w:rsid w:val="002101A6"/>
    <w:rsid w:val="00222DF1"/>
    <w:rsid w:val="00224EFD"/>
    <w:rsid w:val="002341D1"/>
    <w:rsid w:val="00251D4A"/>
    <w:rsid w:val="002548BE"/>
    <w:rsid w:val="00255E5B"/>
    <w:rsid w:val="002568D7"/>
    <w:rsid w:val="002641BD"/>
    <w:rsid w:val="0027198B"/>
    <w:rsid w:val="0029614E"/>
    <w:rsid w:val="00297ACB"/>
    <w:rsid w:val="002A34A8"/>
    <w:rsid w:val="002B182E"/>
    <w:rsid w:val="002C17C0"/>
    <w:rsid w:val="002C34D9"/>
    <w:rsid w:val="002C3C25"/>
    <w:rsid w:val="002D67FB"/>
    <w:rsid w:val="002D7472"/>
    <w:rsid w:val="002E1141"/>
    <w:rsid w:val="002E2E69"/>
    <w:rsid w:val="002E45BC"/>
    <w:rsid w:val="002E65A9"/>
    <w:rsid w:val="003002FD"/>
    <w:rsid w:val="003272EA"/>
    <w:rsid w:val="00331BC0"/>
    <w:rsid w:val="00332D89"/>
    <w:rsid w:val="003420C9"/>
    <w:rsid w:val="003476EF"/>
    <w:rsid w:val="0036050E"/>
    <w:rsid w:val="00361A09"/>
    <w:rsid w:val="00366570"/>
    <w:rsid w:val="00366CF6"/>
    <w:rsid w:val="00392A6E"/>
    <w:rsid w:val="003C1DE9"/>
    <w:rsid w:val="003C2FFB"/>
    <w:rsid w:val="003D199C"/>
    <w:rsid w:val="003D2E23"/>
    <w:rsid w:val="003E5DE7"/>
    <w:rsid w:val="003F49DC"/>
    <w:rsid w:val="0040669F"/>
    <w:rsid w:val="00415CFE"/>
    <w:rsid w:val="00426A21"/>
    <w:rsid w:val="00435BD8"/>
    <w:rsid w:val="0044052B"/>
    <w:rsid w:val="00444718"/>
    <w:rsid w:val="004458A3"/>
    <w:rsid w:val="00460E17"/>
    <w:rsid w:val="00472C7B"/>
    <w:rsid w:val="0047482F"/>
    <w:rsid w:val="00476DBA"/>
    <w:rsid w:val="00490602"/>
    <w:rsid w:val="0049271E"/>
    <w:rsid w:val="004A24E6"/>
    <w:rsid w:val="004A5225"/>
    <w:rsid w:val="004A54B5"/>
    <w:rsid w:val="004B4ACC"/>
    <w:rsid w:val="004D605B"/>
    <w:rsid w:val="004D73DC"/>
    <w:rsid w:val="004F0A6E"/>
    <w:rsid w:val="004F2B6C"/>
    <w:rsid w:val="004F3056"/>
    <w:rsid w:val="005053C6"/>
    <w:rsid w:val="0050773F"/>
    <w:rsid w:val="005111B3"/>
    <w:rsid w:val="00524C45"/>
    <w:rsid w:val="0053620C"/>
    <w:rsid w:val="005562D1"/>
    <w:rsid w:val="005707CB"/>
    <w:rsid w:val="00573C16"/>
    <w:rsid w:val="00575664"/>
    <w:rsid w:val="00575724"/>
    <w:rsid w:val="00582562"/>
    <w:rsid w:val="00582680"/>
    <w:rsid w:val="005C4989"/>
    <w:rsid w:val="005C7EBF"/>
    <w:rsid w:val="005D0ED8"/>
    <w:rsid w:val="005D5764"/>
    <w:rsid w:val="005E10D8"/>
    <w:rsid w:val="005E71FF"/>
    <w:rsid w:val="005E74B6"/>
    <w:rsid w:val="005F1AFB"/>
    <w:rsid w:val="005F3444"/>
    <w:rsid w:val="0061165F"/>
    <w:rsid w:val="00616151"/>
    <w:rsid w:val="0064214F"/>
    <w:rsid w:val="006478D4"/>
    <w:rsid w:val="00650780"/>
    <w:rsid w:val="006550C0"/>
    <w:rsid w:val="0066098F"/>
    <w:rsid w:val="00671C7A"/>
    <w:rsid w:val="0067746C"/>
    <w:rsid w:val="006778E1"/>
    <w:rsid w:val="00683719"/>
    <w:rsid w:val="00695738"/>
    <w:rsid w:val="006A1F63"/>
    <w:rsid w:val="006B4217"/>
    <w:rsid w:val="006B518B"/>
    <w:rsid w:val="006B6FFD"/>
    <w:rsid w:val="006C0B91"/>
    <w:rsid w:val="006C1CE5"/>
    <w:rsid w:val="006D19B1"/>
    <w:rsid w:val="006E16ED"/>
    <w:rsid w:val="006E4617"/>
    <w:rsid w:val="006E4B60"/>
    <w:rsid w:val="006E75F8"/>
    <w:rsid w:val="006F792F"/>
    <w:rsid w:val="00716280"/>
    <w:rsid w:val="00730775"/>
    <w:rsid w:val="0074234B"/>
    <w:rsid w:val="00747E9D"/>
    <w:rsid w:val="0075672D"/>
    <w:rsid w:val="00797923"/>
    <w:rsid w:val="007A2736"/>
    <w:rsid w:val="007A558A"/>
    <w:rsid w:val="007A5E50"/>
    <w:rsid w:val="007A69E6"/>
    <w:rsid w:val="007A6DEF"/>
    <w:rsid w:val="007B28DD"/>
    <w:rsid w:val="007B4F0F"/>
    <w:rsid w:val="007C1F25"/>
    <w:rsid w:val="007C4065"/>
    <w:rsid w:val="007E621A"/>
    <w:rsid w:val="007F249C"/>
    <w:rsid w:val="007F4BBB"/>
    <w:rsid w:val="00823A85"/>
    <w:rsid w:val="00830E89"/>
    <w:rsid w:val="00831DB6"/>
    <w:rsid w:val="00840CF2"/>
    <w:rsid w:val="00851E9F"/>
    <w:rsid w:val="0085474C"/>
    <w:rsid w:val="00881161"/>
    <w:rsid w:val="00886FF2"/>
    <w:rsid w:val="00892047"/>
    <w:rsid w:val="008A1628"/>
    <w:rsid w:val="008A4BD3"/>
    <w:rsid w:val="008C690E"/>
    <w:rsid w:val="008F2205"/>
    <w:rsid w:val="008F4106"/>
    <w:rsid w:val="008F716A"/>
    <w:rsid w:val="00901237"/>
    <w:rsid w:val="0090776A"/>
    <w:rsid w:val="009261A5"/>
    <w:rsid w:val="00933F48"/>
    <w:rsid w:val="0095023B"/>
    <w:rsid w:val="00954E68"/>
    <w:rsid w:val="00964988"/>
    <w:rsid w:val="00973809"/>
    <w:rsid w:val="00976A2D"/>
    <w:rsid w:val="00976D9A"/>
    <w:rsid w:val="0097730F"/>
    <w:rsid w:val="009808E6"/>
    <w:rsid w:val="00985074"/>
    <w:rsid w:val="009871C9"/>
    <w:rsid w:val="009A6C94"/>
    <w:rsid w:val="009B1D82"/>
    <w:rsid w:val="009C7D3E"/>
    <w:rsid w:val="009C7F16"/>
    <w:rsid w:val="009D0DF2"/>
    <w:rsid w:val="009D4E95"/>
    <w:rsid w:val="009F1FE5"/>
    <w:rsid w:val="009F5B7E"/>
    <w:rsid w:val="00A03DC1"/>
    <w:rsid w:val="00A31E6F"/>
    <w:rsid w:val="00A41268"/>
    <w:rsid w:val="00A46C58"/>
    <w:rsid w:val="00A51673"/>
    <w:rsid w:val="00A57032"/>
    <w:rsid w:val="00A6131B"/>
    <w:rsid w:val="00A62327"/>
    <w:rsid w:val="00A653B1"/>
    <w:rsid w:val="00A701B7"/>
    <w:rsid w:val="00A71913"/>
    <w:rsid w:val="00A72D91"/>
    <w:rsid w:val="00A77432"/>
    <w:rsid w:val="00A847C7"/>
    <w:rsid w:val="00A87FD4"/>
    <w:rsid w:val="00A926E7"/>
    <w:rsid w:val="00A94EF3"/>
    <w:rsid w:val="00A97F40"/>
    <w:rsid w:val="00AA3085"/>
    <w:rsid w:val="00AA4CAC"/>
    <w:rsid w:val="00AC1CDA"/>
    <w:rsid w:val="00AC52B1"/>
    <w:rsid w:val="00AC6D7D"/>
    <w:rsid w:val="00AC72B0"/>
    <w:rsid w:val="00AF09F2"/>
    <w:rsid w:val="00AF7621"/>
    <w:rsid w:val="00B1582B"/>
    <w:rsid w:val="00B22795"/>
    <w:rsid w:val="00B373DB"/>
    <w:rsid w:val="00B50B5C"/>
    <w:rsid w:val="00B52D20"/>
    <w:rsid w:val="00B61567"/>
    <w:rsid w:val="00B61F97"/>
    <w:rsid w:val="00B6582C"/>
    <w:rsid w:val="00B65F33"/>
    <w:rsid w:val="00B669A1"/>
    <w:rsid w:val="00B6792D"/>
    <w:rsid w:val="00B81599"/>
    <w:rsid w:val="00B92E9E"/>
    <w:rsid w:val="00B966BD"/>
    <w:rsid w:val="00BC7307"/>
    <w:rsid w:val="00BD0CD9"/>
    <w:rsid w:val="00BD70F0"/>
    <w:rsid w:val="00BE332C"/>
    <w:rsid w:val="00BE3A1D"/>
    <w:rsid w:val="00BF2186"/>
    <w:rsid w:val="00C1233F"/>
    <w:rsid w:val="00C22529"/>
    <w:rsid w:val="00C22C53"/>
    <w:rsid w:val="00C25FAB"/>
    <w:rsid w:val="00C32F56"/>
    <w:rsid w:val="00C35BFE"/>
    <w:rsid w:val="00C72322"/>
    <w:rsid w:val="00C74109"/>
    <w:rsid w:val="00C767D5"/>
    <w:rsid w:val="00C828E9"/>
    <w:rsid w:val="00C864CE"/>
    <w:rsid w:val="00C935B2"/>
    <w:rsid w:val="00C95C21"/>
    <w:rsid w:val="00CB32F5"/>
    <w:rsid w:val="00CD31CF"/>
    <w:rsid w:val="00CE29BD"/>
    <w:rsid w:val="00CF0022"/>
    <w:rsid w:val="00CF6424"/>
    <w:rsid w:val="00D0461C"/>
    <w:rsid w:val="00D144C8"/>
    <w:rsid w:val="00D14BE5"/>
    <w:rsid w:val="00D31334"/>
    <w:rsid w:val="00D33941"/>
    <w:rsid w:val="00D430D5"/>
    <w:rsid w:val="00D50E89"/>
    <w:rsid w:val="00D65F8C"/>
    <w:rsid w:val="00D6771F"/>
    <w:rsid w:val="00D70281"/>
    <w:rsid w:val="00D7787C"/>
    <w:rsid w:val="00D95806"/>
    <w:rsid w:val="00DA1061"/>
    <w:rsid w:val="00DB3CA9"/>
    <w:rsid w:val="00DB4242"/>
    <w:rsid w:val="00DC3D53"/>
    <w:rsid w:val="00DC3F13"/>
    <w:rsid w:val="00DC47EC"/>
    <w:rsid w:val="00DC5848"/>
    <w:rsid w:val="00DD64F6"/>
    <w:rsid w:val="00DE1A8A"/>
    <w:rsid w:val="00DF1D0C"/>
    <w:rsid w:val="00DF2BE0"/>
    <w:rsid w:val="00E048F3"/>
    <w:rsid w:val="00E100C8"/>
    <w:rsid w:val="00E51549"/>
    <w:rsid w:val="00E54C47"/>
    <w:rsid w:val="00E556E5"/>
    <w:rsid w:val="00E641C5"/>
    <w:rsid w:val="00E71B1A"/>
    <w:rsid w:val="00E819A3"/>
    <w:rsid w:val="00E942E1"/>
    <w:rsid w:val="00EA4A72"/>
    <w:rsid w:val="00EB1C79"/>
    <w:rsid w:val="00EB24AA"/>
    <w:rsid w:val="00EB474D"/>
    <w:rsid w:val="00EC1490"/>
    <w:rsid w:val="00EC4DC3"/>
    <w:rsid w:val="00ED2E2A"/>
    <w:rsid w:val="00EE5ABB"/>
    <w:rsid w:val="00EF5B55"/>
    <w:rsid w:val="00EF6719"/>
    <w:rsid w:val="00F11759"/>
    <w:rsid w:val="00F15E59"/>
    <w:rsid w:val="00F17B7D"/>
    <w:rsid w:val="00F17CB6"/>
    <w:rsid w:val="00F2140B"/>
    <w:rsid w:val="00F30097"/>
    <w:rsid w:val="00F366C9"/>
    <w:rsid w:val="00F44A61"/>
    <w:rsid w:val="00F5374E"/>
    <w:rsid w:val="00F60E71"/>
    <w:rsid w:val="00F62559"/>
    <w:rsid w:val="00F710B8"/>
    <w:rsid w:val="00F77FF2"/>
    <w:rsid w:val="00F80208"/>
    <w:rsid w:val="00F826B6"/>
    <w:rsid w:val="00F92895"/>
    <w:rsid w:val="00FC0FEC"/>
    <w:rsid w:val="00FC20B1"/>
    <w:rsid w:val="00FC77CA"/>
    <w:rsid w:val="00FF14E1"/>
    <w:rsid w:val="00FF582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0ACA9"/>
  <w15:chartTrackingRefBased/>
  <w15:docId w15:val="{8957C727-3F6B-4A71-97EF-E0912154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0E60B1"/>
    <w:pPr>
      <w:ind w:left="720"/>
      <w:contextualSpacing/>
    </w:pPr>
  </w:style>
  <w:style w:type="paragraph" w:styleId="FootnoteText">
    <w:name w:val="footnote text"/>
    <w:basedOn w:val="Normal"/>
    <w:link w:val="FootnoteTextChar"/>
    <w:semiHidden/>
    <w:unhideWhenUsed/>
    <w:rsid w:val="000E60B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0E60B1"/>
    <w:rPr>
      <w:sz w:val="20"/>
      <w:szCs w:val="20"/>
    </w:rPr>
  </w:style>
  <w:style w:type="character" w:styleId="FootnoteReference">
    <w:name w:val="footnote reference"/>
    <w:basedOn w:val="DefaultParagraphFont"/>
    <w:semiHidden/>
    <w:unhideWhenUsed/>
    <w:rsid w:val="000E60B1"/>
    <w:rPr>
      <w:vertAlign w:val="superscript"/>
    </w:rPr>
  </w:style>
  <w:style w:type="character" w:styleId="CommentReference">
    <w:name w:val="annotation reference"/>
    <w:semiHidden/>
    <w:unhideWhenUsed/>
    <w:rsid w:val="000E60B1"/>
    <w:rPr>
      <w:sz w:val="16"/>
      <w:szCs w:val="16"/>
    </w:rPr>
  </w:style>
  <w:style w:type="paragraph" w:styleId="CommentText">
    <w:name w:val="annotation text"/>
    <w:basedOn w:val="Normal"/>
    <w:link w:val="CommentTextChar"/>
    <w:uiPriority w:val="99"/>
    <w:unhideWhenUsed/>
    <w:rsid w:val="000E60B1"/>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E60B1"/>
    <w:rPr>
      <w:sz w:val="20"/>
      <w:szCs w:val="20"/>
    </w:rPr>
  </w:style>
  <w:style w:type="paragraph" w:styleId="Header">
    <w:name w:val="header"/>
    <w:basedOn w:val="Normal"/>
    <w:link w:val="HeaderChar"/>
    <w:unhideWhenUsed/>
    <w:rsid w:val="000E60B1"/>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rsid w:val="000E60B1"/>
  </w:style>
  <w:style w:type="paragraph" w:styleId="Footer">
    <w:name w:val="footer"/>
    <w:basedOn w:val="Normal"/>
    <w:link w:val="FooterChar"/>
    <w:uiPriority w:val="99"/>
    <w:unhideWhenUsed/>
    <w:rsid w:val="000E60B1"/>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E60B1"/>
  </w:style>
  <w:style w:type="table" w:styleId="TableGrid">
    <w:name w:val="Table Grid"/>
    <w:basedOn w:val="TableNormal"/>
    <w:uiPriority w:val="59"/>
    <w:rsid w:val="000E6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0E60B1"/>
    <w:pPr>
      <w:spacing w:after="0" w:line="240" w:lineRule="auto"/>
    </w:pPr>
    <w:rPr>
      <w:rFonts w:ascii="Times New Roman" w:eastAsia="Times New Roman" w:hAnsi="Times New Roman"/>
      <w:b/>
      <w:sz w:val="40"/>
      <w:szCs w:val="20"/>
      <w:lang w:eastAsia="en-AU"/>
    </w:rPr>
  </w:style>
  <w:style w:type="paragraph" w:customStyle="1" w:styleId="Tabletext">
    <w:name w:val="Tabletext"/>
    <w:aliases w:val="tt"/>
    <w:basedOn w:val="Normal"/>
    <w:rsid w:val="000E60B1"/>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0E60B1"/>
    <w:pPr>
      <w:keepNext/>
      <w:spacing w:before="60" w:after="0" w:line="240" w:lineRule="atLeast"/>
    </w:pPr>
    <w:rPr>
      <w:rFonts w:ascii="Times New Roman" w:eastAsia="Times New Roman" w:hAnsi="Times New Roman"/>
      <w:b/>
      <w:sz w:val="20"/>
      <w:szCs w:val="20"/>
      <w:lang w:eastAsia="en-AU"/>
    </w:rPr>
  </w:style>
  <w:style w:type="character" w:customStyle="1" w:styleId="charamschno">
    <w:name w:val="charamschno"/>
    <w:basedOn w:val="DefaultParagraphFont"/>
    <w:rsid w:val="000E60B1"/>
  </w:style>
  <w:style w:type="character" w:customStyle="1" w:styleId="charamschtext">
    <w:name w:val="charamschtext"/>
    <w:basedOn w:val="DefaultParagraphFont"/>
    <w:rsid w:val="000E60B1"/>
  </w:style>
  <w:style w:type="paragraph" w:styleId="BalloonText">
    <w:name w:val="Balloon Text"/>
    <w:basedOn w:val="Normal"/>
    <w:link w:val="BalloonTextChar"/>
    <w:uiPriority w:val="99"/>
    <w:semiHidden/>
    <w:unhideWhenUsed/>
    <w:rsid w:val="000E6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0B1"/>
    <w:rPr>
      <w:rFonts w:ascii="Segoe UI" w:eastAsia="Calibri" w:hAnsi="Segoe UI" w:cs="Segoe UI"/>
      <w:sz w:val="18"/>
      <w:szCs w:val="18"/>
    </w:rPr>
  </w:style>
  <w:style w:type="paragraph" w:customStyle="1" w:styleId="Definition">
    <w:name w:val="Definition"/>
    <w:aliases w:val="dd"/>
    <w:basedOn w:val="Normal"/>
    <w:rsid w:val="000E60B1"/>
    <w:pPr>
      <w:spacing w:before="180" w:after="0" w:line="240" w:lineRule="auto"/>
      <w:ind w:left="1134"/>
    </w:pPr>
    <w:rPr>
      <w:rFonts w:ascii="Times New Roman" w:eastAsia="Times New Roman" w:hAnsi="Times New Roman"/>
      <w:szCs w:val="20"/>
      <w:lang w:eastAsia="en-AU"/>
    </w:rPr>
  </w:style>
  <w:style w:type="paragraph" w:customStyle="1" w:styleId="subsection">
    <w:name w:val="subsection"/>
    <w:aliases w:val="ss"/>
    <w:basedOn w:val="Normal"/>
    <w:link w:val="subsectionChar"/>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aliases w:val="a"/>
    <w:basedOn w:val="Normal"/>
    <w:link w:val="paragraphChar"/>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aliases w:val="ss2"/>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ubsectionChar">
    <w:name w:val="subsection Char"/>
    <w:aliases w:val="ss Char"/>
    <w:link w:val="subsection"/>
    <w:rsid w:val="000E60B1"/>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0E60B1"/>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0E60B1"/>
    <w:rPr>
      <w:b/>
      <w:bCs/>
    </w:rPr>
  </w:style>
  <w:style w:type="character" w:customStyle="1" w:styleId="CommentSubjectChar">
    <w:name w:val="Comment Subject Char"/>
    <w:basedOn w:val="CommentTextChar"/>
    <w:link w:val="CommentSubject"/>
    <w:uiPriority w:val="99"/>
    <w:semiHidden/>
    <w:rsid w:val="000E60B1"/>
    <w:rPr>
      <w:b/>
      <w:bCs/>
      <w:sz w:val="20"/>
      <w:szCs w:val="20"/>
    </w:rPr>
  </w:style>
  <w:style w:type="paragraph" w:styleId="Revision">
    <w:name w:val="Revision"/>
    <w:hidden/>
    <w:uiPriority w:val="99"/>
    <w:semiHidden/>
    <w:rsid w:val="000E60B1"/>
    <w:pPr>
      <w:spacing w:after="0" w:line="240" w:lineRule="auto"/>
    </w:pPr>
  </w:style>
  <w:style w:type="character" w:styleId="Hyperlink">
    <w:name w:val="Hyperlink"/>
    <w:basedOn w:val="DefaultParagraphFont"/>
    <w:uiPriority w:val="99"/>
    <w:unhideWhenUsed/>
    <w:rsid w:val="000E60B1"/>
    <w:rPr>
      <w:color w:val="0563C1" w:themeColor="hyperlink"/>
      <w:u w:val="single"/>
    </w:rPr>
  </w:style>
  <w:style w:type="paragraph" w:customStyle="1" w:styleId="Default">
    <w:name w:val="Default"/>
    <w:rsid w:val="000E60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1">
    <w:name w:val="Pa16++1"/>
    <w:basedOn w:val="Default"/>
    <w:next w:val="Default"/>
    <w:uiPriority w:val="99"/>
    <w:rsid w:val="000E60B1"/>
    <w:pPr>
      <w:spacing w:line="201" w:lineRule="atLeast"/>
    </w:pPr>
    <w:rPr>
      <w:rFonts w:ascii="Gotham Light" w:hAnsi="Gotham Light" w:cstheme="minorBidi"/>
      <w:color w:val="auto"/>
    </w:rPr>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qFormat/>
    <w:locked/>
    <w:rsid w:val="000E60B1"/>
    <w:rPr>
      <w:rFonts w:ascii="Calibri" w:eastAsia="Calibri" w:hAnsi="Calibri" w:cs="Times New Roman"/>
    </w:rPr>
  </w:style>
  <w:style w:type="character" w:styleId="FollowedHyperlink">
    <w:name w:val="FollowedHyperlink"/>
    <w:basedOn w:val="DefaultParagraphFont"/>
    <w:uiPriority w:val="99"/>
    <w:semiHidden/>
    <w:unhideWhenUsed/>
    <w:rsid w:val="000E60B1"/>
    <w:rPr>
      <w:color w:val="954F72" w:themeColor="followedHyperlink"/>
      <w:u w:val="single"/>
    </w:rPr>
  </w:style>
  <w:style w:type="character" w:customStyle="1" w:styleId="apple-converted-space">
    <w:name w:val="apple-converted-space"/>
    <w:basedOn w:val="DefaultParagraphFont"/>
    <w:rsid w:val="000E60B1"/>
  </w:style>
  <w:style w:type="paragraph" w:customStyle="1" w:styleId="paragraphsub">
    <w:name w:val="paragraph(sub)"/>
    <w:aliases w:val="aa"/>
    <w:basedOn w:val="Normal"/>
    <w:rsid w:val="000E60B1"/>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ActHead6">
    <w:name w:val="ActHead 6"/>
    <w:aliases w:val="as"/>
    <w:basedOn w:val="Normal"/>
    <w:next w:val="Normal"/>
    <w:qFormat/>
    <w:rsid w:val="000E60B1"/>
    <w:pPr>
      <w:keepNext/>
      <w:keepLines/>
      <w:spacing w:after="0" w:line="240" w:lineRule="auto"/>
      <w:ind w:left="1134" w:hanging="1134"/>
      <w:outlineLvl w:val="5"/>
    </w:pPr>
    <w:rPr>
      <w:rFonts w:ascii="Arial" w:eastAsia="Times New Roman" w:hAnsi="Arial"/>
      <w:b/>
      <w:kern w:val="28"/>
      <w:sz w:val="32"/>
      <w:szCs w:val="20"/>
      <w:lang w:eastAsia="en-AU"/>
    </w:rPr>
  </w:style>
  <w:style w:type="paragraph" w:customStyle="1" w:styleId="tabletext0">
    <w:name w:val="tabletext"/>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1">
    <w:name w:val="tabletext1"/>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odyNum">
    <w:name w:val="BodyNum"/>
    <w:aliases w:val="b1"/>
    <w:basedOn w:val="Normal"/>
    <w:rsid w:val="000E60B1"/>
    <w:pPr>
      <w:numPr>
        <w:numId w:val="1"/>
      </w:numPr>
      <w:spacing w:before="240" w:after="0" w:line="240" w:lineRule="auto"/>
    </w:pPr>
    <w:rPr>
      <w:rFonts w:ascii="Times New Roman" w:eastAsia="Times New Roman" w:hAnsi="Times New Roman"/>
      <w:sz w:val="24"/>
      <w:szCs w:val="20"/>
      <w:lang w:eastAsia="en-AU"/>
    </w:rPr>
  </w:style>
  <w:style w:type="paragraph" w:customStyle="1" w:styleId="BodyPara">
    <w:name w:val="BodyPara"/>
    <w:aliases w:val="ba"/>
    <w:basedOn w:val="Normal"/>
    <w:rsid w:val="000E60B1"/>
    <w:pPr>
      <w:numPr>
        <w:ilvl w:val="1"/>
        <w:numId w:val="1"/>
      </w:numPr>
      <w:spacing w:before="240" w:after="0" w:line="240" w:lineRule="auto"/>
    </w:pPr>
    <w:rPr>
      <w:rFonts w:ascii="Times New Roman" w:eastAsia="Times New Roman" w:hAnsi="Times New Roman"/>
      <w:sz w:val="24"/>
      <w:szCs w:val="20"/>
      <w:lang w:eastAsia="en-AU"/>
    </w:rPr>
  </w:style>
  <w:style w:type="numbering" w:customStyle="1" w:styleId="OPCBodyList">
    <w:name w:val="OPCBodyList"/>
    <w:uiPriority w:val="99"/>
    <w:rsid w:val="000E60B1"/>
    <w:pPr>
      <w:numPr>
        <w:numId w:val="1"/>
      </w:numPr>
    </w:pPr>
  </w:style>
  <w:style w:type="character" w:customStyle="1" w:styleId="legsubtitle1">
    <w:name w:val="legsubtitle1"/>
    <w:basedOn w:val="DefaultParagraphFont"/>
    <w:rsid w:val="000E60B1"/>
    <w:rPr>
      <w:b/>
      <w:bCs/>
    </w:rPr>
  </w:style>
  <w:style w:type="paragraph" w:customStyle="1" w:styleId="ActHead9">
    <w:name w:val="ActHead 9"/>
    <w:aliases w:val="aat"/>
    <w:basedOn w:val="Normal"/>
    <w:next w:val="Normal"/>
    <w:qFormat/>
    <w:rsid w:val="000E60B1"/>
    <w:pPr>
      <w:keepNext/>
      <w:keepLines/>
      <w:spacing w:before="280" w:after="0" w:line="240" w:lineRule="auto"/>
      <w:ind w:left="1134" w:hanging="1134"/>
      <w:outlineLvl w:val="8"/>
    </w:pPr>
    <w:rPr>
      <w:rFonts w:ascii="Times New Roman" w:eastAsia="Times New Roman" w:hAnsi="Times New Roman"/>
      <w:b/>
      <w:i/>
      <w:kern w:val="28"/>
      <w:sz w:val="28"/>
      <w:szCs w:val="20"/>
      <w:lang w:eastAsia="en-AU"/>
    </w:rPr>
  </w:style>
  <w:style w:type="paragraph" w:customStyle="1" w:styleId="item">
    <w:name w:val="item"/>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styleId="NormalWeb">
    <w:name w:val="Normal (Web)"/>
    <w:basedOn w:val="Normal"/>
    <w:uiPriority w:val="99"/>
    <w:semiHidden/>
    <w:unhideWhenUsed/>
    <w:rsid w:val="000E60B1"/>
    <w:pPr>
      <w:spacing w:before="100" w:beforeAutospacing="1" w:after="100" w:afterAutospacing="1" w:line="240" w:lineRule="auto"/>
    </w:pPr>
    <w:rPr>
      <w:rFonts w:ascii="Times New Roman" w:eastAsiaTheme="minorEastAsia" w:hAnsi="Times New Roman"/>
      <w:sz w:val="24"/>
      <w:szCs w:val="24"/>
      <w:lang w:eastAsia="en-AU"/>
    </w:rPr>
  </w:style>
  <w:style w:type="paragraph" w:customStyle="1" w:styleId="paragraphsub0">
    <w:name w:val="paragraphsub"/>
    <w:basedOn w:val="Normal"/>
    <w:rsid w:val="00B50B5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PartText">
    <w:name w:val="CharPartText"/>
    <w:basedOn w:val="DefaultParagraphFont"/>
    <w:uiPriority w:val="1"/>
    <w:qFormat/>
    <w:rsid w:val="0049271E"/>
  </w:style>
  <w:style w:type="character" w:styleId="UnresolvedMention">
    <w:name w:val="Unresolved Mention"/>
    <w:basedOn w:val="DefaultParagraphFont"/>
    <w:uiPriority w:val="99"/>
    <w:semiHidden/>
    <w:unhideWhenUsed/>
    <w:rsid w:val="00A31E6F"/>
    <w:rPr>
      <w:color w:val="605E5C"/>
      <w:shd w:val="clear" w:color="auto" w:fill="E1DFDD"/>
    </w:rPr>
  </w:style>
  <w:style w:type="paragraph" w:customStyle="1" w:styleId="ActHead2">
    <w:name w:val="ActHead 2"/>
    <w:aliases w:val="p"/>
    <w:basedOn w:val="Normal"/>
    <w:next w:val="Normal"/>
    <w:qFormat/>
    <w:rsid w:val="003D2E23"/>
    <w:pPr>
      <w:keepNext/>
      <w:keepLines/>
      <w:spacing w:before="280" w:after="0" w:line="240" w:lineRule="auto"/>
      <w:ind w:left="1134" w:hanging="1134"/>
      <w:outlineLvl w:val="1"/>
    </w:pPr>
    <w:rPr>
      <w:rFonts w:ascii="Times New Roman" w:eastAsia="Times New Roman" w:hAnsi="Times New Roman"/>
      <w:b/>
      <w:kern w:val="28"/>
      <w:sz w:val="32"/>
      <w:szCs w:val="20"/>
      <w:lang w:eastAsia="en-AU"/>
    </w:rPr>
  </w:style>
  <w:style w:type="paragraph" w:customStyle="1" w:styleId="ActHead5">
    <w:name w:val="ActHead 5"/>
    <w:aliases w:val="s"/>
    <w:basedOn w:val="Normal"/>
    <w:next w:val="subsection"/>
    <w:link w:val="ActHead5Char"/>
    <w:qFormat/>
    <w:rsid w:val="003D2E23"/>
    <w:pPr>
      <w:keepNext/>
      <w:keepLines/>
      <w:spacing w:before="280" w:after="0" w:line="240" w:lineRule="auto"/>
      <w:ind w:left="1134" w:hanging="1134"/>
      <w:outlineLvl w:val="4"/>
    </w:pPr>
    <w:rPr>
      <w:rFonts w:ascii="Times New Roman" w:eastAsia="Times New Roman" w:hAnsi="Times New Roman"/>
      <w:b/>
      <w:kern w:val="28"/>
      <w:sz w:val="24"/>
      <w:szCs w:val="20"/>
      <w:lang w:eastAsia="en-AU"/>
    </w:rPr>
  </w:style>
  <w:style w:type="character" w:customStyle="1" w:styleId="CharPartNo">
    <w:name w:val="CharPartNo"/>
    <w:basedOn w:val="DefaultParagraphFont"/>
    <w:uiPriority w:val="1"/>
    <w:qFormat/>
    <w:rsid w:val="003D2E23"/>
  </w:style>
  <w:style w:type="character" w:customStyle="1" w:styleId="CharSectno">
    <w:name w:val="CharSectno"/>
    <w:basedOn w:val="DefaultParagraphFont"/>
    <w:qFormat/>
    <w:rsid w:val="003D2E23"/>
  </w:style>
  <w:style w:type="paragraph" w:customStyle="1" w:styleId="Item0">
    <w:name w:val="Item"/>
    <w:aliases w:val="i"/>
    <w:basedOn w:val="Normal"/>
    <w:next w:val="ItemHead"/>
    <w:rsid w:val="003D2E23"/>
    <w:pPr>
      <w:keepLines/>
      <w:spacing w:before="80" w:after="0" w:line="240" w:lineRule="auto"/>
      <w:ind w:left="709"/>
    </w:pPr>
    <w:rPr>
      <w:rFonts w:ascii="Times New Roman" w:eastAsia="Times New Roman" w:hAnsi="Times New Roman"/>
      <w:szCs w:val="20"/>
      <w:lang w:eastAsia="en-AU"/>
    </w:rPr>
  </w:style>
  <w:style w:type="paragraph" w:customStyle="1" w:styleId="ItemHead">
    <w:name w:val="ItemHead"/>
    <w:aliases w:val="ih"/>
    <w:basedOn w:val="Normal"/>
    <w:next w:val="Item0"/>
    <w:rsid w:val="003D2E23"/>
    <w:pPr>
      <w:keepNext/>
      <w:keepLines/>
      <w:spacing w:before="220" w:after="0" w:line="240" w:lineRule="auto"/>
      <w:ind w:left="709" w:hanging="709"/>
    </w:pPr>
    <w:rPr>
      <w:rFonts w:ascii="Arial" w:eastAsia="Times New Roman" w:hAnsi="Arial"/>
      <w:b/>
      <w:kern w:val="28"/>
      <w:sz w:val="24"/>
      <w:szCs w:val="20"/>
      <w:lang w:eastAsia="en-AU"/>
    </w:rPr>
  </w:style>
  <w:style w:type="paragraph" w:customStyle="1" w:styleId="notepara">
    <w:name w:val="note(para)"/>
    <w:aliases w:val="na"/>
    <w:basedOn w:val="Normal"/>
    <w:rsid w:val="003D2E23"/>
    <w:pPr>
      <w:spacing w:before="40" w:after="0" w:line="198" w:lineRule="exact"/>
      <w:ind w:left="2354" w:hanging="369"/>
    </w:pPr>
    <w:rPr>
      <w:rFonts w:ascii="Times New Roman" w:eastAsia="Times New Roman" w:hAnsi="Times New Roman"/>
      <w:sz w:val="18"/>
      <w:szCs w:val="20"/>
      <w:lang w:eastAsia="en-AU"/>
    </w:rPr>
  </w:style>
  <w:style w:type="character" w:customStyle="1" w:styleId="ActHead5Char">
    <w:name w:val="ActHead 5 Char"/>
    <w:aliases w:val="s Char"/>
    <w:link w:val="ActHead5"/>
    <w:rsid w:val="003D2E23"/>
    <w:rPr>
      <w:rFonts w:ascii="Times New Roman" w:eastAsia="Times New Roman" w:hAnsi="Times New Roman" w:cs="Times New Roman"/>
      <w:b/>
      <w:kern w:val="28"/>
      <w:sz w:val="24"/>
      <w:szCs w:val="20"/>
      <w:lang w:eastAsia="en-AU"/>
    </w:rPr>
  </w:style>
  <w:style w:type="paragraph" w:styleId="NoSpacing">
    <w:name w:val="No Spacing"/>
    <w:uiPriority w:val="1"/>
    <w:qFormat/>
    <w:rsid w:val="00524C4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92980">
      <w:bodyDiv w:val="1"/>
      <w:marLeft w:val="0"/>
      <w:marRight w:val="0"/>
      <w:marTop w:val="0"/>
      <w:marBottom w:val="0"/>
      <w:divBdr>
        <w:top w:val="none" w:sz="0" w:space="0" w:color="auto"/>
        <w:left w:val="none" w:sz="0" w:space="0" w:color="auto"/>
        <w:bottom w:val="none" w:sz="0" w:space="0" w:color="auto"/>
        <w:right w:val="none" w:sz="0" w:space="0" w:color="auto"/>
      </w:divBdr>
    </w:div>
    <w:div w:id="309868944">
      <w:bodyDiv w:val="1"/>
      <w:marLeft w:val="0"/>
      <w:marRight w:val="0"/>
      <w:marTop w:val="0"/>
      <w:marBottom w:val="0"/>
      <w:divBdr>
        <w:top w:val="none" w:sz="0" w:space="0" w:color="auto"/>
        <w:left w:val="none" w:sz="0" w:space="0" w:color="auto"/>
        <w:bottom w:val="none" w:sz="0" w:space="0" w:color="auto"/>
        <w:right w:val="none" w:sz="0" w:space="0" w:color="auto"/>
      </w:divBdr>
    </w:div>
    <w:div w:id="342124330">
      <w:bodyDiv w:val="1"/>
      <w:marLeft w:val="0"/>
      <w:marRight w:val="0"/>
      <w:marTop w:val="0"/>
      <w:marBottom w:val="0"/>
      <w:divBdr>
        <w:top w:val="none" w:sz="0" w:space="0" w:color="auto"/>
        <w:left w:val="none" w:sz="0" w:space="0" w:color="auto"/>
        <w:bottom w:val="none" w:sz="0" w:space="0" w:color="auto"/>
        <w:right w:val="none" w:sz="0" w:space="0" w:color="auto"/>
      </w:divBdr>
    </w:div>
    <w:div w:id="350030975">
      <w:bodyDiv w:val="1"/>
      <w:marLeft w:val="0"/>
      <w:marRight w:val="0"/>
      <w:marTop w:val="0"/>
      <w:marBottom w:val="0"/>
      <w:divBdr>
        <w:top w:val="none" w:sz="0" w:space="0" w:color="auto"/>
        <w:left w:val="none" w:sz="0" w:space="0" w:color="auto"/>
        <w:bottom w:val="none" w:sz="0" w:space="0" w:color="auto"/>
        <w:right w:val="none" w:sz="0" w:space="0" w:color="auto"/>
      </w:divBdr>
    </w:div>
    <w:div w:id="351302942">
      <w:bodyDiv w:val="1"/>
      <w:marLeft w:val="0"/>
      <w:marRight w:val="0"/>
      <w:marTop w:val="0"/>
      <w:marBottom w:val="0"/>
      <w:divBdr>
        <w:top w:val="none" w:sz="0" w:space="0" w:color="auto"/>
        <w:left w:val="none" w:sz="0" w:space="0" w:color="auto"/>
        <w:bottom w:val="none" w:sz="0" w:space="0" w:color="auto"/>
        <w:right w:val="none" w:sz="0" w:space="0" w:color="auto"/>
      </w:divBdr>
    </w:div>
    <w:div w:id="367409963">
      <w:bodyDiv w:val="1"/>
      <w:marLeft w:val="0"/>
      <w:marRight w:val="0"/>
      <w:marTop w:val="0"/>
      <w:marBottom w:val="0"/>
      <w:divBdr>
        <w:top w:val="none" w:sz="0" w:space="0" w:color="auto"/>
        <w:left w:val="none" w:sz="0" w:space="0" w:color="auto"/>
        <w:bottom w:val="none" w:sz="0" w:space="0" w:color="auto"/>
        <w:right w:val="none" w:sz="0" w:space="0" w:color="auto"/>
      </w:divBdr>
    </w:div>
    <w:div w:id="485361220">
      <w:bodyDiv w:val="1"/>
      <w:marLeft w:val="0"/>
      <w:marRight w:val="0"/>
      <w:marTop w:val="0"/>
      <w:marBottom w:val="0"/>
      <w:divBdr>
        <w:top w:val="none" w:sz="0" w:space="0" w:color="auto"/>
        <w:left w:val="none" w:sz="0" w:space="0" w:color="auto"/>
        <w:bottom w:val="none" w:sz="0" w:space="0" w:color="auto"/>
        <w:right w:val="none" w:sz="0" w:space="0" w:color="auto"/>
      </w:divBdr>
    </w:div>
    <w:div w:id="520893441">
      <w:bodyDiv w:val="1"/>
      <w:marLeft w:val="0"/>
      <w:marRight w:val="0"/>
      <w:marTop w:val="0"/>
      <w:marBottom w:val="0"/>
      <w:divBdr>
        <w:top w:val="none" w:sz="0" w:space="0" w:color="auto"/>
        <w:left w:val="none" w:sz="0" w:space="0" w:color="auto"/>
        <w:bottom w:val="none" w:sz="0" w:space="0" w:color="auto"/>
        <w:right w:val="none" w:sz="0" w:space="0" w:color="auto"/>
      </w:divBdr>
    </w:div>
    <w:div w:id="624241900">
      <w:bodyDiv w:val="1"/>
      <w:marLeft w:val="0"/>
      <w:marRight w:val="0"/>
      <w:marTop w:val="0"/>
      <w:marBottom w:val="0"/>
      <w:divBdr>
        <w:top w:val="none" w:sz="0" w:space="0" w:color="auto"/>
        <w:left w:val="none" w:sz="0" w:space="0" w:color="auto"/>
        <w:bottom w:val="none" w:sz="0" w:space="0" w:color="auto"/>
        <w:right w:val="none" w:sz="0" w:space="0" w:color="auto"/>
      </w:divBdr>
    </w:div>
    <w:div w:id="666598536">
      <w:bodyDiv w:val="1"/>
      <w:marLeft w:val="0"/>
      <w:marRight w:val="0"/>
      <w:marTop w:val="0"/>
      <w:marBottom w:val="0"/>
      <w:divBdr>
        <w:top w:val="none" w:sz="0" w:space="0" w:color="auto"/>
        <w:left w:val="none" w:sz="0" w:space="0" w:color="auto"/>
        <w:bottom w:val="none" w:sz="0" w:space="0" w:color="auto"/>
        <w:right w:val="none" w:sz="0" w:space="0" w:color="auto"/>
      </w:divBdr>
    </w:div>
    <w:div w:id="1059746525">
      <w:bodyDiv w:val="1"/>
      <w:marLeft w:val="0"/>
      <w:marRight w:val="0"/>
      <w:marTop w:val="0"/>
      <w:marBottom w:val="0"/>
      <w:divBdr>
        <w:top w:val="none" w:sz="0" w:space="0" w:color="auto"/>
        <w:left w:val="none" w:sz="0" w:space="0" w:color="auto"/>
        <w:bottom w:val="none" w:sz="0" w:space="0" w:color="auto"/>
        <w:right w:val="none" w:sz="0" w:space="0" w:color="auto"/>
      </w:divBdr>
    </w:div>
    <w:div w:id="1180005889">
      <w:bodyDiv w:val="1"/>
      <w:marLeft w:val="0"/>
      <w:marRight w:val="0"/>
      <w:marTop w:val="0"/>
      <w:marBottom w:val="0"/>
      <w:divBdr>
        <w:top w:val="none" w:sz="0" w:space="0" w:color="auto"/>
        <w:left w:val="none" w:sz="0" w:space="0" w:color="auto"/>
        <w:bottom w:val="none" w:sz="0" w:space="0" w:color="auto"/>
        <w:right w:val="none" w:sz="0" w:space="0" w:color="auto"/>
      </w:divBdr>
    </w:div>
    <w:div w:id="1441609522">
      <w:bodyDiv w:val="1"/>
      <w:marLeft w:val="0"/>
      <w:marRight w:val="0"/>
      <w:marTop w:val="0"/>
      <w:marBottom w:val="0"/>
      <w:divBdr>
        <w:top w:val="none" w:sz="0" w:space="0" w:color="auto"/>
        <w:left w:val="none" w:sz="0" w:space="0" w:color="auto"/>
        <w:bottom w:val="none" w:sz="0" w:space="0" w:color="auto"/>
        <w:right w:val="none" w:sz="0" w:space="0" w:color="auto"/>
      </w:divBdr>
    </w:div>
    <w:div w:id="1468938062">
      <w:bodyDiv w:val="1"/>
      <w:marLeft w:val="0"/>
      <w:marRight w:val="0"/>
      <w:marTop w:val="0"/>
      <w:marBottom w:val="0"/>
      <w:divBdr>
        <w:top w:val="none" w:sz="0" w:space="0" w:color="auto"/>
        <w:left w:val="none" w:sz="0" w:space="0" w:color="auto"/>
        <w:bottom w:val="none" w:sz="0" w:space="0" w:color="auto"/>
        <w:right w:val="none" w:sz="0" w:space="0" w:color="auto"/>
      </w:divBdr>
    </w:div>
    <w:div w:id="1589270799">
      <w:bodyDiv w:val="1"/>
      <w:marLeft w:val="0"/>
      <w:marRight w:val="0"/>
      <w:marTop w:val="0"/>
      <w:marBottom w:val="0"/>
      <w:divBdr>
        <w:top w:val="none" w:sz="0" w:space="0" w:color="auto"/>
        <w:left w:val="none" w:sz="0" w:space="0" w:color="auto"/>
        <w:bottom w:val="none" w:sz="0" w:space="0" w:color="auto"/>
        <w:right w:val="none" w:sz="0" w:space="0" w:color="auto"/>
      </w:divBdr>
    </w:div>
    <w:div w:id="1707637701">
      <w:bodyDiv w:val="1"/>
      <w:marLeft w:val="0"/>
      <w:marRight w:val="0"/>
      <w:marTop w:val="0"/>
      <w:marBottom w:val="0"/>
      <w:divBdr>
        <w:top w:val="none" w:sz="0" w:space="0" w:color="auto"/>
        <w:left w:val="none" w:sz="0" w:space="0" w:color="auto"/>
        <w:bottom w:val="none" w:sz="0" w:space="0" w:color="auto"/>
        <w:right w:val="none" w:sz="0" w:space="0" w:color="auto"/>
      </w:divBdr>
    </w:div>
    <w:div w:id="1922785744">
      <w:bodyDiv w:val="1"/>
      <w:marLeft w:val="0"/>
      <w:marRight w:val="0"/>
      <w:marTop w:val="0"/>
      <w:marBottom w:val="0"/>
      <w:divBdr>
        <w:top w:val="none" w:sz="0" w:space="0" w:color="auto"/>
        <w:left w:val="none" w:sz="0" w:space="0" w:color="auto"/>
        <w:bottom w:val="none" w:sz="0" w:space="0" w:color="auto"/>
        <w:right w:val="none" w:sz="0" w:space="0" w:color="auto"/>
      </w:divBdr>
    </w:div>
    <w:div w:id="1988313644">
      <w:bodyDiv w:val="1"/>
      <w:marLeft w:val="0"/>
      <w:marRight w:val="0"/>
      <w:marTop w:val="0"/>
      <w:marBottom w:val="0"/>
      <w:divBdr>
        <w:top w:val="none" w:sz="0" w:space="0" w:color="auto"/>
        <w:left w:val="none" w:sz="0" w:space="0" w:color="auto"/>
        <w:bottom w:val="none" w:sz="0" w:space="0" w:color="auto"/>
        <w:right w:val="none" w:sz="0" w:space="0" w:color="auto"/>
      </w:divBdr>
    </w:div>
    <w:div w:id="2014606659">
      <w:bodyDiv w:val="1"/>
      <w:marLeft w:val="0"/>
      <w:marRight w:val="0"/>
      <w:marTop w:val="0"/>
      <w:marBottom w:val="0"/>
      <w:divBdr>
        <w:top w:val="none" w:sz="0" w:space="0" w:color="auto"/>
        <w:left w:val="none" w:sz="0" w:space="0" w:color="auto"/>
        <w:bottom w:val="none" w:sz="0" w:space="0" w:color="auto"/>
        <w:right w:val="none" w:sz="0" w:space="0" w:color="auto"/>
      </w:divBdr>
    </w:div>
    <w:div w:id="2105027140">
      <w:bodyDiv w:val="1"/>
      <w:marLeft w:val="0"/>
      <w:marRight w:val="0"/>
      <w:marTop w:val="0"/>
      <w:marBottom w:val="0"/>
      <w:divBdr>
        <w:top w:val="none" w:sz="0" w:space="0" w:color="auto"/>
        <w:left w:val="none" w:sz="0" w:space="0" w:color="auto"/>
        <w:bottom w:val="none" w:sz="0" w:space="0" w:color="auto"/>
        <w:right w:val="none" w:sz="0" w:space="0" w:color="auto"/>
      </w:divBdr>
    </w:div>
    <w:div w:id="2123717609">
      <w:bodyDiv w:val="1"/>
      <w:marLeft w:val="0"/>
      <w:marRight w:val="0"/>
      <w:marTop w:val="0"/>
      <w:marBottom w:val="0"/>
      <w:divBdr>
        <w:top w:val="none" w:sz="0" w:space="0" w:color="auto"/>
        <w:left w:val="none" w:sz="0" w:space="0" w:color="auto"/>
        <w:bottom w:val="none" w:sz="0" w:space="0" w:color="auto"/>
        <w:right w:val="none" w:sz="0" w:space="0" w:color="auto"/>
      </w:divBdr>
    </w:div>
    <w:div w:id="21424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106CCA3-B3BB-4560-9795-B9225E2190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4D8FB44FA71994EB0B02100E9E2B921" ma:contentTypeVersion="" ma:contentTypeDescription="PDMS Document Site Content Type" ma:contentTypeScope="" ma:versionID="06855f99c782da11994fb93dc9f15256">
  <xsd:schema xmlns:xsd="http://www.w3.org/2001/XMLSchema" xmlns:xs="http://www.w3.org/2001/XMLSchema" xmlns:p="http://schemas.microsoft.com/office/2006/metadata/properties" xmlns:ns2="4106CCA3-B3BB-4560-9795-B9225E2190AC" targetNamespace="http://schemas.microsoft.com/office/2006/metadata/properties" ma:root="true" ma:fieldsID="fa5e50a364a973cbad71cdb486de009e" ns2:_="">
    <xsd:import namespace="4106CCA3-B3BB-4560-9795-B9225E2190A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6CCA3-B3BB-4560-9795-B9225E2190A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78037-F8E6-4CE2-8ECD-2EC8A394D72E}">
  <ds:schemaRefs>
    <ds:schemaRef ds:uri="http://purl.org/dc/elements/1.1/"/>
    <ds:schemaRef ds:uri="http://schemas.microsoft.com/office/2006/metadata/properties"/>
    <ds:schemaRef ds:uri="4106CCA3-B3BB-4560-9795-B9225E2190A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D947F23-9893-493D-98D0-DFC1A057A9B9}">
  <ds:schemaRefs>
    <ds:schemaRef ds:uri="http://schemas.microsoft.com/sharepoint/v3/contenttype/forms"/>
  </ds:schemaRefs>
</ds:datastoreItem>
</file>

<file path=customXml/itemProps3.xml><?xml version="1.0" encoding="utf-8"?>
<ds:datastoreItem xmlns:ds="http://schemas.openxmlformats.org/officeDocument/2006/customXml" ds:itemID="{8B4530F3-0386-407D-BE10-E0391E50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6CCA3-B3BB-4560-9795-B9225E219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A55B9-A13A-4A66-9BB9-7425CAF4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8399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Jenny</dc:creator>
  <cp:keywords/>
  <dc:description/>
  <cp:lastModifiedBy>Over, Craig</cp:lastModifiedBy>
  <cp:revision>2</cp:revision>
  <dcterms:created xsi:type="dcterms:W3CDTF">2025-03-25T02:19:00Z</dcterms:created>
  <dcterms:modified xsi:type="dcterms:W3CDTF">2025-03-25T02:19:00Z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0x010100266966F133664895A6EE3632470D45F50064D8FB44FA71994EB0B02100E9E2B921</vt:lpwstr>
  </property>
  <property fmtid="{D5CDD505-2E9C-101B-9397-08002B2CF9AE}" pid="3" name="MSIP_Label_79d889eb-932f-4752-8739-64d25806ef64_Enabled">
    <vt:lpwstr>true</vt:lpwstr>
  </property>
  <property fmtid="{D5CDD505-2E9C-101B-9397-08002B2CF9AE}" pid="4" name="MSIP_Label_79d889eb-932f-4752-8739-64d25806ef64_SetDate">
    <vt:lpwstr>2022-09-13T23:39:49Z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3738bc5b-cc3c-4b14-9e7b-835c8769a176</vt:lpwstr>
  </property>
  <property fmtid="{D5CDD505-2E9C-101B-9397-08002B2CF9AE}" pid="9" name="MSIP_Label_79d889eb-932f-4752-8739-64d25806ef64_ContentBits">
    <vt:lpwstr>0</vt:lpwstr>
  </property>
</Properties>
</file>