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6B02" w14:textId="55ED2A02" w:rsidR="00AF0B31" w:rsidRPr="00717436" w:rsidRDefault="00D707ED" w:rsidP="00AF0B31">
      <w:pPr>
        <w:pStyle w:val="Heading1"/>
        <w:jc w:val="center"/>
        <w:rPr>
          <w:rFonts w:ascii="Times New Roman" w:hAnsi="Times New Roman" w:cs="Times New Roman"/>
          <w:color w:val="000000" w:themeColor="text1"/>
          <w:sz w:val="28"/>
          <w:szCs w:val="28"/>
        </w:rPr>
      </w:pPr>
      <w:r w:rsidRPr="00717436">
        <w:rPr>
          <w:rFonts w:ascii="Times New Roman" w:hAnsi="Times New Roman" w:cs="Times New Roman"/>
          <w:color w:val="000000" w:themeColor="text1"/>
          <w:sz w:val="28"/>
          <w:szCs w:val="28"/>
        </w:rPr>
        <w:t>EXP</w:t>
      </w:r>
      <w:r w:rsidR="00AF0B31" w:rsidRPr="00717436">
        <w:rPr>
          <w:rFonts w:ascii="Times New Roman" w:hAnsi="Times New Roman" w:cs="Times New Roman"/>
          <w:color w:val="000000" w:themeColor="text1"/>
          <w:sz w:val="28"/>
          <w:szCs w:val="28"/>
        </w:rPr>
        <w:t>LANATORY STATEMENT</w:t>
      </w:r>
    </w:p>
    <w:p w14:paraId="53C61C6B" w14:textId="4FB6D4DB" w:rsidR="00AF0B31" w:rsidRPr="00717436" w:rsidRDefault="001062D6" w:rsidP="00AC690A">
      <w:pPr>
        <w:pStyle w:val="Heading1"/>
        <w:spacing w:after="120"/>
        <w:jc w:val="center"/>
        <w:rPr>
          <w:rFonts w:ascii="Times New Roman" w:hAnsi="Times New Roman" w:cs="Times New Roman"/>
          <w:b w:val="0"/>
          <w:color w:val="000000" w:themeColor="text1"/>
          <w:sz w:val="22"/>
          <w:szCs w:val="22"/>
        </w:rPr>
      </w:pPr>
      <w:r w:rsidRPr="00717436">
        <w:rPr>
          <w:rFonts w:ascii="Times New Roman" w:hAnsi="Times New Roman" w:cs="Times New Roman"/>
          <w:b w:val="0"/>
          <w:color w:val="000000" w:themeColor="text1"/>
          <w:sz w:val="22"/>
          <w:szCs w:val="22"/>
        </w:rPr>
        <w:t xml:space="preserve">Approved </w:t>
      </w:r>
      <w:r w:rsidR="00AF0B31" w:rsidRPr="00717436">
        <w:rPr>
          <w:rFonts w:ascii="Times New Roman" w:hAnsi="Times New Roman" w:cs="Times New Roman"/>
          <w:b w:val="0"/>
          <w:color w:val="000000" w:themeColor="text1"/>
          <w:sz w:val="22"/>
          <w:szCs w:val="22"/>
        </w:rPr>
        <w:t>by the Australian Communications and Media Authority</w:t>
      </w:r>
    </w:p>
    <w:p w14:paraId="2C7E2160" w14:textId="77777777" w:rsidR="000520B6" w:rsidRPr="00717436" w:rsidRDefault="000520B6" w:rsidP="00AC690A">
      <w:pPr>
        <w:spacing w:after="120"/>
        <w:jc w:val="center"/>
        <w:rPr>
          <w:rFonts w:ascii="Times New Roman" w:hAnsi="Times New Roman" w:cs="Times New Roman"/>
          <w:i/>
          <w:color w:val="000000" w:themeColor="text1"/>
          <w:sz w:val="22"/>
          <w:szCs w:val="22"/>
        </w:rPr>
      </w:pPr>
      <w:r w:rsidRPr="00717436">
        <w:rPr>
          <w:rFonts w:ascii="Times New Roman" w:hAnsi="Times New Roman" w:cs="Times New Roman"/>
          <w:i/>
          <w:color w:val="000000" w:themeColor="text1"/>
          <w:sz w:val="22"/>
          <w:szCs w:val="22"/>
        </w:rPr>
        <w:t>Telecommunications (Numbering Charges) Act 1997</w:t>
      </w:r>
    </w:p>
    <w:p w14:paraId="111ED96F" w14:textId="77777777" w:rsidR="006C5126" w:rsidRPr="00717436" w:rsidRDefault="006C5126" w:rsidP="006C5126">
      <w:pPr>
        <w:spacing w:after="120"/>
        <w:jc w:val="center"/>
        <w:rPr>
          <w:rFonts w:ascii="Times New Roman" w:hAnsi="Times New Roman" w:cs="Times New Roman"/>
          <w:b/>
          <w:bCs/>
          <w:i/>
          <w:color w:val="000000" w:themeColor="text1"/>
          <w:sz w:val="22"/>
          <w:szCs w:val="22"/>
        </w:rPr>
      </w:pPr>
      <w:r w:rsidRPr="00717436">
        <w:rPr>
          <w:rFonts w:ascii="Times New Roman" w:hAnsi="Times New Roman" w:cs="Times New Roman"/>
          <w:b/>
          <w:bCs/>
          <w:i/>
          <w:iCs/>
          <w:color w:val="000000" w:themeColor="text1"/>
          <w:sz w:val="22"/>
          <w:szCs w:val="22"/>
        </w:rPr>
        <w:t>Telecommunications (Annual Charge) Determination 2025</w:t>
      </w:r>
    </w:p>
    <w:p w14:paraId="5E74F11A" w14:textId="5BCCDAA2" w:rsidR="006C5126" w:rsidRPr="00717436" w:rsidRDefault="006C5126" w:rsidP="00717436">
      <w:pPr>
        <w:rPr>
          <w:rFonts w:ascii="Times New Roman" w:hAnsi="Times New Roman" w:cs="Times New Roman"/>
          <w:b/>
          <w:color w:val="000000" w:themeColor="text1"/>
          <w:sz w:val="22"/>
          <w:szCs w:val="22"/>
        </w:rPr>
      </w:pPr>
      <w:r w:rsidRPr="00717436">
        <w:rPr>
          <w:rFonts w:ascii="Times New Roman" w:hAnsi="Times New Roman" w:cs="Times New Roman"/>
          <w:color w:val="000000" w:themeColor="text1"/>
          <w:sz w:val="22"/>
          <w:szCs w:val="22"/>
        </w:rPr>
        <w:br/>
      </w:r>
      <w:r w:rsidRPr="00717436">
        <w:rPr>
          <w:rFonts w:ascii="Times New Roman" w:hAnsi="Times New Roman" w:cs="Times New Roman"/>
          <w:b/>
          <w:color w:val="000000" w:themeColor="text1"/>
          <w:sz w:val="22"/>
          <w:szCs w:val="22"/>
        </w:rPr>
        <w:t xml:space="preserve">Authority </w:t>
      </w:r>
    </w:p>
    <w:p w14:paraId="2982885D" w14:textId="3D16D7AF" w:rsidR="002D24B7" w:rsidRPr="00717436" w:rsidRDefault="002D24B7" w:rsidP="00AF0B31">
      <w:pPr>
        <w:pStyle w:val="Heading1"/>
        <w:rPr>
          <w:rFonts w:ascii="Times New Roman" w:hAnsi="Times New Roman" w:cs="Times New Roman"/>
          <w:b w:val="0"/>
          <w:color w:val="000000" w:themeColor="text1"/>
          <w:sz w:val="22"/>
          <w:szCs w:val="22"/>
        </w:rPr>
      </w:pPr>
      <w:r w:rsidRPr="00717436">
        <w:rPr>
          <w:rFonts w:ascii="Times New Roman" w:hAnsi="Times New Roman" w:cs="Times New Roman"/>
          <w:b w:val="0"/>
          <w:color w:val="000000" w:themeColor="text1"/>
          <w:sz w:val="22"/>
          <w:szCs w:val="22"/>
        </w:rPr>
        <w:t xml:space="preserve">The </w:t>
      </w:r>
      <w:r w:rsidR="00B874D1" w:rsidRPr="00717436">
        <w:rPr>
          <w:rFonts w:ascii="Times New Roman" w:hAnsi="Times New Roman" w:cs="Times New Roman"/>
          <w:b w:val="0"/>
          <w:color w:val="000000" w:themeColor="text1"/>
          <w:sz w:val="22"/>
          <w:szCs w:val="22"/>
        </w:rPr>
        <w:t>Australian Communications and Media Authority (</w:t>
      </w:r>
      <w:r w:rsidR="00B874D1" w:rsidRPr="00717436">
        <w:rPr>
          <w:rFonts w:ascii="Times New Roman" w:hAnsi="Times New Roman" w:cs="Times New Roman"/>
          <w:b w:val="0"/>
          <w:bCs/>
          <w:color w:val="000000" w:themeColor="text1"/>
          <w:sz w:val="22"/>
          <w:szCs w:val="22"/>
        </w:rPr>
        <w:t xml:space="preserve">the </w:t>
      </w:r>
      <w:r w:rsidR="00B874D1" w:rsidRPr="00A5675B">
        <w:rPr>
          <w:rFonts w:ascii="Times New Roman" w:hAnsi="Times New Roman" w:cs="Times New Roman"/>
          <w:color w:val="000000" w:themeColor="text1"/>
          <w:sz w:val="22"/>
          <w:szCs w:val="22"/>
        </w:rPr>
        <w:t>ACMA</w:t>
      </w:r>
      <w:r w:rsidR="00B874D1" w:rsidRPr="00717436">
        <w:rPr>
          <w:rFonts w:ascii="Times New Roman" w:hAnsi="Times New Roman" w:cs="Times New Roman"/>
          <w:b w:val="0"/>
          <w:color w:val="000000" w:themeColor="text1"/>
          <w:sz w:val="22"/>
          <w:szCs w:val="22"/>
        </w:rPr>
        <w:t xml:space="preserve">) has made the </w:t>
      </w:r>
      <w:r w:rsidRPr="00717436">
        <w:rPr>
          <w:rFonts w:ascii="Times New Roman" w:hAnsi="Times New Roman" w:cs="Times New Roman"/>
          <w:b w:val="0"/>
          <w:bCs/>
          <w:i/>
          <w:iCs/>
          <w:color w:val="000000" w:themeColor="text1"/>
          <w:sz w:val="22"/>
          <w:szCs w:val="22"/>
        </w:rPr>
        <w:t xml:space="preserve">Telecommunications (Annual Charge) Determination </w:t>
      </w:r>
      <w:r w:rsidR="00A502A2" w:rsidRPr="00717436">
        <w:rPr>
          <w:rFonts w:ascii="Times New Roman" w:hAnsi="Times New Roman" w:cs="Times New Roman"/>
          <w:b w:val="0"/>
          <w:bCs/>
          <w:i/>
          <w:iCs/>
          <w:color w:val="000000" w:themeColor="text1"/>
          <w:sz w:val="22"/>
          <w:szCs w:val="22"/>
        </w:rPr>
        <w:t>2025</w:t>
      </w:r>
      <w:r w:rsidRPr="00717436">
        <w:rPr>
          <w:rFonts w:ascii="Times New Roman" w:hAnsi="Times New Roman" w:cs="Times New Roman"/>
          <w:b w:val="0"/>
          <w:bCs/>
          <w:i/>
          <w:iCs/>
          <w:color w:val="000000" w:themeColor="text1"/>
          <w:sz w:val="22"/>
          <w:szCs w:val="22"/>
        </w:rPr>
        <w:t xml:space="preserve"> </w:t>
      </w:r>
      <w:r w:rsidRPr="00717436">
        <w:rPr>
          <w:rFonts w:ascii="Times New Roman" w:hAnsi="Times New Roman" w:cs="Times New Roman"/>
          <w:b w:val="0"/>
          <w:color w:val="000000" w:themeColor="text1"/>
          <w:sz w:val="22"/>
          <w:szCs w:val="22"/>
        </w:rPr>
        <w:t>(</w:t>
      </w:r>
      <w:r w:rsidRPr="00717436">
        <w:rPr>
          <w:rFonts w:ascii="Times New Roman" w:hAnsi="Times New Roman" w:cs="Times New Roman"/>
          <w:b w:val="0"/>
          <w:bCs/>
          <w:color w:val="000000" w:themeColor="text1"/>
          <w:sz w:val="22"/>
          <w:szCs w:val="22"/>
        </w:rPr>
        <w:t xml:space="preserve">the </w:t>
      </w:r>
      <w:r w:rsidR="00312850">
        <w:rPr>
          <w:rFonts w:ascii="Times New Roman" w:hAnsi="Times New Roman" w:cs="Times New Roman"/>
          <w:color w:val="000000" w:themeColor="text1"/>
          <w:sz w:val="22"/>
          <w:szCs w:val="22"/>
        </w:rPr>
        <w:t>instrument</w:t>
      </w:r>
      <w:r w:rsidRPr="00717436">
        <w:rPr>
          <w:rFonts w:ascii="Times New Roman" w:hAnsi="Times New Roman" w:cs="Times New Roman"/>
          <w:b w:val="0"/>
          <w:color w:val="000000" w:themeColor="text1"/>
          <w:sz w:val="22"/>
          <w:szCs w:val="22"/>
        </w:rPr>
        <w:t>)</w:t>
      </w:r>
      <w:r w:rsidR="00B874D1" w:rsidRPr="00717436">
        <w:rPr>
          <w:rFonts w:ascii="Times New Roman" w:hAnsi="Times New Roman" w:cs="Times New Roman"/>
          <w:b w:val="0"/>
          <w:color w:val="000000" w:themeColor="text1"/>
          <w:sz w:val="22"/>
          <w:szCs w:val="22"/>
        </w:rPr>
        <w:t xml:space="preserve"> </w:t>
      </w:r>
      <w:r w:rsidRPr="00717436">
        <w:rPr>
          <w:rFonts w:ascii="Times New Roman" w:hAnsi="Times New Roman" w:cs="Times New Roman"/>
          <w:b w:val="0"/>
          <w:color w:val="000000" w:themeColor="text1"/>
          <w:sz w:val="22"/>
          <w:szCs w:val="22"/>
        </w:rPr>
        <w:t xml:space="preserve">under subsections 20(1) and 22(2) of the </w:t>
      </w:r>
      <w:r w:rsidRPr="00717436">
        <w:rPr>
          <w:rFonts w:ascii="Times New Roman" w:hAnsi="Times New Roman" w:cs="Times New Roman"/>
          <w:b w:val="0"/>
          <w:i/>
          <w:color w:val="000000" w:themeColor="text1"/>
          <w:sz w:val="22"/>
          <w:szCs w:val="22"/>
        </w:rPr>
        <w:t xml:space="preserve">Telecommunications (Numbering Charges) Act 1997 </w:t>
      </w:r>
      <w:r w:rsidRPr="00717436">
        <w:rPr>
          <w:rFonts w:ascii="Times New Roman" w:hAnsi="Times New Roman" w:cs="Times New Roman"/>
          <w:b w:val="0"/>
          <w:color w:val="000000" w:themeColor="text1"/>
          <w:sz w:val="22"/>
          <w:szCs w:val="22"/>
        </w:rPr>
        <w:t>(</w:t>
      </w:r>
      <w:r w:rsidRPr="00717436">
        <w:rPr>
          <w:rFonts w:ascii="Times New Roman" w:hAnsi="Times New Roman" w:cs="Times New Roman"/>
          <w:b w:val="0"/>
          <w:bCs/>
          <w:color w:val="000000" w:themeColor="text1"/>
          <w:sz w:val="22"/>
          <w:szCs w:val="22"/>
        </w:rPr>
        <w:t xml:space="preserve">the </w:t>
      </w:r>
      <w:r w:rsidRPr="002030D4">
        <w:rPr>
          <w:rFonts w:ascii="Times New Roman" w:hAnsi="Times New Roman" w:cs="Times New Roman"/>
          <w:color w:val="000000" w:themeColor="text1"/>
          <w:sz w:val="22"/>
          <w:szCs w:val="22"/>
        </w:rPr>
        <w:t>Numbering Charges Act</w:t>
      </w:r>
      <w:r w:rsidRPr="00717436">
        <w:rPr>
          <w:rFonts w:ascii="Times New Roman" w:hAnsi="Times New Roman" w:cs="Times New Roman"/>
          <w:b w:val="0"/>
          <w:color w:val="000000" w:themeColor="text1"/>
          <w:sz w:val="22"/>
          <w:szCs w:val="22"/>
        </w:rPr>
        <w:t>)</w:t>
      </w:r>
      <w:r w:rsidR="00312850">
        <w:rPr>
          <w:rFonts w:ascii="Times New Roman" w:hAnsi="Times New Roman" w:cs="Times New Roman"/>
          <w:b w:val="0"/>
          <w:color w:val="000000" w:themeColor="text1"/>
          <w:sz w:val="22"/>
          <w:szCs w:val="22"/>
        </w:rPr>
        <w:t xml:space="preserve"> and subsection 33(3) </w:t>
      </w:r>
      <w:r w:rsidR="001B1F09">
        <w:rPr>
          <w:rFonts w:ascii="Times New Roman" w:hAnsi="Times New Roman" w:cs="Times New Roman"/>
          <w:b w:val="0"/>
          <w:color w:val="000000" w:themeColor="text1"/>
          <w:sz w:val="22"/>
          <w:szCs w:val="22"/>
        </w:rPr>
        <w:t xml:space="preserve">of the </w:t>
      </w:r>
      <w:r w:rsidR="001B1F09" w:rsidRPr="002030D4">
        <w:rPr>
          <w:rFonts w:ascii="Times New Roman" w:hAnsi="Times New Roman" w:cs="Times New Roman"/>
          <w:b w:val="0"/>
          <w:bCs/>
          <w:i/>
          <w:color w:val="000000" w:themeColor="text1"/>
          <w:sz w:val="22"/>
          <w:szCs w:val="22"/>
        </w:rPr>
        <w:t>Acts Interpretation Act 1901</w:t>
      </w:r>
      <w:r w:rsidR="001B1F09" w:rsidRPr="002030D4">
        <w:rPr>
          <w:rFonts w:ascii="Times New Roman" w:hAnsi="Times New Roman" w:cs="Times New Roman"/>
          <w:b w:val="0"/>
          <w:bCs/>
          <w:color w:val="000000" w:themeColor="text1"/>
          <w:sz w:val="22"/>
          <w:szCs w:val="22"/>
        </w:rPr>
        <w:t xml:space="preserve"> (</w:t>
      </w:r>
      <w:r w:rsidR="001B1F09" w:rsidRPr="00717436">
        <w:rPr>
          <w:rFonts w:ascii="Times New Roman" w:hAnsi="Times New Roman" w:cs="Times New Roman"/>
          <w:bCs/>
          <w:color w:val="000000" w:themeColor="text1"/>
          <w:sz w:val="22"/>
          <w:szCs w:val="22"/>
        </w:rPr>
        <w:t>AIA</w:t>
      </w:r>
      <w:r w:rsidR="001B1F09" w:rsidRPr="002030D4">
        <w:rPr>
          <w:rFonts w:ascii="Times New Roman" w:hAnsi="Times New Roman" w:cs="Times New Roman"/>
          <w:b w:val="0"/>
          <w:bCs/>
          <w:color w:val="000000" w:themeColor="text1"/>
          <w:sz w:val="22"/>
          <w:szCs w:val="22"/>
        </w:rPr>
        <w:t>)</w:t>
      </w:r>
      <w:r w:rsidR="00597BD2" w:rsidRPr="001B1F09">
        <w:rPr>
          <w:rFonts w:ascii="Times New Roman" w:hAnsi="Times New Roman" w:cs="Times New Roman"/>
          <w:b w:val="0"/>
          <w:bCs/>
          <w:color w:val="000000" w:themeColor="text1"/>
          <w:sz w:val="22"/>
          <w:szCs w:val="22"/>
        </w:rPr>
        <w:t>.</w:t>
      </w:r>
    </w:p>
    <w:p w14:paraId="2FE88C61" w14:textId="4153FFD5" w:rsidR="004E743A" w:rsidRPr="00717436" w:rsidRDefault="00CC6E96" w:rsidP="004E743A">
      <w:pPr>
        <w:rPr>
          <w:rFonts w:ascii="Times New Roman" w:eastAsia="Times New Roman" w:hAnsi="Times New Roman" w:cs="Times New Roman"/>
          <w:i/>
          <w:iCs/>
          <w:color w:val="000000" w:themeColor="text1"/>
          <w:sz w:val="22"/>
          <w:szCs w:val="22"/>
          <w:lang w:eastAsia="en-AU"/>
        </w:rPr>
      </w:pPr>
      <w:r>
        <w:rPr>
          <w:rFonts w:ascii="Times New Roman" w:eastAsia="Times New Roman" w:hAnsi="Times New Roman" w:cs="Times New Roman"/>
          <w:color w:val="000000" w:themeColor="text1"/>
          <w:sz w:val="22"/>
          <w:szCs w:val="22"/>
          <w:lang w:eastAsia="en-AU"/>
        </w:rPr>
        <w:t xml:space="preserve">Subsection 20(1) of the Numbering </w:t>
      </w:r>
      <w:r w:rsidR="00D7714B">
        <w:rPr>
          <w:rFonts w:ascii="Times New Roman" w:eastAsia="Times New Roman" w:hAnsi="Times New Roman" w:cs="Times New Roman"/>
          <w:color w:val="000000" w:themeColor="text1"/>
          <w:sz w:val="22"/>
          <w:szCs w:val="22"/>
          <w:lang w:eastAsia="en-AU"/>
        </w:rPr>
        <w:t>Cha</w:t>
      </w:r>
      <w:r w:rsidR="00277F29">
        <w:rPr>
          <w:rFonts w:ascii="Times New Roman" w:eastAsia="Times New Roman" w:hAnsi="Times New Roman" w:cs="Times New Roman"/>
          <w:color w:val="000000" w:themeColor="text1"/>
          <w:sz w:val="22"/>
          <w:szCs w:val="22"/>
          <w:lang w:eastAsia="en-AU"/>
        </w:rPr>
        <w:t>r</w:t>
      </w:r>
      <w:r w:rsidR="00D7714B">
        <w:rPr>
          <w:rFonts w:ascii="Times New Roman" w:eastAsia="Times New Roman" w:hAnsi="Times New Roman" w:cs="Times New Roman"/>
          <w:color w:val="000000" w:themeColor="text1"/>
          <w:sz w:val="22"/>
          <w:szCs w:val="22"/>
          <w:lang w:eastAsia="en-AU"/>
        </w:rPr>
        <w:t>ges Act provides that the</w:t>
      </w:r>
      <w:r w:rsidR="00AF1D09">
        <w:rPr>
          <w:rFonts w:ascii="Times New Roman" w:eastAsia="Times New Roman" w:hAnsi="Times New Roman" w:cs="Times New Roman"/>
          <w:color w:val="000000" w:themeColor="text1"/>
          <w:sz w:val="22"/>
          <w:szCs w:val="22"/>
          <w:lang w:eastAsia="en-AU"/>
        </w:rPr>
        <w:t xml:space="preserve"> charge that is </w:t>
      </w:r>
      <w:r w:rsidR="00E576E6">
        <w:rPr>
          <w:rFonts w:ascii="Times New Roman" w:eastAsia="Times New Roman" w:hAnsi="Times New Roman" w:cs="Times New Roman"/>
          <w:color w:val="000000" w:themeColor="text1"/>
          <w:sz w:val="22"/>
          <w:szCs w:val="22"/>
          <w:lang w:eastAsia="en-AU"/>
        </w:rPr>
        <w:t>imposed on a</w:t>
      </w:r>
      <w:r w:rsidR="00AF1D09">
        <w:rPr>
          <w:rFonts w:ascii="Times New Roman" w:eastAsia="Times New Roman" w:hAnsi="Times New Roman" w:cs="Times New Roman"/>
          <w:color w:val="000000" w:themeColor="text1"/>
          <w:sz w:val="22"/>
          <w:szCs w:val="22"/>
          <w:lang w:eastAsia="en-AU"/>
        </w:rPr>
        <w:t xml:space="preserve"> </w:t>
      </w:r>
      <w:r w:rsidR="00B72952">
        <w:rPr>
          <w:rFonts w:ascii="Times New Roman" w:eastAsia="Times New Roman" w:hAnsi="Times New Roman" w:cs="Times New Roman"/>
          <w:color w:val="000000" w:themeColor="text1"/>
          <w:sz w:val="22"/>
          <w:szCs w:val="22"/>
          <w:lang w:eastAsia="en-AU"/>
        </w:rPr>
        <w:t>number at a particular time is to be ascertained in accordance with a written determination made by the ACMA</w:t>
      </w:r>
      <w:r w:rsidR="00F23527">
        <w:rPr>
          <w:rFonts w:ascii="Times New Roman" w:eastAsia="Times New Roman" w:hAnsi="Times New Roman" w:cs="Times New Roman"/>
          <w:color w:val="000000" w:themeColor="text1"/>
          <w:sz w:val="22"/>
          <w:szCs w:val="22"/>
          <w:lang w:eastAsia="en-AU"/>
        </w:rPr>
        <w:t xml:space="preserve">. Subsection 20(2) provides that a determination made under subsection 20(1) of the Numbering Charges Act is a legislative instrument. Subsection 22(2) of the </w:t>
      </w:r>
      <w:r w:rsidR="004D1030">
        <w:rPr>
          <w:rFonts w:ascii="Times New Roman" w:eastAsia="Times New Roman" w:hAnsi="Times New Roman" w:cs="Times New Roman"/>
          <w:color w:val="000000" w:themeColor="text1"/>
          <w:sz w:val="22"/>
          <w:szCs w:val="22"/>
          <w:lang w:eastAsia="en-AU"/>
        </w:rPr>
        <w:t xml:space="preserve">Numbering Charges Act provides that </w:t>
      </w:r>
      <w:r w:rsidR="005B20E6">
        <w:rPr>
          <w:rFonts w:ascii="Times New Roman" w:eastAsia="Times New Roman" w:hAnsi="Times New Roman" w:cs="Times New Roman"/>
          <w:color w:val="000000" w:themeColor="text1"/>
          <w:sz w:val="22"/>
          <w:szCs w:val="22"/>
          <w:lang w:eastAsia="en-AU"/>
        </w:rPr>
        <w:t>the ACMA may, by written determination, exempt a specified number from a charge. Subsection 22(3) provides that a determination under subsection 22(2) of the Numbering Charges Act is a legislative instrument.</w:t>
      </w:r>
      <w:r w:rsidR="004E743A" w:rsidRPr="00717436">
        <w:rPr>
          <w:rFonts w:ascii="Times New Roman" w:eastAsia="Times New Roman" w:hAnsi="Times New Roman" w:cs="Times New Roman"/>
          <w:iCs/>
          <w:color w:val="000000" w:themeColor="text1"/>
          <w:sz w:val="22"/>
          <w:szCs w:val="22"/>
          <w:lang w:eastAsia="en-AU"/>
        </w:rPr>
        <w:t xml:space="preserve">  </w:t>
      </w:r>
    </w:p>
    <w:p w14:paraId="3F4E5A34" w14:textId="0D1ED7F7" w:rsidR="00597BD2" w:rsidRPr="00717436" w:rsidRDefault="00597BD2" w:rsidP="00597BD2">
      <w:pPr>
        <w:rPr>
          <w:rFonts w:ascii="Times New Roman" w:eastAsia="Times New Roman" w:hAnsi="Times New Roman" w:cs="Times New Roman"/>
          <w:color w:val="000000" w:themeColor="text1"/>
          <w:sz w:val="22"/>
          <w:szCs w:val="22"/>
          <w:lang w:eastAsia="en-AU"/>
        </w:rPr>
      </w:pPr>
      <w:r w:rsidRPr="00717436">
        <w:rPr>
          <w:rFonts w:ascii="Times New Roman" w:hAnsi="Times New Roman" w:cs="Times New Roman"/>
          <w:color w:val="000000" w:themeColor="text1"/>
          <w:sz w:val="22"/>
          <w:szCs w:val="22"/>
        </w:rPr>
        <w:t xml:space="preserve">Subsection 33(3) of the </w:t>
      </w:r>
      <w:r w:rsidRPr="00717436">
        <w:rPr>
          <w:rFonts w:ascii="Times New Roman" w:hAnsi="Times New Roman" w:cs="Times New Roman"/>
          <w:bCs/>
          <w:color w:val="000000" w:themeColor="text1"/>
          <w:sz w:val="22"/>
          <w:szCs w:val="22"/>
        </w:rPr>
        <w:t>AIA</w:t>
      </w:r>
      <w:r w:rsidRPr="00717436">
        <w:rPr>
          <w:rFonts w:ascii="Times New Roman" w:hAnsi="Times New Roman" w:cs="Times New Roman"/>
          <w:color w:val="000000" w:themeColor="text1"/>
          <w:sz w:val="22"/>
          <w:szCs w:val="22"/>
        </w:rPr>
        <w:t xml:space="preserve"> </w:t>
      </w:r>
      <w:r w:rsidR="009A35B2">
        <w:rPr>
          <w:rFonts w:ascii="Times New Roman" w:hAnsi="Times New Roman" w:cs="Times New Roman"/>
          <w:color w:val="000000" w:themeColor="text1"/>
          <w:sz w:val="22"/>
          <w:szCs w:val="22"/>
        </w:rPr>
        <w:t xml:space="preserve">relevantly </w:t>
      </w:r>
      <w:r w:rsidRPr="00717436">
        <w:rPr>
          <w:rFonts w:ascii="Times New Roman" w:hAnsi="Times New Roman" w:cs="Times New Roman"/>
          <w:color w:val="000000" w:themeColor="text1"/>
          <w:sz w:val="22"/>
          <w:szCs w:val="22"/>
        </w:rPr>
        <w:t xml:space="preserve">provides that where an Act confers a power to make a legislative instrument, the power shall be construed </w:t>
      </w:r>
      <w:r w:rsidR="00312850">
        <w:rPr>
          <w:rFonts w:ascii="Times New Roman" w:hAnsi="Times New Roman" w:cs="Times New Roman"/>
          <w:color w:val="000000" w:themeColor="text1"/>
          <w:sz w:val="22"/>
          <w:szCs w:val="22"/>
        </w:rPr>
        <w:t>as</w:t>
      </w:r>
      <w:r w:rsidRPr="00717436">
        <w:rPr>
          <w:rFonts w:ascii="Times New Roman" w:hAnsi="Times New Roman" w:cs="Times New Roman"/>
          <w:color w:val="000000" w:themeColor="text1"/>
          <w:sz w:val="22"/>
          <w:szCs w:val="22"/>
        </w:rPr>
        <w:t xml:space="preserve"> includ</w:t>
      </w:r>
      <w:r w:rsidR="00E4148D">
        <w:rPr>
          <w:rFonts w:ascii="Times New Roman" w:hAnsi="Times New Roman" w:cs="Times New Roman"/>
          <w:color w:val="000000" w:themeColor="text1"/>
          <w:sz w:val="22"/>
          <w:szCs w:val="22"/>
        </w:rPr>
        <w:t>ing</w:t>
      </w:r>
      <w:r w:rsidRPr="00717436">
        <w:rPr>
          <w:rFonts w:ascii="Times New Roman" w:hAnsi="Times New Roman" w:cs="Times New Roman"/>
          <w:color w:val="000000" w:themeColor="text1"/>
          <w:sz w:val="22"/>
          <w:szCs w:val="22"/>
        </w:rPr>
        <w:t xml:space="preserve"> a power exercisable in the like manner and subject to the like conditions (if any) to repeal, rescind, revoke, amend or vary any such instrument. </w:t>
      </w:r>
    </w:p>
    <w:p w14:paraId="0FB622A4" w14:textId="0B1EE911" w:rsidR="00AF0B31" w:rsidRPr="00717436" w:rsidRDefault="00597BD2" w:rsidP="00C30A12">
      <w:pPr>
        <w:rPr>
          <w:rFonts w:ascii="Times New Roman" w:hAnsi="Times New Roman" w:cs="Times New Roman"/>
          <w:b/>
          <w:color w:val="000000" w:themeColor="text1"/>
          <w:sz w:val="22"/>
          <w:szCs w:val="22"/>
        </w:rPr>
      </w:pPr>
      <w:r w:rsidRPr="00717436">
        <w:rPr>
          <w:rFonts w:ascii="Times New Roman" w:hAnsi="Times New Roman" w:cs="Times New Roman"/>
          <w:b/>
          <w:color w:val="000000" w:themeColor="text1"/>
          <w:sz w:val="22"/>
          <w:szCs w:val="22"/>
        </w:rPr>
        <w:t xml:space="preserve">Purpose </w:t>
      </w:r>
      <w:r w:rsidR="00742656">
        <w:rPr>
          <w:rFonts w:ascii="Times New Roman" w:hAnsi="Times New Roman" w:cs="Times New Roman"/>
          <w:b/>
          <w:color w:val="000000" w:themeColor="text1"/>
          <w:sz w:val="22"/>
          <w:szCs w:val="22"/>
        </w:rPr>
        <w:t xml:space="preserve">and operation of the instrument </w:t>
      </w:r>
    </w:p>
    <w:p w14:paraId="345BBECF" w14:textId="757DEC75" w:rsidR="00597BD2" w:rsidRPr="00717436" w:rsidRDefault="00616EC4" w:rsidP="00616EC4">
      <w:pPr>
        <w:rPr>
          <w:rFonts w:ascii="Times New Roman" w:eastAsia="Times New Roman" w:hAnsi="Times New Roman" w:cs="Times New Roman"/>
          <w:iCs/>
          <w:color w:val="000000" w:themeColor="text1"/>
          <w:sz w:val="22"/>
          <w:szCs w:val="22"/>
          <w:lang w:eastAsia="en-AU"/>
        </w:rPr>
      </w:pPr>
      <w:r w:rsidRPr="00717436">
        <w:rPr>
          <w:rFonts w:ascii="Times New Roman" w:eastAsia="Times New Roman" w:hAnsi="Times New Roman" w:cs="Times New Roman"/>
          <w:iCs/>
          <w:color w:val="000000" w:themeColor="text1"/>
          <w:sz w:val="22"/>
          <w:szCs w:val="22"/>
          <w:lang w:eastAsia="en-AU"/>
        </w:rPr>
        <w:t xml:space="preserve">Part 3 of the </w:t>
      </w:r>
      <w:r w:rsidR="00E72120" w:rsidRPr="00717436">
        <w:rPr>
          <w:rFonts w:ascii="Times New Roman" w:eastAsia="Times New Roman" w:hAnsi="Times New Roman" w:cs="Times New Roman"/>
          <w:iCs/>
          <w:color w:val="000000" w:themeColor="text1"/>
          <w:sz w:val="22"/>
          <w:szCs w:val="22"/>
          <w:lang w:eastAsia="en-AU"/>
        </w:rPr>
        <w:t xml:space="preserve">Numbering </w:t>
      </w:r>
      <w:r w:rsidRPr="00717436">
        <w:rPr>
          <w:rFonts w:ascii="Times New Roman" w:eastAsia="Times New Roman" w:hAnsi="Times New Roman" w:cs="Times New Roman"/>
          <w:iCs/>
          <w:color w:val="000000" w:themeColor="text1"/>
          <w:sz w:val="22"/>
          <w:szCs w:val="22"/>
          <w:lang w:eastAsia="en-AU"/>
        </w:rPr>
        <w:t xml:space="preserve">Charges Act </w:t>
      </w:r>
      <w:r w:rsidR="00DD475C" w:rsidRPr="00717436">
        <w:rPr>
          <w:rFonts w:ascii="Times New Roman" w:eastAsia="Times New Roman" w:hAnsi="Times New Roman" w:cs="Times New Roman"/>
          <w:iCs/>
          <w:color w:val="000000" w:themeColor="text1"/>
          <w:sz w:val="22"/>
          <w:szCs w:val="22"/>
          <w:lang w:eastAsia="en-AU"/>
        </w:rPr>
        <w:t>imposes an annual charge on</w:t>
      </w:r>
      <w:r w:rsidRPr="00717436">
        <w:rPr>
          <w:rFonts w:ascii="Times New Roman" w:eastAsia="Times New Roman" w:hAnsi="Times New Roman" w:cs="Times New Roman"/>
          <w:iCs/>
          <w:color w:val="000000" w:themeColor="text1"/>
          <w:sz w:val="22"/>
          <w:szCs w:val="22"/>
          <w:lang w:eastAsia="en-AU"/>
        </w:rPr>
        <w:t xml:space="preserve"> carriage service providers (</w:t>
      </w:r>
      <w:r w:rsidRPr="00730B5E">
        <w:rPr>
          <w:rFonts w:ascii="Times New Roman" w:eastAsia="Times New Roman" w:hAnsi="Times New Roman" w:cs="Times New Roman"/>
          <w:b/>
          <w:bCs/>
          <w:iCs/>
          <w:color w:val="000000" w:themeColor="text1"/>
          <w:sz w:val="22"/>
          <w:szCs w:val="22"/>
          <w:lang w:eastAsia="en-AU"/>
        </w:rPr>
        <w:t>CSPs</w:t>
      </w:r>
      <w:r w:rsidRPr="00717436">
        <w:rPr>
          <w:rFonts w:ascii="Times New Roman" w:eastAsia="Times New Roman" w:hAnsi="Times New Roman" w:cs="Times New Roman"/>
          <w:iCs/>
          <w:color w:val="000000" w:themeColor="text1"/>
          <w:sz w:val="22"/>
          <w:szCs w:val="22"/>
          <w:lang w:eastAsia="en-AU"/>
        </w:rPr>
        <w:t xml:space="preserve">) that hold telephone numbers. This </w:t>
      </w:r>
      <w:r w:rsidR="00DD475C" w:rsidRPr="00717436">
        <w:rPr>
          <w:rFonts w:ascii="Times New Roman" w:eastAsia="Times New Roman" w:hAnsi="Times New Roman" w:cs="Times New Roman"/>
          <w:iCs/>
          <w:color w:val="000000" w:themeColor="text1"/>
          <w:sz w:val="22"/>
          <w:szCs w:val="22"/>
          <w:lang w:eastAsia="en-AU"/>
        </w:rPr>
        <w:t xml:space="preserve">charge </w:t>
      </w:r>
      <w:r w:rsidRPr="00717436">
        <w:rPr>
          <w:rFonts w:ascii="Times New Roman" w:eastAsia="Times New Roman" w:hAnsi="Times New Roman" w:cs="Times New Roman"/>
          <w:iCs/>
          <w:color w:val="000000" w:themeColor="text1"/>
          <w:sz w:val="22"/>
          <w:szCs w:val="22"/>
          <w:lang w:eastAsia="en-AU"/>
        </w:rPr>
        <w:t>is known as the annual numbering charge</w:t>
      </w:r>
      <w:r w:rsidR="004C6E46" w:rsidRPr="00717436">
        <w:rPr>
          <w:rFonts w:ascii="Times New Roman" w:eastAsia="Times New Roman" w:hAnsi="Times New Roman" w:cs="Times New Roman"/>
          <w:iCs/>
          <w:color w:val="000000" w:themeColor="text1"/>
          <w:sz w:val="22"/>
          <w:szCs w:val="22"/>
          <w:lang w:eastAsia="en-AU"/>
        </w:rPr>
        <w:t xml:space="preserve"> (</w:t>
      </w:r>
      <w:r w:rsidR="004C6E46" w:rsidRPr="00730B5E">
        <w:rPr>
          <w:rFonts w:ascii="Times New Roman" w:eastAsia="Times New Roman" w:hAnsi="Times New Roman" w:cs="Times New Roman"/>
          <w:b/>
          <w:bCs/>
          <w:iCs/>
          <w:color w:val="000000" w:themeColor="text1"/>
          <w:sz w:val="22"/>
          <w:szCs w:val="22"/>
          <w:lang w:eastAsia="en-AU"/>
        </w:rPr>
        <w:t>ANC</w:t>
      </w:r>
      <w:r w:rsidR="004C6E46" w:rsidRPr="00717436">
        <w:rPr>
          <w:rFonts w:ascii="Times New Roman" w:eastAsia="Times New Roman" w:hAnsi="Times New Roman" w:cs="Times New Roman"/>
          <w:iCs/>
          <w:color w:val="000000" w:themeColor="text1"/>
          <w:sz w:val="22"/>
          <w:szCs w:val="22"/>
          <w:lang w:eastAsia="en-AU"/>
        </w:rPr>
        <w:t>)</w:t>
      </w:r>
      <w:r w:rsidRPr="00717436">
        <w:rPr>
          <w:rFonts w:ascii="Times New Roman" w:eastAsia="Times New Roman" w:hAnsi="Times New Roman" w:cs="Times New Roman"/>
          <w:iCs/>
          <w:color w:val="000000" w:themeColor="text1"/>
          <w:sz w:val="22"/>
          <w:szCs w:val="22"/>
          <w:lang w:eastAsia="en-AU"/>
        </w:rPr>
        <w:t>.</w:t>
      </w:r>
      <w:r w:rsidR="003E4FC7" w:rsidRPr="003E4FC7">
        <w:rPr>
          <w:rFonts w:ascii="Times New Roman" w:eastAsia="Times New Roman" w:hAnsi="Times New Roman" w:cs="Times New Roman"/>
          <w:iCs/>
          <w:color w:val="000000" w:themeColor="text1"/>
          <w:sz w:val="22"/>
          <w:szCs w:val="22"/>
          <w:lang w:eastAsia="en-AU"/>
        </w:rPr>
        <w:t xml:space="preserve"> </w:t>
      </w:r>
      <w:r w:rsidR="003E4FC7">
        <w:rPr>
          <w:rFonts w:ascii="Times New Roman" w:eastAsia="Times New Roman" w:hAnsi="Times New Roman" w:cs="Times New Roman"/>
          <w:iCs/>
          <w:color w:val="000000" w:themeColor="text1"/>
          <w:sz w:val="22"/>
          <w:szCs w:val="22"/>
          <w:lang w:eastAsia="en-AU"/>
        </w:rPr>
        <w:t xml:space="preserve">The purpose of the instrument is to continue the established </w:t>
      </w:r>
      <w:r w:rsidR="007C1FED">
        <w:rPr>
          <w:rFonts w:ascii="Times New Roman" w:eastAsia="Times New Roman" w:hAnsi="Times New Roman" w:cs="Times New Roman"/>
          <w:iCs/>
          <w:color w:val="000000" w:themeColor="text1"/>
          <w:sz w:val="22"/>
          <w:szCs w:val="22"/>
          <w:lang w:eastAsia="en-AU"/>
        </w:rPr>
        <w:t xml:space="preserve">arrangements for ascertaining </w:t>
      </w:r>
      <w:r w:rsidR="00FC05F2">
        <w:rPr>
          <w:rFonts w:ascii="Times New Roman" w:eastAsia="Times New Roman" w:hAnsi="Times New Roman" w:cs="Times New Roman"/>
          <w:iCs/>
          <w:color w:val="000000" w:themeColor="text1"/>
          <w:sz w:val="22"/>
          <w:szCs w:val="22"/>
          <w:lang w:eastAsia="en-AU"/>
        </w:rPr>
        <w:t xml:space="preserve">the relevant charge for </w:t>
      </w:r>
      <w:r w:rsidR="00794E02">
        <w:rPr>
          <w:rFonts w:ascii="Times New Roman" w:eastAsia="Times New Roman" w:hAnsi="Times New Roman" w:cs="Times New Roman"/>
          <w:iCs/>
          <w:color w:val="000000" w:themeColor="text1"/>
          <w:sz w:val="22"/>
          <w:szCs w:val="22"/>
          <w:lang w:eastAsia="en-AU"/>
        </w:rPr>
        <w:t>each number allocated to a CSP</w:t>
      </w:r>
      <w:r w:rsidR="00FC05F2">
        <w:rPr>
          <w:rFonts w:ascii="Times New Roman" w:eastAsia="Times New Roman" w:hAnsi="Times New Roman" w:cs="Times New Roman"/>
          <w:iCs/>
          <w:color w:val="000000" w:themeColor="text1"/>
          <w:sz w:val="22"/>
          <w:szCs w:val="22"/>
          <w:lang w:eastAsia="en-AU"/>
        </w:rPr>
        <w:t xml:space="preserve">, </w:t>
      </w:r>
      <w:r w:rsidR="00794E02">
        <w:rPr>
          <w:rFonts w:ascii="Times New Roman" w:eastAsia="Times New Roman" w:hAnsi="Times New Roman" w:cs="Times New Roman"/>
          <w:iCs/>
          <w:color w:val="000000" w:themeColor="text1"/>
          <w:sz w:val="22"/>
          <w:szCs w:val="22"/>
          <w:lang w:eastAsia="en-AU"/>
        </w:rPr>
        <w:t>and</w:t>
      </w:r>
      <w:r w:rsidR="00FC05F2">
        <w:rPr>
          <w:rFonts w:ascii="Times New Roman" w:eastAsia="Times New Roman" w:hAnsi="Times New Roman" w:cs="Times New Roman"/>
          <w:iCs/>
          <w:color w:val="000000" w:themeColor="text1"/>
          <w:sz w:val="22"/>
          <w:szCs w:val="22"/>
          <w:lang w:eastAsia="en-AU"/>
        </w:rPr>
        <w:t xml:space="preserve"> for exempting </w:t>
      </w:r>
      <w:r w:rsidR="00794E02">
        <w:rPr>
          <w:rFonts w:ascii="Times New Roman" w:eastAsia="Times New Roman" w:hAnsi="Times New Roman" w:cs="Times New Roman"/>
          <w:iCs/>
          <w:color w:val="000000" w:themeColor="text1"/>
          <w:sz w:val="22"/>
          <w:szCs w:val="22"/>
          <w:lang w:eastAsia="en-AU"/>
        </w:rPr>
        <w:t xml:space="preserve">certain </w:t>
      </w:r>
      <w:r w:rsidR="00FC05F2">
        <w:rPr>
          <w:rFonts w:ascii="Times New Roman" w:eastAsia="Times New Roman" w:hAnsi="Times New Roman" w:cs="Times New Roman"/>
          <w:iCs/>
          <w:color w:val="000000" w:themeColor="text1"/>
          <w:sz w:val="22"/>
          <w:szCs w:val="22"/>
          <w:lang w:eastAsia="en-AU"/>
        </w:rPr>
        <w:t>number</w:t>
      </w:r>
      <w:r w:rsidR="00794E02">
        <w:rPr>
          <w:rFonts w:ascii="Times New Roman" w:eastAsia="Times New Roman" w:hAnsi="Times New Roman" w:cs="Times New Roman"/>
          <w:iCs/>
          <w:color w:val="000000" w:themeColor="text1"/>
          <w:sz w:val="22"/>
          <w:szCs w:val="22"/>
          <w:lang w:eastAsia="en-AU"/>
        </w:rPr>
        <w:t>s</w:t>
      </w:r>
      <w:r w:rsidR="00FC05F2">
        <w:rPr>
          <w:rFonts w:ascii="Times New Roman" w:eastAsia="Times New Roman" w:hAnsi="Times New Roman" w:cs="Times New Roman"/>
          <w:iCs/>
          <w:color w:val="000000" w:themeColor="text1"/>
          <w:sz w:val="22"/>
          <w:szCs w:val="22"/>
          <w:lang w:eastAsia="en-AU"/>
        </w:rPr>
        <w:t xml:space="preserve"> from </w:t>
      </w:r>
      <w:r w:rsidR="00794E02">
        <w:rPr>
          <w:rFonts w:ascii="Times New Roman" w:eastAsia="Times New Roman" w:hAnsi="Times New Roman" w:cs="Times New Roman"/>
          <w:iCs/>
          <w:color w:val="000000" w:themeColor="text1"/>
          <w:sz w:val="22"/>
          <w:szCs w:val="22"/>
          <w:lang w:eastAsia="en-AU"/>
        </w:rPr>
        <w:t xml:space="preserve">charge, with some minor alterations to </w:t>
      </w:r>
      <w:r w:rsidR="00B35F81">
        <w:rPr>
          <w:rFonts w:ascii="Times New Roman" w:eastAsia="Times New Roman" w:hAnsi="Times New Roman" w:cs="Times New Roman"/>
          <w:iCs/>
          <w:color w:val="000000" w:themeColor="text1"/>
          <w:sz w:val="22"/>
          <w:szCs w:val="22"/>
          <w:lang w:eastAsia="en-AU"/>
        </w:rPr>
        <w:t xml:space="preserve">ensure that the instrument reflects the terminology and </w:t>
      </w:r>
      <w:r w:rsidR="00EB6666">
        <w:rPr>
          <w:rFonts w:ascii="Times New Roman" w:eastAsia="Times New Roman" w:hAnsi="Times New Roman" w:cs="Times New Roman"/>
          <w:iCs/>
          <w:color w:val="000000" w:themeColor="text1"/>
          <w:sz w:val="22"/>
          <w:szCs w:val="22"/>
          <w:lang w:eastAsia="en-AU"/>
        </w:rPr>
        <w:t xml:space="preserve">number types which are specified in the </w:t>
      </w:r>
      <w:r w:rsidR="00EB6666" w:rsidRPr="002030D4">
        <w:rPr>
          <w:rFonts w:ascii="Times New Roman" w:eastAsia="Times New Roman" w:hAnsi="Times New Roman" w:cs="Times New Roman"/>
          <w:i/>
          <w:color w:val="000000" w:themeColor="text1"/>
          <w:sz w:val="22"/>
          <w:szCs w:val="22"/>
          <w:lang w:eastAsia="en-AU"/>
        </w:rPr>
        <w:t>Telecommunications Numbering Plan 2025</w:t>
      </w:r>
      <w:r w:rsidR="00EB6666">
        <w:rPr>
          <w:rFonts w:ascii="Times New Roman" w:eastAsia="Times New Roman" w:hAnsi="Times New Roman" w:cs="Times New Roman"/>
          <w:iCs/>
          <w:color w:val="000000" w:themeColor="text1"/>
          <w:sz w:val="22"/>
          <w:szCs w:val="22"/>
          <w:lang w:eastAsia="en-AU"/>
        </w:rPr>
        <w:t xml:space="preserve"> (</w:t>
      </w:r>
      <w:r w:rsidR="00FD4644">
        <w:rPr>
          <w:rFonts w:ascii="Times New Roman" w:eastAsia="Times New Roman" w:hAnsi="Times New Roman" w:cs="Times New Roman"/>
          <w:iCs/>
          <w:color w:val="000000" w:themeColor="text1"/>
          <w:sz w:val="22"/>
          <w:szCs w:val="22"/>
          <w:lang w:eastAsia="en-AU"/>
        </w:rPr>
        <w:t xml:space="preserve">the </w:t>
      </w:r>
      <w:r w:rsidR="00EB6666" w:rsidRPr="002030D4">
        <w:rPr>
          <w:rFonts w:ascii="Times New Roman" w:eastAsia="Times New Roman" w:hAnsi="Times New Roman" w:cs="Times New Roman"/>
          <w:b/>
          <w:bCs/>
          <w:iCs/>
          <w:color w:val="000000" w:themeColor="text1"/>
          <w:sz w:val="22"/>
          <w:szCs w:val="22"/>
          <w:lang w:eastAsia="en-AU"/>
        </w:rPr>
        <w:t>Numbering Plan</w:t>
      </w:r>
      <w:r w:rsidR="00EB6666">
        <w:rPr>
          <w:rFonts w:ascii="Times New Roman" w:eastAsia="Times New Roman" w:hAnsi="Times New Roman" w:cs="Times New Roman"/>
          <w:iCs/>
          <w:color w:val="000000" w:themeColor="text1"/>
          <w:sz w:val="22"/>
          <w:szCs w:val="22"/>
          <w:lang w:eastAsia="en-AU"/>
        </w:rPr>
        <w:t>)</w:t>
      </w:r>
      <w:r w:rsidR="008604FF">
        <w:rPr>
          <w:rFonts w:ascii="Times New Roman" w:eastAsia="Times New Roman" w:hAnsi="Times New Roman" w:cs="Times New Roman"/>
          <w:iCs/>
          <w:color w:val="000000" w:themeColor="text1"/>
          <w:sz w:val="22"/>
          <w:szCs w:val="22"/>
          <w:lang w:eastAsia="en-AU"/>
        </w:rPr>
        <w:t>.</w:t>
      </w:r>
    </w:p>
    <w:p w14:paraId="2DE1E95E" w14:textId="77777777" w:rsidR="00336650" w:rsidRPr="00717436" w:rsidRDefault="0062455D" w:rsidP="00616EC4">
      <w:pPr>
        <w:rPr>
          <w:rFonts w:ascii="Times New Roman" w:hAnsi="Times New Roman" w:cs="Times New Roman"/>
          <w:color w:val="000000" w:themeColor="text1"/>
          <w:sz w:val="22"/>
          <w:szCs w:val="22"/>
        </w:rPr>
      </w:pPr>
      <w:r w:rsidRPr="00717436">
        <w:rPr>
          <w:rFonts w:ascii="Times New Roman" w:hAnsi="Times New Roman" w:cs="Times New Roman"/>
          <w:color w:val="000000" w:themeColor="text1"/>
          <w:sz w:val="22"/>
          <w:szCs w:val="22"/>
        </w:rPr>
        <w:t>The Numbering Charges Act sets out the general framewo</w:t>
      </w:r>
      <w:r w:rsidR="00251AEE" w:rsidRPr="00717436">
        <w:rPr>
          <w:rFonts w:ascii="Times New Roman" w:hAnsi="Times New Roman" w:cs="Times New Roman"/>
          <w:color w:val="000000" w:themeColor="text1"/>
          <w:sz w:val="22"/>
          <w:szCs w:val="22"/>
        </w:rPr>
        <w:t>rk under which the ANC</w:t>
      </w:r>
      <w:r w:rsidRPr="00717436">
        <w:rPr>
          <w:rFonts w:ascii="Times New Roman" w:hAnsi="Times New Roman" w:cs="Times New Roman"/>
          <w:color w:val="000000" w:themeColor="text1"/>
          <w:sz w:val="22"/>
          <w:szCs w:val="22"/>
        </w:rPr>
        <w:t xml:space="preserve"> is imposed on CSPs that hold telephone numbers. </w:t>
      </w:r>
    </w:p>
    <w:p w14:paraId="4EC28B2C" w14:textId="4BE10514" w:rsidR="0062455D" w:rsidRPr="00717436" w:rsidRDefault="0062455D" w:rsidP="00C30A12">
      <w:pPr>
        <w:pStyle w:val="ListParagraph"/>
        <w:numPr>
          <w:ilvl w:val="0"/>
          <w:numId w:val="12"/>
        </w:numPr>
        <w:rPr>
          <w:rFonts w:ascii="Times New Roman" w:eastAsia="Times New Roman" w:hAnsi="Times New Roman" w:cs="Times New Roman"/>
          <w:iCs/>
          <w:color w:val="000000" w:themeColor="text1"/>
          <w:sz w:val="22"/>
          <w:szCs w:val="22"/>
          <w:lang w:eastAsia="en-AU"/>
        </w:rPr>
      </w:pPr>
      <w:r w:rsidRPr="00717436">
        <w:rPr>
          <w:rFonts w:ascii="Times New Roman" w:hAnsi="Times New Roman" w:cs="Times New Roman"/>
          <w:color w:val="000000" w:themeColor="text1"/>
          <w:sz w:val="22"/>
          <w:szCs w:val="22"/>
        </w:rPr>
        <w:t xml:space="preserve">Under subsection 18(1), if a CSP holds an allocated number on a date determined by the ACMA each year, a charge is imposed on the number. This date is referred to as the </w:t>
      </w:r>
      <w:r w:rsidR="006007C4" w:rsidRPr="00717436">
        <w:rPr>
          <w:rFonts w:ascii="Times New Roman" w:hAnsi="Times New Roman" w:cs="Times New Roman"/>
          <w:color w:val="000000" w:themeColor="text1"/>
          <w:sz w:val="22"/>
          <w:szCs w:val="22"/>
        </w:rPr>
        <w:t>“c</w:t>
      </w:r>
      <w:r w:rsidRPr="00717436">
        <w:rPr>
          <w:rFonts w:ascii="Times New Roman" w:hAnsi="Times New Roman" w:cs="Times New Roman"/>
          <w:color w:val="000000" w:themeColor="text1"/>
          <w:sz w:val="22"/>
          <w:szCs w:val="22"/>
        </w:rPr>
        <w:t xml:space="preserve">ensus </w:t>
      </w:r>
      <w:r w:rsidR="006007C4" w:rsidRPr="00717436">
        <w:rPr>
          <w:rFonts w:ascii="Times New Roman" w:hAnsi="Times New Roman" w:cs="Times New Roman"/>
          <w:color w:val="000000" w:themeColor="text1"/>
          <w:sz w:val="22"/>
          <w:szCs w:val="22"/>
        </w:rPr>
        <w:t>d</w:t>
      </w:r>
      <w:r w:rsidRPr="00717436">
        <w:rPr>
          <w:rFonts w:ascii="Times New Roman" w:hAnsi="Times New Roman" w:cs="Times New Roman"/>
          <w:color w:val="000000" w:themeColor="text1"/>
          <w:sz w:val="22"/>
          <w:szCs w:val="22"/>
        </w:rPr>
        <w:t>ate</w:t>
      </w:r>
      <w:r w:rsidR="006007C4" w:rsidRPr="00717436">
        <w:rPr>
          <w:rFonts w:ascii="Times New Roman" w:hAnsi="Times New Roman" w:cs="Times New Roman"/>
          <w:color w:val="000000" w:themeColor="text1"/>
          <w:sz w:val="22"/>
          <w:szCs w:val="22"/>
        </w:rPr>
        <w:t>”</w:t>
      </w:r>
      <w:r w:rsidR="001E4422">
        <w:rPr>
          <w:rFonts w:ascii="Times New Roman" w:hAnsi="Times New Roman" w:cs="Times New Roman"/>
          <w:color w:val="000000" w:themeColor="text1"/>
          <w:sz w:val="22"/>
          <w:szCs w:val="22"/>
        </w:rPr>
        <w:t xml:space="preserve"> in the instrument</w:t>
      </w:r>
      <w:r w:rsidRPr="00717436">
        <w:rPr>
          <w:rFonts w:ascii="Times New Roman" w:hAnsi="Times New Roman" w:cs="Times New Roman"/>
          <w:color w:val="000000" w:themeColor="text1"/>
          <w:sz w:val="22"/>
          <w:szCs w:val="22"/>
        </w:rPr>
        <w:t>.</w:t>
      </w:r>
    </w:p>
    <w:p w14:paraId="1861F087" w14:textId="77777777" w:rsidR="00336650" w:rsidRPr="00717436" w:rsidRDefault="00B37845" w:rsidP="00C30A12">
      <w:pPr>
        <w:pStyle w:val="ListParagraph"/>
        <w:numPr>
          <w:ilvl w:val="0"/>
          <w:numId w:val="12"/>
        </w:numPr>
        <w:rPr>
          <w:rFonts w:ascii="Times New Roman" w:eastAsia="Times New Roman" w:hAnsi="Times New Roman" w:cs="Times New Roman"/>
          <w:iCs/>
          <w:color w:val="000000" w:themeColor="text1"/>
          <w:sz w:val="22"/>
          <w:szCs w:val="22"/>
          <w:lang w:eastAsia="en-AU"/>
        </w:rPr>
      </w:pPr>
      <w:r w:rsidRPr="00717436">
        <w:rPr>
          <w:rFonts w:ascii="Times New Roman" w:eastAsia="Times New Roman" w:hAnsi="Times New Roman" w:cs="Times New Roman"/>
          <w:iCs/>
          <w:color w:val="000000" w:themeColor="text1"/>
          <w:sz w:val="22"/>
          <w:szCs w:val="22"/>
          <w:lang w:eastAsia="en-AU"/>
        </w:rPr>
        <w:t>S</w:t>
      </w:r>
      <w:r w:rsidR="00E82D8F" w:rsidRPr="00717436">
        <w:rPr>
          <w:rFonts w:ascii="Times New Roman" w:eastAsia="Times New Roman" w:hAnsi="Times New Roman" w:cs="Times New Roman"/>
          <w:iCs/>
          <w:color w:val="000000" w:themeColor="text1"/>
          <w:sz w:val="22"/>
          <w:szCs w:val="22"/>
          <w:lang w:eastAsia="en-AU"/>
        </w:rPr>
        <w:t xml:space="preserve">ubsection 20(1) </w:t>
      </w:r>
      <w:r w:rsidRPr="00717436">
        <w:rPr>
          <w:rFonts w:ascii="Times New Roman" w:eastAsia="Times New Roman" w:hAnsi="Times New Roman" w:cs="Times New Roman"/>
          <w:iCs/>
          <w:color w:val="000000" w:themeColor="text1"/>
          <w:sz w:val="22"/>
          <w:szCs w:val="22"/>
          <w:lang w:eastAsia="en-AU"/>
        </w:rPr>
        <w:t>provides that</w:t>
      </w:r>
      <w:r w:rsidR="00E82D8F" w:rsidRPr="00717436">
        <w:rPr>
          <w:rFonts w:ascii="Times New Roman" w:eastAsia="Times New Roman" w:hAnsi="Times New Roman" w:cs="Times New Roman"/>
          <w:iCs/>
          <w:color w:val="000000" w:themeColor="text1"/>
          <w:sz w:val="22"/>
          <w:szCs w:val="22"/>
          <w:lang w:eastAsia="en-AU"/>
        </w:rPr>
        <w:t xml:space="preserve"> the amount of charge imposed on a number held on the </w:t>
      </w:r>
      <w:r w:rsidR="006007C4" w:rsidRPr="00717436">
        <w:rPr>
          <w:rFonts w:ascii="Times New Roman" w:eastAsia="Times New Roman" w:hAnsi="Times New Roman" w:cs="Times New Roman"/>
          <w:iCs/>
          <w:color w:val="000000" w:themeColor="text1"/>
          <w:sz w:val="22"/>
          <w:szCs w:val="22"/>
          <w:lang w:eastAsia="en-AU"/>
        </w:rPr>
        <w:t>c</w:t>
      </w:r>
      <w:r w:rsidR="00E82D8F" w:rsidRPr="00717436">
        <w:rPr>
          <w:rFonts w:ascii="Times New Roman" w:eastAsia="Times New Roman" w:hAnsi="Times New Roman" w:cs="Times New Roman"/>
          <w:iCs/>
          <w:color w:val="000000" w:themeColor="text1"/>
          <w:sz w:val="22"/>
          <w:szCs w:val="22"/>
          <w:lang w:eastAsia="en-AU"/>
        </w:rPr>
        <w:t xml:space="preserve">ensus </w:t>
      </w:r>
      <w:r w:rsidR="006007C4" w:rsidRPr="00717436">
        <w:rPr>
          <w:rFonts w:ascii="Times New Roman" w:eastAsia="Times New Roman" w:hAnsi="Times New Roman" w:cs="Times New Roman"/>
          <w:iCs/>
          <w:color w:val="000000" w:themeColor="text1"/>
          <w:sz w:val="22"/>
          <w:szCs w:val="22"/>
          <w:lang w:eastAsia="en-AU"/>
        </w:rPr>
        <w:t>d</w:t>
      </w:r>
      <w:r w:rsidR="00E82D8F" w:rsidRPr="00717436">
        <w:rPr>
          <w:rFonts w:ascii="Times New Roman" w:eastAsia="Times New Roman" w:hAnsi="Times New Roman" w:cs="Times New Roman"/>
          <w:iCs/>
          <w:color w:val="000000" w:themeColor="text1"/>
          <w:sz w:val="22"/>
          <w:szCs w:val="22"/>
          <w:lang w:eastAsia="en-AU"/>
        </w:rPr>
        <w:t>ate is the amount ascertained in accordance with a written determination made by the ACMA.</w:t>
      </w:r>
    </w:p>
    <w:p w14:paraId="005520D8" w14:textId="77777777" w:rsidR="00E82D8F" w:rsidRPr="00717436" w:rsidRDefault="00B37845" w:rsidP="00C30A12">
      <w:pPr>
        <w:pStyle w:val="ListParagraph"/>
        <w:numPr>
          <w:ilvl w:val="0"/>
          <w:numId w:val="12"/>
        </w:numPr>
        <w:rPr>
          <w:rFonts w:ascii="Times New Roman" w:eastAsia="Times New Roman" w:hAnsi="Times New Roman" w:cs="Times New Roman"/>
          <w:iCs/>
          <w:color w:val="000000" w:themeColor="text1"/>
          <w:sz w:val="22"/>
          <w:szCs w:val="22"/>
          <w:lang w:eastAsia="en-AU"/>
        </w:rPr>
      </w:pPr>
      <w:r w:rsidRPr="00717436">
        <w:rPr>
          <w:rFonts w:ascii="Times New Roman" w:eastAsia="Times New Roman" w:hAnsi="Times New Roman" w:cs="Times New Roman"/>
          <w:iCs/>
          <w:color w:val="000000" w:themeColor="text1"/>
          <w:sz w:val="22"/>
          <w:szCs w:val="22"/>
          <w:lang w:eastAsia="en-AU"/>
        </w:rPr>
        <w:t xml:space="preserve">Subsection </w:t>
      </w:r>
      <w:r w:rsidR="00E82D8F" w:rsidRPr="00717436">
        <w:rPr>
          <w:rFonts w:ascii="Times New Roman" w:eastAsia="Times New Roman" w:hAnsi="Times New Roman" w:cs="Times New Roman"/>
          <w:iCs/>
          <w:color w:val="000000" w:themeColor="text1"/>
          <w:sz w:val="22"/>
          <w:szCs w:val="22"/>
          <w:lang w:eastAsia="en-AU"/>
        </w:rPr>
        <w:t xml:space="preserve">22(2) </w:t>
      </w:r>
      <w:r w:rsidRPr="00717436">
        <w:rPr>
          <w:rFonts w:ascii="Times New Roman" w:eastAsia="Times New Roman" w:hAnsi="Times New Roman" w:cs="Times New Roman"/>
          <w:iCs/>
          <w:color w:val="000000" w:themeColor="text1"/>
          <w:sz w:val="22"/>
          <w:szCs w:val="22"/>
          <w:lang w:eastAsia="en-AU"/>
        </w:rPr>
        <w:t>provides that</w:t>
      </w:r>
      <w:r w:rsidR="00E82D8F" w:rsidRPr="00717436">
        <w:rPr>
          <w:rFonts w:ascii="Times New Roman" w:eastAsia="Times New Roman" w:hAnsi="Times New Roman" w:cs="Times New Roman"/>
          <w:iCs/>
          <w:color w:val="000000" w:themeColor="text1"/>
          <w:sz w:val="22"/>
          <w:szCs w:val="22"/>
          <w:lang w:eastAsia="en-AU"/>
        </w:rPr>
        <w:t xml:space="preserve"> the ACMA may by written determination, exempt a specified number from the charge.</w:t>
      </w:r>
    </w:p>
    <w:p w14:paraId="0F175E30" w14:textId="5AF8222A" w:rsidR="00B66CF8" w:rsidRPr="00717436" w:rsidRDefault="00B66CF8" w:rsidP="00B66CF8">
      <w:pPr>
        <w:pStyle w:val="ACMABodyText"/>
        <w:rPr>
          <w:rFonts w:ascii="Times New Roman" w:hAnsi="Times New Roman" w:cs="Times New Roman"/>
          <w:color w:val="000000" w:themeColor="text1"/>
          <w:sz w:val="22"/>
          <w:szCs w:val="22"/>
        </w:rPr>
      </w:pPr>
      <w:r w:rsidRPr="00717436">
        <w:rPr>
          <w:rFonts w:ascii="Times New Roman" w:hAnsi="Times New Roman" w:cs="Times New Roman"/>
          <w:color w:val="000000" w:themeColor="text1"/>
          <w:sz w:val="22"/>
          <w:szCs w:val="22"/>
        </w:rPr>
        <w:t xml:space="preserve">The </w:t>
      </w:r>
      <w:r w:rsidR="004F7254">
        <w:rPr>
          <w:rFonts w:ascii="Times New Roman" w:hAnsi="Times New Roman" w:cs="Times New Roman"/>
          <w:color w:val="000000" w:themeColor="text1"/>
          <w:sz w:val="22"/>
          <w:szCs w:val="22"/>
        </w:rPr>
        <w:t xml:space="preserve">instrument </w:t>
      </w:r>
      <w:r w:rsidR="004F7254" w:rsidRPr="00717436">
        <w:rPr>
          <w:rFonts w:ascii="Times New Roman" w:hAnsi="Times New Roman" w:cs="Times New Roman"/>
          <w:color w:val="000000" w:themeColor="text1"/>
          <w:sz w:val="22"/>
          <w:szCs w:val="22"/>
        </w:rPr>
        <w:t>sets</w:t>
      </w:r>
      <w:r w:rsidRPr="00717436">
        <w:rPr>
          <w:rFonts w:ascii="Times New Roman" w:hAnsi="Times New Roman" w:cs="Times New Roman"/>
          <w:color w:val="000000" w:themeColor="text1"/>
          <w:sz w:val="22"/>
          <w:szCs w:val="22"/>
        </w:rPr>
        <w:t xml:space="preserve"> the formula used to calculate the ANC</w:t>
      </w:r>
      <w:r w:rsidR="00336650" w:rsidRPr="00717436">
        <w:rPr>
          <w:rFonts w:ascii="Times New Roman" w:hAnsi="Times New Roman" w:cs="Times New Roman"/>
          <w:color w:val="000000" w:themeColor="text1"/>
          <w:sz w:val="22"/>
          <w:szCs w:val="22"/>
        </w:rPr>
        <w:t>. It also</w:t>
      </w:r>
      <w:r w:rsidRPr="00717436">
        <w:rPr>
          <w:rFonts w:ascii="Times New Roman" w:hAnsi="Times New Roman" w:cs="Times New Roman"/>
          <w:color w:val="000000" w:themeColor="text1"/>
          <w:sz w:val="22"/>
          <w:szCs w:val="22"/>
        </w:rPr>
        <w:t xml:space="preserve"> lists the numbers that are exempt from the ANC or charged at a reduced rate.</w:t>
      </w:r>
    </w:p>
    <w:p w14:paraId="0E850080" w14:textId="416B323A" w:rsidR="00B66CF8" w:rsidRPr="00717436" w:rsidRDefault="00B66CF8" w:rsidP="002B3205">
      <w:pPr>
        <w:pStyle w:val="ACMABodyText"/>
        <w:rPr>
          <w:rFonts w:ascii="Times New Roman" w:hAnsi="Times New Roman" w:cs="Times New Roman"/>
          <w:color w:val="000000" w:themeColor="text1"/>
          <w:sz w:val="22"/>
          <w:szCs w:val="22"/>
        </w:rPr>
      </w:pPr>
      <w:r w:rsidRPr="00717436">
        <w:rPr>
          <w:rFonts w:ascii="Times New Roman" w:hAnsi="Times New Roman" w:cs="Times New Roman"/>
          <w:color w:val="000000" w:themeColor="text1"/>
          <w:sz w:val="22"/>
          <w:szCs w:val="22"/>
        </w:rPr>
        <w:lastRenderedPageBreak/>
        <w:t xml:space="preserve">The formula in the </w:t>
      </w:r>
      <w:r w:rsidR="00837A16">
        <w:rPr>
          <w:rFonts w:ascii="Times New Roman" w:hAnsi="Times New Roman" w:cs="Times New Roman"/>
          <w:color w:val="000000" w:themeColor="text1"/>
          <w:sz w:val="22"/>
          <w:szCs w:val="22"/>
        </w:rPr>
        <w:t>instrument</w:t>
      </w:r>
      <w:r w:rsidR="00837A16" w:rsidRPr="00717436">
        <w:rPr>
          <w:rFonts w:ascii="Times New Roman" w:hAnsi="Times New Roman" w:cs="Times New Roman"/>
          <w:color w:val="000000" w:themeColor="text1"/>
          <w:sz w:val="22"/>
          <w:szCs w:val="22"/>
        </w:rPr>
        <w:t xml:space="preserve"> </w:t>
      </w:r>
      <w:r w:rsidR="004C64D6">
        <w:rPr>
          <w:rFonts w:ascii="Times New Roman" w:hAnsi="Times New Roman" w:cs="Times New Roman"/>
          <w:color w:val="000000" w:themeColor="text1"/>
          <w:sz w:val="22"/>
          <w:szCs w:val="22"/>
        </w:rPr>
        <w:t xml:space="preserve">relies in part on </w:t>
      </w:r>
      <w:r w:rsidRPr="00717436">
        <w:rPr>
          <w:rFonts w:ascii="Times New Roman" w:hAnsi="Times New Roman" w:cs="Times New Roman"/>
          <w:color w:val="000000" w:themeColor="text1"/>
          <w:sz w:val="22"/>
          <w:szCs w:val="22"/>
        </w:rPr>
        <w:t xml:space="preserve">the length of the number, such that the shorter digit numbers attract higher charges. </w:t>
      </w:r>
      <w:r w:rsidR="000F353F">
        <w:rPr>
          <w:rFonts w:ascii="Times New Roman" w:hAnsi="Times New Roman" w:cs="Times New Roman"/>
          <w:color w:val="000000" w:themeColor="text1"/>
          <w:sz w:val="22"/>
          <w:szCs w:val="22"/>
        </w:rPr>
        <w:t xml:space="preserve">The formula is </w:t>
      </w:r>
      <w:r w:rsidR="006D3FD8">
        <w:rPr>
          <w:rFonts w:ascii="Times New Roman" w:hAnsi="Times New Roman" w:cs="Times New Roman"/>
          <w:color w:val="000000" w:themeColor="text1"/>
          <w:sz w:val="22"/>
          <w:szCs w:val="22"/>
        </w:rPr>
        <w:t xml:space="preserve">designed to achieve </w:t>
      </w:r>
      <w:r w:rsidR="00A3263B">
        <w:rPr>
          <w:rFonts w:ascii="Times New Roman" w:hAnsi="Times New Roman" w:cs="Times New Roman"/>
          <w:color w:val="000000" w:themeColor="text1"/>
          <w:sz w:val="22"/>
          <w:szCs w:val="22"/>
        </w:rPr>
        <w:t xml:space="preserve">a </w:t>
      </w:r>
      <w:r w:rsidR="00657225">
        <w:rPr>
          <w:rFonts w:ascii="Times New Roman" w:hAnsi="Times New Roman" w:cs="Times New Roman"/>
          <w:color w:val="000000" w:themeColor="text1"/>
          <w:sz w:val="22"/>
          <w:szCs w:val="22"/>
        </w:rPr>
        <w:t xml:space="preserve">total collection of </w:t>
      </w:r>
      <w:proofErr w:type="gramStart"/>
      <w:r w:rsidR="00657225">
        <w:rPr>
          <w:rFonts w:ascii="Times New Roman" w:hAnsi="Times New Roman" w:cs="Times New Roman"/>
          <w:color w:val="000000" w:themeColor="text1"/>
          <w:sz w:val="22"/>
          <w:szCs w:val="22"/>
        </w:rPr>
        <w:t>ANC</w:t>
      </w:r>
      <w:proofErr w:type="gramEnd"/>
      <w:r w:rsidR="00657225">
        <w:rPr>
          <w:rFonts w:ascii="Times New Roman" w:hAnsi="Times New Roman" w:cs="Times New Roman"/>
          <w:color w:val="000000" w:themeColor="text1"/>
          <w:sz w:val="22"/>
          <w:szCs w:val="22"/>
        </w:rPr>
        <w:t xml:space="preserve"> for each year of </w:t>
      </w:r>
      <w:r w:rsidR="008659C3">
        <w:rPr>
          <w:rFonts w:ascii="Times New Roman" w:hAnsi="Times New Roman" w:cs="Times New Roman"/>
          <w:color w:val="000000" w:themeColor="text1"/>
          <w:sz w:val="22"/>
          <w:szCs w:val="22"/>
        </w:rPr>
        <w:t>a particular amount</w:t>
      </w:r>
      <w:r w:rsidR="005C5C84">
        <w:rPr>
          <w:rFonts w:ascii="Times New Roman" w:hAnsi="Times New Roman" w:cs="Times New Roman"/>
          <w:color w:val="000000" w:themeColor="text1"/>
          <w:sz w:val="22"/>
          <w:szCs w:val="22"/>
        </w:rPr>
        <w:t xml:space="preserve"> </w:t>
      </w:r>
      <w:r w:rsidR="001275D7">
        <w:rPr>
          <w:rFonts w:ascii="Times New Roman" w:hAnsi="Times New Roman" w:cs="Times New Roman"/>
          <w:color w:val="000000" w:themeColor="text1"/>
          <w:sz w:val="22"/>
          <w:szCs w:val="22"/>
        </w:rPr>
        <w:t xml:space="preserve">(“the </w:t>
      </w:r>
      <w:r w:rsidR="001275D7" w:rsidRPr="00F41754">
        <w:rPr>
          <w:rFonts w:ascii="Times New Roman" w:hAnsi="Times New Roman" w:cs="Times New Roman"/>
          <w:b/>
          <w:bCs/>
          <w:color w:val="000000" w:themeColor="text1"/>
          <w:sz w:val="22"/>
          <w:szCs w:val="22"/>
        </w:rPr>
        <w:t>revenue target</w:t>
      </w:r>
      <w:r w:rsidR="001275D7">
        <w:rPr>
          <w:rFonts w:ascii="Times New Roman" w:hAnsi="Times New Roman" w:cs="Times New Roman"/>
          <w:color w:val="000000" w:themeColor="text1"/>
          <w:sz w:val="22"/>
          <w:szCs w:val="22"/>
        </w:rPr>
        <w:t>”)</w:t>
      </w:r>
      <w:r w:rsidR="00A3263B">
        <w:rPr>
          <w:rFonts w:ascii="Times New Roman" w:hAnsi="Times New Roman" w:cs="Times New Roman"/>
          <w:color w:val="000000" w:themeColor="text1"/>
          <w:sz w:val="22"/>
          <w:szCs w:val="22"/>
        </w:rPr>
        <w:t xml:space="preserve">. The revenue target </w:t>
      </w:r>
      <w:r w:rsidR="005722F0">
        <w:rPr>
          <w:rFonts w:ascii="Times New Roman" w:hAnsi="Times New Roman" w:cs="Times New Roman"/>
          <w:color w:val="000000" w:themeColor="text1"/>
          <w:sz w:val="22"/>
          <w:szCs w:val="22"/>
        </w:rPr>
        <w:t xml:space="preserve">for each year </w:t>
      </w:r>
      <w:r w:rsidR="008659C3">
        <w:rPr>
          <w:rFonts w:ascii="Times New Roman" w:hAnsi="Times New Roman" w:cs="Times New Roman"/>
          <w:color w:val="000000" w:themeColor="text1"/>
          <w:sz w:val="22"/>
          <w:szCs w:val="22"/>
        </w:rPr>
        <w:t>is $60 million</w:t>
      </w:r>
      <w:r w:rsidR="00F14795">
        <w:rPr>
          <w:rFonts w:ascii="Times New Roman" w:hAnsi="Times New Roman" w:cs="Times New Roman"/>
          <w:color w:val="000000" w:themeColor="text1"/>
          <w:sz w:val="22"/>
          <w:szCs w:val="22"/>
        </w:rPr>
        <w:t xml:space="preserve">.  </w:t>
      </w:r>
      <w:r w:rsidR="008659C3">
        <w:rPr>
          <w:rFonts w:ascii="Times New Roman" w:hAnsi="Times New Roman" w:cs="Times New Roman"/>
          <w:color w:val="000000" w:themeColor="text1"/>
          <w:sz w:val="22"/>
          <w:szCs w:val="22"/>
        </w:rPr>
        <w:t xml:space="preserve"> </w:t>
      </w:r>
      <w:r w:rsidRPr="00717436">
        <w:rPr>
          <w:rFonts w:ascii="Times New Roman" w:hAnsi="Times New Roman" w:cs="Times New Roman"/>
          <w:color w:val="000000" w:themeColor="text1"/>
          <w:sz w:val="22"/>
          <w:szCs w:val="22"/>
        </w:rPr>
        <w:t xml:space="preserve">Under section 21 of the Numbering Charges Act the maximum allowable charge that may be imposed on any one number is $100,000. </w:t>
      </w:r>
    </w:p>
    <w:p w14:paraId="1A019949" w14:textId="3E8D19F0" w:rsidR="00D915D7" w:rsidRDefault="00D915D7" w:rsidP="00D915D7">
      <w:pPr>
        <w:rPr>
          <w:rFonts w:ascii="Times New Roman" w:hAnsi="Times New Roman" w:cs="Times New Roman"/>
          <w:sz w:val="22"/>
          <w:szCs w:val="22"/>
        </w:rPr>
      </w:pPr>
      <w:r w:rsidRPr="06D7789E">
        <w:rPr>
          <w:rFonts w:ascii="Times New Roman" w:hAnsi="Times New Roman" w:cs="Times New Roman"/>
          <w:sz w:val="22"/>
          <w:szCs w:val="22"/>
        </w:rPr>
        <w:t xml:space="preserve">The instrument replaces the </w:t>
      </w:r>
      <w:r w:rsidR="00311DC2" w:rsidRPr="06D7789E">
        <w:rPr>
          <w:rStyle w:val="Emphasis"/>
          <w:rFonts w:ascii="Times New Roman" w:hAnsi="Times New Roman" w:cs="Times New Roman"/>
          <w:sz w:val="22"/>
          <w:szCs w:val="22"/>
        </w:rPr>
        <w:t>Telecommunications (Annual Charge) Determination</w:t>
      </w:r>
      <w:r w:rsidRPr="06D7789E">
        <w:rPr>
          <w:rStyle w:val="Emphasis"/>
          <w:rFonts w:ascii="Times New Roman" w:hAnsi="Times New Roman" w:cs="Times New Roman"/>
          <w:sz w:val="22"/>
          <w:szCs w:val="22"/>
        </w:rPr>
        <w:t xml:space="preserve"> 2014</w:t>
      </w:r>
      <w:r w:rsidRPr="06D7789E">
        <w:rPr>
          <w:rStyle w:val="Emphasis"/>
          <w:rFonts w:ascii="Times New Roman" w:hAnsi="Times New Roman" w:cs="Times New Roman"/>
          <w:i w:val="0"/>
          <w:iCs w:val="0"/>
          <w:sz w:val="22"/>
          <w:szCs w:val="22"/>
        </w:rPr>
        <w:t xml:space="preserve"> (</w:t>
      </w:r>
      <w:r w:rsidRPr="06D7789E">
        <w:rPr>
          <w:rStyle w:val="Emphasis"/>
          <w:rFonts w:ascii="Times New Roman" w:hAnsi="Times New Roman" w:cs="Times New Roman"/>
          <w:b/>
          <w:bCs/>
          <w:i w:val="0"/>
          <w:iCs w:val="0"/>
          <w:sz w:val="22"/>
          <w:szCs w:val="22"/>
        </w:rPr>
        <w:t>the 2014 instrument</w:t>
      </w:r>
      <w:r w:rsidRPr="06D7789E">
        <w:rPr>
          <w:rStyle w:val="Emphasis"/>
          <w:rFonts w:ascii="Times New Roman" w:hAnsi="Times New Roman" w:cs="Times New Roman"/>
          <w:i w:val="0"/>
          <w:iCs w:val="0"/>
          <w:sz w:val="22"/>
          <w:szCs w:val="22"/>
        </w:rPr>
        <w:t xml:space="preserve">) and continues the arrangements in the 2014 instrument for </w:t>
      </w:r>
      <w:r w:rsidR="00923A4F" w:rsidRPr="06D7789E">
        <w:rPr>
          <w:rStyle w:val="Emphasis"/>
          <w:rFonts w:ascii="Times New Roman" w:hAnsi="Times New Roman" w:cs="Times New Roman"/>
          <w:i w:val="0"/>
          <w:iCs w:val="0"/>
          <w:sz w:val="22"/>
          <w:szCs w:val="22"/>
        </w:rPr>
        <w:t xml:space="preserve">the ANC, including the </w:t>
      </w:r>
      <w:r w:rsidR="009749D8" w:rsidRPr="06D7789E">
        <w:rPr>
          <w:rStyle w:val="Emphasis"/>
          <w:rFonts w:ascii="Times New Roman" w:hAnsi="Times New Roman" w:cs="Times New Roman"/>
          <w:i w:val="0"/>
          <w:iCs w:val="0"/>
          <w:sz w:val="22"/>
          <w:szCs w:val="22"/>
        </w:rPr>
        <w:t xml:space="preserve">exemption </w:t>
      </w:r>
      <w:r w:rsidR="00923A4F" w:rsidRPr="06D7789E">
        <w:rPr>
          <w:rStyle w:val="Emphasis"/>
          <w:rFonts w:ascii="Times New Roman" w:hAnsi="Times New Roman" w:cs="Times New Roman"/>
          <w:i w:val="0"/>
          <w:iCs w:val="0"/>
          <w:sz w:val="22"/>
          <w:szCs w:val="22"/>
        </w:rPr>
        <w:t xml:space="preserve">of certain numbers </w:t>
      </w:r>
      <w:r w:rsidR="009749D8" w:rsidRPr="06D7789E">
        <w:rPr>
          <w:rStyle w:val="Emphasis"/>
          <w:rFonts w:ascii="Times New Roman" w:hAnsi="Times New Roman" w:cs="Times New Roman"/>
          <w:i w:val="0"/>
          <w:iCs w:val="0"/>
          <w:sz w:val="22"/>
          <w:szCs w:val="22"/>
        </w:rPr>
        <w:t xml:space="preserve">from charges, with </w:t>
      </w:r>
      <w:r w:rsidRPr="06D7789E">
        <w:rPr>
          <w:rStyle w:val="Emphasis"/>
          <w:rFonts w:ascii="Times New Roman" w:hAnsi="Times New Roman" w:cs="Times New Roman"/>
          <w:i w:val="0"/>
          <w:iCs w:val="0"/>
          <w:sz w:val="22"/>
          <w:szCs w:val="22"/>
        </w:rPr>
        <w:t xml:space="preserve">minor updates to reflect </w:t>
      </w:r>
      <w:r w:rsidR="00C46313" w:rsidRPr="06D7789E">
        <w:rPr>
          <w:rStyle w:val="Emphasis"/>
          <w:rFonts w:ascii="Times New Roman" w:hAnsi="Times New Roman" w:cs="Times New Roman"/>
          <w:i w:val="0"/>
          <w:iCs w:val="0"/>
          <w:sz w:val="22"/>
          <w:szCs w:val="22"/>
        </w:rPr>
        <w:t xml:space="preserve">updated </w:t>
      </w:r>
      <w:r w:rsidR="004A6501" w:rsidRPr="06D7789E">
        <w:rPr>
          <w:rStyle w:val="Emphasis"/>
          <w:rFonts w:ascii="Times New Roman" w:hAnsi="Times New Roman" w:cs="Times New Roman"/>
          <w:i w:val="0"/>
          <w:iCs w:val="0"/>
          <w:sz w:val="22"/>
          <w:szCs w:val="22"/>
        </w:rPr>
        <w:t>terms used in the Numbering Plan</w:t>
      </w:r>
      <w:r w:rsidRPr="06D7789E">
        <w:rPr>
          <w:rStyle w:val="Emphasis"/>
          <w:rFonts w:ascii="Times New Roman" w:hAnsi="Times New Roman" w:cs="Times New Roman"/>
          <w:i w:val="0"/>
          <w:iCs w:val="0"/>
          <w:sz w:val="22"/>
          <w:szCs w:val="22"/>
        </w:rPr>
        <w:t xml:space="preserve">, and to </w:t>
      </w:r>
      <w:r w:rsidR="004A6501" w:rsidRPr="06D7789E">
        <w:rPr>
          <w:rStyle w:val="Emphasis"/>
          <w:rFonts w:ascii="Times New Roman" w:hAnsi="Times New Roman" w:cs="Times New Roman"/>
          <w:i w:val="0"/>
          <w:iCs w:val="0"/>
          <w:sz w:val="22"/>
          <w:szCs w:val="22"/>
        </w:rPr>
        <w:t xml:space="preserve">provide </w:t>
      </w:r>
      <w:r w:rsidR="00C60A70" w:rsidRPr="06D7789E">
        <w:rPr>
          <w:rStyle w:val="Emphasis"/>
          <w:rFonts w:ascii="Times New Roman" w:hAnsi="Times New Roman" w:cs="Times New Roman"/>
          <w:i w:val="0"/>
          <w:iCs w:val="0"/>
          <w:sz w:val="22"/>
          <w:szCs w:val="22"/>
        </w:rPr>
        <w:t xml:space="preserve">delayed implementation of charging for </w:t>
      </w:r>
      <w:r w:rsidR="00B84366" w:rsidRPr="06D7789E">
        <w:rPr>
          <w:rStyle w:val="Emphasis"/>
          <w:rFonts w:ascii="Times New Roman" w:hAnsi="Times New Roman" w:cs="Times New Roman"/>
          <w:i w:val="0"/>
          <w:iCs w:val="0"/>
          <w:sz w:val="22"/>
          <w:szCs w:val="22"/>
        </w:rPr>
        <w:t xml:space="preserve">numbers specified for use </w:t>
      </w:r>
      <w:r w:rsidR="009E6ACA" w:rsidRPr="06D7789E">
        <w:rPr>
          <w:rStyle w:val="Emphasis"/>
          <w:rFonts w:ascii="Times New Roman" w:hAnsi="Times New Roman" w:cs="Times New Roman"/>
          <w:i w:val="0"/>
          <w:iCs w:val="0"/>
          <w:sz w:val="22"/>
          <w:szCs w:val="22"/>
        </w:rPr>
        <w:t>with an i</w:t>
      </w:r>
      <w:r w:rsidR="00F41446" w:rsidRPr="06D7789E">
        <w:rPr>
          <w:rStyle w:val="Emphasis"/>
          <w:rFonts w:ascii="Times New Roman" w:hAnsi="Times New Roman" w:cs="Times New Roman"/>
          <w:i w:val="0"/>
          <w:iCs w:val="0"/>
          <w:sz w:val="22"/>
          <w:szCs w:val="22"/>
        </w:rPr>
        <w:t xml:space="preserve">nternet of </w:t>
      </w:r>
      <w:r w:rsidR="009E6ACA" w:rsidRPr="06D7789E">
        <w:rPr>
          <w:rStyle w:val="Emphasis"/>
          <w:rFonts w:ascii="Times New Roman" w:hAnsi="Times New Roman" w:cs="Times New Roman"/>
          <w:i w:val="0"/>
          <w:iCs w:val="0"/>
          <w:sz w:val="22"/>
          <w:szCs w:val="22"/>
        </w:rPr>
        <w:t>t</w:t>
      </w:r>
      <w:r w:rsidR="00F41446" w:rsidRPr="06D7789E">
        <w:rPr>
          <w:rStyle w:val="Emphasis"/>
          <w:rFonts w:ascii="Times New Roman" w:hAnsi="Times New Roman" w:cs="Times New Roman"/>
          <w:i w:val="0"/>
          <w:iCs w:val="0"/>
          <w:sz w:val="22"/>
          <w:szCs w:val="22"/>
        </w:rPr>
        <w:t>hings (</w:t>
      </w:r>
      <w:r w:rsidR="00F41446" w:rsidRPr="002031A5">
        <w:rPr>
          <w:rStyle w:val="Emphasis"/>
          <w:rFonts w:ascii="Times New Roman" w:hAnsi="Times New Roman" w:cs="Times New Roman"/>
          <w:b/>
          <w:bCs/>
          <w:i w:val="0"/>
          <w:iCs w:val="0"/>
          <w:sz w:val="22"/>
          <w:szCs w:val="22"/>
        </w:rPr>
        <w:t>IoT</w:t>
      </w:r>
      <w:r w:rsidR="00F41446" w:rsidRPr="06D7789E">
        <w:rPr>
          <w:rStyle w:val="Emphasis"/>
          <w:rFonts w:ascii="Times New Roman" w:hAnsi="Times New Roman" w:cs="Times New Roman"/>
          <w:i w:val="0"/>
          <w:iCs w:val="0"/>
          <w:sz w:val="22"/>
          <w:szCs w:val="22"/>
        </w:rPr>
        <w:t xml:space="preserve">) </w:t>
      </w:r>
      <w:r w:rsidR="00893120" w:rsidRPr="06D7789E">
        <w:rPr>
          <w:rStyle w:val="Emphasis"/>
          <w:rFonts w:ascii="Times New Roman" w:hAnsi="Times New Roman" w:cs="Times New Roman"/>
          <w:i w:val="0"/>
          <w:iCs w:val="0"/>
          <w:sz w:val="22"/>
          <w:szCs w:val="22"/>
        </w:rPr>
        <w:t>service</w:t>
      </w:r>
      <w:r w:rsidR="009E6ACA" w:rsidRPr="06D7789E">
        <w:rPr>
          <w:rStyle w:val="Emphasis"/>
          <w:rFonts w:ascii="Times New Roman" w:hAnsi="Times New Roman" w:cs="Times New Roman"/>
          <w:i w:val="0"/>
          <w:iCs w:val="0"/>
          <w:sz w:val="22"/>
          <w:szCs w:val="22"/>
        </w:rPr>
        <w:t xml:space="preserve">. </w:t>
      </w:r>
      <w:r w:rsidR="00B84BE3" w:rsidRPr="06D7789E">
        <w:rPr>
          <w:rStyle w:val="Emphasis"/>
          <w:rFonts w:ascii="Times New Roman" w:hAnsi="Times New Roman" w:cs="Times New Roman"/>
          <w:i w:val="0"/>
          <w:iCs w:val="0"/>
          <w:sz w:val="22"/>
          <w:szCs w:val="22"/>
        </w:rPr>
        <w:t>T</w:t>
      </w:r>
      <w:r w:rsidR="00703A0A" w:rsidRPr="06D7789E">
        <w:rPr>
          <w:rStyle w:val="Emphasis"/>
          <w:rFonts w:ascii="Times New Roman" w:hAnsi="Times New Roman" w:cs="Times New Roman"/>
          <w:i w:val="0"/>
          <w:iCs w:val="0"/>
          <w:sz w:val="22"/>
          <w:szCs w:val="22"/>
        </w:rPr>
        <w:t>he Numbering Plan</w:t>
      </w:r>
      <w:r w:rsidR="00B84BE3" w:rsidRPr="06D7789E">
        <w:rPr>
          <w:rStyle w:val="Emphasis"/>
          <w:rFonts w:ascii="Times New Roman" w:hAnsi="Times New Roman" w:cs="Times New Roman"/>
          <w:i w:val="0"/>
          <w:iCs w:val="0"/>
          <w:sz w:val="22"/>
          <w:szCs w:val="22"/>
        </w:rPr>
        <w:t xml:space="preserve"> introduces a number range for IoT services </w:t>
      </w:r>
      <w:r w:rsidR="00371DE1" w:rsidRPr="06D7789E">
        <w:rPr>
          <w:rStyle w:val="Emphasis"/>
          <w:rFonts w:ascii="Times New Roman" w:hAnsi="Times New Roman" w:cs="Times New Roman"/>
          <w:i w:val="0"/>
          <w:iCs w:val="0"/>
          <w:sz w:val="22"/>
          <w:szCs w:val="22"/>
        </w:rPr>
        <w:t>in 2025</w:t>
      </w:r>
      <w:r w:rsidRPr="06D7789E">
        <w:rPr>
          <w:rStyle w:val="Emphasis"/>
          <w:rFonts w:ascii="Times New Roman" w:hAnsi="Times New Roman" w:cs="Times New Roman"/>
          <w:i w:val="0"/>
          <w:iCs w:val="0"/>
          <w:sz w:val="22"/>
          <w:szCs w:val="22"/>
        </w:rPr>
        <w:t>.</w:t>
      </w:r>
      <w:r w:rsidRPr="06D7789E">
        <w:rPr>
          <w:rFonts w:ascii="Times New Roman" w:hAnsi="Times New Roman" w:cs="Times New Roman"/>
          <w:sz w:val="22"/>
          <w:szCs w:val="22"/>
        </w:rPr>
        <w:t xml:space="preserve"> </w:t>
      </w:r>
    </w:p>
    <w:p w14:paraId="4A62340D" w14:textId="24DE418D" w:rsidR="00D915D7" w:rsidRPr="00F41754" w:rsidRDefault="00585D3B" w:rsidP="00D915D7">
      <w:pPr>
        <w:rPr>
          <w:rFonts w:ascii="Times New Roman" w:hAnsi="Times New Roman" w:cs="Times New Roman"/>
          <w:sz w:val="22"/>
          <w:szCs w:val="22"/>
        </w:rPr>
      </w:pPr>
      <w:r>
        <w:rPr>
          <w:rFonts w:ascii="Times New Roman" w:hAnsi="Times New Roman" w:cs="Times New Roman"/>
          <w:sz w:val="22"/>
          <w:szCs w:val="22"/>
        </w:rPr>
        <w:t xml:space="preserve">The instrument has been made in part because the 2014 instrument was due to “sunset”, under Part 4 of </w:t>
      </w:r>
      <w:r w:rsidR="009C4F76">
        <w:rPr>
          <w:rFonts w:ascii="Times New Roman" w:hAnsi="Times New Roman" w:cs="Times New Roman"/>
          <w:sz w:val="22"/>
          <w:szCs w:val="22"/>
        </w:rPr>
        <w:t xml:space="preserve">Chapter 3 of the </w:t>
      </w:r>
      <w:r w:rsidR="009C4F76" w:rsidRPr="00F41754">
        <w:rPr>
          <w:rFonts w:ascii="Times New Roman" w:hAnsi="Times New Roman" w:cs="Times New Roman"/>
          <w:i/>
          <w:iCs/>
          <w:sz w:val="22"/>
          <w:szCs w:val="22"/>
        </w:rPr>
        <w:t>Legislation Act 2003</w:t>
      </w:r>
      <w:r w:rsidR="009C4F76" w:rsidRPr="00F41754">
        <w:rPr>
          <w:rFonts w:ascii="Times New Roman" w:hAnsi="Times New Roman" w:cs="Times New Roman"/>
          <w:sz w:val="22"/>
          <w:szCs w:val="22"/>
        </w:rPr>
        <w:t xml:space="preserve"> (the </w:t>
      </w:r>
      <w:r w:rsidR="009C4F76" w:rsidRPr="00F41754">
        <w:rPr>
          <w:rFonts w:ascii="Times New Roman" w:hAnsi="Times New Roman" w:cs="Times New Roman"/>
          <w:b/>
          <w:bCs/>
          <w:sz w:val="22"/>
          <w:szCs w:val="22"/>
        </w:rPr>
        <w:t>LA</w:t>
      </w:r>
      <w:r w:rsidR="009C4F76" w:rsidRPr="00F41754">
        <w:rPr>
          <w:rFonts w:ascii="Times New Roman" w:hAnsi="Times New Roman" w:cs="Times New Roman"/>
          <w:sz w:val="22"/>
          <w:szCs w:val="22"/>
        </w:rPr>
        <w:t>)</w:t>
      </w:r>
      <w:r w:rsidR="00735941">
        <w:rPr>
          <w:rFonts w:ascii="Times New Roman" w:hAnsi="Times New Roman" w:cs="Times New Roman"/>
          <w:sz w:val="22"/>
          <w:szCs w:val="22"/>
        </w:rPr>
        <w:t>, on 1 April 2025.</w:t>
      </w:r>
      <w:r w:rsidR="000C0BB5">
        <w:rPr>
          <w:rFonts w:ascii="Times New Roman" w:hAnsi="Times New Roman" w:cs="Times New Roman"/>
          <w:sz w:val="22"/>
          <w:szCs w:val="22"/>
        </w:rPr>
        <w:t xml:space="preserve"> </w:t>
      </w:r>
      <w:r w:rsidR="00D915D7" w:rsidRPr="00F41754">
        <w:rPr>
          <w:rFonts w:ascii="Times New Roman" w:hAnsi="Times New Roman" w:cs="Times New Roman"/>
          <w:sz w:val="22"/>
          <w:szCs w:val="22"/>
        </w:rPr>
        <w:t xml:space="preserve">The ACMA considered that there is an ongoing requirement for an instrument to facilitate </w:t>
      </w:r>
      <w:r w:rsidR="00DE16D6" w:rsidRPr="00B029EA">
        <w:rPr>
          <w:rFonts w:ascii="Times New Roman" w:hAnsi="Times New Roman" w:cs="Times New Roman"/>
          <w:sz w:val="22"/>
          <w:szCs w:val="22"/>
        </w:rPr>
        <w:t xml:space="preserve">the ANC and relevant exemptions from annual charges, as </w:t>
      </w:r>
      <w:r w:rsidR="00DB689F" w:rsidRPr="00B029EA">
        <w:rPr>
          <w:rFonts w:ascii="Times New Roman" w:hAnsi="Times New Roman" w:cs="Times New Roman"/>
          <w:sz w:val="22"/>
          <w:szCs w:val="22"/>
        </w:rPr>
        <w:t>intended by the Numbering Charges Act</w:t>
      </w:r>
      <w:r w:rsidR="00D915D7" w:rsidRPr="00F41754">
        <w:rPr>
          <w:rFonts w:ascii="Times New Roman" w:hAnsi="Times New Roman" w:cs="Times New Roman"/>
          <w:sz w:val="22"/>
          <w:szCs w:val="22"/>
        </w:rPr>
        <w:t xml:space="preserve">. </w:t>
      </w:r>
    </w:p>
    <w:p w14:paraId="1F70F6A9" w14:textId="4C098270" w:rsidR="0051107A" w:rsidRPr="00B029EA" w:rsidRDefault="00D915D7" w:rsidP="008407D4">
      <w:pPr>
        <w:pStyle w:val="ACMABodyText"/>
        <w:spacing w:after="240"/>
        <w:rPr>
          <w:rFonts w:ascii="Times New Roman" w:hAnsi="Times New Roman" w:cs="Times New Roman"/>
          <w:color w:val="000000" w:themeColor="text1"/>
          <w:sz w:val="22"/>
          <w:szCs w:val="22"/>
        </w:rPr>
      </w:pPr>
      <w:r w:rsidRPr="00F41754">
        <w:rPr>
          <w:rFonts w:ascii="Times New Roman" w:hAnsi="Times New Roman" w:cs="Times New Roman"/>
          <w:sz w:val="22"/>
          <w:szCs w:val="22"/>
        </w:rPr>
        <w:t>The instrument commences on the day after it is registered.</w:t>
      </w:r>
    </w:p>
    <w:p w14:paraId="61412809" w14:textId="2D52F87E" w:rsidR="006041B2" w:rsidRPr="00B029EA" w:rsidRDefault="006041B2" w:rsidP="006041B2">
      <w:pPr>
        <w:rPr>
          <w:rFonts w:ascii="Times New Roman" w:eastAsia="Times New Roman" w:hAnsi="Times New Roman" w:cs="Times New Roman"/>
          <w:color w:val="000000" w:themeColor="text1"/>
          <w:sz w:val="22"/>
          <w:szCs w:val="22"/>
          <w:lang w:eastAsia="en-AU"/>
        </w:rPr>
      </w:pPr>
      <w:r w:rsidRPr="00B029EA">
        <w:rPr>
          <w:rFonts w:ascii="Times New Roman" w:eastAsia="Times New Roman" w:hAnsi="Times New Roman" w:cs="Times New Roman"/>
          <w:color w:val="000000" w:themeColor="text1"/>
          <w:sz w:val="22"/>
          <w:szCs w:val="22"/>
          <w:lang w:eastAsia="en-AU"/>
        </w:rPr>
        <w:t xml:space="preserve">A provision-by-provision description of the instrument is set out at </w:t>
      </w:r>
      <w:r w:rsidRPr="00F41754">
        <w:rPr>
          <w:rFonts w:ascii="Times New Roman" w:eastAsia="Times New Roman" w:hAnsi="Times New Roman" w:cs="Times New Roman"/>
          <w:b/>
          <w:bCs/>
          <w:color w:val="000000" w:themeColor="text1"/>
          <w:sz w:val="22"/>
          <w:szCs w:val="22"/>
          <w:lang w:eastAsia="en-AU"/>
        </w:rPr>
        <w:t>Attachment A</w:t>
      </w:r>
      <w:r w:rsidRPr="00B029EA">
        <w:rPr>
          <w:rFonts w:ascii="Times New Roman" w:eastAsia="Times New Roman" w:hAnsi="Times New Roman" w:cs="Times New Roman"/>
          <w:color w:val="000000" w:themeColor="text1"/>
          <w:sz w:val="22"/>
          <w:szCs w:val="22"/>
          <w:lang w:eastAsia="en-AU"/>
        </w:rPr>
        <w:t>.</w:t>
      </w:r>
    </w:p>
    <w:p w14:paraId="10427AF0" w14:textId="45C452FC" w:rsidR="00F87423" w:rsidRPr="00F41754" w:rsidRDefault="00F87423" w:rsidP="00F87423">
      <w:pPr>
        <w:rPr>
          <w:rFonts w:ascii="Times New Roman" w:hAnsi="Times New Roman" w:cs="Times New Roman"/>
          <w:sz w:val="22"/>
          <w:szCs w:val="22"/>
        </w:rPr>
      </w:pPr>
      <w:r w:rsidRPr="00F41754">
        <w:rPr>
          <w:rFonts w:ascii="Times New Roman" w:hAnsi="Times New Roman" w:cs="Times New Roman"/>
          <w:sz w:val="22"/>
          <w:szCs w:val="22"/>
        </w:rPr>
        <w:t>The instrument is a</w:t>
      </w:r>
      <w:r w:rsidR="009756F5">
        <w:rPr>
          <w:rFonts w:ascii="Times New Roman" w:hAnsi="Times New Roman" w:cs="Times New Roman"/>
          <w:sz w:val="22"/>
          <w:szCs w:val="22"/>
        </w:rPr>
        <w:t xml:space="preserve"> disallowable</w:t>
      </w:r>
      <w:r w:rsidRPr="00F41754">
        <w:rPr>
          <w:rFonts w:ascii="Times New Roman" w:hAnsi="Times New Roman" w:cs="Times New Roman"/>
          <w:sz w:val="22"/>
          <w:szCs w:val="22"/>
        </w:rPr>
        <w:t xml:space="preserve"> instrument for the purposes of the </w:t>
      </w:r>
      <w:r w:rsidRPr="008407D4">
        <w:rPr>
          <w:rFonts w:ascii="Times New Roman" w:hAnsi="Times New Roman" w:cs="Times New Roman"/>
          <w:sz w:val="22"/>
          <w:szCs w:val="22"/>
        </w:rPr>
        <w:t>LA</w:t>
      </w:r>
      <w:r w:rsidR="005A57BE">
        <w:rPr>
          <w:rFonts w:ascii="Times New Roman" w:hAnsi="Times New Roman" w:cs="Times New Roman"/>
          <w:sz w:val="22"/>
          <w:szCs w:val="22"/>
        </w:rPr>
        <w:t xml:space="preserve"> and </w:t>
      </w:r>
      <w:r w:rsidRPr="00F41754">
        <w:rPr>
          <w:rFonts w:ascii="Times New Roman" w:hAnsi="Times New Roman" w:cs="Times New Roman"/>
          <w:sz w:val="22"/>
          <w:szCs w:val="22"/>
        </w:rPr>
        <w:t>is subject to the sunsetting provisions in Part 4 of Chapter 3 of the LA.</w:t>
      </w:r>
    </w:p>
    <w:p w14:paraId="565164BC" w14:textId="77777777" w:rsidR="007D7F56" w:rsidRPr="00057A50" w:rsidRDefault="007D7F56" w:rsidP="007D7F56">
      <w:pPr>
        <w:rPr>
          <w:rFonts w:ascii="Times New Roman" w:hAnsi="Times New Roman" w:cs="Times New Roman"/>
          <w:b/>
          <w:bCs/>
          <w:sz w:val="22"/>
          <w:szCs w:val="22"/>
        </w:rPr>
      </w:pPr>
      <w:r w:rsidRPr="002030D4">
        <w:rPr>
          <w:rFonts w:ascii="Times New Roman" w:hAnsi="Times New Roman" w:cs="Times New Roman"/>
          <w:b/>
          <w:bCs/>
          <w:sz w:val="22"/>
          <w:szCs w:val="22"/>
        </w:rPr>
        <w:t xml:space="preserve">Documents incorporated by reference </w:t>
      </w:r>
    </w:p>
    <w:p w14:paraId="4987BDF4" w14:textId="6C6BDF0F" w:rsidR="007D7F56" w:rsidRPr="002030D4" w:rsidRDefault="007D7F56" w:rsidP="002030D4">
      <w:pPr>
        <w:pStyle w:val="ACMABodyText"/>
        <w:rPr>
          <w:rFonts w:ascii="Times New Roman" w:hAnsi="Times New Roman" w:cs="Times New Roman"/>
          <w:sz w:val="22"/>
          <w:szCs w:val="22"/>
          <w:lang w:val="en-US"/>
        </w:rPr>
      </w:pPr>
      <w:r w:rsidRPr="002030D4">
        <w:rPr>
          <w:rFonts w:ascii="Times New Roman" w:eastAsiaTheme="minorHAnsi" w:hAnsi="Times New Roman" w:cs="Times New Roman"/>
          <w:sz w:val="22"/>
          <w:szCs w:val="22"/>
        </w:rPr>
        <w:t>The instrument incorporates the following Acts</w:t>
      </w:r>
      <w:r w:rsidR="00434CD5">
        <w:rPr>
          <w:rFonts w:ascii="Times New Roman" w:eastAsiaTheme="minorHAnsi" w:hAnsi="Times New Roman" w:cs="Times New Roman"/>
          <w:sz w:val="22"/>
          <w:szCs w:val="22"/>
        </w:rPr>
        <w:t xml:space="preserve"> </w:t>
      </w:r>
      <w:r w:rsidRPr="002030D4">
        <w:rPr>
          <w:rFonts w:ascii="Times New Roman" w:hAnsi="Times New Roman" w:cs="Times New Roman"/>
          <w:sz w:val="22"/>
          <w:szCs w:val="22"/>
          <w:lang w:val="en-US"/>
        </w:rPr>
        <w:t>or otherwise refers to them:</w:t>
      </w:r>
    </w:p>
    <w:p w14:paraId="73EF103E" w14:textId="3B893837" w:rsidR="007D7F56" w:rsidRPr="002030D4" w:rsidRDefault="007D7F56" w:rsidP="00CE2B9B">
      <w:pPr>
        <w:pStyle w:val="ACMABodyText"/>
        <w:numPr>
          <w:ilvl w:val="0"/>
          <w:numId w:val="14"/>
        </w:numPr>
        <w:snapToGrid w:val="0"/>
        <w:rPr>
          <w:rFonts w:ascii="Times New Roman" w:hAnsi="Times New Roman" w:cs="Times New Roman"/>
          <w:iCs/>
          <w:sz w:val="22"/>
          <w:szCs w:val="22"/>
        </w:rPr>
      </w:pPr>
      <w:r w:rsidRPr="002030D4">
        <w:rPr>
          <w:rFonts w:ascii="Times New Roman" w:hAnsi="Times New Roman" w:cs="Times New Roman"/>
          <w:iCs/>
          <w:sz w:val="22"/>
          <w:szCs w:val="22"/>
        </w:rPr>
        <w:t xml:space="preserve">the </w:t>
      </w:r>
      <w:proofErr w:type="gramStart"/>
      <w:r w:rsidRPr="002030D4">
        <w:rPr>
          <w:rFonts w:ascii="Times New Roman" w:hAnsi="Times New Roman" w:cs="Times New Roman"/>
          <w:iCs/>
          <w:sz w:val="22"/>
          <w:szCs w:val="22"/>
        </w:rPr>
        <w:t>AIA;</w:t>
      </w:r>
      <w:proofErr w:type="gramEnd"/>
    </w:p>
    <w:p w14:paraId="354F187B" w14:textId="6C000918" w:rsidR="007D7F56" w:rsidRDefault="007D7F56" w:rsidP="007D7F56">
      <w:pPr>
        <w:pStyle w:val="ACMABodyText"/>
        <w:numPr>
          <w:ilvl w:val="0"/>
          <w:numId w:val="14"/>
        </w:numPr>
        <w:snapToGrid w:val="0"/>
        <w:rPr>
          <w:rFonts w:ascii="Times New Roman" w:hAnsi="Times New Roman" w:cs="Times New Roman"/>
          <w:iCs/>
          <w:sz w:val="22"/>
          <w:szCs w:val="22"/>
        </w:rPr>
      </w:pPr>
      <w:r w:rsidRPr="002030D4">
        <w:rPr>
          <w:rFonts w:ascii="Times New Roman" w:hAnsi="Times New Roman" w:cs="Times New Roman"/>
          <w:iCs/>
          <w:sz w:val="22"/>
          <w:szCs w:val="22"/>
        </w:rPr>
        <w:t xml:space="preserve">the </w:t>
      </w:r>
      <w:proofErr w:type="gramStart"/>
      <w:r w:rsidRPr="002030D4">
        <w:rPr>
          <w:rFonts w:ascii="Times New Roman" w:hAnsi="Times New Roman" w:cs="Times New Roman"/>
          <w:iCs/>
          <w:sz w:val="22"/>
          <w:szCs w:val="22"/>
        </w:rPr>
        <w:t>LA;</w:t>
      </w:r>
      <w:proofErr w:type="gramEnd"/>
      <w:r w:rsidR="00CE2B9B">
        <w:rPr>
          <w:rFonts w:ascii="Times New Roman" w:hAnsi="Times New Roman" w:cs="Times New Roman"/>
          <w:iCs/>
          <w:sz w:val="22"/>
          <w:szCs w:val="22"/>
        </w:rPr>
        <w:t xml:space="preserve"> </w:t>
      </w:r>
    </w:p>
    <w:p w14:paraId="3E345210" w14:textId="4160EFDE" w:rsidR="007D7F56" w:rsidRDefault="00CE2B9B" w:rsidP="00684969">
      <w:pPr>
        <w:pStyle w:val="ACMABodyText"/>
        <w:numPr>
          <w:ilvl w:val="0"/>
          <w:numId w:val="14"/>
        </w:numPr>
        <w:snapToGrid w:val="0"/>
        <w:rPr>
          <w:rFonts w:ascii="Times New Roman" w:hAnsi="Times New Roman" w:cs="Times New Roman"/>
          <w:iCs/>
          <w:sz w:val="22"/>
          <w:szCs w:val="22"/>
        </w:rPr>
      </w:pPr>
      <w:r>
        <w:rPr>
          <w:rFonts w:ascii="Times New Roman" w:hAnsi="Times New Roman" w:cs="Times New Roman"/>
          <w:iCs/>
          <w:sz w:val="22"/>
          <w:szCs w:val="22"/>
        </w:rPr>
        <w:t>the Numbering Charges Act</w:t>
      </w:r>
      <w:r w:rsidR="00265877">
        <w:rPr>
          <w:rFonts w:ascii="Times New Roman" w:hAnsi="Times New Roman" w:cs="Times New Roman"/>
          <w:iCs/>
          <w:sz w:val="22"/>
          <w:szCs w:val="22"/>
        </w:rPr>
        <w:t>; and</w:t>
      </w:r>
    </w:p>
    <w:p w14:paraId="3063B463" w14:textId="6313D137" w:rsidR="00265877" w:rsidRPr="002030D4" w:rsidRDefault="00265877" w:rsidP="00684969">
      <w:pPr>
        <w:pStyle w:val="ACMABodyText"/>
        <w:numPr>
          <w:ilvl w:val="0"/>
          <w:numId w:val="14"/>
        </w:numPr>
        <w:snapToGrid w:val="0"/>
        <w:rPr>
          <w:rFonts w:ascii="Times New Roman" w:hAnsi="Times New Roman" w:cs="Times New Roman"/>
          <w:iCs/>
          <w:sz w:val="22"/>
          <w:szCs w:val="22"/>
        </w:rPr>
      </w:pPr>
      <w:r>
        <w:rPr>
          <w:rFonts w:ascii="Times New Roman" w:hAnsi="Times New Roman" w:cs="Times New Roman"/>
          <w:iCs/>
          <w:sz w:val="22"/>
          <w:szCs w:val="22"/>
        </w:rPr>
        <w:t xml:space="preserve">the </w:t>
      </w:r>
      <w:r w:rsidRPr="002030D4">
        <w:rPr>
          <w:rFonts w:ascii="Times New Roman" w:hAnsi="Times New Roman" w:cs="Times New Roman"/>
          <w:i/>
          <w:sz w:val="22"/>
          <w:szCs w:val="22"/>
        </w:rPr>
        <w:t>Telecommunications Act 1997</w:t>
      </w:r>
      <w:r>
        <w:rPr>
          <w:rFonts w:ascii="Times New Roman" w:hAnsi="Times New Roman" w:cs="Times New Roman"/>
          <w:i/>
          <w:sz w:val="22"/>
          <w:szCs w:val="22"/>
        </w:rPr>
        <w:t xml:space="preserve"> </w:t>
      </w:r>
      <w:r>
        <w:rPr>
          <w:rFonts w:ascii="Times New Roman" w:hAnsi="Times New Roman" w:cs="Times New Roman"/>
          <w:iCs/>
          <w:sz w:val="22"/>
          <w:szCs w:val="22"/>
        </w:rPr>
        <w:t>(</w:t>
      </w:r>
      <w:r w:rsidR="00F57815" w:rsidRPr="002030D4">
        <w:rPr>
          <w:rFonts w:ascii="Times New Roman" w:hAnsi="Times New Roman" w:cs="Times New Roman"/>
          <w:iCs/>
          <w:sz w:val="22"/>
          <w:szCs w:val="22"/>
        </w:rPr>
        <w:t>the</w:t>
      </w:r>
      <w:r w:rsidRPr="002030D4">
        <w:rPr>
          <w:rFonts w:ascii="Times New Roman" w:hAnsi="Times New Roman" w:cs="Times New Roman"/>
          <w:b/>
          <w:bCs/>
          <w:iCs/>
          <w:sz w:val="22"/>
          <w:szCs w:val="22"/>
        </w:rPr>
        <w:t xml:space="preserve"> Act</w:t>
      </w:r>
      <w:r>
        <w:rPr>
          <w:rFonts w:ascii="Times New Roman" w:hAnsi="Times New Roman" w:cs="Times New Roman"/>
          <w:iCs/>
          <w:sz w:val="22"/>
          <w:szCs w:val="22"/>
        </w:rPr>
        <w:t>).</w:t>
      </w:r>
    </w:p>
    <w:p w14:paraId="783D150A" w14:textId="30DE9BE1" w:rsidR="007D7F56" w:rsidRPr="002030D4" w:rsidRDefault="007D7F56" w:rsidP="007D7F56">
      <w:pPr>
        <w:pStyle w:val="ACMABodyText"/>
        <w:rPr>
          <w:rFonts w:ascii="Times New Roman" w:hAnsi="Times New Roman" w:cs="Times New Roman"/>
          <w:sz w:val="22"/>
          <w:szCs w:val="22"/>
        </w:rPr>
      </w:pPr>
      <w:r w:rsidRPr="002030D4">
        <w:rPr>
          <w:rFonts w:ascii="Times New Roman" w:hAnsi="Times New Roman" w:cs="Times New Roman"/>
          <w:sz w:val="22"/>
          <w:szCs w:val="22"/>
        </w:rPr>
        <w:t xml:space="preserve">The </w:t>
      </w:r>
      <w:r w:rsidRPr="002030D4">
        <w:rPr>
          <w:rFonts w:ascii="Times New Roman" w:hAnsi="Times New Roman" w:cs="Times New Roman"/>
          <w:sz w:val="22"/>
          <w:szCs w:val="22"/>
          <w:lang w:val="en-US"/>
        </w:rPr>
        <w:t xml:space="preserve">Acts </w:t>
      </w:r>
      <w:r w:rsidRPr="002030D4">
        <w:rPr>
          <w:rFonts w:ascii="Times New Roman" w:hAnsi="Times New Roman" w:cs="Times New Roman"/>
          <w:sz w:val="22"/>
          <w:szCs w:val="22"/>
        </w:rPr>
        <w:t>listed above may be obtained, free of charge, from the Federal Register of Legislation (www.legislation.gov.au).</w:t>
      </w:r>
    </w:p>
    <w:p w14:paraId="3F82DB3A" w14:textId="33FF73C7" w:rsidR="00A37D3D" w:rsidRPr="00DE61A0" w:rsidRDefault="007D7F56" w:rsidP="002030D4">
      <w:pPr>
        <w:pStyle w:val="ACMABodyText"/>
        <w:rPr>
          <w:rFonts w:ascii="Times New Roman" w:hAnsi="Times New Roman" w:cs="Times New Roman"/>
          <w:sz w:val="22"/>
          <w:szCs w:val="22"/>
        </w:rPr>
      </w:pPr>
      <w:r w:rsidRPr="002030D4">
        <w:rPr>
          <w:rFonts w:ascii="Times New Roman" w:hAnsi="Times New Roman" w:cs="Times New Roman"/>
          <w:sz w:val="22"/>
          <w:szCs w:val="22"/>
        </w:rPr>
        <w:t xml:space="preserve">The instrument also incorporates by reference the </w:t>
      </w:r>
      <w:r w:rsidR="00684969">
        <w:rPr>
          <w:rFonts w:ascii="Times New Roman" w:hAnsi="Times New Roman" w:cs="Times New Roman"/>
          <w:sz w:val="22"/>
          <w:szCs w:val="22"/>
        </w:rPr>
        <w:t xml:space="preserve">Numbering Plan </w:t>
      </w:r>
      <w:r w:rsidR="00265877">
        <w:rPr>
          <w:rFonts w:ascii="Times New Roman" w:hAnsi="Times New Roman" w:cs="Times New Roman"/>
          <w:sz w:val="22"/>
          <w:szCs w:val="22"/>
        </w:rPr>
        <w:t>(or any replacement plan made under s</w:t>
      </w:r>
      <w:r w:rsidR="00E57A94">
        <w:rPr>
          <w:rFonts w:ascii="Times New Roman" w:hAnsi="Times New Roman" w:cs="Times New Roman"/>
          <w:sz w:val="22"/>
          <w:szCs w:val="22"/>
        </w:rPr>
        <w:t>ub</w:t>
      </w:r>
      <w:r w:rsidR="00C66AD1">
        <w:rPr>
          <w:rFonts w:ascii="Times New Roman" w:hAnsi="Times New Roman" w:cs="Times New Roman"/>
          <w:sz w:val="22"/>
          <w:szCs w:val="22"/>
        </w:rPr>
        <w:t>s</w:t>
      </w:r>
      <w:r w:rsidR="00265877">
        <w:rPr>
          <w:rFonts w:ascii="Times New Roman" w:hAnsi="Times New Roman" w:cs="Times New Roman"/>
          <w:sz w:val="22"/>
          <w:szCs w:val="22"/>
        </w:rPr>
        <w:t xml:space="preserve">ection </w:t>
      </w:r>
      <w:r w:rsidR="00C66AD1">
        <w:rPr>
          <w:rFonts w:ascii="Times New Roman" w:hAnsi="Times New Roman" w:cs="Times New Roman"/>
          <w:sz w:val="22"/>
          <w:szCs w:val="22"/>
        </w:rPr>
        <w:t>455(1) of the Act</w:t>
      </w:r>
      <w:r w:rsidR="0077644A">
        <w:rPr>
          <w:rFonts w:ascii="Times New Roman" w:hAnsi="Times New Roman" w:cs="Times New Roman"/>
          <w:sz w:val="22"/>
          <w:szCs w:val="22"/>
        </w:rPr>
        <w:t>)</w:t>
      </w:r>
      <w:r w:rsidRPr="002030D4">
        <w:rPr>
          <w:rFonts w:ascii="Times New Roman" w:hAnsi="Times New Roman" w:cs="Times New Roman"/>
          <w:sz w:val="22"/>
          <w:szCs w:val="22"/>
        </w:rPr>
        <w:t>, as in force from time to time</w:t>
      </w:r>
      <w:r w:rsidR="00C66AD1">
        <w:rPr>
          <w:rFonts w:ascii="Times New Roman" w:hAnsi="Times New Roman" w:cs="Times New Roman"/>
          <w:sz w:val="22"/>
          <w:szCs w:val="22"/>
        </w:rPr>
        <w:t>. The Numbering Plan (or any replacement instrument)</w:t>
      </w:r>
      <w:r w:rsidRPr="002030D4">
        <w:rPr>
          <w:rFonts w:ascii="Times New Roman" w:hAnsi="Times New Roman" w:cs="Times New Roman"/>
          <w:sz w:val="22"/>
          <w:szCs w:val="22"/>
        </w:rPr>
        <w:t xml:space="preserve"> may be obtained, free of charge, from the Federal Register of Legislation.</w:t>
      </w:r>
    </w:p>
    <w:p w14:paraId="3BBBB5FD" w14:textId="77777777" w:rsidR="00AF0B31" w:rsidRPr="00717436" w:rsidRDefault="00AF0B31" w:rsidP="006C5DAC">
      <w:pPr>
        <w:pStyle w:val="Heading1"/>
        <w:spacing w:before="240"/>
        <w:rPr>
          <w:rFonts w:ascii="Times New Roman" w:hAnsi="Times New Roman" w:cs="Times New Roman"/>
          <w:color w:val="000000" w:themeColor="text1"/>
          <w:sz w:val="22"/>
          <w:szCs w:val="22"/>
        </w:rPr>
      </w:pPr>
      <w:r w:rsidRPr="00717436">
        <w:rPr>
          <w:rFonts w:ascii="Times New Roman" w:hAnsi="Times New Roman" w:cs="Times New Roman"/>
          <w:color w:val="000000" w:themeColor="text1"/>
          <w:sz w:val="22"/>
          <w:szCs w:val="22"/>
        </w:rPr>
        <w:t xml:space="preserve">Consultation </w:t>
      </w:r>
    </w:p>
    <w:p w14:paraId="1087B1EA" w14:textId="71CE3A82" w:rsidR="004220AC" w:rsidRPr="002030D4" w:rsidRDefault="004220AC" w:rsidP="00B22FB1">
      <w:pPr>
        <w:spacing w:before="80" w:after="120" w:line="280" w:lineRule="atLeast"/>
        <w:rPr>
          <w:rFonts w:ascii="Times New Roman" w:eastAsia="Times New Roman" w:hAnsi="Times New Roman" w:cs="Times New Roman"/>
          <w:b/>
          <w:bCs/>
          <w:i/>
          <w:iCs/>
          <w:snapToGrid w:val="0"/>
          <w:color w:val="000000" w:themeColor="text1"/>
          <w:sz w:val="22"/>
          <w:szCs w:val="22"/>
          <w:lang w:eastAsia="en-AU"/>
        </w:rPr>
      </w:pPr>
      <w:r w:rsidRPr="002030D4">
        <w:rPr>
          <w:rFonts w:ascii="Times New Roman" w:eastAsia="Times New Roman" w:hAnsi="Times New Roman" w:cs="Times New Roman"/>
          <w:b/>
          <w:bCs/>
          <w:i/>
          <w:iCs/>
          <w:snapToGrid w:val="0"/>
          <w:color w:val="000000" w:themeColor="text1"/>
          <w:sz w:val="22"/>
          <w:szCs w:val="22"/>
          <w:lang w:eastAsia="en-AU"/>
        </w:rPr>
        <w:t>Public consu</w:t>
      </w:r>
      <w:r w:rsidR="005C7F9B" w:rsidRPr="002030D4">
        <w:rPr>
          <w:rFonts w:ascii="Times New Roman" w:eastAsia="Times New Roman" w:hAnsi="Times New Roman" w:cs="Times New Roman"/>
          <w:b/>
          <w:bCs/>
          <w:i/>
          <w:iCs/>
          <w:snapToGrid w:val="0"/>
          <w:color w:val="000000" w:themeColor="text1"/>
          <w:sz w:val="22"/>
          <w:szCs w:val="22"/>
          <w:lang w:eastAsia="en-AU"/>
        </w:rPr>
        <w:t>ltation</w:t>
      </w:r>
    </w:p>
    <w:p w14:paraId="2B416D73" w14:textId="6DF65FA4" w:rsidR="00D32F03" w:rsidRPr="00717436" w:rsidRDefault="00D32F03" w:rsidP="00B22FB1">
      <w:pPr>
        <w:spacing w:before="80" w:after="120" w:line="280" w:lineRule="atLeast"/>
        <w:rPr>
          <w:rFonts w:ascii="Times New Roman" w:eastAsia="Times New Roman" w:hAnsi="Times New Roman" w:cs="Times New Roman"/>
          <w:color w:val="000000" w:themeColor="text1"/>
          <w:sz w:val="22"/>
          <w:szCs w:val="22"/>
          <w:lang w:eastAsia="en-AU"/>
        </w:rPr>
      </w:pPr>
      <w:r w:rsidRPr="00717436">
        <w:rPr>
          <w:rFonts w:ascii="Times New Roman" w:eastAsia="Times New Roman" w:hAnsi="Times New Roman" w:cs="Times New Roman"/>
          <w:snapToGrid w:val="0"/>
          <w:color w:val="000000" w:themeColor="text1"/>
          <w:sz w:val="22"/>
          <w:szCs w:val="22"/>
          <w:lang w:eastAsia="en-AU"/>
        </w:rPr>
        <w:t xml:space="preserve">Subsection 17(1) of the LA requires that, before the ACMA makes a legislative instrument, it must be satisfied that </w:t>
      </w:r>
      <w:r w:rsidR="006007C4" w:rsidRPr="00717436">
        <w:rPr>
          <w:rFonts w:ascii="Times New Roman" w:eastAsia="Times New Roman" w:hAnsi="Times New Roman" w:cs="Times New Roman"/>
          <w:snapToGrid w:val="0"/>
          <w:color w:val="000000" w:themeColor="text1"/>
          <w:sz w:val="22"/>
          <w:szCs w:val="22"/>
          <w:lang w:eastAsia="en-AU"/>
        </w:rPr>
        <w:t>any consultation that the ACMA considers is appropriate and reasonably practicable to undertake, has been undertaken</w:t>
      </w:r>
      <w:r w:rsidRPr="00717436">
        <w:rPr>
          <w:rFonts w:ascii="Times New Roman" w:eastAsia="Times New Roman" w:hAnsi="Times New Roman" w:cs="Times New Roman"/>
          <w:snapToGrid w:val="0"/>
          <w:color w:val="000000" w:themeColor="text1"/>
          <w:sz w:val="22"/>
          <w:szCs w:val="22"/>
          <w:lang w:eastAsia="en-AU"/>
        </w:rPr>
        <w:t>.</w:t>
      </w:r>
    </w:p>
    <w:p w14:paraId="66E8AFFA" w14:textId="3426E758" w:rsidR="00783456" w:rsidRPr="00717436" w:rsidRDefault="00336650" w:rsidP="00183555">
      <w:pPr>
        <w:pStyle w:val="ACMABodyText"/>
        <w:rPr>
          <w:rFonts w:ascii="Times New Roman" w:hAnsi="Times New Roman" w:cs="Times New Roman"/>
          <w:snapToGrid w:val="0"/>
          <w:color w:val="000000" w:themeColor="text1"/>
          <w:sz w:val="22"/>
          <w:szCs w:val="22"/>
          <w:lang w:eastAsia="en-AU"/>
        </w:rPr>
      </w:pPr>
      <w:r w:rsidRPr="00717436">
        <w:rPr>
          <w:rFonts w:ascii="Times New Roman" w:hAnsi="Times New Roman" w:cs="Times New Roman"/>
          <w:snapToGrid w:val="0"/>
          <w:color w:val="000000" w:themeColor="text1"/>
          <w:sz w:val="22"/>
          <w:szCs w:val="22"/>
          <w:lang w:eastAsia="en-AU"/>
        </w:rPr>
        <w:t>T</w:t>
      </w:r>
      <w:r w:rsidR="00D32F03" w:rsidRPr="00717436">
        <w:rPr>
          <w:rFonts w:ascii="Times New Roman" w:hAnsi="Times New Roman" w:cs="Times New Roman"/>
          <w:snapToGrid w:val="0"/>
          <w:color w:val="000000" w:themeColor="text1"/>
          <w:sz w:val="22"/>
          <w:szCs w:val="22"/>
          <w:lang w:eastAsia="en-AU"/>
        </w:rPr>
        <w:t xml:space="preserve">he ACMA consulted publicly between </w:t>
      </w:r>
      <w:r w:rsidR="00355FAB" w:rsidRPr="00717436">
        <w:rPr>
          <w:rFonts w:ascii="Times New Roman" w:hAnsi="Times New Roman" w:cs="Times New Roman"/>
          <w:snapToGrid w:val="0"/>
          <w:color w:val="000000" w:themeColor="text1"/>
          <w:sz w:val="22"/>
          <w:szCs w:val="22"/>
          <w:lang w:eastAsia="en-AU"/>
        </w:rPr>
        <w:t>16</w:t>
      </w:r>
      <w:r w:rsidR="002E425C" w:rsidRPr="00717436">
        <w:rPr>
          <w:rFonts w:ascii="Times New Roman" w:hAnsi="Times New Roman" w:cs="Times New Roman"/>
          <w:snapToGrid w:val="0"/>
          <w:color w:val="000000" w:themeColor="text1"/>
          <w:sz w:val="22"/>
          <w:szCs w:val="22"/>
          <w:lang w:eastAsia="en-AU"/>
        </w:rPr>
        <w:t xml:space="preserve"> December 2024</w:t>
      </w:r>
      <w:r w:rsidR="000C4BD9" w:rsidRPr="00717436">
        <w:rPr>
          <w:rFonts w:ascii="Times New Roman" w:hAnsi="Times New Roman" w:cs="Times New Roman"/>
          <w:snapToGrid w:val="0"/>
          <w:color w:val="000000" w:themeColor="text1"/>
          <w:sz w:val="22"/>
          <w:szCs w:val="22"/>
          <w:lang w:eastAsia="en-AU"/>
        </w:rPr>
        <w:t xml:space="preserve"> </w:t>
      </w:r>
      <w:r w:rsidR="00D32F03" w:rsidRPr="00717436">
        <w:rPr>
          <w:rFonts w:ascii="Times New Roman" w:hAnsi="Times New Roman" w:cs="Times New Roman"/>
          <w:snapToGrid w:val="0"/>
          <w:color w:val="000000" w:themeColor="text1"/>
          <w:sz w:val="22"/>
          <w:szCs w:val="22"/>
          <w:lang w:eastAsia="en-AU"/>
        </w:rPr>
        <w:t xml:space="preserve">and </w:t>
      </w:r>
      <w:r w:rsidR="00B30167">
        <w:rPr>
          <w:rFonts w:ascii="Times New Roman" w:hAnsi="Times New Roman" w:cs="Times New Roman"/>
          <w:snapToGrid w:val="0"/>
          <w:color w:val="000000" w:themeColor="text1"/>
          <w:sz w:val="22"/>
          <w:szCs w:val="22"/>
          <w:lang w:eastAsia="en-AU"/>
        </w:rPr>
        <w:t>12 February</w:t>
      </w:r>
      <w:r w:rsidR="002E425C" w:rsidRPr="00717436">
        <w:rPr>
          <w:rFonts w:ascii="Times New Roman" w:hAnsi="Times New Roman" w:cs="Times New Roman"/>
          <w:snapToGrid w:val="0"/>
          <w:color w:val="000000" w:themeColor="text1"/>
          <w:sz w:val="22"/>
          <w:szCs w:val="22"/>
          <w:lang w:eastAsia="en-AU"/>
        </w:rPr>
        <w:t xml:space="preserve"> 2025</w:t>
      </w:r>
      <w:r w:rsidR="00D32F03" w:rsidRPr="00717436">
        <w:rPr>
          <w:rFonts w:ascii="Times New Roman" w:hAnsi="Times New Roman" w:cs="Times New Roman"/>
          <w:snapToGrid w:val="0"/>
          <w:color w:val="000000" w:themeColor="text1"/>
          <w:sz w:val="22"/>
          <w:szCs w:val="22"/>
          <w:lang w:eastAsia="en-AU"/>
        </w:rPr>
        <w:t xml:space="preserve"> by means of a consultation paper published on its website. </w:t>
      </w:r>
    </w:p>
    <w:p w14:paraId="7EFCE3A0" w14:textId="62C0D454" w:rsidR="005E470C" w:rsidRDefault="005E470C" w:rsidP="00717436">
      <w:pPr>
        <w:pStyle w:val="ACMABodyText"/>
        <w:rPr>
          <w:rFonts w:ascii="Times New Roman" w:hAnsi="Times New Roman" w:cs="Times New Roman"/>
          <w:sz w:val="22"/>
          <w:szCs w:val="22"/>
        </w:rPr>
      </w:pPr>
      <w:r w:rsidRPr="00717436">
        <w:rPr>
          <w:rFonts w:ascii="Times New Roman" w:hAnsi="Times New Roman" w:cs="Times New Roman"/>
          <w:color w:val="000000" w:themeColor="text1"/>
          <w:sz w:val="22"/>
          <w:szCs w:val="22"/>
          <w:lang w:val="en-US"/>
        </w:rPr>
        <w:t xml:space="preserve">The ACMA received </w:t>
      </w:r>
      <w:r w:rsidR="00B30167">
        <w:rPr>
          <w:rFonts w:ascii="Times New Roman" w:hAnsi="Times New Roman" w:cs="Times New Roman"/>
          <w:color w:val="000000" w:themeColor="text1"/>
          <w:sz w:val="22"/>
          <w:szCs w:val="22"/>
          <w:lang w:val="en-US"/>
        </w:rPr>
        <w:t>4</w:t>
      </w:r>
      <w:r w:rsidR="00F17334" w:rsidRPr="00717436">
        <w:rPr>
          <w:rFonts w:ascii="Times New Roman" w:hAnsi="Times New Roman" w:cs="Times New Roman"/>
          <w:color w:val="000000" w:themeColor="text1"/>
          <w:sz w:val="22"/>
          <w:szCs w:val="22"/>
          <w:lang w:val="en-US"/>
        </w:rPr>
        <w:t xml:space="preserve"> submissions</w:t>
      </w:r>
      <w:r w:rsidR="00B30167">
        <w:rPr>
          <w:rFonts w:ascii="Times New Roman" w:hAnsi="Times New Roman" w:cs="Times New Roman"/>
          <w:color w:val="000000" w:themeColor="text1"/>
          <w:sz w:val="22"/>
          <w:szCs w:val="22"/>
          <w:lang w:val="en-US"/>
        </w:rPr>
        <w:t xml:space="preserve"> in response to the consultation paper</w:t>
      </w:r>
      <w:r w:rsidR="006C5B96">
        <w:rPr>
          <w:rFonts w:ascii="Times New Roman" w:hAnsi="Times New Roman" w:cs="Times New Roman"/>
          <w:color w:val="000000" w:themeColor="text1"/>
          <w:sz w:val="22"/>
          <w:szCs w:val="22"/>
          <w:lang w:val="en-US"/>
        </w:rPr>
        <w:t xml:space="preserve">. Respondents were generally supportive and </w:t>
      </w:r>
      <w:r w:rsidR="00B30167">
        <w:rPr>
          <w:rFonts w:ascii="Times New Roman" w:hAnsi="Times New Roman" w:cs="Times New Roman"/>
          <w:color w:val="000000" w:themeColor="text1"/>
          <w:sz w:val="22"/>
          <w:szCs w:val="22"/>
          <w:lang w:val="en-US"/>
        </w:rPr>
        <w:t>raised no substantial issues regarding the proposed amendments, noting they are primarily administrative and consequential</w:t>
      </w:r>
      <w:r w:rsidR="00616EC4" w:rsidRPr="00717436">
        <w:rPr>
          <w:rFonts w:ascii="Times New Roman" w:hAnsi="Times New Roman" w:cs="Times New Roman"/>
          <w:color w:val="000000" w:themeColor="text1"/>
          <w:sz w:val="22"/>
          <w:szCs w:val="22"/>
          <w:lang w:val="en-US"/>
        </w:rPr>
        <w:t xml:space="preserve">. </w:t>
      </w:r>
      <w:r w:rsidR="002269C7">
        <w:rPr>
          <w:rFonts w:ascii="Times New Roman" w:hAnsi="Times New Roman" w:cs="Times New Roman"/>
          <w:color w:val="000000" w:themeColor="text1"/>
          <w:sz w:val="22"/>
          <w:szCs w:val="22"/>
          <w:lang w:val="en-US"/>
        </w:rPr>
        <w:t xml:space="preserve">There was general support for the inclusion of IoT </w:t>
      </w:r>
      <w:r w:rsidR="002269C7">
        <w:rPr>
          <w:rFonts w:ascii="Times New Roman" w:hAnsi="Times New Roman" w:cs="Times New Roman"/>
          <w:color w:val="000000" w:themeColor="text1"/>
          <w:sz w:val="22"/>
          <w:szCs w:val="22"/>
          <w:lang w:val="en-US"/>
        </w:rPr>
        <w:lastRenderedPageBreak/>
        <w:t xml:space="preserve">numbers as reduced charge numbers and </w:t>
      </w:r>
      <w:r w:rsidR="0055026D">
        <w:rPr>
          <w:rFonts w:ascii="Times New Roman" w:hAnsi="Times New Roman" w:cs="Times New Roman"/>
          <w:color w:val="000000" w:themeColor="text1"/>
          <w:sz w:val="22"/>
          <w:szCs w:val="22"/>
          <w:lang w:val="en-US"/>
        </w:rPr>
        <w:t xml:space="preserve">for public safety numbers to be exempt from charge. </w:t>
      </w:r>
      <w:r w:rsidR="00F41C9F" w:rsidRPr="00717436">
        <w:rPr>
          <w:rFonts w:ascii="Times New Roman" w:hAnsi="Times New Roman" w:cs="Times New Roman"/>
          <w:sz w:val="22"/>
          <w:szCs w:val="22"/>
        </w:rPr>
        <w:t xml:space="preserve">The submissions have been made available on the ACMA’s website. </w:t>
      </w:r>
      <w:r w:rsidR="008E5958" w:rsidRPr="008E5958">
        <w:rPr>
          <w:rFonts w:ascii="Times New Roman" w:hAnsi="Times New Roman" w:cs="Times New Roman"/>
          <w:sz w:val="22"/>
          <w:szCs w:val="22"/>
        </w:rPr>
        <w:t>Following closure of the initial consultation, the ACMA published submissions and opened a brief reply-to-comment period. No further submissions were provided to the ACMA.</w:t>
      </w:r>
    </w:p>
    <w:p w14:paraId="1A51D14B" w14:textId="081927A8" w:rsidR="0035741F" w:rsidRPr="0035741F" w:rsidRDefault="0035741F" w:rsidP="00717436">
      <w:pPr>
        <w:pStyle w:val="ACMABodyText"/>
        <w:rPr>
          <w:rFonts w:ascii="Times New Roman" w:hAnsi="Times New Roman" w:cs="Times New Roman"/>
          <w:color w:val="000000" w:themeColor="text1"/>
          <w:sz w:val="22"/>
          <w:szCs w:val="22"/>
          <w:lang w:val="en-US"/>
        </w:rPr>
      </w:pPr>
      <w:r w:rsidRPr="002030D4">
        <w:rPr>
          <w:rFonts w:ascii="Times New Roman" w:hAnsi="Times New Roman" w:cs="Times New Roman"/>
          <w:sz w:val="22"/>
          <w:szCs w:val="22"/>
        </w:rPr>
        <w:t>The ACMA had regard to the views of stakeholders during the finalisation of the instrument. No changes were made to the instrument arising from consultation.</w:t>
      </w:r>
    </w:p>
    <w:p w14:paraId="0CC872BA" w14:textId="172187F6" w:rsidR="00222FEF" w:rsidRPr="00717436" w:rsidRDefault="00222FEF" w:rsidP="006C5DAC">
      <w:pPr>
        <w:pStyle w:val="Heading1"/>
        <w:spacing w:before="240"/>
        <w:rPr>
          <w:rFonts w:ascii="Times New Roman" w:hAnsi="Times New Roman" w:cs="Times New Roman"/>
          <w:color w:val="000000" w:themeColor="text1"/>
          <w:sz w:val="22"/>
          <w:szCs w:val="22"/>
        </w:rPr>
      </w:pPr>
      <w:r w:rsidRPr="00717436">
        <w:rPr>
          <w:rFonts w:ascii="Times New Roman" w:hAnsi="Times New Roman" w:cs="Times New Roman"/>
          <w:color w:val="000000" w:themeColor="text1"/>
          <w:sz w:val="22"/>
          <w:szCs w:val="22"/>
        </w:rPr>
        <w:t xml:space="preserve">Statement of </w:t>
      </w:r>
      <w:r w:rsidR="006046E5">
        <w:rPr>
          <w:rFonts w:ascii="Times New Roman" w:hAnsi="Times New Roman" w:cs="Times New Roman"/>
          <w:color w:val="000000" w:themeColor="text1"/>
          <w:sz w:val="22"/>
          <w:szCs w:val="22"/>
        </w:rPr>
        <w:t>c</w:t>
      </w:r>
      <w:r w:rsidRPr="00717436">
        <w:rPr>
          <w:rFonts w:ascii="Times New Roman" w:hAnsi="Times New Roman" w:cs="Times New Roman"/>
          <w:color w:val="000000" w:themeColor="text1"/>
          <w:sz w:val="22"/>
          <w:szCs w:val="22"/>
        </w:rPr>
        <w:t xml:space="preserve">ompatibility with </w:t>
      </w:r>
      <w:r w:rsidR="006046E5">
        <w:rPr>
          <w:rFonts w:ascii="Times New Roman" w:hAnsi="Times New Roman" w:cs="Times New Roman"/>
          <w:color w:val="000000" w:themeColor="text1"/>
          <w:sz w:val="22"/>
          <w:szCs w:val="22"/>
        </w:rPr>
        <w:t>h</w:t>
      </w:r>
      <w:r w:rsidRPr="00717436">
        <w:rPr>
          <w:rFonts w:ascii="Times New Roman" w:hAnsi="Times New Roman" w:cs="Times New Roman"/>
          <w:color w:val="000000" w:themeColor="text1"/>
          <w:sz w:val="22"/>
          <w:szCs w:val="22"/>
        </w:rPr>
        <w:t xml:space="preserve">uman </w:t>
      </w:r>
      <w:r w:rsidR="006046E5">
        <w:rPr>
          <w:rFonts w:ascii="Times New Roman" w:hAnsi="Times New Roman" w:cs="Times New Roman"/>
          <w:color w:val="000000" w:themeColor="text1"/>
          <w:sz w:val="22"/>
          <w:szCs w:val="22"/>
        </w:rPr>
        <w:t>r</w:t>
      </w:r>
      <w:r w:rsidRPr="00717436">
        <w:rPr>
          <w:rFonts w:ascii="Times New Roman" w:hAnsi="Times New Roman" w:cs="Times New Roman"/>
          <w:color w:val="000000" w:themeColor="text1"/>
          <w:sz w:val="22"/>
          <w:szCs w:val="22"/>
        </w:rPr>
        <w:t>ights</w:t>
      </w:r>
    </w:p>
    <w:p w14:paraId="00E5F8DB" w14:textId="58C88451" w:rsidR="00B57D87" w:rsidRPr="00717436" w:rsidRDefault="00B57D87" w:rsidP="00B57D87">
      <w:pPr>
        <w:pStyle w:val="Heading1"/>
        <w:spacing w:before="240"/>
        <w:rPr>
          <w:rFonts w:ascii="Times New Roman" w:eastAsia="Times New Roman" w:hAnsi="Times New Roman" w:cs="Times New Roman"/>
          <w:b w:val="0"/>
          <w:color w:val="000000" w:themeColor="text1"/>
          <w:sz w:val="22"/>
          <w:szCs w:val="22"/>
          <w:lang w:eastAsia="en-AU"/>
        </w:rPr>
      </w:pPr>
      <w:r w:rsidRPr="00717436">
        <w:rPr>
          <w:rFonts w:ascii="Times New Roman" w:eastAsia="Times New Roman" w:hAnsi="Times New Roman" w:cs="Times New Roman"/>
          <w:b w:val="0"/>
          <w:color w:val="000000" w:themeColor="text1"/>
          <w:sz w:val="22"/>
          <w:szCs w:val="22"/>
          <w:lang w:eastAsia="en-AU"/>
        </w:rPr>
        <w:t xml:space="preserve">Subsection 9(1) of the </w:t>
      </w:r>
      <w:r w:rsidRPr="00717436">
        <w:rPr>
          <w:rFonts w:ascii="Times New Roman" w:eastAsia="Times New Roman" w:hAnsi="Times New Roman" w:cs="Times New Roman"/>
          <w:b w:val="0"/>
          <w:i/>
          <w:iCs/>
          <w:color w:val="000000" w:themeColor="text1"/>
          <w:sz w:val="22"/>
          <w:szCs w:val="22"/>
          <w:lang w:eastAsia="en-AU"/>
        </w:rPr>
        <w:t>Human Rights (Parliamentary Scrutiny) Act 2011</w:t>
      </w:r>
      <w:r w:rsidRPr="00717436">
        <w:rPr>
          <w:rFonts w:ascii="Times New Roman" w:eastAsia="Times New Roman" w:hAnsi="Times New Roman" w:cs="Times New Roman"/>
          <w:b w:val="0"/>
          <w:color w:val="000000" w:themeColor="text1"/>
          <w:sz w:val="22"/>
          <w:szCs w:val="22"/>
          <w:lang w:eastAsia="en-AU"/>
        </w:rPr>
        <w:t xml:space="preserve"> requires the rule maker in relation to a legislative instrument to which section 42 (disallowance) of the LA</w:t>
      </w:r>
      <w:r w:rsidRPr="00717436">
        <w:rPr>
          <w:rFonts w:ascii="Times New Roman" w:eastAsia="Times New Roman" w:hAnsi="Times New Roman" w:cs="Times New Roman"/>
          <w:b w:val="0"/>
          <w:i/>
          <w:iCs/>
          <w:color w:val="000000" w:themeColor="text1"/>
          <w:sz w:val="22"/>
          <w:szCs w:val="22"/>
          <w:lang w:eastAsia="en-AU"/>
        </w:rPr>
        <w:t xml:space="preserve"> </w:t>
      </w:r>
      <w:r w:rsidRPr="00717436">
        <w:rPr>
          <w:rFonts w:ascii="Times New Roman" w:eastAsia="Times New Roman" w:hAnsi="Times New Roman" w:cs="Times New Roman"/>
          <w:b w:val="0"/>
          <w:color w:val="000000" w:themeColor="text1"/>
          <w:sz w:val="22"/>
          <w:szCs w:val="22"/>
          <w:lang w:eastAsia="en-AU"/>
        </w:rPr>
        <w:t xml:space="preserve">applies to cause a statement of compatibility to be prepared in respect of that legislative instrument. </w:t>
      </w:r>
    </w:p>
    <w:p w14:paraId="11888E47" w14:textId="488D0FC3" w:rsidR="00B57D87" w:rsidRPr="00717436" w:rsidRDefault="00B57D87" w:rsidP="00B57D87">
      <w:pPr>
        <w:pStyle w:val="Heading1"/>
        <w:spacing w:before="240"/>
        <w:rPr>
          <w:rFonts w:ascii="Times New Roman" w:eastAsia="Times New Roman" w:hAnsi="Times New Roman" w:cs="Times New Roman"/>
          <w:b w:val="0"/>
          <w:color w:val="000000" w:themeColor="text1"/>
          <w:sz w:val="22"/>
          <w:szCs w:val="22"/>
          <w:lang w:eastAsia="en-AU"/>
        </w:rPr>
      </w:pPr>
      <w:r w:rsidRPr="00717436">
        <w:rPr>
          <w:rFonts w:ascii="Times New Roman" w:eastAsia="Times New Roman" w:hAnsi="Times New Roman" w:cs="Times New Roman"/>
          <w:b w:val="0"/>
          <w:color w:val="000000" w:themeColor="text1"/>
          <w:sz w:val="22"/>
          <w:szCs w:val="22"/>
          <w:lang w:eastAsia="en-AU"/>
        </w:rPr>
        <w:t>Th</w:t>
      </w:r>
      <w:r w:rsidR="00AC0CC2">
        <w:rPr>
          <w:rFonts w:ascii="Times New Roman" w:eastAsia="Times New Roman" w:hAnsi="Times New Roman" w:cs="Times New Roman"/>
          <w:b w:val="0"/>
          <w:color w:val="000000" w:themeColor="text1"/>
          <w:sz w:val="22"/>
          <w:szCs w:val="22"/>
          <w:lang w:eastAsia="en-AU"/>
        </w:rPr>
        <w:t xml:space="preserve">e statement of compatibility </w:t>
      </w:r>
      <w:r w:rsidR="007E21FA">
        <w:rPr>
          <w:rFonts w:ascii="Times New Roman" w:eastAsia="Times New Roman" w:hAnsi="Times New Roman" w:cs="Times New Roman"/>
          <w:b w:val="0"/>
          <w:color w:val="000000" w:themeColor="text1"/>
          <w:sz w:val="22"/>
          <w:szCs w:val="22"/>
          <w:lang w:eastAsia="en-AU"/>
        </w:rPr>
        <w:t>set out below has been prepared to meet th</w:t>
      </w:r>
      <w:r w:rsidR="00B0388C">
        <w:rPr>
          <w:rFonts w:ascii="Times New Roman" w:eastAsia="Times New Roman" w:hAnsi="Times New Roman" w:cs="Times New Roman"/>
          <w:b w:val="0"/>
          <w:color w:val="000000" w:themeColor="text1"/>
          <w:sz w:val="22"/>
          <w:szCs w:val="22"/>
          <w:lang w:eastAsia="en-AU"/>
        </w:rPr>
        <w:t>is</w:t>
      </w:r>
      <w:r w:rsidR="007E21FA">
        <w:rPr>
          <w:rFonts w:ascii="Times New Roman" w:eastAsia="Times New Roman" w:hAnsi="Times New Roman" w:cs="Times New Roman"/>
          <w:b w:val="0"/>
          <w:color w:val="000000" w:themeColor="text1"/>
          <w:sz w:val="22"/>
          <w:szCs w:val="22"/>
          <w:lang w:eastAsia="en-AU"/>
        </w:rPr>
        <w:t xml:space="preserve"> requirement</w:t>
      </w:r>
      <w:r w:rsidRPr="00717436">
        <w:rPr>
          <w:rFonts w:ascii="Times New Roman" w:eastAsia="Times New Roman" w:hAnsi="Times New Roman" w:cs="Times New Roman"/>
          <w:b w:val="0"/>
          <w:color w:val="000000" w:themeColor="text1"/>
          <w:sz w:val="22"/>
          <w:szCs w:val="22"/>
          <w:lang w:eastAsia="en-AU"/>
        </w:rPr>
        <w:t>.</w:t>
      </w:r>
    </w:p>
    <w:p w14:paraId="60A37B44" w14:textId="5A89ECBC" w:rsidR="00FB39F3" w:rsidRPr="00717436" w:rsidRDefault="00FB39F3" w:rsidP="00717436">
      <w:pPr>
        <w:rPr>
          <w:rFonts w:ascii="Times New Roman" w:hAnsi="Times New Roman" w:cs="Times New Roman"/>
          <w:b/>
          <w:i/>
          <w:iCs/>
          <w:color w:val="000000" w:themeColor="text1"/>
          <w:sz w:val="22"/>
          <w:szCs w:val="22"/>
        </w:rPr>
      </w:pPr>
      <w:r w:rsidRPr="00717436">
        <w:rPr>
          <w:rFonts w:ascii="Times New Roman" w:hAnsi="Times New Roman" w:cs="Times New Roman"/>
          <w:b/>
          <w:i/>
          <w:iCs/>
          <w:color w:val="000000" w:themeColor="text1"/>
          <w:sz w:val="22"/>
          <w:szCs w:val="22"/>
        </w:rPr>
        <w:t xml:space="preserve">Overview of the </w:t>
      </w:r>
      <w:r w:rsidR="00473BB3">
        <w:rPr>
          <w:rFonts w:ascii="Times New Roman" w:hAnsi="Times New Roman" w:cs="Times New Roman"/>
          <w:b/>
          <w:i/>
          <w:iCs/>
          <w:color w:val="000000" w:themeColor="text1"/>
          <w:sz w:val="22"/>
          <w:szCs w:val="22"/>
        </w:rPr>
        <w:t xml:space="preserve">instrument </w:t>
      </w:r>
      <w:r w:rsidRPr="00717436">
        <w:rPr>
          <w:rFonts w:ascii="Times New Roman" w:hAnsi="Times New Roman" w:cs="Times New Roman"/>
          <w:b/>
          <w:i/>
          <w:iCs/>
          <w:color w:val="000000" w:themeColor="text1"/>
          <w:sz w:val="22"/>
          <w:szCs w:val="22"/>
        </w:rPr>
        <w:t xml:space="preserve"> </w:t>
      </w:r>
    </w:p>
    <w:p w14:paraId="3EC6ED6C" w14:textId="043432C8" w:rsidR="00B57D87" w:rsidRPr="00717436" w:rsidRDefault="00B57D87" w:rsidP="00B57D87">
      <w:pPr>
        <w:pStyle w:val="ListParagraph"/>
        <w:ind w:left="0"/>
        <w:rPr>
          <w:rFonts w:ascii="Times New Roman" w:eastAsia="Times New Roman" w:hAnsi="Times New Roman" w:cs="Times New Roman"/>
          <w:color w:val="000000" w:themeColor="text1"/>
          <w:sz w:val="22"/>
          <w:szCs w:val="22"/>
          <w:lang w:eastAsia="en-AU"/>
        </w:rPr>
      </w:pPr>
      <w:r w:rsidRPr="00717436">
        <w:rPr>
          <w:rFonts w:ascii="Times New Roman" w:eastAsia="Times New Roman" w:hAnsi="Times New Roman" w:cs="Times New Roman"/>
          <w:color w:val="000000" w:themeColor="text1"/>
          <w:sz w:val="22"/>
          <w:szCs w:val="22"/>
          <w:lang w:eastAsia="en-AU"/>
        </w:rPr>
        <w:t xml:space="preserve">The </w:t>
      </w:r>
      <w:r w:rsidR="00B0388C">
        <w:rPr>
          <w:rFonts w:ascii="Times New Roman" w:eastAsia="Times New Roman" w:hAnsi="Times New Roman" w:cs="Times New Roman"/>
          <w:color w:val="000000" w:themeColor="text1"/>
          <w:sz w:val="22"/>
          <w:szCs w:val="22"/>
          <w:lang w:eastAsia="en-AU"/>
        </w:rPr>
        <w:t xml:space="preserve">instrument </w:t>
      </w:r>
      <w:r w:rsidRPr="00717436">
        <w:rPr>
          <w:rFonts w:ascii="Times New Roman" w:eastAsia="Times New Roman" w:hAnsi="Times New Roman" w:cs="Times New Roman"/>
          <w:color w:val="000000" w:themeColor="text1"/>
          <w:sz w:val="22"/>
          <w:szCs w:val="22"/>
          <w:lang w:eastAsia="en-AU"/>
        </w:rPr>
        <w:t xml:space="preserve">establishes how the ANC is calculated under subsection 20(1) of the Numbering Charges Act; and specifies </w:t>
      </w:r>
      <w:r w:rsidRPr="00717436">
        <w:rPr>
          <w:rFonts w:ascii="Times New Roman" w:hAnsi="Times New Roman" w:cs="Times New Roman"/>
          <w:bCs/>
          <w:color w:val="000000" w:themeColor="text1"/>
          <w:sz w:val="22"/>
          <w:szCs w:val="22"/>
        </w:rPr>
        <w:t xml:space="preserve">the </w:t>
      </w:r>
      <w:r w:rsidRPr="00717436">
        <w:rPr>
          <w:rFonts w:ascii="Times New Roman" w:hAnsi="Times New Roman" w:cs="Times New Roman"/>
          <w:color w:val="000000" w:themeColor="text1"/>
          <w:sz w:val="22"/>
          <w:szCs w:val="22"/>
        </w:rPr>
        <w:t xml:space="preserve">numbers exempt from the ANC </w:t>
      </w:r>
      <w:r w:rsidRPr="00717436">
        <w:rPr>
          <w:rFonts w:ascii="Times New Roman" w:hAnsi="Times New Roman" w:cs="Times New Roman"/>
          <w:bCs/>
          <w:color w:val="000000" w:themeColor="text1"/>
          <w:sz w:val="22"/>
          <w:szCs w:val="22"/>
        </w:rPr>
        <w:t xml:space="preserve">under subsection </w:t>
      </w:r>
      <w:r w:rsidRPr="00717436">
        <w:rPr>
          <w:rFonts w:ascii="Times New Roman" w:hAnsi="Times New Roman" w:cs="Times New Roman"/>
          <w:noProof/>
          <w:color w:val="000000" w:themeColor="text1"/>
          <w:sz w:val="22"/>
          <w:szCs w:val="22"/>
        </w:rPr>
        <w:t xml:space="preserve">22(2) </w:t>
      </w:r>
      <w:r w:rsidRPr="00717436">
        <w:rPr>
          <w:rFonts w:ascii="Times New Roman" w:hAnsi="Times New Roman" w:cs="Times New Roman"/>
          <w:bCs/>
          <w:color w:val="000000" w:themeColor="text1"/>
          <w:sz w:val="22"/>
          <w:szCs w:val="22"/>
        </w:rPr>
        <w:t xml:space="preserve">of the </w:t>
      </w:r>
      <w:r w:rsidR="00741549">
        <w:rPr>
          <w:rFonts w:ascii="Times New Roman" w:hAnsi="Times New Roman" w:cs="Times New Roman"/>
          <w:bCs/>
          <w:color w:val="000000" w:themeColor="text1"/>
          <w:sz w:val="22"/>
          <w:szCs w:val="22"/>
        </w:rPr>
        <w:t xml:space="preserve">Numbering Charges </w:t>
      </w:r>
      <w:r w:rsidRPr="00717436">
        <w:rPr>
          <w:rFonts w:ascii="Times New Roman" w:hAnsi="Times New Roman" w:cs="Times New Roman"/>
          <w:bCs/>
          <w:color w:val="000000" w:themeColor="text1"/>
          <w:sz w:val="22"/>
          <w:szCs w:val="22"/>
        </w:rPr>
        <w:t>Act</w:t>
      </w:r>
      <w:r w:rsidRPr="00717436">
        <w:rPr>
          <w:rFonts w:ascii="Times New Roman" w:eastAsia="Times New Roman" w:hAnsi="Times New Roman" w:cs="Times New Roman"/>
          <w:color w:val="000000" w:themeColor="text1"/>
          <w:sz w:val="22"/>
          <w:szCs w:val="22"/>
          <w:lang w:eastAsia="en-AU"/>
        </w:rPr>
        <w:t xml:space="preserve">.  </w:t>
      </w:r>
    </w:p>
    <w:p w14:paraId="7CC63BB6" w14:textId="77777777" w:rsidR="007C4EA5" w:rsidRPr="00717436" w:rsidRDefault="007C4EA5" w:rsidP="00B57D87">
      <w:pPr>
        <w:pStyle w:val="ListParagraph"/>
        <w:ind w:left="0"/>
        <w:rPr>
          <w:rFonts w:ascii="Times New Roman" w:eastAsia="Times New Roman" w:hAnsi="Times New Roman" w:cs="Times New Roman"/>
          <w:color w:val="000000" w:themeColor="text1"/>
          <w:sz w:val="22"/>
          <w:szCs w:val="22"/>
          <w:lang w:eastAsia="en-AU"/>
        </w:rPr>
      </w:pPr>
    </w:p>
    <w:p w14:paraId="49213F2B" w14:textId="041EBAF2" w:rsidR="007C4EA5" w:rsidRPr="00717436" w:rsidRDefault="007C4EA5" w:rsidP="00B57D87">
      <w:pPr>
        <w:pStyle w:val="ListParagraph"/>
        <w:ind w:left="0"/>
        <w:rPr>
          <w:rFonts w:ascii="Times New Roman" w:hAnsi="Times New Roman" w:cs="Times New Roman"/>
          <w:b/>
          <w:i/>
          <w:iCs/>
          <w:color w:val="000000" w:themeColor="text1"/>
          <w:sz w:val="22"/>
          <w:szCs w:val="22"/>
        </w:rPr>
      </w:pPr>
      <w:r w:rsidRPr="00717436">
        <w:rPr>
          <w:rFonts w:ascii="Times New Roman" w:hAnsi="Times New Roman" w:cs="Times New Roman"/>
          <w:b/>
          <w:i/>
          <w:iCs/>
          <w:color w:val="000000" w:themeColor="text1"/>
          <w:sz w:val="22"/>
          <w:szCs w:val="22"/>
        </w:rPr>
        <w:t xml:space="preserve">Human rights implications </w:t>
      </w:r>
    </w:p>
    <w:p w14:paraId="78453635" w14:textId="755B4CDD" w:rsidR="00204F84" w:rsidRDefault="00B57D87" w:rsidP="00C30A12">
      <w:pPr>
        <w:pStyle w:val="Heading1"/>
        <w:spacing w:before="240"/>
        <w:rPr>
          <w:rFonts w:ascii="Times New Roman" w:hAnsi="Times New Roman" w:cs="Times New Roman"/>
          <w:b w:val="0"/>
          <w:sz w:val="22"/>
          <w:szCs w:val="22"/>
        </w:rPr>
      </w:pPr>
      <w:r w:rsidRPr="00717436">
        <w:rPr>
          <w:rFonts w:ascii="Times New Roman" w:eastAsia="Times New Roman" w:hAnsi="Times New Roman" w:cs="Times New Roman"/>
          <w:b w:val="0"/>
          <w:color w:val="000000" w:themeColor="text1"/>
          <w:sz w:val="22"/>
          <w:szCs w:val="22"/>
          <w:lang w:eastAsia="en-AU"/>
        </w:rPr>
        <w:t xml:space="preserve">The ACMA has </w:t>
      </w:r>
      <w:r w:rsidR="00CE7A6B">
        <w:rPr>
          <w:rFonts w:ascii="Times New Roman" w:eastAsia="Times New Roman" w:hAnsi="Times New Roman" w:cs="Times New Roman"/>
          <w:b w:val="0"/>
          <w:color w:val="000000" w:themeColor="text1"/>
          <w:sz w:val="22"/>
          <w:szCs w:val="22"/>
          <w:lang w:eastAsia="en-AU"/>
        </w:rPr>
        <w:t>assessed</w:t>
      </w:r>
      <w:r w:rsidRPr="00717436">
        <w:rPr>
          <w:rFonts w:ascii="Times New Roman" w:eastAsia="Times New Roman" w:hAnsi="Times New Roman" w:cs="Times New Roman"/>
          <w:b w:val="0"/>
          <w:color w:val="000000" w:themeColor="text1"/>
          <w:sz w:val="22"/>
          <w:szCs w:val="22"/>
          <w:lang w:eastAsia="en-AU"/>
        </w:rPr>
        <w:t xml:space="preserve"> whether the </w:t>
      </w:r>
      <w:r w:rsidR="00CA33D1">
        <w:rPr>
          <w:rFonts w:ascii="Times New Roman" w:eastAsia="Times New Roman" w:hAnsi="Times New Roman" w:cs="Times New Roman"/>
          <w:b w:val="0"/>
          <w:color w:val="000000" w:themeColor="text1"/>
          <w:sz w:val="22"/>
          <w:szCs w:val="22"/>
          <w:lang w:eastAsia="en-AU"/>
        </w:rPr>
        <w:t>instrument</w:t>
      </w:r>
      <w:r w:rsidR="00CA33D1" w:rsidRPr="00717436">
        <w:rPr>
          <w:rFonts w:ascii="Times New Roman" w:eastAsia="Times New Roman" w:hAnsi="Times New Roman" w:cs="Times New Roman"/>
          <w:b w:val="0"/>
          <w:color w:val="000000" w:themeColor="text1"/>
          <w:sz w:val="22"/>
          <w:szCs w:val="22"/>
          <w:lang w:eastAsia="en-AU"/>
        </w:rPr>
        <w:t xml:space="preserve"> </w:t>
      </w:r>
      <w:r w:rsidR="00397DD6" w:rsidRPr="00204F84">
        <w:rPr>
          <w:rFonts w:ascii="Times New Roman" w:eastAsia="Times New Roman" w:hAnsi="Times New Roman" w:cs="Times New Roman"/>
          <w:b w:val="0"/>
          <w:color w:val="000000" w:themeColor="text1"/>
          <w:sz w:val="22"/>
          <w:szCs w:val="22"/>
          <w:lang w:eastAsia="en-AU"/>
        </w:rPr>
        <w:t xml:space="preserve">is compatible with </w:t>
      </w:r>
      <w:r w:rsidR="00204F84" w:rsidRPr="002030D4">
        <w:rPr>
          <w:rFonts w:ascii="Times New Roman" w:hAnsi="Times New Roman" w:cs="Times New Roman"/>
          <w:b w:val="0"/>
          <w:sz w:val="22"/>
          <w:szCs w:val="22"/>
        </w:rPr>
        <w:t xml:space="preserve">human rights, being the rights and freedoms recognised or declared by the international instruments listed in subsection 3(1) of the </w:t>
      </w:r>
      <w:r w:rsidR="00204F84" w:rsidRPr="002030D4">
        <w:rPr>
          <w:rStyle w:val="Emphasis"/>
          <w:rFonts w:ascii="Times New Roman" w:hAnsi="Times New Roman" w:cs="Times New Roman"/>
          <w:b w:val="0"/>
          <w:sz w:val="22"/>
          <w:szCs w:val="22"/>
        </w:rPr>
        <w:t>Human Rights (Parliamentary Scrutiny) Act 2011</w:t>
      </w:r>
      <w:r w:rsidR="00204F84" w:rsidRPr="002030D4">
        <w:rPr>
          <w:rFonts w:ascii="Times New Roman" w:hAnsi="Times New Roman" w:cs="Times New Roman"/>
          <w:b w:val="0"/>
          <w:sz w:val="22"/>
          <w:szCs w:val="22"/>
        </w:rPr>
        <w:t xml:space="preserve"> as they apply to Australia</w:t>
      </w:r>
      <w:r w:rsidR="00204F84">
        <w:rPr>
          <w:rFonts w:ascii="Times New Roman" w:hAnsi="Times New Roman" w:cs="Times New Roman"/>
          <w:b w:val="0"/>
          <w:sz w:val="22"/>
          <w:szCs w:val="22"/>
        </w:rPr>
        <w:t>.</w:t>
      </w:r>
    </w:p>
    <w:p w14:paraId="708F0CFA" w14:textId="309C4143" w:rsidR="00882F22" w:rsidRPr="00717436" w:rsidRDefault="00D00859" w:rsidP="00C30A12">
      <w:pPr>
        <w:pStyle w:val="Heading1"/>
        <w:spacing w:before="240"/>
        <w:rPr>
          <w:rFonts w:ascii="Times New Roman" w:eastAsia="Times New Roman" w:hAnsi="Times New Roman" w:cs="Times New Roman"/>
          <w:b w:val="0"/>
          <w:color w:val="000000" w:themeColor="text1"/>
          <w:sz w:val="22"/>
          <w:szCs w:val="22"/>
          <w:lang w:eastAsia="en-AU"/>
        </w:rPr>
      </w:pPr>
      <w:r>
        <w:rPr>
          <w:rFonts w:ascii="Times New Roman" w:hAnsi="Times New Roman" w:cs="Times New Roman"/>
          <w:b w:val="0"/>
          <w:sz w:val="22"/>
          <w:szCs w:val="22"/>
        </w:rPr>
        <w:t xml:space="preserve">Having considered the likely impact of the instrument and the nature of the </w:t>
      </w:r>
      <w:r w:rsidR="00B57D87" w:rsidRPr="00717436">
        <w:rPr>
          <w:rFonts w:ascii="Times New Roman" w:eastAsia="Times New Roman" w:hAnsi="Times New Roman" w:cs="Times New Roman"/>
          <w:b w:val="0"/>
          <w:color w:val="000000" w:themeColor="text1"/>
          <w:sz w:val="22"/>
          <w:szCs w:val="22"/>
          <w:lang w:eastAsia="en-AU"/>
        </w:rPr>
        <w:t xml:space="preserve">applicable rights </w:t>
      </w:r>
      <w:r w:rsidR="00531E3D">
        <w:rPr>
          <w:rFonts w:ascii="Times New Roman" w:eastAsia="Times New Roman" w:hAnsi="Times New Roman" w:cs="Times New Roman"/>
          <w:b w:val="0"/>
          <w:color w:val="000000" w:themeColor="text1"/>
          <w:sz w:val="22"/>
          <w:szCs w:val="22"/>
          <w:lang w:eastAsia="en-AU"/>
        </w:rPr>
        <w:t xml:space="preserve">and </w:t>
      </w:r>
      <w:r w:rsidR="00B57D87" w:rsidRPr="00717436">
        <w:rPr>
          <w:rFonts w:ascii="Times New Roman" w:eastAsia="Times New Roman" w:hAnsi="Times New Roman" w:cs="Times New Roman"/>
          <w:b w:val="0"/>
          <w:color w:val="000000" w:themeColor="text1"/>
          <w:sz w:val="22"/>
          <w:szCs w:val="22"/>
          <w:lang w:eastAsia="en-AU"/>
        </w:rPr>
        <w:t>freedoms</w:t>
      </w:r>
      <w:r w:rsidR="00CE691D">
        <w:rPr>
          <w:rFonts w:ascii="Times New Roman" w:eastAsia="Times New Roman" w:hAnsi="Times New Roman" w:cs="Times New Roman"/>
          <w:b w:val="0"/>
          <w:color w:val="000000" w:themeColor="text1"/>
          <w:sz w:val="22"/>
          <w:szCs w:val="22"/>
          <w:lang w:eastAsia="en-AU"/>
        </w:rPr>
        <w:t>,</w:t>
      </w:r>
      <w:r w:rsidR="00B57D87" w:rsidRPr="00717436">
        <w:rPr>
          <w:rFonts w:ascii="Times New Roman" w:eastAsia="Times New Roman" w:hAnsi="Times New Roman" w:cs="Times New Roman"/>
          <w:b w:val="0"/>
          <w:color w:val="000000" w:themeColor="text1"/>
          <w:sz w:val="22"/>
          <w:szCs w:val="22"/>
          <w:lang w:eastAsia="en-AU"/>
        </w:rPr>
        <w:t xml:space="preserve"> </w:t>
      </w:r>
      <w:r w:rsidR="00CE691D">
        <w:rPr>
          <w:rFonts w:ascii="Times New Roman" w:eastAsia="Times New Roman" w:hAnsi="Times New Roman" w:cs="Times New Roman"/>
          <w:b w:val="0"/>
          <w:color w:val="000000" w:themeColor="text1"/>
          <w:sz w:val="22"/>
          <w:szCs w:val="22"/>
          <w:lang w:eastAsia="en-AU"/>
        </w:rPr>
        <w:t xml:space="preserve">the ACMA </w:t>
      </w:r>
      <w:r w:rsidR="00B57D87" w:rsidRPr="00717436">
        <w:rPr>
          <w:rFonts w:ascii="Times New Roman" w:eastAsia="Times New Roman" w:hAnsi="Times New Roman" w:cs="Times New Roman"/>
          <w:b w:val="0"/>
          <w:color w:val="000000" w:themeColor="text1"/>
          <w:sz w:val="22"/>
          <w:szCs w:val="22"/>
          <w:lang w:eastAsia="en-AU"/>
        </w:rPr>
        <w:t xml:space="preserve">has formed the view that </w:t>
      </w:r>
      <w:r w:rsidR="00CE691D">
        <w:rPr>
          <w:rFonts w:ascii="Times New Roman" w:eastAsia="Times New Roman" w:hAnsi="Times New Roman" w:cs="Times New Roman"/>
          <w:b w:val="0"/>
          <w:color w:val="000000" w:themeColor="text1"/>
          <w:sz w:val="22"/>
          <w:szCs w:val="22"/>
          <w:lang w:eastAsia="en-AU"/>
        </w:rPr>
        <w:t xml:space="preserve">the instrument </w:t>
      </w:r>
      <w:r w:rsidR="00B57D87" w:rsidRPr="00717436">
        <w:rPr>
          <w:rFonts w:ascii="Times New Roman" w:eastAsia="Times New Roman" w:hAnsi="Times New Roman" w:cs="Times New Roman"/>
          <w:b w:val="0"/>
          <w:color w:val="000000" w:themeColor="text1"/>
          <w:sz w:val="22"/>
          <w:szCs w:val="22"/>
          <w:lang w:eastAsia="en-AU"/>
        </w:rPr>
        <w:t>does not</w:t>
      </w:r>
      <w:r w:rsidR="00CE691D">
        <w:rPr>
          <w:rFonts w:ascii="Times New Roman" w:eastAsia="Times New Roman" w:hAnsi="Times New Roman" w:cs="Times New Roman"/>
          <w:b w:val="0"/>
          <w:color w:val="000000" w:themeColor="text1"/>
          <w:sz w:val="22"/>
          <w:szCs w:val="22"/>
          <w:lang w:eastAsia="en-AU"/>
        </w:rPr>
        <w:t xml:space="preserve"> engage </w:t>
      </w:r>
      <w:r w:rsidR="00B57D87" w:rsidRPr="00717436">
        <w:rPr>
          <w:rFonts w:ascii="Times New Roman" w:eastAsia="Times New Roman" w:hAnsi="Times New Roman" w:cs="Times New Roman"/>
          <w:b w:val="0"/>
          <w:color w:val="000000" w:themeColor="text1"/>
          <w:sz w:val="22"/>
          <w:szCs w:val="22"/>
          <w:lang w:eastAsia="en-AU"/>
        </w:rPr>
        <w:t xml:space="preserve">any </w:t>
      </w:r>
      <w:r w:rsidR="00BD5869">
        <w:rPr>
          <w:rFonts w:ascii="Times New Roman" w:eastAsia="Times New Roman" w:hAnsi="Times New Roman" w:cs="Times New Roman"/>
          <w:b w:val="0"/>
          <w:color w:val="000000" w:themeColor="text1"/>
          <w:sz w:val="22"/>
          <w:szCs w:val="22"/>
          <w:lang w:eastAsia="en-AU"/>
        </w:rPr>
        <w:t xml:space="preserve">of those </w:t>
      </w:r>
      <w:r w:rsidR="00B57D87" w:rsidRPr="00717436">
        <w:rPr>
          <w:rFonts w:ascii="Times New Roman" w:eastAsia="Times New Roman" w:hAnsi="Times New Roman" w:cs="Times New Roman"/>
          <w:b w:val="0"/>
          <w:color w:val="000000" w:themeColor="text1"/>
          <w:sz w:val="22"/>
          <w:szCs w:val="22"/>
          <w:lang w:eastAsia="en-AU"/>
        </w:rPr>
        <w:t xml:space="preserve">rights </w:t>
      </w:r>
      <w:r w:rsidR="00BD5869">
        <w:rPr>
          <w:rFonts w:ascii="Times New Roman" w:eastAsia="Times New Roman" w:hAnsi="Times New Roman" w:cs="Times New Roman"/>
          <w:b w:val="0"/>
          <w:color w:val="000000" w:themeColor="text1"/>
          <w:sz w:val="22"/>
          <w:szCs w:val="22"/>
          <w:lang w:eastAsia="en-AU"/>
        </w:rPr>
        <w:t xml:space="preserve">or </w:t>
      </w:r>
      <w:r w:rsidR="00B57D87" w:rsidRPr="00717436">
        <w:rPr>
          <w:rFonts w:ascii="Times New Roman" w:eastAsia="Times New Roman" w:hAnsi="Times New Roman" w:cs="Times New Roman"/>
          <w:b w:val="0"/>
          <w:color w:val="000000" w:themeColor="text1"/>
          <w:sz w:val="22"/>
          <w:szCs w:val="22"/>
          <w:lang w:eastAsia="en-AU"/>
        </w:rPr>
        <w:t>freedoms.</w:t>
      </w:r>
    </w:p>
    <w:p w14:paraId="5D19F086" w14:textId="77777777" w:rsidR="00906115" w:rsidRPr="00717436" w:rsidRDefault="00906115" w:rsidP="00906115">
      <w:pPr>
        <w:spacing w:before="120" w:after="120"/>
        <w:rPr>
          <w:rFonts w:ascii="Times New Roman" w:hAnsi="Times New Roman" w:cs="Times New Roman"/>
          <w:b/>
          <w:i/>
          <w:iCs/>
          <w:sz w:val="22"/>
          <w:szCs w:val="22"/>
        </w:rPr>
      </w:pPr>
      <w:r w:rsidRPr="00717436">
        <w:rPr>
          <w:rFonts w:ascii="Times New Roman" w:hAnsi="Times New Roman" w:cs="Times New Roman"/>
          <w:b/>
          <w:i/>
          <w:iCs/>
          <w:sz w:val="22"/>
          <w:szCs w:val="22"/>
        </w:rPr>
        <w:t>Conclusion</w:t>
      </w:r>
    </w:p>
    <w:p w14:paraId="62EF53FF" w14:textId="188F4DDC" w:rsidR="00906115" w:rsidRPr="00717436" w:rsidRDefault="00906115" w:rsidP="00B30167">
      <w:pPr>
        <w:spacing w:after="120" w:line="240" w:lineRule="auto"/>
        <w:rPr>
          <w:rFonts w:ascii="Times New Roman" w:hAnsi="Times New Roman" w:cs="Times New Roman"/>
          <w:sz w:val="22"/>
          <w:szCs w:val="22"/>
        </w:rPr>
      </w:pPr>
      <w:r w:rsidRPr="00717436">
        <w:rPr>
          <w:rFonts w:ascii="Times New Roman" w:hAnsi="Times New Roman" w:cs="Times New Roman"/>
          <w:sz w:val="22"/>
          <w:szCs w:val="22"/>
        </w:rPr>
        <w:t>The instrument is compatible with human rights as it does not raise any human rights issues.</w:t>
      </w:r>
    </w:p>
    <w:p w14:paraId="6B1C74C8" w14:textId="4822F720" w:rsidR="00D73B55" w:rsidRPr="00717436" w:rsidRDefault="00882F22" w:rsidP="00717436">
      <w:pPr>
        <w:jc w:val="both"/>
        <w:rPr>
          <w:rFonts w:ascii="Times New Roman" w:hAnsi="Times New Roman" w:cs="Times New Roman"/>
          <w:caps/>
          <w:color w:val="000000" w:themeColor="text1"/>
          <w:sz w:val="28"/>
          <w:szCs w:val="28"/>
          <w:lang w:val="en-US"/>
        </w:rPr>
      </w:pPr>
      <w:r w:rsidRPr="00717436">
        <w:rPr>
          <w:rFonts w:ascii="Times New Roman" w:eastAsia="Times New Roman" w:hAnsi="Times New Roman" w:cs="Times New Roman"/>
          <w:color w:val="000000" w:themeColor="text1"/>
          <w:sz w:val="22"/>
          <w:szCs w:val="22"/>
          <w:lang w:eastAsia="en-AU"/>
        </w:rPr>
        <w:br w:type="page"/>
      </w:r>
      <w:r w:rsidR="00131FF6">
        <w:rPr>
          <w:rFonts w:ascii="Times New Roman" w:eastAsia="Times New Roman" w:hAnsi="Times New Roman" w:cs="Times New Roman"/>
          <w:color w:val="000000" w:themeColor="text1"/>
          <w:sz w:val="22"/>
          <w:szCs w:val="22"/>
          <w:lang w:eastAsia="en-AU"/>
        </w:rPr>
        <w:lastRenderedPageBreak/>
        <w:tab/>
      </w:r>
      <w:r w:rsidR="00BD1830" w:rsidRPr="00717436">
        <w:rPr>
          <w:rFonts w:ascii="Times New Roman" w:hAnsi="Times New Roman" w:cs="Times New Roman"/>
          <w:b/>
          <w:bCs/>
          <w:color w:val="000000" w:themeColor="text1"/>
          <w:sz w:val="22"/>
          <w:szCs w:val="22"/>
        </w:rPr>
        <w:t xml:space="preserve"> </w:t>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131FF6">
        <w:rPr>
          <w:rFonts w:ascii="Times New Roman" w:hAnsi="Times New Roman" w:cs="Times New Roman"/>
          <w:b/>
          <w:bCs/>
          <w:color w:val="000000" w:themeColor="text1"/>
          <w:sz w:val="22"/>
          <w:szCs w:val="22"/>
        </w:rPr>
        <w:tab/>
      </w:r>
      <w:r w:rsidR="00BD1830" w:rsidRPr="00717436">
        <w:rPr>
          <w:rFonts w:ascii="Times New Roman" w:hAnsi="Times New Roman" w:cs="Times New Roman"/>
          <w:b/>
          <w:bCs/>
          <w:color w:val="000000" w:themeColor="text1"/>
          <w:sz w:val="28"/>
          <w:szCs w:val="28"/>
        </w:rPr>
        <w:t>Attachment A</w:t>
      </w:r>
    </w:p>
    <w:p w14:paraId="3DB917B0" w14:textId="0F956C4C" w:rsidR="001E2F33" w:rsidRPr="00717436" w:rsidRDefault="005C2796" w:rsidP="00717436">
      <w:pPr>
        <w:pStyle w:val="ACMAHeading3"/>
        <w:jc w:val="center"/>
        <w:rPr>
          <w:rFonts w:ascii="Times New Roman" w:hAnsi="Times New Roman" w:cs="Times New Roman"/>
          <w:bCs/>
          <w:i/>
          <w:iCs/>
          <w:caps/>
          <w:color w:val="000000" w:themeColor="text1"/>
          <w:sz w:val="22"/>
          <w:szCs w:val="22"/>
          <w:lang w:val="en-AU"/>
        </w:rPr>
      </w:pPr>
      <w:r w:rsidRPr="00717436">
        <w:rPr>
          <w:rFonts w:ascii="Times New Roman" w:hAnsi="Times New Roman" w:cs="Times New Roman"/>
          <w:bCs/>
          <w:color w:val="000000" w:themeColor="text1"/>
          <w:sz w:val="28"/>
          <w:szCs w:val="28"/>
          <w:lang w:val="en-AU" w:eastAsia="en-AU"/>
        </w:rPr>
        <w:t xml:space="preserve">Notes to the </w:t>
      </w:r>
      <w:r w:rsidRPr="00717436">
        <w:rPr>
          <w:rFonts w:ascii="Times New Roman" w:hAnsi="Times New Roman" w:cs="Times New Roman"/>
          <w:bCs/>
          <w:i/>
          <w:iCs/>
          <w:color w:val="000000" w:themeColor="text1"/>
          <w:sz w:val="28"/>
          <w:szCs w:val="28"/>
          <w:lang w:val="en-AU" w:eastAsia="en-AU"/>
        </w:rPr>
        <w:t>Telecommunications (Annual Charge) Determination 2025</w:t>
      </w:r>
      <w:r w:rsidRPr="00717436">
        <w:rPr>
          <w:rFonts w:ascii="Times New Roman" w:hAnsi="Times New Roman" w:cs="Times New Roman"/>
          <w:bCs/>
          <w:color w:val="000000" w:themeColor="text1"/>
          <w:sz w:val="28"/>
          <w:szCs w:val="28"/>
          <w:lang w:val="en-AU" w:eastAsia="en-AU"/>
        </w:rPr>
        <w:t xml:space="preserve"> </w:t>
      </w:r>
      <w:r w:rsidR="00D51A3E" w:rsidRPr="00717436">
        <w:rPr>
          <w:rFonts w:ascii="Times New Roman" w:hAnsi="Times New Roman" w:cs="Times New Roman"/>
          <w:bCs/>
          <w:caps/>
          <w:color w:val="000000" w:themeColor="text1"/>
          <w:sz w:val="28"/>
          <w:szCs w:val="28"/>
          <w:lang w:val="en-AU" w:eastAsia="en-AU"/>
        </w:rPr>
        <w:t xml:space="preserve"> </w:t>
      </w:r>
    </w:p>
    <w:p w14:paraId="00CE9EAC" w14:textId="0A4EFDEF" w:rsidR="00CA5604" w:rsidRPr="00717436" w:rsidRDefault="00CA5604" w:rsidP="00CA5604">
      <w:pPr>
        <w:pStyle w:val="Heading1"/>
        <w:spacing w:before="240"/>
        <w:rPr>
          <w:rFonts w:ascii="Times New Roman" w:hAnsi="Times New Roman" w:cs="Times New Roman"/>
          <w:b w:val="0"/>
          <w:color w:val="000000" w:themeColor="text1"/>
          <w:sz w:val="22"/>
          <w:szCs w:val="22"/>
        </w:rPr>
      </w:pPr>
      <w:r w:rsidRPr="00717436">
        <w:rPr>
          <w:rFonts w:ascii="Times New Roman" w:hAnsi="Times New Roman" w:cs="Times New Roman"/>
          <w:color w:val="000000" w:themeColor="text1"/>
          <w:sz w:val="22"/>
          <w:szCs w:val="22"/>
        </w:rPr>
        <w:t>Section 1</w:t>
      </w:r>
      <w:r w:rsidR="005C2796" w:rsidRPr="00717436">
        <w:rPr>
          <w:rFonts w:ascii="Times New Roman" w:hAnsi="Times New Roman" w:cs="Times New Roman"/>
          <w:color w:val="000000" w:themeColor="text1"/>
          <w:sz w:val="22"/>
          <w:szCs w:val="22"/>
        </w:rPr>
        <w:tab/>
      </w:r>
      <w:r w:rsidRPr="00717436">
        <w:rPr>
          <w:rFonts w:ascii="Times New Roman" w:hAnsi="Times New Roman" w:cs="Times New Roman"/>
          <w:color w:val="000000" w:themeColor="text1"/>
          <w:sz w:val="22"/>
          <w:szCs w:val="22"/>
        </w:rPr>
        <w:t xml:space="preserve">Name </w:t>
      </w:r>
    </w:p>
    <w:p w14:paraId="11A9D6E6" w14:textId="5A004063" w:rsidR="00CA5604" w:rsidRPr="00717436" w:rsidRDefault="008A145D" w:rsidP="00CA5604">
      <w:pPr>
        <w:rPr>
          <w:rFonts w:ascii="Times New Roman" w:hAnsi="Times New Roman" w:cs="Times New Roman"/>
          <w:bCs/>
          <w:i/>
          <w:iCs/>
          <w:color w:val="000000" w:themeColor="text1"/>
          <w:sz w:val="22"/>
          <w:szCs w:val="22"/>
        </w:rPr>
      </w:pPr>
      <w:r>
        <w:rPr>
          <w:rFonts w:ascii="Times New Roman" w:hAnsi="Times New Roman" w:cs="Times New Roman"/>
          <w:color w:val="000000" w:themeColor="text1"/>
          <w:sz w:val="22"/>
          <w:szCs w:val="22"/>
        </w:rPr>
        <w:t xml:space="preserve">This section </w:t>
      </w:r>
      <w:r w:rsidR="00CA5604" w:rsidRPr="00717436">
        <w:rPr>
          <w:rFonts w:ascii="Times New Roman" w:hAnsi="Times New Roman" w:cs="Times New Roman"/>
          <w:color w:val="000000" w:themeColor="text1"/>
          <w:sz w:val="22"/>
          <w:szCs w:val="22"/>
        </w:rPr>
        <w:t xml:space="preserve">provides that the name of the </w:t>
      </w:r>
      <w:r w:rsidR="000C046F">
        <w:rPr>
          <w:rFonts w:ascii="Times New Roman" w:hAnsi="Times New Roman" w:cs="Times New Roman"/>
          <w:color w:val="000000" w:themeColor="text1"/>
          <w:sz w:val="22"/>
          <w:szCs w:val="22"/>
        </w:rPr>
        <w:t>instrument</w:t>
      </w:r>
      <w:r w:rsidR="000C046F" w:rsidRPr="00717436">
        <w:rPr>
          <w:rFonts w:ascii="Times New Roman" w:hAnsi="Times New Roman" w:cs="Times New Roman"/>
          <w:color w:val="000000" w:themeColor="text1"/>
          <w:sz w:val="22"/>
          <w:szCs w:val="22"/>
        </w:rPr>
        <w:t xml:space="preserve"> </w:t>
      </w:r>
      <w:r w:rsidR="00CA5604" w:rsidRPr="00717436">
        <w:rPr>
          <w:rFonts w:ascii="Times New Roman" w:hAnsi="Times New Roman" w:cs="Times New Roman"/>
          <w:color w:val="000000" w:themeColor="text1"/>
          <w:sz w:val="22"/>
          <w:szCs w:val="22"/>
        </w:rPr>
        <w:t xml:space="preserve">is the </w:t>
      </w:r>
      <w:r w:rsidR="00CA5604" w:rsidRPr="00717436">
        <w:rPr>
          <w:rFonts w:ascii="Times New Roman" w:hAnsi="Times New Roman" w:cs="Times New Roman"/>
          <w:bCs/>
          <w:i/>
          <w:iCs/>
          <w:color w:val="000000" w:themeColor="text1"/>
          <w:sz w:val="22"/>
          <w:szCs w:val="22"/>
        </w:rPr>
        <w:t xml:space="preserve">Telecommunications (Annual Charge) Determination </w:t>
      </w:r>
      <w:r w:rsidR="00783456" w:rsidRPr="00717436">
        <w:rPr>
          <w:rFonts w:ascii="Times New Roman" w:hAnsi="Times New Roman" w:cs="Times New Roman"/>
          <w:bCs/>
          <w:i/>
          <w:iCs/>
          <w:color w:val="000000" w:themeColor="text1"/>
          <w:sz w:val="22"/>
          <w:szCs w:val="22"/>
        </w:rPr>
        <w:t>2025</w:t>
      </w:r>
      <w:r w:rsidR="00CA5604" w:rsidRPr="00717436">
        <w:rPr>
          <w:rFonts w:ascii="Times New Roman" w:hAnsi="Times New Roman" w:cs="Times New Roman"/>
          <w:bCs/>
          <w:i/>
          <w:iCs/>
          <w:color w:val="000000" w:themeColor="text1"/>
          <w:sz w:val="22"/>
          <w:szCs w:val="22"/>
        </w:rPr>
        <w:t>.</w:t>
      </w:r>
    </w:p>
    <w:p w14:paraId="3BA5E1B0" w14:textId="5CFDFF0C" w:rsidR="00CA5604" w:rsidRPr="00717436" w:rsidRDefault="00CA5604" w:rsidP="00CA5604">
      <w:pPr>
        <w:rPr>
          <w:rFonts w:ascii="Times New Roman" w:hAnsi="Times New Roman" w:cs="Times New Roman"/>
          <w:b/>
          <w:color w:val="000000" w:themeColor="text1"/>
          <w:sz w:val="22"/>
          <w:szCs w:val="22"/>
        </w:rPr>
      </w:pPr>
      <w:r w:rsidRPr="00717436">
        <w:rPr>
          <w:rFonts w:ascii="Times New Roman" w:hAnsi="Times New Roman" w:cs="Times New Roman"/>
          <w:b/>
          <w:color w:val="000000" w:themeColor="text1"/>
          <w:sz w:val="22"/>
          <w:szCs w:val="22"/>
        </w:rPr>
        <w:t>Section 2</w:t>
      </w:r>
      <w:r w:rsidR="00314B65" w:rsidRPr="00717436">
        <w:rPr>
          <w:rFonts w:ascii="Times New Roman" w:hAnsi="Times New Roman" w:cs="Times New Roman"/>
          <w:b/>
          <w:color w:val="000000" w:themeColor="text1"/>
          <w:sz w:val="22"/>
          <w:szCs w:val="22"/>
        </w:rPr>
        <w:tab/>
      </w:r>
      <w:r w:rsidRPr="00717436">
        <w:rPr>
          <w:rFonts w:ascii="Times New Roman" w:hAnsi="Times New Roman" w:cs="Times New Roman"/>
          <w:b/>
          <w:color w:val="000000" w:themeColor="text1"/>
          <w:sz w:val="22"/>
          <w:szCs w:val="22"/>
        </w:rPr>
        <w:t>Commencement</w:t>
      </w:r>
    </w:p>
    <w:p w14:paraId="65D001C0" w14:textId="1B0B018F" w:rsidR="00CA5604" w:rsidRDefault="0018021B" w:rsidP="00CA560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w:t>
      </w:r>
      <w:r w:rsidR="00CA5604" w:rsidRPr="00717436">
        <w:rPr>
          <w:rFonts w:ascii="Times New Roman" w:hAnsi="Times New Roman" w:cs="Times New Roman"/>
          <w:color w:val="000000" w:themeColor="text1"/>
          <w:sz w:val="22"/>
          <w:szCs w:val="22"/>
        </w:rPr>
        <w:t xml:space="preserve">provides </w:t>
      </w:r>
      <w:r>
        <w:rPr>
          <w:rFonts w:ascii="Times New Roman" w:hAnsi="Times New Roman" w:cs="Times New Roman"/>
          <w:color w:val="000000" w:themeColor="text1"/>
          <w:sz w:val="22"/>
          <w:szCs w:val="22"/>
        </w:rPr>
        <w:t xml:space="preserve">that </w:t>
      </w:r>
      <w:r w:rsidR="00D34B87" w:rsidRPr="00717436">
        <w:rPr>
          <w:rFonts w:ascii="Times New Roman" w:hAnsi="Times New Roman" w:cs="Times New Roman"/>
          <w:color w:val="000000" w:themeColor="text1"/>
          <w:sz w:val="22"/>
          <w:szCs w:val="22"/>
        </w:rPr>
        <w:t xml:space="preserve">the </w:t>
      </w:r>
      <w:r w:rsidR="000C046F">
        <w:rPr>
          <w:rFonts w:ascii="Times New Roman" w:hAnsi="Times New Roman" w:cs="Times New Roman"/>
          <w:color w:val="000000" w:themeColor="text1"/>
          <w:sz w:val="22"/>
          <w:szCs w:val="22"/>
        </w:rPr>
        <w:t>instrument</w:t>
      </w:r>
      <w:r w:rsidR="000C046F" w:rsidRPr="00717436">
        <w:rPr>
          <w:rFonts w:ascii="Times New Roman" w:hAnsi="Times New Roman" w:cs="Times New Roman"/>
          <w:color w:val="000000" w:themeColor="text1"/>
          <w:sz w:val="22"/>
          <w:szCs w:val="22"/>
        </w:rPr>
        <w:t xml:space="preserve"> </w:t>
      </w:r>
      <w:r w:rsidR="00D34B87" w:rsidRPr="00717436">
        <w:rPr>
          <w:rFonts w:ascii="Times New Roman" w:hAnsi="Times New Roman" w:cs="Times New Roman"/>
          <w:color w:val="000000" w:themeColor="text1"/>
          <w:sz w:val="22"/>
          <w:szCs w:val="22"/>
        </w:rPr>
        <w:t>commence</w:t>
      </w:r>
      <w:r>
        <w:rPr>
          <w:rFonts w:ascii="Times New Roman" w:hAnsi="Times New Roman" w:cs="Times New Roman"/>
          <w:color w:val="000000" w:themeColor="text1"/>
          <w:sz w:val="22"/>
          <w:szCs w:val="22"/>
        </w:rPr>
        <w:t>s</w:t>
      </w:r>
      <w:r w:rsidR="00D34B87" w:rsidRPr="00717436">
        <w:rPr>
          <w:rFonts w:ascii="Times New Roman" w:hAnsi="Times New Roman" w:cs="Times New Roman"/>
          <w:color w:val="000000" w:themeColor="text1"/>
          <w:sz w:val="22"/>
          <w:szCs w:val="22"/>
        </w:rPr>
        <w:t xml:space="preserve"> at the start of the day after the day it is registered on the Federal Register of Legislation</w:t>
      </w:r>
      <w:r w:rsidR="00CA5604" w:rsidRPr="00717436">
        <w:rPr>
          <w:rFonts w:ascii="Times New Roman" w:hAnsi="Times New Roman" w:cs="Times New Roman"/>
          <w:color w:val="000000" w:themeColor="text1"/>
          <w:sz w:val="22"/>
          <w:szCs w:val="22"/>
        </w:rPr>
        <w:t>.</w:t>
      </w:r>
    </w:p>
    <w:p w14:paraId="22338AB1" w14:textId="2D13178B" w:rsidR="000D2740" w:rsidRPr="00717436" w:rsidRDefault="004B2DA7" w:rsidP="00CA5604">
      <w:pPr>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 </w:t>
      </w:r>
      <w:r w:rsidR="000D2740" w:rsidRPr="00717436">
        <w:rPr>
          <w:rFonts w:ascii="Times New Roman" w:hAnsi="Times New Roman" w:cs="Times New Roman"/>
          <w:b/>
          <w:color w:val="000000" w:themeColor="text1"/>
          <w:sz w:val="22"/>
          <w:szCs w:val="22"/>
        </w:rPr>
        <w:t>Section 3</w:t>
      </w:r>
      <w:r w:rsidR="00314B65" w:rsidRPr="00717436">
        <w:rPr>
          <w:rFonts w:ascii="Times New Roman" w:hAnsi="Times New Roman" w:cs="Times New Roman"/>
          <w:b/>
          <w:color w:val="000000" w:themeColor="text1"/>
          <w:sz w:val="22"/>
          <w:szCs w:val="22"/>
        </w:rPr>
        <w:tab/>
      </w:r>
      <w:r w:rsidR="000D2740" w:rsidRPr="00717436">
        <w:rPr>
          <w:rFonts w:ascii="Times New Roman" w:hAnsi="Times New Roman" w:cs="Times New Roman"/>
          <w:b/>
          <w:color w:val="000000" w:themeColor="text1"/>
          <w:sz w:val="22"/>
          <w:szCs w:val="22"/>
        </w:rPr>
        <w:t xml:space="preserve">Authority </w:t>
      </w:r>
    </w:p>
    <w:p w14:paraId="2E6BB13E" w14:textId="28F5F9CD" w:rsidR="000D2740" w:rsidRPr="00717436" w:rsidRDefault="00EE706D" w:rsidP="00CA5604">
      <w:pP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This section identifies the provisions which authorise the </w:t>
      </w:r>
      <w:r w:rsidR="005965AA">
        <w:rPr>
          <w:rFonts w:ascii="Times New Roman" w:hAnsi="Times New Roman" w:cs="Times New Roman"/>
          <w:bCs/>
          <w:color w:val="000000" w:themeColor="text1"/>
          <w:sz w:val="22"/>
          <w:szCs w:val="22"/>
        </w:rPr>
        <w:t xml:space="preserve">making of the instrument, namely </w:t>
      </w:r>
      <w:r w:rsidR="002D1319" w:rsidRPr="00717436">
        <w:rPr>
          <w:rFonts w:ascii="Times New Roman" w:hAnsi="Times New Roman" w:cs="Times New Roman"/>
          <w:bCs/>
          <w:color w:val="000000" w:themeColor="text1"/>
          <w:sz w:val="22"/>
          <w:szCs w:val="22"/>
        </w:rPr>
        <w:t>subsection</w:t>
      </w:r>
      <w:r w:rsidR="005965AA">
        <w:rPr>
          <w:rFonts w:ascii="Times New Roman" w:hAnsi="Times New Roman" w:cs="Times New Roman"/>
          <w:bCs/>
          <w:color w:val="000000" w:themeColor="text1"/>
          <w:sz w:val="22"/>
          <w:szCs w:val="22"/>
        </w:rPr>
        <w:t>s</w:t>
      </w:r>
      <w:r w:rsidR="002D1319" w:rsidRPr="00717436">
        <w:rPr>
          <w:rFonts w:ascii="Times New Roman" w:hAnsi="Times New Roman" w:cs="Times New Roman"/>
          <w:bCs/>
          <w:color w:val="000000" w:themeColor="text1"/>
          <w:sz w:val="22"/>
          <w:szCs w:val="22"/>
        </w:rPr>
        <w:t xml:space="preserve"> 20(1) </w:t>
      </w:r>
      <w:r w:rsidR="005965AA">
        <w:rPr>
          <w:rFonts w:ascii="Times New Roman" w:hAnsi="Times New Roman" w:cs="Times New Roman"/>
          <w:bCs/>
          <w:color w:val="000000" w:themeColor="text1"/>
          <w:sz w:val="22"/>
          <w:szCs w:val="22"/>
        </w:rPr>
        <w:t xml:space="preserve">and 22(2) </w:t>
      </w:r>
      <w:r w:rsidR="002D1319" w:rsidRPr="00717436">
        <w:rPr>
          <w:rFonts w:ascii="Times New Roman" w:hAnsi="Times New Roman" w:cs="Times New Roman"/>
          <w:bCs/>
          <w:color w:val="000000" w:themeColor="text1"/>
          <w:sz w:val="22"/>
          <w:szCs w:val="22"/>
        </w:rPr>
        <w:t xml:space="preserve">of the </w:t>
      </w:r>
      <w:r w:rsidR="002D1319" w:rsidRPr="002030D4">
        <w:rPr>
          <w:rFonts w:ascii="Times New Roman" w:hAnsi="Times New Roman" w:cs="Times New Roman"/>
          <w:bCs/>
          <w:color w:val="000000" w:themeColor="text1"/>
          <w:sz w:val="22"/>
          <w:szCs w:val="22"/>
        </w:rPr>
        <w:t>Numbering Charges Act</w:t>
      </w:r>
      <w:r w:rsidR="002D1319" w:rsidRPr="00717436">
        <w:rPr>
          <w:rFonts w:ascii="Times New Roman" w:hAnsi="Times New Roman" w:cs="Times New Roman"/>
          <w:bCs/>
          <w:i/>
          <w:iCs/>
          <w:color w:val="000000" w:themeColor="text1"/>
          <w:sz w:val="22"/>
          <w:szCs w:val="22"/>
        </w:rPr>
        <w:t xml:space="preserve">. </w:t>
      </w:r>
    </w:p>
    <w:p w14:paraId="77E01EFA" w14:textId="166DCD9A" w:rsidR="00CA5604" w:rsidRPr="00717436" w:rsidRDefault="00CA5604" w:rsidP="00CA5604">
      <w:pPr>
        <w:rPr>
          <w:rFonts w:ascii="Times New Roman" w:hAnsi="Times New Roman" w:cs="Times New Roman"/>
          <w:b/>
          <w:color w:val="000000" w:themeColor="text1"/>
          <w:sz w:val="22"/>
          <w:szCs w:val="22"/>
        </w:rPr>
      </w:pPr>
      <w:r w:rsidRPr="00717436">
        <w:rPr>
          <w:rFonts w:ascii="Times New Roman" w:hAnsi="Times New Roman" w:cs="Times New Roman"/>
          <w:b/>
          <w:color w:val="000000" w:themeColor="text1"/>
          <w:sz w:val="22"/>
          <w:szCs w:val="22"/>
        </w:rPr>
        <w:t xml:space="preserve">Section </w:t>
      </w:r>
      <w:r w:rsidR="00E170DD" w:rsidRPr="00717436">
        <w:rPr>
          <w:rFonts w:ascii="Times New Roman" w:hAnsi="Times New Roman" w:cs="Times New Roman"/>
          <w:b/>
          <w:color w:val="000000" w:themeColor="text1"/>
          <w:sz w:val="22"/>
          <w:szCs w:val="22"/>
        </w:rPr>
        <w:t>4</w:t>
      </w:r>
      <w:r w:rsidR="0072284B" w:rsidRPr="00717436">
        <w:rPr>
          <w:rFonts w:ascii="Times New Roman" w:hAnsi="Times New Roman" w:cs="Times New Roman"/>
          <w:b/>
          <w:color w:val="000000" w:themeColor="text1"/>
          <w:sz w:val="22"/>
          <w:szCs w:val="22"/>
        </w:rPr>
        <w:tab/>
      </w:r>
      <w:r w:rsidR="00277166" w:rsidRPr="00717436">
        <w:rPr>
          <w:rFonts w:ascii="Times New Roman" w:hAnsi="Times New Roman" w:cs="Times New Roman"/>
          <w:b/>
          <w:color w:val="000000" w:themeColor="text1"/>
          <w:sz w:val="22"/>
          <w:szCs w:val="22"/>
        </w:rPr>
        <w:t xml:space="preserve">Repeal of the </w:t>
      </w:r>
      <w:r w:rsidR="00277166" w:rsidRPr="00717436">
        <w:rPr>
          <w:rFonts w:ascii="Times New Roman" w:hAnsi="Times New Roman" w:cs="Times New Roman"/>
          <w:b/>
          <w:i/>
          <w:iCs/>
          <w:color w:val="000000" w:themeColor="text1"/>
          <w:sz w:val="22"/>
          <w:szCs w:val="22"/>
        </w:rPr>
        <w:t>Telecommunications (Annual Charge) Determination 2014</w:t>
      </w:r>
    </w:p>
    <w:p w14:paraId="6C11632A" w14:textId="40CF9FBF" w:rsidR="00CA5604" w:rsidRPr="00717436" w:rsidRDefault="00D55BEE" w:rsidP="00CA560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repeals </w:t>
      </w:r>
      <w:r w:rsidR="00CA5604" w:rsidRPr="00717436">
        <w:rPr>
          <w:rFonts w:ascii="Times New Roman" w:hAnsi="Times New Roman" w:cs="Times New Roman"/>
          <w:color w:val="000000" w:themeColor="text1"/>
          <w:sz w:val="22"/>
          <w:szCs w:val="22"/>
        </w:rPr>
        <w:t xml:space="preserve">the </w:t>
      </w:r>
      <w:r w:rsidR="00CA5604" w:rsidRPr="00717436">
        <w:rPr>
          <w:rFonts w:ascii="Times New Roman" w:hAnsi="Times New Roman" w:cs="Times New Roman"/>
          <w:i/>
          <w:color w:val="000000" w:themeColor="text1"/>
          <w:sz w:val="22"/>
          <w:szCs w:val="22"/>
        </w:rPr>
        <w:t>Telecommunications (Annual Charge) Determination 20</w:t>
      </w:r>
      <w:r w:rsidR="004D16B6" w:rsidRPr="00717436">
        <w:rPr>
          <w:rFonts w:ascii="Times New Roman" w:hAnsi="Times New Roman" w:cs="Times New Roman"/>
          <w:i/>
          <w:color w:val="000000" w:themeColor="text1"/>
          <w:sz w:val="22"/>
          <w:szCs w:val="22"/>
        </w:rPr>
        <w:t>14</w:t>
      </w:r>
      <w:r w:rsidR="00CA5604" w:rsidRPr="00717436">
        <w:rPr>
          <w:rFonts w:ascii="Times New Roman" w:hAnsi="Times New Roman" w:cs="Times New Roman"/>
          <w:i/>
          <w:color w:val="000000" w:themeColor="text1"/>
          <w:sz w:val="22"/>
          <w:szCs w:val="22"/>
        </w:rPr>
        <w:t xml:space="preserve"> </w:t>
      </w:r>
      <w:r>
        <w:rPr>
          <w:rFonts w:ascii="Times New Roman" w:hAnsi="Times New Roman" w:cs="Times New Roman"/>
          <w:color w:val="000000" w:themeColor="text1"/>
          <w:sz w:val="22"/>
          <w:szCs w:val="22"/>
        </w:rPr>
        <w:t>(F2014</w:t>
      </w:r>
      <w:r w:rsidR="00E14257">
        <w:rPr>
          <w:rFonts w:ascii="Times New Roman" w:hAnsi="Times New Roman" w:cs="Times New Roman"/>
          <w:color w:val="000000" w:themeColor="text1"/>
          <w:sz w:val="22"/>
          <w:szCs w:val="22"/>
        </w:rPr>
        <w:t>L01782)</w:t>
      </w:r>
      <w:r w:rsidR="00CA5604" w:rsidRPr="00717436">
        <w:rPr>
          <w:rFonts w:ascii="Times New Roman" w:hAnsi="Times New Roman" w:cs="Times New Roman"/>
          <w:color w:val="000000" w:themeColor="text1"/>
          <w:sz w:val="22"/>
          <w:szCs w:val="22"/>
        </w:rPr>
        <w:t>.</w:t>
      </w:r>
    </w:p>
    <w:p w14:paraId="72163652" w14:textId="187F1F1A" w:rsidR="00CA5604" w:rsidRPr="00717436" w:rsidRDefault="00CA5604" w:rsidP="00CA5604">
      <w:pPr>
        <w:rPr>
          <w:rFonts w:ascii="Times New Roman" w:hAnsi="Times New Roman" w:cs="Times New Roman"/>
          <w:b/>
          <w:color w:val="000000" w:themeColor="text1"/>
          <w:sz w:val="22"/>
          <w:szCs w:val="22"/>
        </w:rPr>
      </w:pPr>
      <w:r w:rsidRPr="00717436">
        <w:rPr>
          <w:rFonts w:ascii="Times New Roman" w:hAnsi="Times New Roman" w:cs="Times New Roman"/>
          <w:b/>
          <w:color w:val="000000" w:themeColor="text1"/>
          <w:sz w:val="22"/>
          <w:szCs w:val="22"/>
        </w:rPr>
        <w:t xml:space="preserve">Section </w:t>
      </w:r>
      <w:r w:rsidR="004C6D18" w:rsidRPr="00717436">
        <w:rPr>
          <w:rFonts w:ascii="Times New Roman" w:hAnsi="Times New Roman" w:cs="Times New Roman"/>
          <w:b/>
          <w:color w:val="000000" w:themeColor="text1"/>
          <w:sz w:val="22"/>
          <w:szCs w:val="22"/>
        </w:rPr>
        <w:t>5</w:t>
      </w:r>
      <w:r w:rsidRPr="00717436">
        <w:rPr>
          <w:rFonts w:ascii="Times New Roman" w:hAnsi="Times New Roman" w:cs="Times New Roman"/>
          <w:b/>
          <w:color w:val="000000" w:themeColor="text1"/>
          <w:sz w:val="22"/>
          <w:szCs w:val="22"/>
        </w:rPr>
        <w:t xml:space="preserve"> </w:t>
      </w:r>
      <w:r w:rsidR="0072284B" w:rsidRPr="00717436">
        <w:rPr>
          <w:rFonts w:ascii="Times New Roman" w:hAnsi="Times New Roman" w:cs="Times New Roman"/>
          <w:b/>
          <w:color w:val="000000" w:themeColor="text1"/>
          <w:sz w:val="22"/>
          <w:szCs w:val="22"/>
        </w:rPr>
        <w:tab/>
      </w:r>
      <w:r w:rsidRPr="00717436">
        <w:rPr>
          <w:rFonts w:ascii="Times New Roman" w:hAnsi="Times New Roman" w:cs="Times New Roman"/>
          <w:b/>
          <w:color w:val="000000" w:themeColor="text1"/>
          <w:sz w:val="22"/>
          <w:szCs w:val="22"/>
        </w:rPr>
        <w:t>Definitions</w:t>
      </w:r>
    </w:p>
    <w:p w14:paraId="592ECF90" w14:textId="4C062E45" w:rsidR="00CA5604" w:rsidRPr="00717436" w:rsidRDefault="00023679" w:rsidP="00DC621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w:t>
      </w:r>
      <w:r w:rsidR="00CA5604" w:rsidRPr="00717436">
        <w:rPr>
          <w:rFonts w:ascii="Times New Roman" w:hAnsi="Times New Roman" w:cs="Times New Roman"/>
          <w:color w:val="000000" w:themeColor="text1"/>
          <w:sz w:val="22"/>
          <w:szCs w:val="22"/>
        </w:rPr>
        <w:t xml:space="preserve">defines </w:t>
      </w:r>
      <w:proofErr w:type="gramStart"/>
      <w:r w:rsidR="0067786B">
        <w:rPr>
          <w:rFonts w:ascii="Times New Roman" w:hAnsi="Times New Roman" w:cs="Times New Roman"/>
          <w:color w:val="000000" w:themeColor="text1"/>
          <w:sz w:val="22"/>
          <w:szCs w:val="22"/>
        </w:rPr>
        <w:t>a number of</w:t>
      </w:r>
      <w:proofErr w:type="gramEnd"/>
      <w:r w:rsidR="0067786B">
        <w:rPr>
          <w:rFonts w:ascii="Times New Roman" w:hAnsi="Times New Roman" w:cs="Times New Roman"/>
          <w:color w:val="000000" w:themeColor="text1"/>
          <w:sz w:val="22"/>
          <w:szCs w:val="22"/>
        </w:rPr>
        <w:t xml:space="preserve"> key </w:t>
      </w:r>
      <w:r w:rsidR="00CA5604" w:rsidRPr="00717436">
        <w:rPr>
          <w:rFonts w:ascii="Times New Roman" w:hAnsi="Times New Roman" w:cs="Times New Roman"/>
          <w:color w:val="000000" w:themeColor="text1"/>
          <w:sz w:val="22"/>
          <w:szCs w:val="22"/>
        </w:rPr>
        <w:t xml:space="preserve">terms used </w:t>
      </w:r>
      <w:r w:rsidR="0067786B">
        <w:rPr>
          <w:rFonts w:ascii="Times New Roman" w:hAnsi="Times New Roman" w:cs="Times New Roman"/>
          <w:color w:val="000000" w:themeColor="text1"/>
          <w:sz w:val="22"/>
          <w:szCs w:val="22"/>
        </w:rPr>
        <w:t xml:space="preserve">throughout </w:t>
      </w:r>
      <w:r w:rsidR="00CA5604" w:rsidRPr="00717436">
        <w:rPr>
          <w:rFonts w:ascii="Times New Roman" w:hAnsi="Times New Roman" w:cs="Times New Roman"/>
          <w:color w:val="000000" w:themeColor="text1"/>
          <w:sz w:val="22"/>
          <w:szCs w:val="22"/>
        </w:rPr>
        <w:t xml:space="preserve">the </w:t>
      </w:r>
      <w:r w:rsidR="000C046F">
        <w:rPr>
          <w:rFonts w:ascii="Times New Roman" w:hAnsi="Times New Roman" w:cs="Times New Roman"/>
          <w:color w:val="000000" w:themeColor="text1"/>
          <w:sz w:val="22"/>
          <w:szCs w:val="22"/>
        </w:rPr>
        <w:t>instrument</w:t>
      </w:r>
      <w:r w:rsidR="00CA5604" w:rsidRPr="00717436">
        <w:rPr>
          <w:rFonts w:ascii="Times New Roman" w:hAnsi="Times New Roman" w:cs="Times New Roman"/>
          <w:color w:val="000000" w:themeColor="text1"/>
          <w:sz w:val="22"/>
          <w:szCs w:val="22"/>
        </w:rPr>
        <w:t>.</w:t>
      </w:r>
      <w:r w:rsidR="0067786B">
        <w:rPr>
          <w:rFonts w:ascii="Times New Roman" w:hAnsi="Times New Roman" w:cs="Times New Roman"/>
          <w:color w:val="000000" w:themeColor="text1"/>
          <w:sz w:val="22"/>
          <w:szCs w:val="22"/>
        </w:rPr>
        <w:t xml:space="preserve"> </w:t>
      </w:r>
      <w:proofErr w:type="gramStart"/>
      <w:r w:rsidR="0067786B">
        <w:rPr>
          <w:rFonts w:ascii="Times New Roman" w:hAnsi="Times New Roman" w:cs="Times New Roman"/>
          <w:color w:val="000000" w:themeColor="text1"/>
          <w:sz w:val="22"/>
          <w:szCs w:val="22"/>
        </w:rPr>
        <w:t>A number of</w:t>
      </w:r>
      <w:proofErr w:type="gramEnd"/>
      <w:r w:rsidR="0067786B">
        <w:rPr>
          <w:rFonts w:ascii="Times New Roman" w:hAnsi="Times New Roman" w:cs="Times New Roman"/>
          <w:color w:val="000000" w:themeColor="text1"/>
          <w:sz w:val="22"/>
          <w:szCs w:val="22"/>
        </w:rPr>
        <w:t xml:space="preserve"> other expressions used in the instrument are defined in the Numbering Charges Act.</w:t>
      </w:r>
    </w:p>
    <w:p w14:paraId="4C5712BE" w14:textId="58F804ED" w:rsidR="004C6D18" w:rsidRPr="00717436" w:rsidRDefault="004C6D18" w:rsidP="00DC6216">
      <w:pPr>
        <w:rPr>
          <w:rFonts w:ascii="Times New Roman" w:hAnsi="Times New Roman" w:cs="Times New Roman"/>
          <w:b/>
          <w:bCs/>
          <w:color w:val="000000" w:themeColor="text1"/>
          <w:sz w:val="22"/>
          <w:szCs w:val="22"/>
        </w:rPr>
      </w:pPr>
      <w:r w:rsidRPr="00717436">
        <w:rPr>
          <w:rFonts w:ascii="Times New Roman" w:hAnsi="Times New Roman" w:cs="Times New Roman"/>
          <w:b/>
          <w:bCs/>
          <w:color w:val="000000" w:themeColor="text1"/>
          <w:sz w:val="22"/>
          <w:szCs w:val="22"/>
        </w:rPr>
        <w:t xml:space="preserve">Section 6 </w:t>
      </w:r>
      <w:r w:rsidR="00BD1830" w:rsidRPr="00717436">
        <w:rPr>
          <w:rFonts w:ascii="Times New Roman" w:hAnsi="Times New Roman" w:cs="Times New Roman"/>
          <w:b/>
          <w:bCs/>
          <w:color w:val="000000" w:themeColor="text1"/>
          <w:sz w:val="22"/>
          <w:szCs w:val="22"/>
        </w:rPr>
        <w:tab/>
      </w:r>
      <w:r w:rsidRPr="00717436">
        <w:rPr>
          <w:rFonts w:ascii="Times New Roman" w:hAnsi="Times New Roman" w:cs="Times New Roman"/>
          <w:b/>
          <w:bCs/>
          <w:color w:val="000000" w:themeColor="text1"/>
          <w:sz w:val="22"/>
          <w:szCs w:val="22"/>
        </w:rPr>
        <w:t xml:space="preserve">References to other instruments </w:t>
      </w:r>
    </w:p>
    <w:p w14:paraId="7AECCBA3" w14:textId="73233524" w:rsidR="00391285" w:rsidRPr="00717436" w:rsidRDefault="00D7703C" w:rsidP="002030D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w:t>
      </w:r>
      <w:r w:rsidR="00BD161F">
        <w:rPr>
          <w:rFonts w:ascii="Times New Roman" w:hAnsi="Times New Roman" w:cs="Times New Roman"/>
          <w:color w:val="000000" w:themeColor="text1"/>
          <w:sz w:val="22"/>
          <w:szCs w:val="22"/>
        </w:rPr>
        <w:t xml:space="preserve">provides that in the instrument, </w:t>
      </w:r>
      <w:r w:rsidR="00277166" w:rsidRPr="00717436">
        <w:rPr>
          <w:rFonts w:ascii="Times New Roman" w:hAnsi="Times New Roman" w:cs="Times New Roman"/>
          <w:color w:val="000000" w:themeColor="text1"/>
          <w:sz w:val="22"/>
          <w:szCs w:val="22"/>
        </w:rPr>
        <w:t>unless the contrary intention appears</w:t>
      </w:r>
      <w:r w:rsidR="00BD161F">
        <w:rPr>
          <w:rFonts w:ascii="Times New Roman" w:hAnsi="Times New Roman" w:cs="Times New Roman"/>
          <w:color w:val="000000" w:themeColor="text1"/>
          <w:sz w:val="22"/>
          <w:szCs w:val="22"/>
        </w:rPr>
        <w:t xml:space="preserve">, </w:t>
      </w:r>
      <w:r w:rsidR="00277166" w:rsidRPr="002030D4">
        <w:rPr>
          <w:rFonts w:ascii="Times New Roman" w:hAnsi="Times New Roman" w:cs="Times New Roman"/>
          <w:color w:val="000000" w:themeColor="text1"/>
          <w:sz w:val="22"/>
          <w:szCs w:val="22"/>
        </w:rPr>
        <w:t xml:space="preserve">a </w:t>
      </w:r>
      <w:r w:rsidR="00BF7C3A" w:rsidRPr="002030D4">
        <w:rPr>
          <w:rFonts w:ascii="Times New Roman" w:hAnsi="Times New Roman" w:cs="Times New Roman"/>
          <w:color w:val="000000" w:themeColor="text1"/>
          <w:sz w:val="22"/>
          <w:szCs w:val="22"/>
        </w:rPr>
        <w:t>reference to any other legislative instrument is a reference to that other legislative instrument as in force from time to time</w:t>
      </w:r>
      <w:r w:rsidR="00623331">
        <w:rPr>
          <w:rFonts w:ascii="Times New Roman" w:hAnsi="Times New Roman" w:cs="Times New Roman"/>
          <w:color w:val="000000" w:themeColor="text1"/>
          <w:sz w:val="22"/>
          <w:szCs w:val="22"/>
        </w:rPr>
        <w:t xml:space="preserve">. A reference </w:t>
      </w:r>
      <w:r w:rsidR="00391285" w:rsidRPr="00717436">
        <w:rPr>
          <w:rFonts w:ascii="Times New Roman" w:hAnsi="Times New Roman" w:cs="Times New Roman"/>
          <w:color w:val="000000" w:themeColor="text1"/>
          <w:sz w:val="22"/>
          <w:szCs w:val="22"/>
        </w:rPr>
        <w:t xml:space="preserve">to any other kind of instrument </w:t>
      </w:r>
      <w:r w:rsidR="00E62A9B">
        <w:rPr>
          <w:rFonts w:ascii="Times New Roman" w:hAnsi="Times New Roman" w:cs="Times New Roman"/>
          <w:color w:val="000000" w:themeColor="text1"/>
          <w:sz w:val="22"/>
          <w:szCs w:val="22"/>
        </w:rPr>
        <w:t xml:space="preserve">or writing </w:t>
      </w:r>
      <w:r w:rsidR="00391285" w:rsidRPr="00717436">
        <w:rPr>
          <w:rFonts w:ascii="Times New Roman" w:hAnsi="Times New Roman" w:cs="Times New Roman"/>
          <w:color w:val="000000" w:themeColor="text1"/>
          <w:sz w:val="22"/>
          <w:szCs w:val="22"/>
        </w:rPr>
        <w:t xml:space="preserve">is a reference to that </w:t>
      </w:r>
      <w:r w:rsidR="00E62A9B">
        <w:rPr>
          <w:rFonts w:ascii="Times New Roman" w:hAnsi="Times New Roman" w:cs="Times New Roman"/>
          <w:color w:val="000000" w:themeColor="text1"/>
          <w:sz w:val="22"/>
          <w:szCs w:val="22"/>
        </w:rPr>
        <w:t xml:space="preserve">other </w:t>
      </w:r>
      <w:r w:rsidR="00391285" w:rsidRPr="00717436">
        <w:rPr>
          <w:rFonts w:ascii="Times New Roman" w:hAnsi="Times New Roman" w:cs="Times New Roman"/>
          <w:color w:val="000000" w:themeColor="text1"/>
          <w:sz w:val="22"/>
          <w:szCs w:val="22"/>
        </w:rPr>
        <w:t xml:space="preserve">instrument </w:t>
      </w:r>
      <w:r w:rsidR="00E62A9B">
        <w:rPr>
          <w:rFonts w:ascii="Times New Roman" w:hAnsi="Times New Roman" w:cs="Times New Roman"/>
          <w:color w:val="000000" w:themeColor="text1"/>
          <w:sz w:val="22"/>
          <w:szCs w:val="22"/>
        </w:rPr>
        <w:t xml:space="preserve">or writing </w:t>
      </w:r>
      <w:r w:rsidR="00391285" w:rsidRPr="00717436">
        <w:rPr>
          <w:rFonts w:ascii="Times New Roman" w:hAnsi="Times New Roman" w:cs="Times New Roman"/>
          <w:color w:val="000000" w:themeColor="text1"/>
          <w:sz w:val="22"/>
          <w:szCs w:val="22"/>
        </w:rPr>
        <w:t>as in force at the commencement of th</w:t>
      </w:r>
      <w:r w:rsidR="00E62A9B">
        <w:rPr>
          <w:rFonts w:ascii="Times New Roman" w:hAnsi="Times New Roman" w:cs="Times New Roman"/>
          <w:color w:val="000000" w:themeColor="text1"/>
          <w:sz w:val="22"/>
          <w:szCs w:val="22"/>
        </w:rPr>
        <w:t>e</w:t>
      </w:r>
      <w:r w:rsidR="00391285" w:rsidRPr="00717436">
        <w:rPr>
          <w:rFonts w:ascii="Times New Roman" w:hAnsi="Times New Roman" w:cs="Times New Roman"/>
          <w:color w:val="000000" w:themeColor="text1"/>
          <w:sz w:val="22"/>
          <w:szCs w:val="22"/>
        </w:rPr>
        <w:t xml:space="preserve"> instrument. </w:t>
      </w:r>
    </w:p>
    <w:p w14:paraId="73DDB72D" w14:textId="68CD1636" w:rsidR="00CA5604" w:rsidRPr="00717436" w:rsidRDefault="00CA5604" w:rsidP="00CA5604">
      <w:pPr>
        <w:rPr>
          <w:rFonts w:ascii="Times New Roman" w:hAnsi="Times New Roman" w:cs="Times New Roman"/>
          <w:b/>
          <w:color w:val="000000" w:themeColor="text1"/>
          <w:sz w:val="22"/>
          <w:szCs w:val="22"/>
        </w:rPr>
      </w:pPr>
      <w:r w:rsidRPr="00717436">
        <w:rPr>
          <w:rFonts w:ascii="Times New Roman" w:hAnsi="Times New Roman" w:cs="Times New Roman"/>
          <w:b/>
          <w:color w:val="000000" w:themeColor="text1"/>
          <w:sz w:val="22"/>
          <w:szCs w:val="22"/>
        </w:rPr>
        <w:t xml:space="preserve">Section </w:t>
      </w:r>
      <w:r w:rsidR="004C6D18" w:rsidRPr="00717436">
        <w:rPr>
          <w:rFonts w:ascii="Times New Roman" w:hAnsi="Times New Roman" w:cs="Times New Roman"/>
          <w:b/>
          <w:color w:val="000000" w:themeColor="text1"/>
          <w:sz w:val="22"/>
          <w:szCs w:val="22"/>
        </w:rPr>
        <w:t>7</w:t>
      </w:r>
      <w:r w:rsidR="00BD1830" w:rsidRPr="00717436">
        <w:rPr>
          <w:rFonts w:ascii="Times New Roman" w:hAnsi="Times New Roman" w:cs="Times New Roman"/>
          <w:b/>
          <w:color w:val="000000" w:themeColor="text1"/>
          <w:sz w:val="22"/>
          <w:szCs w:val="22"/>
        </w:rPr>
        <w:tab/>
      </w:r>
      <w:bookmarkStart w:id="0" w:name="_Toc102789552"/>
      <w:r w:rsidRPr="00717436">
        <w:rPr>
          <w:rFonts w:ascii="Times New Roman" w:hAnsi="Times New Roman" w:cs="Times New Roman"/>
          <w:b/>
          <w:color w:val="000000" w:themeColor="text1"/>
          <w:sz w:val="22"/>
          <w:szCs w:val="22"/>
        </w:rPr>
        <w:t>Amount of charge</w:t>
      </w:r>
      <w:bookmarkEnd w:id="0"/>
    </w:p>
    <w:p w14:paraId="1BC940D2" w14:textId="23DDD45D" w:rsidR="00DC6216" w:rsidRPr="00717436" w:rsidRDefault="006B0401" w:rsidP="00DC621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w:t>
      </w:r>
      <w:r w:rsidR="003574DD">
        <w:rPr>
          <w:rFonts w:ascii="Times New Roman" w:hAnsi="Times New Roman" w:cs="Times New Roman"/>
          <w:color w:val="000000" w:themeColor="text1"/>
          <w:sz w:val="22"/>
          <w:szCs w:val="22"/>
        </w:rPr>
        <w:t>s</w:t>
      </w:r>
      <w:r w:rsidR="00DC6216" w:rsidRPr="00717436">
        <w:rPr>
          <w:rFonts w:ascii="Times New Roman" w:hAnsi="Times New Roman" w:cs="Times New Roman"/>
          <w:color w:val="000000" w:themeColor="text1"/>
          <w:sz w:val="22"/>
          <w:szCs w:val="22"/>
        </w:rPr>
        <w:t xml:space="preserve">ection specifies how the annual charge </w:t>
      </w:r>
      <w:r w:rsidR="003574DD">
        <w:rPr>
          <w:rFonts w:ascii="Times New Roman" w:hAnsi="Times New Roman" w:cs="Times New Roman"/>
          <w:color w:val="000000" w:themeColor="text1"/>
          <w:sz w:val="22"/>
          <w:szCs w:val="22"/>
        </w:rPr>
        <w:t>for a particular number</w:t>
      </w:r>
      <w:r w:rsidR="00BE6791">
        <w:rPr>
          <w:rFonts w:ascii="Times New Roman" w:hAnsi="Times New Roman" w:cs="Times New Roman"/>
          <w:color w:val="000000" w:themeColor="text1"/>
          <w:sz w:val="22"/>
          <w:szCs w:val="22"/>
        </w:rPr>
        <w:t xml:space="preserve"> at a particular time</w:t>
      </w:r>
      <w:r w:rsidR="003574DD">
        <w:rPr>
          <w:rFonts w:ascii="Times New Roman" w:hAnsi="Times New Roman" w:cs="Times New Roman"/>
          <w:color w:val="000000" w:themeColor="text1"/>
          <w:sz w:val="22"/>
          <w:szCs w:val="22"/>
        </w:rPr>
        <w:t xml:space="preserve"> </w:t>
      </w:r>
      <w:r w:rsidR="00DC6216" w:rsidRPr="00717436">
        <w:rPr>
          <w:rFonts w:ascii="Times New Roman" w:hAnsi="Times New Roman" w:cs="Times New Roman"/>
          <w:color w:val="000000" w:themeColor="text1"/>
          <w:sz w:val="22"/>
          <w:szCs w:val="22"/>
        </w:rPr>
        <w:t>is calculated</w:t>
      </w:r>
      <w:r w:rsidR="00882F22" w:rsidRPr="00717436">
        <w:rPr>
          <w:rFonts w:ascii="Times New Roman" w:hAnsi="Times New Roman" w:cs="Times New Roman"/>
          <w:color w:val="000000" w:themeColor="text1"/>
          <w:sz w:val="22"/>
          <w:szCs w:val="22"/>
        </w:rPr>
        <w:t>.</w:t>
      </w:r>
      <w:r w:rsidR="00BE6791">
        <w:rPr>
          <w:rFonts w:ascii="Times New Roman" w:hAnsi="Times New Roman" w:cs="Times New Roman"/>
          <w:color w:val="000000" w:themeColor="text1"/>
          <w:sz w:val="22"/>
          <w:szCs w:val="22"/>
        </w:rPr>
        <w:t xml:space="preserve"> Relevantly, the formula sets out a methodology to ascertain the </w:t>
      </w:r>
      <w:r w:rsidR="000D7EAD">
        <w:rPr>
          <w:rFonts w:ascii="Times New Roman" w:hAnsi="Times New Roman" w:cs="Times New Roman"/>
          <w:color w:val="000000" w:themeColor="text1"/>
          <w:sz w:val="22"/>
          <w:szCs w:val="22"/>
        </w:rPr>
        <w:t xml:space="preserve">charge which is applicable at the census date in April of each year, set under </w:t>
      </w:r>
      <w:r w:rsidR="00E32E0F">
        <w:rPr>
          <w:rFonts w:ascii="Times New Roman" w:hAnsi="Times New Roman" w:cs="Times New Roman"/>
          <w:color w:val="000000" w:themeColor="text1"/>
          <w:sz w:val="22"/>
          <w:szCs w:val="22"/>
        </w:rPr>
        <w:t>subsection 18(2) of the Numbering Charges Act. The formula is designed with the aim of collecting a revenue target of $60 million and ensures that (i</w:t>
      </w:r>
      <w:r w:rsidR="00BB6398">
        <w:rPr>
          <w:rFonts w:ascii="Times New Roman" w:hAnsi="Times New Roman" w:cs="Times New Roman"/>
          <w:color w:val="000000" w:themeColor="text1"/>
          <w:sz w:val="22"/>
          <w:szCs w:val="22"/>
        </w:rPr>
        <w:t xml:space="preserve">n accordance with section 21 of the Numbering Charges Act), the maximum charge for </w:t>
      </w:r>
      <w:proofErr w:type="gramStart"/>
      <w:r w:rsidR="00BB6398">
        <w:rPr>
          <w:rFonts w:ascii="Times New Roman" w:hAnsi="Times New Roman" w:cs="Times New Roman"/>
          <w:color w:val="000000" w:themeColor="text1"/>
          <w:sz w:val="22"/>
          <w:szCs w:val="22"/>
        </w:rPr>
        <w:t>a number of</w:t>
      </w:r>
      <w:proofErr w:type="gramEnd"/>
      <w:r w:rsidR="00BB6398">
        <w:rPr>
          <w:rFonts w:ascii="Times New Roman" w:hAnsi="Times New Roman" w:cs="Times New Roman"/>
          <w:color w:val="000000" w:themeColor="text1"/>
          <w:sz w:val="22"/>
          <w:szCs w:val="22"/>
        </w:rPr>
        <w:t xml:space="preserve"> $100,000 is not exceeded.</w:t>
      </w:r>
    </w:p>
    <w:p w14:paraId="12C87B5A" w14:textId="0B42F218" w:rsidR="00CA5604" w:rsidRPr="00717436" w:rsidRDefault="00CA5604" w:rsidP="00CA5604">
      <w:pPr>
        <w:rPr>
          <w:rFonts w:ascii="Times New Roman" w:hAnsi="Times New Roman" w:cs="Times New Roman"/>
          <w:b/>
          <w:color w:val="000000" w:themeColor="text1"/>
          <w:sz w:val="22"/>
          <w:szCs w:val="22"/>
        </w:rPr>
      </w:pPr>
      <w:bookmarkStart w:id="1" w:name="_Toc102789554"/>
      <w:r w:rsidRPr="00717436">
        <w:rPr>
          <w:rFonts w:ascii="Times New Roman" w:hAnsi="Times New Roman" w:cs="Times New Roman"/>
          <w:b/>
          <w:color w:val="000000" w:themeColor="text1"/>
          <w:sz w:val="22"/>
          <w:szCs w:val="22"/>
        </w:rPr>
        <w:t xml:space="preserve">Section </w:t>
      </w:r>
      <w:r w:rsidR="00737F79" w:rsidRPr="00717436">
        <w:rPr>
          <w:rFonts w:ascii="Times New Roman" w:hAnsi="Times New Roman" w:cs="Times New Roman"/>
          <w:b/>
          <w:color w:val="000000" w:themeColor="text1"/>
          <w:sz w:val="22"/>
          <w:szCs w:val="22"/>
        </w:rPr>
        <w:t>8</w:t>
      </w:r>
      <w:r w:rsidR="00BD1830" w:rsidRPr="00717436">
        <w:rPr>
          <w:rFonts w:ascii="Times New Roman" w:hAnsi="Times New Roman" w:cs="Times New Roman"/>
          <w:b/>
          <w:color w:val="000000" w:themeColor="text1"/>
          <w:sz w:val="22"/>
          <w:szCs w:val="22"/>
        </w:rPr>
        <w:tab/>
      </w:r>
      <w:bookmarkEnd w:id="1"/>
      <w:r w:rsidRPr="00717436">
        <w:rPr>
          <w:rFonts w:ascii="Times New Roman" w:hAnsi="Times New Roman" w:cs="Times New Roman"/>
          <w:b/>
          <w:color w:val="000000" w:themeColor="text1"/>
          <w:sz w:val="22"/>
          <w:szCs w:val="22"/>
        </w:rPr>
        <w:t>Numbers exempt from charge</w:t>
      </w:r>
    </w:p>
    <w:p w14:paraId="3030F4FA" w14:textId="444F7C11" w:rsidR="00C05A05" w:rsidRPr="00717436" w:rsidRDefault="000E108A" w:rsidP="00C05A05">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w:t>
      </w:r>
      <w:r w:rsidR="00CA5604" w:rsidRPr="00717436">
        <w:rPr>
          <w:rFonts w:ascii="Times New Roman" w:hAnsi="Times New Roman" w:cs="Times New Roman"/>
          <w:color w:val="000000" w:themeColor="text1"/>
          <w:sz w:val="22"/>
          <w:szCs w:val="22"/>
        </w:rPr>
        <w:t xml:space="preserve">specifies the numbers </w:t>
      </w:r>
      <w:r w:rsidR="001F69D7">
        <w:rPr>
          <w:rFonts w:ascii="Times New Roman" w:hAnsi="Times New Roman" w:cs="Times New Roman"/>
          <w:color w:val="000000" w:themeColor="text1"/>
          <w:sz w:val="22"/>
          <w:szCs w:val="22"/>
        </w:rPr>
        <w:t xml:space="preserve">which are </w:t>
      </w:r>
      <w:r w:rsidR="00CA5604" w:rsidRPr="00717436">
        <w:rPr>
          <w:rFonts w:ascii="Times New Roman" w:hAnsi="Times New Roman" w:cs="Times New Roman"/>
          <w:color w:val="000000" w:themeColor="text1"/>
          <w:sz w:val="22"/>
          <w:szCs w:val="22"/>
        </w:rPr>
        <w:t>exempt from the annual charge</w:t>
      </w:r>
      <w:r w:rsidR="00F83555">
        <w:rPr>
          <w:rFonts w:ascii="Times New Roman" w:hAnsi="Times New Roman" w:cs="Times New Roman"/>
          <w:color w:val="000000" w:themeColor="text1"/>
          <w:sz w:val="22"/>
          <w:szCs w:val="22"/>
        </w:rPr>
        <w:t>. Subsection 8(2)</w:t>
      </w:r>
      <w:r w:rsidR="00B949B2">
        <w:rPr>
          <w:rFonts w:ascii="Times New Roman" w:hAnsi="Times New Roman" w:cs="Times New Roman"/>
          <w:color w:val="000000" w:themeColor="text1"/>
          <w:sz w:val="22"/>
          <w:szCs w:val="22"/>
        </w:rPr>
        <w:t xml:space="preserve"> provides for delayed implementation of annual charges for numbers which </w:t>
      </w:r>
      <w:r w:rsidR="00A54266">
        <w:rPr>
          <w:rFonts w:ascii="Times New Roman" w:hAnsi="Times New Roman" w:cs="Times New Roman"/>
          <w:color w:val="000000" w:themeColor="text1"/>
          <w:sz w:val="22"/>
          <w:szCs w:val="22"/>
        </w:rPr>
        <w:t xml:space="preserve">are specified for use in connection with an IoT service. IoT services are </w:t>
      </w:r>
      <w:r w:rsidR="00F915BA">
        <w:rPr>
          <w:rFonts w:ascii="Times New Roman" w:hAnsi="Times New Roman" w:cs="Times New Roman"/>
          <w:color w:val="000000" w:themeColor="text1"/>
          <w:sz w:val="22"/>
          <w:szCs w:val="22"/>
        </w:rPr>
        <w:t>new to the Numbering Plan in 2025. A</w:t>
      </w:r>
      <w:r w:rsidR="00C92CB1">
        <w:rPr>
          <w:rFonts w:ascii="Times New Roman" w:hAnsi="Times New Roman" w:cs="Times New Roman"/>
          <w:color w:val="000000" w:themeColor="text1"/>
          <w:sz w:val="22"/>
          <w:szCs w:val="22"/>
        </w:rPr>
        <w:t>s the ANC will be calculated very shortly after the introduction of these numbers</w:t>
      </w:r>
      <w:r w:rsidR="00CA3E6F">
        <w:rPr>
          <w:rFonts w:ascii="Times New Roman" w:hAnsi="Times New Roman" w:cs="Times New Roman"/>
          <w:color w:val="000000" w:themeColor="text1"/>
          <w:sz w:val="22"/>
          <w:szCs w:val="22"/>
        </w:rPr>
        <w:t xml:space="preserve">, </w:t>
      </w:r>
      <w:r w:rsidR="005155F3">
        <w:rPr>
          <w:rFonts w:ascii="Times New Roman" w:hAnsi="Times New Roman" w:cs="Times New Roman"/>
          <w:color w:val="000000" w:themeColor="text1"/>
          <w:sz w:val="22"/>
          <w:szCs w:val="22"/>
        </w:rPr>
        <w:t>a transition period was in</w:t>
      </w:r>
      <w:r w:rsidR="00952978">
        <w:rPr>
          <w:rFonts w:ascii="Times New Roman" w:hAnsi="Times New Roman" w:cs="Times New Roman"/>
          <w:color w:val="000000" w:themeColor="text1"/>
          <w:sz w:val="22"/>
          <w:szCs w:val="22"/>
        </w:rPr>
        <w:t>cluded</w:t>
      </w:r>
      <w:r w:rsidR="00B65F9A">
        <w:rPr>
          <w:rFonts w:ascii="Times New Roman" w:hAnsi="Times New Roman" w:cs="Times New Roman"/>
          <w:color w:val="000000" w:themeColor="text1"/>
          <w:sz w:val="22"/>
          <w:szCs w:val="22"/>
        </w:rPr>
        <w:t xml:space="preserve"> to allow </w:t>
      </w:r>
      <w:r w:rsidR="008D6537">
        <w:rPr>
          <w:rFonts w:ascii="Times New Roman" w:hAnsi="Times New Roman" w:cs="Times New Roman"/>
          <w:color w:val="000000" w:themeColor="text1"/>
          <w:sz w:val="22"/>
          <w:szCs w:val="22"/>
        </w:rPr>
        <w:t>carriage service providers</w:t>
      </w:r>
      <w:r w:rsidR="00B65F9A">
        <w:rPr>
          <w:rFonts w:ascii="Times New Roman" w:hAnsi="Times New Roman" w:cs="Times New Roman"/>
          <w:color w:val="000000" w:themeColor="text1"/>
          <w:sz w:val="22"/>
          <w:szCs w:val="22"/>
        </w:rPr>
        <w:t xml:space="preserve"> to </w:t>
      </w:r>
      <w:r w:rsidR="00EC6498">
        <w:rPr>
          <w:rFonts w:ascii="Times New Roman" w:hAnsi="Times New Roman" w:cs="Times New Roman"/>
          <w:color w:val="000000" w:themeColor="text1"/>
          <w:sz w:val="22"/>
          <w:szCs w:val="22"/>
        </w:rPr>
        <w:t xml:space="preserve">prepare for the collection of </w:t>
      </w:r>
      <w:r w:rsidR="0084426E">
        <w:rPr>
          <w:rFonts w:ascii="Times New Roman" w:hAnsi="Times New Roman" w:cs="Times New Roman"/>
          <w:color w:val="000000" w:themeColor="text1"/>
          <w:sz w:val="22"/>
          <w:szCs w:val="22"/>
        </w:rPr>
        <w:t xml:space="preserve">an </w:t>
      </w:r>
      <w:r w:rsidR="00EC6498">
        <w:rPr>
          <w:rFonts w:ascii="Times New Roman" w:hAnsi="Times New Roman" w:cs="Times New Roman"/>
          <w:color w:val="000000" w:themeColor="text1"/>
          <w:sz w:val="22"/>
          <w:szCs w:val="22"/>
        </w:rPr>
        <w:t>ANC on these numbers. T</w:t>
      </w:r>
      <w:r w:rsidR="00CA3E6F">
        <w:rPr>
          <w:rFonts w:ascii="Times New Roman" w:hAnsi="Times New Roman" w:cs="Times New Roman"/>
          <w:color w:val="000000" w:themeColor="text1"/>
          <w:sz w:val="22"/>
          <w:szCs w:val="22"/>
        </w:rPr>
        <w:t xml:space="preserve">he </w:t>
      </w:r>
      <w:r w:rsidR="0084426E">
        <w:rPr>
          <w:rFonts w:ascii="Times New Roman" w:hAnsi="Times New Roman" w:cs="Times New Roman"/>
          <w:color w:val="000000" w:themeColor="text1"/>
          <w:sz w:val="22"/>
          <w:szCs w:val="22"/>
        </w:rPr>
        <w:t>ANC</w:t>
      </w:r>
      <w:r w:rsidR="00F915BA">
        <w:rPr>
          <w:rFonts w:ascii="Times New Roman" w:hAnsi="Times New Roman" w:cs="Times New Roman"/>
          <w:color w:val="000000" w:themeColor="text1"/>
          <w:sz w:val="22"/>
          <w:szCs w:val="22"/>
        </w:rPr>
        <w:t xml:space="preserve"> </w:t>
      </w:r>
      <w:r w:rsidR="00F83555">
        <w:rPr>
          <w:rFonts w:ascii="Times New Roman" w:hAnsi="Times New Roman" w:cs="Times New Roman"/>
          <w:color w:val="000000" w:themeColor="text1"/>
          <w:sz w:val="22"/>
          <w:szCs w:val="22"/>
        </w:rPr>
        <w:t xml:space="preserve">for these numbers </w:t>
      </w:r>
      <w:r w:rsidR="00F915BA">
        <w:rPr>
          <w:rFonts w:ascii="Times New Roman" w:hAnsi="Times New Roman" w:cs="Times New Roman"/>
          <w:color w:val="000000" w:themeColor="text1"/>
          <w:sz w:val="22"/>
          <w:szCs w:val="22"/>
        </w:rPr>
        <w:t xml:space="preserve">will </w:t>
      </w:r>
      <w:r w:rsidR="00F83555">
        <w:rPr>
          <w:rFonts w:ascii="Times New Roman" w:hAnsi="Times New Roman" w:cs="Times New Roman"/>
          <w:color w:val="000000" w:themeColor="text1"/>
          <w:sz w:val="22"/>
          <w:szCs w:val="22"/>
        </w:rPr>
        <w:t>apply from 2026.</w:t>
      </w:r>
    </w:p>
    <w:sectPr w:rsidR="00C05A05" w:rsidRPr="00717436" w:rsidSect="00BA369D">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ED63" w14:textId="77777777" w:rsidR="00DC5504" w:rsidRDefault="00DC5504" w:rsidP="0023578E">
      <w:pPr>
        <w:spacing w:after="0" w:line="240" w:lineRule="auto"/>
      </w:pPr>
      <w:r>
        <w:separator/>
      </w:r>
    </w:p>
  </w:endnote>
  <w:endnote w:type="continuationSeparator" w:id="0">
    <w:p w14:paraId="70F4EEF0" w14:textId="77777777" w:rsidR="00DC5504" w:rsidRDefault="00DC5504" w:rsidP="0023578E">
      <w:pPr>
        <w:spacing w:after="0" w:line="240" w:lineRule="auto"/>
      </w:pPr>
      <w:r>
        <w:continuationSeparator/>
      </w:r>
    </w:p>
  </w:endnote>
  <w:endnote w:type="continuationNotice" w:id="1">
    <w:p w14:paraId="542D42C0" w14:textId="77777777" w:rsidR="00DC5504" w:rsidRDefault="00DC5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8E5B" w14:textId="77777777" w:rsidR="001A6EA6" w:rsidRDefault="001A6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84D4" w14:textId="6C25D1E0" w:rsidR="008E1FCF" w:rsidRDefault="00BD2A9F" w:rsidP="001A6EA6">
    <w:pPr>
      <w:pStyle w:val="Footer"/>
      <w:pBdr>
        <w:top w:val="single" w:sz="4" w:space="1" w:color="auto"/>
      </w:pBdr>
      <w:jc w:val="center"/>
      <w:rPr>
        <w:rFonts w:ascii="Times New Roman" w:hAnsi="Times New Roman" w:cs="Times New Roman"/>
        <w:i/>
        <w:sz w:val="20"/>
        <w:szCs w:val="20"/>
      </w:rPr>
    </w:pPr>
    <w:r w:rsidRPr="00EA567C">
      <w:rPr>
        <w:rFonts w:ascii="Times New Roman" w:hAnsi="Times New Roman" w:cs="Times New Roman"/>
        <w:i/>
        <w:sz w:val="20"/>
        <w:szCs w:val="20"/>
      </w:rPr>
      <w:t>Explanatory Statement to the</w:t>
    </w:r>
    <w:r>
      <w:rPr>
        <w:rFonts w:ascii="Times New Roman" w:hAnsi="Times New Roman" w:cs="Times New Roman"/>
        <w:i/>
        <w:sz w:val="20"/>
        <w:szCs w:val="20"/>
      </w:rPr>
      <w:t xml:space="preserve"> </w:t>
    </w:r>
    <w:r w:rsidR="001A6EA6" w:rsidRPr="001A6EA6">
      <w:rPr>
        <w:rFonts w:ascii="Times New Roman" w:hAnsi="Times New Roman" w:cs="Times New Roman"/>
        <w:i/>
        <w:sz w:val="20"/>
        <w:szCs w:val="20"/>
      </w:rPr>
      <w:t>Telecommunications (Annual Charge) Determination 2025</w:t>
    </w:r>
  </w:p>
  <w:p w14:paraId="717F806D" w14:textId="4CA4006F" w:rsidR="001A6EA6" w:rsidRPr="001A6EA6" w:rsidRDefault="001A6EA6" w:rsidP="001A6EA6">
    <w:pPr>
      <w:pStyle w:val="Footer"/>
      <w:pBdr>
        <w:top w:val="single" w:sz="4" w:space="1" w:color="auto"/>
      </w:pBdr>
      <w:jc w:val="right"/>
      <w:rPr>
        <w:iCs/>
      </w:rPr>
    </w:pPr>
    <w:r w:rsidRPr="001A6EA6">
      <w:rPr>
        <w:iCs/>
      </w:rPr>
      <w:fldChar w:fldCharType="begin"/>
    </w:r>
    <w:r w:rsidRPr="001A6EA6">
      <w:rPr>
        <w:iCs/>
      </w:rPr>
      <w:instrText xml:space="preserve"> PAGE   \* MERGEFORMAT </w:instrText>
    </w:r>
    <w:r w:rsidRPr="001A6EA6">
      <w:rPr>
        <w:iCs/>
      </w:rPr>
      <w:fldChar w:fldCharType="separate"/>
    </w:r>
    <w:r w:rsidRPr="001A6EA6">
      <w:rPr>
        <w:iCs/>
        <w:noProof/>
      </w:rPr>
      <w:t>1</w:t>
    </w:r>
    <w:r w:rsidRPr="001A6EA6">
      <w:rPr>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C0D5" w14:textId="6F007CA9" w:rsidR="00BA369D" w:rsidRDefault="00BA369D" w:rsidP="00262DFC">
    <w:pPr>
      <w:pStyle w:val="Footer"/>
    </w:pPr>
  </w:p>
  <w:p w14:paraId="16657F74" w14:textId="77777777" w:rsidR="00D1291B" w:rsidRDefault="00D1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0D08" w14:textId="77777777" w:rsidR="00DC5504" w:rsidRDefault="00DC5504" w:rsidP="0023578E">
      <w:pPr>
        <w:spacing w:after="0" w:line="240" w:lineRule="auto"/>
      </w:pPr>
      <w:r>
        <w:separator/>
      </w:r>
    </w:p>
  </w:footnote>
  <w:footnote w:type="continuationSeparator" w:id="0">
    <w:p w14:paraId="67F9BDA9" w14:textId="77777777" w:rsidR="00DC5504" w:rsidRDefault="00DC5504" w:rsidP="0023578E">
      <w:pPr>
        <w:spacing w:after="0" w:line="240" w:lineRule="auto"/>
      </w:pPr>
      <w:r>
        <w:continuationSeparator/>
      </w:r>
    </w:p>
  </w:footnote>
  <w:footnote w:type="continuationNotice" w:id="1">
    <w:p w14:paraId="2B2EF73A" w14:textId="77777777" w:rsidR="00DC5504" w:rsidRDefault="00DC5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646" w14:textId="77777777" w:rsidR="001A6EA6" w:rsidRDefault="001A6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3B2E" w14:textId="77777777" w:rsidR="001A6EA6" w:rsidRDefault="001A6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FFA9" w14:textId="77777777" w:rsidR="001A6EA6" w:rsidRDefault="001A6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986"/>
    <w:multiLevelType w:val="hybridMultilevel"/>
    <w:tmpl w:val="01DA4284"/>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4536F0C"/>
    <w:multiLevelType w:val="hybridMultilevel"/>
    <w:tmpl w:val="C1A6A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627739"/>
    <w:multiLevelType w:val="hybridMultilevel"/>
    <w:tmpl w:val="306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04CB7"/>
    <w:multiLevelType w:val="hybridMultilevel"/>
    <w:tmpl w:val="96908BCA"/>
    <w:lvl w:ilvl="0" w:tplc="22569604">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 w15:restartNumberingAfterBreak="0">
    <w:nsid w:val="2EF517E8"/>
    <w:multiLevelType w:val="hybridMultilevel"/>
    <w:tmpl w:val="F042ACD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06D07A7"/>
    <w:multiLevelType w:val="hybridMultilevel"/>
    <w:tmpl w:val="A5F2B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26F54"/>
    <w:multiLevelType w:val="hybridMultilevel"/>
    <w:tmpl w:val="E8466210"/>
    <w:lvl w:ilvl="0" w:tplc="C3AE62E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63656C0"/>
    <w:multiLevelType w:val="hybridMultilevel"/>
    <w:tmpl w:val="08CE2000"/>
    <w:lvl w:ilvl="0" w:tplc="C68EB0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9F3809"/>
    <w:multiLevelType w:val="hybridMultilevel"/>
    <w:tmpl w:val="C066828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4CBA391F"/>
    <w:multiLevelType w:val="hybridMultilevel"/>
    <w:tmpl w:val="256C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23C0C"/>
    <w:multiLevelType w:val="hybridMultilevel"/>
    <w:tmpl w:val="D2386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F5D5D80"/>
    <w:multiLevelType w:val="hybridMultilevel"/>
    <w:tmpl w:val="8BDC17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55257C9"/>
    <w:multiLevelType w:val="hybridMultilevel"/>
    <w:tmpl w:val="C6F8B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A5438B"/>
    <w:multiLevelType w:val="hybridMultilevel"/>
    <w:tmpl w:val="4980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FB2083"/>
    <w:multiLevelType w:val="hybridMultilevel"/>
    <w:tmpl w:val="253860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3327237">
    <w:abstractNumId w:val="14"/>
  </w:num>
  <w:num w:numId="2" w16cid:durableId="31081162">
    <w:abstractNumId w:val="6"/>
  </w:num>
  <w:num w:numId="3" w16cid:durableId="275914177">
    <w:abstractNumId w:val="12"/>
  </w:num>
  <w:num w:numId="4" w16cid:durableId="823744993">
    <w:abstractNumId w:val="8"/>
  </w:num>
  <w:num w:numId="5" w16cid:durableId="184052406">
    <w:abstractNumId w:val="5"/>
  </w:num>
  <w:num w:numId="6" w16cid:durableId="1845513238">
    <w:abstractNumId w:val="7"/>
  </w:num>
  <w:num w:numId="7" w16cid:durableId="391004434">
    <w:abstractNumId w:val="3"/>
  </w:num>
  <w:num w:numId="8" w16cid:durableId="1705784436">
    <w:abstractNumId w:val="1"/>
  </w:num>
  <w:num w:numId="9" w16cid:durableId="290092381">
    <w:abstractNumId w:val="9"/>
  </w:num>
  <w:num w:numId="10" w16cid:durableId="1803384500">
    <w:abstractNumId w:val="2"/>
  </w:num>
  <w:num w:numId="11" w16cid:durableId="94327889">
    <w:abstractNumId w:val="0"/>
  </w:num>
  <w:num w:numId="12" w16cid:durableId="842822284">
    <w:abstractNumId w:val="13"/>
  </w:num>
  <w:num w:numId="13" w16cid:durableId="1621572229">
    <w:abstractNumId w:val="11"/>
  </w:num>
  <w:num w:numId="14" w16cid:durableId="1560050125">
    <w:abstractNumId w:val="4"/>
  </w:num>
  <w:num w:numId="15" w16cid:durableId="1887057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31"/>
    <w:rsid w:val="00004130"/>
    <w:rsid w:val="000127C4"/>
    <w:rsid w:val="00015589"/>
    <w:rsid w:val="00023679"/>
    <w:rsid w:val="00026FAD"/>
    <w:rsid w:val="00031671"/>
    <w:rsid w:val="00031C2E"/>
    <w:rsid w:val="00041D2A"/>
    <w:rsid w:val="00041EE8"/>
    <w:rsid w:val="00047DB5"/>
    <w:rsid w:val="00050093"/>
    <w:rsid w:val="000520B6"/>
    <w:rsid w:val="00053ADB"/>
    <w:rsid w:val="0005501D"/>
    <w:rsid w:val="00056073"/>
    <w:rsid w:val="00056ACD"/>
    <w:rsid w:val="000579BA"/>
    <w:rsid w:val="00057A50"/>
    <w:rsid w:val="00061B9B"/>
    <w:rsid w:val="00066AC5"/>
    <w:rsid w:val="00066B92"/>
    <w:rsid w:val="00072FBD"/>
    <w:rsid w:val="00091636"/>
    <w:rsid w:val="000954B6"/>
    <w:rsid w:val="000A2480"/>
    <w:rsid w:val="000A3D97"/>
    <w:rsid w:val="000B2B5F"/>
    <w:rsid w:val="000B6E81"/>
    <w:rsid w:val="000C0029"/>
    <w:rsid w:val="000C046F"/>
    <w:rsid w:val="000C0BB5"/>
    <w:rsid w:val="000C4BD9"/>
    <w:rsid w:val="000D05F3"/>
    <w:rsid w:val="000D1970"/>
    <w:rsid w:val="000D2740"/>
    <w:rsid w:val="000D27AB"/>
    <w:rsid w:val="000D3498"/>
    <w:rsid w:val="000D6A1A"/>
    <w:rsid w:val="000D7EAD"/>
    <w:rsid w:val="000E0665"/>
    <w:rsid w:val="000E108A"/>
    <w:rsid w:val="000E1A15"/>
    <w:rsid w:val="000E5075"/>
    <w:rsid w:val="000F2325"/>
    <w:rsid w:val="000F353F"/>
    <w:rsid w:val="000F6279"/>
    <w:rsid w:val="000F68E5"/>
    <w:rsid w:val="0010133E"/>
    <w:rsid w:val="00106229"/>
    <w:rsid w:val="001062D6"/>
    <w:rsid w:val="00110A0F"/>
    <w:rsid w:val="00111331"/>
    <w:rsid w:val="0011164F"/>
    <w:rsid w:val="001138F2"/>
    <w:rsid w:val="00116515"/>
    <w:rsid w:val="00120ECA"/>
    <w:rsid w:val="00120FBF"/>
    <w:rsid w:val="001275D7"/>
    <w:rsid w:val="00130B50"/>
    <w:rsid w:val="00131956"/>
    <w:rsid w:val="00131FF6"/>
    <w:rsid w:val="00132226"/>
    <w:rsid w:val="00140904"/>
    <w:rsid w:val="001433DE"/>
    <w:rsid w:val="001538D4"/>
    <w:rsid w:val="001559F8"/>
    <w:rsid w:val="00172D46"/>
    <w:rsid w:val="00174A71"/>
    <w:rsid w:val="0018021B"/>
    <w:rsid w:val="0018333A"/>
    <w:rsid w:val="00183555"/>
    <w:rsid w:val="00185FF8"/>
    <w:rsid w:val="001A0645"/>
    <w:rsid w:val="001A2C8F"/>
    <w:rsid w:val="001A6EA6"/>
    <w:rsid w:val="001B1F09"/>
    <w:rsid w:val="001B3D4C"/>
    <w:rsid w:val="001B42B2"/>
    <w:rsid w:val="001B6154"/>
    <w:rsid w:val="001D5F4A"/>
    <w:rsid w:val="001D7954"/>
    <w:rsid w:val="001E2F33"/>
    <w:rsid w:val="001E3822"/>
    <w:rsid w:val="001E4422"/>
    <w:rsid w:val="001F05ED"/>
    <w:rsid w:val="001F4D30"/>
    <w:rsid w:val="001F59A5"/>
    <w:rsid w:val="001F69D7"/>
    <w:rsid w:val="001F79E9"/>
    <w:rsid w:val="00201E53"/>
    <w:rsid w:val="002030D4"/>
    <w:rsid w:val="002031A5"/>
    <w:rsid w:val="00204F84"/>
    <w:rsid w:val="00207D50"/>
    <w:rsid w:val="00211EA9"/>
    <w:rsid w:val="0022096D"/>
    <w:rsid w:val="00222FEF"/>
    <w:rsid w:val="0022688F"/>
    <w:rsid w:val="002269C7"/>
    <w:rsid w:val="00232708"/>
    <w:rsid w:val="0023578E"/>
    <w:rsid w:val="00237DC9"/>
    <w:rsid w:val="00242CDB"/>
    <w:rsid w:val="00243F0E"/>
    <w:rsid w:val="0024498E"/>
    <w:rsid w:val="00251AEE"/>
    <w:rsid w:val="002625A0"/>
    <w:rsid w:val="00262DFC"/>
    <w:rsid w:val="002637DA"/>
    <w:rsid w:val="00265877"/>
    <w:rsid w:val="00271259"/>
    <w:rsid w:val="00277166"/>
    <w:rsid w:val="00277F29"/>
    <w:rsid w:val="00282B01"/>
    <w:rsid w:val="00287CAA"/>
    <w:rsid w:val="002A3244"/>
    <w:rsid w:val="002A3D93"/>
    <w:rsid w:val="002A422F"/>
    <w:rsid w:val="002B168E"/>
    <w:rsid w:val="002B2DD0"/>
    <w:rsid w:val="002B3205"/>
    <w:rsid w:val="002C032A"/>
    <w:rsid w:val="002D1319"/>
    <w:rsid w:val="002D1716"/>
    <w:rsid w:val="002D24B7"/>
    <w:rsid w:val="002D6C1E"/>
    <w:rsid w:val="002E1143"/>
    <w:rsid w:val="002E425C"/>
    <w:rsid w:val="002F0FDB"/>
    <w:rsid w:val="002F4DF4"/>
    <w:rsid w:val="0030211D"/>
    <w:rsid w:val="0030386A"/>
    <w:rsid w:val="00310091"/>
    <w:rsid w:val="00311DC2"/>
    <w:rsid w:val="00312850"/>
    <w:rsid w:val="00314B65"/>
    <w:rsid w:val="003174E4"/>
    <w:rsid w:val="00335241"/>
    <w:rsid w:val="00336650"/>
    <w:rsid w:val="003376E8"/>
    <w:rsid w:val="003377A3"/>
    <w:rsid w:val="00344E45"/>
    <w:rsid w:val="0035390F"/>
    <w:rsid w:val="00355FAB"/>
    <w:rsid w:val="0035741F"/>
    <w:rsid w:val="003574DD"/>
    <w:rsid w:val="0035794D"/>
    <w:rsid w:val="00360276"/>
    <w:rsid w:val="003636F3"/>
    <w:rsid w:val="00363CFC"/>
    <w:rsid w:val="00371DE1"/>
    <w:rsid w:val="003735A1"/>
    <w:rsid w:val="003744A2"/>
    <w:rsid w:val="00382325"/>
    <w:rsid w:val="00386005"/>
    <w:rsid w:val="00387CB7"/>
    <w:rsid w:val="00391285"/>
    <w:rsid w:val="00391A0A"/>
    <w:rsid w:val="00391E83"/>
    <w:rsid w:val="00395998"/>
    <w:rsid w:val="00397DD6"/>
    <w:rsid w:val="003A1714"/>
    <w:rsid w:val="003A1F7A"/>
    <w:rsid w:val="003A667F"/>
    <w:rsid w:val="003B03C8"/>
    <w:rsid w:val="003B0BA3"/>
    <w:rsid w:val="003B0FED"/>
    <w:rsid w:val="003B249A"/>
    <w:rsid w:val="003B2505"/>
    <w:rsid w:val="003B5AD2"/>
    <w:rsid w:val="003B6076"/>
    <w:rsid w:val="003C2AB1"/>
    <w:rsid w:val="003C68EB"/>
    <w:rsid w:val="003D0B39"/>
    <w:rsid w:val="003E2021"/>
    <w:rsid w:val="003E4FC7"/>
    <w:rsid w:val="003E5536"/>
    <w:rsid w:val="003F6FFB"/>
    <w:rsid w:val="004019D7"/>
    <w:rsid w:val="004054A9"/>
    <w:rsid w:val="0041754A"/>
    <w:rsid w:val="0042021D"/>
    <w:rsid w:val="004220AC"/>
    <w:rsid w:val="00425229"/>
    <w:rsid w:val="00433C6D"/>
    <w:rsid w:val="00434CD5"/>
    <w:rsid w:val="00442216"/>
    <w:rsid w:val="00445951"/>
    <w:rsid w:val="00446B64"/>
    <w:rsid w:val="00454569"/>
    <w:rsid w:val="00463116"/>
    <w:rsid w:val="00473BB3"/>
    <w:rsid w:val="00474EC7"/>
    <w:rsid w:val="00483841"/>
    <w:rsid w:val="00484AAB"/>
    <w:rsid w:val="004961C0"/>
    <w:rsid w:val="004A20D0"/>
    <w:rsid w:val="004A6501"/>
    <w:rsid w:val="004B125C"/>
    <w:rsid w:val="004B2DA7"/>
    <w:rsid w:val="004B78B3"/>
    <w:rsid w:val="004C48A1"/>
    <w:rsid w:val="004C64D6"/>
    <w:rsid w:val="004C6D18"/>
    <w:rsid w:val="004C6E46"/>
    <w:rsid w:val="004D1030"/>
    <w:rsid w:val="004D16B6"/>
    <w:rsid w:val="004E743A"/>
    <w:rsid w:val="004F2210"/>
    <w:rsid w:val="004F7254"/>
    <w:rsid w:val="0050189A"/>
    <w:rsid w:val="00504E58"/>
    <w:rsid w:val="005061C9"/>
    <w:rsid w:val="0051107A"/>
    <w:rsid w:val="005128D2"/>
    <w:rsid w:val="005155F3"/>
    <w:rsid w:val="00531E3D"/>
    <w:rsid w:val="00542029"/>
    <w:rsid w:val="0055026D"/>
    <w:rsid w:val="005515AB"/>
    <w:rsid w:val="00552D62"/>
    <w:rsid w:val="0056310C"/>
    <w:rsid w:val="005722F0"/>
    <w:rsid w:val="00574A49"/>
    <w:rsid w:val="00585437"/>
    <w:rsid w:val="00585D3B"/>
    <w:rsid w:val="00591183"/>
    <w:rsid w:val="00592230"/>
    <w:rsid w:val="00593E5A"/>
    <w:rsid w:val="00595092"/>
    <w:rsid w:val="005965AA"/>
    <w:rsid w:val="00597BD2"/>
    <w:rsid w:val="005A57BE"/>
    <w:rsid w:val="005B20E6"/>
    <w:rsid w:val="005B4EB7"/>
    <w:rsid w:val="005C2796"/>
    <w:rsid w:val="005C5C84"/>
    <w:rsid w:val="005C79BB"/>
    <w:rsid w:val="005C7CDA"/>
    <w:rsid w:val="005C7F9B"/>
    <w:rsid w:val="005D0BBC"/>
    <w:rsid w:val="005D17AB"/>
    <w:rsid w:val="005D58F8"/>
    <w:rsid w:val="005D5912"/>
    <w:rsid w:val="005D649A"/>
    <w:rsid w:val="005E21E4"/>
    <w:rsid w:val="005E2D70"/>
    <w:rsid w:val="005E3166"/>
    <w:rsid w:val="005E470C"/>
    <w:rsid w:val="005F1022"/>
    <w:rsid w:val="005F5F3D"/>
    <w:rsid w:val="006007C4"/>
    <w:rsid w:val="00600EA5"/>
    <w:rsid w:val="00603972"/>
    <w:rsid w:val="006041B2"/>
    <w:rsid w:val="006046E5"/>
    <w:rsid w:val="00604BE5"/>
    <w:rsid w:val="006117E5"/>
    <w:rsid w:val="00612E65"/>
    <w:rsid w:val="00616EC4"/>
    <w:rsid w:val="00623331"/>
    <w:rsid w:val="0062455D"/>
    <w:rsid w:val="006300C1"/>
    <w:rsid w:val="00634576"/>
    <w:rsid w:val="006345D0"/>
    <w:rsid w:val="00657225"/>
    <w:rsid w:val="006624F5"/>
    <w:rsid w:val="0067012A"/>
    <w:rsid w:val="00676453"/>
    <w:rsid w:val="0067786B"/>
    <w:rsid w:val="00681EC8"/>
    <w:rsid w:val="0068309E"/>
    <w:rsid w:val="00684969"/>
    <w:rsid w:val="00687092"/>
    <w:rsid w:val="0069149F"/>
    <w:rsid w:val="00692A74"/>
    <w:rsid w:val="006964DA"/>
    <w:rsid w:val="006B0401"/>
    <w:rsid w:val="006B420D"/>
    <w:rsid w:val="006B57FA"/>
    <w:rsid w:val="006C3FAC"/>
    <w:rsid w:val="006C5126"/>
    <w:rsid w:val="006C5B96"/>
    <w:rsid w:val="006C5DAC"/>
    <w:rsid w:val="006C6EE9"/>
    <w:rsid w:val="006C76D9"/>
    <w:rsid w:val="006D0172"/>
    <w:rsid w:val="006D116C"/>
    <w:rsid w:val="006D3FD8"/>
    <w:rsid w:val="006E0211"/>
    <w:rsid w:val="006E10BA"/>
    <w:rsid w:val="006E4C29"/>
    <w:rsid w:val="006E613C"/>
    <w:rsid w:val="006F2D6C"/>
    <w:rsid w:val="00700185"/>
    <w:rsid w:val="00700A1D"/>
    <w:rsid w:val="00702178"/>
    <w:rsid w:val="00703A0A"/>
    <w:rsid w:val="00717436"/>
    <w:rsid w:val="00720D24"/>
    <w:rsid w:val="0072111A"/>
    <w:rsid w:val="0072284B"/>
    <w:rsid w:val="00730B5E"/>
    <w:rsid w:val="00735941"/>
    <w:rsid w:val="00737F79"/>
    <w:rsid w:val="00741549"/>
    <w:rsid w:val="00742656"/>
    <w:rsid w:val="007434CB"/>
    <w:rsid w:val="00752A93"/>
    <w:rsid w:val="00753BD0"/>
    <w:rsid w:val="00755212"/>
    <w:rsid w:val="00766587"/>
    <w:rsid w:val="00774EBC"/>
    <w:rsid w:val="00775628"/>
    <w:rsid w:val="0077597D"/>
    <w:rsid w:val="0077644A"/>
    <w:rsid w:val="00777951"/>
    <w:rsid w:val="00783456"/>
    <w:rsid w:val="007905C3"/>
    <w:rsid w:val="007944F4"/>
    <w:rsid w:val="0079453E"/>
    <w:rsid w:val="00794E02"/>
    <w:rsid w:val="007A10EF"/>
    <w:rsid w:val="007A15AE"/>
    <w:rsid w:val="007B1A34"/>
    <w:rsid w:val="007B6B6C"/>
    <w:rsid w:val="007B6DE6"/>
    <w:rsid w:val="007C1FED"/>
    <w:rsid w:val="007C4CFD"/>
    <w:rsid w:val="007C4EA5"/>
    <w:rsid w:val="007C5EB0"/>
    <w:rsid w:val="007D019C"/>
    <w:rsid w:val="007D1C05"/>
    <w:rsid w:val="007D2794"/>
    <w:rsid w:val="007D6524"/>
    <w:rsid w:val="007D7F56"/>
    <w:rsid w:val="007E19D8"/>
    <w:rsid w:val="007E19F0"/>
    <w:rsid w:val="007E21FA"/>
    <w:rsid w:val="007E291C"/>
    <w:rsid w:val="007F1201"/>
    <w:rsid w:val="007F30C1"/>
    <w:rsid w:val="007F42BF"/>
    <w:rsid w:val="00800778"/>
    <w:rsid w:val="008120A7"/>
    <w:rsid w:val="00812670"/>
    <w:rsid w:val="00820FCB"/>
    <w:rsid w:val="00824C6C"/>
    <w:rsid w:val="008341D5"/>
    <w:rsid w:val="0083543D"/>
    <w:rsid w:val="00837A16"/>
    <w:rsid w:val="008407D4"/>
    <w:rsid w:val="008439C4"/>
    <w:rsid w:val="0084426E"/>
    <w:rsid w:val="008462F9"/>
    <w:rsid w:val="00853805"/>
    <w:rsid w:val="00854213"/>
    <w:rsid w:val="00856498"/>
    <w:rsid w:val="00857196"/>
    <w:rsid w:val="00857453"/>
    <w:rsid w:val="008604FF"/>
    <w:rsid w:val="00863892"/>
    <w:rsid w:val="00863893"/>
    <w:rsid w:val="008659C3"/>
    <w:rsid w:val="00865EF5"/>
    <w:rsid w:val="00876FBD"/>
    <w:rsid w:val="00881A46"/>
    <w:rsid w:val="00882F22"/>
    <w:rsid w:val="00884603"/>
    <w:rsid w:val="00893120"/>
    <w:rsid w:val="008975C6"/>
    <w:rsid w:val="008A0317"/>
    <w:rsid w:val="008A145D"/>
    <w:rsid w:val="008A453F"/>
    <w:rsid w:val="008A4804"/>
    <w:rsid w:val="008A6DC8"/>
    <w:rsid w:val="008B4016"/>
    <w:rsid w:val="008B5690"/>
    <w:rsid w:val="008B794F"/>
    <w:rsid w:val="008C431C"/>
    <w:rsid w:val="008C7C34"/>
    <w:rsid w:val="008D6537"/>
    <w:rsid w:val="008D7B92"/>
    <w:rsid w:val="008D7D40"/>
    <w:rsid w:val="008E1FCF"/>
    <w:rsid w:val="008E5958"/>
    <w:rsid w:val="008F072C"/>
    <w:rsid w:val="008F22C0"/>
    <w:rsid w:val="008F3CFB"/>
    <w:rsid w:val="00904E71"/>
    <w:rsid w:val="00905F1E"/>
    <w:rsid w:val="00906115"/>
    <w:rsid w:val="00916884"/>
    <w:rsid w:val="009176B5"/>
    <w:rsid w:val="00923A4F"/>
    <w:rsid w:val="009245BD"/>
    <w:rsid w:val="009311D3"/>
    <w:rsid w:val="0093362B"/>
    <w:rsid w:val="00941FA8"/>
    <w:rsid w:val="00945A8B"/>
    <w:rsid w:val="00950219"/>
    <w:rsid w:val="00952978"/>
    <w:rsid w:val="00956ADB"/>
    <w:rsid w:val="00972DB7"/>
    <w:rsid w:val="009749D8"/>
    <w:rsid w:val="009756F5"/>
    <w:rsid w:val="0098227D"/>
    <w:rsid w:val="0098330D"/>
    <w:rsid w:val="00985FA1"/>
    <w:rsid w:val="00992607"/>
    <w:rsid w:val="00997ACE"/>
    <w:rsid w:val="009A35B2"/>
    <w:rsid w:val="009A6ACC"/>
    <w:rsid w:val="009B21DB"/>
    <w:rsid w:val="009C4D88"/>
    <w:rsid w:val="009C4F76"/>
    <w:rsid w:val="009C7445"/>
    <w:rsid w:val="009E00AA"/>
    <w:rsid w:val="009E6ACA"/>
    <w:rsid w:val="009E6D5F"/>
    <w:rsid w:val="009F0D02"/>
    <w:rsid w:val="009F16D1"/>
    <w:rsid w:val="009F3E5C"/>
    <w:rsid w:val="009F4211"/>
    <w:rsid w:val="00A03244"/>
    <w:rsid w:val="00A1306B"/>
    <w:rsid w:val="00A27B49"/>
    <w:rsid w:val="00A27BF6"/>
    <w:rsid w:val="00A3070F"/>
    <w:rsid w:val="00A3263B"/>
    <w:rsid w:val="00A3307E"/>
    <w:rsid w:val="00A35336"/>
    <w:rsid w:val="00A3601D"/>
    <w:rsid w:val="00A37213"/>
    <w:rsid w:val="00A3794D"/>
    <w:rsid w:val="00A37D3D"/>
    <w:rsid w:val="00A37E2F"/>
    <w:rsid w:val="00A43EA2"/>
    <w:rsid w:val="00A45119"/>
    <w:rsid w:val="00A502A2"/>
    <w:rsid w:val="00A53D3B"/>
    <w:rsid w:val="00A54266"/>
    <w:rsid w:val="00A5675B"/>
    <w:rsid w:val="00A62E30"/>
    <w:rsid w:val="00A63837"/>
    <w:rsid w:val="00A72BC1"/>
    <w:rsid w:val="00A73667"/>
    <w:rsid w:val="00A741D0"/>
    <w:rsid w:val="00A83951"/>
    <w:rsid w:val="00AA3559"/>
    <w:rsid w:val="00AA7CA1"/>
    <w:rsid w:val="00AB05F2"/>
    <w:rsid w:val="00AB53E5"/>
    <w:rsid w:val="00AC0CC2"/>
    <w:rsid w:val="00AC690A"/>
    <w:rsid w:val="00AD18E0"/>
    <w:rsid w:val="00AD6F8B"/>
    <w:rsid w:val="00AE0D2A"/>
    <w:rsid w:val="00AF09A7"/>
    <w:rsid w:val="00AF0B31"/>
    <w:rsid w:val="00AF1D09"/>
    <w:rsid w:val="00AF2F92"/>
    <w:rsid w:val="00AF6560"/>
    <w:rsid w:val="00AF668F"/>
    <w:rsid w:val="00AF7BCC"/>
    <w:rsid w:val="00B00C5F"/>
    <w:rsid w:val="00B029EA"/>
    <w:rsid w:val="00B0363C"/>
    <w:rsid w:val="00B0388C"/>
    <w:rsid w:val="00B06955"/>
    <w:rsid w:val="00B137DC"/>
    <w:rsid w:val="00B22FB1"/>
    <w:rsid w:val="00B260D3"/>
    <w:rsid w:val="00B30167"/>
    <w:rsid w:val="00B35F81"/>
    <w:rsid w:val="00B37845"/>
    <w:rsid w:val="00B40567"/>
    <w:rsid w:val="00B40A6D"/>
    <w:rsid w:val="00B44F54"/>
    <w:rsid w:val="00B50516"/>
    <w:rsid w:val="00B57D87"/>
    <w:rsid w:val="00B62391"/>
    <w:rsid w:val="00B65199"/>
    <w:rsid w:val="00B65F9A"/>
    <w:rsid w:val="00B66CF8"/>
    <w:rsid w:val="00B70D3B"/>
    <w:rsid w:val="00B72952"/>
    <w:rsid w:val="00B75AC8"/>
    <w:rsid w:val="00B77E9D"/>
    <w:rsid w:val="00B808AE"/>
    <w:rsid w:val="00B84366"/>
    <w:rsid w:val="00B84BE3"/>
    <w:rsid w:val="00B85C8F"/>
    <w:rsid w:val="00B85EAB"/>
    <w:rsid w:val="00B874D1"/>
    <w:rsid w:val="00B91BAD"/>
    <w:rsid w:val="00B92266"/>
    <w:rsid w:val="00B949B2"/>
    <w:rsid w:val="00BA0423"/>
    <w:rsid w:val="00BA369D"/>
    <w:rsid w:val="00BB6398"/>
    <w:rsid w:val="00BB70D4"/>
    <w:rsid w:val="00BD161F"/>
    <w:rsid w:val="00BD1830"/>
    <w:rsid w:val="00BD18C4"/>
    <w:rsid w:val="00BD25D1"/>
    <w:rsid w:val="00BD2A9F"/>
    <w:rsid w:val="00BD3223"/>
    <w:rsid w:val="00BD406F"/>
    <w:rsid w:val="00BD4758"/>
    <w:rsid w:val="00BD5869"/>
    <w:rsid w:val="00BD63FE"/>
    <w:rsid w:val="00BE3967"/>
    <w:rsid w:val="00BE3D72"/>
    <w:rsid w:val="00BE6791"/>
    <w:rsid w:val="00BE75AF"/>
    <w:rsid w:val="00BE7C26"/>
    <w:rsid w:val="00BF54F7"/>
    <w:rsid w:val="00BF7653"/>
    <w:rsid w:val="00BF7C3A"/>
    <w:rsid w:val="00C00068"/>
    <w:rsid w:val="00C007C1"/>
    <w:rsid w:val="00C05A05"/>
    <w:rsid w:val="00C0702B"/>
    <w:rsid w:val="00C1121A"/>
    <w:rsid w:val="00C11505"/>
    <w:rsid w:val="00C233F7"/>
    <w:rsid w:val="00C234A5"/>
    <w:rsid w:val="00C24C70"/>
    <w:rsid w:val="00C271D2"/>
    <w:rsid w:val="00C301B2"/>
    <w:rsid w:val="00C30A12"/>
    <w:rsid w:val="00C363B0"/>
    <w:rsid w:val="00C444F1"/>
    <w:rsid w:val="00C46313"/>
    <w:rsid w:val="00C467FD"/>
    <w:rsid w:val="00C60A70"/>
    <w:rsid w:val="00C66AD1"/>
    <w:rsid w:val="00C82469"/>
    <w:rsid w:val="00C865C4"/>
    <w:rsid w:val="00C86747"/>
    <w:rsid w:val="00C903A7"/>
    <w:rsid w:val="00C92088"/>
    <w:rsid w:val="00C92CB1"/>
    <w:rsid w:val="00C9423A"/>
    <w:rsid w:val="00C977B5"/>
    <w:rsid w:val="00CA01BE"/>
    <w:rsid w:val="00CA33D1"/>
    <w:rsid w:val="00CA3E6F"/>
    <w:rsid w:val="00CA3F55"/>
    <w:rsid w:val="00CA5604"/>
    <w:rsid w:val="00CB2290"/>
    <w:rsid w:val="00CB74A2"/>
    <w:rsid w:val="00CC2C72"/>
    <w:rsid w:val="00CC6247"/>
    <w:rsid w:val="00CC6E96"/>
    <w:rsid w:val="00CD28E2"/>
    <w:rsid w:val="00CD2A6C"/>
    <w:rsid w:val="00CE2B9B"/>
    <w:rsid w:val="00CE691D"/>
    <w:rsid w:val="00CE7A6B"/>
    <w:rsid w:val="00CF2CFF"/>
    <w:rsid w:val="00D00859"/>
    <w:rsid w:val="00D028B1"/>
    <w:rsid w:val="00D1291B"/>
    <w:rsid w:val="00D32F03"/>
    <w:rsid w:val="00D34B87"/>
    <w:rsid w:val="00D34F2C"/>
    <w:rsid w:val="00D372E8"/>
    <w:rsid w:val="00D43521"/>
    <w:rsid w:val="00D46D14"/>
    <w:rsid w:val="00D478E5"/>
    <w:rsid w:val="00D51A3E"/>
    <w:rsid w:val="00D51AA0"/>
    <w:rsid w:val="00D5337F"/>
    <w:rsid w:val="00D53DB8"/>
    <w:rsid w:val="00D55271"/>
    <w:rsid w:val="00D55BEE"/>
    <w:rsid w:val="00D576C4"/>
    <w:rsid w:val="00D60175"/>
    <w:rsid w:val="00D61387"/>
    <w:rsid w:val="00D647C4"/>
    <w:rsid w:val="00D67B34"/>
    <w:rsid w:val="00D707ED"/>
    <w:rsid w:val="00D73B55"/>
    <w:rsid w:val="00D7703C"/>
    <w:rsid w:val="00D7714B"/>
    <w:rsid w:val="00D77AE7"/>
    <w:rsid w:val="00D80FEC"/>
    <w:rsid w:val="00D8457C"/>
    <w:rsid w:val="00D915D7"/>
    <w:rsid w:val="00D92DA1"/>
    <w:rsid w:val="00DA2B4C"/>
    <w:rsid w:val="00DA4F73"/>
    <w:rsid w:val="00DA52A2"/>
    <w:rsid w:val="00DB63B3"/>
    <w:rsid w:val="00DB689F"/>
    <w:rsid w:val="00DC332F"/>
    <w:rsid w:val="00DC5504"/>
    <w:rsid w:val="00DC5E57"/>
    <w:rsid w:val="00DC6216"/>
    <w:rsid w:val="00DC7E93"/>
    <w:rsid w:val="00DD475C"/>
    <w:rsid w:val="00DE0482"/>
    <w:rsid w:val="00DE16D6"/>
    <w:rsid w:val="00DE61A0"/>
    <w:rsid w:val="00DE749B"/>
    <w:rsid w:val="00DF1DB4"/>
    <w:rsid w:val="00DF43DE"/>
    <w:rsid w:val="00DF7E0A"/>
    <w:rsid w:val="00E001D3"/>
    <w:rsid w:val="00E03FFC"/>
    <w:rsid w:val="00E10361"/>
    <w:rsid w:val="00E10C16"/>
    <w:rsid w:val="00E13ED2"/>
    <w:rsid w:val="00E14257"/>
    <w:rsid w:val="00E170DD"/>
    <w:rsid w:val="00E24618"/>
    <w:rsid w:val="00E272E8"/>
    <w:rsid w:val="00E30BE7"/>
    <w:rsid w:val="00E32E0F"/>
    <w:rsid w:val="00E4148D"/>
    <w:rsid w:val="00E415FD"/>
    <w:rsid w:val="00E42992"/>
    <w:rsid w:val="00E455B8"/>
    <w:rsid w:val="00E56B97"/>
    <w:rsid w:val="00E576E6"/>
    <w:rsid w:val="00E57A94"/>
    <w:rsid w:val="00E610A4"/>
    <w:rsid w:val="00E62A9B"/>
    <w:rsid w:val="00E6792C"/>
    <w:rsid w:val="00E7082F"/>
    <w:rsid w:val="00E72120"/>
    <w:rsid w:val="00E721D2"/>
    <w:rsid w:val="00E7348B"/>
    <w:rsid w:val="00E82D8F"/>
    <w:rsid w:val="00E87C60"/>
    <w:rsid w:val="00EA2124"/>
    <w:rsid w:val="00EA2F4C"/>
    <w:rsid w:val="00EA5B54"/>
    <w:rsid w:val="00EB6666"/>
    <w:rsid w:val="00EC1CF4"/>
    <w:rsid w:val="00EC2184"/>
    <w:rsid w:val="00EC291E"/>
    <w:rsid w:val="00EC42D7"/>
    <w:rsid w:val="00EC6498"/>
    <w:rsid w:val="00ED4BB3"/>
    <w:rsid w:val="00EE2F56"/>
    <w:rsid w:val="00EE706D"/>
    <w:rsid w:val="00EF2FA4"/>
    <w:rsid w:val="00F004C5"/>
    <w:rsid w:val="00F04F90"/>
    <w:rsid w:val="00F07C09"/>
    <w:rsid w:val="00F11DAC"/>
    <w:rsid w:val="00F12D8E"/>
    <w:rsid w:val="00F14795"/>
    <w:rsid w:val="00F17334"/>
    <w:rsid w:val="00F22D00"/>
    <w:rsid w:val="00F23527"/>
    <w:rsid w:val="00F255FD"/>
    <w:rsid w:val="00F27DA4"/>
    <w:rsid w:val="00F33881"/>
    <w:rsid w:val="00F33A72"/>
    <w:rsid w:val="00F37C59"/>
    <w:rsid w:val="00F41446"/>
    <w:rsid w:val="00F41754"/>
    <w:rsid w:val="00F41C9F"/>
    <w:rsid w:val="00F4376D"/>
    <w:rsid w:val="00F45F96"/>
    <w:rsid w:val="00F52DFC"/>
    <w:rsid w:val="00F5368C"/>
    <w:rsid w:val="00F5726D"/>
    <w:rsid w:val="00F57815"/>
    <w:rsid w:val="00F57F0A"/>
    <w:rsid w:val="00F64AFB"/>
    <w:rsid w:val="00F652C6"/>
    <w:rsid w:val="00F6721A"/>
    <w:rsid w:val="00F71DF9"/>
    <w:rsid w:val="00F83555"/>
    <w:rsid w:val="00F87423"/>
    <w:rsid w:val="00F915BA"/>
    <w:rsid w:val="00F957C5"/>
    <w:rsid w:val="00F965A4"/>
    <w:rsid w:val="00FA3231"/>
    <w:rsid w:val="00FA3D78"/>
    <w:rsid w:val="00FA4D74"/>
    <w:rsid w:val="00FB39F3"/>
    <w:rsid w:val="00FB3D95"/>
    <w:rsid w:val="00FB653E"/>
    <w:rsid w:val="00FB7069"/>
    <w:rsid w:val="00FC05F2"/>
    <w:rsid w:val="00FC7C1C"/>
    <w:rsid w:val="00FD4644"/>
    <w:rsid w:val="00FE09D6"/>
    <w:rsid w:val="00FE6533"/>
    <w:rsid w:val="0218BB67"/>
    <w:rsid w:val="06D7789E"/>
    <w:rsid w:val="42D84837"/>
    <w:rsid w:val="5F689F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ED201"/>
  <w15:docId w15:val="{097934AB-6CF9-4AE5-91BD-A63ADE0D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31"/>
    <w:rPr>
      <w:rFonts w:ascii="Arial" w:hAnsi="Arial" w:cs="Arial"/>
      <w:sz w:val="19"/>
      <w:szCs w:val="19"/>
    </w:rPr>
  </w:style>
  <w:style w:type="paragraph" w:styleId="Heading1">
    <w:name w:val="heading 1"/>
    <w:basedOn w:val="Normal"/>
    <w:next w:val="Normal"/>
    <w:link w:val="Heading1Char"/>
    <w:uiPriority w:val="9"/>
    <w:qFormat/>
    <w:rsid w:val="00AF0B31"/>
    <w:pPr>
      <w:outlineLvl w:val="0"/>
    </w:pPr>
    <w:rPr>
      <w:b/>
    </w:rPr>
  </w:style>
  <w:style w:type="paragraph" w:styleId="Heading2">
    <w:name w:val="heading 2"/>
    <w:basedOn w:val="Normal"/>
    <w:next w:val="Normal"/>
    <w:link w:val="Heading2Char"/>
    <w:uiPriority w:val="9"/>
    <w:unhideWhenUsed/>
    <w:qFormat/>
    <w:rsid w:val="00AF0B31"/>
    <w:pPr>
      <w:outlineLvl w:val="1"/>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31"/>
    <w:rPr>
      <w:rFonts w:ascii="Arial" w:hAnsi="Arial" w:cs="Arial"/>
      <w:b/>
      <w:sz w:val="19"/>
      <w:szCs w:val="19"/>
    </w:rPr>
  </w:style>
  <w:style w:type="character" w:customStyle="1" w:styleId="Heading2Char">
    <w:name w:val="Heading 2 Char"/>
    <w:basedOn w:val="DefaultParagraphFont"/>
    <w:link w:val="Heading2"/>
    <w:uiPriority w:val="9"/>
    <w:rsid w:val="00AF0B31"/>
    <w:rPr>
      <w:rFonts w:ascii="Arial" w:hAnsi="Arial" w:cs="Arial"/>
      <w:i/>
      <w:sz w:val="19"/>
      <w:szCs w:val="19"/>
      <w:u w:val="single"/>
    </w:rPr>
  </w:style>
  <w:style w:type="paragraph" w:styleId="Footer">
    <w:name w:val="footer"/>
    <w:basedOn w:val="Normal"/>
    <w:link w:val="FooterChar"/>
    <w:uiPriority w:val="99"/>
    <w:unhideWhenUsed/>
    <w:rsid w:val="00AF0B31"/>
    <w:pPr>
      <w:tabs>
        <w:tab w:val="center" w:pos="4513"/>
        <w:tab w:val="right" w:pos="9026"/>
      </w:tabs>
      <w:spacing w:after="0"/>
    </w:pPr>
  </w:style>
  <w:style w:type="character" w:customStyle="1" w:styleId="FooterChar">
    <w:name w:val="Footer Char"/>
    <w:basedOn w:val="DefaultParagraphFont"/>
    <w:link w:val="Footer"/>
    <w:uiPriority w:val="99"/>
    <w:rsid w:val="00AF0B31"/>
    <w:rPr>
      <w:rFonts w:ascii="Arial" w:hAnsi="Arial" w:cs="Arial"/>
      <w:sz w:val="19"/>
      <w:szCs w:val="19"/>
    </w:rPr>
  </w:style>
  <w:style w:type="paragraph" w:styleId="ListParagraph">
    <w:name w:val="List Paragraph"/>
    <w:basedOn w:val="Normal"/>
    <w:uiPriority w:val="34"/>
    <w:qFormat/>
    <w:rsid w:val="00AF0B31"/>
    <w:pPr>
      <w:ind w:left="720"/>
      <w:contextualSpacing/>
    </w:pPr>
  </w:style>
  <w:style w:type="character" w:styleId="FootnoteReference">
    <w:name w:val="footnote reference"/>
    <w:aliases w:val="(NECG) Footnote Reference,(NECG) Footnote Reference1,(NECG) Footnote Reference2,o,Footnote Reference 1,Appel note de bas de p,Appel note de bas de p + 11 pt,Italic,Footnote,Appel note de bas de p1,Appel note de bas de p2,Style 12"/>
    <w:basedOn w:val="DefaultParagraphFont"/>
    <w:uiPriority w:val="99"/>
    <w:unhideWhenUsed/>
    <w:rsid w:val="00AF0B31"/>
    <w:rPr>
      <w:vertAlign w:val="superscript"/>
    </w:rPr>
  </w:style>
  <w:style w:type="paragraph" w:styleId="BalloonText">
    <w:name w:val="Balloon Text"/>
    <w:basedOn w:val="Normal"/>
    <w:link w:val="BalloonTextChar"/>
    <w:uiPriority w:val="99"/>
    <w:semiHidden/>
    <w:unhideWhenUsed/>
    <w:rsid w:val="008C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31C"/>
    <w:rPr>
      <w:rFonts w:ascii="Tahoma" w:hAnsi="Tahoma" w:cs="Tahoma"/>
      <w:sz w:val="16"/>
      <w:szCs w:val="16"/>
    </w:rPr>
  </w:style>
  <w:style w:type="paragraph" w:styleId="Header">
    <w:name w:val="header"/>
    <w:basedOn w:val="Normal"/>
    <w:link w:val="HeaderChar"/>
    <w:uiPriority w:val="99"/>
    <w:unhideWhenUsed/>
    <w:rsid w:val="00687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92"/>
    <w:rPr>
      <w:rFonts w:ascii="Arial" w:hAnsi="Arial" w:cs="Arial"/>
      <w:sz w:val="19"/>
      <w:szCs w:val="19"/>
    </w:rPr>
  </w:style>
  <w:style w:type="character" w:styleId="CommentReference">
    <w:name w:val="annotation reference"/>
    <w:basedOn w:val="DefaultParagraphFont"/>
    <w:uiPriority w:val="99"/>
    <w:semiHidden/>
    <w:unhideWhenUsed/>
    <w:rsid w:val="0077597D"/>
    <w:rPr>
      <w:sz w:val="16"/>
      <w:szCs w:val="16"/>
    </w:rPr>
  </w:style>
  <w:style w:type="paragraph" w:styleId="CommentText">
    <w:name w:val="annotation text"/>
    <w:basedOn w:val="Normal"/>
    <w:link w:val="CommentTextChar"/>
    <w:uiPriority w:val="99"/>
    <w:unhideWhenUsed/>
    <w:rsid w:val="0077597D"/>
    <w:pPr>
      <w:spacing w:line="240" w:lineRule="auto"/>
    </w:pPr>
    <w:rPr>
      <w:sz w:val="20"/>
      <w:szCs w:val="20"/>
    </w:rPr>
  </w:style>
  <w:style w:type="character" w:customStyle="1" w:styleId="CommentTextChar">
    <w:name w:val="Comment Text Char"/>
    <w:basedOn w:val="DefaultParagraphFont"/>
    <w:link w:val="CommentText"/>
    <w:uiPriority w:val="99"/>
    <w:rsid w:val="0077597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97D"/>
    <w:rPr>
      <w:b/>
      <w:bCs/>
    </w:rPr>
  </w:style>
  <w:style w:type="character" w:customStyle="1" w:styleId="CommentSubjectChar">
    <w:name w:val="Comment Subject Char"/>
    <w:basedOn w:val="CommentTextChar"/>
    <w:link w:val="CommentSubject"/>
    <w:uiPriority w:val="99"/>
    <w:semiHidden/>
    <w:rsid w:val="0077597D"/>
    <w:rPr>
      <w:rFonts w:ascii="Arial" w:hAnsi="Arial" w:cs="Arial"/>
      <w:b/>
      <w:bCs/>
      <w:sz w:val="20"/>
      <w:szCs w:val="20"/>
    </w:rPr>
  </w:style>
  <w:style w:type="paragraph" w:customStyle="1" w:styleId="indenta">
    <w:name w:val="indent(a)"/>
    <w:aliases w:val="a,paragraph"/>
    <w:basedOn w:val="Normal"/>
    <w:rsid w:val="00D80FEC"/>
    <w:pPr>
      <w:tabs>
        <w:tab w:val="right" w:pos="1531"/>
      </w:tabs>
      <w:spacing w:before="40" w:after="0" w:line="260" w:lineRule="atLeast"/>
      <w:ind w:left="1644" w:hanging="1644"/>
    </w:pPr>
    <w:rPr>
      <w:rFonts w:ascii="Times" w:eastAsia="Times New Roman" w:hAnsi="Times" w:cs="Times New Roman"/>
      <w:sz w:val="22"/>
      <w:szCs w:val="20"/>
    </w:rPr>
  </w:style>
  <w:style w:type="paragraph" w:customStyle="1" w:styleId="ACMABodyText">
    <w:name w:val="ACMA Body Text"/>
    <w:link w:val="ACMABodyTextChar1"/>
    <w:rsid w:val="00B40A6D"/>
    <w:pPr>
      <w:suppressAutoHyphens/>
      <w:spacing w:before="80" w:after="120" w:line="280" w:lineRule="atLeast"/>
    </w:pPr>
    <w:rPr>
      <w:rFonts w:ascii="Arial" w:eastAsia="Times New Roman" w:hAnsi="Arial" w:cs="Arial"/>
      <w:sz w:val="20"/>
      <w:szCs w:val="20"/>
    </w:rPr>
  </w:style>
  <w:style w:type="paragraph" w:customStyle="1" w:styleId="ACMAHeading3">
    <w:name w:val="ACMA Heading 3"/>
    <w:next w:val="ACMABodyText"/>
    <w:uiPriority w:val="99"/>
    <w:rsid w:val="005E470C"/>
    <w:pPr>
      <w:keepNext/>
      <w:tabs>
        <w:tab w:val="left" w:pos="1701"/>
      </w:tabs>
      <w:suppressAutoHyphens/>
      <w:spacing w:before="240" w:after="0" w:line="240" w:lineRule="auto"/>
      <w:outlineLvl w:val="3"/>
    </w:pPr>
    <w:rPr>
      <w:rFonts w:ascii="Arial" w:eastAsia="Times New Roman" w:hAnsi="Arial" w:cs="Arial"/>
      <w:b/>
      <w:sz w:val="20"/>
      <w:szCs w:val="20"/>
      <w:lang w:val="en-US"/>
    </w:rPr>
  </w:style>
  <w:style w:type="character" w:customStyle="1" w:styleId="charsectno">
    <w:name w:val="charsectno"/>
    <w:basedOn w:val="DefaultParagraphFont"/>
    <w:rsid w:val="00D51A3E"/>
  </w:style>
  <w:style w:type="paragraph" w:customStyle="1" w:styleId="indenta0">
    <w:name w:val="indenta"/>
    <w:basedOn w:val="Normal"/>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A3E"/>
  </w:style>
  <w:style w:type="paragraph" w:styleId="BodyText">
    <w:name w:val="Body Text"/>
    <w:basedOn w:val="Normal"/>
    <w:link w:val="BodyTextChar"/>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D51A3E"/>
    <w:rPr>
      <w:rFonts w:ascii="Times New Roman" w:eastAsia="Times New Roman" w:hAnsi="Times New Roman" w:cs="Times New Roman"/>
      <w:sz w:val="24"/>
      <w:szCs w:val="24"/>
      <w:lang w:eastAsia="en-AU"/>
    </w:rPr>
  </w:style>
  <w:style w:type="paragraph" w:styleId="ListBullet">
    <w:name w:val="List Bullet"/>
    <w:basedOn w:val="Normal"/>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1">
    <w:name w:val="ACMA Body Text Char1"/>
    <w:basedOn w:val="DefaultParagraphFont"/>
    <w:link w:val="ACMABodyText"/>
    <w:rsid w:val="00D51A3E"/>
    <w:rPr>
      <w:rFonts w:ascii="Arial" w:eastAsia="Times New Roman" w:hAnsi="Arial" w:cs="Arial"/>
      <w:sz w:val="20"/>
      <w:szCs w:val="20"/>
    </w:rPr>
  </w:style>
  <w:style w:type="paragraph" w:customStyle="1" w:styleId="default">
    <w:name w:val="default"/>
    <w:basedOn w:val="Normal"/>
    <w:rsid w:val="00D73B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
    <w:name w:val="ACMA Body Text Char"/>
    <w:basedOn w:val="DefaultParagraphFont"/>
    <w:locked/>
    <w:rsid w:val="009245BD"/>
    <w:rPr>
      <w:rFonts w:ascii="Arial" w:hAnsi="Arial" w:cs="Arial"/>
      <w:sz w:val="24"/>
      <w:szCs w:val="24"/>
      <w:lang w:eastAsia="en-US"/>
    </w:rPr>
  </w:style>
  <w:style w:type="paragraph" w:styleId="Title">
    <w:name w:val="Title"/>
    <w:basedOn w:val="Normal"/>
    <w:next w:val="Normal"/>
    <w:link w:val="TitleChar"/>
    <w:uiPriority w:val="10"/>
    <w:qFormat/>
    <w:rsid w:val="00E455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B8"/>
    <w:rPr>
      <w:rFonts w:asciiTheme="majorHAnsi" w:eastAsiaTheme="majorEastAsia" w:hAnsiTheme="majorHAnsi" w:cstheme="majorBidi"/>
      <w:spacing w:val="-10"/>
      <w:kern w:val="28"/>
      <w:sz w:val="56"/>
      <w:szCs w:val="56"/>
    </w:rPr>
  </w:style>
  <w:style w:type="character" w:styleId="PageNumber">
    <w:name w:val="page number"/>
    <w:rsid w:val="00E455B8"/>
    <w:rPr>
      <w:rFonts w:ascii="Arial" w:hAnsi="Arial"/>
      <w:sz w:val="22"/>
    </w:rPr>
  </w:style>
  <w:style w:type="character" w:styleId="Hyperlink">
    <w:name w:val="Hyperlink"/>
    <w:basedOn w:val="DefaultParagraphFont"/>
    <w:uiPriority w:val="99"/>
    <w:unhideWhenUsed/>
    <w:rsid w:val="00E455B8"/>
    <w:rPr>
      <w:color w:val="0000FF" w:themeColor="hyperlink"/>
      <w:u w:val="single"/>
    </w:rPr>
  </w:style>
  <w:style w:type="paragraph" w:customStyle="1" w:styleId="R1">
    <w:name w:val="R1"/>
    <w:aliases w:val="1. or 1.(1)"/>
    <w:basedOn w:val="Normal"/>
    <w:next w:val="Normal"/>
    <w:rsid w:val="00EC42D7"/>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rsid w:val="009176B5"/>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9176B5"/>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character" w:customStyle="1" w:styleId="CharPartText">
    <w:name w:val="CharPartText"/>
    <w:basedOn w:val="DefaultParagraphFont"/>
    <w:rsid w:val="00D647C4"/>
  </w:style>
  <w:style w:type="paragraph" w:customStyle="1" w:styleId="HP">
    <w:name w:val="HP"/>
    <w:aliases w:val="Part Heading"/>
    <w:basedOn w:val="Normal"/>
    <w:next w:val="Normal"/>
    <w:link w:val="HPChar"/>
    <w:rsid w:val="00D647C4"/>
    <w:pPr>
      <w:keepNext/>
      <w:spacing w:before="360" w:after="0" w:line="240" w:lineRule="auto"/>
      <w:ind w:left="2410" w:hanging="2410"/>
    </w:pPr>
    <w:rPr>
      <w:rFonts w:eastAsia="Times New Roman" w:cs="Times New Roman"/>
      <w:b/>
      <w:sz w:val="32"/>
      <w:szCs w:val="24"/>
    </w:rPr>
  </w:style>
  <w:style w:type="character" w:customStyle="1" w:styleId="HPChar">
    <w:name w:val="HP Char"/>
    <w:aliases w:val="Part Heading Char"/>
    <w:link w:val="HP"/>
    <w:rsid w:val="00D647C4"/>
    <w:rPr>
      <w:rFonts w:ascii="Arial" w:eastAsia="Times New Roman" w:hAnsi="Arial" w:cs="Times New Roman"/>
      <w:b/>
      <w:sz w:val="32"/>
      <w:szCs w:val="24"/>
    </w:rPr>
  </w:style>
  <w:style w:type="paragraph" w:customStyle="1" w:styleId="hr">
    <w:name w:val="hr"/>
    <w:basedOn w:val="Normal"/>
    <w:rsid w:val="00D647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22FB1"/>
    <w:pPr>
      <w:spacing w:after="0" w:line="240" w:lineRule="auto"/>
    </w:pPr>
    <w:rPr>
      <w:rFonts w:ascii="Calibri" w:eastAsia="Calibri" w:hAnsi="Calibri" w:cs="Times New Roman"/>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f,fn"/>
    <w:basedOn w:val="Normal"/>
    <w:link w:val="FootnoteTextChar"/>
    <w:rsid w:val="00616EC4"/>
    <w:pPr>
      <w:spacing w:after="0" w:line="240" w:lineRule="atLeast"/>
    </w:pPr>
    <w:rPr>
      <w:rFonts w:ascii="HelveticaNeueLT Std Lt" w:eastAsia="Times New Roman" w:hAnsi="HelveticaNeueLT Std Lt" w:cs="Times New Roman"/>
      <w:sz w:val="16"/>
      <w:szCs w:val="16"/>
      <w:lang w:eastAsia="en-AU"/>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rsid w:val="00616EC4"/>
    <w:rPr>
      <w:rFonts w:ascii="HelveticaNeueLT Std Lt" w:eastAsia="Times New Roman" w:hAnsi="HelveticaNeueLT Std Lt" w:cs="Times New Roman"/>
      <w:sz w:val="16"/>
      <w:szCs w:val="16"/>
      <w:lang w:eastAsia="en-AU"/>
    </w:rPr>
  </w:style>
  <w:style w:type="paragraph" w:styleId="Revision">
    <w:name w:val="Revision"/>
    <w:hidden/>
    <w:uiPriority w:val="99"/>
    <w:semiHidden/>
    <w:rsid w:val="000C0029"/>
    <w:pPr>
      <w:spacing w:after="0" w:line="240" w:lineRule="auto"/>
    </w:pPr>
    <w:rPr>
      <w:rFonts w:ascii="Arial" w:hAnsi="Arial" w:cs="Arial"/>
      <w:sz w:val="19"/>
      <w:szCs w:val="19"/>
    </w:rPr>
  </w:style>
  <w:style w:type="character" w:customStyle="1" w:styleId="normaltextrun">
    <w:name w:val="normaltextrun"/>
    <w:basedOn w:val="DefaultParagraphFont"/>
    <w:rsid w:val="00EA5B54"/>
  </w:style>
  <w:style w:type="character" w:styleId="UnresolvedMention">
    <w:name w:val="Unresolved Mention"/>
    <w:basedOn w:val="DefaultParagraphFont"/>
    <w:uiPriority w:val="99"/>
    <w:semiHidden/>
    <w:unhideWhenUsed/>
    <w:rsid w:val="004B2DA7"/>
    <w:rPr>
      <w:color w:val="605E5C"/>
      <w:shd w:val="clear" w:color="auto" w:fill="E1DFDD"/>
    </w:rPr>
  </w:style>
  <w:style w:type="character" w:styleId="Emphasis">
    <w:name w:val="Emphasis"/>
    <w:basedOn w:val="DefaultParagraphFont"/>
    <w:uiPriority w:val="20"/>
    <w:qFormat/>
    <w:rsid w:val="00D915D7"/>
    <w:rPr>
      <w:i/>
      <w:iCs/>
      <w:color w:val="auto"/>
    </w:rPr>
  </w:style>
  <w:style w:type="character" w:customStyle="1" w:styleId="notetextChar">
    <w:name w:val="note(text) Char"/>
    <w:aliases w:val="n Char"/>
    <w:basedOn w:val="DefaultParagraphFont"/>
    <w:link w:val="notetext"/>
    <w:locked/>
    <w:rsid w:val="007D7F56"/>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7D7F56"/>
    <w:pPr>
      <w:spacing w:before="122" w:after="0" w:line="240" w:lineRule="auto"/>
      <w:ind w:left="1985" w:hanging="851"/>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3641">
      <w:bodyDiv w:val="1"/>
      <w:marLeft w:val="0"/>
      <w:marRight w:val="0"/>
      <w:marTop w:val="0"/>
      <w:marBottom w:val="0"/>
      <w:divBdr>
        <w:top w:val="none" w:sz="0" w:space="0" w:color="auto"/>
        <w:left w:val="none" w:sz="0" w:space="0" w:color="auto"/>
        <w:bottom w:val="none" w:sz="0" w:space="0" w:color="auto"/>
        <w:right w:val="none" w:sz="0" w:space="0" w:color="auto"/>
      </w:divBdr>
    </w:div>
    <w:div w:id="758209478">
      <w:bodyDiv w:val="1"/>
      <w:marLeft w:val="0"/>
      <w:marRight w:val="0"/>
      <w:marTop w:val="0"/>
      <w:marBottom w:val="0"/>
      <w:divBdr>
        <w:top w:val="none" w:sz="0" w:space="0" w:color="auto"/>
        <w:left w:val="none" w:sz="0" w:space="0" w:color="auto"/>
        <w:bottom w:val="none" w:sz="0" w:space="0" w:color="auto"/>
        <w:right w:val="none" w:sz="0" w:space="0" w:color="auto"/>
      </w:divBdr>
      <w:divsChild>
        <w:div w:id="704407577">
          <w:marLeft w:val="0"/>
          <w:marRight w:val="0"/>
          <w:marTop w:val="0"/>
          <w:marBottom w:val="0"/>
          <w:divBdr>
            <w:top w:val="none" w:sz="0" w:space="0" w:color="auto"/>
            <w:left w:val="none" w:sz="0" w:space="0" w:color="auto"/>
            <w:bottom w:val="none" w:sz="0" w:space="0" w:color="auto"/>
            <w:right w:val="none" w:sz="0" w:space="0" w:color="auto"/>
          </w:divBdr>
          <w:divsChild>
            <w:div w:id="191964797">
              <w:marLeft w:val="0"/>
              <w:marRight w:val="0"/>
              <w:marTop w:val="0"/>
              <w:marBottom w:val="0"/>
              <w:divBdr>
                <w:top w:val="none" w:sz="0" w:space="0" w:color="auto"/>
                <w:left w:val="none" w:sz="0" w:space="0" w:color="auto"/>
                <w:bottom w:val="none" w:sz="0" w:space="0" w:color="auto"/>
                <w:right w:val="none" w:sz="0" w:space="0" w:color="auto"/>
              </w:divBdr>
              <w:divsChild>
                <w:div w:id="1305621508">
                  <w:marLeft w:val="0"/>
                  <w:marRight w:val="0"/>
                  <w:marTop w:val="0"/>
                  <w:marBottom w:val="0"/>
                  <w:divBdr>
                    <w:top w:val="none" w:sz="0" w:space="0" w:color="auto"/>
                    <w:left w:val="none" w:sz="0" w:space="0" w:color="auto"/>
                    <w:bottom w:val="none" w:sz="0" w:space="0" w:color="auto"/>
                    <w:right w:val="none" w:sz="0" w:space="0" w:color="auto"/>
                  </w:divBdr>
                  <w:divsChild>
                    <w:div w:id="388655500">
                      <w:marLeft w:val="0"/>
                      <w:marRight w:val="0"/>
                      <w:marTop w:val="0"/>
                      <w:marBottom w:val="0"/>
                      <w:divBdr>
                        <w:top w:val="none" w:sz="0" w:space="0" w:color="auto"/>
                        <w:left w:val="none" w:sz="0" w:space="0" w:color="auto"/>
                        <w:bottom w:val="none" w:sz="0" w:space="0" w:color="auto"/>
                        <w:right w:val="none" w:sz="0" w:space="0" w:color="auto"/>
                      </w:divBdr>
                      <w:divsChild>
                        <w:div w:id="554001245">
                          <w:marLeft w:val="0"/>
                          <w:marRight w:val="0"/>
                          <w:marTop w:val="0"/>
                          <w:marBottom w:val="0"/>
                          <w:divBdr>
                            <w:top w:val="single" w:sz="6" w:space="0" w:color="828282"/>
                            <w:left w:val="single" w:sz="6" w:space="0" w:color="828282"/>
                            <w:bottom w:val="single" w:sz="6" w:space="0" w:color="828282"/>
                            <w:right w:val="single" w:sz="6" w:space="0" w:color="828282"/>
                          </w:divBdr>
                          <w:divsChild>
                            <w:div w:id="417210838">
                              <w:marLeft w:val="0"/>
                              <w:marRight w:val="0"/>
                              <w:marTop w:val="0"/>
                              <w:marBottom w:val="0"/>
                              <w:divBdr>
                                <w:top w:val="none" w:sz="0" w:space="0" w:color="auto"/>
                                <w:left w:val="none" w:sz="0" w:space="0" w:color="auto"/>
                                <w:bottom w:val="none" w:sz="0" w:space="0" w:color="auto"/>
                                <w:right w:val="none" w:sz="0" w:space="0" w:color="auto"/>
                              </w:divBdr>
                              <w:divsChild>
                                <w:div w:id="699665172">
                                  <w:marLeft w:val="0"/>
                                  <w:marRight w:val="0"/>
                                  <w:marTop w:val="0"/>
                                  <w:marBottom w:val="0"/>
                                  <w:divBdr>
                                    <w:top w:val="none" w:sz="0" w:space="0" w:color="auto"/>
                                    <w:left w:val="none" w:sz="0" w:space="0" w:color="auto"/>
                                    <w:bottom w:val="none" w:sz="0" w:space="0" w:color="auto"/>
                                    <w:right w:val="none" w:sz="0" w:space="0" w:color="auto"/>
                                  </w:divBdr>
                                  <w:divsChild>
                                    <w:div w:id="1753309344">
                                      <w:marLeft w:val="0"/>
                                      <w:marRight w:val="0"/>
                                      <w:marTop w:val="0"/>
                                      <w:marBottom w:val="0"/>
                                      <w:divBdr>
                                        <w:top w:val="none" w:sz="0" w:space="0" w:color="auto"/>
                                        <w:left w:val="none" w:sz="0" w:space="0" w:color="auto"/>
                                        <w:bottom w:val="none" w:sz="0" w:space="0" w:color="auto"/>
                                        <w:right w:val="none" w:sz="0" w:space="0" w:color="auto"/>
                                      </w:divBdr>
                                      <w:divsChild>
                                        <w:div w:id="1805925970">
                                          <w:marLeft w:val="0"/>
                                          <w:marRight w:val="0"/>
                                          <w:marTop w:val="0"/>
                                          <w:marBottom w:val="0"/>
                                          <w:divBdr>
                                            <w:top w:val="none" w:sz="0" w:space="0" w:color="auto"/>
                                            <w:left w:val="none" w:sz="0" w:space="0" w:color="auto"/>
                                            <w:bottom w:val="none" w:sz="0" w:space="0" w:color="auto"/>
                                            <w:right w:val="none" w:sz="0" w:space="0" w:color="auto"/>
                                          </w:divBdr>
                                          <w:divsChild>
                                            <w:div w:id="873924935">
                                              <w:marLeft w:val="0"/>
                                              <w:marRight w:val="0"/>
                                              <w:marTop w:val="0"/>
                                              <w:marBottom w:val="0"/>
                                              <w:divBdr>
                                                <w:top w:val="none" w:sz="0" w:space="0" w:color="auto"/>
                                                <w:left w:val="none" w:sz="0" w:space="0" w:color="auto"/>
                                                <w:bottom w:val="none" w:sz="0" w:space="0" w:color="auto"/>
                                                <w:right w:val="none" w:sz="0" w:space="0" w:color="auto"/>
                                              </w:divBdr>
                                              <w:divsChild>
                                                <w:div w:id="4288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412732">
      <w:bodyDiv w:val="1"/>
      <w:marLeft w:val="0"/>
      <w:marRight w:val="0"/>
      <w:marTop w:val="0"/>
      <w:marBottom w:val="0"/>
      <w:divBdr>
        <w:top w:val="none" w:sz="0" w:space="0" w:color="auto"/>
        <w:left w:val="none" w:sz="0" w:space="0" w:color="auto"/>
        <w:bottom w:val="none" w:sz="0" w:space="0" w:color="auto"/>
        <w:right w:val="none" w:sz="0" w:space="0" w:color="auto"/>
      </w:divBdr>
    </w:div>
    <w:div w:id="1032730116">
      <w:bodyDiv w:val="1"/>
      <w:marLeft w:val="0"/>
      <w:marRight w:val="0"/>
      <w:marTop w:val="0"/>
      <w:marBottom w:val="0"/>
      <w:divBdr>
        <w:top w:val="none" w:sz="0" w:space="0" w:color="auto"/>
        <w:left w:val="none" w:sz="0" w:space="0" w:color="auto"/>
        <w:bottom w:val="none" w:sz="0" w:space="0" w:color="auto"/>
        <w:right w:val="none" w:sz="0" w:space="0" w:color="auto"/>
      </w:divBdr>
      <w:divsChild>
        <w:div w:id="1823543125">
          <w:marLeft w:val="0"/>
          <w:marRight w:val="0"/>
          <w:marTop w:val="0"/>
          <w:marBottom w:val="0"/>
          <w:divBdr>
            <w:top w:val="none" w:sz="0" w:space="0" w:color="auto"/>
            <w:left w:val="none" w:sz="0" w:space="0" w:color="auto"/>
            <w:bottom w:val="none" w:sz="0" w:space="0" w:color="auto"/>
            <w:right w:val="none" w:sz="0" w:space="0" w:color="auto"/>
          </w:divBdr>
          <w:divsChild>
            <w:div w:id="1267543379">
              <w:marLeft w:val="0"/>
              <w:marRight w:val="0"/>
              <w:marTop w:val="0"/>
              <w:marBottom w:val="0"/>
              <w:divBdr>
                <w:top w:val="none" w:sz="0" w:space="0" w:color="auto"/>
                <w:left w:val="none" w:sz="0" w:space="0" w:color="auto"/>
                <w:bottom w:val="none" w:sz="0" w:space="0" w:color="auto"/>
                <w:right w:val="none" w:sz="0" w:space="0" w:color="auto"/>
              </w:divBdr>
              <w:divsChild>
                <w:div w:id="1648246373">
                  <w:marLeft w:val="0"/>
                  <w:marRight w:val="0"/>
                  <w:marTop w:val="0"/>
                  <w:marBottom w:val="0"/>
                  <w:divBdr>
                    <w:top w:val="none" w:sz="0" w:space="0" w:color="auto"/>
                    <w:left w:val="none" w:sz="0" w:space="0" w:color="auto"/>
                    <w:bottom w:val="none" w:sz="0" w:space="0" w:color="auto"/>
                    <w:right w:val="none" w:sz="0" w:space="0" w:color="auto"/>
                  </w:divBdr>
                  <w:divsChild>
                    <w:div w:id="1457597275">
                      <w:marLeft w:val="0"/>
                      <w:marRight w:val="0"/>
                      <w:marTop w:val="0"/>
                      <w:marBottom w:val="0"/>
                      <w:divBdr>
                        <w:top w:val="none" w:sz="0" w:space="0" w:color="auto"/>
                        <w:left w:val="none" w:sz="0" w:space="0" w:color="auto"/>
                        <w:bottom w:val="none" w:sz="0" w:space="0" w:color="auto"/>
                        <w:right w:val="none" w:sz="0" w:space="0" w:color="auto"/>
                      </w:divBdr>
                      <w:divsChild>
                        <w:div w:id="461265064">
                          <w:marLeft w:val="0"/>
                          <w:marRight w:val="0"/>
                          <w:marTop w:val="0"/>
                          <w:marBottom w:val="0"/>
                          <w:divBdr>
                            <w:top w:val="single" w:sz="6" w:space="0" w:color="828282"/>
                            <w:left w:val="single" w:sz="6" w:space="0" w:color="828282"/>
                            <w:bottom w:val="single" w:sz="6" w:space="0" w:color="828282"/>
                            <w:right w:val="single" w:sz="6" w:space="0" w:color="828282"/>
                          </w:divBdr>
                          <w:divsChild>
                            <w:div w:id="891964602">
                              <w:marLeft w:val="0"/>
                              <w:marRight w:val="0"/>
                              <w:marTop w:val="0"/>
                              <w:marBottom w:val="0"/>
                              <w:divBdr>
                                <w:top w:val="none" w:sz="0" w:space="0" w:color="auto"/>
                                <w:left w:val="none" w:sz="0" w:space="0" w:color="auto"/>
                                <w:bottom w:val="none" w:sz="0" w:space="0" w:color="auto"/>
                                <w:right w:val="none" w:sz="0" w:space="0" w:color="auto"/>
                              </w:divBdr>
                              <w:divsChild>
                                <w:div w:id="1541362842">
                                  <w:marLeft w:val="0"/>
                                  <w:marRight w:val="0"/>
                                  <w:marTop w:val="0"/>
                                  <w:marBottom w:val="0"/>
                                  <w:divBdr>
                                    <w:top w:val="none" w:sz="0" w:space="0" w:color="auto"/>
                                    <w:left w:val="none" w:sz="0" w:space="0" w:color="auto"/>
                                    <w:bottom w:val="none" w:sz="0" w:space="0" w:color="auto"/>
                                    <w:right w:val="none" w:sz="0" w:space="0" w:color="auto"/>
                                  </w:divBdr>
                                  <w:divsChild>
                                    <w:div w:id="5251531">
                                      <w:marLeft w:val="0"/>
                                      <w:marRight w:val="0"/>
                                      <w:marTop w:val="0"/>
                                      <w:marBottom w:val="0"/>
                                      <w:divBdr>
                                        <w:top w:val="none" w:sz="0" w:space="0" w:color="auto"/>
                                        <w:left w:val="none" w:sz="0" w:space="0" w:color="auto"/>
                                        <w:bottom w:val="none" w:sz="0" w:space="0" w:color="auto"/>
                                        <w:right w:val="none" w:sz="0" w:space="0" w:color="auto"/>
                                      </w:divBdr>
                                      <w:divsChild>
                                        <w:div w:id="22633318">
                                          <w:marLeft w:val="0"/>
                                          <w:marRight w:val="0"/>
                                          <w:marTop w:val="0"/>
                                          <w:marBottom w:val="0"/>
                                          <w:divBdr>
                                            <w:top w:val="none" w:sz="0" w:space="0" w:color="auto"/>
                                            <w:left w:val="none" w:sz="0" w:space="0" w:color="auto"/>
                                            <w:bottom w:val="none" w:sz="0" w:space="0" w:color="auto"/>
                                            <w:right w:val="none" w:sz="0" w:space="0" w:color="auto"/>
                                          </w:divBdr>
                                          <w:divsChild>
                                            <w:div w:id="387609978">
                                              <w:marLeft w:val="0"/>
                                              <w:marRight w:val="0"/>
                                              <w:marTop w:val="0"/>
                                              <w:marBottom w:val="0"/>
                                              <w:divBdr>
                                                <w:top w:val="none" w:sz="0" w:space="0" w:color="auto"/>
                                                <w:left w:val="none" w:sz="0" w:space="0" w:color="auto"/>
                                                <w:bottom w:val="none" w:sz="0" w:space="0" w:color="auto"/>
                                                <w:right w:val="none" w:sz="0" w:space="0" w:color="auto"/>
                                              </w:divBdr>
                                              <w:divsChild>
                                                <w:div w:id="14142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997509">
      <w:bodyDiv w:val="1"/>
      <w:marLeft w:val="0"/>
      <w:marRight w:val="0"/>
      <w:marTop w:val="0"/>
      <w:marBottom w:val="0"/>
      <w:divBdr>
        <w:top w:val="none" w:sz="0" w:space="0" w:color="auto"/>
        <w:left w:val="none" w:sz="0" w:space="0" w:color="auto"/>
        <w:bottom w:val="none" w:sz="0" w:space="0" w:color="auto"/>
        <w:right w:val="none" w:sz="0" w:space="0" w:color="auto"/>
      </w:divBdr>
      <w:divsChild>
        <w:div w:id="1075080778">
          <w:marLeft w:val="0"/>
          <w:marRight w:val="0"/>
          <w:marTop w:val="0"/>
          <w:marBottom w:val="0"/>
          <w:divBdr>
            <w:top w:val="none" w:sz="0" w:space="0" w:color="auto"/>
            <w:left w:val="none" w:sz="0" w:space="0" w:color="auto"/>
            <w:bottom w:val="none" w:sz="0" w:space="0" w:color="auto"/>
            <w:right w:val="none" w:sz="0" w:space="0" w:color="auto"/>
          </w:divBdr>
          <w:divsChild>
            <w:div w:id="2005670618">
              <w:marLeft w:val="0"/>
              <w:marRight w:val="0"/>
              <w:marTop w:val="0"/>
              <w:marBottom w:val="0"/>
              <w:divBdr>
                <w:top w:val="none" w:sz="0" w:space="0" w:color="auto"/>
                <w:left w:val="none" w:sz="0" w:space="0" w:color="auto"/>
                <w:bottom w:val="none" w:sz="0" w:space="0" w:color="auto"/>
                <w:right w:val="none" w:sz="0" w:space="0" w:color="auto"/>
              </w:divBdr>
              <w:divsChild>
                <w:div w:id="1654412303">
                  <w:marLeft w:val="0"/>
                  <w:marRight w:val="0"/>
                  <w:marTop w:val="0"/>
                  <w:marBottom w:val="0"/>
                  <w:divBdr>
                    <w:top w:val="none" w:sz="0" w:space="0" w:color="auto"/>
                    <w:left w:val="none" w:sz="0" w:space="0" w:color="auto"/>
                    <w:bottom w:val="none" w:sz="0" w:space="0" w:color="auto"/>
                    <w:right w:val="none" w:sz="0" w:space="0" w:color="auto"/>
                  </w:divBdr>
                  <w:divsChild>
                    <w:div w:id="1765958862">
                      <w:marLeft w:val="0"/>
                      <w:marRight w:val="0"/>
                      <w:marTop w:val="0"/>
                      <w:marBottom w:val="0"/>
                      <w:divBdr>
                        <w:top w:val="none" w:sz="0" w:space="0" w:color="auto"/>
                        <w:left w:val="none" w:sz="0" w:space="0" w:color="auto"/>
                        <w:bottom w:val="none" w:sz="0" w:space="0" w:color="auto"/>
                        <w:right w:val="none" w:sz="0" w:space="0" w:color="auto"/>
                      </w:divBdr>
                      <w:divsChild>
                        <w:div w:id="1806503589">
                          <w:marLeft w:val="0"/>
                          <w:marRight w:val="0"/>
                          <w:marTop w:val="0"/>
                          <w:marBottom w:val="0"/>
                          <w:divBdr>
                            <w:top w:val="single" w:sz="6" w:space="0" w:color="828282"/>
                            <w:left w:val="single" w:sz="6" w:space="0" w:color="828282"/>
                            <w:bottom w:val="single" w:sz="6" w:space="0" w:color="828282"/>
                            <w:right w:val="single" w:sz="6" w:space="0" w:color="828282"/>
                          </w:divBdr>
                          <w:divsChild>
                            <w:div w:id="731779069">
                              <w:marLeft w:val="0"/>
                              <w:marRight w:val="0"/>
                              <w:marTop w:val="0"/>
                              <w:marBottom w:val="0"/>
                              <w:divBdr>
                                <w:top w:val="none" w:sz="0" w:space="0" w:color="auto"/>
                                <w:left w:val="none" w:sz="0" w:space="0" w:color="auto"/>
                                <w:bottom w:val="none" w:sz="0" w:space="0" w:color="auto"/>
                                <w:right w:val="none" w:sz="0" w:space="0" w:color="auto"/>
                              </w:divBdr>
                              <w:divsChild>
                                <w:div w:id="741830872">
                                  <w:marLeft w:val="0"/>
                                  <w:marRight w:val="0"/>
                                  <w:marTop w:val="0"/>
                                  <w:marBottom w:val="0"/>
                                  <w:divBdr>
                                    <w:top w:val="none" w:sz="0" w:space="0" w:color="auto"/>
                                    <w:left w:val="none" w:sz="0" w:space="0" w:color="auto"/>
                                    <w:bottom w:val="none" w:sz="0" w:space="0" w:color="auto"/>
                                    <w:right w:val="none" w:sz="0" w:space="0" w:color="auto"/>
                                  </w:divBdr>
                                  <w:divsChild>
                                    <w:div w:id="622150542">
                                      <w:marLeft w:val="0"/>
                                      <w:marRight w:val="0"/>
                                      <w:marTop w:val="0"/>
                                      <w:marBottom w:val="0"/>
                                      <w:divBdr>
                                        <w:top w:val="none" w:sz="0" w:space="0" w:color="auto"/>
                                        <w:left w:val="none" w:sz="0" w:space="0" w:color="auto"/>
                                        <w:bottom w:val="none" w:sz="0" w:space="0" w:color="auto"/>
                                        <w:right w:val="none" w:sz="0" w:space="0" w:color="auto"/>
                                      </w:divBdr>
                                      <w:divsChild>
                                        <w:div w:id="891774177">
                                          <w:marLeft w:val="0"/>
                                          <w:marRight w:val="0"/>
                                          <w:marTop w:val="0"/>
                                          <w:marBottom w:val="0"/>
                                          <w:divBdr>
                                            <w:top w:val="none" w:sz="0" w:space="0" w:color="auto"/>
                                            <w:left w:val="none" w:sz="0" w:space="0" w:color="auto"/>
                                            <w:bottom w:val="none" w:sz="0" w:space="0" w:color="auto"/>
                                            <w:right w:val="none" w:sz="0" w:space="0" w:color="auto"/>
                                          </w:divBdr>
                                          <w:divsChild>
                                            <w:div w:id="1590851700">
                                              <w:marLeft w:val="0"/>
                                              <w:marRight w:val="0"/>
                                              <w:marTop w:val="0"/>
                                              <w:marBottom w:val="0"/>
                                              <w:divBdr>
                                                <w:top w:val="none" w:sz="0" w:space="0" w:color="auto"/>
                                                <w:left w:val="none" w:sz="0" w:space="0" w:color="auto"/>
                                                <w:bottom w:val="none" w:sz="0" w:space="0" w:color="auto"/>
                                                <w:right w:val="none" w:sz="0" w:space="0" w:color="auto"/>
                                              </w:divBdr>
                                              <w:divsChild>
                                                <w:div w:id="12946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4426764">
      <w:bodyDiv w:val="1"/>
      <w:marLeft w:val="0"/>
      <w:marRight w:val="0"/>
      <w:marTop w:val="0"/>
      <w:marBottom w:val="0"/>
      <w:divBdr>
        <w:top w:val="none" w:sz="0" w:space="0" w:color="auto"/>
        <w:left w:val="none" w:sz="0" w:space="0" w:color="auto"/>
        <w:bottom w:val="none" w:sz="0" w:space="0" w:color="auto"/>
        <w:right w:val="none" w:sz="0" w:space="0" w:color="auto"/>
      </w:divBdr>
      <w:divsChild>
        <w:div w:id="1101099568">
          <w:marLeft w:val="0"/>
          <w:marRight w:val="0"/>
          <w:marTop w:val="0"/>
          <w:marBottom w:val="0"/>
          <w:divBdr>
            <w:top w:val="none" w:sz="0" w:space="0" w:color="auto"/>
            <w:left w:val="none" w:sz="0" w:space="0" w:color="auto"/>
            <w:bottom w:val="none" w:sz="0" w:space="0" w:color="auto"/>
            <w:right w:val="none" w:sz="0" w:space="0" w:color="auto"/>
          </w:divBdr>
          <w:divsChild>
            <w:div w:id="1239562769">
              <w:marLeft w:val="0"/>
              <w:marRight w:val="0"/>
              <w:marTop w:val="0"/>
              <w:marBottom w:val="0"/>
              <w:divBdr>
                <w:top w:val="none" w:sz="0" w:space="0" w:color="auto"/>
                <w:left w:val="none" w:sz="0" w:space="0" w:color="auto"/>
                <w:bottom w:val="none" w:sz="0" w:space="0" w:color="auto"/>
                <w:right w:val="none" w:sz="0" w:space="0" w:color="auto"/>
              </w:divBdr>
              <w:divsChild>
                <w:div w:id="882667616">
                  <w:marLeft w:val="0"/>
                  <w:marRight w:val="0"/>
                  <w:marTop w:val="0"/>
                  <w:marBottom w:val="0"/>
                  <w:divBdr>
                    <w:top w:val="none" w:sz="0" w:space="0" w:color="auto"/>
                    <w:left w:val="none" w:sz="0" w:space="0" w:color="auto"/>
                    <w:bottom w:val="none" w:sz="0" w:space="0" w:color="auto"/>
                    <w:right w:val="none" w:sz="0" w:space="0" w:color="auto"/>
                  </w:divBdr>
                  <w:divsChild>
                    <w:div w:id="1734813900">
                      <w:marLeft w:val="0"/>
                      <w:marRight w:val="0"/>
                      <w:marTop w:val="0"/>
                      <w:marBottom w:val="0"/>
                      <w:divBdr>
                        <w:top w:val="none" w:sz="0" w:space="0" w:color="auto"/>
                        <w:left w:val="none" w:sz="0" w:space="0" w:color="auto"/>
                        <w:bottom w:val="none" w:sz="0" w:space="0" w:color="auto"/>
                        <w:right w:val="none" w:sz="0" w:space="0" w:color="auto"/>
                      </w:divBdr>
                      <w:divsChild>
                        <w:div w:id="332728196">
                          <w:marLeft w:val="0"/>
                          <w:marRight w:val="0"/>
                          <w:marTop w:val="0"/>
                          <w:marBottom w:val="0"/>
                          <w:divBdr>
                            <w:top w:val="single" w:sz="6" w:space="0" w:color="828282"/>
                            <w:left w:val="single" w:sz="6" w:space="0" w:color="828282"/>
                            <w:bottom w:val="single" w:sz="6" w:space="0" w:color="828282"/>
                            <w:right w:val="single" w:sz="6" w:space="0" w:color="828282"/>
                          </w:divBdr>
                          <w:divsChild>
                            <w:div w:id="1038049441">
                              <w:marLeft w:val="0"/>
                              <w:marRight w:val="0"/>
                              <w:marTop w:val="0"/>
                              <w:marBottom w:val="0"/>
                              <w:divBdr>
                                <w:top w:val="none" w:sz="0" w:space="0" w:color="auto"/>
                                <w:left w:val="none" w:sz="0" w:space="0" w:color="auto"/>
                                <w:bottom w:val="none" w:sz="0" w:space="0" w:color="auto"/>
                                <w:right w:val="none" w:sz="0" w:space="0" w:color="auto"/>
                              </w:divBdr>
                              <w:divsChild>
                                <w:div w:id="182525048">
                                  <w:marLeft w:val="0"/>
                                  <w:marRight w:val="0"/>
                                  <w:marTop w:val="0"/>
                                  <w:marBottom w:val="0"/>
                                  <w:divBdr>
                                    <w:top w:val="none" w:sz="0" w:space="0" w:color="auto"/>
                                    <w:left w:val="none" w:sz="0" w:space="0" w:color="auto"/>
                                    <w:bottom w:val="none" w:sz="0" w:space="0" w:color="auto"/>
                                    <w:right w:val="none" w:sz="0" w:space="0" w:color="auto"/>
                                  </w:divBdr>
                                  <w:divsChild>
                                    <w:div w:id="334265313">
                                      <w:marLeft w:val="0"/>
                                      <w:marRight w:val="0"/>
                                      <w:marTop w:val="0"/>
                                      <w:marBottom w:val="0"/>
                                      <w:divBdr>
                                        <w:top w:val="none" w:sz="0" w:space="0" w:color="auto"/>
                                        <w:left w:val="none" w:sz="0" w:space="0" w:color="auto"/>
                                        <w:bottom w:val="none" w:sz="0" w:space="0" w:color="auto"/>
                                        <w:right w:val="none" w:sz="0" w:space="0" w:color="auto"/>
                                      </w:divBdr>
                                      <w:divsChild>
                                        <w:div w:id="507452335">
                                          <w:marLeft w:val="0"/>
                                          <w:marRight w:val="0"/>
                                          <w:marTop w:val="0"/>
                                          <w:marBottom w:val="0"/>
                                          <w:divBdr>
                                            <w:top w:val="none" w:sz="0" w:space="0" w:color="auto"/>
                                            <w:left w:val="none" w:sz="0" w:space="0" w:color="auto"/>
                                            <w:bottom w:val="none" w:sz="0" w:space="0" w:color="auto"/>
                                            <w:right w:val="none" w:sz="0" w:space="0" w:color="auto"/>
                                          </w:divBdr>
                                          <w:divsChild>
                                            <w:div w:id="1865292062">
                                              <w:marLeft w:val="0"/>
                                              <w:marRight w:val="0"/>
                                              <w:marTop w:val="0"/>
                                              <w:marBottom w:val="0"/>
                                              <w:divBdr>
                                                <w:top w:val="none" w:sz="0" w:space="0" w:color="auto"/>
                                                <w:left w:val="none" w:sz="0" w:space="0" w:color="auto"/>
                                                <w:bottom w:val="none" w:sz="0" w:space="0" w:color="auto"/>
                                                <w:right w:val="none" w:sz="0" w:space="0" w:color="auto"/>
                                              </w:divBdr>
                                              <w:divsChild>
                                                <w:div w:id="177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577752">
      <w:bodyDiv w:val="1"/>
      <w:marLeft w:val="0"/>
      <w:marRight w:val="0"/>
      <w:marTop w:val="0"/>
      <w:marBottom w:val="0"/>
      <w:divBdr>
        <w:top w:val="none" w:sz="0" w:space="0" w:color="auto"/>
        <w:left w:val="none" w:sz="0" w:space="0" w:color="auto"/>
        <w:bottom w:val="none" w:sz="0" w:space="0" w:color="auto"/>
        <w:right w:val="none" w:sz="0" w:space="0" w:color="auto"/>
      </w:divBdr>
      <w:divsChild>
        <w:div w:id="1592735089">
          <w:marLeft w:val="0"/>
          <w:marRight w:val="0"/>
          <w:marTop w:val="0"/>
          <w:marBottom w:val="0"/>
          <w:divBdr>
            <w:top w:val="none" w:sz="0" w:space="0" w:color="auto"/>
            <w:left w:val="none" w:sz="0" w:space="0" w:color="auto"/>
            <w:bottom w:val="none" w:sz="0" w:space="0" w:color="auto"/>
            <w:right w:val="none" w:sz="0" w:space="0" w:color="auto"/>
          </w:divBdr>
          <w:divsChild>
            <w:div w:id="1572689341">
              <w:marLeft w:val="0"/>
              <w:marRight w:val="0"/>
              <w:marTop w:val="0"/>
              <w:marBottom w:val="0"/>
              <w:divBdr>
                <w:top w:val="none" w:sz="0" w:space="0" w:color="auto"/>
                <w:left w:val="none" w:sz="0" w:space="0" w:color="auto"/>
                <w:bottom w:val="none" w:sz="0" w:space="0" w:color="auto"/>
                <w:right w:val="none" w:sz="0" w:space="0" w:color="auto"/>
              </w:divBdr>
              <w:divsChild>
                <w:div w:id="2052875540">
                  <w:marLeft w:val="0"/>
                  <w:marRight w:val="0"/>
                  <w:marTop w:val="0"/>
                  <w:marBottom w:val="0"/>
                  <w:divBdr>
                    <w:top w:val="none" w:sz="0" w:space="0" w:color="auto"/>
                    <w:left w:val="none" w:sz="0" w:space="0" w:color="auto"/>
                    <w:bottom w:val="none" w:sz="0" w:space="0" w:color="auto"/>
                    <w:right w:val="none" w:sz="0" w:space="0" w:color="auto"/>
                  </w:divBdr>
                  <w:divsChild>
                    <w:div w:id="1662468978">
                      <w:marLeft w:val="0"/>
                      <w:marRight w:val="0"/>
                      <w:marTop w:val="0"/>
                      <w:marBottom w:val="0"/>
                      <w:divBdr>
                        <w:top w:val="none" w:sz="0" w:space="0" w:color="auto"/>
                        <w:left w:val="none" w:sz="0" w:space="0" w:color="auto"/>
                        <w:bottom w:val="none" w:sz="0" w:space="0" w:color="auto"/>
                        <w:right w:val="none" w:sz="0" w:space="0" w:color="auto"/>
                      </w:divBdr>
                      <w:divsChild>
                        <w:div w:id="2108768743">
                          <w:marLeft w:val="0"/>
                          <w:marRight w:val="0"/>
                          <w:marTop w:val="0"/>
                          <w:marBottom w:val="0"/>
                          <w:divBdr>
                            <w:top w:val="single" w:sz="6" w:space="0" w:color="828282"/>
                            <w:left w:val="single" w:sz="6" w:space="0" w:color="828282"/>
                            <w:bottom w:val="single" w:sz="6" w:space="0" w:color="828282"/>
                            <w:right w:val="single" w:sz="6" w:space="0" w:color="828282"/>
                          </w:divBdr>
                          <w:divsChild>
                            <w:div w:id="665479906">
                              <w:marLeft w:val="0"/>
                              <w:marRight w:val="0"/>
                              <w:marTop w:val="0"/>
                              <w:marBottom w:val="0"/>
                              <w:divBdr>
                                <w:top w:val="none" w:sz="0" w:space="0" w:color="auto"/>
                                <w:left w:val="none" w:sz="0" w:space="0" w:color="auto"/>
                                <w:bottom w:val="none" w:sz="0" w:space="0" w:color="auto"/>
                                <w:right w:val="none" w:sz="0" w:space="0" w:color="auto"/>
                              </w:divBdr>
                              <w:divsChild>
                                <w:div w:id="1442455528">
                                  <w:marLeft w:val="0"/>
                                  <w:marRight w:val="0"/>
                                  <w:marTop w:val="0"/>
                                  <w:marBottom w:val="0"/>
                                  <w:divBdr>
                                    <w:top w:val="none" w:sz="0" w:space="0" w:color="auto"/>
                                    <w:left w:val="none" w:sz="0" w:space="0" w:color="auto"/>
                                    <w:bottom w:val="none" w:sz="0" w:space="0" w:color="auto"/>
                                    <w:right w:val="none" w:sz="0" w:space="0" w:color="auto"/>
                                  </w:divBdr>
                                  <w:divsChild>
                                    <w:div w:id="1375226596">
                                      <w:marLeft w:val="0"/>
                                      <w:marRight w:val="0"/>
                                      <w:marTop w:val="0"/>
                                      <w:marBottom w:val="0"/>
                                      <w:divBdr>
                                        <w:top w:val="none" w:sz="0" w:space="0" w:color="auto"/>
                                        <w:left w:val="none" w:sz="0" w:space="0" w:color="auto"/>
                                        <w:bottom w:val="none" w:sz="0" w:space="0" w:color="auto"/>
                                        <w:right w:val="none" w:sz="0" w:space="0" w:color="auto"/>
                                      </w:divBdr>
                                      <w:divsChild>
                                        <w:div w:id="45691309">
                                          <w:marLeft w:val="0"/>
                                          <w:marRight w:val="0"/>
                                          <w:marTop w:val="0"/>
                                          <w:marBottom w:val="0"/>
                                          <w:divBdr>
                                            <w:top w:val="none" w:sz="0" w:space="0" w:color="auto"/>
                                            <w:left w:val="none" w:sz="0" w:space="0" w:color="auto"/>
                                            <w:bottom w:val="none" w:sz="0" w:space="0" w:color="auto"/>
                                            <w:right w:val="none" w:sz="0" w:space="0" w:color="auto"/>
                                          </w:divBdr>
                                          <w:divsChild>
                                            <w:div w:id="2066247224">
                                              <w:marLeft w:val="0"/>
                                              <w:marRight w:val="0"/>
                                              <w:marTop w:val="0"/>
                                              <w:marBottom w:val="0"/>
                                              <w:divBdr>
                                                <w:top w:val="none" w:sz="0" w:space="0" w:color="auto"/>
                                                <w:left w:val="none" w:sz="0" w:space="0" w:color="auto"/>
                                                <w:bottom w:val="none" w:sz="0" w:space="0" w:color="auto"/>
                                                <w:right w:val="none" w:sz="0" w:space="0" w:color="auto"/>
                                              </w:divBdr>
                                              <w:divsChild>
                                                <w:div w:id="69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4133">
      <w:bodyDiv w:val="1"/>
      <w:marLeft w:val="0"/>
      <w:marRight w:val="0"/>
      <w:marTop w:val="0"/>
      <w:marBottom w:val="0"/>
      <w:divBdr>
        <w:top w:val="none" w:sz="0" w:space="0" w:color="auto"/>
        <w:left w:val="none" w:sz="0" w:space="0" w:color="auto"/>
        <w:bottom w:val="none" w:sz="0" w:space="0" w:color="auto"/>
        <w:right w:val="none" w:sz="0" w:space="0" w:color="auto"/>
      </w:divBdr>
    </w:div>
    <w:div w:id="1239441704">
      <w:bodyDiv w:val="1"/>
      <w:marLeft w:val="0"/>
      <w:marRight w:val="0"/>
      <w:marTop w:val="0"/>
      <w:marBottom w:val="0"/>
      <w:divBdr>
        <w:top w:val="none" w:sz="0" w:space="0" w:color="auto"/>
        <w:left w:val="none" w:sz="0" w:space="0" w:color="auto"/>
        <w:bottom w:val="none" w:sz="0" w:space="0" w:color="auto"/>
        <w:right w:val="none" w:sz="0" w:space="0" w:color="auto"/>
      </w:divBdr>
      <w:divsChild>
        <w:div w:id="1340036798">
          <w:marLeft w:val="0"/>
          <w:marRight w:val="0"/>
          <w:marTop w:val="0"/>
          <w:marBottom w:val="0"/>
          <w:divBdr>
            <w:top w:val="none" w:sz="0" w:space="0" w:color="auto"/>
            <w:left w:val="none" w:sz="0" w:space="0" w:color="auto"/>
            <w:bottom w:val="none" w:sz="0" w:space="0" w:color="auto"/>
            <w:right w:val="none" w:sz="0" w:space="0" w:color="auto"/>
          </w:divBdr>
          <w:divsChild>
            <w:div w:id="1517767007">
              <w:marLeft w:val="0"/>
              <w:marRight w:val="0"/>
              <w:marTop w:val="0"/>
              <w:marBottom w:val="0"/>
              <w:divBdr>
                <w:top w:val="none" w:sz="0" w:space="0" w:color="auto"/>
                <w:left w:val="none" w:sz="0" w:space="0" w:color="auto"/>
                <w:bottom w:val="none" w:sz="0" w:space="0" w:color="auto"/>
                <w:right w:val="none" w:sz="0" w:space="0" w:color="auto"/>
              </w:divBdr>
              <w:divsChild>
                <w:div w:id="1648624716">
                  <w:marLeft w:val="0"/>
                  <w:marRight w:val="0"/>
                  <w:marTop w:val="0"/>
                  <w:marBottom w:val="0"/>
                  <w:divBdr>
                    <w:top w:val="none" w:sz="0" w:space="0" w:color="auto"/>
                    <w:left w:val="none" w:sz="0" w:space="0" w:color="auto"/>
                    <w:bottom w:val="none" w:sz="0" w:space="0" w:color="auto"/>
                    <w:right w:val="none" w:sz="0" w:space="0" w:color="auto"/>
                  </w:divBdr>
                  <w:divsChild>
                    <w:div w:id="2014455933">
                      <w:marLeft w:val="0"/>
                      <w:marRight w:val="0"/>
                      <w:marTop w:val="0"/>
                      <w:marBottom w:val="0"/>
                      <w:divBdr>
                        <w:top w:val="none" w:sz="0" w:space="0" w:color="auto"/>
                        <w:left w:val="none" w:sz="0" w:space="0" w:color="auto"/>
                        <w:bottom w:val="none" w:sz="0" w:space="0" w:color="auto"/>
                        <w:right w:val="none" w:sz="0" w:space="0" w:color="auto"/>
                      </w:divBdr>
                      <w:divsChild>
                        <w:div w:id="525368111">
                          <w:marLeft w:val="0"/>
                          <w:marRight w:val="0"/>
                          <w:marTop w:val="0"/>
                          <w:marBottom w:val="0"/>
                          <w:divBdr>
                            <w:top w:val="single" w:sz="6" w:space="0" w:color="828282"/>
                            <w:left w:val="single" w:sz="6" w:space="0" w:color="828282"/>
                            <w:bottom w:val="single" w:sz="6" w:space="0" w:color="828282"/>
                            <w:right w:val="single" w:sz="6" w:space="0" w:color="828282"/>
                          </w:divBdr>
                          <w:divsChild>
                            <w:div w:id="1607151713">
                              <w:marLeft w:val="0"/>
                              <w:marRight w:val="0"/>
                              <w:marTop w:val="0"/>
                              <w:marBottom w:val="0"/>
                              <w:divBdr>
                                <w:top w:val="none" w:sz="0" w:space="0" w:color="auto"/>
                                <w:left w:val="none" w:sz="0" w:space="0" w:color="auto"/>
                                <w:bottom w:val="none" w:sz="0" w:space="0" w:color="auto"/>
                                <w:right w:val="none" w:sz="0" w:space="0" w:color="auto"/>
                              </w:divBdr>
                              <w:divsChild>
                                <w:div w:id="156385827">
                                  <w:marLeft w:val="0"/>
                                  <w:marRight w:val="0"/>
                                  <w:marTop w:val="0"/>
                                  <w:marBottom w:val="0"/>
                                  <w:divBdr>
                                    <w:top w:val="none" w:sz="0" w:space="0" w:color="auto"/>
                                    <w:left w:val="none" w:sz="0" w:space="0" w:color="auto"/>
                                    <w:bottom w:val="none" w:sz="0" w:space="0" w:color="auto"/>
                                    <w:right w:val="none" w:sz="0" w:space="0" w:color="auto"/>
                                  </w:divBdr>
                                  <w:divsChild>
                                    <w:div w:id="969360067">
                                      <w:marLeft w:val="0"/>
                                      <w:marRight w:val="0"/>
                                      <w:marTop w:val="0"/>
                                      <w:marBottom w:val="0"/>
                                      <w:divBdr>
                                        <w:top w:val="none" w:sz="0" w:space="0" w:color="auto"/>
                                        <w:left w:val="none" w:sz="0" w:space="0" w:color="auto"/>
                                        <w:bottom w:val="none" w:sz="0" w:space="0" w:color="auto"/>
                                        <w:right w:val="none" w:sz="0" w:space="0" w:color="auto"/>
                                      </w:divBdr>
                                      <w:divsChild>
                                        <w:div w:id="1617173564">
                                          <w:marLeft w:val="0"/>
                                          <w:marRight w:val="0"/>
                                          <w:marTop w:val="0"/>
                                          <w:marBottom w:val="0"/>
                                          <w:divBdr>
                                            <w:top w:val="none" w:sz="0" w:space="0" w:color="auto"/>
                                            <w:left w:val="none" w:sz="0" w:space="0" w:color="auto"/>
                                            <w:bottom w:val="none" w:sz="0" w:space="0" w:color="auto"/>
                                            <w:right w:val="none" w:sz="0" w:space="0" w:color="auto"/>
                                          </w:divBdr>
                                          <w:divsChild>
                                            <w:div w:id="240720503">
                                              <w:marLeft w:val="0"/>
                                              <w:marRight w:val="0"/>
                                              <w:marTop w:val="0"/>
                                              <w:marBottom w:val="0"/>
                                              <w:divBdr>
                                                <w:top w:val="none" w:sz="0" w:space="0" w:color="auto"/>
                                                <w:left w:val="none" w:sz="0" w:space="0" w:color="auto"/>
                                                <w:bottom w:val="none" w:sz="0" w:space="0" w:color="auto"/>
                                                <w:right w:val="none" w:sz="0" w:space="0" w:color="auto"/>
                                              </w:divBdr>
                                              <w:divsChild>
                                                <w:div w:id="16199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88423">
      <w:bodyDiv w:val="1"/>
      <w:marLeft w:val="0"/>
      <w:marRight w:val="0"/>
      <w:marTop w:val="0"/>
      <w:marBottom w:val="0"/>
      <w:divBdr>
        <w:top w:val="none" w:sz="0" w:space="0" w:color="auto"/>
        <w:left w:val="none" w:sz="0" w:space="0" w:color="auto"/>
        <w:bottom w:val="none" w:sz="0" w:space="0" w:color="auto"/>
        <w:right w:val="none" w:sz="0" w:space="0" w:color="auto"/>
      </w:divBdr>
      <w:divsChild>
        <w:div w:id="1031805603">
          <w:marLeft w:val="0"/>
          <w:marRight w:val="0"/>
          <w:marTop w:val="0"/>
          <w:marBottom w:val="0"/>
          <w:divBdr>
            <w:top w:val="none" w:sz="0" w:space="0" w:color="auto"/>
            <w:left w:val="none" w:sz="0" w:space="0" w:color="auto"/>
            <w:bottom w:val="none" w:sz="0" w:space="0" w:color="auto"/>
            <w:right w:val="none" w:sz="0" w:space="0" w:color="auto"/>
          </w:divBdr>
          <w:divsChild>
            <w:div w:id="1845974597">
              <w:marLeft w:val="0"/>
              <w:marRight w:val="0"/>
              <w:marTop w:val="0"/>
              <w:marBottom w:val="0"/>
              <w:divBdr>
                <w:top w:val="none" w:sz="0" w:space="0" w:color="auto"/>
                <w:left w:val="none" w:sz="0" w:space="0" w:color="auto"/>
                <w:bottom w:val="none" w:sz="0" w:space="0" w:color="auto"/>
                <w:right w:val="none" w:sz="0" w:space="0" w:color="auto"/>
              </w:divBdr>
              <w:divsChild>
                <w:div w:id="1508211059">
                  <w:marLeft w:val="0"/>
                  <w:marRight w:val="0"/>
                  <w:marTop w:val="0"/>
                  <w:marBottom w:val="0"/>
                  <w:divBdr>
                    <w:top w:val="none" w:sz="0" w:space="0" w:color="auto"/>
                    <w:left w:val="none" w:sz="0" w:space="0" w:color="auto"/>
                    <w:bottom w:val="none" w:sz="0" w:space="0" w:color="auto"/>
                    <w:right w:val="none" w:sz="0" w:space="0" w:color="auto"/>
                  </w:divBdr>
                  <w:divsChild>
                    <w:div w:id="305859227">
                      <w:marLeft w:val="0"/>
                      <w:marRight w:val="0"/>
                      <w:marTop w:val="0"/>
                      <w:marBottom w:val="0"/>
                      <w:divBdr>
                        <w:top w:val="none" w:sz="0" w:space="0" w:color="auto"/>
                        <w:left w:val="none" w:sz="0" w:space="0" w:color="auto"/>
                        <w:bottom w:val="none" w:sz="0" w:space="0" w:color="auto"/>
                        <w:right w:val="none" w:sz="0" w:space="0" w:color="auto"/>
                      </w:divBdr>
                      <w:divsChild>
                        <w:div w:id="1081638261">
                          <w:marLeft w:val="0"/>
                          <w:marRight w:val="0"/>
                          <w:marTop w:val="0"/>
                          <w:marBottom w:val="0"/>
                          <w:divBdr>
                            <w:top w:val="single" w:sz="6" w:space="0" w:color="828282"/>
                            <w:left w:val="single" w:sz="6" w:space="0" w:color="828282"/>
                            <w:bottom w:val="single" w:sz="6" w:space="0" w:color="828282"/>
                            <w:right w:val="single" w:sz="6" w:space="0" w:color="828282"/>
                          </w:divBdr>
                          <w:divsChild>
                            <w:div w:id="461005038">
                              <w:marLeft w:val="0"/>
                              <w:marRight w:val="0"/>
                              <w:marTop w:val="0"/>
                              <w:marBottom w:val="0"/>
                              <w:divBdr>
                                <w:top w:val="none" w:sz="0" w:space="0" w:color="auto"/>
                                <w:left w:val="none" w:sz="0" w:space="0" w:color="auto"/>
                                <w:bottom w:val="none" w:sz="0" w:space="0" w:color="auto"/>
                                <w:right w:val="none" w:sz="0" w:space="0" w:color="auto"/>
                              </w:divBdr>
                              <w:divsChild>
                                <w:div w:id="708652466">
                                  <w:marLeft w:val="0"/>
                                  <w:marRight w:val="0"/>
                                  <w:marTop w:val="0"/>
                                  <w:marBottom w:val="0"/>
                                  <w:divBdr>
                                    <w:top w:val="none" w:sz="0" w:space="0" w:color="auto"/>
                                    <w:left w:val="none" w:sz="0" w:space="0" w:color="auto"/>
                                    <w:bottom w:val="none" w:sz="0" w:space="0" w:color="auto"/>
                                    <w:right w:val="none" w:sz="0" w:space="0" w:color="auto"/>
                                  </w:divBdr>
                                  <w:divsChild>
                                    <w:div w:id="1921285872">
                                      <w:marLeft w:val="0"/>
                                      <w:marRight w:val="0"/>
                                      <w:marTop w:val="0"/>
                                      <w:marBottom w:val="0"/>
                                      <w:divBdr>
                                        <w:top w:val="none" w:sz="0" w:space="0" w:color="auto"/>
                                        <w:left w:val="none" w:sz="0" w:space="0" w:color="auto"/>
                                        <w:bottom w:val="none" w:sz="0" w:space="0" w:color="auto"/>
                                        <w:right w:val="none" w:sz="0" w:space="0" w:color="auto"/>
                                      </w:divBdr>
                                      <w:divsChild>
                                        <w:div w:id="306593285">
                                          <w:marLeft w:val="0"/>
                                          <w:marRight w:val="0"/>
                                          <w:marTop w:val="0"/>
                                          <w:marBottom w:val="0"/>
                                          <w:divBdr>
                                            <w:top w:val="none" w:sz="0" w:space="0" w:color="auto"/>
                                            <w:left w:val="none" w:sz="0" w:space="0" w:color="auto"/>
                                            <w:bottom w:val="none" w:sz="0" w:space="0" w:color="auto"/>
                                            <w:right w:val="none" w:sz="0" w:space="0" w:color="auto"/>
                                          </w:divBdr>
                                          <w:divsChild>
                                            <w:div w:id="177349068">
                                              <w:marLeft w:val="0"/>
                                              <w:marRight w:val="0"/>
                                              <w:marTop w:val="0"/>
                                              <w:marBottom w:val="0"/>
                                              <w:divBdr>
                                                <w:top w:val="none" w:sz="0" w:space="0" w:color="auto"/>
                                                <w:left w:val="none" w:sz="0" w:space="0" w:color="auto"/>
                                                <w:bottom w:val="none" w:sz="0" w:space="0" w:color="auto"/>
                                                <w:right w:val="none" w:sz="0" w:space="0" w:color="auto"/>
                                              </w:divBdr>
                                              <w:divsChild>
                                                <w:div w:id="40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21232">
      <w:bodyDiv w:val="1"/>
      <w:marLeft w:val="0"/>
      <w:marRight w:val="0"/>
      <w:marTop w:val="0"/>
      <w:marBottom w:val="0"/>
      <w:divBdr>
        <w:top w:val="none" w:sz="0" w:space="0" w:color="auto"/>
        <w:left w:val="none" w:sz="0" w:space="0" w:color="auto"/>
        <w:bottom w:val="none" w:sz="0" w:space="0" w:color="auto"/>
        <w:right w:val="none" w:sz="0" w:space="0" w:color="auto"/>
      </w:divBdr>
      <w:divsChild>
        <w:div w:id="1897935078">
          <w:marLeft w:val="0"/>
          <w:marRight w:val="0"/>
          <w:marTop w:val="0"/>
          <w:marBottom w:val="0"/>
          <w:divBdr>
            <w:top w:val="none" w:sz="0" w:space="0" w:color="auto"/>
            <w:left w:val="none" w:sz="0" w:space="0" w:color="auto"/>
            <w:bottom w:val="none" w:sz="0" w:space="0" w:color="auto"/>
            <w:right w:val="none" w:sz="0" w:space="0" w:color="auto"/>
          </w:divBdr>
          <w:divsChild>
            <w:div w:id="98643153">
              <w:marLeft w:val="0"/>
              <w:marRight w:val="0"/>
              <w:marTop w:val="0"/>
              <w:marBottom w:val="0"/>
              <w:divBdr>
                <w:top w:val="none" w:sz="0" w:space="0" w:color="auto"/>
                <w:left w:val="none" w:sz="0" w:space="0" w:color="auto"/>
                <w:bottom w:val="none" w:sz="0" w:space="0" w:color="auto"/>
                <w:right w:val="none" w:sz="0" w:space="0" w:color="auto"/>
              </w:divBdr>
              <w:divsChild>
                <w:div w:id="555048646">
                  <w:marLeft w:val="0"/>
                  <w:marRight w:val="0"/>
                  <w:marTop w:val="0"/>
                  <w:marBottom w:val="0"/>
                  <w:divBdr>
                    <w:top w:val="none" w:sz="0" w:space="0" w:color="auto"/>
                    <w:left w:val="none" w:sz="0" w:space="0" w:color="auto"/>
                    <w:bottom w:val="none" w:sz="0" w:space="0" w:color="auto"/>
                    <w:right w:val="none" w:sz="0" w:space="0" w:color="auto"/>
                  </w:divBdr>
                  <w:divsChild>
                    <w:div w:id="217712865">
                      <w:marLeft w:val="0"/>
                      <w:marRight w:val="0"/>
                      <w:marTop w:val="0"/>
                      <w:marBottom w:val="0"/>
                      <w:divBdr>
                        <w:top w:val="none" w:sz="0" w:space="0" w:color="auto"/>
                        <w:left w:val="none" w:sz="0" w:space="0" w:color="auto"/>
                        <w:bottom w:val="none" w:sz="0" w:space="0" w:color="auto"/>
                        <w:right w:val="none" w:sz="0" w:space="0" w:color="auto"/>
                      </w:divBdr>
                      <w:divsChild>
                        <w:div w:id="2048215135">
                          <w:marLeft w:val="0"/>
                          <w:marRight w:val="0"/>
                          <w:marTop w:val="0"/>
                          <w:marBottom w:val="0"/>
                          <w:divBdr>
                            <w:top w:val="single" w:sz="6" w:space="0" w:color="828282"/>
                            <w:left w:val="single" w:sz="6" w:space="0" w:color="828282"/>
                            <w:bottom w:val="single" w:sz="6" w:space="0" w:color="828282"/>
                            <w:right w:val="single" w:sz="6" w:space="0" w:color="828282"/>
                          </w:divBdr>
                          <w:divsChild>
                            <w:div w:id="233398242">
                              <w:marLeft w:val="0"/>
                              <w:marRight w:val="0"/>
                              <w:marTop w:val="0"/>
                              <w:marBottom w:val="0"/>
                              <w:divBdr>
                                <w:top w:val="none" w:sz="0" w:space="0" w:color="auto"/>
                                <w:left w:val="none" w:sz="0" w:space="0" w:color="auto"/>
                                <w:bottom w:val="none" w:sz="0" w:space="0" w:color="auto"/>
                                <w:right w:val="none" w:sz="0" w:space="0" w:color="auto"/>
                              </w:divBdr>
                              <w:divsChild>
                                <w:div w:id="245697370">
                                  <w:marLeft w:val="0"/>
                                  <w:marRight w:val="0"/>
                                  <w:marTop w:val="0"/>
                                  <w:marBottom w:val="0"/>
                                  <w:divBdr>
                                    <w:top w:val="none" w:sz="0" w:space="0" w:color="auto"/>
                                    <w:left w:val="none" w:sz="0" w:space="0" w:color="auto"/>
                                    <w:bottom w:val="none" w:sz="0" w:space="0" w:color="auto"/>
                                    <w:right w:val="none" w:sz="0" w:space="0" w:color="auto"/>
                                  </w:divBdr>
                                  <w:divsChild>
                                    <w:div w:id="1497961935">
                                      <w:marLeft w:val="0"/>
                                      <w:marRight w:val="0"/>
                                      <w:marTop w:val="0"/>
                                      <w:marBottom w:val="0"/>
                                      <w:divBdr>
                                        <w:top w:val="none" w:sz="0" w:space="0" w:color="auto"/>
                                        <w:left w:val="none" w:sz="0" w:space="0" w:color="auto"/>
                                        <w:bottom w:val="none" w:sz="0" w:space="0" w:color="auto"/>
                                        <w:right w:val="none" w:sz="0" w:space="0" w:color="auto"/>
                                      </w:divBdr>
                                      <w:divsChild>
                                        <w:div w:id="2059159189">
                                          <w:marLeft w:val="0"/>
                                          <w:marRight w:val="0"/>
                                          <w:marTop w:val="0"/>
                                          <w:marBottom w:val="0"/>
                                          <w:divBdr>
                                            <w:top w:val="none" w:sz="0" w:space="0" w:color="auto"/>
                                            <w:left w:val="none" w:sz="0" w:space="0" w:color="auto"/>
                                            <w:bottom w:val="none" w:sz="0" w:space="0" w:color="auto"/>
                                            <w:right w:val="none" w:sz="0" w:space="0" w:color="auto"/>
                                          </w:divBdr>
                                          <w:divsChild>
                                            <w:div w:id="195118925">
                                              <w:marLeft w:val="0"/>
                                              <w:marRight w:val="0"/>
                                              <w:marTop w:val="0"/>
                                              <w:marBottom w:val="0"/>
                                              <w:divBdr>
                                                <w:top w:val="none" w:sz="0" w:space="0" w:color="auto"/>
                                                <w:left w:val="none" w:sz="0" w:space="0" w:color="auto"/>
                                                <w:bottom w:val="none" w:sz="0" w:space="0" w:color="auto"/>
                                                <w:right w:val="none" w:sz="0" w:space="0" w:color="auto"/>
                                              </w:divBdr>
                                              <w:divsChild>
                                                <w:div w:id="62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7F4D3-6094-429D-928A-2CA5AC4210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E3C81-4F41-4988-B03C-BED93190B5F9}">
  <ds:schemaRefs>
    <ds:schemaRef ds:uri="http://schemas.microsoft.com/sharepoint/v3/contenttype/forms"/>
  </ds:schemaRefs>
</ds:datastoreItem>
</file>

<file path=customXml/itemProps3.xml><?xml version="1.0" encoding="utf-8"?>
<ds:datastoreItem xmlns:ds="http://schemas.openxmlformats.org/officeDocument/2006/customXml" ds:itemID="{5103A83E-5390-4F8B-9384-B2DE849D7B7A}">
  <ds:schemaRefs>
    <ds:schemaRef ds:uri="http://schemas.openxmlformats.org/officeDocument/2006/bibliography"/>
  </ds:schemaRefs>
</ds:datastoreItem>
</file>

<file path=customXml/itemProps4.xml><?xml version="1.0" encoding="utf-8"?>
<ds:datastoreItem xmlns:ds="http://schemas.openxmlformats.org/officeDocument/2006/customXml" ds:itemID="{7B75BCCA-BDA7-4E7F-9945-906BF5843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8319</Characters>
  <Application>Microsoft Office Word</Application>
  <DocSecurity>0</DocSecurity>
  <Lines>141</Lines>
  <Paragraphs>63</Paragraphs>
  <ScaleCrop>false</ScaleCrop>
  <Company>Australian Communications and Media Authority</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jchua</dc:creator>
  <cp:keywords/>
  <cp:lastModifiedBy>Graeme McDonald</cp:lastModifiedBy>
  <cp:revision>4</cp:revision>
  <cp:lastPrinted>2014-05-18T07:55:00Z</cp:lastPrinted>
  <dcterms:created xsi:type="dcterms:W3CDTF">2025-03-18T00:20:00Z</dcterms:created>
  <dcterms:modified xsi:type="dcterms:W3CDTF">2025-03-19T00:41:00Z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e5a3f335-45e2-4c55-a83c-d78876b6e75b</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2013-02-13T14:09:10.6509204+11:00</vt:lpwstr>
  </property>
  <property fmtid="{D5CDD505-2E9C-101B-9397-08002B2CF9AE}" pid="9" name="RecordPoint_ActiveItemUniqueId">
    <vt:lpwstr>{e5a3f335-45e2-4c55-a83c-d78876b6e75b}</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