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DDDFD" w14:textId="0A2AD23B" w:rsidR="00F311DE" w:rsidRPr="00961E06" w:rsidRDefault="00F311DE" w:rsidP="00946DF7">
      <w:pPr>
        <w:jc w:val="center"/>
        <w:rPr>
          <w:rFonts w:ascii="Times New Roman" w:hAnsi="Times New Roman" w:cs="Times New Roman"/>
          <w:b/>
          <w:bCs/>
        </w:rPr>
      </w:pPr>
      <w:r w:rsidRPr="00961E06">
        <w:rPr>
          <w:rFonts w:ascii="Times New Roman" w:hAnsi="Times New Roman" w:cs="Times New Roman"/>
          <w:b/>
          <w:bCs/>
          <w:u w:val="single"/>
        </w:rPr>
        <w:t>SUPPLEMENTARY EXPLANATORY STATEMENT</w:t>
      </w:r>
    </w:p>
    <w:p w14:paraId="6C38D407" w14:textId="162778CD" w:rsidR="00F311DE" w:rsidRPr="00961E06" w:rsidRDefault="006F61DB" w:rsidP="00946DF7">
      <w:pPr>
        <w:jc w:val="center"/>
        <w:rPr>
          <w:rFonts w:ascii="Times New Roman" w:hAnsi="Times New Roman" w:cs="Times New Roman"/>
        </w:rPr>
      </w:pPr>
      <w:r w:rsidRPr="00961E06">
        <w:rPr>
          <w:rFonts w:ascii="Times New Roman" w:hAnsi="Times New Roman" w:cs="Times New Roman"/>
          <w:u w:val="single"/>
        </w:rPr>
        <w:t xml:space="preserve">Issued by the Authority of the Secretary </w:t>
      </w:r>
      <w:r w:rsidR="00750213" w:rsidRPr="00961E06">
        <w:rPr>
          <w:rFonts w:ascii="Times New Roman" w:hAnsi="Times New Roman" w:cs="Times New Roman"/>
          <w:u w:val="single"/>
        </w:rPr>
        <w:t>of</w:t>
      </w:r>
      <w:r w:rsidRPr="00961E06">
        <w:rPr>
          <w:rFonts w:ascii="Times New Roman" w:hAnsi="Times New Roman" w:cs="Times New Roman"/>
          <w:u w:val="single"/>
        </w:rPr>
        <w:t xml:space="preserve"> the Department of Agriculture, Fisheries and Forestry</w:t>
      </w:r>
    </w:p>
    <w:p w14:paraId="6CA6EC93" w14:textId="2C2C77CF" w:rsidR="00EB12C7" w:rsidRPr="00961E06" w:rsidRDefault="00EB12C7" w:rsidP="00946DF7">
      <w:pPr>
        <w:jc w:val="center"/>
        <w:rPr>
          <w:rFonts w:ascii="Times New Roman" w:hAnsi="Times New Roman" w:cs="Times New Roman"/>
          <w:i/>
          <w:iCs/>
        </w:rPr>
      </w:pPr>
      <w:r w:rsidRPr="00961E06">
        <w:rPr>
          <w:rFonts w:ascii="Times New Roman" w:hAnsi="Times New Roman" w:cs="Times New Roman"/>
          <w:i/>
          <w:iCs/>
        </w:rPr>
        <w:t>Primary Industries Levies and Charges Collection Act 2024</w:t>
      </w:r>
    </w:p>
    <w:p w14:paraId="461C82FD" w14:textId="328F3174" w:rsidR="00EB12C7" w:rsidRPr="00961E06" w:rsidRDefault="00EB12C7" w:rsidP="00946DF7">
      <w:pPr>
        <w:jc w:val="center"/>
        <w:rPr>
          <w:rFonts w:ascii="Times New Roman" w:hAnsi="Times New Roman" w:cs="Times New Roman"/>
        </w:rPr>
      </w:pPr>
      <w:r w:rsidRPr="00961E06">
        <w:rPr>
          <w:rFonts w:ascii="Times New Roman" w:hAnsi="Times New Roman" w:cs="Times New Roman"/>
          <w:i/>
          <w:iCs/>
        </w:rPr>
        <w:t>Primary Industries Levies and Charges Collection</w:t>
      </w:r>
      <w:r w:rsidR="009E2BAE" w:rsidRPr="00961E06">
        <w:rPr>
          <w:rFonts w:ascii="Times New Roman" w:hAnsi="Times New Roman" w:cs="Times New Roman"/>
          <w:i/>
          <w:iCs/>
        </w:rPr>
        <w:t xml:space="preserve"> Amendment (Honey) </w:t>
      </w:r>
      <w:r w:rsidRPr="00961E06">
        <w:rPr>
          <w:rFonts w:ascii="Times New Roman" w:hAnsi="Times New Roman" w:cs="Times New Roman"/>
          <w:i/>
          <w:iCs/>
        </w:rPr>
        <w:t>Rules 202</w:t>
      </w:r>
      <w:r w:rsidR="009E2BAE" w:rsidRPr="00961E06">
        <w:rPr>
          <w:rFonts w:ascii="Times New Roman" w:hAnsi="Times New Roman" w:cs="Times New Roman"/>
          <w:i/>
          <w:iCs/>
        </w:rPr>
        <w:t>5</w:t>
      </w:r>
    </w:p>
    <w:p w14:paraId="1CFC944F" w14:textId="226F8D45" w:rsidR="002D6B7E" w:rsidRPr="00961E06" w:rsidRDefault="002D6B7E" w:rsidP="004D6CED">
      <w:pPr>
        <w:jc w:val="both"/>
        <w:rPr>
          <w:rFonts w:ascii="Times New Roman" w:hAnsi="Times New Roman" w:cs="Times New Roman"/>
        </w:rPr>
      </w:pPr>
      <w:r w:rsidRPr="00961E06">
        <w:rPr>
          <w:rFonts w:ascii="Times New Roman" w:hAnsi="Times New Roman" w:cs="Times New Roman"/>
          <w:b/>
          <w:bCs/>
        </w:rPr>
        <w:t>Purpose of the Supplementary Explanatory Statement</w:t>
      </w:r>
    </w:p>
    <w:p w14:paraId="006D03BF" w14:textId="304E7128" w:rsidR="00561DE3" w:rsidRPr="00961E06" w:rsidRDefault="002D6B7E" w:rsidP="00EE60BE">
      <w:pPr>
        <w:rPr>
          <w:rFonts w:ascii="Times New Roman" w:hAnsi="Times New Roman" w:cs="Times New Roman"/>
        </w:rPr>
      </w:pPr>
      <w:r w:rsidRPr="00961E06">
        <w:rPr>
          <w:rFonts w:ascii="Times New Roman" w:hAnsi="Times New Roman" w:cs="Times New Roman"/>
        </w:rPr>
        <w:t xml:space="preserve">This Supplementary Explanatory Statement </w:t>
      </w:r>
      <w:r w:rsidR="00296BA3" w:rsidRPr="00961E06">
        <w:rPr>
          <w:rFonts w:ascii="Times New Roman" w:hAnsi="Times New Roman" w:cs="Times New Roman"/>
        </w:rPr>
        <w:t xml:space="preserve">amends and </w:t>
      </w:r>
      <w:r w:rsidRPr="00961E06">
        <w:rPr>
          <w:rFonts w:ascii="Times New Roman" w:hAnsi="Times New Roman" w:cs="Times New Roman"/>
        </w:rPr>
        <w:t xml:space="preserve">supplements the initial explanatory statement to the </w:t>
      </w:r>
      <w:r w:rsidR="00D94E30" w:rsidRPr="00961E06">
        <w:rPr>
          <w:rFonts w:ascii="Times New Roman" w:hAnsi="Times New Roman" w:cs="Times New Roman"/>
          <w:i/>
          <w:iCs/>
        </w:rPr>
        <w:t xml:space="preserve">Primary Industries Levies and Charges Collection </w:t>
      </w:r>
      <w:r w:rsidR="00D71BE2" w:rsidRPr="00961E06">
        <w:rPr>
          <w:rFonts w:ascii="Times New Roman" w:hAnsi="Times New Roman" w:cs="Times New Roman"/>
          <w:i/>
          <w:iCs/>
        </w:rPr>
        <w:t>Amendment (Honey)</w:t>
      </w:r>
      <w:r w:rsidR="00D94E30" w:rsidRPr="00961E06">
        <w:rPr>
          <w:rFonts w:ascii="Times New Roman" w:hAnsi="Times New Roman" w:cs="Times New Roman"/>
          <w:i/>
          <w:iCs/>
        </w:rPr>
        <w:t xml:space="preserve"> Rules 202</w:t>
      </w:r>
      <w:r w:rsidR="000B3CC2" w:rsidRPr="00961E06">
        <w:rPr>
          <w:rFonts w:ascii="Times New Roman" w:hAnsi="Times New Roman" w:cs="Times New Roman"/>
          <w:i/>
          <w:iCs/>
        </w:rPr>
        <w:t>5</w:t>
      </w:r>
      <w:r w:rsidR="00D94E30" w:rsidRPr="00961E06">
        <w:rPr>
          <w:rFonts w:ascii="Times New Roman" w:hAnsi="Times New Roman" w:cs="Times New Roman"/>
        </w:rPr>
        <w:t xml:space="preserve"> (</w:t>
      </w:r>
      <w:r w:rsidR="305780B3" w:rsidRPr="00961E06">
        <w:rPr>
          <w:rFonts w:ascii="Times New Roman" w:hAnsi="Times New Roman" w:cs="Times New Roman"/>
        </w:rPr>
        <w:t xml:space="preserve">the </w:t>
      </w:r>
      <w:r w:rsidRPr="00961E06">
        <w:rPr>
          <w:rFonts w:ascii="Times New Roman" w:hAnsi="Times New Roman" w:cs="Times New Roman"/>
        </w:rPr>
        <w:t>Rules</w:t>
      </w:r>
      <w:r w:rsidR="00897666" w:rsidRPr="00961E06">
        <w:rPr>
          <w:rFonts w:ascii="Times New Roman" w:hAnsi="Times New Roman" w:cs="Times New Roman"/>
        </w:rPr>
        <w:t>)</w:t>
      </w:r>
      <w:r w:rsidRPr="00961E06">
        <w:rPr>
          <w:rFonts w:ascii="Times New Roman" w:hAnsi="Times New Roman" w:cs="Times New Roman"/>
        </w:rPr>
        <w:t xml:space="preserve"> in accordance with </w:t>
      </w:r>
      <w:r w:rsidR="008B31F0" w:rsidRPr="00961E06">
        <w:rPr>
          <w:rFonts w:ascii="Times New Roman" w:hAnsi="Times New Roman" w:cs="Times New Roman"/>
        </w:rPr>
        <w:t>paragraph</w:t>
      </w:r>
      <w:r w:rsidRPr="00961E06">
        <w:rPr>
          <w:rFonts w:ascii="Times New Roman" w:hAnsi="Times New Roman" w:cs="Times New Roman"/>
        </w:rPr>
        <w:t xml:space="preserve"> 15J(1)(c) of the </w:t>
      </w:r>
      <w:r w:rsidRPr="00961E06">
        <w:rPr>
          <w:rFonts w:ascii="Times New Roman" w:hAnsi="Times New Roman" w:cs="Times New Roman"/>
          <w:i/>
          <w:iCs/>
        </w:rPr>
        <w:t>Legislation Act 2003</w:t>
      </w:r>
      <w:r w:rsidRPr="00961E06">
        <w:rPr>
          <w:rFonts w:ascii="Times New Roman" w:hAnsi="Times New Roman" w:cs="Times New Roman"/>
        </w:rPr>
        <w:t>.</w:t>
      </w:r>
      <w:r w:rsidR="00561DE3" w:rsidRPr="00961E06">
        <w:rPr>
          <w:rFonts w:ascii="Times New Roman" w:hAnsi="Times New Roman" w:cs="Times New Roman"/>
        </w:rPr>
        <w:t xml:space="preserve"> The purpose of this Supplementary Explanatory Statement is to provide additional clarifying material for </w:t>
      </w:r>
      <w:r w:rsidR="005E6E3F" w:rsidRPr="00961E06">
        <w:rPr>
          <w:rFonts w:ascii="Times New Roman" w:hAnsi="Times New Roman" w:cs="Times New Roman"/>
        </w:rPr>
        <w:t>the</w:t>
      </w:r>
      <w:r w:rsidR="00561DE3" w:rsidRPr="00961E06">
        <w:rPr>
          <w:rFonts w:ascii="Times New Roman" w:hAnsi="Times New Roman" w:cs="Times New Roman"/>
        </w:rPr>
        <w:t xml:space="preserve"> Rules.</w:t>
      </w:r>
    </w:p>
    <w:p w14:paraId="6ECBDE28" w14:textId="4886EEE3" w:rsidR="00BF6465" w:rsidRPr="00961E06" w:rsidRDefault="00BF6465" w:rsidP="00EE60BE">
      <w:pPr>
        <w:rPr>
          <w:rFonts w:ascii="Times New Roman" w:hAnsi="Times New Roman" w:cs="Times New Roman"/>
        </w:rPr>
      </w:pPr>
      <w:r w:rsidRPr="00961E06">
        <w:rPr>
          <w:rFonts w:ascii="Times New Roman" w:hAnsi="Times New Roman" w:cs="Times New Roman"/>
        </w:rPr>
        <w:t xml:space="preserve">This </w:t>
      </w:r>
      <w:r w:rsidR="006029E0" w:rsidRPr="00961E06">
        <w:rPr>
          <w:rFonts w:ascii="Times New Roman" w:hAnsi="Times New Roman" w:cs="Times New Roman"/>
        </w:rPr>
        <w:t>Supplementary Explanatory Statement</w:t>
      </w:r>
      <w:r w:rsidRPr="00961E06">
        <w:rPr>
          <w:rFonts w:ascii="Times New Roman" w:hAnsi="Times New Roman" w:cs="Times New Roman"/>
        </w:rPr>
        <w:t xml:space="preserve"> also responds to a request of the Secretariat for the Senate Standing Committee for the Scrutiny of Delegated Legislation to provide additional explanatory material in relation to </w:t>
      </w:r>
      <w:r w:rsidR="003873C6" w:rsidRPr="00961E06">
        <w:rPr>
          <w:rFonts w:ascii="Times New Roman" w:hAnsi="Times New Roman" w:cs="Times New Roman"/>
        </w:rPr>
        <w:t>the nature and scope of personal information that must be kept in records un</w:t>
      </w:r>
      <w:r w:rsidR="00E95CE6" w:rsidRPr="00961E06">
        <w:rPr>
          <w:rFonts w:ascii="Times New Roman" w:hAnsi="Times New Roman" w:cs="Times New Roman"/>
        </w:rPr>
        <w:t>der subclause 3-1(6) of the Rules and wh</w:t>
      </w:r>
      <w:r w:rsidR="00945810" w:rsidRPr="00961E06">
        <w:rPr>
          <w:rFonts w:ascii="Times New Roman" w:hAnsi="Times New Roman" w:cs="Times New Roman"/>
        </w:rPr>
        <w:t>ether the information may be required to be disclosed</w:t>
      </w:r>
      <w:r w:rsidRPr="00961E06">
        <w:rPr>
          <w:rFonts w:ascii="Times New Roman" w:hAnsi="Times New Roman" w:cs="Times New Roman"/>
        </w:rPr>
        <w:t xml:space="preserve">; </w:t>
      </w:r>
      <w:r w:rsidR="00F6246C" w:rsidRPr="00961E06">
        <w:rPr>
          <w:rFonts w:ascii="Times New Roman" w:hAnsi="Times New Roman" w:cs="Times New Roman"/>
        </w:rPr>
        <w:t xml:space="preserve">the </w:t>
      </w:r>
      <w:r w:rsidR="00351E14" w:rsidRPr="00961E06">
        <w:rPr>
          <w:rFonts w:ascii="Times New Roman" w:hAnsi="Times New Roman" w:cs="Times New Roman"/>
        </w:rPr>
        <w:t xml:space="preserve">safeguards in place to protect personal information; </w:t>
      </w:r>
      <w:r w:rsidR="00352EF2" w:rsidRPr="00961E06">
        <w:rPr>
          <w:rFonts w:ascii="Times New Roman" w:hAnsi="Times New Roman" w:cs="Times New Roman"/>
        </w:rPr>
        <w:t xml:space="preserve">specifying a strict liability offence and civil penalty </w:t>
      </w:r>
      <w:r w:rsidR="00146A92" w:rsidRPr="00961E06">
        <w:rPr>
          <w:rFonts w:ascii="Times New Roman" w:hAnsi="Times New Roman" w:cs="Times New Roman"/>
        </w:rPr>
        <w:t xml:space="preserve">elements in delegated legislation; </w:t>
      </w:r>
      <w:r w:rsidR="007F0F94" w:rsidRPr="00961E06">
        <w:rPr>
          <w:rFonts w:ascii="Times New Roman" w:hAnsi="Times New Roman" w:cs="Times New Roman"/>
        </w:rPr>
        <w:t xml:space="preserve">and </w:t>
      </w:r>
      <w:r w:rsidR="00146A92" w:rsidRPr="00961E06">
        <w:rPr>
          <w:rFonts w:ascii="Times New Roman" w:hAnsi="Times New Roman" w:cs="Times New Roman"/>
        </w:rPr>
        <w:t xml:space="preserve">the </w:t>
      </w:r>
      <w:r w:rsidR="0079674C" w:rsidRPr="00961E06">
        <w:rPr>
          <w:rFonts w:ascii="Times New Roman" w:hAnsi="Times New Roman" w:cs="Times New Roman"/>
        </w:rPr>
        <w:t xml:space="preserve">nature and scope of </w:t>
      </w:r>
      <w:r w:rsidR="00F504CC" w:rsidRPr="00961E06">
        <w:rPr>
          <w:rFonts w:ascii="Times New Roman" w:hAnsi="Times New Roman" w:cs="Times New Roman"/>
        </w:rPr>
        <w:t xml:space="preserve">the </w:t>
      </w:r>
      <w:r w:rsidRPr="00961E06">
        <w:rPr>
          <w:rFonts w:ascii="Times New Roman" w:hAnsi="Times New Roman" w:cs="Times New Roman"/>
        </w:rPr>
        <w:t>offence</w:t>
      </w:r>
      <w:r w:rsidR="00F504CC" w:rsidRPr="00961E06">
        <w:rPr>
          <w:rFonts w:ascii="Times New Roman" w:hAnsi="Times New Roman" w:cs="Times New Roman"/>
        </w:rPr>
        <w:t>s</w:t>
      </w:r>
      <w:r w:rsidRPr="00961E06">
        <w:rPr>
          <w:rFonts w:ascii="Times New Roman" w:hAnsi="Times New Roman" w:cs="Times New Roman"/>
        </w:rPr>
        <w:t xml:space="preserve"> </w:t>
      </w:r>
      <w:r w:rsidR="007F0F94" w:rsidRPr="00961E06">
        <w:rPr>
          <w:rFonts w:ascii="Times New Roman" w:hAnsi="Times New Roman" w:cs="Times New Roman"/>
        </w:rPr>
        <w:t>and civil penalty provisions in sections 17 and 1</w:t>
      </w:r>
      <w:r w:rsidR="4589F942" w:rsidRPr="00961E06">
        <w:rPr>
          <w:rFonts w:ascii="Times New Roman" w:hAnsi="Times New Roman" w:cs="Times New Roman"/>
        </w:rPr>
        <w:t>8</w:t>
      </w:r>
      <w:r w:rsidR="007F0F94" w:rsidRPr="00961E06">
        <w:rPr>
          <w:rFonts w:ascii="Times New Roman" w:hAnsi="Times New Roman" w:cs="Times New Roman"/>
        </w:rPr>
        <w:t xml:space="preserve"> of the </w:t>
      </w:r>
      <w:r w:rsidR="001A6939" w:rsidRPr="00961E06">
        <w:rPr>
          <w:rFonts w:ascii="Times New Roman" w:hAnsi="Times New Roman" w:cs="Times New Roman"/>
          <w:i/>
          <w:iCs/>
        </w:rPr>
        <w:t xml:space="preserve">Primary Industries Levies and Charges </w:t>
      </w:r>
      <w:r w:rsidR="007F0F94" w:rsidRPr="00961E06">
        <w:rPr>
          <w:rFonts w:ascii="Times New Roman" w:hAnsi="Times New Roman" w:cs="Times New Roman"/>
          <w:i/>
        </w:rPr>
        <w:t>Collection Act</w:t>
      </w:r>
      <w:r w:rsidR="001A6939" w:rsidRPr="00961E06">
        <w:rPr>
          <w:rFonts w:ascii="Times New Roman" w:hAnsi="Times New Roman" w:cs="Times New Roman"/>
          <w:i/>
          <w:iCs/>
        </w:rPr>
        <w:t xml:space="preserve"> 2024 </w:t>
      </w:r>
      <w:r w:rsidR="001A6939" w:rsidRPr="00961E06">
        <w:rPr>
          <w:rFonts w:ascii="Times New Roman" w:hAnsi="Times New Roman" w:cs="Times New Roman"/>
        </w:rPr>
        <w:t>(Collection Act)</w:t>
      </w:r>
      <w:r w:rsidR="007F0F94" w:rsidRPr="00961E06">
        <w:rPr>
          <w:rFonts w:ascii="Times New Roman" w:hAnsi="Times New Roman" w:cs="Times New Roman"/>
        </w:rPr>
        <w:t>, including what penalties attach to each offence.</w:t>
      </w:r>
    </w:p>
    <w:p w14:paraId="03A8FEA0" w14:textId="79B361F1" w:rsidR="002D6B7E" w:rsidRPr="00961E06" w:rsidRDefault="002D6B7E" w:rsidP="004D6CED">
      <w:pPr>
        <w:jc w:val="both"/>
        <w:rPr>
          <w:rFonts w:ascii="Times New Roman" w:hAnsi="Times New Roman" w:cs="Times New Roman"/>
          <w:b/>
          <w:bCs/>
        </w:rPr>
      </w:pPr>
      <w:r w:rsidRPr="00961E06">
        <w:rPr>
          <w:rFonts w:ascii="Times New Roman" w:hAnsi="Times New Roman" w:cs="Times New Roman"/>
          <w:b/>
          <w:bCs/>
        </w:rPr>
        <w:t xml:space="preserve">Amendment to the </w:t>
      </w:r>
      <w:r w:rsidR="00FB6A7B" w:rsidRPr="00961E06">
        <w:rPr>
          <w:rFonts w:ascii="Times New Roman" w:hAnsi="Times New Roman" w:cs="Times New Roman"/>
          <w:b/>
          <w:bCs/>
        </w:rPr>
        <w:t>E</w:t>
      </w:r>
      <w:r w:rsidRPr="00961E06">
        <w:rPr>
          <w:rFonts w:ascii="Times New Roman" w:hAnsi="Times New Roman" w:cs="Times New Roman"/>
          <w:b/>
          <w:bCs/>
        </w:rPr>
        <w:t xml:space="preserve">xplanatory </w:t>
      </w:r>
      <w:r w:rsidR="00FB6A7B" w:rsidRPr="00961E06">
        <w:rPr>
          <w:rFonts w:ascii="Times New Roman" w:hAnsi="Times New Roman" w:cs="Times New Roman"/>
          <w:b/>
          <w:bCs/>
        </w:rPr>
        <w:t>S</w:t>
      </w:r>
      <w:r w:rsidRPr="00961E06">
        <w:rPr>
          <w:rFonts w:ascii="Times New Roman" w:hAnsi="Times New Roman" w:cs="Times New Roman"/>
          <w:b/>
          <w:bCs/>
        </w:rPr>
        <w:t>tatement for the Rules</w:t>
      </w:r>
    </w:p>
    <w:p w14:paraId="0EB25548" w14:textId="534EDBCA" w:rsidR="002D6B7E" w:rsidRPr="00961E06" w:rsidRDefault="002D6B7E" w:rsidP="004D6CED">
      <w:pPr>
        <w:jc w:val="both"/>
        <w:rPr>
          <w:rFonts w:ascii="Times New Roman" w:hAnsi="Times New Roman" w:cs="Times New Roman"/>
          <w:b/>
          <w:bCs/>
          <w:i/>
          <w:iCs/>
        </w:rPr>
      </w:pPr>
      <w:r w:rsidRPr="00961E06">
        <w:rPr>
          <w:rFonts w:ascii="Times New Roman" w:hAnsi="Times New Roman" w:cs="Times New Roman"/>
          <w:b/>
          <w:bCs/>
        </w:rPr>
        <w:t>Attachment A</w:t>
      </w:r>
      <w:r w:rsidR="00561DE3" w:rsidRPr="00961E06">
        <w:rPr>
          <w:rFonts w:ascii="Times New Roman" w:hAnsi="Times New Roman" w:cs="Times New Roman"/>
          <w:b/>
          <w:bCs/>
        </w:rPr>
        <w:t xml:space="preserve"> – </w:t>
      </w:r>
      <w:r w:rsidR="00BE1841" w:rsidRPr="00961E06">
        <w:rPr>
          <w:rFonts w:ascii="Times New Roman" w:hAnsi="Times New Roman" w:cs="Times New Roman"/>
          <w:b/>
          <w:bCs/>
        </w:rPr>
        <w:t xml:space="preserve">Details of the </w:t>
      </w:r>
      <w:r w:rsidR="00BE1841" w:rsidRPr="00961E06">
        <w:rPr>
          <w:rFonts w:ascii="Times New Roman" w:hAnsi="Times New Roman" w:cs="Times New Roman"/>
          <w:b/>
          <w:bCs/>
          <w:i/>
          <w:iCs/>
        </w:rPr>
        <w:t xml:space="preserve">Primary Industries Levies and Charges Collection Amendment (Honey) </w:t>
      </w:r>
      <w:r w:rsidR="005E4C90" w:rsidRPr="00961E06">
        <w:rPr>
          <w:rFonts w:ascii="Times New Roman" w:hAnsi="Times New Roman" w:cs="Times New Roman"/>
          <w:b/>
          <w:bCs/>
          <w:i/>
          <w:iCs/>
        </w:rPr>
        <w:t>Rules 2025</w:t>
      </w:r>
    </w:p>
    <w:p w14:paraId="44CD466E" w14:textId="73336C60" w:rsidR="000A3878" w:rsidRPr="00961E06" w:rsidRDefault="00451AC8" w:rsidP="004D6CED">
      <w:pPr>
        <w:jc w:val="both"/>
        <w:rPr>
          <w:rFonts w:ascii="Times New Roman" w:hAnsi="Times New Roman" w:cs="Times New Roman"/>
          <w:b/>
          <w:bCs/>
        </w:rPr>
      </w:pPr>
      <w:r w:rsidRPr="00961E06">
        <w:rPr>
          <w:rFonts w:ascii="Times New Roman" w:hAnsi="Times New Roman" w:cs="Times New Roman"/>
          <w:b/>
          <w:bCs/>
          <w:u w:val="single"/>
        </w:rPr>
        <w:t xml:space="preserve">Schedule </w:t>
      </w:r>
      <w:r w:rsidR="00693150" w:rsidRPr="00961E06">
        <w:rPr>
          <w:rFonts w:ascii="Times New Roman" w:hAnsi="Times New Roman" w:cs="Times New Roman"/>
          <w:b/>
          <w:bCs/>
          <w:u w:val="single"/>
        </w:rPr>
        <w:t>1</w:t>
      </w:r>
      <w:r w:rsidRPr="00961E06">
        <w:rPr>
          <w:rFonts w:ascii="Times New Roman" w:hAnsi="Times New Roman" w:cs="Times New Roman"/>
          <w:b/>
          <w:bCs/>
          <w:u w:val="single"/>
        </w:rPr>
        <w:t xml:space="preserve"> </w:t>
      </w:r>
      <w:r w:rsidR="00693150" w:rsidRPr="00961E06">
        <w:rPr>
          <w:rFonts w:ascii="Times New Roman" w:hAnsi="Times New Roman" w:cs="Times New Roman"/>
          <w:b/>
          <w:bCs/>
          <w:u w:val="single"/>
        </w:rPr>
        <w:t>–</w:t>
      </w:r>
      <w:r w:rsidRPr="00961E06">
        <w:rPr>
          <w:rFonts w:ascii="Times New Roman" w:hAnsi="Times New Roman" w:cs="Times New Roman"/>
          <w:b/>
          <w:bCs/>
          <w:u w:val="single"/>
        </w:rPr>
        <w:t xml:space="preserve"> Amendments</w:t>
      </w:r>
    </w:p>
    <w:p w14:paraId="5A7D80F8" w14:textId="02426ABE" w:rsidR="00693150" w:rsidRPr="00961E06" w:rsidRDefault="00693150" w:rsidP="004D6CED">
      <w:pPr>
        <w:jc w:val="both"/>
        <w:rPr>
          <w:rFonts w:ascii="Times New Roman" w:hAnsi="Times New Roman" w:cs="Times New Roman"/>
          <w:b/>
          <w:bCs/>
          <w:i/>
          <w:iCs/>
        </w:rPr>
      </w:pPr>
      <w:r w:rsidRPr="00961E06">
        <w:rPr>
          <w:rFonts w:ascii="Times New Roman" w:hAnsi="Times New Roman" w:cs="Times New Roman"/>
          <w:b/>
          <w:bCs/>
          <w:i/>
          <w:iCs/>
        </w:rPr>
        <w:t>Primary Industries Levies and Charges Collection Rules 2024</w:t>
      </w:r>
    </w:p>
    <w:p w14:paraId="7B2AF4BF" w14:textId="203BF665" w:rsidR="00E13388" w:rsidRPr="00961E06" w:rsidRDefault="00561DE3" w:rsidP="6B7FDC11">
      <w:pPr>
        <w:jc w:val="both"/>
        <w:rPr>
          <w:rFonts w:ascii="Times New Roman" w:hAnsi="Times New Roman" w:cs="Times New Roman"/>
          <w:b/>
          <w:bCs/>
        </w:rPr>
      </w:pPr>
      <w:r w:rsidRPr="00961E06">
        <w:rPr>
          <w:rFonts w:ascii="Times New Roman" w:hAnsi="Times New Roman" w:cs="Times New Roman"/>
          <w:b/>
          <w:bCs/>
        </w:rPr>
        <w:t>After the paragraph with the wording:</w:t>
      </w:r>
    </w:p>
    <w:p w14:paraId="3632A9F0" w14:textId="570C47E0" w:rsidR="00561DE3" w:rsidRPr="00961E06" w:rsidRDefault="00451FB1" w:rsidP="00EE60BE">
      <w:pPr>
        <w:ind w:left="720"/>
        <w:rPr>
          <w:rFonts w:ascii="Times New Roman" w:hAnsi="Times New Roman" w:cs="Times New Roman"/>
        </w:rPr>
      </w:pPr>
      <w:r w:rsidRPr="00961E06">
        <w:rPr>
          <w:rFonts w:ascii="Times New Roman" w:hAnsi="Times New Roman" w:cs="Times New Roman"/>
        </w:rPr>
        <w:t>New subclause 3-1(3) of Schedule 1 provides that subclause 3-1(2) does not apply to honey that is covered by exemptions from levy in subclause 3-2(1) (levy previously imposed) or</w:t>
      </w:r>
      <w:r w:rsidR="009F3D8B" w:rsidRPr="00961E06">
        <w:rPr>
          <w:rFonts w:ascii="Times New Roman" w:hAnsi="Times New Roman" w:cs="Times New Roman"/>
        </w:rPr>
        <w:t xml:space="preserve"> subclause (2) (honey sold after export) of Schedule 1 to the Levies Regulations.</w:t>
      </w:r>
    </w:p>
    <w:p w14:paraId="24CED0BB" w14:textId="046EF69C" w:rsidR="00561DE3" w:rsidRPr="00961E06" w:rsidRDefault="00561DE3" w:rsidP="6B7FDC11">
      <w:pPr>
        <w:jc w:val="both"/>
        <w:rPr>
          <w:rFonts w:ascii="Times New Roman" w:hAnsi="Times New Roman" w:cs="Times New Roman"/>
          <w:b/>
          <w:bCs/>
        </w:rPr>
      </w:pPr>
      <w:r w:rsidRPr="00961E06">
        <w:rPr>
          <w:rFonts w:ascii="Times New Roman" w:hAnsi="Times New Roman" w:cs="Times New Roman"/>
          <w:b/>
          <w:bCs/>
        </w:rPr>
        <w:t>Insert the following new paragraphs:</w:t>
      </w:r>
    </w:p>
    <w:p w14:paraId="0E5E2A37" w14:textId="3426E24F" w:rsidR="00685816" w:rsidRPr="00961E06" w:rsidRDefault="00685816" w:rsidP="00EE60BE">
      <w:pPr>
        <w:ind w:left="720"/>
        <w:rPr>
          <w:rFonts w:ascii="Times New Roman" w:hAnsi="Times New Roman" w:cs="Times New Roman"/>
        </w:rPr>
      </w:pPr>
      <w:r w:rsidRPr="00961E06">
        <w:rPr>
          <w:rFonts w:ascii="Times New Roman" w:hAnsi="Times New Roman" w:cs="Times New Roman"/>
        </w:rPr>
        <w:t xml:space="preserve">Subclause 3-1(6) of Schedule 1 to the </w:t>
      </w:r>
      <w:r w:rsidRPr="00961E06">
        <w:rPr>
          <w:rFonts w:ascii="Times New Roman" w:hAnsi="Times New Roman" w:cs="Times New Roman"/>
          <w:i/>
          <w:iCs/>
        </w:rPr>
        <w:t>Primary Industries Levies and Charges Collection Rules 2024</w:t>
      </w:r>
      <w:r w:rsidRPr="00961E06">
        <w:rPr>
          <w:rFonts w:ascii="Times New Roman" w:hAnsi="Times New Roman" w:cs="Times New Roman"/>
        </w:rPr>
        <w:t xml:space="preserve"> (the Collection Rules) was part of a repeal and substitution of clause 3-1 by the instrument that replicated provisions that were renumbered. The subclause replicates previous subclause 3-1(4) of that Sc</w:t>
      </w:r>
      <w:r w:rsidR="002177BB" w:rsidRPr="00961E06">
        <w:rPr>
          <w:rFonts w:ascii="Times New Roman" w:hAnsi="Times New Roman" w:cs="Times New Roman"/>
        </w:rPr>
        <w:t>hedule.</w:t>
      </w:r>
    </w:p>
    <w:p w14:paraId="5C92B50C" w14:textId="0BAA7C31" w:rsidR="002177BB" w:rsidRPr="00961E06" w:rsidRDefault="002177BB" w:rsidP="00EE60BE">
      <w:pPr>
        <w:ind w:left="720"/>
        <w:rPr>
          <w:rFonts w:ascii="Times New Roman" w:hAnsi="Times New Roman" w:cs="Times New Roman"/>
        </w:rPr>
      </w:pPr>
      <w:r w:rsidRPr="00961E06">
        <w:rPr>
          <w:rFonts w:ascii="Times New Roman" w:hAnsi="Times New Roman" w:cs="Times New Roman"/>
        </w:rPr>
        <w:lastRenderedPageBreak/>
        <w:t>Subclause</w:t>
      </w:r>
      <w:r w:rsidR="00EC62BB" w:rsidRPr="00961E06">
        <w:rPr>
          <w:rFonts w:ascii="Times New Roman" w:hAnsi="Times New Roman" w:cs="Times New Roman"/>
        </w:rPr>
        <w:t xml:space="preserve"> 3-1(6) continues to require levy payers, charge payers or collection agents to make and keep certain records in relation to amounts they have paid or that have been paid on their behalf for a period of five years.</w:t>
      </w:r>
    </w:p>
    <w:p w14:paraId="2A00772A" w14:textId="23732519" w:rsidR="00EC62BB" w:rsidRPr="00961E06" w:rsidRDefault="00EC62BB" w:rsidP="00EE60BE">
      <w:pPr>
        <w:ind w:left="720"/>
        <w:rPr>
          <w:rFonts w:ascii="Times New Roman" w:hAnsi="Times New Roman" w:cs="Times New Roman"/>
        </w:rPr>
      </w:pPr>
      <w:r w:rsidRPr="00961E06">
        <w:rPr>
          <w:rFonts w:ascii="Times New Roman" w:hAnsi="Times New Roman" w:cs="Times New Roman"/>
        </w:rPr>
        <w:t xml:space="preserve">Beyond the contact details </w:t>
      </w:r>
      <w:r w:rsidR="00730D8D" w:rsidRPr="00961E06">
        <w:rPr>
          <w:rFonts w:ascii="Times New Roman" w:hAnsi="Times New Roman" w:cs="Times New Roman"/>
        </w:rPr>
        <w:t>of collection agents, the nature and scope of the person</w:t>
      </w:r>
      <w:r w:rsidR="6A0057D9" w:rsidRPr="00961E06">
        <w:rPr>
          <w:rFonts w:ascii="Times New Roman" w:hAnsi="Times New Roman" w:cs="Times New Roman"/>
        </w:rPr>
        <w:t>al</w:t>
      </w:r>
      <w:r w:rsidR="00730D8D" w:rsidRPr="00961E06">
        <w:rPr>
          <w:rFonts w:ascii="Times New Roman" w:hAnsi="Times New Roman" w:cs="Times New Roman"/>
        </w:rPr>
        <w:t xml:space="preserve"> information that continues to be required to be kept will depend on the circumstances, but may include a person’s contact details (name, phone number, email address). The information will relate to amounts of levy or charge payable by a person on various commodities, including in relation to honey.</w:t>
      </w:r>
    </w:p>
    <w:p w14:paraId="3C00D1D0" w14:textId="5855D1D6" w:rsidR="00730D8D" w:rsidRPr="00961E06" w:rsidRDefault="00730D8D" w:rsidP="00EE60BE">
      <w:pPr>
        <w:ind w:left="720"/>
        <w:rPr>
          <w:rFonts w:ascii="Times New Roman" w:hAnsi="Times New Roman" w:cs="Times New Roman"/>
        </w:rPr>
      </w:pPr>
      <w:r w:rsidRPr="00961E06">
        <w:rPr>
          <w:rFonts w:ascii="Times New Roman" w:hAnsi="Times New Roman" w:cs="Times New Roman"/>
        </w:rPr>
        <w:t>Under Division 2 of Part 5 of the Collection Act, the Secretary has information gathering powers to require a person to provide information or documents relevant to the operation of the Collection Act or the Collection Rules. It would be possible for the Secretary to use these information gathering powers to require a levy payer or charge payer to provide the records they have made and kept pursuant to subclause 3-1(6) of the Collection Rules</w:t>
      </w:r>
      <w:r w:rsidR="007A3297" w:rsidRPr="00961E06">
        <w:rPr>
          <w:rFonts w:ascii="Times New Roman" w:hAnsi="Times New Roman" w:cs="Times New Roman"/>
        </w:rPr>
        <w:t>.</w:t>
      </w:r>
    </w:p>
    <w:p w14:paraId="099AE361" w14:textId="2C552485" w:rsidR="007A3297" w:rsidRPr="00961E06" w:rsidRDefault="0039320B" w:rsidP="00EE60BE">
      <w:pPr>
        <w:ind w:left="720"/>
        <w:rPr>
          <w:rFonts w:ascii="Times New Roman" w:hAnsi="Times New Roman" w:cs="Times New Roman"/>
        </w:rPr>
      </w:pPr>
      <w:r w:rsidRPr="00961E06">
        <w:rPr>
          <w:rFonts w:ascii="Times New Roman" w:hAnsi="Times New Roman" w:cs="Times New Roman"/>
        </w:rPr>
        <w:t xml:space="preserve">In circumstances where a levy payer or charge payer or a collection agent is required to provide records to the </w:t>
      </w:r>
      <w:r w:rsidR="00FB37D8" w:rsidRPr="00961E06">
        <w:rPr>
          <w:rFonts w:ascii="Times New Roman" w:hAnsi="Times New Roman" w:cs="Times New Roman"/>
        </w:rPr>
        <w:t>Department of Agriculture, Fisheries and Forestry (the Department), those records would become subject to the information management provisions in the Collection Act and may be disclosed pursuant to those provisions or other laws.</w:t>
      </w:r>
    </w:p>
    <w:p w14:paraId="1FA793DB" w14:textId="0AF3AAD6" w:rsidR="00376B20" w:rsidRPr="00961E06" w:rsidRDefault="00376B20" w:rsidP="00EE60BE">
      <w:pPr>
        <w:ind w:left="720"/>
        <w:rPr>
          <w:rFonts w:ascii="Times New Roman" w:hAnsi="Times New Roman" w:cs="Times New Roman"/>
        </w:rPr>
      </w:pPr>
      <w:r w:rsidRPr="00961E06">
        <w:rPr>
          <w:rFonts w:ascii="Times New Roman" w:hAnsi="Times New Roman" w:cs="Times New Roman"/>
        </w:rPr>
        <w:t>Division 3 of Part 5 of the Collection Act provides for authorised uses and disclosures of relevant levy/charge information (defined in Part 1 of the Collection Act). Examples of provisions prov</w:t>
      </w:r>
      <w:r w:rsidR="0018181B" w:rsidRPr="00961E06">
        <w:rPr>
          <w:rFonts w:ascii="Times New Roman" w:hAnsi="Times New Roman" w:cs="Times New Roman"/>
        </w:rPr>
        <w:t>iding for authorised uses and disclosures of such information include:</w:t>
      </w:r>
    </w:p>
    <w:p w14:paraId="0F7212CB" w14:textId="70355559" w:rsidR="0018181B" w:rsidRPr="00961E06" w:rsidRDefault="0018181B" w:rsidP="00EE60BE">
      <w:pPr>
        <w:pStyle w:val="ListParagraph"/>
        <w:numPr>
          <w:ilvl w:val="0"/>
          <w:numId w:val="10"/>
        </w:numPr>
        <w:rPr>
          <w:rFonts w:ascii="Times New Roman" w:hAnsi="Times New Roman" w:cs="Times New Roman"/>
        </w:rPr>
      </w:pPr>
      <w:r w:rsidRPr="00961E06">
        <w:rPr>
          <w:rFonts w:ascii="Times New Roman" w:hAnsi="Times New Roman" w:cs="Times New Roman"/>
        </w:rPr>
        <w:t>use or disclosure for the purposes of administering the Collection A</w:t>
      </w:r>
      <w:r w:rsidR="000969F9" w:rsidRPr="00961E06">
        <w:rPr>
          <w:rFonts w:ascii="Times New Roman" w:hAnsi="Times New Roman" w:cs="Times New Roman"/>
        </w:rPr>
        <w:t xml:space="preserve">ct or the Collection Rules or monitoring compliance with the Collection Act or the Collection </w:t>
      </w:r>
      <w:proofErr w:type="gramStart"/>
      <w:r w:rsidR="000969F9" w:rsidRPr="00961E06">
        <w:rPr>
          <w:rFonts w:ascii="Times New Roman" w:hAnsi="Times New Roman" w:cs="Times New Roman"/>
        </w:rPr>
        <w:t>Rules;</w:t>
      </w:r>
      <w:proofErr w:type="gramEnd"/>
    </w:p>
    <w:p w14:paraId="217A7709" w14:textId="37D24690" w:rsidR="000969F9" w:rsidRPr="00961E06" w:rsidRDefault="000969F9" w:rsidP="00EE60BE">
      <w:pPr>
        <w:pStyle w:val="ListParagraph"/>
        <w:numPr>
          <w:ilvl w:val="0"/>
          <w:numId w:val="10"/>
        </w:numPr>
        <w:rPr>
          <w:rFonts w:ascii="Times New Roman" w:hAnsi="Times New Roman" w:cs="Times New Roman"/>
        </w:rPr>
      </w:pPr>
      <w:r w:rsidRPr="00961E06">
        <w:rPr>
          <w:rFonts w:ascii="Times New Roman" w:hAnsi="Times New Roman" w:cs="Times New Roman"/>
        </w:rPr>
        <w:t>use or disclosure for agricultural research or agricultural policy development (or both</w:t>
      </w:r>
      <w:proofErr w:type="gramStart"/>
      <w:r w:rsidRPr="00961E06">
        <w:rPr>
          <w:rFonts w:ascii="Times New Roman" w:hAnsi="Times New Roman" w:cs="Times New Roman"/>
        </w:rPr>
        <w:t>);</w:t>
      </w:r>
      <w:proofErr w:type="gramEnd"/>
    </w:p>
    <w:p w14:paraId="5D6F890F" w14:textId="4BFF407A" w:rsidR="000969F9" w:rsidRPr="00961E06" w:rsidRDefault="000969F9" w:rsidP="00EE60BE">
      <w:pPr>
        <w:pStyle w:val="ListParagraph"/>
        <w:numPr>
          <w:ilvl w:val="0"/>
          <w:numId w:val="10"/>
        </w:numPr>
        <w:rPr>
          <w:rFonts w:ascii="Times New Roman" w:hAnsi="Times New Roman" w:cs="Times New Roman"/>
        </w:rPr>
      </w:pPr>
      <w:r w:rsidRPr="00961E06">
        <w:rPr>
          <w:rFonts w:ascii="Times New Roman" w:hAnsi="Times New Roman" w:cs="Times New Roman"/>
        </w:rPr>
        <w:t>use or disclosure</w:t>
      </w:r>
      <w:r w:rsidR="00DF5ECB" w:rsidRPr="00961E06">
        <w:rPr>
          <w:rFonts w:ascii="Times New Roman" w:hAnsi="Times New Roman" w:cs="Times New Roman"/>
        </w:rPr>
        <w:t xml:space="preserve"> </w:t>
      </w:r>
      <w:r w:rsidR="00814672" w:rsidRPr="00961E06">
        <w:rPr>
          <w:rFonts w:ascii="Times New Roman" w:hAnsi="Times New Roman" w:cs="Times New Roman"/>
        </w:rPr>
        <w:t>for</w:t>
      </w:r>
      <w:r w:rsidR="00A773B9" w:rsidRPr="00961E06">
        <w:rPr>
          <w:rFonts w:ascii="Times New Roman" w:hAnsi="Times New Roman" w:cs="Times New Roman"/>
        </w:rPr>
        <w:t xml:space="preserve"> the purposes of other Acts</w:t>
      </w:r>
      <w:r w:rsidR="00A4002F" w:rsidRPr="00961E06">
        <w:rPr>
          <w:rFonts w:ascii="Times New Roman" w:hAnsi="Times New Roman" w:cs="Times New Roman"/>
        </w:rPr>
        <w:t xml:space="preserve"> administered by the </w:t>
      </w:r>
      <w:proofErr w:type="gramStart"/>
      <w:r w:rsidR="00A4002F" w:rsidRPr="00961E06">
        <w:rPr>
          <w:rFonts w:ascii="Times New Roman" w:hAnsi="Times New Roman" w:cs="Times New Roman"/>
        </w:rPr>
        <w:t>Agriculture Minister</w:t>
      </w:r>
      <w:proofErr w:type="gramEnd"/>
      <w:r w:rsidR="00A4002F" w:rsidRPr="00961E06">
        <w:rPr>
          <w:rFonts w:ascii="Times New Roman" w:hAnsi="Times New Roman" w:cs="Times New Roman"/>
        </w:rPr>
        <w:t xml:space="preserve"> (other than the </w:t>
      </w:r>
      <w:r w:rsidR="00A4002F" w:rsidRPr="00961E06">
        <w:rPr>
          <w:rFonts w:ascii="Times New Roman" w:hAnsi="Times New Roman" w:cs="Times New Roman"/>
          <w:i/>
          <w:iCs/>
        </w:rPr>
        <w:t>Primary Industrie</w:t>
      </w:r>
      <w:r w:rsidR="001D4D75" w:rsidRPr="00961E06">
        <w:rPr>
          <w:rFonts w:ascii="Times New Roman" w:hAnsi="Times New Roman" w:cs="Times New Roman"/>
          <w:i/>
          <w:iCs/>
        </w:rPr>
        <w:t>s</w:t>
      </w:r>
      <w:r w:rsidR="00A4002F" w:rsidRPr="00961E06">
        <w:rPr>
          <w:rFonts w:ascii="Times New Roman" w:hAnsi="Times New Roman" w:cs="Times New Roman"/>
          <w:i/>
          <w:iCs/>
        </w:rPr>
        <w:t xml:space="preserve"> Levies and Charges Disbursement Act 2024</w:t>
      </w:r>
      <w:r w:rsidR="00A4002F" w:rsidRPr="00961E06">
        <w:rPr>
          <w:rFonts w:ascii="Times New Roman" w:hAnsi="Times New Roman" w:cs="Times New Roman"/>
        </w:rPr>
        <w:t>).</w:t>
      </w:r>
    </w:p>
    <w:p w14:paraId="22CE0210" w14:textId="545505B6" w:rsidR="00CF3A16" w:rsidRPr="00961E06" w:rsidRDefault="00CF3A16" w:rsidP="00EE60BE">
      <w:pPr>
        <w:ind w:left="720"/>
        <w:rPr>
          <w:rFonts w:ascii="Times New Roman" w:hAnsi="Times New Roman" w:cs="Times New Roman"/>
        </w:rPr>
      </w:pPr>
      <w:r w:rsidRPr="00961E06">
        <w:rPr>
          <w:rFonts w:ascii="Times New Roman" w:hAnsi="Times New Roman" w:cs="Times New Roman"/>
        </w:rPr>
        <w:t>In circumstances where a levy payer or charge payer is required to provide records to the Department</w:t>
      </w:r>
      <w:r w:rsidR="00A32939" w:rsidRPr="00961E06">
        <w:rPr>
          <w:rFonts w:ascii="Times New Roman" w:hAnsi="Times New Roman" w:cs="Times New Roman"/>
        </w:rPr>
        <w:t xml:space="preserve">, those records would be protected by the </w:t>
      </w:r>
      <w:r w:rsidR="00A32939" w:rsidRPr="00961E06">
        <w:rPr>
          <w:rFonts w:ascii="Times New Roman" w:hAnsi="Times New Roman" w:cs="Times New Roman"/>
          <w:i/>
          <w:iCs/>
        </w:rPr>
        <w:t>Privacy Act</w:t>
      </w:r>
      <w:r w:rsidR="00AB1480" w:rsidRPr="00961E06">
        <w:rPr>
          <w:rFonts w:ascii="Times New Roman" w:hAnsi="Times New Roman" w:cs="Times New Roman"/>
          <w:i/>
          <w:iCs/>
        </w:rPr>
        <w:t xml:space="preserve"> 1998</w:t>
      </w:r>
      <w:r w:rsidR="00AB1480" w:rsidRPr="00961E06">
        <w:rPr>
          <w:rFonts w:ascii="Times New Roman" w:hAnsi="Times New Roman" w:cs="Times New Roman"/>
        </w:rPr>
        <w:t xml:space="preserve"> (the Privacy Act) and other laws, and the limitations in the Collection Act. Each provision in Division 3 of Part 5 of the Collection Act that authorises the use or disclosure of relevant information provides an authorisation for the purposes of the Privacy Act and other laws.</w:t>
      </w:r>
    </w:p>
    <w:p w14:paraId="2019DEB7" w14:textId="7FFFDCC1" w:rsidR="00C158D5" w:rsidRPr="00961E06" w:rsidRDefault="00AB1480">
      <w:pPr>
        <w:ind w:left="720"/>
        <w:rPr>
          <w:rFonts w:ascii="Times New Roman" w:hAnsi="Times New Roman" w:cs="Times New Roman"/>
        </w:rPr>
      </w:pPr>
      <w:r w:rsidRPr="00961E06">
        <w:rPr>
          <w:rFonts w:ascii="Times New Roman" w:hAnsi="Times New Roman" w:cs="Times New Roman"/>
        </w:rPr>
        <w:t>There are restrictions in the Collection Act</w:t>
      </w:r>
      <w:r w:rsidR="00C21E3C" w:rsidRPr="00961E06">
        <w:rPr>
          <w:rFonts w:ascii="Times New Roman" w:hAnsi="Times New Roman" w:cs="Times New Roman"/>
        </w:rPr>
        <w:t xml:space="preserve"> relating to the disclosure of personal information. Specifically, subsection 28(4) </w:t>
      </w:r>
      <w:r w:rsidR="001B3E9E" w:rsidRPr="00961E06">
        <w:rPr>
          <w:rFonts w:ascii="Times New Roman" w:hAnsi="Times New Roman" w:cs="Times New Roman"/>
        </w:rPr>
        <w:t xml:space="preserve">of the Collection Act </w:t>
      </w:r>
      <w:r w:rsidR="3FF22AA8" w:rsidRPr="00961E06">
        <w:rPr>
          <w:rFonts w:ascii="Times New Roman" w:hAnsi="Times New Roman" w:cs="Times New Roman"/>
        </w:rPr>
        <w:t xml:space="preserve">provides that specified provisions authorising the use or disclosure of relevant levy/charge </w:t>
      </w:r>
      <w:r w:rsidR="3FF22AA8" w:rsidRPr="00961E06">
        <w:rPr>
          <w:rFonts w:ascii="Times New Roman" w:hAnsi="Times New Roman" w:cs="Times New Roman"/>
        </w:rPr>
        <w:lastRenderedPageBreak/>
        <w:t>information for certain purposes do not apply to the disclosure of personal information.</w:t>
      </w:r>
    </w:p>
    <w:p w14:paraId="41457B2F" w14:textId="3CC52080" w:rsidR="00C158D5" w:rsidRPr="00961E06" w:rsidRDefault="00AB1480" w:rsidP="6D06C6CE">
      <w:pPr>
        <w:ind w:left="720"/>
        <w:rPr>
          <w:rFonts w:ascii="Times New Roman" w:hAnsi="Times New Roman" w:cs="Times New Roman"/>
        </w:rPr>
      </w:pPr>
      <w:r w:rsidRPr="00961E06">
        <w:rPr>
          <w:rFonts w:ascii="Times New Roman" w:hAnsi="Times New Roman" w:cs="Times New Roman"/>
        </w:rPr>
        <w:t xml:space="preserve">There are </w:t>
      </w:r>
      <w:r w:rsidR="00D10C39" w:rsidRPr="00961E06">
        <w:rPr>
          <w:rFonts w:ascii="Times New Roman" w:hAnsi="Times New Roman" w:cs="Times New Roman"/>
        </w:rPr>
        <w:t>requirements</w:t>
      </w:r>
      <w:r w:rsidR="00C158D5" w:rsidRPr="00961E06">
        <w:rPr>
          <w:rFonts w:ascii="Times New Roman" w:hAnsi="Times New Roman" w:cs="Times New Roman"/>
        </w:rPr>
        <w:t xml:space="preserve"> against unauthorised use or disclosure of </w:t>
      </w:r>
      <w:r w:rsidR="00C158D5" w:rsidRPr="00961E06">
        <w:rPr>
          <w:rFonts w:ascii="Times New Roman" w:hAnsi="Times New Roman" w:cs="Times New Roman"/>
          <w:i/>
          <w:iCs/>
        </w:rPr>
        <w:t xml:space="preserve">protected information </w:t>
      </w:r>
      <w:r w:rsidR="00C158D5" w:rsidRPr="00961E06">
        <w:rPr>
          <w:rFonts w:ascii="Times New Roman" w:hAnsi="Times New Roman" w:cs="Times New Roman"/>
        </w:rPr>
        <w:t>provided in Division</w:t>
      </w:r>
      <w:r w:rsidR="0052035D" w:rsidRPr="00961E06">
        <w:rPr>
          <w:rFonts w:ascii="Times New Roman" w:hAnsi="Times New Roman" w:cs="Times New Roman"/>
        </w:rPr>
        <w:t xml:space="preserve"> 4 of Part 5 of the Collection Act. Section 45 includes an offence and a civil penalty provision for the unauthorised use or disclosure of protected information, which covers information (including commercially sensitive information</w:t>
      </w:r>
      <w:r w:rsidR="00EC0C1A" w:rsidRPr="00961E06">
        <w:rPr>
          <w:rFonts w:ascii="Times New Roman" w:hAnsi="Times New Roman" w:cs="Times New Roman"/>
        </w:rPr>
        <w:t xml:space="preserve">) the disclosure of which could reasonably be expected to </w:t>
      </w:r>
      <w:proofErr w:type="gramStart"/>
      <w:r w:rsidR="00EC0C1A" w:rsidRPr="00961E06">
        <w:rPr>
          <w:rFonts w:ascii="Times New Roman" w:hAnsi="Times New Roman" w:cs="Times New Roman"/>
        </w:rPr>
        <w:t>found</w:t>
      </w:r>
      <w:proofErr w:type="gramEnd"/>
      <w:r w:rsidR="00EC0C1A" w:rsidRPr="00961E06">
        <w:rPr>
          <w:rFonts w:ascii="Times New Roman" w:hAnsi="Times New Roman" w:cs="Times New Roman"/>
        </w:rPr>
        <w:t xml:space="preserve"> an action by a person (other than the Commonwealth) for breach of a duty of confidence. Protected information may include personal information.</w:t>
      </w:r>
    </w:p>
    <w:p w14:paraId="362C7E9D" w14:textId="1A5A99BD" w:rsidR="00EC0C1A" w:rsidRPr="00961E06" w:rsidRDefault="00EC0C1A" w:rsidP="00EE60BE">
      <w:pPr>
        <w:ind w:left="720"/>
        <w:rPr>
          <w:rFonts w:ascii="Times New Roman" w:hAnsi="Times New Roman" w:cs="Times New Roman"/>
        </w:rPr>
      </w:pPr>
      <w:r w:rsidRPr="00961E06">
        <w:rPr>
          <w:rFonts w:ascii="Times New Roman" w:hAnsi="Times New Roman" w:cs="Times New Roman"/>
        </w:rPr>
        <w:t xml:space="preserve">Further, under Subdivision B of Division </w:t>
      </w:r>
      <w:r w:rsidR="009B5315" w:rsidRPr="00961E06">
        <w:rPr>
          <w:rFonts w:ascii="Times New Roman" w:hAnsi="Times New Roman" w:cs="Times New Roman"/>
        </w:rPr>
        <w:t xml:space="preserve">3 of Part 5 of the Collection Act, a declared recipient body or a statutory recipient body commits an offence if they use or disclose information they have received or accessed concerning levy payers or charge payers </w:t>
      </w:r>
      <w:r w:rsidR="0006187F" w:rsidRPr="00961E06">
        <w:rPr>
          <w:rFonts w:ascii="Times New Roman" w:hAnsi="Times New Roman" w:cs="Times New Roman"/>
        </w:rPr>
        <w:t>(including their names and contact details and the amounts of levy and charge they have paid), other than for an authorised purpose.</w:t>
      </w:r>
    </w:p>
    <w:p w14:paraId="5DFD66FD" w14:textId="58CFF57B" w:rsidR="0006187F" w:rsidRPr="00961E06" w:rsidRDefault="0006187F" w:rsidP="00EE60BE">
      <w:pPr>
        <w:ind w:left="720"/>
        <w:rPr>
          <w:rFonts w:ascii="Times New Roman" w:hAnsi="Times New Roman" w:cs="Times New Roman"/>
        </w:rPr>
      </w:pPr>
      <w:r w:rsidRPr="00961E06">
        <w:rPr>
          <w:rFonts w:ascii="Times New Roman" w:hAnsi="Times New Roman" w:cs="Times New Roman"/>
        </w:rPr>
        <w:t xml:space="preserve">As an Australian Government agency, the </w:t>
      </w:r>
      <w:r w:rsidR="14B15DC3" w:rsidRPr="00961E06">
        <w:rPr>
          <w:rFonts w:ascii="Times New Roman" w:hAnsi="Times New Roman" w:cs="Times New Roman"/>
        </w:rPr>
        <w:t>D</w:t>
      </w:r>
      <w:r w:rsidRPr="00961E06">
        <w:rPr>
          <w:rFonts w:ascii="Times New Roman" w:hAnsi="Times New Roman" w:cs="Times New Roman"/>
        </w:rPr>
        <w:t>epartment is bound by the Australian Privacy Principles (the APPs) in the Privacy Act and the Australian Government Agencies Privacy Code (the Privacy Code). These obligations extend to the Department’s employees, contractors and agents. Personal information is held in accordance with the collection and security requirements of the APPs, the Department’s policies and procedures</w:t>
      </w:r>
      <w:r w:rsidR="00BF08F2" w:rsidRPr="00961E06">
        <w:rPr>
          <w:rFonts w:ascii="Times New Roman" w:hAnsi="Times New Roman" w:cs="Times New Roman"/>
        </w:rPr>
        <w:t xml:space="preserve"> and the Australian Government Protective Security Policy Framework.</w:t>
      </w:r>
    </w:p>
    <w:p w14:paraId="4A81140D" w14:textId="0F64FB01" w:rsidR="004A4C72" w:rsidRPr="00961E06" w:rsidRDefault="00C16634" w:rsidP="00EE60BE">
      <w:pPr>
        <w:ind w:left="720"/>
        <w:rPr>
          <w:rFonts w:ascii="Times New Roman" w:hAnsi="Times New Roman" w:cs="Times New Roman"/>
        </w:rPr>
      </w:pPr>
      <w:r w:rsidRPr="00961E06">
        <w:rPr>
          <w:rFonts w:ascii="Times New Roman" w:hAnsi="Times New Roman" w:cs="Times New Roman"/>
        </w:rPr>
        <w:t>The Department maintains robust policies and procedures</w:t>
      </w:r>
      <w:r w:rsidR="00E7781D" w:rsidRPr="00961E06">
        <w:rPr>
          <w:rFonts w:ascii="Times New Roman" w:hAnsi="Times New Roman" w:cs="Times New Roman"/>
        </w:rPr>
        <w:t xml:space="preserve"> to protect any personal information which it holds, as documented in the Department’s Privacy Policy (</w:t>
      </w:r>
      <w:r w:rsidR="008600DE" w:rsidRPr="00961E06">
        <w:rPr>
          <w:rFonts w:ascii="Times New Roman" w:hAnsi="Times New Roman" w:cs="Times New Roman"/>
        </w:rPr>
        <w:t>https://www.agriculture.gov.au/about/commitment/privacy).</w:t>
      </w:r>
    </w:p>
    <w:p w14:paraId="5F93CF84" w14:textId="77777777" w:rsidR="0019652A" w:rsidRPr="00961E06" w:rsidRDefault="0019652A" w:rsidP="00EE60BE">
      <w:pPr>
        <w:ind w:left="720"/>
        <w:rPr>
          <w:rFonts w:ascii="Times New Roman" w:hAnsi="Times New Roman" w:cs="Times New Roman"/>
        </w:rPr>
      </w:pPr>
      <w:r w:rsidRPr="00961E06">
        <w:rPr>
          <w:rFonts w:ascii="Times New Roman" w:hAnsi="Times New Roman" w:cs="Times New Roman"/>
        </w:rPr>
        <w:t>The instrument repealed and substituted clause 3-1, including:</w:t>
      </w:r>
    </w:p>
    <w:p w14:paraId="57CE2EAD" w14:textId="77777777" w:rsidR="00F52619" w:rsidRPr="00961E06" w:rsidRDefault="002803EC" w:rsidP="00EE60BE">
      <w:pPr>
        <w:pStyle w:val="ListParagraph"/>
        <w:numPr>
          <w:ilvl w:val="0"/>
          <w:numId w:val="11"/>
        </w:numPr>
        <w:ind w:left="1418" w:hanging="284"/>
        <w:rPr>
          <w:rFonts w:ascii="Times New Roman" w:hAnsi="Times New Roman" w:cs="Times New Roman"/>
        </w:rPr>
      </w:pPr>
      <w:r w:rsidRPr="00961E06">
        <w:rPr>
          <w:rFonts w:ascii="Times New Roman" w:hAnsi="Times New Roman" w:cs="Times New Roman"/>
        </w:rPr>
        <w:t xml:space="preserve">replacing in subclause 3-1(6) a note previously in subclause 3-1(4), which states that section 18 of the Collection Act contains an offence for failing to </w:t>
      </w:r>
      <w:r w:rsidR="00F46EAF" w:rsidRPr="00961E06">
        <w:rPr>
          <w:rFonts w:ascii="Times New Roman" w:hAnsi="Times New Roman" w:cs="Times New Roman"/>
        </w:rPr>
        <w:t>make or keep records in acc</w:t>
      </w:r>
      <w:r w:rsidR="00073C7B" w:rsidRPr="00961E06">
        <w:rPr>
          <w:rFonts w:ascii="Times New Roman" w:hAnsi="Times New Roman" w:cs="Times New Roman"/>
        </w:rPr>
        <w:t>ordance</w:t>
      </w:r>
      <w:r w:rsidR="00E65D9C" w:rsidRPr="00961E06">
        <w:rPr>
          <w:rFonts w:ascii="Times New Roman" w:hAnsi="Times New Roman" w:cs="Times New Roman"/>
        </w:rPr>
        <w:t xml:space="preserve"> with this provision; and</w:t>
      </w:r>
    </w:p>
    <w:p w14:paraId="752AD4A0" w14:textId="5B43EC54" w:rsidR="00E65D9C" w:rsidRPr="00961E06" w:rsidRDefault="00E65D9C" w:rsidP="00EE60BE">
      <w:pPr>
        <w:pStyle w:val="ListParagraph"/>
        <w:numPr>
          <w:ilvl w:val="0"/>
          <w:numId w:val="11"/>
        </w:numPr>
        <w:ind w:left="1418" w:hanging="284"/>
        <w:rPr>
          <w:rFonts w:ascii="Times New Roman" w:hAnsi="Times New Roman" w:cs="Times New Roman"/>
        </w:rPr>
      </w:pPr>
      <w:r w:rsidRPr="00961E06">
        <w:rPr>
          <w:rFonts w:ascii="Times New Roman" w:hAnsi="Times New Roman" w:cs="Times New Roman"/>
        </w:rPr>
        <w:t>replicating previous subclause 3-1(4) as subclause 3-1(5) with updates to align return requirements in certain circumstances. A note to this provision states that section 17 of the Act contains an offence and civil penalty for failing to give a return in accordance with the instrument.</w:t>
      </w:r>
    </w:p>
    <w:p w14:paraId="29FA56E4" w14:textId="1F026337" w:rsidR="00FC6D72" w:rsidRPr="00961E06" w:rsidRDefault="00FC6D72" w:rsidP="00EE60BE">
      <w:pPr>
        <w:ind w:left="720"/>
        <w:rPr>
          <w:rFonts w:ascii="Times New Roman" w:hAnsi="Times New Roman" w:cs="Times New Roman"/>
        </w:rPr>
      </w:pPr>
      <w:r w:rsidRPr="00961E06">
        <w:rPr>
          <w:rFonts w:ascii="Times New Roman" w:hAnsi="Times New Roman" w:cs="Times New Roman"/>
        </w:rPr>
        <w:t>The offences in sections 17 and 18 of the Collection Act are strict liability offences.</w:t>
      </w:r>
    </w:p>
    <w:p w14:paraId="4EAA4E57" w14:textId="719ACFA1" w:rsidR="00FC6D72" w:rsidRPr="00961E06" w:rsidRDefault="00FC6D72" w:rsidP="00EE60BE">
      <w:pPr>
        <w:ind w:left="720"/>
        <w:rPr>
          <w:rFonts w:ascii="Times New Roman" w:hAnsi="Times New Roman" w:cs="Times New Roman"/>
        </w:rPr>
      </w:pPr>
      <w:r w:rsidRPr="00961E06">
        <w:rPr>
          <w:rFonts w:ascii="Times New Roman" w:hAnsi="Times New Roman" w:cs="Times New Roman"/>
        </w:rPr>
        <w:t xml:space="preserve">The Collection Act and the Collection Rules provide for the collection of levies and charges imposed under the agricultural levy and charge system. Importantly, the Collection Act enables the Collection Rules to make provision for and in relation to, relevantly, requiring levy payers, charge payers and collection agents to give returns, and make and keep records for the purposes of the Collection Act, and requiring </w:t>
      </w:r>
      <w:r w:rsidRPr="00961E06">
        <w:rPr>
          <w:rFonts w:ascii="Times New Roman" w:hAnsi="Times New Roman" w:cs="Times New Roman"/>
        </w:rPr>
        <w:lastRenderedPageBreak/>
        <w:t xml:space="preserve">persons to make and keep records in relation to </w:t>
      </w:r>
      <w:r w:rsidR="1839C0DA" w:rsidRPr="00961E06">
        <w:rPr>
          <w:rFonts w:ascii="Times New Roman" w:hAnsi="Times New Roman" w:cs="Times New Roman"/>
        </w:rPr>
        <w:t xml:space="preserve">the </w:t>
      </w:r>
      <w:r w:rsidRPr="00961E06">
        <w:rPr>
          <w:rFonts w:ascii="Times New Roman" w:hAnsi="Times New Roman" w:cs="Times New Roman"/>
        </w:rPr>
        <w:t xml:space="preserve">collection </w:t>
      </w:r>
      <w:r w:rsidR="4B05EDF3" w:rsidRPr="00961E06">
        <w:rPr>
          <w:rFonts w:ascii="Times New Roman" w:hAnsi="Times New Roman" w:cs="Times New Roman"/>
        </w:rPr>
        <w:t>of</w:t>
      </w:r>
      <w:r w:rsidRPr="00961E06">
        <w:rPr>
          <w:rFonts w:ascii="Times New Roman" w:hAnsi="Times New Roman" w:cs="Times New Roman"/>
        </w:rPr>
        <w:t xml:space="preserve"> commodities/services.</w:t>
      </w:r>
    </w:p>
    <w:p w14:paraId="52A5B295" w14:textId="4BAF46F2" w:rsidR="00B72C45" w:rsidRPr="00961E06" w:rsidRDefault="00B72C45" w:rsidP="00EE60BE">
      <w:pPr>
        <w:ind w:left="720"/>
        <w:rPr>
          <w:rFonts w:ascii="Times New Roman" w:hAnsi="Times New Roman" w:cs="Times New Roman"/>
        </w:rPr>
      </w:pPr>
      <w:r w:rsidRPr="00961E06">
        <w:rPr>
          <w:rFonts w:ascii="Times New Roman" w:hAnsi="Times New Roman" w:cs="Times New Roman"/>
        </w:rPr>
        <w:t>The Collection Rules provide for a consolidated suit</w:t>
      </w:r>
      <w:r w:rsidR="3F2785C7" w:rsidRPr="00961E06">
        <w:rPr>
          <w:rFonts w:ascii="Times New Roman" w:hAnsi="Times New Roman" w:cs="Times New Roman"/>
        </w:rPr>
        <w:t>e</w:t>
      </w:r>
      <w:r w:rsidRPr="00961E06">
        <w:rPr>
          <w:rFonts w:ascii="Times New Roman" w:hAnsi="Times New Roman" w:cs="Times New Roman"/>
        </w:rPr>
        <w:t xml:space="preserve"> of requirements for the collection of levies and charges imposed in relation to each commodity on which </w:t>
      </w:r>
      <w:proofErr w:type="gramStart"/>
      <w:r w:rsidRPr="00961E06">
        <w:rPr>
          <w:rFonts w:ascii="Times New Roman" w:hAnsi="Times New Roman" w:cs="Times New Roman"/>
        </w:rPr>
        <w:t>levy</w:t>
      </w:r>
      <w:proofErr w:type="gramEnd"/>
      <w:r w:rsidRPr="00961E06">
        <w:rPr>
          <w:rFonts w:ascii="Times New Roman" w:hAnsi="Times New Roman" w:cs="Times New Roman"/>
        </w:rPr>
        <w:t xml:space="preserve"> or charge is imposed. Each Division of Schedule 1 and 2 prescribes requirements on levy or charge payers or collection agents to make payments, give returns, and make or keep records, and provide for certain processes, that are tailored to the particulars of each levy or charge (and the primary industry to which it relates)</w:t>
      </w:r>
      <w:r w:rsidR="00133A49" w:rsidRPr="00961E06">
        <w:rPr>
          <w:rFonts w:ascii="Times New Roman" w:hAnsi="Times New Roman" w:cs="Times New Roman"/>
        </w:rPr>
        <w:t>.</w:t>
      </w:r>
    </w:p>
    <w:p w14:paraId="164B3F4D" w14:textId="7EBEA869" w:rsidR="00E37A89" w:rsidRPr="00961E06" w:rsidRDefault="007030CC" w:rsidP="00EE60BE">
      <w:pPr>
        <w:ind w:left="720"/>
        <w:rPr>
          <w:rFonts w:ascii="Times New Roman" w:hAnsi="Times New Roman" w:cs="Times New Roman"/>
        </w:rPr>
      </w:pPr>
      <w:r w:rsidRPr="00961E06">
        <w:rPr>
          <w:rFonts w:ascii="Times New Roman" w:hAnsi="Times New Roman" w:cs="Times New Roman"/>
        </w:rPr>
        <w:t xml:space="preserve">Providing for these requirements in the Collection Rules </w:t>
      </w:r>
      <w:r w:rsidR="00421B2A" w:rsidRPr="00961E06">
        <w:rPr>
          <w:rFonts w:ascii="Times New Roman" w:hAnsi="Times New Roman" w:cs="Times New Roman"/>
        </w:rPr>
        <w:t>allows flexibility for them to be amended relatively quickly to accommodate for example, evolving industry needs and practices or changing economic conditions</w:t>
      </w:r>
      <w:r w:rsidR="00027C9F" w:rsidRPr="00961E06">
        <w:rPr>
          <w:rFonts w:ascii="Times New Roman" w:hAnsi="Times New Roman" w:cs="Times New Roman"/>
        </w:rPr>
        <w:t xml:space="preserve">. For example, the Collection Rules as amended by the </w:t>
      </w:r>
      <w:r w:rsidR="005F7E97" w:rsidRPr="00961E06">
        <w:rPr>
          <w:rFonts w:ascii="Times New Roman" w:hAnsi="Times New Roman" w:cs="Times New Roman"/>
        </w:rPr>
        <w:t>Rules</w:t>
      </w:r>
      <w:r w:rsidR="00027C9F" w:rsidRPr="00961E06">
        <w:rPr>
          <w:rFonts w:ascii="Times New Roman" w:hAnsi="Times New Roman" w:cs="Times New Roman"/>
        </w:rPr>
        <w:t xml:space="preserve"> require returns in relation to the use of honey levy</w:t>
      </w:r>
      <w:r w:rsidR="00FF6468" w:rsidRPr="00961E06">
        <w:rPr>
          <w:rFonts w:ascii="Times New Roman" w:hAnsi="Times New Roman" w:cs="Times New Roman"/>
        </w:rPr>
        <w:t xml:space="preserve"> to</w:t>
      </w:r>
      <w:r w:rsidR="00013EE7" w:rsidRPr="00961E06">
        <w:rPr>
          <w:rFonts w:ascii="Times New Roman" w:hAnsi="Times New Roman" w:cs="Times New Roman"/>
        </w:rPr>
        <w:t xml:space="preserve"> be given after the end of each quarter, rather than after the end of each calendar year, in response to the needs of honey levy payers and collection agents.</w:t>
      </w:r>
      <w:r w:rsidR="000B3125" w:rsidRPr="00961E06">
        <w:rPr>
          <w:rFonts w:ascii="Times New Roman" w:hAnsi="Times New Roman" w:cs="Times New Roman"/>
        </w:rPr>
        <w:t xml:space="preserve"> If the requirements concerning the giving of returns were in the Collection Act, there would have been less flexibility</w:t>
      </w:r>
      <w:r w:rsidR="00E37A89" w:rsidRPr="00961E06">
        <w:rPr>
          <w:rFonts w:ascii="Times New Roman" w:hAnsi="Times New Roman" w:cs="Times New Roman"/>
        </w:rPr>
        <w:t xml:space="preserve"> to amend them in time to accommodate the needs of the honey industry.</w:t>
      </w:r>
    </w:p>
    <w:p w14:paraId="7D5DCF8E" w14:textId="77777777" w:rsidR="0086151D" w:rsidRPr="00961E06" w:rsidRDefault="002B7B4D" w:rsidP="00EE60BE">
      <w:pPr>
        <w:ind w:left="720"/>
        <w:rPr>
          <w:rFonts w:ascii="Times New Roman" w:hAnsi="Times New Roman" w:cs="Times New Roman"/>
        </w:rPr>
      </w:pPr>
      <w:r w:rsidRPr="00961E06">
        <w:rPr>
          <w:rFonts w:ascii="Times New Roman" w:hAnsi="Times New Roman" w:cs="Times New Roman"/>
        </w:rPr>
        <w:t>Sections 17 and 18 of the Collection Act provide that a person commits an offence</w:t>
      </w:r>
      <w:r w:rsidR="004B0428" w:rsidRPr="00961E06">
        <w:rPr>
          <w:rFonts w:ascii="Times New Roman" w:hAnsi="Times New Roman" w:cs="Times New Roman"/>
        </w:rPr>
        <w:t xml:space="preserve"> </w:t>
      </w:r>
      <w:r w:rsidR="00273EC6" w:rsidRPr="00961E06">
        <w:rPr>
          <w:rFonts w:ascii="Times New Roman" w:hAnsi="Times New Roman" w:cs="Times New Roman"/>
        </w:rPr>
        <w:t>of strict liability</w:t>
      </w:r>
      <w:r w:rsidR="009E3E91" w:rsidRPr="00961E06">
        <w:rPr>
          <w:rFonts w:ascii="Times New Roman" w:hAnsi="Times New Roman" w:cs="Times New Roman"/>
        </w:rPr>
        <w:t xml:space="preserve"> or contravenes a civil penalty provision when a person fails to meet certain requirements</w:t>
      </w:r>
      <w:r w:rsidR="0086151D" w:rsidRPr="00961E06">
        <w:rPr>
          <w:rFonts w:ascii="Times New Roman" w:hAnsi="Times New Roman" w:cs="Times New Roman"/>
        </w:rPr>
        <w:t xml:space="preserve"> prescribed by the Secretary in the Collection Rules.</w:t>
      </w:r>
    </w:p>
    <w:p w14:paraId="085324BC" w14:textId="77777777" w:rsidR="006E73FB" w:rsidRPr="00961E06" w:rsidRDefault="0086151D" w:rsidP="00EE60BE">
      <w:pPr>
        <w:ind w:left="720"/>
        <w:rPr>
          <w:rFonts w:ascii="Times New Roman" w:hAnsi="Times New Roman" w:cs="Times New Roman"/>
        </w:rPr>
      </w:pPr>
      <w:r w:rsidRPr="00961E06">
        <w:rPr>
          <w:rFonts w:ascii="Times New Roman" w:hAnsi="Times New Roman" w:cs="Times New Roman"/>
        </w:rPr>
        <w:t>Sections 17 and 18 of the Collection Act provide that a person commits an offence of strict liability</w:t>
      </w:r>
      <w:r w:rsidR="005E5A91" w:rsidRPr="00961E06">
        <w:rPr>
          <w:rFonts w:ascii="Times New Roman" w:hAnsi="Times New Roman" w:cs="Times New Roman"/>
        </w:rPr>
        <w:t xml:space="preserve"> or contravenes</w:t>
      </w:r>
      <w:r w:rsidR="006E73FB" w:rsidRPr="00961E06">
        <w:rPr>
          <w:rFonts w:ascii="Times New Roman" w:hAnsi="Times New Roman" w:cs="Times New Roman"/>
        </w:rPr>
        <w:t xml:space="preserve"> a civil penalty provision if, respectively:</w:t>
      </w:r>
    </w:p>
    <w:p w14:paraId="66036B61" w14:textId="1DC12605" w:rsidR="00BF08F2" w:rsidRPr="00961E06" w:rsidRDefault="00F75E1E" w:rsidP="00EE60BE">
      <w:pPr>
        <w:pStyle w:val="ListParagraph"/>
        <w:numPr>
          <w:ilvl w:val="0"/>
          <w:numId w:val="12"/>
        </w:numPr>
        <w:ind w:left="1418" w:hanging="284"/>
        <w:rPr>
          <w:rFonts w:ascii="Times New Roman" w:hAnsi="Times New Roman" w:cs="Times New Roman"/>
        </w:rPr>
      </w:pPr>
      <w:r w:rsidRPr="00961E06">
        <w:rPr>
          <w:rFonts w:ascii="Times New Roman" w:hAnsi="Times New Roman" w:cs="Times New Roman"/>
        </w:rPr>
        <w:t xml:space="preserve">the person is required to give a return or written notice under the rules and fails to give </w:t>
      </w:r>
      <w:r w:rsidR="00B64E30" w:rsidRPr="00961E06">
        <w:rPr>
          <w:rFonts w:ascii="Times New Roman" w:hAnsi="Times New Roman" w:cs="Times New Roman"/>
        </w:rPr>
        <w:t>a return to the Secretary, or to give a written notice to a person in accordance with the rules; or</w:t>
      </w:r>
    </w:p>
    <w:p w14:paraId="322F4AA9" w14:textId="61F2C11F" w:rsidR="00B64E30" w:rsidRPr="00961E06" w:rsidRDefault="00067A42" w:rsidP="00EE60BE">
      <w:pPr>
        <w:pStyle w:val="ListParagraph"/>
        <w:numPr>
          <w:ilvl w:val="0"/>
          <w:numId w:val="12"/>
        </w:numPr>
        <w:ind w:left="1418" w:hanging="284"/>
        <w:rPr>
          <w:rFonts w:ascii="Times New Roman" w:hAnsi="Times New Roman" w:cs="Times New Roman"/>
        </w:rPr>
      </w:pPr>
      <w:r w:rsidRPr="00961E06">
        <w:rPr>
          <w:rFonts w:ascii="Times New Roman" w:hAnsi="Times New Roman" w:cs="Times New Roman"/>
        </w:rPr>
        <w:t>the person is required to make or keep records under the rules and fails to make or keep records in accordance with the rules.</w:t>
      </w:r>
    </w:p>
    <w:p w14:paraId="40A82485" w14:textId="5479B716" w:rsidR="00067A42" w:rsidRPr="00961E06" w:rsidRDefault="00067A42" w:rsidP="00EE60BE">
      <w:pPr>
        <w:ind w:left="720"/>
        <w:rPr>
          <w:rFonts w:ascii="Times New Roman" w:hAnsi="Times New Roman" w:cs="Times New Roman"/>
        </w:rPr>
      </w:pPr>
      <w:r w:rsidRPr="00961E06">
        <w:rPr>
          <w:rFonts w:ascii="Times New Roman" w:hAnsi="Times New Roman" w:cs="Times New Roman"/>
        </w:rPr>
        <w:t>Each offence is subject to 60 penalty units, and each civil penalty is subject to a civil penalty of 60 penalty units.</w:t>
      </w:r>
    </w:p>
    <w:p w14:paraId="3C35A15B" w14:textId="6290D48E" w:rsidR="00067A42" w:rsidRPr="00961E06" w:rsidRDefault="00067A42" w:rsidP="00EE60BE">
      <w:pPr>
        <w:ind w:left="720"/>
        <w:rPr>
          <w:rFonts w:ascii="Times New Roman" w:hAnsi="Times New Roman" w:cs="Times New Roman"/>
        </w:rPr>
      </w:pPr>
      <w:r w:rsidRPr="00961E06">
        <w:rPr>
          <w:rFonts w:ascii="Times New Roman" w:hAnsi="Times New Roman" w:cs="Times New Roman"/>
        </w:rPr>
        <w:t>The requirements</w:t>
      </w:r>
      <w:r w:rsidR="0046144A" w:rsidRPr="00961E06">
        <w:rPr>
          <w:rFonts w:ascii="Times New Roman" w:hAnsi="Times New Roman" w:cs="Times New Roman"/>
        </w:rPr>
        <w:t xml:space="preserve"> to give returns, and to make and keep records, are directed towards ensuring</w:t>
      </w:r>
      <w:r w:rsidR="0076647B" w:rsidRPr="00961E06">
        <w:rPr>
          <w:rFonts w:ascii="Times New Roman" w:hAnsi="Times New Roman" w:cs="Times New Roman"/>
        </w:rPr>
        <w:t xml:space="preserve"> the expeditious payment of levy and charge, which is central to the integrity of</w:t>
      </w:r>
      <w:r w:rsidR="002924C6" w:rsidRPr="00961E06">
        <w:rPr>
          <w:rFonts w:ascii="Times New Roman" w:hAnsi="Times New Roman" w:cs="Times New Roman"/>
        </w:rPr>
        <w:t xml:space="preserve"> the agricultural levy and charge system</w:t>
      </w:r>
      <w:r w:rsidR="0076647B" w:rsidRPr="00961E06">
        <w:rPr>
          <w:rFonts w:ascii="Times New Roman" w:hAnsi="Times New Roman" w:cs="Times New Roman"/>
        </w:rPr>
        <w:t>. It is appropriate therefore that non-compliance with these requirements be subject to offences and civil penalty provisions.</w:t>
      </w:r>
    </w:p>
    <w:p w14:paraId="276BD7D4" w14:textId="1AE92EE7" w:rsidR="0076647B" w:rsidRPr="00961E06" w:rsidRDefault="0076647B" w:rsidP="00EE60BE">
      <w:pPr>
        <w:ind w:left="720"/>
        <w:rPr>
          <w:rFonts w:ascii="Times New Roman" w:hAnsi="Times New Roman" w:cs="Times New Roman"/>
        </w:rPr>
      </w:pPr>
      <w:r w:rsidRPr="00961E06">
        <w:rPr>
          <w:rFonts w:ascii="Times New Roman" w:hAnsi="Times New Roman" w:cs="Times New Roman"/>
        </w:rPr>
        <w:t>The principles in the Guide to Framing Commonwealth Offences, Inf</w:t>
      </w:r>
      <w:r w:rsidR="00A42C57" w:rsidRPr="00961E06">
        <w:rPr>
          <w:rFonts w:ascii="Times New Roman" w:hAnsi="Times New Roman" w:cs="Times New Roman"/>
        </w:rPr>
        <w:t>ringement</w:t>
      </w:r>
      <w:r w:rsidRPr="00961E06">
        <w:rPr>
          <w:rFonts w:ascii="Times New Roman" w:hAnsi="Times New Roman" w:cs="Times New Roman"/>
        </w:rPr>
        <w:t xml:space="preserve"> Notices and Enfor</w:t>
      </w:r>
      <w:r w:rsidR="00A42C57" w:rsidRPr="00961E06">
        <w:rPr>
          <w:rFonts w:ascii="Times New Roman" w:hAnsi="Times New Roman" w:cs="Times New Roman"/>
        </w:rPr>
        <w:t xml:space="preserve">cement Powers (the Guide) were considered in framing the provisions in the Collection Act, including the strict liability offences and civil penalty provisions. </w:t>
      </w:r>
      <w:r w:rsidR="00A5289D" w:rsidRPr="00961E06">
        <w:rPr>
          <w:rFonts w:ascii="Times New Roman" w:hAnsi="Times New Roman" w:cs="Times New Roman"/>
        </w:rPr>
        <w:t>The offences and civil penalty provisions provide for a graduated set of san</w:t>
      </w:r>
      <w:r w:rsidR="000D06F3" w:rsidRPr="00961E06">
        <w:rPr>
          <w:rFonts w:ascii="Times New Roman" w:hAnsi="Times New Roman" w:cs="Times New Roman"/>
        </w:rPr>
        <w:t xml:space="preserve">ctions that </w:t>
      </w:r>
      <w:proofErr w:type="gramStart"/>
      <w:r w:rsidR="000D06F3" w:rsidRPr="00961E06">
        <w:rPr>
          <w:rFonts w:ascii="Times New Roman" w:hAnsi="Times New Roman" w:cs="Times New Roman"/>
        </w:rPr>
        <w:t>take into account</w:t>
      </w:r>
      <w:proofErr w:type="gramEnd"/>
      <w:r w:rsidR="000D06F3" w:rsidRPr="00961E06">
        <w:rPr>
          <w:rFonts w:ascii="Times New Roman" w:hAnsi="Times New Roman" w:cs="Times New Roman"/>
        </w:rPr>
        <w:t xml:space="preserve"> the gravity of the offences and the seriousness </w:t>
      </w:r>
      <w:r w:rsidR="00C9341A" w:rsidRPr="00961E06">
        <w:rPr>
          <w:rFonts w:ascii="Times New Roman" w:hAnsi="Times New Roman" w:cs="Times New Roman"/>
        </w:rPr>
        <w:lastRenderedPageBreak/>
        <w:t>of the conduct that gives rise to the offences. The strict liability offences and civil penalty provisions are therefore consistent with the Guide and are appropriate.</w:t>
      </w:r>
    </w:p>
    <w:p w14:paraId="0835AC53" w14:textId="7C226338" w:rsidR="00FF1208" w:rsidRPr="002C00DB" w:rsidRDefault="00FF1208" w:rsidP="00EE60BE">
      <w:pPr>
        <w:ind w:left="720"/>
        <w:rPr>
          <w:rFonts w:ascii="Times New Roman" w:hAnsi="Times New Roman" w:cs="Times New Roman"/>
        </w:rPr>
      </w:pPr>
      <w:r w:rsidRPr="00961E06">
        <w:rPr>
          <w:rFonts w:ascii="Times New Roman" w:hAnsi="Times New Roman" w:cs="Times New Roman"/>
        </w:rPr>
        <w:t xml:space="preserve">The </w:t>
      </w:r>
      <w:r w:rsidR="00CE1472" w:rsidRPr="00961E06">
        <w:rPr>
          <w:rFonts w:ascii="Times New Roman" w:hAnsi="Times New Roman" w:cs="Times New Roman"/>
        </w:rPr>
        <w:t>Collection Act also triggers co</w:t>
      </w:r>
      <w:r w:rsidR="002C00DB" w:rsidRPr="00961E06">
        <w:rPr>
          <w:rFonts w:ascii="Times New Roman" w:hAnsi="Times New Roman" w:cs="Times New Roman"/>
        </w:rPr>
        <w:t xml:space="preserve">mpliance and enforcement provisions in the </w:t>
      </w:r>
      <w:r w:rsidR="002C00DB" w:rsidRPr="00961E06">
        <w:rPr>
          <w:rFonts w:ascii="Times New Roman" w:hAnsi="Times New Roman" w:cs="Times New Roman"/>
          <w:i/>
          <w:iCs/>
        </w:rPr>
        <w:t>Regulatory Powers (Standard Provisions) Act 2014</w:t>
      </w:r>
      <w:r w:rsidR="002C00DB" w:rsidRPr="00961E06">
        <w:t xml:space="preserve"> </w:t>
      </w:r>
      <w:r w:rsidR="002C00DB" w:rsidRPr="00961E06">
        <w:rPr>
          <w:rFonts w:ascii="Times New Roman" w:hAnsi="Times New Roman" w:cs="Times New Roman"/>
        </w:rPr>
        <w:t>and</w:t>
      </w:r>
      <w:r w:rsidR="00EB41D0" w:rsidRPr="00961E06">
        <w:rPr>
          <w:rFonts w:ascii="Times New Roman" w:hAnsi="Times New Roman" w:cs="Times New Roman"/>
        </w:rPr>
        <w:t xml:space="preserve"> thus enables the department to take appropriate and proportionate </w:t>
      </w:r>
      <w:r w:rsidR="008F63B6" w:rsidRPr="00961E06">
        <w:rPr>
          <w:rFonts w:ascii="Times New Roman" w:hAnsi="Times New Roman" w:cs="Times New Roman"/>
        </w:rPr>
        <w:t>action in response to non-compliance with</w:t>
      </w:r>
      <w:r w:rsidR="002C00DB" w:rsidRPr="00961E06">
        <w:rPr>
          <w:rFonts w:ascii="Times New Roman" w:hAnsi="Times New Roman" w:cs="Times New Roman"/>
        </w:rPr>
        <w:t xml:space="preserve"> </w:t>
      </w:r>
      <w:r w:rsidR="00A23FCD" w:rsidRPr="00961E06">
        <w:rPr>
          <w:rFonts w:ascii="Times New Roman" w:hAnsi="Times New Roman" w:cs="Times New Roman"/>
        </w:rPr>
        <w:t>the Collection Act and the Collection Rules.</w:t>
      </w:r>
    </w:p>
    <w:sectPr w:rsidR="00FF1208" w:rsidRPr="002C00DB">
      <w:headerReference w:type="even"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33D74" w14:textId="77777777" w:rsidR="00FA281B" w:rsidRDefault="00FA281B" w:rsidP="006F61DB">
      <w:pPr>
        <w:spacing w:after="0" w:line="240" w:lineRule="auto"/>
      </w:pPr>
      <w:r>
        <w:separator/>
      </w:r>
    </w:p>
  </w:endnote>
  <w:endnote w:type="continuationSeparator" w:id="0">
    <w:p w14:paraId="1CBA4FD9" w14:textId="77777777" w:rsidR="00FA281B" w:rsidRDefault="00FA281B" w:rsidP="006F61DB">
      <w:pPr>
        <w:spacing w:after="0" w:line="240" w:lineRule="auto"/>
      </w:pPr>
      <w:r>
        <w:continuationSeparator/>
      </w:r>
    </w:p>
  </w:endnote>
  <w:endnote w:type="continuationNotice" w:id="1">
    <w:p w14:paraId="3D935A4F" w14:textId="77777777" w:rsidR="00FA281B" w:rsidRDefault="00FA2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5269D" w14:textId="1C5221F1" w:rsidR="006F61DB" w:rsidRDefault="007E0614">
    <w:pPr>
      <w:pStyle w:val="Footer"/>
    </w:pPr>
    <w:r>
      <w:rPr>
        <w:noProof/>
      </w:rPr>
      <mc:AlternateContent>
        <mc:Choice Requires="wps">
          <w:drawing>
            <wp:anchor distT="0" distB="0" distL="0" distR="0" simplePos="0" relativeHeight="251658244" behindDoc="0" locked="0" layoutInCell="1" allowOverlap="1" wp14:anchorId="15ECCF01" wp14:editId="3DC97846">
              <wp:simplePos x="635" y="635"/>
              <wp:positionH relativeFrom="page">
                <wp:align>center</wp:align>
              </wp:positionH>
              <wp:positionV relativeFrom="page">
                <wp:align>bottom</wp:align>
              </wp:positionV>
              <wp:extent cx="2101215" cy="405765"/>
              <wp:effectExtent l="0" t="0" r="13335" b="0"/>
              <wp:wrapNone/>
              <wp:docPr id="1603641821"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54A9DBF3" w14:textId="1367CC60" w:rsidR="007E0614" w:rsidRPr="007E0614" w:rsidRDefault="007E0614" w:rsidP="007E0614">
                          <w:pPr>
                            <w:spacing w:after="0"/>
                            <w:rPr>
                              <w:rFonts w:ascii="Calibri" w:eastAsia="Calibri" w:hAnsi="Calibri" w:cs="Calibri"/>
                              <w:noProof/>
                              <w:color w:val="FF0000"/>
                            </w:rPr>
                          </w:pPr>
                          <w:r w:rsidRPr="007E0614">
                            <w:rPr>
                              <w:rFonts w:ascii="Calibri" w:eastAsia="Calibri" w:hAnsi="Calibri" w:cs="Calibri"/>
                              <w:noProof/>
                              <w:color w:val="FF0000"/>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ECCF01" id="_x0000_t202" coordsize="21600,21600" o:spt="202" path="m,l,21600r21600,l21600,xe">
              <v:stroke joinstyle="miter"/>
              <v:path gradientshapeok="t" o:connecttype="rect"/>
            </v:shapetype>
            <v:shape id="Text Box 5" o:spid="_x0000_s1027" type="#_x0000_t202" alt="OFFICIAL: Sensitive Legal-Privilege" style="position:absolute;margin-left:0;margin-top:0;width:165.4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" filled="f" stroked="f">
              <v:textbox style="mso-fit-shape-to-text:t" inset="0,0,0,15pt">
                <w:txbxContent>
                  <w:p w14:paraId="54A9DBF3" w14:textId="1367CC60" w:rsidR="007E0614" w:rsidRPr="007E0614" w:rsidRDefault="007E0614" w:rsidP="007E0614">
                    <w:pPr>
                      <w:spacing w:after="0"/>
                      <w:rPr>
                        <w:rFonts w:ascii="Calibri" w:eastAsia="Calibri" w:hAnsi="Calibri" w:cs="Calibri"/>
                        <w:noProof/>
                        <w:color w:val="FF0000"/>
                      </w:rPr>
                    </w:pPr>
                    <w:r w:rsidRPr="007E0614">
                      <w:rPr>
                        <w:rFonts w:ascii="Calibri" w:eastAsia="Calibri" w:hAnsi="Calibri" w:cs="Calibri"/>
                        <w:noProof/>
                        <w:color w:val="FF0000"/>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579175"/>
      <w:docPartObj>
        <w:docPartGallery w:val="Page Numbers (Bottom of Page)"/>
        <w:docPartUnique/>
      </w:docPartObj>
    </w:sdtPr>
    <w:sdtEndPr>
      <w:rPr>
        <w:rFonts w:ascii="Times New Roman" w:hAnsi="Times New Roman" w:cs="Times New Roman"/>
        <w:noProof/>
        <w:sz w:val="20"/>
        <w:szCs w:val="20"/>
      </w:rPr>
    </w:sdtEndPr>
    <w:sdtContent>
      <w:p w14:paraId="1074618E" w14:textId="40474AA7" w:rsidR="00FB6A7B" w:rsidRPr="00FB6A7B" w:rsidRDefault="00FB6A7B" w:rsidP="00EE60BE">
        <w:pPr>
          <w:pStyle w:val="Footer"/>
          <w:jc w:val="right"/>
          <w:rPr>
            <w:rFonts w:ascii="Times New Roman" w:hAnsi="Times New Roman" w:cs="Times New Roman"/>
            <w:sz w:val="20"/>
            <w:szCs w:val="20"/>
          </w:rPr>
        </w:pPr>
        <w:r w:rsidRPr="00FB6A7B">
          <w:rPr>
            <w:rFonts w:ascii="Times New Roman" w:hAnsi="Times New Roman" w:cs="Times New Roman"/>
            <w:sz w:val="20"/>
            <w:szCs w:val="20"/>
          </w:rPr>
          <w:fldChar w:fldCharType="begin"/>
        </w:r>
        <w:r w:rsidRPr="00FB6A7B">
          <w:rPr>
            <w:rFonts w:ascii="Times New Roman" w:hAnsi="Times New Roman" w:cs="Times New Roman"/>
            <w:sz w:val="20"/>
            <w:szCs w:val="20"/>
          </w:rPr>
          <w:instrText xml:space="preserve"> PAGE   \* MERGEFORMAT </w:instrText>
        </w:r>
        <w:r w:rsidRPr="00FB6A7B">
          <w:rPr>
            <w:rFonts w:ascii="Times New Roman" w:hAnsi="Times New Roman" w:cs="Times New Roman"/>
            <w:sz w:val="20"/>
            <w:szCs w:val="20"/>
          </w:rPr>
          <w:fldChar w:fldCharType="separate"/>
        </w:r>
        <w:r w:rsidRPr="00FB6A7B">
          <w:rPr>
            <w:rFonts w:ascii="Times New Roman" w:hAnsi="Times New Roman" w:cs="Times New Roman"/>
            <w:noProof/>
            <w:sz w:val="20"/>
            <w:szCs w:val="20"/>
          </w:rPr>
          <w:t>2</w:t>
        </w:r>
        <w:r w:rsidRPr="00FB6A7B">
          <w:rPr>
            <w:rFonts w:ascii="Times New Roman" w:hAnsi="Times New Roman" w:cs="Times New Roman"/>
            <w:noProof/>
            <w:sz w:val="20"/>
            <w:szCs w:val="20"/>
          </w:rPr>
          <w:fldChar w:fldCharType="end"/>
        </w:r>
      </w:p>
    </w:sdtContent>
  </w:sdt>
  <w:p w14:paraId="232E69EB" w14:textId="14796716" w:rsidR="006F61DB" w:rsidRDefault="006F6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B33F6" w14:textId="32647A03" w:rsidR="006F61DB" w:rsidRDefault="007E0614">
    <w:pPr>
      <w:pStyle w:val="Footer"/>
    </w:pPr>
    <w:r>
      <w:rPr>
        <w:noProof/>
      </w:rPr>
      <mc:AlternateContent>
        <mc:Choice Requires="wps">
          <w:drawing>
            <wp:anchor distT="0" distB="0" distL="0" distR="0" simplePos="0" relativeHeight="251658243" behindDoc="0" locked="0" layoutInCell="1" allowOverlap="1" wp14:anchorId="53A98873" wp14:editId="2BBB0A28">
              <wp:simplePos x="635" y="635"/>
              <wp:positionH relativeFrom="page">
                <wp:align>center</wp:align>
              </wp:positionH>
              <wp:positionV relativeFrom="page">
                <wp:align>bottom</wp:align>
              </wp:positionV>
              <wp:extent cx="2101215" cy="405765"/>
              <wp:effectExtent l="0" t="0" r="13335" b="0"/>
              <wp:wrapNone/>
              <wp:docPr id="1327431319" name="Text Box 4"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3F65F48B" w14:textId="4563496B" w:rsidR="007E0614" w:rsidRPr="007E0614" w:rsidRDefault="007E0614" w:rsidP="007E0614">
                          <w:pPr>
                            <w:spacing w:after="0"/>
                            <w:rPr>
                              <w:rFonts w:ascii="Calibri" w:eastAsia="Calibri" w:hAnsi="Calibri" w:cs="Calibri"/>
                              <w:noProof/>
                              <w:color w:val="FF0000"/>
                            </w:rPr>
                          </w:pPr>
                          <w:r w:rsidRPr="007E0614">
                            <w:rPr>
                              <w:rFonts w:ascii="Calibri" w:eastAsia="Calibri" w:hAnsi="Calibri" w:cs="Calibri"/>
                              <w:noProof/>
                              <w:color w:val="FF0000"/>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A98873" id="_x0000_t202" coordsize="21600,21600" o:spt="202" path="m,l,21600r21600,l21600,xe">
              <v:stroke joinstyle="miter"/>
              <v:path gradientshapeok="t" o:connecttype="rect"/>
            </v:shapetype>
            <v:shape id="Text Box 4" o:spid="_x0000_s1029" type="#_x0000_t202" alt="OFFICIAL: Sensitive Legal-Privilege" style="position:absolute;margin-left:0;margin-top:0;width:165.4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" filled="f" stroked="f">
              <v:textbox style="mso-fit-shape-to-text:t" inset="0,0,0,15pt">
                <w:txbxContent>
                  <w:p w14:paraId="3F65F48B" w14:textId="4563496B" w:rsidR="007E0614" w:rsidRPr="007E0614" w:rsidRDefault="007E0614" w:rsidP="007E0614">
                    <w:pPr>
                      <w:spacing w:after="0"/>
                      <w:rPr>
                        <w:rFonts w:ascii="Calibri" w:eastAsia="Calibri" w:hAnsi="Calibri" w:cs="Calibri"/>
                        <w:noProof/>
                        <w:color w:val="FF0000"/>
                      </w:rPr>
                    </w:pPr>
                    <w:r w:rsidRPr="007E0614">
                      <w:rPr>
                        <w:rFonts w:ascii="Calibri" w:eastAsia="Calibri" w:hAnsi="Calibri" w:cs="Calibri"/>
                        <w:noProof/>
                        <w:color w:val="FF0000"/>
                      </w:rPr>
                      <w:t>OFFICIAL: Sensitive 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3512A" w14:textId="77777777" w:rsidR="00FA281B" w:rsidRDefault="00FA281B" w:rsidP="006F61DB">
      <w:pPr>
        <w:spacing w:after="0" w:line="240" w:lineRule="auto"/>
      </w:pPr>
      <w:r>
        <w:separator/>
      </w:r>
    </w:p>
  </w:footnote>
  <w:footnote w:type="continuationSeparator" w:id="0">
    <w:p w14:paraId="5C01EA96" w14:textId="77777777" w:rsidR="00FA281B" w:rsidRDefault="00FA281B" w:rsidP="006F61DB">
      <w:pPr>
        <w:spacing w:after="0" w:line="240" w:lineRule="auto"/>
      </w:pPr>
      <w:r>
        <w:continuationSeparator/>
      </w:r>
    </w:p>
  </w:footnote>
  <w:footnote w:type="continuationNotice" w:id="1">
    <w:p w14:paraId="75E2C76E" w14:textId="77777777" w:rsidR="00FA281B" w:rsidRDefault="00FA28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32A22" w14:textId="70E37964" w:rsidR="006F61DB" w:rsidRDefault="007E0614">
    <w:pPr>
      <w:pStyle w:val="Header"/>
    </w:pPr>
    <w:r>
      <w:rPr>
        <w:noProof/>
      </w:rPr>
      <mc:AlternateContent>
        <mc:Choice Requires="wps">
          <w:drawing>
            <wp:anchor distT="0" distB="0" distL="0" distR="0" simplePos="0" relativeHeight="251658241" behindDoc="0" locked="0" layoutInCell="1" allowOverlap="1" wp14:anchorId="61B4EC6F" wp14:editId="29DD19DD">
              <wp:simplePos x="635" y="635"/>
              <wp:positionH relativeFrom="page">
                <wp:align>center</wp:align>
              </wp:positionH>
              <wp:positionV relativeFrom="page">
                <wp:align>top</wp:align>
              </wp:positionV>
              <wp:extent cx="2101215" cy="405765"/>
              <wp:effectExtent l="0" t="0" r="13335" b="13335"/>
              <wp:wrapNone/>
              <wp:docPr id="441180889"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34FE57F6" w14:textId="1C814F83" w:rsidR="007E0614" w:rsidRPr="007E0614" w:rsidRDefault="007E0614" w:rsidP="007E0614">
                          <w:pPr>
                            <w:spacing w:after="0"/>
                            <w:rPr>
                              <w:rFonts w:ascii="Calibri" w:eastAsia="Calibri" w:hAnsi="Calibri" w:cs="Calibri"/>
                              <w:noProof/>
                              <w:color w:val="FF0000"/>
                            </w:rPr>
                          </w:pPr>
                          <w:r w:rsidRPr="007E0614">
                            <w:rPr>
                              <w:rFonts w:ascii="Calibri" w:eastAsia="Calibri" w:hAnsi="Calibri" w:cs="Calibri"/>
                              <w:noProof/>
                              <w:color w:val="FF0000"/>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B4EC6F"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" filled="f" stroked="f">
              <v:textbox style="mso-fit-shape-to-text:t" inset="0,15pt,0,0">
                <w:txbxContent>
                  <w:p w14:paraId="34FE57F6" w14:textId="1C814F83" w:rsidR="007E0614" w:rsidRPr="007E0614" w:rsidRDefault="007E0614" w:rsidP="007E0614">
                    <w:pPr>
                      <w:spacing w:after="0"/>
                      <w:rPr>
                        <w:rFonts w:ascii="Calibri" w:eastAsia="Calibri" w:hAnsi="Calibri" w:cs="Calibri"/>
                        <w:noProof/>
                        <w:color w:val="FF0000"/>
                      </w:rPr>
                    </w:pPr>
                    <w:r w:rsidRPr="007E0614">
                      <w:rPr>
                        <w:rFonts w:ascii="Calibri" w:eastAsia="Calibri" w:hAnsi="Calibri" w:cs="Calibri"/>
                        <w:noProof/>
                        <w:color w:val="FF0000"/>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6226" w14:textId="4253AA2A" w:rsidR="006F61DB" w:rsidRDefault="007E0614">
    <w:pPr>
      <w:pStyle w:val="Header"/>
    </w:pPr>
    <w:r>
      <w:rPr>
        <w:noProof/>
      </w:rPr>
      <mc:AlternateContent>
        <mc:Choice Requires="wps">
          <w:drawing>
            <wp:anchor distT="0" distB="0" distL="0" distR="0" simplePos="0" relativeHeight="251658240" behindDoc="0" locked="0" layoutInCell="1" allowOverlap="1" wp14:anchorId="1EB3F543" wp14:editId="3E6F7A0B">
              <wp:simplePos x="635" y="635"/>
              <wp:positionH relativeFrom="page">
                <wp:align>center</wp:align>
              </wp:positionH>
              <wp:positionV relativeFrom="page">
                <wp:align>top</wp:align>
              </wp:positionV>
              <wp:extent cx="2101215" cy="405765"/>
              <wp:effectExtent l="0" t="0" r="13335" b="13335"/>
              <wp:wrapNone/>
              <wp:docPr id="1064518968" name="Text Box 1"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1555A1D7" w14:textId="112E7D90" w:rsidR="007E0614" w:rsidRPr="007E0614" w:rsidRDefault="007E0614" w:rsidP="007E0614">
                          <w:pPr>
                            <w:spacing w:after="0"/>
                            <w:rPr>
                              <w:rFonts w:ascii="Calibri" w:eastAsia="Calibri" w:hAnsi="Calibri" w:cs="Calibri"/>
                              <w:noProof/>
                              <w:color w:val="FF0000"/>
                            </w:rPr>
                          </w:pPr>
                          <w:r w:rsidRPr="007E0614">
                            <w:rPr>
                              <w:rFonts w:ascii="Calibri" w:eastAsia="Calibri" w:hAnsi="Calibri" w:cs="Calibri"/>
                              <w:noProof/>
                              <w:color w:val="FF0000"/>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B3F543" id="_x0000_t202" coordsize="21600,21600" o:spt="202" path="m,l,21600r21600,l21600,xe">
              <v:stroke joinstyle="miter"/>
              <v:path gradientshapeok="t" o:connecttype="rect"/>
            </v:shapetype>
            <v:shape id="Text Box 1" o:spid="_x0000_s1028" type="#_x0000_t202" alt="OFFICIAL: Sensitive Legal-Privilege" style="position:absolute;margin-left:0;margin-top:0;width:165.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" filled="f" stroked="f">
              <v:textbox style="mso-fit-shape-to-text:t" inset="0,15pt,0,0">
                <w:txbxContent>
                  <w:p w14:paraId="1555A1D7" w14:textId="112E7D90" w:rsidR="007E0614" w:rsidRPr="007E0614" w:rsidRDefault="007E0614" w:rsidP="007E0614">
                    <w:pPr>
                      <w:spacing w:after="0"/>
                      <w:rPr>
                        <w:rFonts w:ascii="Calibri" w:eastAsia="Calibri" w:hAnsi="Calibri" w:cs="Calibri"/>
                        <w:noProof/>
                        <w:color w:val="FF0000"/>
                      </w:rPr>
                    </w:pPr>
                    <w:r w:rsidRPr="007E0614">
                      <w:rPr>
                        <w:rFonts w:ascii="Calibri" w:eastAsia="Calibri" w:hAnsi="Calibri" w:cs="Calibri"/>
                        <w:noProof/>
                        <w:color w:val="FF0000"/>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0EC2"/>
    <w:multiLevelType w:val="hybridMultilevel"/>
    <w:tmpl w:val="6958DD22"/>
    <w:lvl w:ilvl="0" w:tplc="7156615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BC87059"/>
    <w:multiLevelType w:val="hybridMultilevel"/>
    <w:tmpl w:val="BCC6A768"/>
    <w:lvl w:ilvl="0" w:tplc="6FB875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F4962D4"/>
    <w:multiLevelType w:val="hybridMultilevel"/>
    <w:tmpl w:val="3206864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26246F8A"/>
    <w:multiLevelType w:val="hybridMultilevel"/>
    <w:tmpl w:val="97ECE382"/>
    <w:lvl w:ilvl="0" w:tplc="F26E178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29513426"/>
    <w:multiLevelType w:val="hybridMultilevel"/>
    <w:tmpl w:val="C9FA19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2104BAE"/>
    <w:multiLevelType w:val="hybridMultilevel"/>
    <w:tmpl w:val="38626652"/>
    <w:lvl w:ilvl="0" w:tplc="248800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44386B1E"/>
    <w:multiLevelType w:val="hybridMultilevel"/>
    <w:tmpl w:val="6DDC0C92"/>
    <w:lvl w:ilvl="0" w:tplc="4AE0F49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7CC2B78"/>
    <w:multiLevelType w:val="hybridMultilevel"/>
    <w:tmpl w:val="40CC5792"/>
    <w:lvl w:ilvl="0" w:tplc="46F0F7F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61EF6119"/>
    <w:multiLevelType w:val="hybridMultilevel"/>
    <w:tmpl w:val="D99CAF6C"/>
    <w:lvl w:ilvl="0" w:tplc="173467D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6C705346"/>
    <w:multiLevelType w:val="hybridMultilevel"/>
    <w:tmpl w:val="5B9E57C4"/>
    <w:lvl w:ilvl="0" w:tplc="BD98029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6DEE21D8"/>
    <w:multiLevelType w:val="hybridMultilevel"/>
    <w:tmpl w:val="0C4899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3485A7B"/>
    <w:multiLevelType w:val="hybridMultilevel"/>
    <w:tmpl w:val="332C8E06"/>
    <w:lvl w:ilvl="0" w:tplc="6A604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4077814">
    <w:abstractNumId w:val="5"/>
  </w:num>
  <w:num w:numId="2" w16cid:durableId="588583176">
    <w:abstractNumId w:val="8"/>
  </w:num>
  <w:num w:numId="3" w16cid:durableId="241764650">
    <w:abstractNumId w:val="1"/>
  </w:num>
  <w:num w:numId="4" w16cid:durableId="1032149707">
    <w:abstractNumId w:val="9"/>
  </w:num>
  <w:num w:numId="5" w16cid:durableId="1041705786">
    <w:abstractNumId w:val="3"/>
  </w:num>
  <w:num w:numId="6" w16cid:durableId="1238899344">
    <w:abstractNumId w:val="0"/>
  </w:num>
  <w:num w:numId="7" w16cid:durableId="454297790">
    <w:abstractNumId w:val="7"/>
  </w:num>
  <w:num w:numId="8" w16cid:durableId="899484553">
    <w:abstractNumId w:val="11"/>
  </w:num>
  <w:num w:numId="9" w16cid:durableId="959840706">
    <w:abstractNumId w:val="6"/>
  </w:num>
  <w:num w:numId="10" w16cid:durableId="90592896">
    <w:abstractNumId w:val="4"/>
  </w:num>
  <w:num w:numId="11" w16cid:durableId="348531613">
    <w:abstractNumId w:val="10"/>
  </w:num>
  <w:num w:numId="12" w16cid:durableId="1834836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DE"/>
    <w:rsid w:val="00013EE7"/>
    <w:rsid w:val="00027C9F"/>
    <w:rsid w:val="00033198"/>
    <w:rsid w:val="00035EFD"/>
    <w:rsid w:val="00036B1F"/>
    <w:rsid w:val="000411F9"/>
    <w:rsid w:val="0004748C"/>
    <w:rsid w:val="00052CA3"/>
    <w:rsid w:val="00056A3A"/>
    <w:rsid w:val="0006133D"/>
    <w:rsid w:val="0006187F"/>
    <w:rsid w:val="000631B1"/>
    <w:rsid w:val="000643DD"/>
    <w:rsid w:val="00067A42"/>
    <w:rsid w:val="00073C7B"/>
    <w:rsid w:val="00080293"/>
    <w:rsid w:val="00080515"/>
    <w:rsid w:val="000841E0"/>
    <w:rsid w:val="00085C58"/>
    <w:rsid w:val="00087D20"/>
    <w:rsid w:val="000969F9"/>
    <w:rsid w:val="000A26D4"/>
    <w:rsid w:val="000A3878"/>
    <w:rsid w:val="000A443D"/>
    <w:rsid w:val="000B1C0E"/>
    <w:rsid w:val="000B3125"/>
    <w:rsid w:val="000B3CC2"/>
    <w:rsid w:val="000C56E7"/>
    <w:rsid w:val="000D06F3"/>
    <w:rsid w:val="000D674E"/>
    <w:rsid w:val="000E71BE"/>
    <w:rsid w:val="000F07D8"/>
    <w:rsid w:val="000F1F1C"/>
    <w:rsid w:val="000F553D"/>
    <w:rsid w:val="00127EDE"/>
    <w:rsid w:val="00133A49"/>
    <w:rsid w:val="00135038"/>
    <w:rsid w:val="001418D1"/>
    <w:rsid w:val="001438AE"/>
    <w:rsid w:val="00146A92"/>
    <w:rsid w:val="00170D45"/>
    <w:rsid w:val="0018181B"/>
    <w:rsid w:val="0018284A"/>
    <w:rsid w:val="0019049C"/>
    <w:rsid w:val="00191A1D"/>
    <w:rsid w:val="00191AD1"/>
    <w:rsid w:val="0019652A"/>
    <w:rsid w:val="00196E6D"/>
    <w:rsid w:val="001A6939"/>
    <w:rsid w:val="001B2058"/>
    <w:rsid w:val="001B3E9E"/>
    <w:rsid w:val="001B46CA"/>
    <w:rsid w:val="001C5CC5"/>
    <w:rsid w:val="001D4D75"/>
    <w:rsid w:val="001D5353"/>
    <w:rsid w:val="001E2612"/>
    <w:rsid w:val="001E7B93"/>
    <w:rsid w:val="00210350"/>
    <w:rsid w:val="002177BB"/>
    <w:rsid w:val="002500FC"/>
    <w:rsid w:val="0025208E"/>
    <w:rsid w:val="00252388"/>
    <w:rsid w:val="00256D64"/>
    <w:rsid w:val="00262D42"/>
    <w:rsid w:val="00266EB2"/>
    <w:rsid w:val="00273EC6"/>
    <w:rsid w:val="00274563"/>
    <w:rsid w:val="00277D71"/>
    <w:rsid w:val="002803EC"/>
    <w:rsid w:val="00284CEA"/>
    <w:rsid w:val="002861DE"/>
    <w:rsid w:val="00290CAA"/>
    <w:rsid w:val="002924C6"/>
    <w:rsid w:val="002963D9"/>
    <w:rsid w:val="00296BA3"/>
    <w:rsid w:val="0029752B"/>
    <w:rsid w:val="002B4F9F"/>
    <w:rsid w:val="002B7B4D"/>
    <w:rsid w:val="002C00DB"/>
    <w:rsid w:val="002C03AE"/>
    <w:rsid w:val="002D6B7E"/>
    <w:rsid w:val="002F13FA"/>
    <w:rsid w:val="003205AB"/>
    <w:rsid w:val="00320F67"/>
    <w:rsid w:val="00327A99"/>
    <w:rsid w:val="0033260F"/>
    <w:rsid w:val="003353C3"/>
    <w:rsid w:val="00335510"/>
    <w:rsid w:val="00335E1D"/>
    <w:rsid w:val="003471DF"/>
    <w:rsid w:val="00351E14"/>
    <w:rsid w:val="003528FF"/>
    <w:rsid w:val="00352EF2"/>
    <w:rsid w:val="0036006E"/>
    <w:rsid w:val="00360502"/>
    <w:rsid w:val="00363AFB"/>
    <w:rsid w:val="00374F85"/>
    <w:rsid w:val="00376B20"/>
    <w:rsid w:val="003873C6"/>
    <w:rsid w:val="0039320B"/>
    <w:rsid w:val="00396E5B"/>
    <w:rsid w:val="003A5F74"/>
    <w:rsid w:val="003B0490"/>
    <w:rsid w:val="003C5274"/>
    <w:rsid w:val="003C6052"/>
    <w:rsid w:val="003D23CF"/>
    <w:rsid w:val="003E214D"/>
    <w:rsid w:val="003E34E0"/>
    <w:rsid w:val="00421B2A"/>
    <w:rsid w:val="00423723"/>
    <w:rsid w:val="004453E6"/>
    <w:rsid w:val="00451AC8"/>
    <w:rsid w:val="00451F95"/>
    <w:rsid w:val="00451FB1"/>
    <w:rsid w:val="00457B49"/>
    <w:rsid w:val="0046144A"/>
    <w:rsid w:val="00492789"/>
    <w:rsid w:val="00493FEC"/>
    <w:rsid w:val="004963E7"/>
    <w:rsid w:val="004A4C72"/>
    <w:rsid w:val="004B0428"/>
    <w:rsid w:val="004B08DC"/>
    <w:rsid w:val="004C0A73"/>
    <w:rsid w:val="004D1BD3"/>
    <w:rsid w:val="004D6CED"/>
    <w:rsid w:val="004E204D"/>
    <w:rsid w:val="004F003A"/>
    <w:rsid w:val="0050176A"/>
    <w:rsid w:val="00501E6B"/>
    <w:rsid w:val="00503AEB"/>
    <w:rsid w:val="005054EA"/>
    <w:rsid w:val="00506AB9"/>
    <w:rsid w:val="00514FF5"/>
    <w:rsid w:val="00515EB1"/>
    <w:rsid w:val="005173F9"/>
    <w:rsid w:val="0052035D"/>
    <w:rsid w:val="00531112"/>
    <w:rsid w:val="005312E6"/>
    <w:rsid w:val="00540A4E"/>
    <w:rsid w:val="0054266A"/>
    <w:rsid w:val="00545840"/>
    <w:rsid w:val="0055367E"/>
    <w:rsid w:val="00561DE3"/>
    <w:rsid w:val="00562648"/>
    <w:rsid w:val="00565DD1"/>
    <w:rsid w:val="00581159"/>
    <w:rsid w:val="005A214F"/>
    <w:rsid w:val="005A3E04"/>
    <w:rsid w:val="005C7F48"/>
    <w:rsid w:val="005D70C8"/>
    <w:rsid w:val="005E02E3"/>
    <w:rsid w:val="005E049C"/>
    <w:rsid w:val="005E4C90"/>
    <w:rsid w:val="005E5A91"/>
    <w:rsid w:val="005E5C6C"/>
    <w:rsid w:val="005E6E3F"/>
    <w:rsid w:val="005F0770"/>
    <w:rsid w:val="005F1F06"/>
    <w:rsid w:val="005F7E97"/>
    <w:rsid w:val="006029E0"/>
    <w:rsid w:val="00612CC6"/>
    <w:rsid w:val="00637A13"/>
    <w:rsid w:val="00652A19"/>
    <w:rsid w:val="00656928"/>
    <w:rsid w:val="0066553A"/>
    <w:rsid w:val="006701A7"/>
    <w:rsid w:val="00682B7B"/>
    <w:rsid w:val="00682C8A"/>
    <w:rsid w:val="00685816"/>
    <w:rsid w:val="00693150"/>
    <w:rsid w:val="00693786"/>
    <w:rsid w:val="00693C4A"/>
    <w:rsid w:val="006B1DB1"/>
    <w:rsid w:val="006C550F"/>
    <w:rsid w:val="006E6219"/>
    <w:rsid w:val="006E73FB"/>
    <w:rsid w:val="006F3585"/>
    <w:rsid w:val="006F61DB"/>
    <w:rsid w:val="00700059"/>
    <w:rsid w:val="007030CC"/>
    <w:rsid w:val="00730D8D"/>
    <w:rsid w:val="00734464"/>
    <w:rsid w:val="00741E5B"/>
    <w:rsid w:val="00741F88"/>
    <w:rsid w:val="0074568F"/>
    <w:rsid w:val="00750213"/>
    <w:rsid w:val="007633CB"/>
    <w:rsid w:val="0076647B"/>
    <w:rsid w:val="0076672E"/>
    <w:rsid w:val="007733FD"/>
    <w:rsid w:val="007825A6"/>
    <w:rsid w:val="0079674C"/>
    <w:rsid w:val="007A3297"/>
    <w:rsid w:val="007A602E"/>
    <w:rsid w:val="007B1A6F"/>
    <w:rsid w:val="007D6F88"/>
    <w:rsid w:val="007E0614"/>
    <w:rsid w:val="007F0F94"/>
    <w:rsid w:val="007F121C"/>
    <w:rsid w:val="00805351"/>
    <w:rsid w:val="00814672"/>
    <w:rsid w:val="00820D38"/>
    <w:rsid w:val="008256B1"/>
    <w:rsid w:val="00842908"/>
    <w:rsid w:val="00844365"/>
    <w:rsid w:val="00845CF0"/>
    <w:rsid w:val="00846AA0"/>
    <w:rsid w:val="0085520D"/>
    <w:rsid w:val="0085584B"/>
    <w:rsid w:val="008600DE"/>
    <w:rsid w:val="0086151D"/>
    <w:rsid w:val="00861938"/>
    <w:rsid w:val="00873F23"/>
    <w:rsid w:val="00881678"/>
    <w:rsid w:val="00896D04"/>
    <w:rsid w:val="00897666"/>
    <w:rsid w:val="008A0D95"/>
    <w:rsid w:val="008B0655"/>
    <w:rsid w:val="008B31F0"/>
    <w:rsid w:val="008B6277"/>
    <w:rsid w:val="008C4429"/>
    <w:rsid w:val="008D5BE7"/>
    <w:rsid w:val="008F63B6"/>
    <w:rsid w:val="00900C15"/>
    <w:rsid w:val="0090193D"/>
    <w:rsid w:val="0090377D"/>
    <w:rsid w:val="00907C8A"/>
    <w:rsid w:val="00913DC7"/>
    <w:rsid w:val="0092698C"/>
    <w:rsid w:val="00940223"/>
    <w:rsid w:val="0094088B"/>
    <w:rsid w:val="00945810"/>
    <w:rsid w:val="00946DF7"/>
    <w:rsid w:val="009472E2"/>
    <w:rsid w:val="00950C32"/>
    <w:rsid w:val="00954F77"/>
    <w:rsid w:val="00961E06"/>
    <w:rsid w:val="00962EE2"/>
    <w:rsid w:val="009645C7"/>
    <w:rsid w:val="00971A7F"/>
    <w:rsid w:val="00981B8A"/>
    <w:rsid w:val="009902A8"/>
    <w:rsid w:val="009A0761"/>
    <w:rsid w:val="009A116B"/>
    <w:rsid w:val="009B50E0"/>
    <w:rsid w:val="009B5315"/>
    <w:rsid w:val="009C37E7"/>
    <w:rsid w:val="009D4BAF"/>
    <w:rsid w:val="009E2BAE"/>
    <w:rsid w:val="009E3E91"/>
    <w:rsid w:val="009F3D8B"/>
    <w:rsid w:val="00A061EF"/>
    <w:rsid w:val="00A07B84"/>
    <w:rsid w:val="00A11AFD"/>
    <w:rsid w:val="00A15516"/>
    <w:rsid w:val="00A2261B"/>
    <w:rsid w:val="00A23FCD"/>
    <w:rsid w:val="00A24C91"/>
    <w:rsid w:val="00A32939"/>
    <w:rsid w:val="00A35392"/>
    <w:rsid w:val="00A4002F"/>
    <w:rsid w:val="00A42C57"/>
    <w:rsid w:val="00A43FDE"/>
    <w:rsid w:val="00A44A4C"/>
    <w:rsid w:val="00A5289D"/>
    <w:rsid w:val="00A60246"/>
    <w:rsid w:val="00A62934"/>
    <w:rsid w:val="00A65DBF"/>
    <w:rsid w:val="00A74A6A"/>
    <w:rsid w:val="00A773B9"/>
    <w:rsid w:val="00A8265B"/>
    <w:rsid w:val="00A83026"/>
    <w:rsid w:val="00A83884"/>
    <w:rsid w:val="00A864C5"/>
    <w:rsid w:val="00A9669C"/>
    <w:rsid w:val="00A96F52"/>
    <w:rsid w:val="00AA6CD5"/>
    <w:rsid w:val="00AA7E4F"/>
    <w:rsid w:val="00AB1480"/>
    <w:rsid w:val="00AD7CFC"/>
    <w:rsid w:val="00AF06D3"/>
    <w:rsid w:val="00B11F71"/>
    <w:rsid w:val="00B15A90"/>
    <w:rsid w:val="00B250FF"/>
    <w:rsid w:val="00B40031"/>
    <w:rsid w:val="00B64E30"/>
    <w:rsid w:val="00B67E80"/>
    <w:rsid w:val="00B71852"/>
    <w:rsid w:val="00B71E0D"/>
    <w:rsid w:val="00B72C45"/>
    <w:rsid w:val="00B87778"/>
    <w:rsid w:val="00B90E60"/>
    <w:rsid w:val="00BA2B35"/>
    <w:rsid w:val="00BA408F"/>
    <w:rsid w:val="00BC3010"/>
    <w:rsid w:val="00BC4EFF"/>
    <w:rsid w:val="00BD35D9"/>
    <w:rsid w:val="00BE1841"/>
    <w:rsid w:val="00BF08F2"/>
    <w:rsid w:val="00BF5B8A"/>
    <w:rsid w:val="00BF6465"/>
    <w:rsid w:val="00C00558"/>
    <w:rsid w:val="00C00FFF"/>
    <w:rsid w:val="00C10343"/>
    <w:rsid w:val="00C14E3D"/>
    <w:rsid w:val="00C158D5"/>
    <w:rsid w:val="00C16634"/>
    <w:rsid w:val="00C17440"/>
    <w:rsid w:val="00C20889"/>
    <w:rsid w:val="00C21E3C"/>
    <w:rsid w:val="00C36D8B"/>
    <w:rsid w:val="00C41796"/>
    <w:rsid w:val="00C44306"/>
    <w:rsid w:val="00C5573E"/>
    <w:rsid w:val="00C55B5D"/>
    <w:rsid w:val="00C61D1F"/>
    <w:rsid w:val="00C63907"/>
    <w:rsid w:val="00C752B5"/>
    <w:rsid w:val="00C9341A"/>
    <w:rsid w:val="00C97383"/>
    <w:rsid w:val="00CA6A11"/>
    <w:rsid w:val="00CA768A"/>
    <w:rsid w:val="00CC13C4"/>
    <w:rsid w:val="00CC1CFC"/>
    <w:rsid w:val="00CD067C"/>
    <w:rsid w:val="00CD0EE3"/>
    <w:rsid w:val="00CE1472"/>
    <w:rsid w:val="00CE427C"/>
    <w:rsid w:val="00CF232A"/>
    <w:rsid w:val="00CF3A16"/>
    <w:rsid w:val="00D028BE"/>
    <w:rsid w:val="00D0711E"/>
    <w:rsid w:val="00D10C39"/>
    <w:rsid w:val="00D1729A"/>
    <w:rsid w:val="00D2407A"/>
    <w:rsid w:val="00D263D2"/>
    <w:rsid w:val="00D27578"/>
    <w:rsid w:val="00D27E77"/>
    <w:rsid w:val="00D45E68"/>
    <w:rsid w:val="00D55D7B"/>
    <w:rsid w:val="00D5603A"/>
    <w:rsid w:val="00D67E22"/>
    <w:rsid w:val="00D70880"/>
    <w:rsid w:val="00D71BE2"/>
    <w:rsid w:val="00D84AC2"/>
    <w:rsid w:val="00D87945"/>
    <w:rsid w:val="00D94E30"/>
    <w:rsid w:val="00DA2A7C"/>
    <w:rsid w:val="00DA2DED"/>
    <w:rsid w:val="00DB726C"/>
    <w:rsid w:val="00DC1165"/>
    <w:rsid w:val="00DE19D8"/>
    <w:rsid w:val="00DE64BA"/>
    <w:rsid w:val="00DF018E"/>
    <w:rsid w:val="00DF5ECB"/>
    <w:rsid w:val="00E01E7F"/>
    <w:rsid w:val="00E04B19"/>
    <w:rsid w:val="00E1189B"/>
    <w:rsid w:val="00E13388"/>
    <w:rsid w:val="00E21545"/>
    <w:rsid w:val="00E23154"/>
    <w:rsid w:val="00E35BCF"/>
    <w:rsid w:val="00E36048"/>
    <w:rsid w:val="00E36D12"/>
    <w:rsid w:val="00E37A89"/>
    <w:rsid w:val="00E40D49"/>
    <w:rsid w:val="00E649C4"/>
    <w:rsid w:val="00E65D9C"/>
    <w:rsid w:val="00E760BE"/>
    <w:rsid w:val="00E770A8"/>
    <w:rsid w:val="00E7781D"/>
    <w:rsid w:val="00E901E3"/>
    <w:rsid w:val="00E91A95"/>
    <w:rsid w:val="00E94D7D"/>
    <w:rsid w:val="00E95CE6"/>
    <w:rsid w:val="00EA4CBC"/>
    <w:rsid w:val="00EA7364"/>
    <w:rsid w:val="00EB12C7"/>
    <w:rsid w:val="00EB1401"/>
    <w:rsid w:val="00EB35BB"/>
    <w:rsid w:val="00EB41D0"/>
    <w:rsid w:val="00EB5CEF"/>
    <w:rsid w:val="00EC0C1A"/>
    <w:rsid w:val="00EC15E9"/>
    <w:rsid w:val="00EC62BB"/>
    <w:rsid w:val="00ED3DE9"/>
    <w:rsid w:val="00ED3F37"/>
    <w:rsid w:val="00ED54A1"/>
    <w:rsid w:val="00ED5B94"/>
    <w:rsid w:val="00ED604F"/>
    <w:rsid w:val="00EE2AC7"/>
    <w:rsid w:val="00EE3AFE"/>
    <w:rsid w:val="00EE60BE"/>
    <w:rsid w:val="00F14C46"/>
    <w:rsid w:val="00F267B3"/>
    <w:rsid w:val="00F30790"/>
    <w:rsid w:val="00F30DD7"/>
    <w:rsid w:val="00F311DE"/>
    <w:rsid w:val="00F4157E"/>
    <w:rsid w:val="00F46EAF"/>
    <w:rsid w:val="00F504CC"/>
    <w:rsid w:val="00F52619"/>
    <w:rsid w:val="00F6246C"/>
    <w:rsid w:val="00F63AC2"/>
    <w:rsid w:val="00F75BA1"/>
    <w:rsid w:val="00F75E1E"/>
    <w:rsid w:val="00F85243"/>
    <w:rsid w:val="00F977A5"/>
    <w:rsid w:val="00FA281B"/>
    <w:rsid w:val="00FA4050"/>
    <w:rsid w:val="00FA6EEE"/>
    <w:rsid w:val="00FA76F2"/>
    <w:rsid w:val="00FB37D8"/>
    <w:rsid w:val="00FB4BBB"/>
    <w:rsid w:val="00FB5CB5"/>
    <w:rsid w:val="00FB6A7B"/>
    <w:rsid w:val="00FC1FDC"/>
    <w:rsid w:val="00FC425A"/>
    <w:rsid w:val="00FC4BD5"/>
    <w:rsid w:val="00FC6D72"/>
    <w:rsid w:val="00FD5106"/>
    <w:rsid w:val="00FD523F"/>
    <w:rsid w:val="00FE2810"/>
    <w:rsid w:val="00FE307D"/>
    <w:rsid w:val="00FE7B20"/>
    <w:rsid w:val="00FF1208"/>
    <w:rsid w:val="00FF6468"/>
    <w:rsid w:val="02091BF3"/>
    <w:rsid w:val="03D7634F"/>
    <w:rsid w:val="04773697"/>
    <w:rsid w:val="069C9CD3"/>
    <w:rsid w:val="09862172"/>
    <w:rsid w:val="0A5DA74D"/>
    <w:rsid w:val="0AD69F1A"/>
    <w:rsid w:val="0B8CD853"/>
    <w:rsid w:val="0DE470FA"/>
    <w:rsid w:val="0E486B89"/>
    <w:rsid w:val="0ED9B40C"/>
    <w:rsid w:val="1177458D"/>
    <w:rsid w:val="1466B30F"/>
    <w:rsid w:val="14B15DC3"/>
    <w:rsid w:val="180E041C"/>
    <w:rsid w:val="1839C0DA"/>
    <w:rsid w:val="186B54B9"/>
    <w:rsid w:val="1A6F82CD"/>
    <w:rsid w:val="1BC1C8AC"/>
    <w:rsid w:val="1F1EE418"/>
    <w:rsid w:val="1F5D17E0"/>
    <w:rsid w:val="2262A2A3"/>
    <w:rsid w:val="2377DA05"/>
    <w:rsid w:val="238F3B00"/>
    <w:rsid w:val="25596DA2"/>
    <w:rsid w:val="26C9BF17"/>
    <w:rsid w:val="26DC7E7D"/>
    <w:rsid w:val="26FA95A4"/>
    <w:rsid w:val="27AA7E69"/>
    <w:rsid w:val="2D02954D"/>
    <w:rsid w:val="305780B3"/>
    <w:rsid w:val="37BC9E61"/>
    <w:rsid w:val="3AA31F39"/>
    <w:rsid w:val="3ABBEEFF"/>
    <w:rsid w:val="3CF529E9"/>
    <w:rsid w:val="3DCD19C6"/>
    <w:rsid w:val="3DD8A938"/>
    <w:rsid w:val="3F2785C7"/>
    <w:rsid w:val="3FDF9964"/>
    <w:rsid w:val="3FF22AA8"/>
    <w:rsid w:val="41D3BC3C"/>
    <w:rsid w:val="42C3F05B"/>
    <w:rsid w:val="44610622"/>
    <w:rsid w:val="4589F942"/>
    <w:rsid w:val="45CD5635"/>
    <w:rsid w:val="46A76B63"/>
    <w:rsid w:val="46CB4D6A"/>
    <w:rsid w:val="48A9E9D9"/>
    <w:rsid w:val="4941A358"/>
    <w:rsid w:val="4B05EDF3"/>
    <w:rsid w:val="4C57DD88"/>
    <w:rsid w:val="4CF170BA"/>
    <w:rsid w:val="4D9A8211"/>
    <w:rsid w:val="4DA63805"/>
    <w:rsid w:val="4E7071D6"/>
    <w:rsid w:val="50E8E91B"/>
    <w:rsid w:val="510DC3AA"/>
    <w:rsid w:val="5234DB20"/>
    <w:rsid w:val="54F5C282"/>
    <w:rsid w:val="56E34D61"/>
    <w:rsid w:val="59F7D628"/>
    <w:rsid w:val="5AE973A5"/>
    <w:rsid w:val="5D26229E"/>
    <w:rsid w:val="5F5988DE"/>
    <w:rsid w:val="61700602"/>
    <w:rsid w:val="6230FAE3"/>
    <w:rsid w:val="6233D63F"/>
    <w:rsid w:val="63905CC4"/>
    <w:rsid w:val="63DB7D30"/>
    <w:rsid w:val="64FBF22C"/>
    <w:rsid w:val="657175F5"/>
    <w:rsid w:val="65A60AAF"/>
    <w:rsid w:val="65DF82DA"/>
    <w:rsid w:val="684D1396"/>
    <w:rsid w:val="6860B1C4"/>
    <w:rsid w:val="68C9DA43"/>
    <w:rsid w:val="6A0057D9"/>
    <w:rsid w:val="6B7FDC11"/>
    <w:rsid w:val="6D06C6CE"/>
    <w:rsid w:val="6F0513FE"/>
    <w:rsid w:val="6F1E4D7B"/>
    <w:rsid w:val="6F6BFC49"/>
    <w:rsid w:val="70B8AFA6"/>
    <w:rsid w:val="70CFF226"/>
    <w:rsid w:val="70D7C884"/>
    <w:rsid w:val="71FD3BF5"/>
    <w:rsid w:val="72BB0C73"/>
    <w:rsid w:val="7441A696"/>
    <w:rsid w:val="766DF154"/>
    <w:rsid w:val="787B55C5"/>
    <w:rsid w:val="7980F1CB"/>
    <w:rsid w:val="79DFAAF3"/>
    <w:rsid w:val="79F269DE"/>
    <w:rsid w:val="7A310025"/>
    <w:rsid w:val="7BA9E4DB"/>
    <w:rsid w:val="7CC50EAA"/>
    <w:rsid w:val="7CF26AEE"/>
    <w:rsid w:val="7D529601"/>
    <w:rsid w:val="7E3614A2"/>
    <w:rsid w:val="7FE8E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4DB39B"/>
  <w15:chartTrackingRefBased/>
  <w15:docId w15:val="{6EED3588-991D-408F-A34C-7E90D943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1DE"/>
    <w:rPr>
      <w:rFonts w:eastAsiaTheme="majorEastAsia" w:cstheme="majorBidi"/>
      <w:color w:val="272727" w:themeColor="text1" w:themeTint="D8"/>
    </w:rPr>
  </w:style>
  <w:style w:type="paragraph" w:styleId="Title">
    <w:name w:val="Title"/>
    <w:basedOn w:val="Normal"/>
    <w:next w:val="Normal"/>
    <w:link w:val="TitleChar"/>
    <w:uiPriority w:val="10"/>
    <w:qFormat/>
    <w:rsid w:val="00F31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1DE"/>
    <w:pPr>
      <w:spacing w:before="160"/>
      <w:jc w:val="center"/>
    </w:pPr>
    <w:rPr>
      <w:i/>
      <w:iCs/>
      <w:color w:val="404040" w:themeColor="text1" w:themeTint="BF"/>
    </w:rPr>
  </w:style>
  <w:style w:type="character" w:customStyle="1" w:styleId="QuoteChar">
    <w:name w:val="Quote Char"/>
    <w:basedOn w:val="DefaultParagraphFont"/>
    <w:link w:val="Quote"/>
    <w:uiPriority w:val="29"/>
    <w:rsid w:val="00F311DE"/>
    <w:rPr>
      <w:i/>
      <w:iCs/>
      <w:color w:val="404040" w:themeColor="text1" w:themeTint="BF"/>
    </w:rPr>
  </w:style>
  <w:style w:type="paragraph" w:styleId="ListParagraph">
    <w:name w:val="List Paragraph"/>
    <w:basedOn w:val="Normal"/>
    <w:uiPriority w:val="34"/>
    <w:qFormat/>
    <w:rsid w:val="00F311DE"/>
    <w:pPr>
      <w:ind w:left="720"/>
      <w:contextualSpacing/>
    </w:pPr>
  </w:style>
  <w:style w:type="character" w:styleId="IntenseEmphasis">
    <w:name w:val="Intense Emphasis"/>
    <w:basedOn w:val="DefaultParagraphFont"/>
    <w:uiPriority w:val="21"/>
    <w:qFormat/>
    <w:rsid w:val="00F311DE"/>
    <w:rPr>
      <w:i/>
      <w:iCs/>
      <w:color w:val="0F4761" w:themeColor="accent1" w:themeShade="BF"/>
    </w:rPr>
  </w:style>
  <w:style w:type="paragraph" w:styleId="IntenseQuote">
    <w:name w:val="Intense Quote"/>
    <w:basedOn w:val="Normal"/>
    <w:next w:val="Normal"/>
    <w:link w:val="IntenseQuoteChar"/>
    <w:uiPriority w:val="30"/>
    <w:qFormat/>
    <w:rsid w:val="00F31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1DE"/>
    <w:rPr>
      <w:i/>
      <w:iCs/>
      <w:color w:val="0F4761" w:themeColor="accent1" w:themeShade="BF"/>
    </w:rPr>
  </w:style>
  <w:style w:type="character" w:styleId="IntenseReference">
    <w:name w:val="Intense Reference"/>
    <w:basedOn w:val="DefaultParagraphFont"/>
    <w:uiPriority w:val="32"/>
    <w:qFormat/>
    <w:rsid w:val="00F311DE"/>
    <w:rPr>
      <w:b/>
      <w:bCs/>
      <w:smallCaps/>
      <w:color w:val="0F4761" w:themeColor="accent1" w:themeShade="BF"/>
      <w:spacing w:val="5"/>
    </w:rPr>
  </w:style>
  <w:style w:type="paragraph" w:styleId="Header">
    <w:name w:val="header"/>
    <w:basedOn w:val="Normal"/>
    <w:link w:val="HeaderChar"/>
    <w:uiPriority w:val="99"/>
    <w:unhideWhenUsed/>
    <w:rsid w:val="006F6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1DB"/>
  </w:style>
  <w:style w:type="paragraph" w:styleId="Footer">
    <w:name w:val="footer"/>
    <w:basedOn w:val="Normal"/>
    <w:link w:val="FooterChar"/>
    <w:uiPriority w:val="99"/>
    <w:unhideWhenUsed/>
    <w:rsid w:val="006F6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1DB"/>
  </w:style>
  <w:style w:type="character" w:styleId="CommentReference">
    <w:name w:val="annotation reference"/>
    <w:basedOn w:val="DefaultParagraphFont"/>
    <w:uiPriority w:val="99"/>
    <w:semiHidden/>
    <w:unhideWhenUsed/>
    <w:rsid w:val="006E6219"/>
    <w:rPr>
      <w:sz w:val="16"/>
      <w:szCs w:val="16"/>
    </w:rPr>
  </w:style>
  <w:style w:type="paragraph" w:styleId="CommentText">
    <w:name w:val="annotation text"/>
    <w:basedOn w:val="Normal"/>
    <w:link w:val="CommentTextChar"/>
    <w:uiPriority w:val="99"/>
    <w:unhideWhenUsed/>
    <w:rsid w:val="006E6219"/>
    <w:pPr>
      <w:spacing w:line="240" w:lineRule="auto"/>
    </w:pPr>
    <w:rPr>
      <w:sz w:val="20"/>
      <w:szCs w:val="20"/>
    </w:rPr>
  </w:style>
  <w:style w:type="character" w:customStyle="1" w:styleId="CommentTextChar">
    <w:name w:val="Comment Text Char"/>
    <w:basedOn w:val="DefaultParagraphFont"/>
    <w:link w:val="CommentText"/>
    <w:uiPriority w:val="99"/>
    <w:rsid w:val="006E6219"/>
    <w:rPr>
      <w:sz w:val="20"/>
      <w:szCs w:val="20"/>
    </w:rPr>
  </w:style>
  <w:style w:type="paragraph" w:styleId="CommentSubject">
    <w:name w:val="annotation subject"/>
    <w:basedOn w:val="CommentText"/>
    <w:next w:val="CommentText"/>
    <w:link w:val="CommentSubjectChar"/>
    <w:uiPriority w:val="99"/>
    <w:semiHidden/>
    <w:unhideWhenUsed/>
    <w:rsid w:val="006E6219"/>
    <w:rPr>
      <w:b/>
      <w:bCs/>
    </w:rPr>
  </w:style>
  <w:style w:type="character" w:customStyle="1" w:styleId="CommentSubjectChar">
    <w:name w:val="Comment Subject Char"/>
    <w:basedOn w:val="CommentTextChar"/>
    <w:link w:val="CommentSubject"/>
    <w:uiPriority w:val="99"/>
    <w:semiHidden/>
    <w:rsid w:val="006E6219"/>
    <w:rPr>
      <w:b/>
      <w:bCs/>
      <w:sz w:val="20"/>
      <w:szCs w:val="20"/>
    </w:rPr>
  </w:style>
  <w:style w:type="character" w:styleId="Hyperlink">
    <w:name w:val="Hyperlink"/>
    <w:basedOn w:val="DefaultParagraphFont"/>
    <w:uiPriority w:val="99"/>
    <w:unhideWhenUsed/>
    <w:rsid w:val="00950C32"/>
    <w:rPr>
      <w:color w:val="467886" w:themeColor="hyperlink"/>
      <w:u w:val="single"/>
    </w:rPr>
  </w:style>
  <w:style w:type="character" w:styleId="UnresolvedMention">
    <w:name w:val="Unresolved Mention"/>
    <w:basedOn w:val="DefaultParagraphFont"/>
    <w:uiPriority w:val="99"/>
    <w:semiHidden/>
    <w:unhideWhenUsed/>
    <w:rsid w:val="00950C32"/>
    <w:rPr>
      <w:color w:val="605E5C"/>
      <w:shd w:val="clear" w:color="auto" w:fill="E1DFDD"/>
    </w:rPr>
  </w:style>
  <w:style w:type="paragraph" w:styleId="Revision">
    <w:name w:val="Revision"/>
    <w:hidden/>
    <w:uiPriority w:val="99"/>
    <w:semiHidden/>
    <w:rsid w:val="00D70880"/>
    <w:pPr>
      <w:spacing w:after="0" w:line="240" w:lineRule="auto"/>
    </w:pPr>
  </w:style>
  <w:style w:type="character" w:styleId="FollowedHyperlink">
    <w:name w:val="FollowedHyperlink"/>
    <w:basedOn w:val="DefaultParagraphFont"/>
    <w:uiPriority w:val="99"/>
    <w:semiHidden/>
    <w:unhideWhenUsed/>
    <w:rsid w:val="00AD7C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8D595FC52294DA5849739F152FA32" ma:contentTypeVersion="11" ma:contentTypeDescription="Create a new document." ma:contentTypeScope="" ma:versionID="ca6732d2e66e8bded9bec8fc119f80ce">
  <xsd:schema xmlns:xsd="http://www.w3.org/2001/XMLSchema" xmlns:xs="http://www.w3.org/2001/XMLSchema" xmlns:p="http://schemas.microsoft.com/office/2006/metadata/properties" xmlns:ns2="18ac64a6-388e-41c6-b055-e21094d35574" xmlns:ns3="81c01dc6-2c49-4730-b140-874c95cac377" targetNamespace="http://schemas.microsoft.com/office/2006/metadata/properties" ma:root="true" ma:fieldsID="98bbd5de489b786898a423157ac75b29" ns2:_="" ns3:_="">
    <xsd:import namespace="18ac64a6-388e-41c6-b055-e21094d3557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c64a6-388e-41c6-b055-e21094d35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61c56c-4399-41c9-aef2-d0c7bf75b465}" ma:internalName="TaxCatchAll" ma:showField="CatchAllData" ma:web="18d09e40-fc21-4734-bdfa-18418760f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18ac64a6-388e-41c6-b055-e21094d355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BE024-F04A-4809-9BBD-B86EA196E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c64a6-388e-41c6-b055-e21094d3557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0503D-F94E-4D68-B200-12CB3458305D}">
  <ds:schemaRefs>
    <ds:schemaRef ds:uri="http://schemas.microsoft.com/sharepoint/v3/contenttype/forms"/>
  </ds:schemaRefs>
</ds:datastoreItem>
</file>

<file path=customXml/itemProps3.xml><?xml version="1.0" encoding="utf-8"?>
<ds:datastoreItem xmlns:ds="http://schemas.openxmlformats.org/officeDocument/2006/customXml" ds:itemID="{16BBC1A9-3864-4BFC-BCBF-DCF85012EBD2}">
  <ds:schemaRefs>
    <ds:schemaRef ds:uri="http://schemas.microsoft.com/office/2006/metadata/properties"/>
    <ds:schemaRef ds:uri="http://schemas.microsoft.com/office/infopath/2007/PartnerControls"/>
    <ds:schemaRef ds:uri="81c01dc6-2c49-4730-b140-874c95cac377"/>
    <ds:schemaRef ds:uri="18ac64a6-388e-41c6-b055-e21094d35574"/>
  </ds:schemaRefs>
</ds:datastoreItem>
</file>

<file path=customXml/itemProps4.xml><?xml version="1.0" encoding="utf-8"?>
<ds:datastoreItem xmlns:ds="http://schemas.openxmlformats.org/officeDocument/2006/customXml" ds:itemID="{798F4C1E-3673-48EE-B823-99E65830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Melissa</dc:creator>
  <cp:keywords/>
  <dc:description/>
  <cp:lastModifiedBy>Kapel, Juanita</cp:lastModifiedBy>
  <cp:revision>10</cp:revision>
  <dcterms:created xsi:type="dcterms:W3CDTF">2025-06-16T08:34:00Z</dcterms:created>
  <dcterms:modified xsi:type="dcterms:W3CDTF">2025-06-27T01:33:00Z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3f734538,1a4be2d9,130474d1</vt:lpwstr>
  </property>
  <property fmtid="{D5CDD505-2E9C-101B-9397-08002B2CF9AE}" pid="3" name="ClassificationContentMarkingHeaderFontProps">
    <vt:lpwstr>#ff0000,12,Calibri</vt:lpwstr>
  </property>
  <property fmtid="{D5CDD505-2E9C-101B-9397-08002B2CF9AE}" pid="4" name="ClassificationContentMarkingHeaderText">
    <vt:lpwstr>OFFICIAL: Sensitive Legal-Privilege</vt:lpwstr>
  </property>
  <property fmtid="{D5CDD505-2E9C-101B-9397-08002B2CF9AE}" pid="5" name="ClassificationContentMarkingFooterShapeIds">
    <vt:lpwstr>4f1efe97,5f95a1dd,14aaf60e</vt:lpwstr>
  </property>
  <property fmtid="{D5CDD505-2E9C-101B-9397-08002B2CF9AE}" pid="6" name="ClassificationContentMarkingFooterFontProps">
    <vt:lpwstr>#ff0000,12,Calibri</vt:lpwstr>
  </property>
  <property fmtid="{D5CDD505-2E9C-101B-9397-08002B2CF9AE}" pid="7" name="ClassificationContentMarkingFooterText">
    <vt:lpwstr>OFFICIAL: Sensitive Legal-Privilege</vt:lpwstr>
  </property>
  <property fmtid="{D5CDD505-2E9C-101B-9397-08002B2CF9AE}" pid="8" name="ContentTypeId">
    <vt:lpwstr>0x0101009AD8D595FC52294DA5849739F152FA32</vt:lpwstr>
  </property>
  <property fmtid="{D5CDD505-2E9C-101B-9397-08002B2CF9AE}" pid="9" name="MediaServiceImageTags">
    <vt:lpwstr/>
  </property>
  <property fmtid="{D5CDD505-2E9C-101B-9397-08002B2CF9AE}" pid="10" name="MSIP_Label_ab16ce7b-5c37-4af1-b9b0-8d400bbefd56_Enabled">
    <vt:lpwstr>true</vt:lpwstr>
  </property>
  <property fmtid="{D5CDD505-2E9C-101B-9397-08002B2CF9AE}" pid="11" name="MSIP_Label_ab16ce7b-5c37-4af1-b9b0-8d400bbefd56_SetDate">
    <vt:lpwstr>2025-05-12T07:19:17Z</vt:lpwstr>
  </property>
  <property fmtid="{D5CDD505-2E9C-101B-9397-08002B2CF9AE}" pid="12" name="MSIP_Label_ab16ce7b-5c37-4af1-b9b0-8d400bbefd56_Method">
    <vt:lpwstr>Privileged</vt:lpwstr>
  </property>
  <property fmtid="{D5CDD505-2E9C-101B-9397-08002B2CF9AE}" pid="13" name="MSIP_Label_ab16ce7b-5c37-4af1-b9b0-8d400bbefd56_Name">
    <vt:lpwstr>OFFICIAL Sensitive Legal Privilege</vt:lpwstr>
  </property>
  <property fmtid="{D5CDD505-2E9C-101B-9397-08002B2CF9AE}" pid="14" name="MSIP_Label_ab16ce7b-5c37-4af1-b9b0-8d400bbefd56_SiteId">
    <vt:lpwstr>2be67eb7-400c-4b3f-a5a1-1258c0da0696</vt:lpwstr>
  </property>
  <property fmtid="{D5CDD505-2E9C-101B-9397-08002B2CF9AE}" pid="15" name="MSIP_Label_ab16ce7b-5c37-4af1-b9b0-8d400bbefd56_ActionId">
    <vt:lpwstr>60ecf9b3-e3c5-4c86-b6a6-d53f77f7f998</vt:lpwstr>
  </property>
  <property fmtid="{D5CDD505-2E9C-101B-9397-08002B2CF9AE}" pid="16" name="MSIP_Label_ab16ce7b-5c37-4af1-b9b0-8d400bbefd56_ContentBits">
    <vt:lpwstr>3</vt:lpwstr>
  </property>
  <property fmtid="{D5CDD505-2E9C-101B-9397-08002B2CF9AE}" pid="17" name="MSIP_Label_ab16ce7b-5c37-4af1-b9b0-8d400bbefd56_Tag">
    <vt:lpwstr>10, 0, 1, 1</vt:lpwstr>
  </property>
</Properties>
</file>