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A69DE" w14:textId="737EB0AF" w:rsidR="00A36118" w:rsidRDefault="006631FA" w:rsidP="004469B7">
      <w:pPr>
        <w:jc w:val="center"/>
        <w:rPr>
          <w:b/>
          <w:bCs/>
          <w:u w:val="single"/>
        </w:rPr>
      </w:pPr>
      <w:r w:rsidRPr="4CE71AD5">
        <w:rPr>
          <w:b/>
          <w:bCs/>
          <w:u w:val="single"/>
        </w:rPr>
        <w:t>WORK HEALTH AND SAFETY AMENDMENT (</w:t>
      </w:r>
      <w:r w:rsidR="00897AB0" w:rsidRPr="4CE71AD5">
        <w:rPr>
          <w:b/>
          <w:bCs/>
          <w:u w:val="single"/>
        </w:rPr>
        <w:t>BLOOD LEAD LEVEL EXPOSURE VALUES</w:t>
      </w:r>
      <w:r w:rsidRPr="4CE71AD5">
        <w:rPr>
          <w:b/>
          <w:bCs/>
          <w:u w:val="single"/>
        </w:rPr>
        <w:t>) REGULATIONS 2025</w:t>
      </w:r>
    </w:p>
    <w:p w14:paraId="300686CD" w14:textId="77777777" w:rsidR="003A64D7" w:rsidRPr="006631FA" w:rsidRDefault="003A64D7" w:rsidP="004469B7">
      <w:pPr>
        <w:jc w:val="center"/>
        <w:rPr>
          <w:b/>
          <w:bCs/>
          <w:u w:val="single"/>
        </w:rPr>
      </w:pPr>
    </w:p>
    <w:p w14:paraId="41BB1CBC" w14:textId="7A481CAD" w:rsidR="00A36118" w:rsidRDefault="00A36118" w:rsidP="004469B7">
      <w:pPr>
        <w:jc w:val="center"/>
        <w:rPr>
          <w:b/>
          <w:bCs/>
          <w:u w:val="single"/>
        </w:rPr>
      </w:pPr>
      <w:r w:rsidRPr="003A64D7">
        <w:rPr>
          <w:b/>
          <w:bCs/>
          <w:u w:val="single"/>
        </w:rPr>
        <w:t>EXPLANATORY STATEMENT</w:t>
      </w:r>
    </w:p>
    <w:p w14:paraId="3D4961C3" w14:textId="77777777" w:rsidR="003A64D7" w:rsidRPr="003A64D7" w:rsidRDefault="003A64D7" w:rsidP="004469B7">
      <w:pPr>
        <w:jc w:val="center"/>
        <w:rPr>
          <w:b/>
          <w:bCs/>
          <w:u w:val="single"/>
        </w:rPr>
      </w:pPr>
    </w:p>
    <w:p w14:paraId="7BD0D4EA" w14:textId="3B811CDF" w:rsidR="002C5853" w:rsidRDefault="3F43F935" w:rsidP="004469B7">
      <w:pPr>
        <w:jc w:val="center"/>
      </w:pPr>
      <w:r w:rsidRPr="00D242D4">
        <w:t>Issued by the authority of the Minister</w:t>
      </w:r>
      <w:r w:rsidR="00F6056E">
        <w:t> </w:t>
      </w:r>
      <w:r w:rsidRPr="00D242D4">
        <w:t>for</w:t>
      </w:r>
      <w:r w:rsidR="00F6056E">
        <w:t> </w:t>
      </w:r>
      <w:r w:rsidRPr="00D242D4">
        <w:t>Employment</w:t>
      </w:r>
      <w:r w:rsidR="00F6056E">
        <w:t> </w:t>
      </w:r>
      <w:r w:rsidRPr="00D242D4">
        <w:t>and</w:t>
      </w:r>
      <w:r w:rsidR="00F6056E">
        <w:t> </w:t>
      </w:r>
      <w:r w:rsidRPr="00D242D4">
        <w:t>Workplace</w:t>
      </w:r>
      <w:r w:rsidR="002C0403">
        <w:t> </w:t>
      </w:r>
      <w:r w:rsidRPr="00D242D4">
        <w:t>Relations</w:t>
      </w:r>
    </w:p>
    <w:p w14:paraId="03E070EE" w14:textId="0D61CBB7" w:rsidR="3F43F935" w:rsidRPr="00D242D4" w:rsidRDefault="50D08B60" w:rsidP="004469B7">
      <w:pPr>
        <w:jc w:val="center"/>
      </w:pPr>
      <w:r w:rsidRPr="3E12CFA6">
        <w:t>u</w:t>
      </w:r>
      <w:r w:rsidR="5D02DCDC" w:rsidRPr="3E12CFA6">
        <w:t xml:space="preserve">nder section 276 of the </w:t>
      </w:r>
      <w:r w:rsidR="5D02DCDC" w:rsidRPr="3E12CFA6">
        <w:rPr>
          <w:i/>
          <w:iCs/>
        </w:rPr>
        <w:t>Work Health and Safety Act 2011</w:t>
      </w:r>
      <w:r w:rsidR="5D02DCDC" w:rsidRPr="3E12CFA6">
        <w:t xml:space="preserve"> (</w:t>
      </w:r>
      <w:proofErr w:type="spellStart"/>
      <w:r w:rsidR="5D02DCDC" w:rsidRPr="3E12CFA6">
        <w:t>Cth</w:t>
      </w:r>
      <w:proofErr w:type="spellEnd"/>
      <w:r w:rsidR="5D02DCDC" w:rsidRPr="3E12CFA6">
        <w:t>)</w:t>
      </w:r>
    </w:p>
    <w:p w14:paraId="45138438" w14:textId="77777777" w:rsidR="003A64D7" w:rsidRDefault="003A64D7" w:rsidP="005A670A"/>
    <w:p w14:paraId="281388E6" w14:textId="2A5CCC3A" w:rsidR="000524C5" w:rsidRPr="005009B0" w:rsidRDefault="000524C5" w:rsidP="005A670A">
      <w:pPr>
        <w:rPr>
          <w:b/>
          <w:bCs/>
        </w:rPr>
      </w:pPr>
      <w:r w:rsidRPr="005009B0">
        <w:rPr>
          <w:b/>
          <w:bCs/>
        </w:rPr>
        <w:t>PURPOSE AND OPERATION OF THE INSTRUMENT</w:t>
      </w:r>
    </w:p>
    <w:p w14:paraId="6FA9DC3D" w14:textId="3554C455" w:rsidR="00D96E64" w:rsidRDefault="131628C8" w:rsidP="00AD7E16">
      <w:r>
        <w:t xml:space="preserve">The </w:t>
      </w:r>
      <w:r w:rsidRPr="2718C13A">
        <w:rPr>
          <w:i/>
          <w:iCs/>
        </w:rPr>
        <w:t xml:space="preserve">Work Health and Safety </w:t>
      </w:r>
      <w:r w:rsidR="4EDDB44A" w:rsidRPr="2718C13A">
        <w:rPr>
          <w:i/>
          <w:iCs/>
        </w:rPr>
        <w:t>Amendment</w:t>
      </w:r>
      <w:r w:rsidR="4C6CB311" w:rsidRPr="2718C13A">
        <w:rPr>
          <w:i/>
          <w:iCs/>
        </w:rPr>
        <w:t xml:space="preserve"> </w:t>
      </w:r>
      <w:r w:rsidR="1DA3C734" w:rsidRPr="2718C13A">
        <w:rPr>
          <w:i/>
          <w:iCs/>
        </w:rPr>
        <w:t>(</w:t>
      </w:r>
      <w:r w:rsidR="00C17A76" w:rsidRPr="24A9F47E">
        <w:rPr>
          <w:i/>
          <w:iCs/>
        </w:rPr>
        <w:t>Blood</w:t>
      </w:r>
      <w:r w:rsidR="00C17A76">
        <w:rPr>
          <w:i/>
          <w:iCs/>
        </w:rPr>
        <w:t xml:space="preserve"> Lead Level Exposure Values</w:t>
      </w:r>
      <w:r w:rsidR="1DA3C734" w:rsidRPr="2718C13A">
        <w:rPr>
          <w:i/>
          <w:iCs/>
        </w:rPr>
        <w:t xml:space="preserve">) </w:t>
      </w:r>
      <w:r w:rsidR="5FE05F74" w:rsidRPr="2718C13A">
        <w:rPr>
          <w:i/>
          <w:iCs/>
        </w:rPr>
        <w:t>Regulations 202</w:t>
      </w:r>
      <w:r w:rsidR="27F1CD83" w:rsidRPr="2718C13A">
        <w:rPr>
          <w:i/>
          <w:iCs/>
        </w:rPr>
        <w:t>5</w:t>
      </w:r>
      <w:r w:rsidR="5FE05F74">
        <w:t xml:space="preserve"> (Amendment Regulations) </w:t>
      </w:r>
      <w:r w:rsidR="6601BCC0">
        <w:t xml:space="preserve">amend the </w:t>
      </w:r>
      <w:r w:rsidR="6601BCC0" w:rsidRPr="2718C13A">
        <w:rPr>
          <w:i/>
          <w:iCs/>
        </w:rPr>
        <w:t xml:space="preserve">Work Health and Safety </w:t>
      </w:r>
      <w:r w:rsidR="5F464118" w:rsidRPr="2718C13A">
        <w:rPr>
          <w:i/>
          <w:iCs/>
        </w:rPr>
        <w:t>Regulations 2011</w:t>
      </w:r>
      <w:r w:rsidR="5F464118">
        <w:t xml:space="preserve"> (</w:t>
      </w:r>
      <w:proofErr w:type="spellStart"/>
      <w:r w:rsidR="5F464118">
        <w:t>Cth</w:t>
      </w:r>
      <w:proofErr w:type="spellEnd"/>
      <w:r w:rsidR="5F464118">
        <w:t>) (Principal Regulations) t</w:t>
      </w:r>
      <w:r w:rsidR="00AD7E16">
        <w:t xml:space="preserve">o </w:t>
      </w:r>
      <w:r w:rsidR="00F06EFC">
        <w:t>lower the</w:t>
      </w:r>
      <w:r w:rsidR="00E06387">
        <w:t xml:space="preserve"> </w:t>
      </w:r>
      <w:r w:rsidR="00124BB4">
        <w:t>blood lead level</w:t>
      </w:r>
      <w:r w:rsidR="00615FF4">
        <w:t xml:space="preserve"> values</w:t>
      </w:r>
      <w:r w:rsidR="0049203D">
        <w:t xml:space="preserve"> provided </w:t>
      </w:r>
      <w:r w:rsidR="005C2510">
        <w:t xml:space="preserve">for </w:t>
      </w:r>
      <w:r w:rsidR="00F06EFC">
        <w:t xml:space="preserve">within </w:t>
      </w:r>
      <w:r w:rsidR="00D96E64" w:rsidRPr="63EE71C8">
        <w:t>Part 7.2 of the Principal Regulations</w:t>
      </w:r>
      <w:r w:rsidR="00051B1F">
        <w:t>.</w:t>
      </w:r>
      <w:r w:rsidR="00E22E09" w:rsidRPr="00E22E09">
        <w:t xml:space="preserve"> </w:t>
      </w:r>
    </w:p>
    <w:p w14:paraId="49160053" w14:textId="30E28C5D" w:rsidR="0062104C" w:rsidRDefault="67AA9588" w:rsidP="00724033">
      <w:r w:rsidRPr="6F713452">
        <w:rPr>
          <w:lang w:val="en-AU"/>
        </w:rPr>
        <w:t>The </w:t>
      </w:r>
      <w:r w:rsidR="004704D7" w:rsidRPr="3E12CFA6">
        <w:rPr>
          <w:i/>
          <w:iCs/>
        </w:rPr>
        <w:t>Work Health and Safety Act 2011</w:t>
      </w:r>
      <w:r w:rsidR="004704D7" w:rsidRPr="3E12CFA6">
        <w:t xml:space="preserve"> (</w:t>
      </w:r>
      <w:proofErr w:type="spellStart"/>
      <w:r w:rsidR="004704D7" w:rsidRPr="3E12CFA6">
        <w:t>Cth</w:t>
      </w:r>
      <w:proofErr w:type="spellEnd"/>
      <w:r w:rsidR="004704D7" w:rsidRPr="3E12CFA6">
        <w:t>)</w:t>
      </w:r>
      <w:r w:rsidR="004704D7">
        <w:t xml:space="preserve"> (the </w:t>
      </w:r>
      <w:r w:rsidRPr="6F713452">
        <w:rPr>
          <w:lang w:val="en-AU"/>
        </w:rPr>
        <w:t>WHS Act</w:t>
      </w:r>
      <w:r w:rsidR="004704D7">
        <w:rPr>
          <w:lang w:val="en-AU"/>
        </w:rPr>
        <w:t>)</w:t>
      </w:r>
      <w:r w:rsidRPr="6F713452">
        <w:rPr>
          <w:lang w:val="en-AU"/>
        </w:rPr>
        <w:t xml:space="preserve"> and the Principal Regulations provide the primary work health and safety </w:t>
      </w:r>
      <w:r w:rsidR="006C494F">
        <w:rPr>
          <w:lang w:val="en-AU"/>
        </w:rPr>
        <w:t xml:space="preserve">(WHS) </w:t>
      </w:r>
      <w:r w:rsidRPr="6F713452">
        <w:rPr>
          <w:lang w:val="en-AU"/>
        </w:rPr>
        <w:t>legislation for the Commonwealth jurisdiction</w:t>
      </w:r>
      <w:r w:rsidR="1371BB91" w:rsidRPr="6F713452">
        <w:rPr>
          <w:lang w:val="en-AU"/>
        </w:rPr>
        <w:t xml:space="preserve"> </w:t>
      </w:r>
      <w:r w:rsidR="7FF9EDAD" w:rsidRPr="6F713452">
        <w:rPr>
          <w:lang w:val="en-AU"/>
        </w:rPr>
        <w:t>and</w:t>
      </w:r>
      <w:r w:rsidRPr="6F713452">
        <w:rPr>
          <w:lang w:val="en-AU"/>
        </w:rPr>
        <w:t xml:space="preserve"> are based on model WHS laws </w:t>
      </w:r>
      <w:r w:rsidR="4174DC6E" w:rsidRPr="6F713452">
        <w:rPr>
          <w:lang w:val="en-AU"/>
        </w:rPr>
        <w:t xml:space="preserve">(model laws) </w:t>
      </w:r>
      <w:r w:rsidRPr="6F713452">
        <w:rPr>
          <w:lang w:val="en-AU"/>
        </w:rPr>
        <w:t xml:space="preserve">developed by </w:t>
      </w:r>
      <w:r w:rsidR="6EA79026" w:rsidRPr="6F713452">
        <w:rPr>
          <w:lang w:val="en-AU"/>
        </w:rPr>
        <w:t>Safe Work Australia (</w:t>
      </w:r>
      <w:r w:rsidRPr="6F713452">
        <w:rPr>
          <w:lang w:val="en-AU"/>
        </w:rPr>
        <w:t>SWA</w:t>
      </w:r>
      <w:r w:rsidR="6EA79026" w:rsidRPr="6F713452">
        <w:rPr>
          <w:lang w:val="en-AU"/>
        </w:rPr>
        <w:t>)</w:t>
      </w:r>
      <w:r w:rsidRPr="6F713452">
        <w:rPr>
          <w:lang w:val="en-AU"/>
        </w:rPr>
        <w:t xml:space="preserve"> under the </w:t>
      </w:r>
      <w:r w:rsidRPr="6F713452">
        <w:rPr>
          <w:i/>
          <w:iCs/>
          <w:lang w:val="en-AU"/>
        </w:rPr>
        <w:t>Intergovernmental Agreement for Regulatory and Operational Reform in Occupational Health and Safety.</w:t>
      </w:r>
      <w:r w:rsidRPr="6F713452">
        <w:rPr>
          <w:lang w:val="en-AU"/>
        </w:rPr>
        <w:t> The model laws provide for a balanced and nationally consistent framework to secure the health and safety of workers and workplaces, in part by protecting workers and other persons against harm to their health, safety and welfare through the elimination or minimisation of risks arising from work.</w:t>
      </w:r>
      <w:r w:rsidR="4C295367" w:rsidRPr="6F713452">
        <w:rPr>
          <w:lang w:val="en-AU"/>
        </w:rPr>
        <w:t xml:space="preserve"> The model laws have been implemented in all jurisdictions across Australia</w:t>
      </w:r>
      <w:r w:rsidR="7D972AD3" w:rsidRPr="6F713452">
        <w:rPr>
          <w:lang w:val="en-AU"/>
        </w:rPr>
        <w:t>, except for Victoria which has laws that are similar.</w:t>
      </w:r>
      <w:r w:rsidR="0062104C">
        <w:rPr>
          <w:lang w:val="en-AU"/>
        </w:rPr>
        <w:t xml:space="preserve"> </w:t>
      </w:r>
      <w:r w:rsidR="1B1C7681">
        <w:t xml:space="preserve">Together with the states and territories, the Commonwealth regulates </w:t>
      </w:r>
      <w:r w:rsidR="6617A356">
        <w:t xml:space="preserve">hazardous chemicals and </w:t>
      </w:r>
      <w:r w:rsidR="38B45059">
        <w:t>lead process work</w:t>
      </w:r>
      <w:r w:rsidR="001061E8">
        <w:t xml:space="preserve"> through the Principal Regulations</w:t>
      </w:r>
      <w:r w:rsidR="6BB035C4">
        <w:t xml:space="preserve">. </w:t>
      </w:r>
    </w:p>
    <w:p w14:paraId="7869ED56" w14:textId="3B425A86" w:rsidR="00F34773" w:rsidRDefault="4CF64B98" w:rsidP="005A670A">
      <w:r>
        <w:t>Blood lead levels are the concentration of lead in whole blood and are expressed in micromoles per litre (</w:t>
      </w:r>
      <w:proofErr w:type="spellStart"/>
      <w:r>
        <w:t>μmol</w:t>
      </w:r>
      <w:proofErr w:type="spellEnd"/>
      <w:r>
        <w:t>/L) or micrograms per decilitre (</w:t>
      </w:r>
      <w:proofErr w:type="spellStart"/>
      <w:r>
        <w:t>μg</w:t>
      </w:r>
      <w:proofErr w:type="spellEnd"/>
      <w:r>
        <w:t>/dL).</w:t>
      </w:r>
      <w:r w:rsidR="6B1C94AD">
        <w:t xml:space="preserve"> </w:t>
      </w:r>
      <w:r w:rsidR="1DFE7459">
        <w:t>Blood lead levels</w:t>
      </w:r>
      <w:r w:rsidR="00F73EB2">
        <w:t xml:space="preserve"> </w:t>
      </w:r>
      <w:r w:rsidR="1DFE7459">
        <w:t xml:space="preserve">are used in the Principal Regulations </w:t>
      </w:r>
      <w:r w:rsidR="00F73EB2">
        <w:t xml:space="preserve">to </w:t>
      </w:r>
      <w:r w:rsidR="001254C8">
        <w:t>trigger</w:t>
      </w:r>
      <w:r w:rsidR="005B1930">
        <w:t xml:space="preserve"> additional </w:t>
      </w:r>
      <w:r w:rsidR="1DFE7459">
        <w:t xml:space="preserve">WHS </w:t>
      </w:r>
      <w:r w:rsidR="001254C8">
        <w:t xml:space="preserve">requirements, </w:t>
      </w:r>
      <w:r w:rsidR="00336B0E">
        <w:t xml:space="preserve">including biological monitoring </w:t>
      </w:r>
      <w:r w:rsidR="007E0E10">
        <w:t>of</w:t>
      </w:r>
      <w:r w:rsidR="00336B0E">
        <w:t xml:space="preserve"> workers engaging in lead risk work, </w:t>
      </w:r>
      <w:r w:rsidR="001254C8">
        <w:t xml:space="preserve">to be met by the person conducting </w:t>
      </w:r>
      <w:r w:rsidR="00AE22A8">
        <w:t>a</w:t>
      </w:r>
      <w:r w:rsidR="001254C8">
        <w:t xml:space="preserve"> business or undertaking (PCBU)</w:t>
      </w:r>
      <w:r w:rsidR="1DFE7459">
        <w:t>. The Amend</w:t>
      </w:r>
      <w:r w:rsidR="61EF463E">
        <w:t>ment</w:t>
      </w:r>
      <w:r w:rsidR="1DFE7459">
        <w:t xml:space="preserve"> Regulations lower the blood lead levels at which point the additional duties will apply. </w:t>
      </w:r>
      <w:r w:rsidR="007B17DE">
        <w:t>In particular, t</w:t>
      </w:r>
      <w:r w:rsidR="5EA94820">
        <w:t>he Amend</w:t>
      </w:r>
      <w:r w:rsidR="3790465B">
        <w:t>ment</w:t>
      </w:r>
      <w:r w:rsidR="5EA94820">
        <w:t xml:space="preserve"> Regulations reduce the blood lead levels: </w:t>
      </w:r>
    </w:p>
    <w:p w14:paraId="186C0A02" w14:textId="6A6EFE18" w:rsidR="001F350F" w:rsidRDefault="00930F4C" w:rsidP="001F350F">
      <w:pPr>
        <w:pStyle w:val="ListParagraph"/>
        <w:numPr>
          <w:ilvl w:val="0"/>
          <w:numId w:val="32"/>
        </w:numPr>
      </w:pPr>
      <w:r>
        <w:t>c</w:t>
      </w:r>
      <w:r w:rsidR="001F350F">
        <w:t>ontained in the definition of ‘lead risk work’ in regulation 394</w:t>
      </w:r>
      <w:r w:rsidR="003D10E6">
        <w:t>,</w:t>
      </w:r>
    </w:p>
    <w:p w14:paraId="7B504A32" w14:textId="0254E73C" w:rsidR="001F350F" w:rsidRDefault="02D45636" w:rsidP="001F350F">
      <w:pPr>
        <w:pStyle w:val="ListParagraph"/>
        <w:numPr>
          <w:ilvl w:val="0"/>
          <w:numId w:val="32"/>
        </w:numPr>
      </w:pPr>
      <w:r>
        <w:t>t</w:t>
      </w:r>
      <w:r w:rsidR="74F4B9B4">
        <w:t xml:space="preserve">hat determine the frequency that a PCBU must arrange for biological </w:t>
      </w:r>
      <w:r>
        <w:t>monitoring of workers who carry out ‘lead risk work’</w:t>
      </w:r>
      <w:r w:rsidR="003D10E6">
        <w:t>,</w:t>
      </w:r>
    </w:p>
    <w:p w14:paraId="36F1D98E" w14:textId="5BB472A9" w:rsidR="00930F4C" w:rsidRDefault="00930F4C" w:rsidP="001F350F">
      <w:pPr>
        <w:pStyle w:val="ListParagraph"/>
        <w:numPr>
          <w:ilvl w:val="0"/>
          <w:numId w:val="32"/>
        </w:numPr>
      </w:pPr>
      <w:r>
        <w:t xml:space="preserve">that mandate a worker’s immediate removal from carrying out ‘lead risk work’, and </w:t>
      </w:r>
    </w:p>
    <w:p w14:paraId="461679B8" w14:textId="6EC51BA8" w:rsidR="00930F4C" w:rsidRDefault="00930F4C" w:rsidP="001F350F">
      <w:pPr>
        <w:pStyle w:val="ListParagraph"/>
        <w:numPr>
          <w:ilvl w:val="0"/>
          <w:numId w:val="32"/>
        </w:numPr>
      </w:pPr>
      <w:r>
        <w:t xml:space="preserve">that </w:t>
      </w:r>
      <w:r w:rsidR="0091212B">
        <w:t xml:space="preserve">determine the threshold at which a PCBU may allow a worker to return to ‘lead risk work’. </w:t>
      </w:r>
    </w:p>
    <w:p w14:paraId="6BEEE807" w14:textId="2C8450E4" w:rsidR="0062104C" w:rsidRDefault="0062104C" w:rsidP="000D7A7F">
      <w:r>
        <w:t>These amendments give effect to a 201</w:t>
      </w:r>
      <w:r w:rsidR="00A14705">
        <w:t>6</w:t>
      </w:r>
      <w:r>
        <w:t xml:space="preserve"> agreement between WHS Ministers to adopt lower regulatory blood lead levels which represent safer blood lead levels identified by current toxicological and epidemiological evidence and international standards. </w:t>
      </w:r>
      <w:r w:rsidRPr="0062104C">
        <w:rPr>
          <w:lang w:val="en-AU"/>
        </w:rPr>
        <w:t xml:space="preserve">Reducing the blood </w:t>
      </w:r>
      <w:r w:rsidRPr="0062104C">
        <w:rPr>
          <w:lang w:val="en-AU"/>
        </w:rPr>
        <w:lastRenderedPageBreak/>
        <w:t xml:space="preserve">lead levels will result in a lower threshold for triggering the obligations on </w:t>
      </w:r>
      <w:r w:rsidR="008E78F4">
        <w:rPr>
          <w:lang w:val="en-AU"/>
        </w:rPr>
        <w:t>PCBUs</w:t>
      </w:r>
      <w:r w:rsidRPr="0062104C">
        <w:rPr>
          <w:lang w:val="en-AU"/>
        </w:rPr>
        <w:t xml:space="preserve"> and therefore decrease health risks to workers undertaking lead risk work.</w:t>
      </w:r>
    </w:p>
    <w:p w14:paraId="06CC4751" w14:textId="77777777" w:rsidR="00513F3B" w:rsidRDefault="00513F3B" w:rsidP="000D7A7F">
      <w:r>
        <w:t xml:space="preserve">Subsection 276(1) of the </w:t>
      </w:r>
      <w:r w:rsidRPr="00513F3B">
        <w:rPr>
          <w:i/>
          <w:iCs/>
        </w:rPr>
        <w:t xml:space="preserve">Work Health and Safety Act 2011 </w:t>
      </w:r>
      <w:r>
        <w:t>(</w:t>
      </w:r>
      <w:proofErr w:type="spellStart"/>
      <w:r>
        <w:t>Cth</w:t>
      </w:r>
      <w:proofErr w:type="spellEnd"/>
      <w:r>
        <w:t xml:space="preserve">) (the WHS Act) provides that the Governor-General may make regulations in relation to any matter relating to work health and safety (WHS) and any matter or thing required or permitted by the WHS Act to be prescribed or that is necessary or convenient to be prescribed to give effect to the WHS Act. </w:t>
      </w:r>
    </w:p>
    <w:p w14:paraId="1D3D5289" w14:textId="1916CD46" w:rsidR="001978B5" w:rsidRPr="00C3131B" w:rsidRDefault="001978B5" w:rsidP="00C3131B">
      <w:pPr>
        <w:rPr>
          <w:u w:val="single"/>
        </w:rPr>
      </w:pPr>
      <w:r w:rsidRPr="00C3131B">
        <w:rPr>
          <w:u w:val="single"/>
        </w:rPr>
        <w:t>Sunsetting</w:t>
      </w:r>
    </w:p>
    <w:p w14:paraId="4DFEAF08" w14:textId="721D181E" w:rsidR="001978B5" w:rsidRDefault="001978B5" w:rsidP="00C3131B">
      <w:r w:rsidRPr="005A670A">
        <w:t>The</w:t>
      </w:r>
      <w:r>
        <w:t xml:space="preserve"> </w:t>
      </w:r>
      <w:r>
        <w:rPr>
          <w:i/>
          <w:iCs/>
        </w:rPr>
        <w:t>Legislation (Exemptions and Other Matters) Regulation 2015</w:t>
      </w:r>
      <w:r>
        <w:t xml:space="preserve"> at regulation 12, item 68, provides that a regulation made under WHS Act</w:t>
      </w:r>
      <w:r>
        <w:rPr>
          <w:i/>
          <w:iCs/>
        </w:rPr>
        <w:t xml:space="preserve"> </w:t>
      </w:r>
      <w:r>
        <w:t xml:space="preserve">is a legislative instrument that is not subject to sunsetting. The Amendment Regulations </w:t>
      </w:r>
      <w:r w:rsidR="00DF00D0">
        <w:t xml:space="preserve">are </w:t>
      </w:r>
      <w:r>
        <w:t>a legislative instrument made under the WHS Act and is therefore exempt</w:t>
      </w:r>
      <w:r w:rsidR="00EC083B">
        <w:t xml:space="preserve"> from sunsetting</w:t>
      </w:r>
      <w:r>
        <w:t xml:space="preserve">. </w:t>
      </w:r>
    </w:p>
    <w:p w14:paraId="41A9E10C" w14:textId="4D910A36" w:rsidR="5888C385" w:rsidRDefault="5888C385" w:rsidP="00C3131B">
      <w:r w:rsidRPr="75FE2B45">
        <w:t>Commonwealth WHS r</w:t>
      </w:r>
      <w:r w:rsidR="00BE249B" w:rsidRPr="75FE2B45">
        <w:t xml:space="preserve">egulations </w:t>
      </w:r>
      <w:r w:rsidR="001978B5" w:rsidRPr="75FE2B45">
        <w:t xml:space="preserve">are exempt from sunsetting because they form part of an intergovernmental scheme for a nationally consistent framework to secure the health and safety of workers and workplaces. They are part of a system of nationally harmonised </w:t>
      </w:r>
      <w:r w:rsidR="00DD077B" w:rsidRPr="75FE2B45">
        <w:t>WHS</w:t>
      </w:r>
      <w:r w:rsidR="001978B5" w:rsidRPr="75FE2B45">
        <w:t xml:space="preserve"> laws. </w:t>
      </w:r>
    </w:p>
    <w:p w14:paraId="3FD12299" w14:textId="02B33F38" w:rsidR="002A52E9" w:rsidRPr="00B54DAD" w:rsidRDefault="6B1B371B" w:rsidP="00913106">
      <w:pPr>
        <w:rPr>
          <w:lang w:val="en-AU"/>
        </w:rPr>
      </w:pPr>
      <w:r w:rsidRPr="75FE2B45">
        <w:rPr>
          <w:lang w:val="en-AU"/>
        </w:rPr>
        <w:t xml:space="preserve">Details of the Amendment Regulations are set out in </w:t>
      </w:r>
      <w:r w:rsidRPr="00133DAD">
        <w:rPr>
          <w:u w:val="single"/>
          <w:lang w:val="en-AU"/>
        </w:rPr>
        <w:t>Attachment A</w:t>
      </w:r>
      <w:r w:rsidRPr="75FE2B45">
        <w:rPr>
          <w:lang w:val="en-AU"/>
        </w:rPr>
        <w:t>.</w:t>
      </w:r>
    </w:p>
    <w:p w14:paraId="220FA8B6" w14:textId="77777777" w:rsidR="00E3025C" w:rsidRPr="005009B0" w:rsidRDefault="00E3025C" w:rsidP="00913106">
      <w:pPr>
        <w:rPr>
          <w:b/>
          <w:bCs/>
          <w:lang w:val="en-AU"/>
        </w:rPr>
      </w:pPr>
      <w:r w:rsidRPr="005009B0">
        <w:rPr>
          <w:b/>
          <w:bCs/>
          <w:lang w:val="en-AU"/>
        </w:rPr>
        <w:t>CONSULTATION</w:t>
      </w:r>
    </w:p>
    <w:p w14:paraId="2FE87A9B" w14:textId="7E087A33" w:rsidR="00711F9B" w:rsidRDefault="00711F9B" w:rsidP="005A670A">
      <w:pPr>
        <w:rPr>
          <w:lang w:val="en-AU"/>
        </w:rPr>
      </w:pPr>
      <w:bookmarkStart w:id="0" w:name="_Hlk190860805"/>
      <w:r w:rsidRPr="502B1272">
        <w:rPr>
          <w:lang w:val="en-AU"/>
        </w:rPr>
        <w:t xml:space="preserve">Section 17 of the </w:t>
      </w:r>
      <w:r w:rsidRPr="502B1272">
        <w:rPr>
          <w:i/>
          <w:iCs/>
          <w:lang w:val="en-AU"/>
        </w:rPr>
        <w:t>Legislation Act 2003</w:t>
      </w:r>
      <w:r w:rsidRPr="502B1272">
        <w:rPr>
          <w:lang w:val="en-AU"/>
        </w:rPr>
        <w:t xml:space="preserve"> requires that any consultation considered to be appropriate, and that is reasonably practicable to undertake, has been undertaken before </w:t>
      </w:r>
      <w:r w:rsidR="0093582B">
        <w:rPr>
          <w:lang w:val="en-AU"/>
        </w:rPr>
        <w:t xml:space="preserve">an </w:t>
      </w:r>
      <w:r w:rsidRPr="502B1272">
        <w:rPr>
          <w:lang w:val="en-AU"/>
        </w:rPr>
        <w:t>instrument</w:t>
      </w:r>
      <w:r w:rsidR="0093582B">
        <w:rPr>
          <w:lang w:val="en-AU"/>
        </w:rPr>
        <w:t xml:space="preserve"> is made</w:t>
      </w:r>
      <w:r w:rsidRPr="502B1272">
        <w:rPr>
          <w:lang w:val="en-AU"/>
        </w:rPr>
        <w:t>.</w:t>
      </w:r>
    </w:p>
    <w:p w14:paraId="7681210F" w14:textId="332A5B16" w:rsidR="00702F77" w:rsidRDefault="72FB360B" w:rsidP="00327EDD">
      <w:r>
        <w:t xml:space="preserve">The </w:t>
      </w:r>
      <w:r w:rsidR="7FDEE1F5">
        <w:t xml:space="preserve">blood </w:t>
      </w:r>
      <w:r w:rsidR="7D2940CA">
        <w:t xml:space="preserve">lead </w:t>
      </w:r>
      <w:r w:rsidR="7FDEE1F5">
        <w:t xml:space="preserve">level </w:t>
      </w:r>
      <w:r w:rsidR="29B08702">
        <w:t xml:space="preserve">exposure </w:t>
      </w:r>
      <w:r w:rsidR="7FDEE1F5">
        <w:t xml:space="preserve">values </w:t>
      </w:r>
      <w:r w:rsidR="6D6C75FA">
        <w:t>amendment</w:t>
      </w:r>
      <w:r w:rsidR="1E23C949">
        <w:t>s</w:t>
      </w:r>
      <w:r w:rsidR="5E98B289">
        <w:t xml:space="preserve"> </w:t>
      </w:r>
      <w:r w:rsidR="55449D0A">
        <w:t>are based on</w:t>
      </w:r>
      <w:r w:rsidR="5E98B289">
        <w:t xml:space="preserve"> </w:t>
      </w:r>
      <w:r w:rsidR="54A990DB">
        <w:t xml:space="preserve">a model amendment </w:t>
      </w:r>
      <w:r w:rsidR="5E98B289">
        <w:t xml:space="preserve">developed by </w:t>
      </w:r>
      <w:r w:rsidR="2C15F610">
        <w:t>SWA</w:t>
      </w:r>
      <w:r w:rsidR="00327EDD">
        <w:t>, which were agreed to by WHS Ministers in December 2016</w:t>
      </w:r>
      <w:r w:rsidR="553E240C">
        <w:t xml:space="preserve">. </w:t>
      </w:r>
      <w:r w:rsidR="005D04C3">
        <w:t>SWA is</w:t>
      </w:r>
      <w:r w:rsidR="00844A43">
        <w:t xml:space="preserve"> a tripartite body</w:t>
      </w:r>
      <w:r w:rsidR="00FA1915">
        <w:t xml:space="preserve"> with </w:t>
      </w:r>
      <w:r w:rsidR="00844A43">
        <w:t xml:space="preserve">representatives from the Australian Council of Trade Unions, </w:t>
      </w:r>
      <w:r w:rsidR="00B879FF">
        <w:t xml:space="preserve">Australian Chamber of Commerce and Industry, </w:t>
      </w:r>
      <w:r w:rsidR="00AE38E7">
        <w:t xml:space="preserve">and the </w:t>
      </w:r>
      <w:r w:rsidR="00B879FF">
        <w:t xml:space="preserve">Australian Industry Group, </w:t>
      </w:r>
      <w:r w:rsidR="00EC535F">
        <w:t xml:space="preserve">as part of its membership. </w:t>
      </w:r>
      <w:r w:rsidR="004818F1">
        <w:rPr>
          <w:lang w:val="en-AU"/>
        </w:rPr>
        <w:t>SWA</w:t>
      </w:r>
      <w:r w:rsidR="00327EDD" w:rsidRPr="00327EDD">
        <w:rPr>
          <w:lang w:val="en-AU"/>
        </w:rPr>
        <w:t xml:space="preserve"> conducted full public consultation and targeted stakeholder feedback</w:t>
      </w:r>
      <w:r w:rsidR="00327EDD">
        <w:rPr>
          <w:lang w:val="en-AU"/>
        </w:rPr>
        <w:t xml:space="preserve"> </w:t>
      </w:r>
      <w:r w:rsidR="00327EDD" w:rsidRPr="00327EDD">
        <w:rPr>
          <w:lang w:val="en-AU"/>
        </w:rPr>
        <w:t>regarding these amendments. The outcomes of that consultation are summarised in the</w:t>
      </w:r>
      <w:r w:rsidR="00327EDD">
        <w:rPr>
          <w:lang w:val="en-AU"/>
        </w:rPr>
        <w:t xml:space="preserve"> </w:t>
      </w:r>
      <w:r w:rsidR="00327EDD" w:rsidRPr="00327EDD">
        <w:rPr>
          <w:i/>
          <w:iCs/>
          <w:lang w:val="en-AU"/>
        </w:rPr>
        <w:t>Decision Regulation Impact Statement – Managing risks associated with lead in the</w:t>
      </w:r>
      <w:r w:rsidR="00327EDD">
        <w:rPr>
          <w:i/>
          <w:iCs/>
          <w:lang w:val="en-AU"/>
        </w:rPr>
        <w:t xml:space="preserve"> </w:t>
      </w:r>
      <w:r w:rsidR="00327EDD" w:rsidRPr="00327EDD">
        <w:rPr>
          <w:i/>
          <w:iCs/>
          <w:lang w:val="en-AU"/>
        </w:rPr>
        <w:t>workplace: blood lead removal levels and workplace exposure standard</w:t>
      </w:r>
      <w:r w:rsidR="00327EDD">
        <w:rPr>
          <w:i/>
          <w:iCs/>
          <w:lang w:val="en-AU"/>
        </w:rPr>
        <w:t xml:space="preserve">. </w:t>
      </w:r>
      <w:r w:rsidR="553E240C">
        <w:t>State and territory regulators, relevant government agencies, industry and peak bodies were consulted in the development of this policy.</w:t>
      </w:r>
    </w:p>
    <w:p w14:paraId="2A9D2D41" w14:textId="149E6EB2" w:rsidR="00764807" w:rsidRDefault="00CD6465" w:rsidP="005A670A">
      <w:r w:rsidRPr="1D012FF7">
        <w:t>Comcare</w:t>
      </w:r>
      <w:r w:rsidR="00BA24E4" w:rsidRPr="1D012FF7">
        <w:t>, the Commonwealth’s WHS regulator,</w:t>
      </w:r>
      <w:r w:rsidR="7AD43978" w:rsidRPr="1D012FF7">
        <w:t xml:space="preserve"> </w:t>
      </w:r>
      <w:r w:rsidR="00DF5BA5">
        <w:t>as well as a number of licen</w:t>
      </w:r>
      <w:r w:rsidR="00E43EE1">
        <w:t>s</w:t>
      </w:r>
      <w:r w:rsidR="00DF5BA5">
        <w:t xml:space="preserve">ees under the WHS Act, were notified of the intention to </w:t>
      </w:r>
      <w:r w:rsidR="009E3FD1">
        <w:t>implement SWA’s model WHS changes</w:t>
      </w:r>
      <w:r w:rsidR="00853383">
        <w:t xml:space="preserve"> in 2024</w:t>
      </w:r>
      <w:r w:rsidR="009E3FD1">
        <w:t xml:space="preserve">. No concerns </w:t>
      </w:r>
      <w:r w:rsidR="00475A69">
        <w:t>about the intention to adopt were raised</w:t>
      </w:r>
      <w:r w:rsidR="009E3FD1">
        <w:t xml:space="preserve">. </w:t>
      </w:r>
    </w:p>
    <w:p w14:paraId="50D2FE1E" w14:textId="67350854" w:rsidR="00C94D9A" w:rsidRDefault="00C94D9A" w:rsidP="005A670A">
      <w:pPr>
        <w:rPr>
          <w:lang w:val="en-AU"/>
        </w:rPr>
      </w:pPr>
      <w:r w:rsidRPr="6C4ADF05">
        <w:t>The WHS Act specifies no conditions that need to be satisfied before the power to make the proposed Regulations may be exercised.</w:t>
      </w:r>
    </w:p>
    <w:bookmarkEnd w:id="0"/>
    <w:p w14:paraId="39CB3151" w14:textId="276BCFD4" w:rsidR="001D2E76" w:rsidRPr="000D7A7F" w:rsidRDefault="00580E66" w:rsidP="00221504">
      <w:pPr>
        <w:keepNext/>
        <w:keepLines/>
        <w:rPr>
          <w:b/>
          <w:bCs/>
          <w:lang w:val="en-AU"/>
        </w:rPr>
      </w:pPr>
      <w:r w:rsidRPr="000D7A7F">
        <w:rPr>
          <w:b/>
          <w:bCs/>
          <w:lang w:val="en-AU"/>
        </w:rPr>
        <w:lastRenderedPageBreak/>
        <w:t>REGULATION IMPACT STATEMENT</w:t>
      </w:r>
    </w:p>
    <w:p w14:paraId="7E80D33E" w14:textId="35C97730" w:rsidR="00E67176" w:rsidRPr="00E67176" w:rsidRDefault="00B4476E" w:rsidP="00221504">
      <w:pPr>
        <w:keepNext/>
        <w:keepLines/>
        <w:rPr>
          <w:lang w:val="en-AU"/>
        </w:rPr>
      </w:pPr>
      <w:r w:rsidRPr="1D012FF7">
        <w:rPr>
          <w:lang w:val="en-AU"/>
        </w:rPr>
        <w:t xml:space="preserve">The </w:t>
      </w:r>
      <w:r w:rsidR="00E67176" w:rsidRPr="1D012FF7">
        <w:rPr>
          <w:lang w:val="en-AU"/>
        </w:rPr>
        <w:t>O</w:t>
      </w:r>
      <w:r w:rsidRPr="1D012FF7">
        <w:rPr>
          <w:lang w:val="en-AU"/>
        </w:rPr>
        <w:t xml:space="preserve">ffice of </w:t>
      </w:r>
      <w:r w:rsidR="00E67176" w:rsidRPr="1D012FF7">
        <w:rPr>
          <w:lang w:val="en-AU"/>
        </w:rPr>
        <w:t>I</w:t>
      </w:r>
      <w:r w:rsidRPr="1D012FF7">
        <w:rPr>
          <w:lang w:val="en-AU"/>
        </w:rPr>
        <w:t xml:space="preserve">mpact </w:t>
      </w:r>
      <w:r w:rsidR="00E67176" w:rsidRPr="1D012FF7">
        <w:rPr>
          <w:lang w:val="en-AU"/>
        </w:rPr>
        <w:t>A</w:t>
      </w:r>
      <w:r w:rsidR="005E0E58" w:rsidRPr="1D012FF7">
        <w:rPr>
          <w:lang w:val="en-AU"/>
        </w:rPr>
        <w:t>nalysis</w:t>
      </w:r>
      <w:r w:rsidR="00E67176" w:rsidRPr="1D012FF7">
        <w:rPr>
          <w:lang w:val="en-AU"/>
        </w:rPr>
        <w:t xml:space="preserve"> </w:t>
      </w:r>
      <w:r w:rsidR="70619E73" w:rsidRPr="1D012FF7">
        <w:rPr>
          <w:lang w:val="en-AU"/>
        </w:rPr>
        <w:t>advised that a</w:t>
      </w:r>
      <w:r w:rsidR="62092EBA" w:rsidRPr="1D012FF7">
        <w:rPr>
          <w:lang w:val="en-AU"/>
        </w:rPr>
        <w:t>n</w:t>
      </w:r>
      <w:r w:rsidR="00E67176" w:rsidRPr="1D012FF7">
        <w:rPr>
          <w:lang w:val="en-AU"/>
        </w:rPr>
        <w:t xml:space="preserve"> </w:t>
      </w:r>
      <w:r w:rsidR="000423FA" w:rsidRPr="1D012FF7">
        <w:rPr>
          <w:lang w:val="en-AU"/>
        </w:rPr>
        <w:t>impact</w:t>
      </w:r>
      <w:r w:rsidR="00E67176" w:rsidRPr="1D012FF7">
        <w:rPr>
          <w:lang w:val="en-AU"/>
        </w:rPr>
        <w:t xml:space="preserve"> analysis</w:t>
      </w:r>
      <w:r w:rsidR="000423FA" w:rsidRPr="1D012FF7">
        <w:rPr>
          <w:lang w:val="en-AU"/>
        </w:rPr>
        <w:t xml:space="preserve"> is</w:t>
      </w:r>
      <w:r w:rsidR="77345EE0" w:rsidRPr="1D012FF7">
        <w:rPr>
          <w:lang w:val="en-AU"/>
        </w:rPr>
        <w:t xml:space="preserve"> not</w:t>
      </w:r>
      <w:r w:rsidR="000423FA" w:rsidRPr="1D012FF7">
        <w:rPr>
          <w:lang w:val="en-AU"/>
        </w:rPr>
        <w:t xml:space="preserve"> required</w:t>
      </w:r>
      <w:r w:rsidR="6D556BD3" w:rsidRPr="1D012FF7">
        <w:rPr>
          <w:lang w:val="en-AU"/>
        </w:rPr>
        <w:t xml:space="preserve"> for the Amendment Regulations</w:t>
      </w:r>
      <w:r w:rsidR="00E8723F" w:rsidRPr="1D012FF7">
        <w:rPr>
          <w:lang w:val="en-AU"/>
        </w:rPr>
        <w:t xml:space="preserve"> (</w:t>
      </w:r>
      <w:r w:rsidR="530ECB56" w:rsidRPr="1D012FF7">
        <w:rPr>
          <w:lang w:val="en-AU"/>
        </w:rPr>
        <w:t>Reference Number</w:t>
      </w:r>
      <w:r w:rsidR="23FE49E1" w:rsidRPr="1D012FF7">
        <w:rPr>
          <w:lang w:val="en-AU"/>
        </w:rPr>
        <w:t>s</w:t>
      </w:r>
      <w:r w:rsidR="530ECB56" w:rsidRPr="1D012FF7">
        <w:rPr>
          <w:lang w:val="en-AU"/>
        </w:rPr>
        <w:t xml:space="preserve"> </w:t>
      </w:r>
      <w:r w:rsidR="00751671" w:rsidRPr="1D012FF7">
        <w:t>OIA24-</w:t>
      </w:r>
      <w:r w:rsidR="00CE3688" w:rsidRPr="1D012FF7">
        <w:t>08605)</w:t>
      </w:r>
      <w:r w:rsidR="00E67176" w:rsidRPr="1D012FF7">
        <w:rPr>
          <w:lang w:val="en-AU"/>
        </w:rPr>
        <w:t>.</w:t>
      </w:r>
      <w:r w:rsidR="001E617F">
        <w:rPr>
          <w:lang w:val="en-AU"/>
        </w:rPr>
        <w:t xml:space="preserve"> </w:t>
      </w:r>
      <w:r w:rsidR="00C677CC">
        <w:rPr>
          <w:lang w:val="en-AU"/>
        </w:rPr>
        <w:t xml:space="preserve">In 2016, </w:t>
      </w:r>
      <w:r w:rsidR="00944F93">
        <w:rPr>
          <w:lang w:val="en-AU"/>
        </w:rPr>
        <w:t xml:space="preserve">SWA </w:t>
      </w:r>
      <w:r w:rsidR="00315292">
        <w:rPr>
          <w:lang w:val="en-AU"/>
        </w:rPr>
        <w:t xml:space="preserve">drafted the </w:t>
      </w:r>
      <w:r w:rsidR="00936AA3" w:rsidRPr="000D7A7F">
        <w:rPr>
          <w:i/>
          <w:iCs/>
          <w:lang w:val="en-AU"/>
        </w:rPr>
        <w:t>Decision Regulation Impact Statement Managing risks associated with lead in the workplace: blood lead removal levels and workplace exposure standard</w:t>
      </w:r>
      <w:r w:rsidR="00936AA3">
        <w:rPr>
          <w:lang w:val="en-AU"/>
        </w:rPr>
        <w:t xml:space="preserve">. This is available on </w:t>
      </w:r>
      <w:r w:rsidR="008B0F40">
        <w:rPr>
          <w:lang w:val="en-AU"/>
        </w:rPr>
        <w:t>SWA’s website.</w:t>
      </w:r>
    </w:p>
    <w:p w14:paraId="4F084FBE" w14:textId="77777777" w:rsidR="0034644E" w:rsidRPr="000D7A7F" w:rsidRDefault="0034644E" w:rsidP="003905E9">
      <w:pPr>
        <w:rPr>
          <w:b/>
          <w:bCs/>
        </w:rPr>
      </w:pPr>
      <w:r w:rsidRPr="000D7A7F">
        <w:rPr>
          <w:b/>
          <w:bCs/>
        </w:rPr>
        <w:t>STATEMENT OF COMPATIBILITY WITH HUMAN RIGHTS</w:t>
      </w:r>
    </w:p>
    <w:p w14:paraId="760B25C5" w14:textId="4B2DBA1B" w:rsidR="002751C8" w:rsidRDefault="00EE3E15" w:rsidP="003905E9">
      <w:pPr>
        <w:rPr>
          <w:u w:val="single"/>
        </w:rPr>
      </w:pPr>
      <w:r w:rsidRPr="75FE2B45">
        <w:t>The Amendment Regulations are compatible with the human rights and freedoms recognised or declared in the international instruments listed in Part 3 of the</w:t>
      </w:r>
      <w:r w:rsidRPr="75FE2B45">
        <w:rPr>
          <w:i/>
          <w:iCs/>
        </w:rPr>
        <w:t xml:space="preserve"> Human Rights (Parliamentary Scrutiny) Act 2011</w:t>
      </w:r>
      <w:r w:rsidRPr="75FE2B45">
        <w:t xml:space="preserve">. A Statement of Compatibility with Human Rights is set out at </w:t>
      </w:r>
      <w:r w:rsidRPr="75FE2B45">
        <w:rPr>
          <w:u w:val="single"/>
        </w:rPr>
        <w:t xml:space="preserve">Attachment </w:t>
      </w:r>
      <w:r w:rsidR="003C740B" w:rsidRPr="75FE2B45">
        <w:rPr>
          <w:u w:val="single"/>
        </w:rPr>
        <w:t>B</w:t>
      </w:r>
      <w:r w:rsidRPr="75FE2B45">
        <w:rPr>
          <w:u w:val="single"/>
        </w:rPr>
        <w:t>.</w:t>
      </w:r>
      <w:r w:rsidR="002751C8">
        <w:rPr>
          <w:u w:val="single"/>
        </w:rPr>
        <w:br w:type="page"/>
      </w:r>
    </w:p>
    <w:p w14:paraId="458A3E79" w14:textId="352C753B" w:rsidR="00A35740" w:rsidRPr="008E3798" w:rsidRDefault="004C1DF0" w:rsidP="008E3798">
      <w:pPr>
        <w:jc w:val="right"/>
        <w:rPr>
          <w:b/>
          <w:bCs/>
        </w:rPr>
      </w:pPr>
      <w:r w:rsidRPr="008E3798">
        <w:rPr>
          <w:b/>
          <w:bCs/>
        </w:rPr>
        <w:lastRenderedPageBreak/>
        <w:t>ATTACHMENT A</w:t>
      </w:r>
    </w:p>
    <w:p w14:paraId="1F609360" w14:textId="77777777" w:rsidR="00DE1729" w:rsidRPr="00DF7FA4" w:rsidRDefault="00DE1729" w:rsidP="005A670A">
      <w:pPr>
        <w:rPr>
          <w:b/>
          <w:bCs/>
        </w:rPr>
      </w:pPr>
      <w:r w:rsidRPr="00DF7FA4">
        <w:rPr>
          <w:b/>
          <w:bCs/>
        </w:rPr>
        <w:t>NOTES ON SECTIONS</w:t>
      </w:r>
    </w:p>
    <w:p w14:paraId="26A963F7" w14:textId="77777777" w:rsidR="005864CA" w:rsidRDefault="005864CA" w:rsidP="00E47F19">
      <w:r>
        <w:rPr>
          <w:lang w:val="en-AU"/>
        </w:rPr>
        <w:t>In these notes on sections, the following abbreviations are used</w:t>
      </w:r>
    </w:p>
    <w:tbl>
      <w:tblPr>
        <w:tblStyle w:val="TableGrid"/>
        <w:tblW w:w="9016" w:type="dxa"/>
        <w:tblInd w:w="0" w:type="dxa"/>
        <w:tblLayout w:type="fixed"/>
        <w:tblLook w:val="06A0" w:firstRow="1" w:lastRow="0" w:firstColumn="1" w:lastColumn="0" w:noHBand="1" w:noVBand="1"/>
      </w:tblPr>
      <w:tblGrid>
        <w:gridCol w:w="3109"/>
        <w:gridCol w:w="5907"/>
      </w:tblGrid>
      <w:tr w:rsidR="005864CA" w14:paraId="50648EF9" w14:textId="77777777" w:rsidTr="000D7A7F">
        <w:trPr>
          <w:trHeight w:val="300"/>
        </w:trPr>
        <w:tc>
          <w:tcPr>
            <w:tcW w:w="3109" w:type="dxa"/>
            <w:tcBorders>
              <w:top w:val="single" w:sz="8" w:space="0" w:color="auto"/>
              <w:left w:val="single" w:sz="8" w:space="0" w:color="auto"/>
              <w:bottom w:val="single" w:sz="8" w:space="0" w:color="auto"/>
              <w:right w:val="single" w:sz="8" w:space="0" w:color="auto"/>
            </w:tcBorders>
            <w:hideMark/>
          </w:tcPr>
          <w:p w14:paraId="4B6CD0D3" w14:textId="77777777" w:rsidR="005864CA" w:rsidRPr="002450C1" w:rsidRDefault="005864CA" w:rsidP="00E47F19">
            <w:pPr>
              <w:rPr>
                <w:b/>
                <w:bCs/>
              </w:rPr>
            </w:pPr>
            <w:r w:rsidRPr="002450C1">
              <w:rPr>
                <w:b/>
                <w:bCs/>
                <w:lang w:val="en-AU"/>
              </w:rPr>
              <w:t>Abbreviation</w:t>
            </w:r>
          </w:p>
        </w:tc>
        <w:tc>
          <w:tcPr>
            <w:tcW w:w="5907" w:type="dxa"/>
            <w:tcBorders>
              <w:top w:val="single" w:sz="8" w:space="0" w:color="auto"/>
              <w:left w:val="single" w:sz="8" w:space="0" w:color="auto"/>
              <w:bottom w:val="single" w:sz="8" w:space="0" w:color="auto"/>
              <w:right w:val="single" w:sz="8" w:space="0" w:color="auto"/>
            </w:tcBorders>
            <w:hideMark/>
          </w:tcPr>
          <w:p w14:paraId="2893FD2E" w14:textId="77777777" w:rsidR="005864CA" w:rsidRPr="002450C1" w:rsidRDefault="005864CA" w:rsidP="00E47F19">
            <w:pPr>
              <w:rPr>
                <w:b/>
                <w:bCs/>
              </w:rPr>
            </w:pPr>
            <w:r w:rsidRPr="002450C1">
              <w:rPr>
                <w:b/>
                <w:bCs/>
                <w:lang w:val="en-AU"/>
              </w:rPr>
              <w:t>Definition</w:t>
            </w:r>
          </w:p>
        </w:tc>
      </w:tr>
      <w:tr w:rsidR="007028E4" w14:paraId="5C1F19F4" w14:textId="77777777" w:rsidTr="000D7A7F">
        <w:trPr>
          <w:trHeight w:val="300"/>
        </w:trPr>
        <w:tc>
          <w:tcPr>
            <w:tcW w:w="3109" w:type="dxa"/>
            <w:tcBorders>
              <w:top w:val="single" w:sz="8" w:space="0" w:color="auto"/>
              <w:left w:val="single" w:sz="8" w:space="0" w:color="auto"/>
              <w:bottom w:val="single" w:sz="8" w:space="0" w:color="auto"/>
              <w:right w:val="single" w:sz="8" w:space="0" w:color="auto"/>
            </w:tcBorders>
          </w:tcPr>
          <w:p w14:paraId="47C384C1" w14:textId="03DE13FE" w:rsidR="007028E4" w:rsidRDefault="007028E4" w:rsidP="00E47F19">
            <w:pPr>
              <w:rPr>
                <w:lang w:val="en-AU"/>
              </w:rPr>
            </w:pPr>
            <w:r>
              <w:rPr>
                <w:lang w:val="en-AU"/>
              </w:rPr>
              <w:t>Amendment Regulations</w:t>
            </w:r>
          </w:p>
        </w:tc>
        <w:tc>
          <w:tcPr>
            <w:tcW w:w="5907" w:type="dxa"/>
            <w:tcBorders>
              <w:top w:val="single" w:sz="8" w:space="0" w:color="auto"/>
              <w:left w:val="single" w:sz="8" w:space="0" w:color="auto"/>
              <w:bottom w:val="single" w:sz="8" w:space="0" w:color="auto"/>
              <w:right w:val="single" w:sz="8" w:space="0" w:color="auto"/>
            </w:tcBorders>
          </w:tcPr>
          <w:p w14:paraId="32C8CAF6" w14:textId="0B1C6079" w:rsidR="007028E4" w:rsidRPr="003E47E0" w:rsidRDefault="572F89A0" w:rsidP="00E47F19">
            <w:pPr>
              <w:rPr>
                <w:i/>
                <w:iCs/>
                <w:color w:val="000000" w:themeColor="text1"/>
                <w:lang w:val="en-AU"/>
              </w:rPr>
            </w:pPr>
            <w:r w:rsidRPr="003E47E0">
              <w:rPr>
                <w:i/>
                <w:iCs/>
              </w:rPr>
              <w:t>Work Health and Safety</w:t>
            </w:r>
            <w:r w:rsidR="7FE5AB41" w:rsidRPr="003E47E0">
              <w:rPr>
                <w:i/>
                <w:iCs/>
              </w:rPr>
              <w:t xml:space="preserve"> Amendment (</w:t>
            </w:r>
            <w:r w:rsidR="5E083EC2" w:rsidRPr="003E47E0">
              <w:rPr>
                <w:i/>
                <w:iCs/>
              </w:rPr>
              <w:t>Blood Lead Level Exposure Values</w:t>
            </w:r>
            <w:r w:rsidR="7FE5AB41" w:rsidRPr="003E47E0">
              <w:rPr>
                <w:i/>
                <w:iCs/>
              </w:rPr>
              <w:t>)</w:t>
            </w:r>
            <w:r w:rsidRPr="003E47E0">
              <w:rPr>
                <w:i/>
                <w:iCs/>
              </w:rPr>
              <w:t xml:space="preserve"> Regulations 2025</w:t>
            </w:r>
          </w:p>
        </w:tc>
      </w:tr>
      <w:tr w:rsidR="007028E4" w14:paraId="6AFB571E" w14:textId="77777777" w:rsidTr="000D7A7F">
        <w:trPr>
          <w:trHeight w:val="300"/>
        </w:trPr>
        <w:tc>
          <w:tcPr>
            <w:tcW w:w="3109" w:type="dxa"/>
            <w:tcBorders>
              <w:top w:val="single" w:sz="8" w:space="0" w:color="auto"/>
              <w:left w:val="single" w:sz="8" w:space="0" w:color="auto"/>
              <w:bottom w:val="single" w:sz="8" w:space="0" w:color="auto"/>
              <w:right w:val="single" w:sz="8" w:space="0" w:color="auto"/>
            </w:tcBorders>
          </w:tcPr>
          <w:p w14:paraId="56038C41" w14:textId="09E418F9" w:rsidR="007028E4" w:rsidRDefault="007028E4" w:rsidP="00E47F19">
            <w:pPr>
              <w:rPr>
                <w:lang w:val="en-AU"/>
              </w:rPr>
            </w:pPr>
            <w:r>
              <w:rPr>
                <w:lang w:val="en-AU"/>
              </w:rPr>
              <w:t>Model Amendments</w:t>
            </w:r>
          </w:p>
        </w:tc>
        <w:tc>
          <w:tcPr>
            <w:tcW w:w="5907" w:type="dxa"/>
            <w:tcBorders>
              <w:top w:val="single" w:sz="8" w:space="0" w:color="auto"/>
              <w:left w:val="single" w:sz="8" w:space="0" w:color="auto"/>
              <w:bottom w:val="single" w:sz="8" w:space="0" w:color="auto"/>
              <w:right w:val="single" w:sz="8" w:space="0" w:color="auto"/>
            </w:tcBorders>
          </w:tcPr>
          <w:p w14:paraId="61288821" w14:textId="2A4D252A" w:rsidR="007028E4" w:rsidRDefault="007028E4" w:rsidP="00E47F19">
            <w:pPr>
              <w:rPr>
                <w:lang w:val="en-AU"/>
              </w:rPr>
            </w:pPr>
            <w:r w:rsidRPr="005E5728">
              <w:rPr>
                <w:lang w:val="en-AU"/>
              </w:rPr>
              <w:t>Amendment (Blood Lead Removal Levels) 2018 – Model Provisions</w:t>
            </w:r>
            <w:r w:rsidR="002C051D">
              <w:rPr>
                <w:lang w:val="en-AU"/>
              </w:rPr>
              <w:t xml:space="preserve"> as published by Safe Work Australia</w:t>
            </w:r>
          </w:p>
        </w:tc>
      </w:tr>
      <w:tr w:rsidR="007028E4" w14:paraId="50B992C9" w14:textId="77777777" w:rsidTr="000D7A7F">
        <w:trPr>
          <w:trHeight w:val="300"/>
        </w:trPr>
        <w:tc>
          <w:tcPr>
            <w:tcW w:w="3109" w:type="dxa"/>
            <w:tcBorders>
              <w:top w:val="single" w:sz="8" w:space="0" w:color="auto"/>
              <w:left w:val="single" w:sz="8" w:space="0" w:color="auto"/>
              <w:bottom w:val="single" w:sz="8" w:space="0" w:color="auto"/>
              <w:right w:val="single" w:sz="8" w:space="0" w:color="auto"/>
            </w:tcBorders>
          </w:tcPr>
          <w:p w14:paraId="2D6AC622" w14:textId="501B034F" w:rsidR="007028E4" w:rsidRDefault="007028E4" w:rsidP="000C4362">
            <w:pPr>
              <w:rPr>
                <w:lang w:val="en-AU"/>
              </w:rPr>
            </w:pPr>
            <w:r>
              <w:rPr>
                <w:lang w:val="en-AU"/>
              </w:rPr>
              <w:t>PCBU</w:t>
            </w:r>
          </w:p>
        </w:tc>
        <w:tc>
          <w:tcPr>
            <w:tcW w:w="5907" w:type="dxa"/>
            <w:tcBorders>
              <w:top w:val="single" w:sz="8" w:space="0" w:color="auto"/>
              <w:left w:val="single" w:sz="8" w:space="0" w:color="auto"/>
              <w:bottom w:val="single" w:sz="8" w:space="0" w:color="auto"/>
              <w:right w:val="single" w:sz="8" w:space="0" w:color="auto"/>
            </w:tcBorders>
          </w:tcPr>
          <w:p w14:paraId="743FDACB" w14:textId="375AD22E" w:rsidR="007028E4" w:rsidRDefault="007028E4" w:rsidP="000C4362">
            <w:pPr>
              <w:rPr>
                <w:lang w:val="en-AU"/>
              </w:rPr>
            </w:pPr>
            <w:r>
              <w:rPr>
                <w:lang w:val="en-AU"/>
              </w:rPr>
              <w:t>person conducting a business or undertaking</w:t>
            </w:r>
          </w:p>
        </w:tc>
      </w:tr>
      <w:tr w:rsidR="007028E4" w14:paraId="76A97E5D" w14:textId="77777777" w:rsidTr="000D7A7F">
        <w:trPr>
          <w:trHeight w:val="300"/>
        </w:trPr>
        <w:tc>
          <w:tcPr>
            <w:tcW w:w="3109" w:type="dxa"/>
            <w:tcBorders>
              <w:top w:val="single" w:sz="8" w:space="0" w:color="auto"/>
              <w:left w:val="single" w:sz="8" w:space="0" w:color="auto"/>
              <w:bottom w:val="single" w:sz="8" w:space="0" w:color="auto"/>
              <w:right w:val="single" w:sz="8" w:space="0" w:color="auto"/>
            </w:tcBorders>
          </w:tcPr>
          <w:p w14:paraId="176F0DCB" w14:textId="58188116" w:rsidR="007028E4" w:rsidRDefault="007028E4" w:rsidP="000C4362">
            <w:pPr>
              <w:rPr>
                <w:lang w:val="en-AU"/>
              </w:rPr>
            </w:pPr>
            <w:r>
              <w:rPr>
                <w:lang w:val="en-AU"/>
              </w:rPr>
              <w:t>Principal Regulations</w:t>
            </w:r>
          </w:p>
        </w:tc>
        <w:tc>
          <w:tcPr>
            <w:tcW w:w="5907" w:type="dxa"/>
            <w:tcBorders>
              <w:top w:val="single" w:sz="8" w:space="0" w:color="auto"/>
              <w:left w:val="single" w:sz="8" w:space="0" w:color="auto"/>
              <w:bottom w:val="single" w:sz="8" w:space="0" w:color="auto"/>
              <w:right w:val="single" w:sz="8" w:space="0" w:color="auto"/>
            </w:tcBorders>
          </w:tcPr>
          <w:p w14:paraId="1A70DBB5" w14:textId="11315D30" w:rsidR="007028E4" w:rsidRPr="000C4362" w:rsidRDefault="572F89A0" w:rsidP="000C4362">
            <w:pPr>
              <w:rPr>
                <w:lang w:val="en-AU"/>
              </w:rPr>
            </w:pPr>
            <w:r w:rsidRPr="000C4362">
              <w:rPr>
                <w:i/>
                <w:iCs/>
                <w:lang w:val="en-AU"/>
              </w:rPr>
              <w:t>Work Health and Safety Regulations 2011</w:t>
            </w:r>
            <w:r w:rsidR="633DF82C" w:rsidRPr="05B2332F">
              <w:rPr>
                <w:lang w:val="en-AU"/>
              </w:rPr>
              <w:t xml:space="preserve"> (</w:t>
            </w:r>
            <w:proofErr w:type="spellStart"/>
            <w:r w:rsidR="633DF82C" w:rsidRPr="05B2332F">
              <w:rPr>
                <w:lang w:val="en-AU"/>
              </w:rPr>
              <w:t>Cth</w:t>
            </w:r>
            <w:proofErr w:type="spellEnd"/>
            <w:r w:rsidR="633DF82C" w:rsidRPr="05B2332F">
              <w:rPr>
                <w:lang w:val="en-AU"/>
              </w:rPr>
              <w:t>)</w:t>
            </w:r>
          </w:p>
        </w:tc>
      </w:tr>
      <w:tr w:rsidR="007028E4" w14:paraId="0374C25B" w14:textId="77777777" w:rsidTr="000D7A7F">
        <w:trPr>
          <w:trHeight w:val="300"/>
        </w:trPr>
        <w:tc>
          <w:tcPr>
            <w:tcW w:w="3109" w:type="dxa"/>
            <w:tcBorders>
              <w:top w:val="single" w:sz="8" w:space="0" w:color="auto"/>
              <w:left w:val="single" w:sz="8" w:space="0" w:color="auto"/>
              <w:bottom w:val="single" w:sz="8" w:space="0" w:color="auto"/>
              <w:right w:val="single" w:sz="8" w:space="0" w:color="auto"/>
            </w:tcBorders>
          </w:tcPr>
          <w:p w14:paraId="33F6E2C8" w14:textId="5C847296" w:rsidR="007028E4" w:rsidRDefault="007028E4" w:rsidP="000C4362">
            <w:pPr>
              <w:rPr>
                <w:lang w:val="en-AU"/>
              </w:rPr>
            </w:pPr>
            <w:r>
              <w:rPr>
                <w:lang w:val="en-AU"/>
              </w:rPr>
              <w:t>SWA</w:t>
            </w:r>
          </w:p>
        </w:tc>
        <w:tc>
          <w:tcPr>
            <w:tcW w:w="5907" w:type="dxa"/>
            <w:tcBorders>
              <w:top w:val="single" w:sz="8" w:space="0" w:color="auto"/>
              <w:left w:val="single" w:sz="8" w:space="0" w:color="auto"/>
              <w:bottom w:val="single" w:sz="8" w:space="0" w:color="auto"/>
              <w:right w:val="single" w:sz="8" w:space="0" w:color="auto"/>
            </w:tcBorders>
          </w:tcPr>
          <w:p w14:paraId="2166E53B" w14:textId="602CD1BC" w:rsidR="007028E4" w:rsidRDefault="007028E4" w:rsidP="000C4362">
            <w:r>
              <w:t>Safe Work Australia</w:t>
            </w:r>
          </w:p>
        </w:tc>
      </w:tr>
      <w:tr w:rsidR="007028E4" w14:paraId="7FEC565B" w14:textId="77777777" w:rsidTr="000D7A7F">
        <w:trPr>
          <w:trHeight w:val="300"/>
        </w:trPr>
        <w:tc>
          <w:tcPr>
            <w:tcW w:w="3109" w:type="dxa"/>
            <w:tcBorders>
              <w:top w:val="single" w:sz="8" w:space="0" w:color="auto"/>
              <w:left w:val="single" w:sz="8" w:space="0" w:color="auto"/>
              <w:bottom w:val="single" w:sz="8" w:space="0" w:color="auto"/>
              <w:right w:val="single" w:sz="8" w:space="0" w:color="auto"/>
            </w:tcBorders>
          </w:tcPr>
          <w:p w14:paraId="6DE4D0A7" w14:textId="1F3D50CD" w:rsidR="007028E4" w:rsidRDefault="007028E4" w:rsidP="000C4362">
            <w:r>
              <w:rPr>
                <w:lang w:val="en-AU"/>
              </w:rPr>
              <w:t>WHS</w:t>
            </w:r>
          </w:p>
        </w:tc>
        <w:tc>
          <w:tcPr>
            <w:tcW w:w="5907" w:type="dxa"/>
            <w:tcBorders>
              <w:top w:val="single" w:sz="8" w:space="0" w:color="auto"/>
              <w:left w:val="single" w:sz="8" w:space="0" w:color="auto"/>
              <w:bottom w:val="single" w:sz="8" w:space="0" w:color="auto"/>
              <w:right w:val="single" w:sz="8" w:space="0" w:color="auto"/>
            </w:tcBorders>
          </w:tcPr>
          <w:p w14:paraId="7E2581AA" w14:textId="0E518039" w:rsidR="007028E4" w:rsidRDefault="007028E4" w:rsidP="000C4362">
            <w:r>
              <w:rPr>
                <w:lang w:val="en-AU"/>
              </w:rPr>
              <w:t>work health and safety</w:t>
            </w:r>
          </w:p>
        </w:tc>
      </w:tr>
      <w:tr w:rsidR="007028E4" w14:paraId="0263E68C" w14:textId="77777777" w:rsidTr="000D7A7F">
        <w:trPr>
          <w:trHeight w:val="300"/>
        </w:trPr>
        <w:tc>
          <w:tcPr>
            <w:tcW w:w="3109" w:type="dxa"/>
            <w:tcBorders>
              <w:top w:val="single" w:sz="8" w:space="0" w:color="auto"/>
              <w:left w:val="single" w:sz="8" w:space="0" w:color="auto"/>
              <w:bottom w:val="single" w:sz="8" w:space="0" w:color="auto"/>
              <w:right w:val="single" w:sz="8" w:space="0" w:color="auto"/>
            </w:tcBorders>
          </w:tcPr>
          <w:p w14:paraId="28B9EE26" w14:textId="67B0C393" w:rsidR="007028E4" w:rsidRDefault="007028E4" w:rsidP="000C4362">
            <w:pPr>
              <w:rPr>
                <w:lang w:val="en-AU"/>
              </w:rPr>
            </w:pPr>
            <w:r>
              <w:rPr>
                <w:lang w:val="en-AU"/>
              </w:rPr>
              <w:t>WHS Act</w:t>
            </w:r>
          </w:p>
        </w:tc>
        <w:tc>
          <w:tcPr>
            <w:tcW w:w="5907" w:type="dxa"/>
            <w:tcBorders>
              <w:top w:val="single" w:sz="8" w:space="0" w:color="auto"/>
              <w:left w:val="single" w:sz="8" w:space="0" w:color="auto"/>
              <w:bottom w:val="single" w:sz="8" w:space="0" w:color="auto"/>
              <w:right w:val="single" w:sz="8" w:space="0" w:color="auto"/>
            </w:tcBorders>
          </w:tcPr>
          <w:p w14:paraId="7FF202D7" w14:textId="68FD8B0F" w:rsidR="007028E4" w:rsidRPr="000C4362" w:rsidRDefault="572F89A0" w:rsidP="005A670A">
            <w:pPr>
              <w:rPr>
                <w:lang w:val="en-AU"/>
              </w:rPr>
            </w:pPr>
            <w:r w:rsidRPr="000C4362">
              <w:rPr>
                <w:i/>
                <w:iCs/>
                <w:lang w:val="en-AU"/>
              </w:rPr>
              <w:t>Work Health and Safety Act 2011</w:t>
            </w:r>
            <w:r w:rsidR="066882A0" w:rsidRPr="05B2332F">
              <w:rPr>
                <w:lang w:val="en-AU"/>
              </w:rPr>
              <w:t xml:space="preserve"> (</w:t>
            </w:r>
            <w:proofErr w:type="spellStart"/>
            <w:r w:rsidR="066882A0" w:rsidRPr="05B2332F">
              <w:rPr>
                <w:lang w:val="en-AU"/>
              </w:rPr>
              <w:t>Cth</w:t>
            </w:r>
            <w:proofErr w:type="spellEnd"/>
            <w:r w:rsidR="066882A0" w:rsidRPr="05B2332F">
              <w:rPr>
                <w:lang w:val="en-AU"/>
              </w:rPr>
              <w:t>)</w:t>
            </w:r>
          </w:p>
        </w:tc>
      </w:tr>
    </w:tbl>
    <w:p w14:paraId="5440BBC4" w14:textId="77777777" w:rsidR="005864CA" w:rsidRDefault="005864CA" w:rsidP="000C4362"/>
    <w:p w14:paraId="7A6C7BDD" w14:textId="54B238FA" w:rsidR="00A35740" w:rsidRPr="004F61DA" w:rsidRDefault="00A35740" w:rsidP="000C4362">
      <w:pPr>
        <w:rPr>
          <w:u w:val="single"/>
        </w:rPr>
      </w:pPr>
      <w:r w:rsidRPr="004F61DA">
        <w:rPr>
          <w:u w:val="single"/>
        </w:rPr>
        <w:t>Section 1 – Name</w:t>
      </w:r>
    </w:p>
    <w:p w14:paraId="777A5B1C" w14:textId="5EE3E2D6" w:rsidR="00DB729E" w:rsidRPr="003A5A88" w:rsidRDefault="00DB729E" w:rsidP="000C4362">
      <w:pPr>
        <w:pStyle w:val="Notesonclausepara"/>
        <w:spacing w:after="120"/>
        <w:rPr>
          <w:color w:val="000000" w:themeColor="text1"/>
        </w:rPr>
      </w:pPr>
      <w:r w:rsidRPr="40F63397">
        <w:rPr>
          <w:color w:val="000000" w:themeColor="text1"/>
        </w:rPr>
        <w:t xml:space="preserve">This section provides that the title of the instrument is </w:t>
      </w:r>
      <w:r w:rsidR="00977157" w:rsidRPr="003E47E0">
        <w:rPr>
          <w:i/>
          <w:iCs/>
        </w:rPr>
        <w:t xml:space="preserve">Work Health and Safety </w:t>
      </w:r>
      <w:r w:rsidR="00606FCB" w:rsidRPr="003E47E0">
        <w:rPr>
          <w:i/>
          <w:iCs/>
        </w:rPr>
        <w:t>Amendment</w:t>
      </w:r>
      <w:r w:rsidR="00977157" w:rsidRPr="003E47E0">
        <w:rPr>
          <w:i/>
          <w:iCs/>
        </w:rPr>
        <w:t xml:space="preserve"> </w:t>
      </w:r>
      <w:r w:rsidR="00434B03" w:rsidRPr="003E47E0">
        <w:rPr>
          <w:i/>
          <w:iCs/>
        </w:rPr>
        <w:t>(</w:t>
      </w:r>
      <w:r w:rsidR="355A76BF" w:rsidRPr="003E47E0">
        <w:rPr>
          <w:i/>
          <w:iCs/>
        </w:rPr>
        <w:t>Blood Lead Level Exposure Values</w:t>
      </w:r>
      <w:r w:rsidR="00434B03" w:rsidRPr="003E47E0">
        <w:rPr>
          <w:i/>
          <w:iCs/>
        </w:rPr>
        <w:t>)</w:t>
      </w:r>
      <w:r w:rsidR="00996727" w:rsidRPr="003E47E0">
        <w:rPr>
          <w:i/>
          <w:iCs/>
        </w:rPr>
        <w:t xml:space="preserve"> </w:t>
      </w:r>
      <w:r w:rsidR="00977157" w:rsidRPr="003E47E0">
        <w:rPr>
          <w:i/>
          <w:iCs/>
        </w:rPr>
        <w:t>Regulations </w:t>
      </w:r>
      <w:r w:rsidRPr="003E47E0">
        <w:rPr>
          <w:i/>
          <w:iCs/>
          <w:color w:val="000000" w:themeColor="text1"/>
        </w:rPr>
        <w:t>202</w:t>
      </w:r>
      <w:r w:rsidR="004B35DF" w:rsidRPr="003E47E0">
        <w:rPr>
          <w:i/>
          <w:iCs/>
          <w:color w:val="000000" w:themeColor="text1"/>
        </w:rPr>
        <w:t>5</w:t>
      </w:r>
      <w:r w:rsidRPr="40F63397">
        <w:rPr>
          <w:color w:val="000000" w:themeColor="text1"/>
        </w:rPr>
        <w:t xml:space="preserve">. </w:t>
      </w:r>
    </w:p>
    <w:p w14:paraId="53A63A86" w14:textId="7EFECD9C" w:rsidR="00DB729E" w:rsidRPr="003E47E0" w:rsidRDefault="00DB729E" w:rsidP="000C4362">
      <w:pPr>
        <w:rPr>
          <w:u w:val="single"/>
        </w:rPr>
      </w:pPr>
      <w:r w:rsidRPr="003E47E0">
        <w:rPr>
          <w:u w:val="single"/>
        </w:rPr>
        <w:t>Section 2 – Commencement</w:t>
      </w:r>
    </w:p>
    <w:p w14:paraId="2DC320B8" w14:textId="15CD71FC" w:rsidR="0026487C" w:rsidRPr="008D0C42" w:rsidRDefault="0026487C" w:rsidP="000C4362">
      <w:pPr>
        <w:pStyle w:val="Notesonclausepara"/>
        <w:spacing w:after="120"/>
      </w:pPr>
      <w:r w:rsidRPr="63EE71C8">
        <w:t xml:space="preserve">The table in this section sets out when the provisions of the instrument commence. The instrument commences on the day after </w:t>
      </w:r>
      <w:r w:rsidR="008A74F0">
        <w:t>it is registered</w:t>
      </w:r>
      <w:r w:rsidR="008A74F0" w:rsidRPr="63EE71C8">
        <w:t xml:space="preserve"> </w:t>
      </w:r>
      <w:r w:rsidRPr="63EE71C8">
        <w:t>on the Federal Register of Legislation.</w:t>
      </w:r>
    </w:p>
    <w:p w14:paraId="1C581AD5" w14:textId="77777777" w:rsidR="005F1CBC" w:rsidRPr="004F61DA" w:rsidRDefault="005F1CBC" w:rsidP="000C4362">
      <w:pPr>
        <w:rPr>
          <w:u w:val="single"/>
        </w:rPr>
      </w:pPr>
      <w:r w:rsidRPr="004F61DA">
        <w:rPr>
          <w:u w:val="single"/>
        </w:rPr>
        <w:t xml:space="preserve">Section 3 – Authority </w:t>
      </w:r>
    </w:p>
    <w:p w14:paraId="7B0A1C77" w14:textId="561D9DF0" w:rsidR="005F1CBC" w:rsidRPr="008D0C42" w:rsidRDefault="005F1CBC" w:rsidP="000C4362">
      <w:pPr>
        <w:pStyle w:val="Notesonclausepara"/>
        <w:spacing w:after="120"/>
      </w:pPr>
      <w:r w:rsidRPr="05B2332F">
        <w:t xml:space="preserve">This section provides that the instrument is made under the </w:t>
      </w:r>
      <w:r w:rsidRPr="05B2332F">
        <w:rPr>
          <w:i/>
          <w:iCs/>
        </w:rPr>
        <w:t>Work Health and Safety Act</w:t>
      </w:r>
      <w:r w:rsidR="00996727" w:rsidRPr="05B2332F">
        <w:rPr>
          <w:i/>
          <w:iCs/>
        </w:rPr>
        <w:t> </w:t>
      </w:r>
      <w:r w:rsidRPr="05B2332F">
        <w:rPr>
          <w:i/>
          <w:iCs/>
        </w:rPr>
        <w:t>2011</w:t>
      </w:r>
      <w:r w:rsidR="002D319D" w:rsidRPr="05B2332F">
        <w:rPr>
          <w:i/>
          <w:iCs/>
        </w:rPr>
        <w:t xml:space="preserve"> </w:t>
      </w:r>
      <w:r w:rsidR="24665E7A" w:rsidRPr="05B2332F">
        <w:t>(</w:t>
      </w:r>
      <w:proofErr w:type="spellStart"/>
      <w:r w:rsidR="24665E7A" w:rsidRPr="05B2332F">
        <w:t>Cth</w:t>
      </w:r>
      <w:proofErr w:type="spellEnd"/>
      <w:r w:rsidR="24665E7A" w:rsidRPr="05B2332F">
        <w:t xml:space="preserve">) </w:t>
      </w:r>
      <w:r w:rsidR="002D319D" w:rsidRPr="05B2332F">
        <w:t>(</w:t>
      </w:r>
      <w:r w:rsidR="00CC0A40" w:rsidRPr="05B2332F">
        <w:t>the WHS Act)</w:t>
      </w:r>
      <w:r w:rsidRPr="05B2332F">
        <w:rPr>
          <w:i/>
          <w:iCs/>
        </w:rPr>
        <w:t>.</w:t>
      </w:r>
    </w:p>
    <w:p w14:paraId="1643D1A8" w14:textId="77777777" w:rsidR="006516DE" w:rsidRPr="004F61DA" w:rsidRDefault="006516DE" w:rsidP="000C4362">
      <w:pPr>
        <w:rPr>
          <w:u w:val="single"/>
        </w:rPr>
      </w:pPr>
      <w:r w:rsidRPr="004F61DA">
        <w:rPr>
          <w:u w:val="single"/>
        </w:rPr>
        <w:t>Section 4 – Schedules</w:t>
      </w:r>
    </w:p>
    <w:p w14:paraId="42CEE050" w14:textId="77777777" w:rsidR="006516DE" w:rsidRPr="009D0BE1" w:rsidRDefault="006516DE" w:rsidP="000C4362">
      <w:pPr>
        <w:pStyle w:val="Notesonclausepara"/>
        <w:spacing w:after="120"/>
      </w:pPr>
      <w:r w:rsidRPr="008D0C42">
        <w:t>This section provides that each instrument that is specified in a Schedule to the instrument is amended or repealed as set out in the applicable items in the Schedule concerned, and any other item in a Schedule to the instrument has effect according to its terms.</w:t>
      </w:r>
    </w:p>
    <w:p w14:paraId="10548A21" w14:textId="148B230F" w:rsidR="006516DE" w:rsidRPr="00215B92" w:rsidRDefault="006516DE" w:rsidP="000C4362">
      <w:pPr>
        <w:rPr>
          <w:u w:val="single"/>
        </w:rPr>
      </w:pPr>
      <w:r w:rsidRPr="00215B92">
        <w:rPr>
          <w:u w:val="single"/>
        </w:rPr>
        <w:t>Schedule 1 – Amendments</w:t>
      </w:r>
    </w:p>
    <w:p w14:paraId="577AF864" w14:textId="1E89F6C8" w:rsidR="000F631F" w:rsidRPr="003A1A5B" w:rsidRDefault="000F631F" w:rsidP="000C4362">
      <w:pPr>
        <w:rPr>
          <w:i/>
          <w:iCs/>
          <w:u w:val="single"/>
        </w:rPr>
      </w:pPr>
      <w:r w:rsidRPr="003A1A5B">
        <w:rPr>
          <w:i/>
          <w:iCs/>
          <w:u w:val="single"/>
        </w:rPr>
        <w:t>Work Health and Safety Regulations 2011</w:t>
      </w:r>
    </w:p>
    <w:p w14:paraId="1CF64EFE" w14:textId="167A0FFB" w:rsidR="00387D82" w:rsidRDefault="00387D82" w:rsidP="00F27644">
      <w:pPr>
        <w:rPr>
          <w:b/>
          <w:bCs/>
        </w:rPr>
      </w:pPr>
      <w:r w:rsidRPr="003A1A5B">
        <w:rPr>
          <w:b/>
          <w:bCs/>
        </w:rPr>
        <w:t xml:space="preserve">Item </w:t>
      </w:r>
      <w:r w:rsidR="003F400F" w:rsidRPr="003A1A5B">
        <w:rPr>
          <w:b/>
          <w:bCs/>
        </w:rPr>
        <w:t>1</w:t>
      </w:r>
      <w:r w:rsidR="009B02EC">
        <w:rPr>
          <w:b/>
          <w:bCs/>
        </w:rPr>
        <w:t xml:space="preserve"> – Paragraph </w:t>
      </w:r>
      <w:r w:rsidRPr="003A1A5B">
        <w:rPr>
          <w:b/>
          <w:bCs/>
        </w:rPr>
        <w:t>394</w:t>
      </w:r>
      <w:r w:rsidR="00BA6A51">
        <w:rPr>
          <w:b/>
          <w:bCs/>
        </w:rPr>
        <w:t xml:space="preserve"> </w:t>
      </w:r>
      <w:r w:rsidR="009B02EC">
        <w:rPr>
          <w:b/>
          <w:bCs/>
        </w:rPr>
        <w:t>(a)</w:t>
      </w:r>
    </w:p>
    <w:p w14:paraId="2709BF5E" w14:textId="1EF373A3" w:rsidR="009B02EC" w:rsidRPr="003A1A5B" w:rsidRDefault="009B02EC" w:rsidP="00F27644">
      <w:pPr>
        <w:rPr>
          <w:b/>
          <w:bCs/>
        </w:rPr>
      </w:pPr>
      <w:r>
        <w:rPr>
          <w:b/>
          <w:bCs/>
        </w:rPr>
        <w:t xml:space="preserve">Item 2 – Paragraph </w:t>
      </w:r>
      <w:r w:rsidR="001B64BB">
        <w:rPr>
          <w:b/>
          <w:bCs/>
        </w:rPr>
        <w:t>394(b)</w:t>
      </w:r>
    </w:p>
    <w:p w14:paraId="30412A29" w14:textId="38CCC427" w:rsidR="00387D82" w:rsidRPr="00DD6310" w:rsidRDefault="00452FBA" w:rsidP="001B70B5">
      <w:pPr>
        <w:pStyle w:val="Notesonclausepara"/>
        <w:spacing w:after="120"/>
        <w:rPr>
          <w:rFonts w:eastAsiaTheme="minorHAnsi"/>
        </w:rPr>
      </w:pPr>
      <w:r>
        <w:t xml:space="preserve">Regulation </w:t>
      </w:r>
      <w:r w:rsidR="00415DB6">
        <w:t>394 defines ‘lead risk work’</w:t>
      </w:r>
      <w:r w:rsidR="00476524">
        <w:t xml:space="preserve"> as work c</w:t>
      </w:r>
      <w:proofErr w:type="spellStart"/>
      <w:r w:rsidR="00476524" w:rsidRPr="00476524">
        <w:rPr>
          <w:lang w:val="en-GB"/>
        </w:rPr>
        <w:t>arried</w:t>
      </w:r>
      <w:proofErr w:type="spellEnd"/>
      <w:r w:rsidR="00476524" w:rsidRPr="00476524">
        <w:rPr>
          <w:lang w:val="en-GB"/>
        </w:rPr>
        <w:t xml:space="preserve"> out in a lead process that is likely to cause the blood lead level of a worker carrying out the work to exceed</w:t>
      </w:r>
      <w:r w:rsidR="00476524">
        <w:rPr>
          <w:lang w:val="en-GB"/>
        </w:rPr>
        <w:t xml:space="preserve"> certain prescribed levels</w:t>
      </w:r>
      <w:r w:rsidR="00415DB6">
        <w:t xml:space="preserve">. </w:t>
      </w:r>
      <w:r w:rsidR="00CA5D24" w:rsidRPr="00CA5D24">
        <w:rPr>
          <w:lang w:val="en-GB"/>
        </w:rPr>
        <w:t xml:space="preserve">This amending regulation </w:t>
      </w:r>
      <w:r w:rsidR="005C6A2A">
        <w:rPr>
          <w:lang w:val="en-GB"/>
        </w:rPr>
        <w:t xml:space="preserve">would </w:t>
      </w:r>
      <w:r w:rsidR="00CA5D24" w:rsidRPr="00CA5D24">
        <w:rPr>
          <w:lang w:val="en-GB"/>
        </w:rPr>
        <w:t xml:space="preserve">replace the blood lead levels expressed in </w:t>
      </w:r>
      <w:r w:rsidR="004603FB">
        <w:rPr>
          <w:lang w:val="en-GB"/>
        </w:rPr>
        <w:t>paragraphs</w:t>
      </w:r>
      <w:r w:rsidR="00CA5D24" w:rsidRPr="00CA5D24">
        <w:rPr>
          <w:lang w:val="en-GB"/>
        </w:rPr>
        <w:t xml:space="preserve"> 394(a) and 394(b)</w:t>
      </w:r>
      <w:r w:rsidR="004B5124">
        <w:rPr>
          <w:lang w:val="en-GB"/>
        </w:rPr>
        <w:t xml:space="preserve"> with new, lower levels</w:t>
      </w:r>
      <w:r w:rsidR="00CA5D24" w:rsidRPr="00CA5D24">
        <w:rPr>
          <w:lang w:val="en-GB"/>
        </w:rPr>
        <w:t>.</w:t>
      </w:r>
      <w:r w:rsidR="00CA5D24">
        <w:rPr>
          <w:lang w:val="en-GB"/>
        </w:rPr>
        <w:t xml:space="preserve"> </w:t>
      </w:r>
      <w:r w:rsidR="00CA5D24" w:rsidRPr="00CA5D24">
        <w:rPr>
          <w:lang w:val="en-GB"/>
        </w:rPr>
        <w:t xml:space="preserve">These new values represent safer blood lead levels identified by current toxicological and epidemiological evidence. The general effect of this </w:t>
      </w:r>
      <w:r w:rsidR="009646B0">
        <w:rPr>
          <w:lang w:val="en-GB"/>
        </w:rPr>
        <w:t>amendment</w:t>
      </w:r>
      <w:r w:rsidR="009646B0" w:rsidRPr="00CA5D24">
        <w:rPr>
          <w:lang w:val="en-GB"/>
        </w:rPr>
        <w:t xml:space="preserve"> </w:t>
      </w:r>
      <w:r w:rsidR="00CA5D24" w:rsidRPr="00CA5D24">
        <w:rPr>
          <w:lang w:val="en-GB"/>
        </w:rPr>
        <w:t>is to lower the threshold at which PCBUs have additional duties toward workers undertaking ‘lead risk work’.</w:t>
      </w:r>
    </w:p>
    <w:p w14:paraId="2D7CE9AC" w14:textId="039A5C34" w:rsidR="006A062B" w:rsidRPr="00197A11" w:rsidRDefault="006A062B" w:rsidP="006A062B">
      <w:pPr>
        <w:pStyle w:val="Notesonclausepara"/>
        <w:spacing w:after="120"/>
      </w:pPr>
      <w:r>
        <w:t xml:space="preserve">Item 1 </w:t>
      </w:r>
      <w:r w:rsidR="00156097">
        <w:t>removes</w:t>
      </w:r>
      <w:r w:rsidR="005C3D19" w:rsidRPr="00197A11">
        <w:t xml:space="preserve"> </w:t>
      </w:r>
      <w:r w:rsidRPr="00197A11">
        <w:t xml:space="preserve">“10µg/dL (0.48µmol/L)”, </w:t>
      </w:r>
      <w:r w:rsidR="005C3D19">
        <w:t xml:space="preserve">and substitutes it with </w:t>
      </w:r>
      <w:r w:rsidRPr="00197A11">
        <w:t>“5μg/dL (0.24µmol/L)”.</w:t>
      </w:r>
      <w:r>
        <w:t xml:space="preserve"> This amendment has the effect of lowering the blood lead level value for when work will be considered ‘lead risk work’ for a female of reproductive capacity to </w:t>
      </w:r>
      <w:r w:rsidRPr="00197A11">
        <w:t>5μg/dL (0.24µmol/L</w:t>
      </w:r>
      <w:r>
        <w:t>).</w:t>
      </w:r>
    </w:p>
    <w:p w14:paraId="2C1D47F3" w14:textId="4D8FF788" w:rsidR="006A062B" w:rsidRPr="00A2186A" w:rsidRDefault="006A062B" w:rsidP="006A062B">
      <w:pPr>
        <w:pStyle w:val="Notesonclausepara"/>
        <w:spacing w:after="120"/>
      </w:pPr>
      <w:r>
        <w:t xml:space="preserve">Item 2 </w:t>
      </w:r>
      <w:r w:rsidR="00156097">
        <w:t>removes</w:t>
      </w:r>
      <w:r w:rsidR="00C840CF" w:rsidRPr="00197A11">
        <w:t xml:space="preserve"> </w:t>
      </w:r>
      <w:r w:rsidRPr="00197A11">
        <w:t>“</w:t>
      </w:r>
      <w:r w:rsidRPr="0023567B">
        <w:t>30µg/dL (1.45µmol/L)</w:t>
      </w:r>
      <w:r w:rsidRPr="00197A11">
        <w:t xml:space="preserve">”, </w:t>
      </w:r>
      <w:r w:rsidR="00C840CF">
        <w:t xml:space="preserve">and substitutes it with </w:t>
      </w:r>
      <w:r w:rsidRPr="00197A11">
        <w:t>“</w:t>
      </w:r>
      <w:r>
        <w:t>20</w:t>
      </w:r>
      <w:r w:rsidRPr="00197A11">
        <w:t>μg/dL (0.</w:t>
      </w:r>
      <w:r>
        <w:t>97</w:t>
      </w:r>
      <w:r w:rsidRPr="00197A11">
        <w:t>µmol/L)”.</w:t>
      </w:r>
      <w:r>
        <w:t xml:space="preserve"> This amendment has the effect of lowering the blood lead level value for when work will be considered ‘lead risk work’ for any other worker</w:t>
      </w:r>
      <w:r w:rsidR="00341118">
        <w:t xml:space="preserve">, </w:t>
      </w:r>
      <w:r w:rsidR="00667D1D">
        <w:t>being</w:t>
      </w:r>
      <w:r w:rsidR="00341118">
        <w:t xml:space="preserve"> </w:t>
      </w:r>
      <w:r w:rsidR="000D48D2">
        <w:t xml:space="preserve">a </w:t>
      </w:r>
      <w:r w:rsidR="00341118">
        <w:t xml:space="preserve">worker who </w:t>
      </w:r>
      <w:r w:rsidR="000D48D2">
        <w:t>is</w:t>
      </w:r>
      <w:r w:rsidR="00341118">
        <w:t xml:space="preserve"> not a </w:t>
      </w:r>
      <w:r w:rsidR="00156097">
        <w:t>female of reproductive</w:t>
      </w:r>
      <w:r w:rsidR="005312BB">
        <w:t xml:space="preserve"> capacity</w:t>
      </w:r>
      <w:r w:rsidR="00341118">
        <w:t>,</w:t>
      </w:r>
      <w:r>
        <w:t xml:space="preserve"> to </w:t>
      </w:r>
      <w:r w:rsidR="00844B3C">
        <w:t>20</w:t>
      </w:r>
      <w:r w:rsidRPr="00197A11">
        <w:t>μg/dL (0.</w:t>
      </w:r>
      <w:r w:rsidR="00844B3C">
        <w:t>97</w:t>
      </w:r>
      <w:r w:rsidRPr="00197A11">
        <w:t>µmol/L</w:t>
      </w:r>
      <w:r>
        <w:t>).</w:t>
      </w:r>
    </w:p>
    <w:p w14:paraId="7263D6EE" w14:textId="64347553" w:rsidR="002F6F80" w:rsidRDefault="00387D82" w:rsidP="003E7B93">
      <w:pPr>
        <w:rPr>
          <w:b/>
          <w:bCs/>
        </w:rPr>
      </w:pPr>
      <w:r w:rsidRPr="000866E7">
        <w:rPr>
          <w:b/>
          <w:bCs/>
        </w:rPr>
        <w:t xml:space="preserve">Item </w:t>
      </w:r>
      <w:r w:rsidR="00B8744C" w:rsidRPr="000866E7">
        <w:rPr>
          <w:b/>
          <w:bCs/>
        </w:rPr>
        <w:t>3</w:t>
      </w:r>
      <w:r w:rsidR="00262A96">
        <w:rPr>
          <w:b/>
          <w:bCs/>
        </w:rPr>
        <w:t xml:space="preserve"> – Subparagraph </w:t>
      </w:r>
      <w:r w:rsidR="00262A96" w:rsidRPr="00262A96">
        <w:rPr>
          <w:b/>
          <w:bCs/>
          <w:lang w:val="en-AU"/>
        </w:rPr>
        <w:t>407(1)(a)(</w:t>
      </w:r>
      <w:proofErr w:type="spellStart"/>
      <w:r w:rsidR="00262A96" w:rsidRPr="00262A96">
        <w:rPr>
          <w:b/>
          <w:bCs/>
          <w:lang w:val="en-AU"/>
        </w:rPr>
        <w:t>i</w:t>
      </w:r>
      <w:proofErr w:type="spellEnd"/>
      <w:r w:rsidR="00262A96" w:rsidRPr="00262A96">
        <w:rPr>
          <w:b/>
          <w:bCs/>
          <w:lang w:val="en-AU"/>
        </w:rPr>
        <w:t>)</w:t>
      </w:r>
    </w:p>
    <w:p w14:paraId="4E90F299" w14:textId="1C2CA898" w:rsidR="002F6F80" w:rsidRDefault="002F6F80" w:rsidP="003E7B93">
      <w:pPr>
        <w:rPr>
          <w:b/>
          <w:bCs/>
        </w:rPr>
      </w:pPr>
      <w:r>
        <w:rPr>
          <w:b/>
          <w:bCs/>
        </w:rPr>
        <w:t>Item 4</w:t>
      </w:r>
      <w:r w:rsidR="00262A96">
        <w:rPr>
          <w:b/>
          <w:bCs/>
        </w:rPr>
        <w:t xml:space="preserve"> – Subparagraph </w:t>
      </w:r>
      <w:r w:rsidR="00BF20A9">
        <w:rPr>
          <w:b/>
          <w:bCs/>
        </w:rPr>
        <w:t>407(1)(a)(ii)</w:t>
      </w:r>
    </w:p>
    <w:p w14:paraId="4B68639B" w14:textId="3AB3C30D" w:rsidR="002F6F80" w:rsidRDefault="002F6F80" w:rsidP="003E7B93">
      <w:pPr>
        <w:rPr>
          <w:b/>
          <w:bCs/>
        </w:rPr>
      </w:pPr>
      <w:r>
        <w:rPr>
          <w:b/>
          <w:bCs/>
        </w:rPr>
        <w:t>Item 5</w:t>
      </w:r>
      <w:r w:rsidR="00BF20A9">
        <w:rPr>
          <w:b/>
          <w:bCs/>
        </w:rPr>
        <w:t xml:space="preserve"> – Subparagraph 407(1)(a)(iii)</w:t>
      </w:r>
    </w:p>
    <w:p w14:paraId="4FF68A9A" w14:textId="26E4DF93" w:rsidR="002F6F80" w:rsidRDefault="002F6F80" w:rsidP="003E7B93">
      <w:pPr>
        <w:rPr>
          <w:b/>
          <w:bCs/>
        </w:rPr>
      </w:pPr>
      <w:r>
        <w:rPr>
          <w:b/>
          <w:bCs/>
        </w:rPr>
        <w:t>Item 6</w:t>
      </w:r>
      <w:r w:rsidR="00BF20A9">
        <w:rPr>
          <w:b/>
          <w:bCs/>
        </w:rPr>
        <w:t xml:space="preserve"> – Subparagraph 4</w:t>
      </w:r>
      <w:r w:rsidR="00DA0DFE">
        <w:rPr>
          <w:b/>
          <w:bCs/>
        </w:rPr>
        <w:t>07(1)(b)(</w:t>
      </w:r>
      <w:proofErr w:type="spellStart"/>
      <w:r w:rsidR="00DA0DFE">
        <w:rPr>
          <w:b/>
          <w:bCs/>
        </w:rPr>
        <w:t>i</w:t>
      </w:r>
      <w:proofErr w:type="spellEnd"/>
      <w:r w:rsidR="00DA0DFE">
        <w:rPr>
          <w:b/>
          <w:bCs/>
        </w:rPr>
        <w:t>)</w:t>
      </w:r>
    </w:p>
    <w:p w14:paraId="2F1958C2" w14:textId="31DDC61B" w:rsidR="00387D82" w:rsidRPr="000866E7" w:rsidRDefault="002F6F80" w:rsidP="003E7B93">
      <w:pPr>
        <w:rPr>
          <w:b/>
          <w:bCs/>
        </w:rPr>
      </w:pPr>
      <w:r>
        <w:rPr>
          <w:b/>
          <w:bCs/>
        </w:rPr>
        <w:t>Item 7</w:t>
      </w:r>
      <w:r w:rsidR="00387D82" w:rsidRPr="000866E7">
        <w:rPr>
          <w:b/>
          <w:bCs/>
        </w:rPr>
        <w:t xml:space="preserve"> </w:t>
      </w:r>
      <w:r w:rsidR="00DA0DFE">
        <w:rPr>
          <w:b/>
          <w:bCs/>
        </w:rPr>
        <w:t>– Subparagraph 407(1)(b)(ii)</w:t>
      </w:r>
    </w:p>
    <w:p w14:paraId="08850845" w14:textId="469F269F" w:rsidR="00387D82" w:rsidRDefault="00396532" w:rsidP="001B70B5">
      <w:pPr>
        <w:pStyle w:val="Notesonclausepara"/>
        <w:spacing w:after="120"/>
      </w:pPr>
      <w:r>
        <w:t>These items</w:t>
      </w:r>
      <w:r w:rsidR="00132DE7" w:rsidRPr="00132DE7">
        <w:t xml:space="preserve"> </w:t>
      </w:r>
      <w:r w:rsidR="00E6133C">
        <w:t>replace</w:t>
      </w:r>
      <w:r w:rsidR="00E6133C" w:rsidRPr="00132DE7">
        <w:t xml:space="preserve"> </w:t>
      </w:r>
      <w:r w:rsidR="00132DE7" w:rsidRPr="00132DE7">
        <w:t xml:space="preserve">the blood lead levels expressed in </w:t>
      </w:r>
      <w:r w:rsidR="00CF653E">
        <w:t>sub</w:t>
      </w:r>
      <w:r w:rsidR="00132DE7" w:rsidRPr="00132DE7">
        <w:t>paragraphs 407(1)(a)(</w:t>
      </w:r>
      <w:proofErr w:type="spellStart"/>
      <w:r w:rsidR="00132DE7" w:rsidRPr="00132DE7">
        <w:t>i</w:t>
      </w:r>
      <w:proofErr w:type="spellEnd"/>
      <w:r w:rsidR="00132DE7" w:rsidRPr="00132DE7">
        <w:t>),</w:t>
      </w:r>
      <w:r w:rsidR="00696E41">
        <w:t> </w:t>
      </w:r>
      <w:r w:rsidR="00132DE7" w:rsidRPr="00132DE7">
        <w:t>407(1)(a)(ii), 407(1)(a)(iii), 407(1)(b)(</w:t>
      </w:r>
      <w:proofErr w:type="spellStart"/>
      <w:r w:rsidR="00132DE7" w:rsidRPr="00132DE7">
        <w:t>i</w:t>
      </w:r>
      <w:proofErr w:type="spellEnd"/>
      <w:r w:rsidR="00132DE7" w:rsidRPr="00132DE7">
        <w:t xml:space="preserve">) and 407(1)(b)(ii) that determine the required frequency of biological monitoring of workers. </w:t>
      </w:r>
      <w:r w:rsidR="00166463" w:rsidRPr="00166463">
        <w:rPr>
          <w:lang w:val="en-GB"/>
        </w:rPr>
        <w:t xml:space="preserve">A </w:t>
      </w:r>
      <w:r w:rsidR="00B305C0">
        <w:rPr>
          <w:lang w:val="en-GB"/>
        </w:rPr>
        <w:t>PCBU</w:t>
      </w:r>
      <w:r w:rsidR="00166463" w:rsidRPr="00166463">
        <w:rPr>
          <w:lang w:val="en-GB"/>
        </w:rPr>
        <w:t xml:space="preserve"> must arrange for biological monitoring of each worker who carries out lead risk work</w:t>
      </w:r>
      <w:r w:rsidR="0038222D">
        <w:rPr>
          <w:lang w:val="en-GB"/>
        </w:rPr>
        <w:t xml:space="preserve">, </w:t>
      </w:r>
      <w:r w:rsidR="00166463" w:rsidRPr="00166463">
        <w:rPr>
          <w:lang w:val="en-GB"/>
        </w:rPr>
        <w:t xml:space="preserve">to be carried out </w:t>
      </w:r>
      <w:r w:rsidR="00830F7D">
        <w:rPr>
          <w:lang w:val="en-GB"/>
        </w:rPr>
        <w:t xml:space="preserve">at certain times, depending on the </w:t>
      </w:r>
      <w:r w:rsidR="00057560">
        <w:rPr>
          <w:lang w:val="en-GB"/>
        </w:rPr>
        <w:t>blood lead levels identified</w:t>
      </w:r>
      <w:r w:rsidR="00974157">
        <w:rPr>
          <w:lang w:val="en-GB"/>
        </w:rPr>
        <w:t xml:space="preserve"> at the last health monitoring</w:t>
      </w:r>
      <w:r w:rsidR="00057560">
        <w:rPr>
          <w:lang w:val="en-GB"/>
        </w:rPr>
        <w:t xml:space="preserve">. </w:t>
      </w:r>
      <w:r w:rsidR="00132DE7" w:rsidRPr="00132DE7">
        <w:t>The effect of this amendment is to lower the threshold which activates a PCBU’s obligation to conduct biological monitoring</w:t>
      </w:r>
      <w:r w:rsidR="00974157">
        <w:t xml:space="preserve"> at certain times</w:t>
      </w:r>
      <w:r w:rsidR="00132DE7" w:rsidRPr="00132DE7">
        <w:t>.</w:t>
      </w:r>
      <w:r w:rsidR="002800B0">
        <w:t xml:space="preserve"> </w:t>
      </w:r>
    </w:p>
    <w:p w14:paraId="6C3C1AA4" w14:textId="77777777" w:rsidR="00500908" w:rsidRDefault="00500908" w:rsidP="00500908">
      <w:pPr>
        <w:pStyle w:val="Notesonclausepara"/>
        <w:spacing w:after="120"/>
      </w:pPr>
      <w:r>
        <w:t xml:space="preserve">Items 3, 4 and 5 have the effect of reducing the blood lead levels which require increasingly frequent biological monitoring for workers who are females not of reproductive capacity and males. </w:t>
      </w:r>
    </w:p>
    <w:p w14:paraId="7B5F862B" w14:textId="1DB4B676" w:rsidR="001804F1" w:rsidRDefault="00102EF5" w:rsidP="001B70B5">
      <w:pPr>
        <w:pStyle w:val="Notesonclausepara"/>
        <w:spacing w:after="120"/>
      </w:pPr>
      <w:r>
        <w:t xml:space="preserve">Item 3 </w:t>
      </w:r>
      <w:r w:rsidR="00D65132">
        <w:t xml:space="preserve">removes </w:t>
      </w:r>
      <w:r w:rsidR="002E4ED8">
        <w:t>“</w:t>
      </w:r>
      <w:r w:rsidR="002E4ED8" w:rsidRPr="0023567B">
        <w:t>30µg/dL (1.45µmol/L)</w:t>
      </w:r>
      <w:r w:rsidR="002E4ED8">
        <w:t xml:space="preserve">” </w:t>
      </w:r>
      <w:r w:rsidR="00D65132">
        <w:t xml:space="preserve">and substitutes it with </w:t>
      </w:r>
      <w:r w:rsidR="002E4ED8">
        <w:t>“</w:t>
      </w:r>
      <w:r w:rsidR="00F56C6A">
        <w:t>10</w:t>
      </w:r>
      <w:r w:rsidR="00F56C6A" w:rsidRPr="0023567B">
        <w:t>µg</w:t>
      </w:r>
      <w:r w:rsidR="002E4ED8" w:rsidRPr="0023567B">
        <w:t>/dL (0.97µmol/L)”.</w:t>
      </w:r>
      <w:r w:rsidR="00FB30E1">
        <w:t xml:space="preserve"> </w:t>
      </w:r>
      <w:r w:rsidR="008B5698">
        <w:t>The effect of this provision would be to require the PCBU to ensure that</w:t>
      </w:r>
      <w:r w:rsidR="003E55CC">
        <w:t xml:space="preserve">, for females not reproductive capacity and males, if the last monitoring showed a blood lead level of less than </w:t>
      </w:r>
      <w:r w:rsidR="00CE4663">
        <w:t>10</w:t>
      </w:r>
      <w:r w:rsidR="00CE4663" w:rsidRPr="0023567B">
        <w:t>µg/dL (0.97µmol/L</w:t>
      </w:r>
      <w:r w:rsidR="00CE4663">
        <w:t xml:space="preserve">), the PCBU must arrange for biological monitoring </w:t>
      </w:r>
      <w:r w:rsidR="00EC4E65">
        <w:t xml:space="preserve">6 months after the last biological monitoring of the relevant worker. </w:t>
      </w:r>
    </w:p>
    <w:p w14:paraId="79059930" w14:textId="463BAFA7" w:rsidR="001804F1" w:rsidRDefault="001804F1" w:rsidP="001804F1">
      <w:pPr>
        <w:pStyle w:val="Notesonclausepara"/>
        <w:spacing w:after="120"/>
      </w:pPr>
      <w:r>
        <w:t xml:space="preserve">Item </w:t>
      </w:r>
      <w:r w:rsidR="00F327B3">
        <w:t>4</w:t>
      </w:r>
      <w:r>
        <w:t xml:space="preserve"> </w:t>
      </w:r>
      <w:r w:rsidR="00D65132">
        <w:t xml:space="preserve">removes </w:t>
      </w:r>
      <w:r w:rsidR="00C702BF" w:rsidRPr="00C702BF">
        <w:t xml:space="preserve">“30µg/dL (1.45µmol/L) or more but less than 40µg/dL (1.93µmol/L)” </w:t>
      </w:r>
      <w:r w:rsidR="00D65132">
        <w:t xml:space="preserve">and substitutes it with </w:t>
      </w:r>
      <w:r w:rsidR="00C702BF" w:rsidRPr="00C702BF">
        <w:t>“10µg/dL (0.48µmol/L) or more but less than 20µg/dL (0.97µmol/L)”.</w:t>
      </w:r>
      <w:r w:rsidR="00E209D5">
        <w:t xml:space="preserve"> The effect of this provision would be to require the PCBU to ensure that, for females not </w:t>
      </w:r>
      <w:r w:rsidR="0001538D">
        <w:t xml:space="preserve">of </w:t>
      </w:r>
      <w:r w:rsidR="00E209D5">
        <w:t xml:space="preserve">reproductive capacity and males, if the last monitoring showed a blood lead level of </w:t>
      </w:r>
      <w:r w:rsidR="0009268F" w:rsidRPr="00C702BF">
        <w:t>10µg/dL (0.48µmol/L)</w:t>
      </w:r>
      <w:r w:rsidR="0009268F">
        <w:t xml:space="preserve"> </w:t>
      </w:r>
      <w:r w:rsidR="003E0025">
        <w:t xml:space="preserve">or more </w:t>
      </w:r>
      <w:r w:rsidR="00EF7B53">
        <w:t>but less than</w:t>
      </w:r>
      <w:r w:rsidR="0083560A">
        <w:t xml:space="preserve"> </w:t>
      </w:r>
      <w:r w:rsidR="0009268F" w:rsidRPr="00C702BF">
        <w:t>20µg/dL (0.97µmol/L)</w:t>
      </w:r>
      <w:r w:rsidR="00E209D5">
        <w:t xml:space="preserve">, the PCBU must arrange for biological monitoring </w:t>
      </w:r>
      <w:r w:rsidR="00007985">
        <w:t>3</w:t>
      </w:r>
      <w:r w:rsidR="00E209D5">
        <w:t xml:space="preserve"> months after the last biological monitoring of the relevant worker.</w:t>
      </w:r>
    </w:p>
    <w:p w14:paraId="31919E29" w14:textId="685D2B04" w:rsidR="001804F1" w:rsidRDefault="001804F1" w:rsidP="001804F1">
      <w:pPr>
        <w:pStyle w:val="Notesonclausepara"/>
        <w:spacing w:after="120"/>
      </w:pPr>
      <w:r>
        <w:t xml:space="preserve">Item </w:t>
      </w:r>
      <w:r w:rsidR="00F327B3">
        <w:t>5</w:t>
      </w:r>
      <w:r>
        <w:t xml:space="preserve"> </w:t>
      </w:r>
      <w:r w:rsidR="00D65132">
        <w:t xml:space="preserve">removes </w:t>
      </w:r>
      <w:r w:rsidR="003C1AE2" w:rsidRPr="003C1AE2">
        <w:t>“40µg/dL (1.93µmol/L)</w:t>
      </w:r>
      <w:r w:rsidR="00606E25" w:rsidRPr="003C1AE2">
        <w:t>” and</w:t>
      </w:r>
      <w:r w:rsidR="00D65132">
        <w:t xml:space="preserve"> substitutes it with </w:t>
      </w:r>
      <w:r w:rsidR="003C1AE2" w:rsidRPr="003C1AE2">
        <w:t>“20µg/dL (0.97µmol/L)”.</w:t>
      </w:r>
      <w:r w:rsidR="00B305C0">
        <w:t xml:space="preserve"> The effect of this provision would be to require the PCBU to ensure that, for females not </w:t>
      </w:r>
      <w:r w:rsidR="00581A1B">
        <w:t xml:space="preserve">of </w:t>
      </w:r>
      <w:r w:rsidR="00B305C0">
        <w:t xml:space="preserve">reproductive capacity and males, if the last monitoring showed a blood lead level of </w:t>
      </w:r>
      <w:r w:rsidR="00B305C0" w:rsidRPr="00C702BF">
        <w:t>20µg/dL (0.97µmol/L)</w:t>
      </w:r>
      <w:r w:rsidR="001B71D5">
        <w:t xml:space="preserve"> or more</w:t>
      </w:r>
      <w:r w:rsidR="00B305C0">
        <w:t xml:space="preserve">, the PCBU must arrange for biological monitoring </w:t>
      </w:r>
      <w:r w:rsidR="00B00841">
        <w:t xml:space="preserve">6 weeks </w:t>
      </w:r>
      <w:r w:rsidR="00B305C0">
        <w:t>after the last biological monitoring of the relevant worker.</w:t>
      </w:r>
    </w:p>
    <w:p w14:paraId="54666EA2" w14:textId="77777777" w:rsidR="00165972" w:rsidRDefault="00165972" w:rsidP="00165972">
      <w:pPr>
        <w:pStyle w:val="Notesonclausepara"/>
        <w:spacing w:after="120"/>
      </w:pPr>
      <w:r>
        <w:t>Items 6 and 7 have the effect of reducing the blood lead levels which require increasingly frequent biological monitoring for workers who are females of reproductive capacity.</w:t>
      </w:r>
    </w:p>
    <w:p w14:paraId="5334776E" w14:textId="38DC75A0" w:rsidR="00F327B3" w:rsidRDefault="00F327B3" w:rsidP="00F327B3">
      <w:pPr>
        <w:pStyle w:val="Notesonclausepara"/>
        <w:spacing w:after="120"/>
      </w:pPr>
      <w:r>
        <w:t xml:space="preserve">Item 6 </w:t>
      </w:r>
      <w:r w:rsidR="001F1D12">
        <w:t xml:space="preserve">removes </w:t>
      </w:r>
      <w:r w:rsidR="00FA2A6F">
        <w:t>“</w:t>
      </w:r>
      <w:r w:rsidR="00FA2A6F" w:rsidRPr="00B515D5">
        <w:t>10µg/dL (0.48µmol/L)</w:t>
      </w:r>
      <w:r w:rsidR="00FA2A6F">
        <w:t xml:space="preserve">” </w:t>
      </w:r>
      <w:r w:rsidR="001F1D12">
        <w:t xml:space="preserve">and substitutes it with </w:t>
      </w:r>
      <w:r w:rsidR="00FA2A6F">
        <w:t>“</w:t>
      </w:r>
      <w:r w:rsidR="00FA2A6F" w:rsidRPr="00BD0012">
        <w:rPr>
          <w:rFonts w:eastAsiaTheme="minorEastAsia"/>
        </w:rPr>
        <w:t>5µg/dL (0.24µmol/L)</w:t>
      </w:r>
      <w:r w:rsidR="00FA2A6F">
        <w:rPr>
          <w:rFonts w:eastAsiaTheme="minorEastAsia"/>
        </w:rPr>
        <w:t>”.</w:t>
      </w:r>
      <w:r w:rsidR="00D76518">
        <w:rPr>
          <w:rFonts w:eastAsiaTheme="minorEastAsia"/>
        </w:rPr>
        <w:t xml:space="preserve"> </w:t>
      </w:r>
      <w:r w:rsidR="00D76518">
        <w:t xml:space="preserve">The effect of this provision would be to require the PCBU to ensure that, for females of reproductive capacity, if the last monitoring showed a blood lead level of less than </w:t>
      </w:r>
      <w:r w:rsidR="00D76518" w:rsidRPr="00BD0012">
        <w:rPr>
          <w:rFonts w:eastAsiaTheme="minorEastAsia"/>
        </w:rPr>
        <w:t>5µg/dL (0.24µmol/L)</w:t>
      </w:r>
      <w:r w:rsidR="00D76518">
        <w:t xml:space="preserve">, the PCBU must arrange for biological monitoring </w:t>
      </w:r>
      <w:r w:rsidR="00B858ED">
        <w:t>3</w:t>
      </w:r>
      <w:r w:rsidR="00D76518">
        <w:t xml:space="preserve"> months after the last biological monitoring of the relevant worker.</w:t>
      </w:r>
    </w:p>
    <w:p w14:paraId="01E7A2A0" w14:textId="1E245E85" w:rsidR="00AA6028" w:rsidRDefault="00F327B3" w:rsidP="00F327B3">
      <w:pPr>
        <w:pStyle w:val="Notesonclausepara"/>
        <w:spacing w:after="120"/>
      </w:pPr>
      <w:r>
        <w:t xml:space="preserve">Item 7 </w:t>
      </w:r>
      <w:r w:rsidR="00D62F0D">
        <w:t xml:space="preserve">removes </w:t>
      </w:r>
      <w:r w:rsidR="00A06134" w:rsidRPr="006F6CD4">
        <w:t>“10µg/dL (0.48µmol/L) or more”</w:t>
      </w:r>
      <w:r w:rsidR="00D62F0D">
        <w:t xml:space="preserve"> and substitutes it with</w:t>
      </w:r>
      <w:r w:rsidR="00A06134" w:rsidRPr="006F6CD4">
        <w:t xml:space="preserve"> “5µg/dL (0.24µmol/L) or more </w:t>
      </w:r>
      <w:r w:rsidR="00A06134" w:rsidRPr="00A62748">
        <w:t>but less than 10µg/dL (0.48µmol/L)”</w:t>
      </w:r>
      <w:r w:rsidR="00A06134" w:rsidRPr="006F6CD4">
        <w:t>.</w:t>
      </w:r>
      <w:r w:rsidR="00BF7DAC">
        <w:t xml:space="preserve"> The effect of this provision would be to require the PCBU to ensure that, for females of reproductive capacity, if the last monitoring showed a blood lead level of </w:t>
      </w:r>
      <w:r w:rsidR="00E83238" w:rsidRPr="006F6CD4">
        <w:t>5µg/dL (0.24µmol/L) or more</w:t>
      </w:r>
      <w:r w:rsidR="00B145BB">
        <w:t xml:space="preserve"> </w:t>
      </w:r>
      <w:r w:rsidR="00B145BB" w:rsidRPr="00A62748">
        <w:t>but less than 10µg/dL (0.48µmol/L)</w:t>
      </w:r>
      <w:r w:rsidR="00BF7DAC">
        <w:t xml:space="preserve">, the PCBU must arrange for biological monitoring </w:t>
      </w:r>
      <w:r w:rsidR="00EC71A3">
        <w:t>6 weeks</w:t>
      </w:r>
      <w:r w:rsidR="00BF7DAC">
        <w:t xml:space="preserve"> after the last biological monitoring of the relevant worker.</w:t>
      </w:r>
    </w:p>
    <w:p w14:paraId="53273E0E" w14:textId="6B317965" w:rsidR="00E842E0" w:rsidRDefault="00387D82" w:rsidP="00D940DC">
      <w:pPr>
        <w:rPr>
          <w:b/>
          <w:bCs/>
        </w:rPr>
      </w:pPr>
      <w:r w:rsidRPr="00A96E53">
        <w:rPr>
          <w:b/>
          <w:bCs/>
        </w:rPr>
        <w:t>Item</w:t>
      </w:r>
      <w:r w:rsidR="00ED73A3">
        <w:rPr>
          <w:b/>
          <w:bCs/>
        </w:rPr>
        <w:t xml:space="preserve"> 8</w:t>
      </w:r>
      <w:r w:rsidR="00E842E0">
        <w:rPr>
          <w:b/>
          <w:bCs/>
        </w:rPr>
        <w:t xml:space="preserve"> – Subparagraph 415(1)(a)(</w:t>
      </w:r>
      <w:proofErr w:type="spellStart"/>
      <w:r w:rsidR="00E842E0">
        <w:rPr>
          <w:b/>
          <w:bCs/>
        </w:rPr>
        <w:t>i</w:t>
      </w:r>
      <w:proofErr w:type="spellEnd"/>
      <w:r w:rsidR="00E842E0">
        <w:rPr>
          <w:b/>
          <w:bCs/>
        </w:rPr>
        <w:t>)</w:t>
      </w:r>
    </w:p>
    <w:p w14:paraId="31ED3E94" w14:textId="77777777" w:rsidR="00753E2A" w:rsidRDefault="00E842E0" w:rsidP="00D940DC">
      <w:pPr>
        <w:rPr>
          <w:b/>
          <w:bCs/>
        </w:rPr>
      </w:pPr>
      <w:r>
        <w:rPr>
          <w:b/>
          <w:bCs/>
        </w:rPr>
        <w:t xml:space="preserve">Item 9 – Subparagraph </w:t>
      </w:r>
      <w:r w:rsidR="00753E2A">
        <w:rPr>
          <w:b/>
          <w:bCs/>
        </w:rPr>
        <w:t xml:space="preserve">415(1)(a)(ii) </w:t>
      </w:r>
    </w:p>
    <w:p w14:paraId="3CA55830" w14:textId="640AFC78" w:rsidR="00387D82" w:rsidRPr="00A96E53" w:rsidRDefault="00753E2A" w:rsidP="00D940DC">
      <w:pPr>
        <w:rPr>
          <w:b/>
          <w:bCs/>
        </w:rPr>
      </w:pPr>
      <w:r>
        <w:rPr>
          <w:b/>
          <w:bCs/>
        </w:rPr>
        <w:t>Item 10</w:t>
      </w:r>
      <w:r w:rsidR="00CD0241">
        <w:rPr>
          <w:b/>
          <w:bCs/>
        </w:rPr>
        <w:t xml:space="preserve"> – </w:t>
      </w:r>
      <w:r w:rsidR="006C4B76">
        <w:rPr>
          <w:b/>
          <w:bCs/>
        </w:rPr>
        <w:t>S</w:t>
      </w:r>
      <w:r>
        <w:rPr>
          <w:b/>
          <w:bCs/>
        </w:rPr>
        <w:t>ubparagraph 415(1)(a)(iii)</w:t>
      </w:r>
    </w:p>
    <w:p w14:paraId="4772A0A3" w14:textId="585BFB8A" w:rsidR="00081FD5" w:rsidRDefault="00081FD5" w:rsidP="00D940DC">
      <w:pPr>
        <w:pStyle w:val="Notesonclausepara"/>
        <w:spacing w:after="120"/>
      </w:pPr>
      <w:r w:rsidRPr="00350E7C">
        <w:t xml:space="preserve">Subregulation 415(1) places a duty on PCBUs engaged in lead risk work to immediately remove a worker from undertaking lead risk work if health monitoring reveals a worker’s blood lead level reading is equal to, or more than, the listed values in </w:t>
      </w:r>
      <w:r>
        <w:t>p</w:t>
      </w:r>
      <w:r w:rsidRPr="00350E7C">
        <w:t>aragraph 415(1)(a)</w:t>
      </w:r>
      <w:r>
        <w:t xml:space="preserve">. </w:t>
      </w:r>
    </w:p>
    <w:p w14:paraId="050AFDF1" w14:textId="6A72B8E4" w:rsidR="004A6029" w:rsidRPr="00D940DC" w:rsidRDefault="004A6029" w:rsidP="004A6029">
      <w:pPr>
        <w:pStyle w:val="Notesonclausepara"/>
        <w:spacing w:after="120"/>
        <w:rPr>
          <w:color w:val="000000" w:themeColor="text1"/>
        </w:rPr>
      </w:pPr>
      <w:r>
        <w:t>Items 8 and 9</w:t>
      </w:r>
      <w:r w:rsidRPr="00F23F86">
        <w:t xml:space="preserve"> lower the threshold at which a PCBU must remove a worker from undertaking lead risk work. </w:t>
      </w:r>
    </w:p>
    <w:p w14:paraId="56E63281" w14:textId="63626443" w:rsidR="00855855" w:rsidRPr="00855855" w:rsidRDefault="00F43602" w:rsidP="00D940DC">
      <w:pPr>
        <w:pStyle w:val="Notesonclausepara"/>
        <w:spacing w:after="120"/>
        <w:rPr>
          <w:color w:val="000000" w:themeColor="text1"/>
        </w:rPr>
      </w:pPr>
      <w:r>
        <w:t xml:space="preserve">Item 8 </w:t>
      </w:r>
      <w:r w:rsidR="00213BD1">
        <w:t xml:space="preserve">removes </w:t>
      </w:r>
      <w:r w:rsidR="0097677A">
        <w:t>“</w:t>
      </w:r>
      <w:r w:rsidR="0097677A" w:rsidRPr="00B515D5">
        <w:t>50µg/dL (2.42µmol/L)</w:t>
      </w:r>
      <w:r w:rsidR="0097677A">
        <w:t>”</w:t>
      </w:r>
      <w:r w:rsidR="003900CA">
        <w:t xml:space="preserve"> and substitutes it with</w:t>
      </w:r>
      <w:r w:rsidR="004352B6">
        <w:t xml:space="preserve"> </w:t>
      </w:r>
      <w:r w:rsidR="0097677A">
        <w:t>“</w:t>
      </w:r>
      <w:r w:rsidR="0097677A" w:rsidRPr="00B515D5">
        <w:t>30µg/dL (1.45µmol/L)</w:t>
      </w:r>
      <w:r w:rsidR="0097677A">
        <w:t xml:space="preserve">”. </w:t>
      </w:r>
      <w:r w:rsidR="00E935FC">
        <w:t xml:space="preserve">The blood lead level values </w:t>
      </w:r>
      <w:r w:rsidR="00642580">
        <w:t xml:space="preserve">prescribed in </w:t>
      </w:r>
      <w:r w:rsidR="00855855">
        <w:t xml:space="preserve">this </w:t>
      </w:r>
      <w:r w:rsidR="00642580">
        <w:t>subparagraph </w:t>
      </w:r>
      <w:r w:rsidR="00E935FC">
        <w:t>apply to workers who are females</w:t>
      </w:r>
      <w:r w:rsidR="00135A6D">
        <w:t xml:space="preserve"> not of reproductive capacity and males. </w:t>
      </w:r>
      <w:r w:rsidR="009D6604">
        <w:t xml:space="preserve">The effect of this provision would be to require the PCBU </w:t>
      </w:r>
      <w:r w:rsidR="00FC7EF1">
        <w:t xml:space="preserve">to </w:t>
      </w:r>
      <w:proofErr w:type="spellStart"/>
      <w:r w:rsidR="00FC7EF1">
        <w:t>i</w:t>
      </w:r>
      <w:r w:rsidR="00FC7EF1" w:rsidRPr="00FC7EF1">
        <w:rPr>
          <w:lang w:val="en-GB"/>
        </w:rPr>
        <w:t>mmediately</w:t>
      </w:r>
      <w:proofErr w:type="spellEnd"/>
      <w:r w:rsidR="00FC7EF1" w:rsidRPr="00FC7EF1">
        <w:rPr>
          <w:lang w:val="en-GB"/>
        </w:rPr>
        <w:t xml:space="preserve"> remove the worker from carrying out lead risk work if </w:t>
      </w:r>
      <w:r w:rsidR="005B5EE8">
        <w:rPr>
          <w:lang w:val="en-GB"/>
        </w:rPr>
        <w:t xml:space="preserve">the blood monitoring indicates that </w:t>
      </w:r>
      <w:r w:rsidR="000E61CB">
        <w:rPr>
          <w:lang w:val="en-GB"/>
        </w:rPr>
        <w:t xml:space="preserve">the blood lead levels are </w:t>
      </w:r>
      <w:r w:rsidR="005B5EE8" w:rsidRPr="00B515D5">
        <w:t>30µg/dL (1.45µmol/L)</w:t>
      </w:r>
      <w:r w:rsidR="008449DE">
        <w:t xml:space="preserve"> or higher</w:t>
      </w:r>
      <w:r w:rsidR="000E61CB">
        <w:t xml:space="preserve">. </w:t>
      </w:r>
    </w:p>
    <w:p w14:paraId="5053AC0A" w14:textId="50AD436B" w:rsidR="00C71322" w:rsidRPr="00232DBD" w:rsidRDefault="0097677A" w:rsidP="00232DBD">
      <w:pPr>
        <w:pStyle w:val="Notesonclausepara"/>
        <w:spacing w:after="120"/>
        <w:rPr>
          <w:color w:val="000000" w:themeColor="text1"/>
        </w:rPr>
      </w:pPr>
      <w:r>
        <w:t xml:space="preserve">Item 9 </w:t>
      </w:r>
      <w:r w:rsidR="0043264F">
        <w:t xml:space="preserve">removes </w:t>
      </w:r>
      <w:r w:rsidR="00280858">
        <w:t>“</w:t>
      </w:r>
      <w:r w:rsidR="00280858" w:rsidRPr="00B515D5">
        <w:t>20µg/dL (0.97µmol/L)</w:t>
      </w:r>
      <w:r w:rsidR="00280858">
        <w:t>”</w:t>
      </w:r>
      <w:r w:rsidR="0043264F">
        <w:t xml:space="preserve"> and substitutes it with</w:t>
      </w:r>
      <w:r w:rsidR="004352B6">
        <w:t xml:space="preserve"> </w:t>
      </w:r>
      <w:r w:rsidR="00280858">
        <w:t>“</w:t>
      </w:r>
      <w:r w:rsidR="00280858" w:rsidRPr="00B515D5">
        <w:t>10µg/dL (0.48µmol/L)</w:t>
      </w:r>
      <w:r w:rsidR="00280858">
        <w:t>”.</w:t>
      </w:r>
      <w:r w:rsidR="00135A6D">
        <w:t xml:space="preserve"> Th</w:t>
      </w:r>
      <w:r w:rsidR="00242D72">
        <w:t xml:space="preserve">e blood lead level values prescribed </w:t>
      </w:r>
      <w:r w:rsidR="00C80922">
        <w:t>in this</w:t>
      </w:r>
      <w:r w:rsidR="00135A6D">
        <w:t xml:space="preserve"> subparagraph applies to female workers who are of reproductive capacity.</w:t>
      </w:r>
      <w:r w:rsidR="0043264F">
        <w:t xml:space="preserve"> The effect of this provision would be to require the PCBU to </w:t>
      </w:r>
      <w:proofErr w:type="spellStart"/>
      <w:r w:rsidR="0043264F">
        <w:t>i</w:t>
      </w:r>
      <w:r w:rsidR="0043264F" w:rsidRPr="00FC7EF1">
        <w:rPr>
          <w:lang w:val="en-GB"/>
        </w:rPr>
        <w:t>mmediately</w:t>
      </w:r>
      <w:proofErr w:type="spellEnd"/>
      <w:r w:rsidR="0043264F" w:rsidRPr="00FC7EF1">
        <w:rPr>
          <w:lang w:val="en-GB"/>
        </w:rPr>
        <w:t xml:space="preserve"> remove the worker from carrying out lead risk work if </w:t>
      </w:r>
      <w:r w:rsidR="0043264F">
        <w:rPr>
          <w:lang w:val="en-GB"/>
        </w:rPr>
        <w:t xml:space="preserve">the blood monitoring indicates that the blood lead levels are </w:t>
      </w:r>
      <w:r w:rsidR="00C80922" w:rsidRPr="00B515D5">
        <w:t>10µg/dL (0.48µmol/L)</w:t>
      </w:r>
      <w:r w:rsidR="00C80922">
        <w:t xml:space="preserve"> </w:t>
      </w:r>
      <w:r w:rsidR="0043264F">
        <w:t xml:space="preserve">or higher. </w:t>
      </w:r>
    </w:p>
    <w:p w14:paraId="6D6A7EAC" w14:textId="1CFE4FD7" w:rsidR="001D2BFD" w:rsidRPr="00777D33" w:rsidRDefault="00485A74" w:rsidP="00D940DC">
      <w:pPr>
        <w:pStyle w:val="Notesonclausepara"/>
        <w:spacing w:after="120"/>
        <w:rPr>
          <w:color w:val="000000" w:themeColor="text1"/>
        </w:rPr>
      </w:pPr>
      <w:r>
        <w:rPr>
          <w:lang w:val="en-GB"/>
        </w:rPr>
        <w:t xml:space="preserve">Item </w:t>
      </w:r>
      <w:r w:rsidR="00ED73A3">
        <w:rPr>
          <w:lang w:val="en-GB"/>
        </w:rPr>
        <w:t xml:space="preserve">10 repeals </w:t>
      </w:r>
      <w:r w:rsidR="004352B6">
        <w:rPr>
          <w:lang w:val="en-GB"/>
        </w:rPr>
        <w:t>sub</w:t>
      </w:r>
      <w:r w:rsidR="007C4D95" w:rsidRPr="007C4D95">
        <w:rPr>
          <w:lang w:val="en-GB"/>
        </w:rPr>
        <w:t>paragraph 415(1)(a)(iii)</w:t>
      </w:r>
      <w:r w:rsidR="006C6613">
        <w:rPr>
          <w:lang w:val="en-GB"/>
        </w:rPr>
        <w:t xml:space="preserve">, which provided for the blood lead levels </w:t>
      </w:r>
      <w:r w:rsidR="003366EC">
        <w:rPr>
          <w:lang w:val="en-GB"/>
        </w:rPr>
        <w:t>relating to pregnant or breastfeeding</w:t>
      </w:r>
      <w:r>
        <w:rPr>
          <w:lang w:val="en-GB"/>
        </w:rPr>
        <w:t xml:space="preserve">. </w:t>
      </w:r>
      <w:r w:rsidR="005F0AC5" w:rsidRPr="00F23F86">
        <w:t xml:space="preserve">The </w:t>
      </w:r>
      <w:r w:rsidR="00ED73A3">
        <w:t xml:space="preserve">effect of this amendment is </w:t>
      </w:r>
      <w:r w:rsidR="00F2763D">
        <w:t>to cause</w:t>
      </w:r>
      <w:r w:rsidR="00EF13EF">
        <w:t xml:space="preserve"> </w:t>
      </w:r>
      <w:r w:rsidR="00ED73A3">
        <w:t xml:space="preserve">the </w:t>
      </w:r>
      <w:r w:rsidR="005F0AC5" w:rsidRPr="00F23F86">
        <w:t xml:space="preserve">amended blood lead levels expressed in </w:t>
      </w:r>
      <w:r w:rsidR="004352B6">
        <w:t>sub</w:t>
      </w:r>
      <w:r w:rsidR="005F0AC5" w:rsidRPr="00F23F86">
        <w:t xml:space="preserve">paragraph 415(1)(a)(ii) </w:t>
      </w:r>
      <w:r w:rsidR="00F2763D">
        <w:t>to</w:t>
      </w:r>
      <w:r w:rsidR="00F2763D" w:rsidRPr="00F23F86">
        <w:t xml:space="preserve"> </w:t>
      </w:r>
      <w:r w:rsidR="005F0AC5" w:rsidRPr="00F23F86">
        <w:t>apply to females who are pregnant or breastfeeding</w:t>
      </w:r>
      <w:r w:rsidR="00F2763D">
        <w:t>. Pregnant and breastfeeding women</w:t>
      </w:r>
      <w:r w:rsidR="007F7A22">
        <w:t xml:space="preserve"> will no longer be differentiated from females of reproductive capacity</w:t>
      </w:r>
      <w:r w:rsidR="005F0AC5" w:rsidRPr="00F23F86">
        <w:t>.</w:t>
      </w:r>
    </w:p>
    <w:p w14:paraId="49F50949" w14:textId="77777777" w:rsidR="00BB2377" w:rsidRDefault="00387D82" w:rsidP="00D940DC">
      <w:pPr>
        <w:rPr>
          <w:b/>
          <w:bCs/>
        </w:rPr>
      </w:pPr>
      <w:r w:rsidRPr="002E4ED8">
        <w:rPr>
          <w:b/>
          <w:bCs/>
        </w:rPr>
        <w:t>Item</w:t>
      </w:r>
      <w:r w:rsidR="00680589">
        <w:rPr>
          <w:b/>
          <w:bCs/>
        </w:rPr>
        <w:t xml:space="preserve"> 11 – Subparagraph </w:t>
      </w:r>
      <w:r w:rsidR="00BB2377">
        <w:rPr>
          <w:b/>
          <w:bCs/>
        </w:rPr>
        <w:t>417(3)(a)(</w:t>
      </w:r>
      <w:proofErr w:type="spellStart"/>
      <w:r w:rsidR="00BB2377">
        <w:rPr>
          <w:b/>
          <w:bCs/>
        </w:rPr>
        <w:t>i</w:t>
      </w:r>
      <w:proofErr w:type="spellEnd"/>
      <w:r w:rsidR="00BB2377">
        <w:rPr>
          <w:b/>
          <w:bCs/>
        </w:rPr>
        <w:t>)</w:t>
      </w:r>
    </w:p>
    <w:p w14:paraId="5DA25F7D" w14:textId="57635197" w:rsidR="00387D82" w:rsidRPr="002E4ED8" w:rsidRDefault="00BB2377" w:rsidP="00D940DC">
      <w:pPr>
        <w:rPr>
          <w:b/>
          <w:bCs/>
        </w:rPr>
      </w:pPr>
      <w:r>
        <w:rPr>
          <w:b/>
          <w:bCs/>
        </w:rPr>
        <w:t xml:space="preserve">Item 12 – Subparagraph 417(3)(a)(ii) </w:t>
      </w:r>
    </w:p>
    <w:p w14:paraId="7C31D143" w14:textId="684C536F" w:rsidR="006B5E22" w:rsidRDefault="006B5E22" w:rsidP="006B5E22">
      <w:pPr>
        <w:pStyle w:val="Notesonclausepara"/>
        <w:spacing w:after="120"/>
      </w:pPr>
      <w:r w:rsidRPr="00231671">
        <w:t xml:space="preserve">Paragraph 417(3)(a) places a duty on PCBUs to ensure a worker </w:t>
      </w:r>
      <w:r>
        <w:t xml:space="preserve">who is removed from lead risk work under </w:t>
      </w:r>
      <w:r w:rsidR="00CA2C74">
        <w:t>r</w:t>
      </w:r>
      <w:r>
        <w:t>egulation 415 is not</w:t>
      </w:r>
      <w:r w:rsidRPr="00231671">
        <w:t xml:space="preserve"> </w:t>
      </w:r>
      <w:r>
        <w:t>returned</w:t>
      </w:r>
      <w:r w:rsidRPr="00231671">
        <w:t xml:space="preserve"> to undertaking lead risk work until their blood lead level reading is less than the listed values, with different values being provided for females of reproductive capacity and all other workers. </w:t>
      </w:r>
    </w:p>
    <w:p w14:paraId="783E257D" w14:textId="0136FEFC" w:rsidR="00CF7026" w:rsidRDefault="00CF7026" w:rsidP="006B5E22">
      <w:pPr>
        <w:pStyle w:val="Notesonclausepara"/>
        <w:spacing w:after="120"/>
      </w:pPr>
      <w:r>
        <w:t>I</w:t>
      </w:r>
      <w:r w:rsidRPr="00231671">
        <w:t>tem</w:t>
      </w:r>
      <w:r>
        <w:t>s 11 and 12</w:t>
      </w:r>
      <w:r w:rsidRPr="00231671">
        <w:t xml:space="preserve"> amend </w:t>
      </w:r>
      <w:r>
        <w:t>p</w:t>
      </w:r>
      <w:r w:rsidRPr="00231671">
        <w:t>aragraph 417(3)(a) to</w:t>
      </w:r>
      <w:r w:rsidR="00126DF6" w:rsidRPr="00126DF6">
        <w:t xml:space="preserve"> </w:t>
      </w:r>
      <w:r w:rsidR="00126DF6" w:rsidRPr="00087115">
        <w:t xml:space="preserve">lower the threshold at which workers may return to carrying out lead risk work after being removed under </w:t>
      </w:r>
      <w:r w:rsidR="00CA2C74">
        <w:t>r</w:t>
      </w:r>
      <w:r w:rsidR="00126DF6" w:rsidRPr="00087115">
        <w:t>egulation</w:t>
      </w:r>
      <w:r w:rsidR="00E23CD4">
        <w:t xml:space="preserve"> </w:t>
      </w:r>
      <w:r w:rsidR="00126DF6" w:rsidRPr="00087115">
        <w:t>415</w:t>
      </w:r>
      <w:r w:rsidR="002D05C7">
        <w:t>.</w:t>
      </w:r>
    </w:p>
    <w:p w14:paraId="0DC813A0" w14:textId="7C24B396" w:rsidR="00D44613" w:rsidRDefault="00D44613" w:rsidP="006B5E22">
      <w:pPr>
        <w:pStyle w:val="Notesonclausepara"/>
        <w:spacing w:after="120"/>
      </w:pPr>
      <w:r>
        <w:t xml:space="preserve">Item 11 </w:t>
      </w:r>
      <w:r w:rsidR="006A3C92">
        <w:t xml:space="preserve">removes </w:t>
      </w:r>
      <w:r w:rsidR="00C31230">
        <w:t>“</w:t>
      </w:r>
      <w:r w:rsidR="00C31230" w:rsidRPr="00262D42">
        <w:t>40µg/dL (1.93µmol/L)</w:t>
      </w:r>
      <w:r w:rsidR="00C31230">
        <w:t>”</w:t>
      </w:r>
      <w:r w:rsidR="006A3C92">
        <w:t xml:space="preserve"> and substitutes it with</w:t>
      </w:r>
      <w:r w:rsidR="00C31230">
        <w:t xml:space="preserve"> “</w:t>
      </w:r>
      <w:r w:rsidR="00C31230" w:rsidRPr="00073375">
        <w:t>20µg/dL (0.97µmol/L)</w:t>
      </w:r>
      <w:r w:rsidR="00C31230">
        <w:t xml:space="preserve">”. </w:t>
      </w:r>
      <w:r w:rsidR="00680598">
        <w:t xml:space="preserve">The effect of this provision would be to require the PCBU to ensure </w:t>
      </w:r>
      <w:r w:rsidR="00E63F63">
        <w:t>f</w:t>
      </w:r>
      <w:proofErr w:type="spellStart"/>
      <w:r w:rsidR="00AF44AE" w:rsidRPr="00AF44AE">
        <w:rPr>
          <w:lang w:val="en-GB"/>
        </w:rPr>
        <w:t>emales</w:t>
      </w:r>
      <w:proofErr w:type="spellEnd"/>
      <w:r w:rsidR="00AF44AE" w:rsidRPr="00AF44AE">
        <w:rPr>
          <w:lang w:val="en-GB"/>
        </w:rPr>
        <w:t xml:space="preserve"> not of reproductive capacity and male</w:t>
      </w:r>
      <w:r w:rsidR="002D05C7">
        <w:rPr>
          <w:lang w:val="en-GB"/>
        </w:rPr>
        <w:t>s</w:t>
      </w:r>
      <w:r w:rsidR="00E63F63">
        <w:rPr>
          <w:lang w:val="en-GB"/>
        </w:rPr>
        <w:t xml:space="preserve"> </w:t>
      </w:r>
      <w:r w:rsidR="00E63F63">
        <w:t>are</w:t>
      </w:r>
      <w:r w:rsidR="00680598">
        <w:t xml:space="preserve"> not returned to lead level work unless </w:t>
      </w:r>
      <w:r w:rsidR="00E63F63">
        <w:t>t</w:t>
      </w:r>
      <w:r w:rsidR="00E63F63" w:rsidRPr="00E63F63">
        <w:rPr>
          <w:lang w:val="en-GB"/>
        </w:rPr>
        <w:t>he worker’s blood lead level is less than</w:t>
      </w:r>
      <w:r w:rsidR="00E63F63">
        <w:rPr>
          <w:lang w:val="en-GB"/>
        </w:rPr>
        <w:t xml:space="preserve"> </w:t>
      </w:r>
      <w:r w:rsidR="00E63F63" w:rsidRPr="00073375">
        <w:t>20µg/dL (0.97µmol/L)</w:t>
      </w:r>
      <w:r w:rsidR="00E63F63">
        <w:t xml:space="preserve">. </w:t>
      </w:r>
    </w:p>
    <w:p w14:paraId="7D649296" w14:textId="0A34222B" w:rsidR="00C31230" w:rsidRPr="00231671" w:rsidRDefault="00C31230" w:rsidP="006B5E22">
      <w:pPr>
        <w:pStyle w:val="Notesonclausepara"/>
        <w:spacing w:after="120"/>
      </w:pPr>
      <w:r>
        <w:t xml:space="preserve">Item 12 </w:t>
      </w:r>
      <w:r w:rsidR="00C61B64">
        <w:t xml:space="preserve">removes </w:t>
      </w:r>
      <w:r w:rsidR="005E59D2">
        <w:t>“</w:t>
      </w:r>
      <w:r w:rsidR="005E59D2" w:rsidRPr="00262D42">
        <w:t>10µg/dL (0.48µmol/L)</w:t>
      </w:r>
      <w:r w:rsidR="005E59D2">
        <w:t xml:space="preserve">” </w:t>
      </w:r>
      <w:r w:rsidR="00C61B64">
        <w:t xml:space="preserve">and substitutes it </w:t>
      </w:r>
      <w:r w:rsidR="005E59D2">
        <w:t>with “</w:t>
      </w:r>
      <w:r w:rsidR="005E59D2" w:rsidRPr="00262D42">
        <w:t>5µg/dL (0.24µmol/L)</w:t>
      </w:r>
      <w:r w:rsidR="005E59D2">
        <w:t>”.</w:t>
      </w:r>
      <w:r w:rsidR="00C61B64">
        <w:t xml:space="preserve"> The effect of this provision would be to require the PCBU to ensure f</w:t>
      </w:r>
      <w:proofErr w:type="spellStart"/>
      <w:r w:rsidR="00C61B64" w:rsidRPr="00AF44AE">
        <w:rPr>
          <w:lang w:val="en-GB"/>
        </w:rPr>
        <w:t>emales</w:t>
      </w:r>
      <w:proofErr w:type="spellEnd"/>
      <w:r w:rsidR="00C61B64" w:rsidRPr="00AF44AE">
        <w:rPr>
          <w:lang w:val="en-GB"/>
        </w:rPr>
        <w:t xml:space="preserve"> </w:t>
      </w:r>
      <w:r w:rsidR="00324C7A">
        <w:rPr>
          <w:lang w:val="en-GB"/>
        </w:rPr>
        <w:t xml:space="preserve">of reproductive capacity </w:t>
      </w:r>
      <w:r w:rsidR="00C61B64">
        <w:t>are not returned to lead level work unless t</w:t>
      </w:r>
      <w:r w:rsidR="00C61B64" w:rsidRPr="00E63F63">
        <w:rPr>
          <w:lang w:val="en-GB"/>
        </w:rPr>
        <w:t>he worker’s blood lead level is less than</w:t>
      </w:r>
      <w:r w:rsidR="00C61B64">
        <w:rPr>
          <w:lang w:val="en-GB"/>
        </w:rPr>
        <w:t xml:space="preserve"> </w:t>
      </w:r>
      <w:r w:rsidR="00324C7A" w:rsidRPr="00262D42">
        <w:t>5µg/dL (0.24µmol/L)</w:t>
      </w:r>
      <w:r w:rsidR="00324C7A">
        <w:t>.</w:t>
      </w:r>
    </w:p>
    <w:p w14:paraId="701803BA" w14:textId="2483B064" w:rsidR="00087115" w:rsidRPr="00777D33" w:rsidRDefault="00DA1460" w:rsidP="00D940DC">
      <w:pPr>
        <w:pStyle w:val="Notesonclausepara"/>
        <w:spacing w:after="120"/>
        <w:rPr>
          <w:color w:val="000000" w:themeColor="text1"/>
        </w:rPr>
      </w:pPr>
      <w:r>
        <w:t>The Principal Regulations provide that a</w:t>
      </w:r>
      <w:r w:rsidRPr="00087115">
        <w:t xml:space="preserve"> </w:t>
      </w:r>
      <w:r w:rsidR="00087115" w:rsidRPr="00087115">
        <w:t>registered medical practitioner with experience in health monitoring must also be satisfied that the worker is fit to return to carrying out lead risk work.</w:t>
      </w:r>
    </w:p>
    <w:p w14:paraId="7DACFC98" w14:textId="77777777" w:rsidR="009A581C" w:rsidRDefault="009A581C" w:rsidP="009A581C">
      <w:pPr>
        <w:pStyle w:val="Notesonclausepara"/>
        <w:numPr>
          <w:ilvl w:val="0"/>
          <w:numId w:val="0"/>
        </w:numPr>
        <w:spacing w:after="120"/>
        <w:ind w:left="360" w:hanging="360"/>
        <w:sectPr w:rsidR="009A581C">
          <w:headerReference w:type="even" r:id="rId8"/>
          <w:footerReference w:type="even" r:id="rId9"/>
          <w:headerReference w:type="first" r:id="rId10"/>
          <w:footerReference w:type="first" r:id="rId11"/>
          <w:pgSz w:w="11906" w:h="16838"/>
          <w:pgMar w:top="1440" w:right="1440" w:bottom="1440" w:left="1440" w:header="708" w:footer="708" w:gutter="0"/>
          <w:cols w:space="708"/>
          <w:docGrid w:linePitch="360"/>
        </w:sectPr>
      </w:pPr>
    </w:p>
    <w:p w14:paraId="6264DB17" w14:textId="70FB9BFB" w:rsidR="009A581C" w:rsidRDefault="003B12A7" w:rsidP="003B12A7">
      <w:pPr>
        <w:pStyle w:val="Notesonclausepara"/>
        <w:numPr>
          <w:ilvl w:val="0"/>
          <w:numId w:val="0"/>
        </w:numPr>
        <w:spacing w:after="120"/>
        <w:ind w:left="360" w:hanging="360"/>
        <w:jc w:val="right"/>
      </w:pPr>
      <w:r>
        <w:rPr>
          <w:b/>
          <w:bCs/>
        </w:rPr>
        <w:t>Attachment B</w:t>
      </w:r>
    </w:p>
    <w:p w14:paraId="1950002A" w14:textId="77777777" w:rsidR="003B12A7" w:rsidRDefault="003B12A7" w:rsidP="003B12A7">
      <w:pPr>
        <w:pStyle w:val="Notesonclausepara"/>
        <w:numPr>
          <w:ilvl w:val="0"/>
          <w:numId w:val="0"/>
        </w:numPr>
        <w:spacing w:after="120"/>
        <w:ind w:left="360" w:hanging="360"/>
        <w:jc w:val="right"/>
      </w:pPr>
    </w:p>
    <w:p w14:paraId="1D59C681" w14:textId="479A0BCC" w:rsidR="003E3F63" w:rsidRDefault="003E3F63" w:rsidP="00357525">
      <w:pPr>
        <w:pStyle w:val="Heading2"/>
      </w:pPr>
      <w:r w:rsidRPr="00357525">
        <w:t>Statement of Compatibility with Human Rights</w:t>
      </w:r>
    </w:p>
    <w:p w14:paraId="2B55419E" w14:textId="41A33AA2" w:rsidR="00C81703" w:rsidRDefault="00C81703" w:rsidP="00802268">
      <w:pPr>
        <w:pStyle w:val="Notesonclausepara"/>
        <w:numPr>
          <w:ilvl w:val="0"/>
          <w:numId w:val="0"/>
        </w:numPr>
        <w:spacing w:afterLines="0" w:after="360"/>
        <w:jc w:val="center"/>
        <w:rPr>
          <w:i/>
          <w:iCs/>
        </w:rPr>
      </w:pPr>
      <w:r w:rsidRPr="00C81703">
        <w:rPr>
          <w:i/>
          <w:iCs/>
          <w:lang w:val="en-GB"/>
        </w:rPr>
        <w:t>Prepared in accordance with Part 3 of the Human Rights (Parliamentary Scrutiny) Act 2011</w:t>
      </w:r>
    </w:p>
    <w:p w14:paraId="00C316C1" w14:textId="7520379F" w:rsidR="00C81703" w:rsidRPr="00C81703" w:rsidRDefault="00C81703" w:rsidP="40F63397">
      <w:pPr>
        <w:pStyle w:val="Notesonclausepara"/>
        <w:numPr>
          <w:ilvl w:val="0"/>
          <w:numId w:val="0"/>
        </w:numPr>
        <w:spacing w:afterLines="0" w:after="360"/>
        <w:jc w:val="center"/>
        <w:rPr>
          <w:i/>
          <w:iCs/>
        </w:rPr>
      </w:pPr>
      <w:r w:rsidRPr="40F63397">
        <w:rPr>
          <w:b/>
          <w:bCs/>
          <w:i/>
          <w:iCs/>
          <w:lang w:val="en-GB"/>
        </w:rPr>
        <w:t>Work Health and Safety Amendment (</w:t>
      </w:r>
      <w:r w:rsidR="064D4D50" w:rsidRPr="40F63397">
        <w:rPr>
          <w:b/>
          <w:bCs/>
          <w:i/>
          <w:iCs/>
          <w:lang w:val="en-GB"/>
        </w:rPr>
        <w:t>Blood Lead Level Exposure Values</w:t>
      </w:r>
      <w:r w:rsidRPr="40F63397">
        <w:rPr>
          <w:b/>
          <w:bCs/>
          <w:i/>
          <w:iCs/>
          <w:lang w:val="en-GB"/>
        </w:rPr>
        <w:t>) Regulations 2025</w:t>
      </w:r>
    </w:p>
    <w:p w14:paraId="099B6BBB" w14:textId="395DE35F" w:rsidR="003E3F63" w:rsidRDefault="00194BD9" w:rsidP="006861DF">
      <w:pPr>
        <w:pStyle w:val="HRCSParagraph"/>
      </w:pPr>
      <w:r>
        <w:t>This disallowable legislative instrument</w:t>
      </w:r>
      <w:r w:rsidR="00F70463">
        <w:t xml:space="preserve"> </w:t>
      </w:r>
      <w:r>
        <w:t xml:space="preserve">is </w:t>
      </w:r>
      <w:r w:rsidR="00C81703" w:rsidRPr="00C81703">
        <w:t xml:space="preserve">compatible with human rights and freedoms recognised or declared in the international instruments listed in section 3 of the </w:t>
      </w:r>
      <w:r w:rsidR="00C81703" w:rsidRPr="00C81703">
        <w:rPr>
          <w:i/>
          <w:iCs/>
        </w:rPr>
        <w:t>Human Rights (Parliamentary Scrutiny) Act 2011. </w:t>
      </w:r>
      <w:r w:rsidR="00C81703" w:rsidRPr="00C81703">
        <w:t> </w:t>
      </w:r>
    </w:p>
    <w:p w14:paraId="2CC9DA1D" w14:textId="5506B8D9" w:rsidR="00C81703" w:rsidRDefault="00C81703" w:rsidP="00C0330F">
      <w:pPr>
        <w:pStyle w:val="Notesonclausepara"/>
        <w:numPr>
          <w:ilvl w:val="0"/>
          <w:numId w:val="0"/>
        </w:numPr>
        <w:spacing w:before="240" w:afterLines="0" w:after="120"/>
        <w:rPr>
          <w:lang w:val="en-GB"/>
        </w:rPr>
      </w:pPr>
      <w:r>
        <w:rPr>
          <w:b/>
          <w:bCs/>
          <w:lang w:val="en-GB"/>
        </w:rPr>
        <w:t>Overview of the Legislative Instrument</w:t>
      </w:r>
    </w:p>
    <w:p w14:paraId="446667AA" w14:textId="27EF4C21" w:rsidR="00545D4F" w:rsidRDefault="00545D4F" w:rsidP="00545D4F">
      <w:pPr>
        <w:pStyle w:val="HRCSParagraph"/>
      </w:pPr>
      <w:r>
        <w:t xml:space="preserve">The purpose of the </w:t>
      </w:r>
      <w:r w:rsidRPr="40F63397">
        <w:rPr>
          <w:i/>
          <w:iCs/>
        </w:rPr>
        <w:t>Work Health and Safety Amendment (Blood Lead Level Exposure Values) Regulations 2025</w:t>
      </w:r>
      <w:r>
        <w:t xml:space="preserve"> (the Amendment Regulations) is to adopt lower regulatory threshold blood lead levels within Part 7.2 of the </w:t>
      </w:r>
      <w:r w:rsidR="00331AA8">
        <w:rPr>
          <w:i/>
          <w:iCs/>
        </w:rPr>
        <w:t xml:space="preserve">Work Health and Safety Regulations 2011 </w:t>
      </w:r>
      <w:r w:rsidR="00331AA8">
        <w:t>(</w:t>
      </w:r>
      <w:proofErr w:type="spellStart"/>
      <w:r w:rsidR="00331AA8">
        <w:t>Cth</w:t>
      </w:r>
      <w:proofErr w:type="spellEnd"/>
      <w:r w:rsidR="00331AA8">
        <w:t>) (the </w:t>
      </w:r>
      <w:r>
        <w:t>Principal Regulations</w:t>
      </w:r>
      <w:r w:rsidR="00331AA8">
        <w:t>)</w:t>
      </w:r>
      <w:r>
        <w:t xml:space="preserve">. </w:t>
      </w:r>
    </w:p>
    <w:p w14:paraId="7F46A834" w14:textId="74360F5E" w:rsidR="007A1758" w:rsidRPr="000D7A7F" w:rsidRDefault="00B30C80" w:rsidP="007A1758">
      <w:pPr>
        <w:rPr>
          <w:lang w:val="en-AU"/>
        </w:rPr>
      </w:pPr>
      <w:r>
        <w:t>The </w:t>
      </w:r>
      <w:r w:rsidRPr="0BAD9CA9">
        <w:rPr>
          <w:i/>
          <w:iCs/>
        </w:rPr>
        <w:t>Work Health and Safety Act 2011</w:t>
      </w:r>
      <w:r>
        <w:t xml:space="preserve"> (WHS Act) </w:t>
      </w:r>
      <w:r w:rsidR="001D0BEE">
        <w:t xml:space="preserve">and </w:t>
      </w:r>
      <w:r>
        <w:t>the Principal Regulations provide the primary work health and safety (WHS) legislation for the Commonwealth jurisdiction</w:t>
      </w:r>
      <w:r w:rsidR="00675CC9">
        <w:t xml:space="preserve"> and </w:t>
      </w:r>
      <w:r>
        <w:t xml:space="preserve">are based on model WHS laws developed by Safe Work Australia </w:t>
      </w:r>
      <w:r w:rsidR="006770AD">
        <w:t xml:space="preserve">(SWA) </w:t>
      </w:r>
      <w:r>
        <w:t xml:space="preserve">under the </w:t>
      </w:r>
      <w:r w:rsidRPr="0BAD9CA9">
        <w:rPr>
          <w:i/>
          <w:iCs/>
        </w:rPr>
        <w:t>Intergovernmental Agreement for Regulatory and Operational Reform in Occupational Health and Safety</w:t>
      </w:r>
      <w:r>
        <w:t xml:space="preserve">. </w:t>
      </w:r>
      <w:r w:rsidR="007A1758" w:rsidRPr="0BAD9CA9">
        <w:rPr>
          <w:lang w:val="en-AU"/>
        </w:rPr>
        <w:t xml:space="preserve">The model laws provide for a balanced and nationally consistent framework to secure the health and safety of workers and workplaces, in part by protecting workers and other persons against harm to their health, safety and welfare through the elimination or minimisation of risks arising from work. The model laws have been implemented in all jurisdictions across Australia, except for Victoria which has laws that are similar. </w:t>
      </w:r>
      <w:r w:rsidR="007A1758">
        <w:t xml:space="preserve">Together with the states and territories, the Commonwealth regulates hazardous chemicals and lead process work through the Principal Regulations. </w:t>
      </w:r>
    </w:p>
    <w:p w14:paraId="0011DCF7" w14:textId="27FB2CE8" w:rsidR="001F3261" w:rsidRDefault="007A1758" w:rsidP="007A1758">
      <w:pPr>
        <w:pStyle w:val="HRCSParagraph"/>
      </w:pPr>
      <w:r>
        <w:t xml:space="preserve">Blood lead levels are the concentration of lead in whole blood and are expressed in </w:t>
      </w:r>
      <w:r w:rsidRPr="00D2727D">
        <w:t>micromoles per litre (</w:t>
      </w:r>
      <w:proofErr w:type="spellStart"/>
      <w:r w:rsidRPr="00D2727D">
        <w:t>μmol</w:t>
      </w:r>
      <w:proofErr w:type="spellEnd"/>
      <w:r w:rsidRPr="00D2727D">
        <w:t>/L) or micrograms per decilitre (</w:t>
      </w:r>
      <w:proofErr w:type="spellStart"/>
      <w:r w:rsidRPr="00D2727D">
        <w:t>μg</w:t>
      </w:r>
      <w:proofErr w:type="spellEnd"/>
      <w:r w:rsidRPr="00D2727D">
        <w:t>/dL).</w:t>
      </w:r>
      <w:r>
        <w:t xml:space="preserve"> Blood lead levels are used in the Principal Regulations </w:t>
      </w:r>
      <w:r w:rsidR="00E33208">
        <w:t xml:space="preserve">to trigger additional WHS requirements, including </w:t>
      </w:r>
      <w:r>
        <w:t xml:space="preserve">biological monitoring </w:t>
      </w:r>
      <w:r w:rsidR="00E33208">
        <w:t>of</w:t>
      </w:r>
      <w:r>
        <w:t xml:space="preserve"> workers engaging in lead risk work</w:t>
      </w:r>
      <w:r w:rsidR="00BA4838">
        <w:t xml:space="preserve">, to be met by </w:t>
      </w:r>
      <w:r w:rsidR="001D0BEE">
        <w:t>a</w:t>
      </w:r>
      <w:r w:rsidR="00BA4838">
        <w:t xml:space="preserve"> </w:t>
      </w:r>
      <w:r w:rsidR="001D0BEE">
        <w:t>p</w:t>
      </w:r>
      <w:r w:rsidR="00BA4838">
        <w:t xml:space="preserve">erson </w:t>
      </w:r>
      <w:r w:rsidR="001D0BEE">
        <w:t>c</w:t>
      </w:r>
      <w:r w:rsidR="00BA4838">
        <w:t xml:space="preserve">onducting a </w:t>
      </w:r>
      <w:r w:rsidR="001D0BEE">
        <w:t>b</w:t>
      </w:r>
      <w:r w:rsidR="00BA4838">
        <w:t xml:space="preserve">usiness or </w:t>
      </w:r>
      <w:r w:rsidR="001D0BEE">
        <w:t>u</w:t>
      </w:r>
      <w:r w:rsidR="00BA4838">
        <w:t>ndertaking (PCBU)</w:t>
      </w:r>
      <w:r>
        <w:t xml:space="preserve">. </w:t>
      </w:r>
      <w:r w:rsidR="0087603A">
        <w:t xml:space="preserve">The Amendment Regulations lower the blood lead levels </w:t>
      </w:r>
      <w:r w:rsidR="001452DA">
        <w:t>at which point the additional duties will apply.</w:t>
      </w:r>
    </w:p>
    <w:p w14:paraId="1EEF9B25" w14:textId="2F0B87EB" w:rsidR="004A1CE2" w:rsidRDefault="004A1CE2" w:rsidP="004A1CE2">
      <w:r>
        <w:t xml:space="preserve">These amendments give effect to a 2016 agreement between WHS Ministers to adopt lower regulatory blood lead levels which represent safer blood lead levels identified by current toxicological and epidemiological evidence and international standards. </w:t>
      </w:r>
      <w:r w:rsidRPr="0062104C">
        <w:rPr>
          <w:lang w:val="en-AU"/>
        </w:rPr>
        <w:t>Reducing the blood lead levels will result in a lower threshold for triggering the obligations on PCBUs and therefore decrease health risks to workers undertaking lead risk work.</w:t>
      </w:r>
    </w:p>
    <w:p w14:paraId="3405C4BE" w14:textId="77777777" w:rsidR="007A1758" w:rsidRDefault="007A1758" w:rsidP="007A1758">
      <w:pPr>
        <w:pStyle w:val="HRCSParagraph"/>
      </w:pPr>
      <w:r>
        <w:t>Moving to lower blood lead level thresholds will allow Australia to stay up to date with the model WHS laws, other Australian jurisdictions and reflect international best practice.</w:t>
      </w:r>
    </w:p>
    <w:p w14:paraId="1031FFF3" w14:textId="77777777" w:rsidR="00B30C80" w:rsidRPr="00B30C80" w:rsidRDefault="00B30C80" w:rsidP="006861DF">
      <w:pPr>
        <w:pStyle w:val="HRCSParagraph"/>
      </w:pPr>
      <w:r w:rsidRPr="00B30C80">
        <w:t>Subsection 276(1) of the WHS Act provides that the Governor-General may make regulations in relation to any matter relating to WHS, and any matter or thing required or permitted by the WHS Act to be prescribed or that is necessary or convenient to be prescribed to give effect to the WHS Act.</w:t>
      </w:r>
    </w:p>
    <w:p w14:paraId="4EF01187" w14:textId="77777777" w:rsidR="0083044F" w:rsidRPr="0083044F" w:rsidRDefault="0083044F" w:rsidP="00C81C55">
      <w:pPr>
        <w:keepNext/>
        <w:keepLines/>
        <w:spacing w:after="120"/>
        <w:rPr>
          <w:lang w:val="en-AU"/>
        </w:rPr>
      </w:pPr>
      <w:r w:rsidRPr="0083044F">
        <w:rPr>
          <w:b/>
          <w:bCs/>
          <w:lang w:val="en-AU"/>
        </w:rPr>
        <w:t>Human Rights Implications</w:t>
      </w:r>
      <w:r w:rsidRPr="0083044F">
        <w:rPr>
          <w:lang w:val="en-AU"/>
        </w:rPr>
        <w:t> </w:t>
      </w:r>
    </w:p>
    <w:p w14:paraId="6ADD3B5C" w14:textId="561C652D" w:rsidR="0083044F" w:rsidRPr="0083044F" w:rsidRDefault="0083044F" w:rsidP="006861DF">
      <w:pPr>
        <w:pStyle w:val="HRCSParagraph"/>
      </w:pPr>
      <w:r w:rsidRPr="0083044F">
        <w:t xml:space="preserve">This </w:t>
      </w:r>
      <w:r w:rsidR="00604ABF">
        <w:t>d</w:t>
      </w:r>
      <w:r w:rsidRPr="0083044F">
        <w:t xml:space="preserve">isallowable </w:t>
      </w:r>
      <w:r w:rsidR="00604ABF">
        <w:t>l</w:t>
      </w:r>
      <w:r w:rsidRPr="0083044F">
        <w:t xml:space="preserve">egislative </w:t>
      </w:r>
      <w:r w:rsidR="00604ABF">
        <w:t>i</w:t>
      </w:r>
      <w:r w:rsidRPr="0083044F">
        <w:t>nstrument engages the following human rights: </w:t>
      </w:r>
    </w:p>
    <w:p w14:paraId="443B3806" w14:textId="77777777" w:rsidR="0083044F" w:rsidRPr="0083044F" w:rsidRDefault="0083044F" w:rsidP="00CF6577">
      <w:pPr>
        <w:numPr>
          <w:ilvl w:val="0"/>
          <w:numId w:val="35"/>
        </w:numPr>
        <w:spacing w:after="120"/>
      </w:pPr>
      <w:r w:rsidRPr="0083044F">
        <w:t>The right to the enjoyment of just and favourable conditions or work under Article 7 of the International Covenant on Economic Social and Cultural Rights (ICESCR). </w:t>
      </w:r>
    </w:p>
    <w:p w14:paraId="2EE124E8" w14:textId="77777777" w:rsidR="0083044F" w:rsidRPr="0083044F" w:rsidRDefault="0083044F" w:rsidP="00802268">
      <w:pPr>
        <w:numPr>
          <w:ilvl w:val="0"/>
          <w:numId w:val="35"/>
        </w:numPr>
        <w:spacing w:after="120"/>
        <w:rPr>
          <w:lang w:val="en-AU"/>
        </w:rPr>
      </w:pPr>
      <w:r w:rsidRPr="0083044F">
        <w:t xml:space="preserve">The right to the enjoyment of the highest attainable standard of physical and mental health under Article 12 of the ICESCR. </w:t>
      </w:r>
      <w:r w:rsidRPr="0083044F">
        <w:rPr>
          <w:lang w:val="en-AU"/>
        </w:rPr>
        <w:t> </w:t>
      </w:r>
    </w:p>
    <w:p w14:paraId="1EEC3BFB" w14:textId="77777777" w:rsidR="009B1630" w:rsidRPr="009B1630" w:rsidRDefault="009B1630" w:rsidP="00802268">
      <w:pPr>
        <w:spacing w:after="120"/>
        <w:rPr>
          <w:lang w:val="en-AU"/>
        </w:rPr>
      </w:pPr>
      <w:r w:rsidRPr="009B1630">
        <w:rPr>
          <w:u w:val="single"/>
          <w:lang w:val="en-AU"/>
        </w:rPr>
        <w:t>Right to enjoyment of just and favourable conditions of work</w:t>
      </w:r>
      <w:r w:rsidRPr="009B1630">
        <w:rPr>
          <w:lang w:val="en-AU"/>
        </w:rPr>
        <w:t> </w:t>
      </w:r>
    </w:p>
    <w:p w14:paraId="67C5C20E" w14:textId="77777777" w:rsidR="009B1630" w:rsidRPr="009B1630" w:rsidRDefault="009B1630" w:rsidP="006861DF">
      <w:pPr>
        <w:pStyle w:val="HRCSParagraph"/>
      </w:pPr>
      <w:r w:rsidRPr="009B1630">
        <w:t>Article 7 of the ICESCR provides that everyone has the right to the ‘enjoyment of just and favourable conditions of work, which ensure, in particular…[s]</w:t>
      </w:r>
      <w:proofErr w:type="spellStart"/>
      <w:r w:rsidRPr="009B1630">
        <w:t>afe</w:t>
      </w:r>
      <w:proofErr w:type="spellEnd"/>
      <w:r w:rsidRPr="009B1630">
        <w:t xml:space="preserve"> and healthy working conditions’. </w:t>
      </w:r>
    </w:p>
    <w:p w14:paraId="0AE3550C" w14:textId="77777777" w:rsidR="003E02B9" w:rsidRPr="00EC2648" w:rsidRDefault="003E02B9" w:rsidP="003E02B9">
      <w:pPr>
        <w:pStyle w:val="SCHRnumbers"/>
        <w:numPr>
          <w:ilvl w:val="0"/>
          <w:numId w:val="0"/>
        </w:numPr>
        <w:rPr>
          <w:color w:val="000000" w:themeColor="text1"/>
          <w:lang w:val="en-AU"/>
        </w:rPr>
      </w:pPr>
      <w:r w:rsidRPr="00EC2648">
        <w:rPr>
          <w:color w:val="000000" w:themeColor="text1"/>
        </w:rPr>
        <w:t xml:space="preserve">The content of the right to just and favourable conditions of work can be informed by specific obligations in treaties of the International Labour Organization, including, the </w:t>
      </w:r>
      <w:r w:rsidRPr="00EC2648">
        <w:rPr>
          <w:i/>
          <w:iCs/>
          <w:color w:val="000000" w:themeColor="text1"/>
        </w:rPr>
        <w:t>Occupational Safety and Health Convention 1981</w:t>
      </w:r>
      <w:r w:rsidRPr="00EC2648">
        <w:rPr>
          <w:color w:val="000000" w:themeColor="text1"/>
        </w:rPr>
        <w:t xml:space="preserve"> (No. 155) which requires the adoption of a coherent national policy on occupational safety, occupational health and the working environment.</w:t>
      </w:r>
    </w:p>
    <w:p w14:paraId="4E426D59" w14:textId="77777777" w:rsidR="003E02B9" w:rsidRPr="00EC2648" w:rsidRDefault="003E02B9" w:rsidP="003E02B9">
      <w:pPr>
        <w:spacing w:before="220" w:after="120"/>
        <w:rPr>
          <w:color w:val="000000" w:themeColor="text1"/>
        </w:rPr>
      </w:pPr>
      <w:r w:rsidRPr="00EC2648">
        <w:rPr>
          <w:color w:val="000000" w:themeColor="text1"/>
        </w:rPr>
        <w:t>The prevention of occupational diseases is a fundamental aspect of the right to just and favourable conditions of work. Its realisation requires the adoption of a national policy for the prevention of work-related diseases and deaths by minimising hazards in the working environment and ensuring broad participation in its formulation, implementation and review, of workers and employers and their representative organisations.</w:t>
      </w:r>
    </w:p>
    <w:p w14:paraId="4B476967" w14:textId="0B5A48F8" w:rsidR="007F0708" w:rsidRPr="000D7A7F" w:rsidRDefault="003E02B9" w:rsidP="000D7A7F">
      <w:pPr>
        <w:spacing w:after="120"/>
        <w:rPr>
          <w:color w:val="000000" w:themeColor="text1"/>
        </w:rPr>
      </w:pPr>
      <w:r w:rsidRPr="00EC2648">
        <w:rPr>
          <w:color w:val="000000" w:themeColor="text1"/>
        </w:rPr>
        <w:t>Australia complies with its obligation under Article 7 of the ICESCR through the harmonised system of Commonwealth, state and territory WHS laws (including the Principal Regulations).</w:t>
      </w:r>
      <w:r w:rsidR="00E165EF">
        <w:rPr>
          <w:color w:val="000000" w:themeColor="text1"/>
        </w:rPr>
        <w:t xml:space="preserve"> </w:t>
      </w:r>
      <w:r w:rsidR="007F0708" w:rsidRPr="007F0708">
        <w:t>At the Commonwealth level, this includes the WHS Act and the Principal Regulations. The WHS Act places duties on a range of entities that are designed to ensure safe and healthy working conditions.</w:t>
      </w:r>
    </w:p>
    <w:p w14:paraId="4967B2C8" w14:textId="1F47A626" w:rsidR="00340580" w:rsidRPr="000D7A7F" w:rsidRDefault="00A13A96" w:rsidP="000D7A7F">
      <w:pPr>
        <w:spacing w:after="120"/>
        <w:rPr>
          <w:color w:val="000000" w:themeColor="text1"/>
        </w:rPr>
      </w:pPr>
      <w:r w:rsidRPr="000D7A7F">
        <w:rPr>
          <w:color w:val="000000" w:themeColor="text1"/>
        </w:rPr>
        <w:t xml:space="preserve">The Amendment Regulations positively engage the right to enjoyment of just and favourable </w:t>
      </w:r>
      <w:r w:rsidR="00807AFC" w:rsidRPr="000D7A7F">
        <w:rPr>
          <w:color w:val="000000" w:themeColor="text1"/>
        </w:rPr>
        <w:t xml:space="preserve">conditions </w:t>
      </w:r>
      <w:r w:rsidR="00CB335D">
        <w:rPr>
          <w:color w:val="000000" w:themeColor="text1"/>
        </w:rPr>
        <w:t xml:space="preserve">of work </w:t>
      </w:r>
      <w:r w:rsidRPr="000D7A7F">
        <w:rPr>
          <w:color w:val="000000" w:themeColor="text1"/>
        </w:rPr>
        <w:t xml:space="preserve">by </w:t>
      </w:r>
      <w:r w:rsidR="00807AFC" w:rsidRPr="000D7A7F">
        <w:rPr>
          <w:color w:val="000000" w:themeColor="text1"/>
        </w:rPr>
        <w:t xml:space="preserve">ensuring that workers in the Commonwealth </w:t>
      </w:r>
      <w:r w:rsidR="00ED37C0" w:rsidRPr="000D7A7F">
        <w:rPr>
          <w:color w:val="000000" w:themeColor="text1"/>
        </w:rPr>
        <w:t>jurisdiction who undertake lead risk work are not exposed to unacceptably high levels of lead</w:t>
      </w:r>
      <w:r w:rsidR="00FA5818">
        <w:rPr>
          <w:color w:val="000000" w:themeColor="text1"/>
        </w:rPr>
        <w:t xml:space="preserve">, and where certain lead levels are exceeded, </w:t>
      </w:r>
      <w:r w:rsidR="00F76553">
        <w:rPr>
          <w:color w:val="000000" w:themeColor="text1"/>
        </w:rPr>
        <w:t>the workers are removed from the work</w:t>
      </w:r>
      <w:r w:rsidR="00ED37C0" w:rsidRPr="000D7A7F">
        <w:rPr>
          <w:color w:val="000000" w:themeColor="text1"/>
        </w:rPr>
        <w:t xml:space="preserve">. </w:t>
      </w:r>
      <w:r w:rsidR="00376BF4" w:rsidRPr="000D7A7F">
        <w:rPr>
          <w:color w:val="000000" w:themeColor="text1"/>
        </w:rPr>
        <w:t xml:space="preserve">The </w:t>
      </w:r>
      <w:r w:rsidR="008E6EC1">
        <w:rPr>
          <w:color w:val="000000" w:themeColor="text1"/>
        </w:rPr>
        <w:t>Amendment</w:t>
      </w:r>
      <w:r w:rsidR="00376BF4" w:rsidRPr="000D7A7F">
        <w:rPr>
          <w:color w:val="000000" w:themeColor="text1"/>
        </w:rPr>
        <w:t xml:space="preserve"> Regulations will </w:t>
      </w:r>
      <w:r w:rsidR="008E6EC1">
        <w:rPr>
          <w:color w:val="000000" w:themeColor="text1"/>
        </w:rPr>
        <w:t xml:space="preserve">trigger </w:t>
      </w:r>
      <w:r w:rsidR="0045484B">
        <w:rPr>
          <w:color w:val="000000" w:themeColor="text1"/>
        </w:rPr>
        <w:t>existing</w:t>
      </w:r>
      <w:r w:rsidR="001872F4" w:rsidRPr="000D7A7F">
        <w:rPr>
          <w:color w:val="000000" w:themeColor="text1"/>
        </w:rPr>
        <w:t xml:space="preserve"> WHS duties </w:t>
      </w:r>
      <w:r w:rsidR="008E6EC1">
        <w:rPr>
          <w:color w:val="000000" w:themeColor="text1"/>
        </w:rPr>
        <w:t xml:space="preserve">to apply </w:t>
      </w:r>
      <w:r w:rsidR="00352494">
        <w:rPr>
          <w:color w:val="000000" w:themeColor="text1"/>
        </w:rPr>
        <w:t>at lower levels of exposure</w:t>
      </w:r>
      <w:r w:rsidR="001872F4" w:rsidRPr="000D7A7F">
        <w:rPr>
          <w:color w:val="000000" w:themeColor="text1"/>
        </w:rPr>
        <w:t>, increasing the likelihood of healthier outcomes</w:t>
      </w:r>
      <w:r w:rsidR="00DB0C80" w:rsidRPr="000D7A7F">
        <w:rPr>
          <w:color w:val="000000" w:themeColor="text1"/>
        </w:rPr>
        <w:t>.</w:t>
      </w:r>
      <w:r w:rsidR="003929A2" w:rsidRPr="000D7A7F">
        <w:rPr>
          <w:color w:val="000000" w:themeColor="text1"/>
        </w:rPr>
        <w:t xml:space="preserve"> This approach helps to create safer working environments and reduce </w:t>
      </w:r>
      <w:r w:rsidR="001A1444">
        <w:rPr>
          <w:color w:val="000000" w:themeColor="text1"/>
        </w:rPr>
        <w:t>the risks associated with exposure to lead</w:t>
      </w:r>
      <w:r w:rsidR="003929A2" w:rsidRPr="000D7A7F">
        <w:rPr>
          <w:color w:val="000000" w:themeColor="text1"/>
        </w:rPr>
        <w:t>.</w:t>
      </w:r>
    </w:p>
    <w:p w14:paraId="0E5A83EA" w14:textId="77777777" w:rsidR="00445A00" w:rsidRPr="00445A00" w:rsidRDefault="00445A00" w:rsidP="00445A00">
      <w:pPr>
        <w:pStyle w:val="HRCSParagraph"/>
      </w:pPr>
      <w:r w:rsidRPr="00445A00">
        <w:rPr>
          <w:u w:val="single"/>
        </w:rPr>
        <w:t>Right to the enjoyment of the highest attainable standard of physical and mental health  </w:t>
      </w:r>
    </w:p>
    <w:p w14:paraId="0E84BF2F" w14:textId="1E9235C8" w:rsidR="00D77B93" w:rsidRDefault="00445A00" w:rsidP="00445A00">
      <w:pPr>
        <w:pStyle w:val="HRCSParagraph"/>
        <w:rPr>
          <w:lang w:val="en-GB"/>
        </w:rPr>
      </w:pPr>
      <w:r w:rsidRPr="00445A00">
        <w:t>Article 12 of the ICESR provides that everyone has the right to ‘the enjoyment of the highest attainable standard of physical and mental health.’</w:t>
      </w:r>
      <w:r w:rsidR="00394061">
        <w:t xml:space="preserve"> </w:t>
      </w:r>
      <w:r w:rsidR="00394061" w:rsidRPr="00EC2648">
        <w:rPr>
          <w:rFonts w:eastAsia="Times New Roman" w:cs="Times New Roman"/>
        </w:rPr>
        <w:t>The right to physical and mental health expressed in Article 12 of the ICESCR is engaged by th</w:t>
      </w:r>
      <w:r w:rsidR="00563567">
        <w:rPr>
          <w:rFonts w:eastAsia="Times New Roman" w:cs="Times New Roman"/>
        </w:rPr>
        <w:t>e</w:t>
      </w:r>
      <w:r w:rsidR="00394061" w:rsidRPr="00EC2648">
        <w:rPr>
          <w:rFonts w:eastAsia="Times New Roman" w:cs="Times New Roman"/>
        </w:rPr>
        <w:t xml:space="preserve"> Amendment Regulations as the United Nations Committee on Economic Social and Cultural Rights has stated that the right to health concerns safe and healthy working conditions. </w:t>
      </w:r>
      <w:r w:rsidR="00026620">
        <w:t>W</w:t>
      </w:r>
      <w:r w:rsidR="00D77B93" w:rsidRPr="00D77B93">
        <w:rPr>
          <w:lang w:val="en-GB"/>
        </w:rPr>
        <w:t>here Article 12(2)(b) mentions ‘industrial hygiene’ this ‘refers to the minimisation, so far as is reasonably practicable, of the causes of health hazards inherent in the working environment’.</w:t>
      </w:r>
    </w:p>
    <w:p w14:paraId="4B8AEA1D" w14:textId="65F27C69" w:rsidR="00C21014" w:rsidRDefault="00026620" w:rsidP="00C21014">
      <w:pPr>
        <w:pStyle w:val="HRCSParagraph"/>
        <w:rPr>
          <w:lang w:val="en-GB"/>
        </w:rPr>
      </w:pPr>
      <w:r>
        <w:rPr>
          <w:lang w:val="en-GB"/>
        </w:rPr>
        <w:t>Article 12 of the ICESR is also engaged as p</w:t>
      </w:r>
      <w:r w:rsidR="00C21014" w:rsidRPr="00C21014">
        <w:rPr>
          <w:lang w:val="en-GB"/>
        </w:rPr>
        <w:t xml:space="preserve">romoting ‘industrial hygiene’ involves taking steps to protect the work environment by reducing workers’ exposure to substances that impact upon human health including where workplace exposure to </w:t>
      </w:r>
      <w:r w:rsidR="00E47322">
        <w:rPr>
          <w:lang w:val="en-GB"/>
        </w:rPr>
        <w:t>lead</w:t>
      </w:r>
      <w:r w:rsidR="00C21014" w:rsidRPr="00C21014">
        <w:rPr>
          <w:lang w:val="en-GB"/>
        </w:rPr>
        <w:t xml:space="preserve"> results in people developing serious health conditions.</w:t>
      </w:r>
    </w:p>
    <w:p w14:paraId="64F50E6B" w14:textId="69D907F0" w:rsidR="00E47322" w:rsidRDefault="00E47322" w:rsidP="00C21014">
      <w:pPr>
        <w:pStyle w:val="HRCSParagraph"/>
        <w:rPr>
          <w:lang w:val="en-GB"/>
        </w:rPr>
      </w:pPr>
      <w:r>
        <w:rPr>
          <w:lang w:val="en-GB"/>
        </w:rPr>
        <w:t xml:space="preserve">Workplace exposure to lead </w:t>
      </w:r>
      <w:r w:rsidR="00483EBC">
        <w:rPr>
          <w:lang w:val="en-GB"/>
        </w:rPr>
        <w:t xml:space="preserve">through ingestion or inhalation can </w:t>
      </w:r>
      <w:r w:rsidR="00AE4F4D">
        <w:rPr>
          <w:lang w:val="en-GB"/>
        </w:rPr>
        <w:t xml:space="preserve">have detrimental effects on the nervous system, increased blood pressure, heart rate variability, </w:t>
      </w:r>
      <w:r w:rsidR="008D15AC">
        <w:rPr>
          <w:lang w:val="en-GB"/>
        </w:rPr>
        <w:t>kidney dysfunction, changes in immune system markers, reduced sperm quality and haematological effects</w:t>
      </w:r>
      <w:r w:rsidR="00F024C2">
        <w:rPr>
          <w:lang w:val="en-GB"/>
        </w:rPr>
        <w:t xml:space="preserve"> (Safe</w:t>
      </w:r>
      <w:r w:rsidR="00EB06D2">
        <w:rPr>
          <w:lang w:val="en-GB"/>
        </w:rPr>
        <w:t> </w:t>
      </w:r>
      <w:r w:rsidR="00F024C2">
        <w:rPr>
          <w:lang w:val="en-GB"/>
        </w:rPr>
        <w:t xml:space="preserve">Work Australia, </w:t>
      </w:r>
      <w:r w:rsidR="009B4BA0">
        <w:rPr>
          <w:lang w:val="en-GB"/>
        </w:rPr>
        <w:t>2016)</w:t>
      </w:r>
      <w:r w:rsidR="008D15AC">
        <w:rPr>
          <w:lang w:val="en-GB"/>
        </w:rPr>
        <w:t>. It can also increase the risk of detrimental intellectual development in unborn children, and increased risk of spontaneous abortion.</w:t>
      </w:r>
      <w:r w:rsidR="00A14626" w:rsidRPr="00A14626">
        <w:rPr>
          <w:rFonts w:ascii="Noto Sans" w:eastAsia="Times New Roman" w:hAnsi="Noto Sans" w:cs="Noto Sans"/>
          <w:color w:val="3C4245"/>
          <w:shd w:val="clear" w:color="auto" w:fill="FFFFFF"/>
          <w:lang w:val="en-GB"/>
        </w:rPr>
        <w:t xml:space="preserve"> </w:t>
      </w:r>
      <w:r w:rsidR="00A14626" w:rsidRPr="00A14626">
        <w:rPr>
          <w:lang w:val="en-GB"/>
        </w:rPr>
        <w:t xml:space="preserve">Lead exposure during pregnancy can </w:t>
      </w:r>
      <w:r w:rsidR="00C45407">
        <w:rPr>
          <w:lang w:val="en-GB"/>
        </w:rPr>
        <w:t xml:space="preserve">also </w:t>
      </w:r>
      <w:r w:rsidR="00A14626" w:rsidRPr="00A14626">
        <w:rPr>
          <w:lang w:val="en-GB"/>
        </w:rPr>
        <w:t xml:space="preserve">cause reduced </w:t>
      </w:r>
      <w:r w:rsidR="00CD0B4A" w:rsidRPr="00A14626">
        <w:rPr>
          <w:lang w:val="en-GB"/>
        </w:rPr>
        <w:t>foetal</w:t>
      </w:r>
      <w:r w:rsidR="00A14626" w:rsidRPr="00A14626">
        <w:rPr>
          <w:lang w:val="en-GB"/>
        </w:rPr>
        <w:t xml:space="preserve"> growth and preterm birth</w:t>
      </w:r>
      <w:r w:rsidR="009B4BA0">
        <w:rPr>
          <w:lang w:val="en-GB"/>
        </w:rPr>
        <w:t xml:space="preserve"> (World Health Organisation</w:t>
      </w:r>
      <w:r w:rsidR="00A94EFC">
        <w:rPr>
          <w:lang w:val="en-GB"/>
        </w:rPr>
        <w:t>, 2024)</w:t>
      </w:r>
      <w:r w:rsidR="00A14626" w:rsidRPr="00A14626">
        <w:rPr>
          <w:lang w:val="en-GB"/>
        </w:rPr>
        <w:t>.</w:t>
      </w:r>
      <w:r w:rsidR="00026620">
        <w:rPr>
          <w:lang w:val="en-GB"/>
        </w:rPr>
        <w:t xml:space="preserve"> According to the World Health Organisation, l</w:t>
      </w:r>
      <w:r w:rsidR="00026620" w:rsidRPr="00A14626">
        <w:rPr>
          <w:lang w:val="en-GB"/>
        </w:rPr>
        <w:t xml:space="preserve">ead </w:t>
      </w:r>
      <w:r w:rsidR="00C45407">
        <w:rPr>
          <w:lang w:val="en-GB"/>
        </w:rPr>
        <w:t xml:space="preserve">also </w:t>
      </w:r>
      <w:r w:rsidR="00026620" w:rsidRPr="00A14626">
        <w:rPr>
          <w:lang w:val="en-GB"/>
        </w:rPr>
        <w:t>causes long-term harm in adults, including increased risk of high blood pressure, cardiovascular problems and kidney damage.</w:t>
      </w:r>
    </w:p>
    <w:p w14:paraId="6220206C" w14:textId="1CDF11C5" w:rsidR="00445A00" w:rsidRPr="00445A00" w:rsidRDefault="00445A00" w:rsidP="00445A00">
      <w:pPr>
        <w:pStyle w:val="HRCSParagraph"/>
      </w:pPr>
      <w:r w:rsidRPr="00445A00">
        <w:t xml:space="preserve">The Amendment Regulations positively engage the right to the enjoyment of the highest attainable standard of physical health </w:t>
      </w:r>
      <w:r w:rsidR="00574399">
        <w:t>by contributing</w:t>
      </w:r>
      <w:r w:rsidR="003D19F6">
        <w:t xml:space="preserve"> towards </w:t>
      </w:r>
      <w:r w:rsidR="001D0215">
        <w:t xml:space="preserve">ensuring workers are not exposed to </w:t>
      </w:r>
      <w:r w:rsidR="00117F75">
        <w:t>unacceptable levels of lead when conducting lead risk work</w:t>
      </w:r>
      <w:r w:rsidR="003D19F6">
        <w:t xml:space="preserve">. The Amendment Regulations do so by </w:t>
      </w:r>
      <w:r w:rsidR="00A6299D">
        <w:t xml:space="preserve">lowering the regulatory threshold levels at which </w:t>
      </w:r>
      <w:r w:rsidR="000235E2">
        <w:t xml:space="preserve">lead risk workers receive more frequent biological monitoring, </w:t>
      </w:r>
      <w:r w:rsidR="00117F75">
        <w:t>when</w:t>
      </w:r>
      <w:r w:rsidR="000235E2">
        <w:t xml:space="preserve"> a worker must be removed from lead risk work</w:t>
      </w:r>
      <w:r w:rsidR="00117F75">
        <w:t xml:space="preserve">, and when they may be returned to </w:t>
      </w:r>
      <w:r w:rsidR="00B82D6F">
        <w:t>lead risk work</w:t>
      </w:r>
      <w:r w:rsidR="000235E2">
        <w:t>.</w:t>
      </w:r>
      <w:r w:rsidR="00424C14">
        <w:t xml:space="preserve"> This helps to create safer working </w:t>
      </w:r>
      <w:r w:rsidR="00CD0B4A">
        <w:t>environments and</w:t>
      </w:r>
      <w:r w:rsidR="00424C14">
        <w:t xml:space="preserve"> </w:t>
      </w:r>
      <w:r w:rsidR="00C45407">
        <w:t>is designed to</w:t>
      </w:r>
      <w:r w:rsidR="00424C14">
        <w:t xml:space="preserve"> reduce </w:t>
      </w:r>
      <w:r w:rsidR="00293BEA">
        <w:t>adverse health conditions associated with lead exposure</w:t>
      </w:r>
      <w:r w:rsidR="00A65679">
        <w:t>.</w:t>
      </w:r>
    </w:p>
    <w:p w14:paraId="27B63AAA" w14:textId="77777777" w:rsidR="004154B3" w:rsidRPr="004154B3" w:rsidRDefault="004154B3" w:rsidP="008C465B">
      <w:pPr>
        <w:pStyle w:val="Heading3"/>
      </w:pPr>
      <w:r w:rsidRPr="004154B3">
        <w:t>Conclusion </w:t>
      </w:r>
    </w:p>
    <w:p w14:paraId="14F558F0" w14:textId="36EB60B1" w:rsidR="004154B3" w:rsidRPr="004154B3" w:rsidRDefault="004154B3" w:rsidP="004975A1">
      <w:pPr>
        <w:pStyle w:val="HRCSParagraph"/>
      </w:pPr>
      <w:r w:rsidRPr="004154B3">
        <w:t xml:space="preserve">This </w:t>
      </w:r>
      <w:r w:rsidR="00604ABF">
        <w:t>l</w:t>
      </w:r>
      <w:r w:rsidRPr="004154B3">
        <w:t xml:space="preserve">egislative </w:t>
      </w:r>
      <w:r w:rsidR="00604ABF">
        <w:t>i</w:t>
      </w:r>
      <w:r w:rsidRPr="004154B3">
        <w:t>nstrument is compatible with human rights and promotes the right to safe and health working conditions.  </w:t>
      </w:r>
    </w:p>
    <w:p w14:paraId="444EEA5A" w14:textId="4352A0E5" w:rsidR="00890B03" w:rsidRPr="00890B03" w:rsidRDefault="00A94EFC" w:rsidP="00C81703">
      <w:pPr>
        <w:pStyle w:val="Notesonclausepara"/>
        <w:numPr>
          <w:ilvl w:val="0"/>
          <w:numId w:val="0"/>
        </w:numPr>
        <w:spacing w:after="120"/>
        <w:rPr>
          <w:b/>
          <w:bCs/>
        </w:rPr>
      </w:pPr>
      <w:r>
        <w:rPr>
          <w:b/>
          <w:bCs/>
        </w:rPr>
        <w:t>References</w:t>
      </w:r>
    </w:p>
    <w:p w14:paraId="17642D75" w14:textId="005039FB" w:rsidR="00FF39A8" w:rsidRPr="000D7A7F" w:rsidRDefault="00A94EFC" w:rsidP="00C81703">
      <w:pPr>
        <w:pStyle w:val="Notesonclausepara"/>
        <w:numPr>
          <w:ilvl w:val="0"/>
          <w:numId w:val="0"/>
        </w:numPr>
        <w:spacing w:after="120"/>
      </w:pPr>
      <w:r>
        <w:t>Safe Work Australia</w:t>
      </w:r>
      <w:r w:rsidR="003A122E">
        <w:t xml:space="preserve"> (SWA)</w:t>
      </w:r>
      <w:r w:rsidR="00122881">
        <w:t xml:space="preserve"> (201</w:t>
      </w:r>
      <w:r w:rsidR="00C77227">
        <w:t>6</w:t>
      </w:r>
      <w:r w:rsidR="00122881">
        <w:t xml:space="preserve">) </w:t>
      </w:r>
      <w:r w:rsidR="00122881" w:rsidRPr="00FC5A1D">
        <w:rPr>
          <w:i/>
          <w:iCs/>
        </w:rPr>
        <w:t xml:space="preserve">Decision Regulation Impact Statement </w:t>
      </w:r>
      <w:r w:rsidR="00115303" w:rsidRPr="00FC5A1D">
        <w:rPr>
          <w:i/>
          <w:iCs/>
        </w:rPr>
        <w:t>Managing risks associated with lead in the workplace: blood lead removal levels and workplace exposure standard</w:t>
      </w:r>
      <w:r w:rsidR="002B1A74">
        <w:t xml:space="preserve">, </w:t>
      </w:r>
      <w:r w:rsidR="003A122E">
        <w:t>SWA</w:t>
      </w:r>
      <w:r w:rsidR="00B35B4C">
        <w:t xml:space="preserve"> website</w:t>
      </w:r>
      <w:r w:rsidR="002B1A74">
        <w:t xml:space="preserve">, accessed </w:t>
      </w:r>
      <w:r w:rsidR="00FF39A8">
        <w:t>17 February 2025.</w:t>
      </w:r>
      <w:r w:rsidR="00A70CD3">
        <w:br/>
      </w:r>
      <w:r w:rsidR="00A70CD3" w:rsidRPr="00FC5A1D">
        <w:rPr>
          <w:lang w:val="en-GB"/>
        </w:rPr>
        <w:t>https://www.safeworkaustralia.gov.au/sites/default/files/2021-11/decision-regulation-impact-statement-managing-risks-associated-with-lead-in-the-workplace.pdf</w:t>
      </w:r>
    </w:p>
    <w:p w14:paraId="561ED595" w14:textId="77777777" w:rsidR="00A70CD3" w:rsidRDefault="00A70CD3" w:rsidP="00C81703">
      <w:pPr>
        <w:pStyle w:val="Notesonclausepara"/>
        <w:numPr>
          <w:ilvl w:val="0"/>
          <w:numId w:val="0"/>
        </w:numPr>
        <w:spacing w:after="120"/>
        <w:rPr>
          <w:lang w:val="en-GB"/>
        </w:rPr>
      </w:pPr>
    </w:p>
    <w:p w14:paraId="0171A110" w14:textId="24D5FE30" w:rsidR="00A70CD3" w:rsidRPr="004E2263" w:rsidRDefault="00A70CD3" w:rsidP="00C81703">
      <w:pPr>
        <w:pStyle w:val="Notesonclausepara"/>
        <w:numPr>
          <w:ilvl w:val="0"/>
          <w:numId w:val="0"/>
        </w:numPr>
        <w:spacing w:after="120"/>
      </w:pPr>
      <w:r>
        <w:rPr>
          <w:lang w:val="en-GB"/>
        </w:rPr>
        <w:t xml:space="preserve">World Health Organisation </w:t>
      </w:r>
      <w:r w:rsidR="003A122E">
        <w:rPr>
          <w:lang w:val="en-GB"/>
        </w:rPr>
        <w:t xml:space="preserve">(WHO) </w:t>
      </w:r>
      <w:r>
        <w:rPr>
          <w:lang w:val="en-GB"/>
        </w:rPr>
        <w:t xml:space="preserve">(2024) </w:t>
      </w:r>
      <w:r w:rsidR="00BD1026" w:rsidRPr="00FC5A1D">
        <w:rPr>
          <w:i/>
          <w:iCs/>
          <w:lang w:val="en-GB"/>
        </w:rPr>
        <w:t xml:space="preserve">Fact sheet: </w:t>
      </w:r>
      <w:r w:rsidR="004E2263" w:rsidRPr="00FC5A1D">
        <w:rPr>
          <w:i/>
          <w:iCs/>
          <w:lang w:val="en-GB"/>
        </w:rPr>
        <w:t>Lead Poisoning</w:t>
      </w:r>
      <w:r w:rsidR="004E2263">
        <w:rPr>
          <w:lang w:val="en-GB"/>
        </w:rPr>
        <w:t xml:space="preserve">, </w:t>
      </w:r>
      <w:r w:rsidR="003A122E">
        <w:rPr>
          <w:lang w:val="en-GB"/>
        </w:rPr>
        <w:t>WHO</w:t>
      </w:r>
      <w:r w:rsidR="00B35B4C">
        <w:rPr>
          <w:lang w:val="en-GB"/>
        </w:rPr>
        <w:t xml:space="preserve"> website</w:t>
      </w:r>
      <w:r w:rsidR="003A122E">
        <w:rPr>
          <w:lang w:val="en-GB"/>
        </w:rPr>
        <w:t>, accessed 17</w:t>
      </w:r>
      <w:r w:rsidR="00B35B4C">
        <w:rPr>
          <w:lang w:val="en-GB"/>
        </w:rPr>
        <w:t> </w:t>
      </w:r>
      <w:r w:rsidR="003A122E">
        <w:rPr>
          <w:lang w:val="en-GB"/>
        </w:rPr>
        <w:t>February 20</w:t>
      </w:r>
      <w:r w:rsidR="00B35B4C">
        <w:rPr>
          <w:lang w:val="en-GB"/>
        </w:rPr>
        <w:t>25</w:t>
      </w:r>
      <w:r w:rsidR="003A122E">
        <w:rPr>
          <w:lang w:val="en-GB"/>
        </w:rPr>
        <w:t xml:space="preserve">. </w:t>
      </w:r>
      <w:r w:rsidR="003A122E">
        <w:rPr>
          <w:lang w:val="en-GB"/>
        </w:rPr>
        <w:br/>
      </w:r>
      <w:r w:rsidR="00BD1026" w:rsidRPr="00FC5A1D">
        <w:rPr>
          <w:lang w:val="en-GB"/>
        </w:rPr>
        <w:t>https://www.who.int/news-room/fact-sheets/detail/lead-poisoning-and-health</w:t>
      </w:r>
      <w:r w:rsidR="004E2263">
        <w:rPr>
          <w:lang w:val="en-GB"/>
        </w:rPr>
        <w:t xml:space="preserve"> </w:t>
      </w:r>
    </w:p>
    <w:sectPr w:rsidR="00A70CD3" w:rsidRPr="004E22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12BCF" w14:textId="77777777" w:rsidR="00D543E7" w:rsidRDefault="00D543E7" w:rsidP="000D7A7F">
      <w:r>
        <w:separator/>
      </w:r>
    </w:p>
  </w:endnote>
  <w:endnote w:type="continuationSeparator" w:id="0">
    <w:p w14:paraId="2E188957" w14:textId="77777777" w:rsidR="00D543E7" w:rsidRDefault="00D543E7" w:rsidP="000D7A7F">
      <w:r>
        <w:continuationSeparator/>
      </w:r>
    </w:p>
  </w:endnote>
  <w:endnote w:type="continuationNotice" w:id="1">
    <w:p w14:paraId="4D1957B2" w14:textId="77777777" w:rsidR="00D543E7" w:rsidRDefault="00D543E7" w:rsidP="000D7A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D6CC9" w14:textId="691DC13F" w:rsidR="00421B16" w:rsidRDefault="00421B16" w:rsidP="005A670A">
    <w:pPr>
      <w:pStyle w:val="Footer"/>
    </w:pPr>
    <w:r>
      <w:rPr>
        <w:noProof/>
      </w:rPr>
      <mc:AlternateContent>
        <mc:Choice Requires="wps">
          <w:drawing>
            <wp:anchor distT="0" distB="0" distL="0" distR="0" simplePos="0" relativeHeight="251658243" behindDoc="0" locked="0" layoutInCell="1" allowOverlap="1" wp14:anchorId="358B7D88" wp14:editId="421490EA">
              <wp:simplePos x="635" y="635"/>
              <wp:positionH relativeFrom="page">
                <wp:align>center</wp:align>
              </wp:positionH>
              <wp:positionV relativeFrom="page">
                <wp:align>bottom</wp:align>
              </wp:positionV>
              <wp:extent cx="443865" cy="443865"/>
              <wp:effectExtent l="0" t="0" r="1270" b="0"/>
              <wp:wrapNone/>
              <wp:docPr id="915438106" name="Text Box 915438106"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FCBD3D" w14:textId="3AF4A3EE" w:rsidR="00421B16" w:rsidRPr="00421B16" w:rsidRDefault="00421B16" w:rsidP="000D7A7F">
                          <w:pPr>
                            <w:rPr>
                              <w:rFonts w:eastAsia="Arial"/>
                              <w:noProof/>
                            </w:rPr>
                          </w:pPr>
                          <w:r w:rsidRPr="00421B16">
                            <w:rPr>
                              <w:rFonts w:eastAsia="Arial"/>
                              <w:noProof/>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8B7D88" id="_x0000_t202" coordsize="21600,21600" o:spt="202" path="m,l,21600r21600,l21600,xe">
              <v:stroke joinstyle="miter"/>
              <v:path gradientshapeok="t" o:connecttype="rect"/>
            </v:shapetype>
            <v:shape id="Text Box 915438106" o:spid="_x0000_s1027" type="#_x0000_t202" alt="OFFICIAL: Sensitive"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0FCBD3D" w14:textId="3AF4A3EE" w:rsidR="00421B16" w:rsidRPr="00421B16" w:rsidRDefault="00421B16" w:rsidP="000D7A7F">
                    <w:pPr>
                      <w:rPr>
                        <w:rFonts w:eastAsia="Arial"/>
                        <w:noProof/>
                      </w:rPr>
                    </w:pPr>
                    <w:r w:rsidRPr="00421B16">
                      <w:rPr>
                        <w:rFonts w:eastAsia="Arial"/>
                        <w:noProof/>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7B9B4" w14:textId="4098F9A6" w:rsidR="00421B16" w:rsidRDefault="00421B16" w:rsidP="005A670A">
    <w:pPr>
      <w:pStyle w:val="Footer"/>
    </w:pPr>
    <w:r>
      <w:rPr>
        <w:noProof/>
      </w:rPr>
      <mc:AlternateContent>
        <mc:Choice Requires="wps">
          <w:drawing>
            <wp:anchor distT="0" distB="0" distL="0" distR="0" simplePos="0" relativeHeight="251658242" behindDoc="0" locked="0" layoutInCell="1" allowOverlap="1" wp14:anchorId="47AE24F4" wp14:editId="0295241B">
              <wp:simplePos x="635" y="635"/>
              <wp:positionH relativeFrom="page">
                <wp:align>center</wp:align>
              </wp:positionH>
              <wp:positionV relativeFrom="page">
                <wp:align>bottom</wp:align>
              </wp:positionV>
              <wp:extent cx="443865" cy="443865"/>
              <wp:effectExtent l="0" t="0" r="1270" b="0"/>
              <wp:wrapNone/>
              <wp:docPr id="1601110011" name="Text Box 1601110011"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5D73D3" w14:textId="24312498" w:rsidR="00421B16" w:rsidRPr="00421B16" w:rsidRDefault="00421B16" w:rsidP="000D7A7F">
                          <w:pPr>
                            <w:rPr>
                              <w:rFonts w:eastAsia="Arial"/>
                              <w:noProof/>
                            </w:rPr>
                          </w:pPr>
                          <w:r w:rsidRPr="00421B16">
                            <w:rPr>
                              <w:rFonts w:eastAsia="Arial"/>
                              <w:noProof/>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AE24F4" id="_x0000_t202" coordsize="21600,21600" o:spt="202" path="m,l,21600r21600,l21600,xe">
              <v:stroke joinstyle="miter"/>
              <v:path gradientshapeok="t" o:connecttype="rect"/>
            </v:shapetype>
            <v:shape id="Text Box 1601110011" o:spid="_x0000_s1029" type="#_x0000_t202" alt="OFFICIAL: Sensitive"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85D73D3" w14:textId="24312498" w:rsidR="00421B16" w:rsidRPr="00421B16" w:rsidRDefault="00421B16" w:rsidP="000D7A7F">
                    <w:pPr>
                      <w:rPr>
                        <w:rFonts w:eastAsia="Arial"/>
                        <w:noProof/>
                      </w:rPr>
                    </w:pPr>
                    <w:r w:rsidRPr="00421B16">
                      <w:rPr>
                        <w:rFonts w:eastAsia="Arial"/>
                        <w:noProof/>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3F81F" w14:textId="77777777" w:rsidR="00D543E7" w:rsidRDefault="00D543E7" w:rsidP="000D7A7F">
      <w:r>
        <w:separator/>
      </w:r>
    </w:p>
  </w:footnote>
  <w:footnote w:type="continuationSeparator" w:id="0">
    <w:p w14:paraId="730715EC" w14:textId="77777777" w:rsidR="00D543E7" w:rsidRDefault="00D543E7" w:rsidP="000D7A7F">
      <w:r>
        <w:continuationSeparator/>
      </w:r>
    </w:p>
  </w:footnote>
  <w:footnote w:type="continuationNotice" w:id="1">
    <w:p w14:paraId="6047C76F" w14:textId="77777777" w:rsidR="00D543E7" w:rsidRDefault="00D543E7" w:rsidP="000D7A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6DE9B" w14:textId="3FCA086A" w:rsidR="00421B16" w:rsidRDefault="00421B16" w:rsidP="005A670A">
    <w:pPr>
      <w:pStyle w:val="Header"/>
    </w:pPr>
    <w:r>
      <w:rPr>
        <w:noProof/>
      </w:rPr>
      <mc:AlternateContent>
        <mc:Choice Requires="wps">
          <w:drawing>
            <wp:anchor distT="0" distB="0" distL="0" distR="0" simplePos="0" relativeHeight="251658241" behindDoc="0" locked="0" layoutInCell="1" allowOverlap="1" wp14:anchorId="44B1A253" wp14:editId="500D2518">
              <wp:simplePos x="635" y="635"/>
              <wp:positionH relativeFrom="page">
                <wp:align>center</wp:align>
              </wp:positionH>
              <wp:positionV relativeFrom="page">
                <wp:align>top</wp:align>
              </wp:positionV>
              <wp:extent cx="443865" cy="443865"/>
              <wp:effectExtent l="0" t="0" r="1270" b="1270"/>
              <wp:wrapNone/>
              <wp:docPr id="1248681107" name="Text Box 1248681107"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598404" w14:textId="0B2A5324" w:rsidR="00421B16" w:rsidRPr="00421B16" w:rsidRDefault="00421B16" w:rsidP="000D7A7F">
                          <w:pPr>
                            <w:rPr>
                              <w:rFonts w:eastAsia="Arial"/>
                              <w:noProof/>
                            </w:rPr>
                          </w:pPr>
                          <w:r w:rsidRPr="00421B16">
                            <w:rPr>
                              <w:rFonts w:eastAsia="Arial"/>
                              <w:noProof/>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B1A253" id="_x0000_t202" coordsize="21600,21600" o:spt="202" path="m,l,21600r21600,l21600,xe">
              <v:stroke joinstyle="miter"/>
              <v:path gradientshapeok="t" o:connecttype="rect"/>
            </v:shapetype>
            <v:shape id="Text Box 1248681107" o:spid="_x0000_s1026" type="#_x0000_t202" alt="OFFICIAL: Sensitiv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E598404" w14:textId="0B2A5324" w:rsidR="00421B16" w:rsidRPr="00421B16" w:rsidRDefault="00421B16" w:rsidP="000D7A7F">
                    <w:pPr>
                      <w:rPr>
                        <w:rFonts w:eastAsia="Arial"/>
                        <w:noProof/>
                      </w:rPr>
                    </w:pPr>
                    <w:r w:rsidRPr="00421B16">
                      <w:rPr>
                        <w:rFonts w:eastAsia="Arial"/>
                        <w:noProof/>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7E347" w14:textId="1F12FD24" w:rsidR="00421B16" w:rsidRDefault="00421B16" w:rsidP="005A670A">
    <w:pPr>
      <w:pStyle w:val="Header"/>
    </w:pPr>
    <w:r>
      <w:rPr>
        <w:noProof/>
      </w:rPr>
      <mc:AlternateContent>
        <mc:Choice Requires="wps">
          <w:drawing>
            <wp:anchor distT="0" distB="0" distL="0" distR="0" simplePos="0" relativeHeight="251658240" behindDoc="0" locked="0" layoutInCell="1" allowOverlap="1" wp14:anchorId="368610FD" wp14:editId="66B55758">
              <wp:simplePos x="635" y="635"/>
              <wp:positionH relativeFrom="page">
                <wp:align>center</wp:align>
              </wp:positionH>
              <wp:positionV relativeFrom="page">
                <wp:align>top</wp:align>
              </wp:positionV>
              <wp:extent cx="443865" cy="443865"/>
              <wp:effectExtent l="0" t="0" r="1270" b="1270"/>
              <wp:wrapNone/>
              <wp:docPr id="1728996821" name="Text Box 172899682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74BD25" w14:textId="2C8903A4" w:rsidR="00421B16" w:rsidRPr="00421B16" w:rsidRDefault="00421B16" w:rsidP="000D7A7F">
                          <w:pPr>
                            <w:rPr>
                              <w:rFonts w:eastAsia="Arial"/>
                              <w:noProof/>
                            </w:rPr>
                          </w:pPr>
                          <w:r w:rsidRPr="00421B16">
                            <w:rPr>
                              <w:rFonts w:eastAsia="Arial"/>
                              <w:noProof/>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8610FD" id="_x0000_t202" coordsize="21600,21600" o:spt="202" path="m,l,21600r21600,l21600,xe">
              <v:stroke joinstyle="miter"/>
              <v:path gradientshapeok="t" o:connecttype="rect"/>
            </v:shapetype>
            <v:shape id="Text Box 1728996821" o:spid="_x0000_s1028" type="#_x0000_t202" alt="OFFICIAL: Sensitiv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F74BD25" w14:textId="2C8903A4" w:rsidR="00421B16" w:rsidRPr="00421B16" w:rsidRDefault="00421B16" w:rsidP="000D7A7F">
                    <w:pPr>
                      <w:rPr>
                        <w:rFonts w:eastAsia="Arial"/>
                        <w:noProof/>
                      </w:rPr>
                    </w:pPr>
                    <w:r w:rsidRPr="00421B16">
                      <w:rPr>
                        <w:rFonts w:eastAsia="Arial"/>
                        <w:noProof/>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07B73"/>
    <w:multiLevelType w:val="multilevel"/>
    <w:tmpl w:val="9F8426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2143F7"/>
    <w:multiLevelType w:val="multilevel"/>
    <w:tmpl w:val="0C09001D"/>
    <w:numStyleLink w:val="Style1"/>
  </w:abstractNum>
  <w:abstractNum w:abstractNumId="2" w15:restartNumberingAfterBreak="0">
    <w:nsid w:val="13060076"/>
    <w:multiLevelType w:val="hybridMultilevel"/>
    <w:tmpl w:val="DE446062"/>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1D2C44F9"/>
    <w:multiLevelType w:val="multilevel"/>
    <w:tmpl w:val="0526C23E"/>
    <w:numStyleLink w:val="Itemnumbering"/>
  </w:abstractNum>
  <w:abstractNum w:abstractNumId="4" w15:restartNumberingAfterBreak="0">
    <w:nsid w:val="27003C45"/>
    <w:multiLevelType w:val="hybridMultilevel"/>
    <w:tmpl w:val="9CE22E3C"/>
    <w:lvl w:ilvl="0" w:tplc="0CE4E5C8">
      <w:start w:val="26"/>
      <w:numFmt w:val="decimal"/>
      <w:pStyle w:val="SCHRnumbers"/>
      <w:lvlText w:val="%1."/>
      <w:lvlJc w:val="left"/>
      <w:pPr>
        <w:ind w:left="720" w:hanging="360"/>
      </w:pPr>
    </w:lvl>
    <w:lvl w:ilvl="1" w:tplc="E2FEEAEC">
      <w:start w:val="1"/>
      <w:numFmt w:val="lowerLetter"/>
      <w:lvlText w:val="%2."/>
      <w:lvlJc w:val="left"/>
      <w:pPr>
        <w:ind w:left="1440" w:hanging="360"/>
      </w:pPr>
    </w:lvl>
    <w:lvl w:ilvl="2" w:tplc="1A547E6C">
      <w:start w:val="1"/>
      <w:numFmt w:val="lowerRoman"/>
      <w:lvlText w:val="%3."/>
      <w:lvlJc w:val="right"/>
      <w:pPr>
        <w:ind w:left="2160" w:hanging="180"/>
      </w:pPr>
    </w:lvl>
    <w:lvl w:ilvl="3" w:tplc="537ACC3E">
      <w:start w:val="1"/>
      <w:numFmt w:val="decimal"/>
      <w:lvlText w:val="%4."/>
      <w:lvlJc w:val="left"/>
      <w:pPr>
        <w:ind w:left="2880" w:hanging="360"/>
      </w:pPr>
    </w:lvl>
    <w:lvl w:ilvl="4" w:tplc="F8B86C98">
      <w:start w:val="1"/>
      <w:numFmt w:val="lowerLetter"/>
      <w:lvlText w:val="%5."/>
      <w:lvlJc w:val="left"/>
      <w:pPr>
        <w:ind w:left="3600" w:hanging="360"/>
      </w:pPr>
    </w:lvl>
    <w:lvl w:ilvl="5" w:tplc="77BCC708">
      <w:start w:val="1"/>
      <w:numFmt w:val="lowerRoman"/>
      <w:lvlText w:val="%6."/>
      <w:lvlJc w:val="right"/>
      <w:pPr>
        <w:ind w:left="4320" w:hanging="180"/>
      </w:pPr>
    </w:lvl>
    <w:lvl w:ilvl="6" w:tplc="366641A4">
      <w:start w:val="1"/>
      <w:numFmt w:val="decimal"/>
      <w:lvlText w:val="%7."/>
      <w:lvlJc w:val="left"/>
      <w:pPr>
        <w:ind w:left="5040" w:hanging="360"/>
      </w:pPr>
    </w:lvl>
    <w:lvl w:ilvl="7" w:tplc="9ADC8CA4">
      <w:start w:val="1"/>
      <w:numFmt w:val="lowerLetter"/>
      <w:lvlText w:val="%8."/>
      <w:lvlJc w:val="left"/>
      <w:pPr>
        <w:ind w:left="5760" w:hanging="360"/>
      </w:pPr>
    </w:lvl>
    <w:lvl w:ilvl="8" w:tplc="DEF6014E">
      <w:start w:val="1"/>
      <w:numFmt w:val="lowerRoman"/>
      <w:lvlText w:val="%9."/>
      <w:lvlJc w:val="right"/>
      <w:pPr>
        <w:ind w:left="6480" w:hanging="180"/>
      </w:pPr>
    </w:lvl>
  </w:abstractNum>
  <w:abstractNum w:abstractNumId="5" w15:restartNumberingAfterBreak="0">
    <w:nsid w:val="280218E7"/>
    <w:multiLevelType w:val="hybridMultilevel"/>
    <w:tmpl w:val="031486F8"/>
    <w:lvl w:ilvl="0" w:tplc="5D226F62">
      <w:start w:val="1"/>
      <w:numFmt w:val="decimal"/>
      <w:pStyle w:val="Notesonclausepara"/>
      <w:lvlText w:val="%1."/>
      <w:lvlJc w:val="left"/>
      <w:pPr>
        <w:ind w:left="360" w:hanging="360"/>
      </w:pPr>
      <w:rPr>
        <w:b w:val="0"/>
        <w:bCs w:val="0"/>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8B262A0"/>
    <w:multiLevelType w:val="hybridMultilevel"/>
    <w:tmpl w:val="E3E6A652"/>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2A09583C"/>
    <w:multiLevelType w:val="hybridMultilevel"/>
    <w:tmpl w:val="6EF8C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533B64"/>
    <w:multiLevelType w:val="hybridMultilevel"/>
    <w:tmpl w:val="65781BBE"/>
    <w:lvl w:ilvl="0" w:tplc="96CC86A6">
      <w:start w:val="1"/>
      <w:numFmt w:val="bullet"/>
      <w:pStyle w:val="EMfirstbullet"/>
      <w:lvlText w:val=""/>
      <w:lvlJc w:val="left"/>
      <w:pPr>
        <w:ind w:left="927" w:hanging="360"/>
      </w:pPr>
      <w:rPr>
        <w:rFonts w:ascii="Symbol" w:hAnsi="Symbol" w:hint="default"/>
      </w:rPr>
    </w:lvl>
    <w:lvl w:ilvl="1" w:tplc="186AF42C">
      <w:start w:val="1"/>
      <w:numFmt w:val="bullet"/>
      <w:lvlText w:val="o"/>
      <w:lvlJc w:val="left"/>
      <w:pPr>
        <w:ind w:left="1440" w:hanging="360"/>
      </w:pPr>
      <w:rPr>
        <w:rFonts w:ascii="Courier New" w:hAnsi="Courier New" w:hint="default"/>
      </w:rPr>
    </w:lvl>
    <w:lvl w:ilvl="2" w:tplc="E9C4BBF0">
      <w:start w:val="1"/>
      <w:numFmt w:val="bullet"/>
      <w:lvlText w:val=""/>
      <w:lvlJc w:val="left"/>
      <w:pPr>
        <w:ind w:left="2160" w:hanging="360"/>
      </w:pPr>
      <w:rPr>
        <w:rFonts w:ascii="Wingdings" w:hAnsi="Wingdings" w:hint="default"/>
      </w:rPr>
    </w:lvl>
    <w:lvl w:ilvl="3" w:tplc="800496DA">
      <w:start w:val="1"/>
      <w:numFmt w:val="bullet"/>
      <w:lvlText w:val=""/>
      <w:lvlJc w:val="left"/>
      <w:pPr>
        <w:ind w:left="2880" w:hanging="360"/>
      </w:pPr>
      <w:rPr>
        <w:rFonts w:ascii="Symbol" w:hAnsi="Symbol" w:hint="default"/>
      </w:rPr>
    </w:lvl>
    <w:lvl w:ilvl="4" w:tplc="B9B85F68">
      <w:start w:val="1"/>
      <w:numFmt w:val="bullet"/>
      <w:lvlText w:val="o"/>
      <w:lvlJc w:val="left"/>
      <w:pPr>
        <w:ind w:left="3600" w:hanging="360"/>
      </w:pPr>
      <w:rPr>
        <w:rFonts w:ascii="Courier New" w:hAnsi="Courier New" w:hint="default"/>
      </w:rPr>
    </w:lvl>
    <w:lvl w:ilvl="5" w:tplc="9BA4630E">
      <w:start w:val="1"/>
      <w:numFmt w:val="bullet"/>
      <w:lvlText w:val=""/>
      <w:lvlJc w:val="left"/>
      <w:pPr>
        <w:ind w:left="4320" w:hanging="360"/>
      </w:pPr>
      <w:rPr>
        <w:rFonts w:ascii="Wingdings" w:hAnsi="Wingdings" w:hint="default"/>
      </w:rPr>
    </w:lvl>
    <w:lvl w:ilvl="6" w:tplc="95A4357C">
      <w:start w:val="1"/>
      <w:numFmt w:val="bullet"/>
      <w:lvlText w:val=""/>
      <w:lvlJc w:val="left"/>
      <w:pPr>
        <w:ind w:left="5040" w:hanging="360"/>
      </w:pPr>
      <w:rPr>
        <w:rFonts w:ascii="Symbol" w:hAnsi="Symbol" w:hint="default"/>
      </w:rPr>
    </w:lvl>
    <w:lvl w:ilvl="7" w:tplc="23C0038A">
      <w:start w:val="1"/>
      <w:numFmt w:val="bullet"/>
      <w:lvlText w:val="o"/>
      <w:lvlJc w:val="left"/>
      <w:pPr>
        <w:ind w:left="5760" w:hanging="360"/>
      </w:pPr>
      <w:rPr>
        <w:rFonts w:ascii="Courier New" w:hAnsi="Courier New" w:hint="default"/>
      </w:rPr>
    </w:lvl>
    <w:lvl w:ilvl="8" w:tplc="004A76C0">
      <w:start w:val="1"/>
      <w:numFmt w:val="bullet"/>
      <w:lvlText w:val=""/>
      <w:lvlJc w:val="left"/>
      <w:pPr>
        <w:ind w:left="6480" w:hanging="360"/>
      </w:pPr>
      <w:rPr>
        <w:rFonts w:ascii="Wingdings" w:hAnsi="Wingdings" w:hint="default"/>
      </w:rPr>
    </w:lvl>
  </w:abstractNum>
  <w:abstractNum w:abstractNumId="9" w15:restartNumberingAfterBreak="0">
    <w:nsid w:val="31177551"/>
    <w:multiLevelType w:val="hybridMultilevel"/>
    <w:tmpl w:val="E86294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9C6612"/>
    <w:multiLevelType w:val="hybridMultilevel"/>
    <w:tmpl w:val="113A4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6046DB"/>
    <w:multiLevelType w:val="multilevel"/>
    <w:tmpl w:val="0526C23E"/>
    <w:styleLink w:val="Itemnumbering"/>
    <w:lvl w:ilvl="0">
      <w:start w:val="1"/>
      <w:numFmt w:val="decimal"/>
      <w:lvlText w:val="%1."/>
      <w:lvlJc w:val="left"/>
      <w:pPr>
        <w:ind w:left="360" w:hanging="360"/>
      </w:pPr>
      <w:rPr>
        <w:rFonts w:ascii="Times New Roman" w:hAnsi="Times New Roman"/>
        <w:b w:val="0"/>
        <w:bCs w:val="0"/>
        <w:sz w:val="24"/>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2EB651A"/>
    <w:multiLevelType w:val="hybridMultilevel"/>
    <w:tmpl w:val="B9CC3C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5E419F"/>
    <w:multiLevelType w:val="hybridMultilevel"/>
    <w:tmpl w:val="68E6B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8A016E"/>
    <w:multiLevelType w:val="hybridMultilevel"/>
    <w:tmpl w:val="27D0A9EA"/>
    <w:lvl w:ilvl="0" w:tplc="E6888904">
      <w:start w:val="1"/>
      <w:numFmt w:val="bullet"/>
      <w:lvlText w:val=""/>
      <w:lvlJc w:val="left"/>
      <w:pPr>
        <w:ind w:left="780" w:hanging="360"/>
      </w:pPr>
      <w:rPr>
        <w:rFonts w:ascii="Symbol" w:hAnsi="Symbol" w:hint="default"/>
        <w:color w:val="auto"/>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557374C2"/>
    <w:multiLevelType w:val="hybridMultilevel"/>
    <w:tmpl w:val="D240833A"/>
    <w:lvl w:ilvl="0" w:tplc="A5CAB3A4">
      <w:start w:val="1"/>
      <w:numFmt w:val="decimal"/>
      <w:lvlText w:val="%1."/>
      <w:lvlJc w:val="left"/>
      <w:pPr>
        <w:ind w:left="720" w:hanging="360"/>
      </w:pPr>
      <w:rPr>
        <w:rFonts w:hint="default"/>
        <w:b w:val="0"/>
        <w:bCs/>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DE721B2"/>
    <w:multiLevelType w:val="hybridMultilevel"/>
    <w:tmpl w:val="E5AA2DD4"/>
    <w:lvl w:ilvl="0" w:tplc="89783C48">
      <w:start w:val="1"/>
      <w:numFmt w:val="bullet"/>
      <w:lvlText w:val=""/>
      <w:lvlJc w:val="left"/>
      <w:pPr>
        <w:ind w:left="720" w:hanging="360"/>
      </w:pPr>
      <w:rPr>
        <w:rFonts w:ascii="Symbol" w:hAnsi="Symbol" w:hint="default"/>
      </w:rPr>
    </w:lvl>
    <w:lvl w:ilvl="1" w:tplc="03EA619A">
      <w:start w:val="1"/>
      <w:numFmt w:val="bullet"/>
      <w:lvlText w:val="o"/>
      <w:lvlJc w:val="left"/>
      <w:pPr>
        <w:ind w:left="1440" w:hanging="360"/>
      </w:pPr>
      <w:rPr>
        <w:rFonts w:ascii="Courier New" w:hAnsi="Courier New" w:hint="default"/>
      </w:rPr>
    </w:lvl>
    <w:lvl w:ilvl="2" w:tplc="C3ECE576">
      <w:start w:val="1"/>
      <w:numFmt w:val="bullet"/>
      <w:lvlText w:val=""/>
      <w:lvlJc w:val="left"/>
      <w:pPr>
        <w:ind w:left="2160" w:hanging="360"/>
      </w:pPr>
      <w:rPr>
        <w:rFonts w:ascii="Wingdings" w:hAnsi="Wingdings" w:hint="default"/>
      </w:rPr>
    </w:lvl>
    <w:lvl w:ilvl="3" w:tplc="61D0E654">
      <w:start w:val="1"/>
      <w:numFmt w:val="bullet"/>
      <w:lvlText w:val=""/>
      <w:lvlJc w:val="left"/>
      <w:pPr>
        <w:ind w:left="2880" w:hanging="360"/>
      </w:pPr>
      <w:rPr>
        <w:rFonts w:ascii="Symbol" w:hAnsi="Symbol" w:hint="default"/>
      </w:rPr>
    </w:lvl>
    <w:lvl w:ilvl="4" w:tplc="A0AA418E">
      <w:start w:val="1"/>
      <w:numFmt w:val="bullet"/>
      <w:lvlText w:val="o"/>
      <w:lvlJc w:val="left"/>
      <w:pPr>
        <w:ind w:left="3600" w:hanging="360"/>
      </w:pPr>
      <w:rPr>
        <w:rFonts w:ascii="Courier New" w:hAnsi="Courier New" w:hint="default"/>
      </w:rPr>
    </w:lvl>
    <w:lvl w:ilvl="5" w:tplc="39E462B8">
      <w:start w:val="1"/>
      <w:numFmt w:val="bullet"/>
      <w:lvlText w:val=""/>
      <w:lvlJc w:val="left"/>
      <w:pPr>
        <w:ind w:left="4320" w:hanging="360"/>
      </w:pPr>
      <w:rPr>
        <w:rFonts w:ascii="Wingdings" w:hAnsi="Wingdings" w:hint="default"/>
      </w:rPr>
    </w:lvl>
    <w:lvl w:ilvl="6" w:tplc="CD32ACF8">
      <w:start w:val="1"/>
      <w:numFmt w:val="bullet"/>
      <w:lvlText w:val=""/>
      <w:lvlJc w:val="left"/>
      <w:pPr>
        <w:ind w:left="5040" w:hanging="360"/>
      </w:pPr>
      <w:rPr>
        <w:rFonts w:ascii="Symbol" w:hAnsi="Symbol" w:hint="default"/>
      </w:rPr>
    </w:lvl>
    <w:lvl w:ilvl="7" w:tplc="2EF4AD34">
      <w:start w:val="1"/>
      <w:numFmt w:val="bullet"/>
      <w:lvlText w:val="o"/>
      <w:lvlJc w:val="left"/>
      <w:pPr>
        <w:ind w:left="5760" w:hanging="360"/>
      </w:pPr>
      <w:rPr>
        <w:rFonts w:ascii="Courier New" w:hAnsi="Courier New" w:hint="default"/>
      </w:rPr>
    </w:lvl>
    <w:lvl w:ilvl="8" w:tplc="0E1A721C">
      <w:start w:val="1"/>
      <w:numFmt w:val="bullet"/>
      <w:lvlText w:val=""/>
      <w:lvlJc w:val="left"/>
      <w:pPr>
        <w:ind w:left="6480" w:hanging="360"/>
      </w:pPr>
      <w:rPr>
        <w:rFonts w:ascii="Wingdings" w:hAnsi="Wingdings" w:hint="default"/>
      </w:rPr>
    </w:lvl>
  </w:abstractNum>
  <w:abstractNum w:abstractNumId="17" w15:restartNumberingAfterBreak="0">
    <w:nsid w:val="5EA70196"/>
    <w:multiLevelType w:val="multilevel"/>
    <w:tmpl w:val="0B1A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B55BCF"/>
    <w:multiLevelType w:val="hybridMultilevel"/>
    <w:tmpl w:val="CFEC2E0A"/>
    <w:lvl w:ilvl="0" w:tplc="B5A63370">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FF680F"/>
    <w:multiLevelType w:val="hybridMultilevel"/>
    <w:tmpl w:val="CD501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215E31"/>
    <w:multiLevelType w:val="multilevel"/>
    <w:tmpl w:val="82FEC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7C65E7A"/>
    <w:multiLevelType w:val="hybridMultilevel"/>
    <w:tmpl w:val="5980F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9C1651E"/>
    <w:multiLevelType w:val="hybridMultilevel"/>
    <w:tmpl w:val="1DD24450"/>
    <w:lvl w:ilvl="0" w:tplc="B5A63370">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1A2881"/>
    <w:multiLevelType w:val="hybridMultilevel"/>
    <w:tmpl w:val="15DE3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B62814"/>
    <w:multiLevelType w:val="multilevel"/>
    <w:tmpl w:val="0C09001D"/>
    <w:styleLink w:val="Style1"/>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44663452">
    <w:abstractNumId w:val="10"/>
  </w:num>
  <w:num w:numId="2" w16cid:durableId="36443109">
    <w:abstractNumId w:val="19"/>
  </w:num>
  <w:num w:numId="3" w16cid:durableId="1958683665">
    <w:abstractNumId w:val="18"/>
  </w:num>
  <w:num w:numId="4" w16cid:durableId="2009404306">
    <w:abstractNumId w:val="5"/>
  </w:num>
  <w:num w:numId="5" w16cid:durableId="1896700936">
    <w:abstractNumId w:val="22"/>
  </w:num>
  <w:num w:numId="6" w16cid:durableId="287203803">
    <w:abstractNumId w:val="16"/>
  </w:num>
  <w:num w:numId="7" w16cid:durableId="1770195749">
    <w:abstractNumId w:val="8"/>
  </w:num>
  <w:num w:numId="8" w16cid:durableId="544605730">
    <w:abstractNumId w:val="4"/>
  </w:num>
  <w:num w:numId="9" w16cid:durableId="240220241">
    <w:abstractNumId w:val="2"/>
  </w:num>
  <w:num w:numId="10" w16cid:durableId="1957521926">
    <w:abstractNumId w:val="6"/>
  </w:num>
  <w:num w:numId="11" w16cid:durableId="270288508">
    <w:abstractNumId w:val="8"/>
  </w:num>
  <w:num w:numId="12" w16cid:durableId="383330414">
    <w:abstractNumId w:val="8"/>
  </w:num>
  <w:num w:numId="13" w16cid:durableId="1657418279">
    <w:abstractNumId w:val="8"/>
  </w:num>
  <w:num w:numId="14" w16cid:durableId="406853408">
    <w:abstractNumId w:val="8"/>
  </w:num>
  <w:num w:numId="15" w16cid:durableId="430471210">
    <w:abstractNumId w:val="8"/>
  </w:num>
  <w:num w:numId="16" w16cid:durableId="744842519">
    <w:abstractNumId w:val="8"/>
  </w:num>
  <w:num w:numId="17" w16cid:durableId="1540821556">
    <w:abstractNumId w:val="8"/>
  </w:num>
  <w:num w:numId="18" w16cid:durableId="66147344">
    <w:abstractNumId w:val="8"/>
  </w:num>
  <w:num w:numId="19" w16cid:durableId="1829401166">
    <w:abstractNumId w:val="14"/>
  </w:num>
  <w:num w:numId="20" w16cid:durableId="837429518">
    <w:abstractNumId w:val="12"/>
  </w:num>
  <w:num w:numId="21" w16cid:durableId="913516914">
    <w:abstractNumId w:val="15"/>
  </w:num>
  <w:num w:numId="22" w16cid:durableId="2085830551">
    <w:abstractNumId w:val="13"/>
  </w:num>
  <w:num w:numId="23" w16cid:durableId="1853489157">
    <w:abstractNumId w:val="21"/>
  </w:num>
  <w:num w:numId="24" w16cid:durableId="172840069">
    <w:abstractNumId w:val="7"/>
  </w:num>
  <w:num w:numId="25" w16cid:durableId="1429499058">
    <w:abstractNumId w:val="9"/>
  </w:num>
  <w:num w:numId="26" w16cid:durableId="2123760922">
    <w:abstractNumId w:val="11"/>
  </w:num>
  <w:num w:numId="27" w16cid:durableId="1898932912">
    <w:abstractNumId w:val="3"/>
  </w:num>
  <w:num w:numId="28" w16cid:durableId="1226068950">
    <w:abstractNumId w:val="24"/>
  </w:num>
  <w:num w:numId="29" w16cid:durableId="314535663">
    <w:abstractNumId w:val="1"/>
  </w:num>
  <w:num w:numId="30" w16cid:durableId="1267152753">
    <w:abstractNumId w:val="5"/>
  </w:num>
  <w:num w:numId="31" w16cid:durableId="1779058333">
    <w:abstractNumId w:val="5"/>
  </w:num>
  <w:num w:numId="32" w16cid:durableId="276563376">
    <w:abstractNumId w:val="23"/>
  </w:num>
  <w:num w:numId="33" w16cid:durableId="2125224397">
    <w:abstractNumId w:val="5"/>
  </w:num>
  <w:num w:numId="34" w16cid:durableId="721101965">
    <w:abstractNumId w:val="20"/>
  </w:num>
  <w:num w:numId="35" w16cid:durableId="1550266392">
    <w:abstractNumId w:val="17"/>
  </w:num>
  <w:num w:numId="36" w16cid:durableId="2146459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0A6"/>
    <w:rsid w:val="00000C38"/>
    <w:rsid w:val="0000141F"/>
    <w:rsid w:val="00003C5E"/>
    <w:rsid w:val="00004E5D"/>
    <w:rsid w:val="000056E0"/>
    <w:rsid w:val="00005878"/>
    <w:rsid w:val="00007985"/>
    <w:rsid w:val="0001235E"/>
    <w:rsid w:val="00013026"/>
    <w:rsid w:val="00014415"/>
    <w:rsid w:val="0001538D"/>
    <w:rsid w:val="00015BB2"/>
    <w:rsid w:val="00015F82"/>
    <w:rsid w:val="00016493"/>
    <w:rsid w:val="000169BD"/>
    <w:rsid w:val="00020142"/>
    <w:rsid w:val="00020C28"/>
    <w:rsid w:val="00020C6E"/>
    <w:rsid w:val="00021651"/>
    <w:rsid w:val="00021817"/>
    <w:rsid w:val="00022918"/>
    <w:rsid w:val="000235E2"/>
    <w:rsid w:val="00024488"/>
    <w:rsid w:val="00024C79"/>
    <w:rsid w:val="000255BA"/>
    <w:rsid w:val="00026620"/>
    <w:rsid w:val="00026D1E"/>
    <w:rsid w:val="00026F9A"/>
    <w:rsid w:val="00030935"/>
    <w:rsid w:val="00034B87"/>
    <w:rsid w:val="00034DC3"/>
    <w:rsid w:val="000356A2"/>
    <w:rsid w:val="000360C7"/>
    <w:rsid w:val="00036BC3"/>
    <w:rsid w:val="00036F0F"/>
    <w:rsid w:val="00036FC5"/>
    <w:rsid w:val="000370BB"/>
    <w:rsid w:val="000372BF"/>
    <w:rsid w:val="000401A2"/>
    <w:rsid w:val="0004043F"/>
    <w:rsid w:val="0004063E"/>
    <w:rsid w:val="0004096C"/>
    <w:rsid w:val="00041FBC"/>
    <w:rsid w:val="000423FA"/>
    <w:rsid w:val="0004635A"/>
    <w:rsid w:val="00047CE7"/>
    <w:rsid w:val="000501DC"/>
    <w:rsid w:val="00051B1F"/>
    <w:rsid w:val="00051C84"/>
    <w:rsid w:val="000524C5"/>
    <w:rsid w:val="00052504"/>
    <w:rsid w:val="00052DA8"/>
    <w:rsid w:val="0005387B"/>
    <w:rsid w:val="00054084"/>
    <w:rsid w:val="000548FF"/>
    <w:rsid w:val="00054C8A"/>
    <w:rsid w:val="000552FF"/>
    <w:rsid w:val="00055368"/>
    <w:rsid w:val="00055833"/>
    <w:rsid w:val="000568F7"/>
    <w:rsid w:val="00057560"/>
    <w:rsid w:val="0005790C"/>
    <w:rsid w:val="00057BB8"/>
    <w:rsid w:val="000615AD"/>
    <w:rsid w:val="000617D2"/>
    <w:rsid w:val="00061E29"/>
    <w:rsid w:val="00062813"/>
    <w:rsid w:val="000628A6"/>
    <w:rsid w:val="0006323C"/>
    <w:rsid w:val="00063770"/>
    <w:rsid w:val="00063B31"/>
    <w:rsid w:val="00066E2F"/>
    <w:rsid w:val="000673E8"/>
    <w:rsid w:val="00067ADB"/>
    <w:rsid w:val="00070FCC"/>
    <w:rsid w:val="00071E09"/>
    <w:rsid w:val="000720A5"/>
    <w:rsid w:val="00072157"/>
    <w:rsid w:val="00072D45"/>
    <w:rsid w:val="0007503E"/>
    <w:rsid w:val="00075D6F"/>
    <w:rsid w:val="00080CE4"/>
    <w:rsid w:val="00080DF7"/>
    <w:rsid w:val="00081FD5"/>
    <w:rsid w:val="000827DE"/>
    <w:rsid w:val="00082C82"/>
    <w:rsid w:val="00084BB1"/>
    <w:rsid w:val="00085119"/>
    <w:rsid w:val="00085534"/>
    <w:rsid w:val="0008602A"/>
    <w:rsid w:val="00086528"/>
    <w:rsid w:val="000866E7"/>
    <w:rsid w:val="00087115"/>
    <w:rsid w:val="00087FF2"/>
    <w:rsid w:val="00091C08"/>
    <w:rsid w:val="0009268F"/>
    <w:rsid w:val="00092B3E"/>
    <w:rsid w:val="00092CCC"/>
    <w:rsid w:val="000933EC"/>
    <w:rsid w:val="00093D18"/>
    <w:rsid w:val="000942D5"/>
    <w:rsid w:val="00095021"/>
    <w:rsid w:val="000950CE"/>
    <w:rsid w:val="00095AE8"/>
    <w:rsid w:val="00096808"/>
    <w:rsid w:val="000A0A8B"/>
    <w:rsid w:val="000A2D19"/>
    <w:rsid w:val="000A323B"/>
    <w:rsid w:val="000A414B"/>
    <w:rsid w:val="000A6044"/>
    <w:rsid w:val="000A6E8B"/>
    <w:rsid w:val="000A7AED"/>
    <w:rsid w:val="000A7CED"/>
    <w:rsid w:val="000B0DD6"/>
    <w:rsid w:val="000B1BCC"/>
    <w:rsid w:val="000B1DAC"/>
    <w:rsid w:val="000B284C"/>
    <w:rsid w:val="000B2A6E"/>
    <w:rsid w:val="000B2E57"/>
    <w:rsid w:val="000B4098"/>
    <w:rsid w:val="000B5434"/>
    <w:rsid w:val="000B544A"/>
    <w:rsid w:val="000B6338"/>
    <w:rsid w:val="000B63D4"/>
    <w:rsid w:val="000C4362"/>
    <w:rsid w:val="000C4730"/>
    <w:rsid w:val="000C6C56"/>
    <w:rsid w:val="000C763E"/>
    <w:rsid w:val="000C76D3"/>
    <w:rsid w:val="000D05DE"/>
    <w:rsid w:val="000D12F8"/>
    <w:rsid w:val="000D1AC1"/>
    <w:rsid w:val="000D2C42"/>
    <w:rsid w:val="000D40A1"/>
    <w:rsid w:val="000D45BA"/>
    <w:rsid w:val="000D4813"/>
    <w:rsid w:val="000D48D2"/>
    <w:rsid w:val="000D493B"/>
    <w:rsid w:val="000D5D75"/>
    <w:rsid w:val="000D6536"/>
    <w:rsid w:val="000D6D43"/>
    <w:rsid w:val="000D7A7F"/>
    <w:rsid w:val="000E02B9"/>
    <w:rsid w:val="000E0809"/>
    <w:rsid w:val="000E0CBC"/>
    <w:rsid w:val="000E14F3"/>
    <w:rsid w:val="000E1DF8"/>
    <w:rsid w:val="000E2824"/>
    <w:rsid w:val="000E288B"/>
    <w:rsid w:val="000E2D2B"/>
    <w:rsid w:val="000E3B71"/>
    <w:rsid w:val="000E40E1"/>
    <w:rsid w:val="000E4A0D"/>
    <w:rsid w:val="000E61CB"/>
    <w:rsid w:val="000E64B1"/>
    <w:rsid w:val="000E7CF5"/>
    <w:rsid w:val="000F14B1"/>
    <w:rsid w:val="000F1633"/>
    <w:rsid w:val="000F1843"/>
    <w:rsid w:val="000F19DF"/>
    <w:rsid w:val="000F2CAC"/>
    <w:rsid w:val="000F4433"/>
    <w:rsid w:val="000F5B2F"/>
    <w:rsid w:val="000F631F"/>
    <w:rsid w:val="000F632A"/>
    <w:rsid w:val="000F6CB4"/>
    <w:rsid w:val="000F7831"/>
    <w:rsid w:val="001009EA"/>
    <w:rsid w:val="00100EFA"/>
    <w:rsid w:val="00100FDC"/>
    <w:rsid w:val="001012AE"/>
    <w:rsid w:val="001015A3"/>
    <w:rsid w:val="00101C9C"/>
    <w:rsid w:val="00102707"/>
    <w:rsid w:val="00102EF5"/>
    <w:rsid w:val="00103C1B"/>
    <w:rsid w:val="00104518"/>
    <w:rsid w:val="00104997"/>
    <w:rsid w:val="00105531"/>
    <w:rsid w:val="00105691"/>
    <w:rsid w:val="00105FC9"/>
    <w:rsid w:val="001061E8"/>
    <w:rsid w:val="00106B7B"/>
    <w:rsid w:val="00106D34"/>
    <w:rsid w:val="001073DA"/>
    <w:rsid w:val="00110C8F"/>
    <w:rsid w:val="001125A7"/>
    <w:rsid w:val="00112B3C"/>
    <w:rsid w:val="00115303"/>
    <w:rsid w:val="00115309"/>
    <w:rsid w:val="00115979"/>
    <w:rsid w:val="00115FF0"/>
    <w:rsid w:val="0011634B"/>
    <w:rsid w:val="0011670B"/>
    <w:rsid w:val="001167C4"/>
    <w:rsid w:val="001169AB"/>
    <w:rsid w:val="00116D99"/>
    <w:rsid w:val="0011747D"/>
    <w:rsid w:val="0011799D"/>
    <w:rsid w:val="00117F75"/>
    <w:rsid w:val="001201ED"/>
    <w:rsid w:val="001202B7"/>
    <w:rsid w:val="00120EFD"/>
    <w:rsid w:val="001218D6"/>
    <w:rsid w:val="00121B6C"/>
    <w:rsid w:val="00122309"/>
    <w:rsid w:val="00122687"/>
    <w:rsid w:val="00122881"/>
    <w:rsid w:val="00123B0E"/>
    <w:rsid w:val="00124836"/>
    <w:rsid w:val="00124B9B"/>
    <w:rsid w:val="00124BB4"/>
    <w:rsid w:val="00125351"/>
    <w:rsid w:val="001254C8"/>
    <w:rsid w:val="00126DF6"/>
    <w:rsid w:val="0012704D"/>
    <w:rsid w:val="00127B9F"/>
    <w:rsid w:val="00131520"/>
    <w:rsid w:val="00131A4C"/>
    <w:rsid w:val="001320FF"/>
    <w:rsid w:val="00132DE7"/>
    <w:rsid w:val="00132FBA"/>
    <w:rsid w:val="00133DAD"/>
    <w:rsid w:val="00135134"/>
    <w:rsid w:val="00135A6D"/>
    <w:rsid w:val="00135C53"/>
    <w:rsid w:val="00135D51"/>
    <w:rsid w:val="00135DA0"/>
    <w:rsid w:val="00135EAA"/>
    <w:rsid w:val="001369A6"/>
    <w:rsid w:val="00136B82"/>
    <w:rsid w:val="0013766C"/>
    <w:rsid w:val="00137AC8"/>
    <w:rsid w:val="00137D4B"/>
    <w:rsid w:val="00137DEA"/>
    <w:rsid w:val="00141000"/>
    <w:rsid w:val="001418A6"/>
    <w:rsid w:val="00141BA1"/>
    <w:rsid w:val="001434E7"/>
    <w:rsid w:val="0014384D"/>
    <w:rsid w:val="0014386F"/>
    <w:rsid w:val="00143AAA"/>
    <w:rsid w:val="001444D5"/>
    <w:rsid w:val="00144689"/>
    <w:rsid w:val="00144E54"/>
    <w:rsid w:val="001452DA"/>
    <w:rsid w:val="0014532C"/>
    <w:rsid w:val="001465F3"/>
    <w:rsid w:val="001466E4"/>
    <w:rsid w:val="00146C9F"/>
    <w:rsid w:val="00147314"/>
    <w:rsid w:val="0014759C"/>
    <w:rsid w:val="00150096"/>
    <w:rsid w:val="00150714"/>
    <w:rsid w:val="00152DED"/>
    <w:rsid w:val="00154FC7"/>
    <w:rsid w:val="0015572F"/>
    <w:rsid w:val="00155734"/>
    <w:rsid w:val="00156097"/>
    <w:rsid w:val="00156FBB"/>
    <w:rsid w:val="00157BC2"/>
    <w:rsid w:val="00160AB2"/>
    <w:rsid w:val="0016153C"/>
    <w:rsid w:val="001628A3"/>
    <w:rsid w:val="001635B7"/>
    <w:rsid w:val="001636B9"/>
    <w:rsid w:val="0016386D"/>
    <w:rsid w:val="00163AFD"/>
    <w:rsid w:val="00165972"/>
    <w:rsid w:val="001659D0"/>
    <w:rsid w:val="00165CC9"/>
    <w:rsid w:val="00166463"/>
    <w:rsid w:val="001674CC"/>
    <w:rsid w:val="00170849"/>
    <w:rsid w:val="00170CEB"/>
    <w:rsid w:val="0017145A"/>
    <w:rsid w:val="001715F2"/>
    <w:rsid w:val="00171DA1"/>
    <w:rsid w:val="00172078"/>
    <w:rsid w:val="001726FB"/>
    <w:rsid w:val="00172D1F"/>
    <w:rsid w:val="00173424"/>
    <w:rsid w:val="00174154"/>
    <w:rsid w:val="0017495D"/>
    <w:rsid w:val="00175260"/>
    <w:rsid w:val="001752DD"/>
    <w:rsid w:val="00176178"/>
    <w:rsid w:val="00176701"/>
    <w:rsid w:val="00176CA6"/>
    <w:rsid w:val="0017780C"/>
    <w:rsid w:val="001778CE"/>
    <w:rsid w:val="00177D87"/>
    <w:rsid w:val="001804F1"/>
    <w:rsid w:val="00180E7E"/>
    <w:rsid w:val="00181C76"/>
    <w:rsid w:val="00181DAD"/>
    <w:rsid w:val="0018244F"/>
    <w:rsid w:val="001830EE"/>
    <w:rsid w:val="00183557"/>
    <w:rsid w:val="00183E21"/>
    <w:rsid w:val="001872F4"/>
    <w:rsid w:val="001874A0"/>
    <w:rsid w:val="00187597"/>
    <w:rsid w:val="00187646"/>
    <w:rsid w:val="0019002A"/>
    <w:rsid w:val="001922DF"/>
    <w:rsid w:val="001926DD"/>
    <w:rsid w:val="00192EDC"/>
    <w:rsid w:val="00193EE4"/>
    <w:rsid w:val="0019401A"/>
    <w:rsid w:val="00194BD9"/>
    <w:rsid w:val="00196196"/>
    <w:rsid w:val="001962D6"/>
    <w:rsid w:val="0019708B"/>
    <w:rsid w:val="001978B5"/>
    <w:rsid w:val="00197A11"/>
    <w:rsid w:val="00197E86"/>
    <w:rsid w:val="001A0D3F"/>
    <w:rsid w:val="001A1444"/>
    <w:rsid w:val="001A1C4C"/>
    <w:rsid w:val="001A269A"/>
    <w:rsid w:val="001A26E5"/>
    <w:rsid w:val="001A2E2C"/>
    <w:rsid w:val="001A3321"/>
    <w:rsid w:val="001A37BE"/>
    <w:rsid w:val="001A48D0"/>
    <w:rsid w:val="001A4CC8"/>
    <w:rsid w:val="001A5298"/>
    <w:rsid w:val="001A56CC"/>
    <w:rsid w:val="001A66DF"/>
    <w:rsid w:val="001A6EB2"/>
    <w:rsid w:val="001A787F"/>
    <w:rsid w:val="001B0883"/>
    <w:rsid w:val="001B09E5"/>
    <w:rsid w:val="001B1FB2"/>
    <w:rsid w:val="001B2512"/>
    <w:rsid w:val="001B4AAB"/>
    <w:rsid w:val="001B55B4"/>
    <w:rsid w:val="001B5D0E"/>
    <w:rsid w:val="001B64BB"/>
    <w:rsid w:val="001B6708"/>
    <w:rsid w:val="001B70B5"/>
    <w:rsid w:val="001B71D5"/>
    <w:rsid w:val="001B7549"/>
    <w:rsid w:val="001C03B1"/>
    <w:rsid w:val="001C03DA"/>
    <w:rsid w:val="001C058C"/>
    <w:rsid w:val="001C0950"/>
    <w:rsid w:val="001C1ECB"/>
    <w:rsid w:val="001C2421"/>
    <w:rsid w:val="001C2509"/>
    <w:rsid w:val="001C2B51"/>
    <w:rsid w:val="001C3571"/>
    <w:rsid w:val="001C3C75"/>
    <w:rsid w:val="001C3EC8"/>
    <w:rsid w:val="001C5F0A"/>
    <w:rsid w:val="001C72F9"/>
    <w:rsid w:val="001C73E5"/>
    <w:rsid w:val="001D0215"/>
    <w:rsid w:val="001D0BEE"/>
    <w:rsid w:val="001D2889"/>
    <w:rsid w:val="001D2BFD"/>
    <w:rsid w:val="001D2E76"/>
    <w:rsid w:val="001D3408"/>
    <w:rsid w:val="001D3445"/>
    <w:rsid w:val="001D34CE"/>
    <w:rsid w:val="001D449B"/>
    <w:rsid w:val="001D6698"/>
    <w:rsid w:val="001D6EFB"/>
    <w:rsid w:val="001D7D45"/>
    <w:rsid w:val="001D7EB4"/>
    <w:rsid w:val="001E024F"/>
    <w:rsid w:val="001E05F4"/>
    <w:rsid w:val="001E0C66"/>
    <w:rsid w:val="001E2415"/>
    <w:rsid w:val="001E38C7"/>
    <w:rsid w:val="001E440B"/>
    <w:rsid w:val="001E48B2"/>
    <w:rsid w:val="001E4DA9"/>
    <w:rsid w:val="001E525A"/>
    <w:rsid w:val="001E57E3"/>
    <w:rsid w:val="001E617F"/>
    <w:rsid w:val="001E62B2"/>
    <w:rsid w:val="001E7D3E"/>
    <w:rsid w:val="001F0DD2"/>
    <w:rsid w:val="001F12A8"/>
    <w:rsid w:val="001F1D12"/>
    <w:rsid w:val="001F2B42"/>
    <w:rsid w:val="001F3261"/>
    <w:rsid w:val="001F350F"/>
    <w:rsid w:val="001F35C2"/>
    <w:rsid w:val="001F364A"/>
    <w:rsid w:val="001F3E9C"/>
    <w:rsid w:val="001F3FB8"/>
    <w:rsid w:val="001F4053"/>
    <w:rsid w:val="001F45E6"/>
    <w:rsid w:val="001F4A43"/>
    <w:rsid w:val="001F4CD0"/>
    <w:rsid w:val="001F595A"/>
    <w:rsid w:val="001F69BE"/>
    <w:rsid w:val="002001D2"/>
    <w:rsid w:val="0020112B"/>
    <w:rsid w:val="002016A8"/>
    <w:rsid w:val="00201C54"/>
    <w:rsid w:val="00201C70"/>
    <w:rsid w:val="00201F18"/>
    <w:rsid w:val="002026F8"/>
    <w:rsid w:val="00203A28"/>
    <w:rsid w:val="00203EF9"/>
    <w:rsid w:val="00204A7F"/>
    <w:rsid w:val="002057E5"/>
    <w:rsid w:val="00205F90"/>
    <w:rsid w:val="00205FA9"/>
    <w:rsid w:val="00207265"/>
    <w:rsid w:val="0020756B"/>
    <w:rsid w:val="002079BD"/>
    <w:rsid w:val="00207CF5"/>
    <w:rsid w:val="00207E02"/>
    <w:rsid w:val="00210341"/>
    <w:rsid w:val="00210818"/>
    <w:rsid w:val="00211912"/>
    <w:rsid w:val="00212BE1"/>
    <w:rsid w:val="00212E5D"/>
    <w:rsid w:val="0021367D"/>
    <w:rsid w:val="00213BD1"/>
    <w:rsid w:val="00215A1F"/>
    <w:rsid w:val="00215AC2"/>
    <w:rsid w:val="00215B92"/>
    <w:rsid w:val="00215EC9"/>
    <w:rsid w:val="0021697E"/>
    <w:rsid w:val="00217601"/>
    <w:rsid w:val="00221504"/>
    <w:rsid w:val="002225DE"/>
    <w:rsid w:val="00222814"/>
    <w:rsid w:val="00222898"/>
    <w:rsid w:val="002229C2"/>
    <w:rsid w:val="00224B9F"/>
    <w:rsid w:val="00225798"/>
    <w:rsid w:val="00225E7B"/>
    <w:rsid w:val="00226684"/>
    <w:rsid w:val="002271A0"/>
    <w:rsid w:val="002300B7"/>
    <w:rsid w:val="00231671"/>
    <w:rsid w:val="00231B66"/>
    <w:rsid w:val="002329CA"/>
    <w:rsid w:val="00232DBD"/>
    <w:rsid w:val="0023308E"/>
    <w:rsid w:val="00233B4D"/>
    <w:rsid w:val="002356DA"/>
    <w:rsid w:val="00235D34"/>
    <w:rsid w:val="00236F16"/>
    <w:rsid w:val="00237B78"/>
    <w:rsid w:val="0024065A"/>
    <w:rsid w:val="00241315"/>
    <w:rsid w:val="00241925"/>
    <w:rsid w:val="00242D72"/>
    <w:rsid w:val="0024397C"/>
    <w:rsid w:val="00243BE1"/>
    <w:rsid w:val="00244B8F"/>
    <w:rsid w:val="002450C1"/>
    <w:rsid w:val="00245452"/>
    <w:rsid w:val="002474CB"/>
    <w:rsid w:val="002475F2"/>
    <w:rsid w:val="0025016C"/>
    <w:rsid w:val="002506F8"/>
    <w:rsid w:val="002509AE"/>
    <w:rsid w:val="00251C1D"/>
    <w:rsid w:val="00252065"/>
    <w:rsid w:val="002524A9"/>
    <w:rsid w:val="00253B06"/>
    <w:rsid w:val="0025411D"/>
    <w:rsid w:val="00254BB3"/>
    <w:rsid w:val="00255461"/>
    <w:rsid w:val="002568CB"/>
    <w:rsid w:val="00256EEC"/>
    <w:rsid w:val="00257132"/>
    <w:rsid w:val="00257A11"/>
    <w:rsid w:val="00257EF6"/>
    <w:rsid w:val="00260A48"/>
    <w:rsid w:val="00261AA2"/>
    <w:rsid w:val="00262A96"/>
    <w:rsid w:val="002634E5"/>
    <w:rsid w:val="00263B7C"/>
    <w:rsid w:val="00263BC5"/>
    <w:rsid w:val="0026418B"/>
    <w:rsid w:val="0026487C"/>
    <w:rsid w:val="002659AD"/>
    <w:rsid w:val="00266186"/>
    <w:rsid w:val="00267911"/>
    <w:rsid w:val="00267D0F"/>
    <w:rsid w:val="0027008E"/>
    <w:rsid w:val="0027054A"/>
    <w:rsid w:val="00270A40"/>
    <w:rsid w:val="002710AF"/>
    <w:rsid w:val="0027181E"/>
    <w:rsid w:val="00271B1A"/>
    <w:rsid w:val="00272285"/>
    <w:rsid w:val="0027365D"/>
    <w:rsid w:val="00273A60"/>
    <w:rsid w:val="00273C8A"/>
    <w:rsid w:val="002751C8"/>
    <w:rsid w:val="00275F6E"/>
    <w:rsid w:val="00276923"/>
    <w:rsid w:val="00276948"/>
    <w:rsid w:val="00277613"/>
    <w:rsid w:val="00277BAF"/>
    <w:rsid w:val="002800B0"/>
    <w:rsid w:val="00280762"/>
    <w:rsid w:val="00280858"/>
    <w:rsid w:val="00282DFE"/>
    <w:rsid w:val="002834F7"/>
    <w:rsid w:val="002835B4"/>
    <w:rsid w:val="0028376B"/>
    <w:rsid w:val="00284387"/>
    <w:rsid w:val="002843E8"/>
    <w:rsid w:val="002849B3"/>
    <w:rsid w:val="00284E72"/>
    <w:rsid w:val="00284E96"/>
    <w:rsid w:val="002850BC"/>
    <w:rsid w:val="00285300"/>
    <w:rsid w:val="002855F0"/>
    <w:rsid w:val="00290C04"/>
    <w:rsid w:val="00291696"/>
    <w:rsid w:val="00291967"/>
    <w:rsid w:val="00292EC3"/>
    <w:rsid w:val="002937AB"/>
    <w:rsid w:val="002939C2"/>
    <w:rsid w:val="00293BEA"/>
    <w:rsid w:val="00293D12"/>
    <w:rsid w:val="00294D78"/>
    <w:rsid w:val="00297015"/>
    <w:rsid w:val="00297B28"/>
    <w:rsid w:val="00297FD9"/>
    <w:rsid w:val="002A1A77"/>
    <w:rsid w:val="002A3F6A"/>
    <w:rsid w:val="002A483A"/>
    <w:rsid w:val="002A52E9"/>
    <w:rsid w:val="002A57A2"/>
    <w:rsid w:val="002A5962"/>
    <w:rsid w:val="002A5AF8"/>
    <w:rsid w:val="002A69A4"/>
    <w:rsid w:val="002A6BB9"/>
    <w:rsid w:val="002A7452"/>
    <w:rsid w:val="002B0FE0"/>
    <w:rsid w:val="002B1A74"/>
    <w:rsid w:val="002B1ABC"/>
    <w:rsid w:val="002B4FF6"/>
    <w:rsid w:val="002B553A"/>
    <w:rsid w:val="002C0403"/>
    <w:rsid w:val="002C051D"/>
    <w:rsid w:val="002C0692"/>
    <w:rsid w:val="002C2CAF"/>
    <w:rsid w:val="002C3210"/>
    <w:rsid w:val="002C4796"/>
    <w:rsid w:val="002C5175"/>
    <w:rsid w:val="002C579F"/>
    <w:rsid w:val="002C5853"/>
    <w:rsid w:val="002C7BD1"/>
    <w:rsid w:val="002D05C7"/>
    <w:rsid w:val="002D13EE"/>
    <w:rsid w:val="002D17CD"/>
    <w:rsid w:val="002D2004"/>
    <w:rsid w:val="002D239E"/>
    <w:rsid w:val="002D2CC0"/>
    <w:rsid w:val="002D319D"/>
    <w:rsid w:val="002D3F5D"/>
    <w:rsid w:val="002D4CAE"/>
    <w:rsid w:val="002D5D9C"/>
    <w:rsid w:val="002D60D4"/>
    <w:rsid w:val="002D6B7C"/>
    <w:rsid w:val="002D72A9"/>
    <w:rsid w:val="002E0A70"/>
    <w:rsid w:val="002E1CF9"/>
    <w:rsid w:val="002E1D1F"/>
    <w:rsid w:val="002E1EC8"/>
    <w:rsid w:val="002E20AB"/>
    <w:rsid w:val="002E306E"/>
    <w:rsid w:val="002E3C4D"/>
    <w:rsid w:val="002E4ED8"/>
    <w:rsid w:val="002E4F85"/>
    <w:rsid w:val="002E6125"/>
    <w:rsid w:val="002E7103"/>
    <w:rsid w:val="002E75C2"/>
    <w:rsid w:val="002E77CF"/>
    <w:rsid w:val="002E79FC"/>
    <w:rsid w:val="002E7DF8"/>
    <w:rsid w:val="002F00DC"/>
    <w:rsid w:val="002F01BC"/>
    <w:rsid w:val="002F0EA3"/>
    <w:rsid w:val="002F1A42"/>
    <w:rsid w:val="002F359D"/>
    <w:rsid w:val="002F3E46"/>
    <w:rsid w:val="002F3EEA"/>
    <w:rsid w:val="002F43A4"/>
    <w:rsid w:val="002F44C8"/>
    <w:rsid w:val="002F6D15"/>
    <w:rsid w:val="002F6F80"/>
    <w:rsid w:val="002F6F82"/>
    <w:rsid w:val="002F7A25"/>
    <w:rsid w:val="002F7E24"/>
    <w:rsid w:val="00300276"/>
    <w:rsid w:val="00300F94"/>
    <w:rsid w:val="0030225C"/>
    <w:rsid w:val="00303965"/>
    <w:rsid w:val="003041A5"/>
    <w:rsid w:val="00304313"/>
    <w:rsid w:val="00304BB7"/>
    <w:rsid w:val="00305183"/>
    <w:rsid w:val="00305B68"/>
    <w:rsid w:val="00305F7A"/>
    <w:rsid w:val="003060C0"/>
    <w:rsid w:val="00306D9A"/>
    <w:rsid w:val="003075F4"/>
    <w:rsid w:val="003078A2"/>
    <w:rsid w:val="00311520"/>
    <w:rsid w:val="00312427"/>
    <w:rsid w:val="00312981"/>
    <w:rsid w:val="00314D48"/>
    <w:rsid w:val="00315292"/>
    <w:rsid w:val="0031568E"/>
    <w:rsid w:val="00316DE8"/>
    <w:rsid w:val="0031703B"/>
    <w:rsid w:val="00320265"/>
    <w:rsid w:val="00320F34"/>
    <w:rsid w:val="0032248E"/>
    <w:rsid w:val="00322DD3"/>
    <w:rsid w:val="003230F7"/>
    <w:rsid w:val="003231C5"/>
    <w:rsid w:val="003236E4"/>
    <w:rsid w:val="00323E12"/>
    <w:rsid w:val="00324B9A"/>
    <w:rsid w:val="00324C24"/>
    <w:rsid w:val="00324C7A"/>
    <w:rsid w:val="00324FCC"/>
    <w:rsid w:val="00325C94"/>
    <w:rsid w:val="00326773"/>
    <w:rsid w:val="003277DD"/>
    <w:rsid w:val="00327888"/>
    <w:rsid w:val="00327EDD"/>
    <w:rsid w:val="00330195"/>
    <w:rsid w:val="00330251"/>
    <w:rsid w:val="00331AA8"/>
    <w:rsid w:val="00332CCC"/>
    <w:rsid w:val="00333355"/>
    <w:rsid w:val="00333735"/>
    <w:rsid w:val="00333AD5"/>
    <w:rsid w:val="003349D2"/>
    <w:rsid w:val="00334A0C"/>
    <w:rsid w:val="00334AB4"/>
    <w:rsid w:val="003351C9"/>
    <w:rsid w:val="0033575D"/>
    <w:rsid w:val="00335CBC"/>
    <w:rsid w:val="003366EC"/>
    <w:rsid w:val="00336B0E"/>
    <w:rsid w:val="00340096"/>
    <w:rsid w:val="00340580"/>
    <w:rsid w:val="00341118"/>
    <w:rsid w:val="003411AF"/>
    <w:rsid w:val="00342204"/>
    <w:rsid w:val="0034240F"/>
    <w:rsid w:val="00342664"/>
    <w:rsid w:val="00342939"/>
    <w:rsid w:val="003439E9"/>
    <w:rsid w:val="0034644E"/>
    <w:rsid w:val="0034669C"/>
    <w:rsid w:val="0034678B"/>
    <w:rsid w:val="00346D01"/>
    <w:rsid w:val="00346D67"/>
    <w:rsid w:val="00347E7C"/>
    <w:rsid w:val="00350B28"/>
    <w:rsid w:val="00350DA7"/>
    <w:rsid w:val="00350E7C"/>
    <w:rsid w:val="003511D4"/>
    <w:rsid w:val="00351859"/>
    <w:rsid w:val="00351F99"/>
    <w:rsid w:val="00352494"/>
    <w:rsid w:val="00352522"/>
    <w:rsid w:val="0035255E"/>
    <w:rsid w:val="00352D99"/>
    <w:rsid w:val="003530F5"/>
    <w:rsid w:val="003535DF"/>
    <w:rsid w:val="00353890"/>
    <w:rsid w:val="00354B79"/>
    <w:rsid w:val="00355199"/>
    <w:rsid w:val="0035531B"/>
    <w:rsid w:val="00355C57"/>
    <w:rsid w:val="003561FC"/>
    <w:rsid w:val="003567E8"/>
    <w:rsid w:val="00356FA0"/>
    <w:rsid w:val="00357525"/>
    <w:rsid w:val="0036093E"/>
    <w:rsid w:val="00360E65"/>
    <w:rsid w:val="00361A61"/>
    <w:rsid w:val="00361EAF"/>
    <w:rsid w:val="00363C0A"/>
    <w:rsid w:val="00364468"/>
    <w:rsid w:val="00364B3D"/>
    <w:rsid w:val="00364C24"/>
    <w:rsid w:val="003661E6"/>
    <w:rsid w:val="00366607"/>
    <w:rsid w:val="00370B30"/>
    <w:rsid w:val="00371085"/>
    <w:rsid w:val="00371A59"/>
    <w:rsid w:val="00371B75"/>
    <w:rsid w:val="00371DCC"/>
    <w:rsid w:val="00371E9E"/>
    <w:rsid w:val="0037231A"/>
    <w:rsid w:val="00372444"/>
    <w:rsid w:val="00373365"/>
    <w:rsid w:val="00373795"/>
    <w:rsid w:val="00373C28"/>
    <w:rsid w:val="00374D17"/>
    <w:rsid w:val="003750DF"/>
    <w:rsid w:val="00375581"/>
    <w:rsid w:val="003761EA"/>
    <w:rsid w:val="0037657A"/>
    <w:rsid w:val="00376BF4"/>
    <w:rsid w:val="00377056"/>
    <w:rsid w:val="0037752C"/>
    <w:rsid w:val="00380A08"/>
    <w:rsid w:val="00381DCD"/>
    <w:rsid w:val="003820AC"/>
    <w:rsid w:val="0038222D"/>
    <w:rsid w:val="0038223E"/>
    <w:rsid w:val="0038243E"/>
    <w:rsid w:val="00384134"/>
    <w:rsid w:val="00385568"/>
    <w:rsid w:val="003865B2"/>
    <w:rsid w:val="00386F85"/>
    <w:rsid w:val="00387D82"/>
    <w:rsid w:val="003900CA"/>
    <w:rsid w:val="003905D2"/>
    <w:rsid w:val="003905E9"/>
    <w:rsid w:val="0039076F"/>
    <w:rsid w:val="00390CA2"/>
    <w:rsid w:val="003929A2"/>
    <w:rsid w:val="00393DC5"/>
    <w:rsid w:val="00394061"/>
    <w:rsid w:val="00394078"/>
    <w:rsid w:val="0039519F"/>
    <w:rsid w:val="0039557C"/>
    <w:rsid w:val="00396532"/>
    <w:rsid w:val="00397442"/>
    <w:rsid w:val="003A122E"/>
    <w:rsid w:val="003A1284"/>
    <w:rsid w:val="003A1A5B"/>
    <w:rsid w:val="003A24C5"/>
    <w:rsid w:val="003A26A0"/>
    <w:rsid w:val="003A5654"/>
    <w:rsid w:val="003A5A88"/>
    <w:rsid w:val="003A5CDB"/>
    <w:rsid w:val="003A64D7"/>
    <w:rsid w:val="003A64EF"/>
    <w:rsid w:val="003A7398"/>
    <w:rsid w:val="003A7F9D"/>
    <w:rsid w:val="003B017A"/>
    <w:rsid w:val="003B0549"/>
    <w:rsid w:val="003B12A7"/>
    <w:rsid w:val="003B2945"/>
    <w:rsid w:val="003B3025"/>
    <w:rsid w:val="003B305E"/>
    <w:rsid w:val="003B34AE"/>
    <w:rsid w:val="003B3E51"/>
    <w:rsid w:val="003B3EDB"/>
    <w:rsid w:val="003B5036"/>
    <w:rsid w:val="003B5E86"/>
    <w:rsid w:val="003B6135"/>
    <w:rsid w:val="003B7014"/>
    <w:rsid w:val="003B7F99"/>
    <w:rsid w:val="003C03D3"/>
    <w:rsid w:val="003C1AE2"/>
    <w:rsid w:val="003C21A5"/>
    <w:rsid w:val="003C223F"/>
    <w:rsid w:val="003C2675"/>
    <w:rsid w:val="003C400E"/>
    <w:rsid w:val="003C5D5C"/>
    <w:rsid w:val="003C6752"/>
    <w:rsid w:val="003C740B"/>
    <w:rsid w:val="003C7582"/>
    <w:rsid w:val="003C75DB"/>
    <w:rsid w:val="003D0FE3"/>
    <w:rsid w:val="003D10E6"/>
    <w:rsid w:val="003D1510"/>
    <w:rsid w:val="003D190D"/>
    <w:rsid w:val="003D19F6"/>
    <w:rsid w:val="003D22B1"/>
    <w:rsid w:val="003D3DFF"/>
    <w:rsid w:val="003D40A9"/>
    <w:rsid w:val="003D4848"/>
    <w:rsid w:val="003D5532"/>
    <w:rsid w:val="003D5E6E"/>
    <w:rsid w:val="003D7020"/>
    <w:rsid w:val="003D70DD"/>
    <w:rsid w:val="003D736C"/>
    <w:rsid w:val="003E0025"/>
    <w:rsid w:val="003E02B9"/>
    <w:rsid w:val="003E080F"/>
    <w:rsid w:val="003E0D3A"/>
    <w:rsid w:val="003E33B1"/>
    <w:rsid w:val="003E39C9"/>
    <w:rsid w:val="003E3B69"/>
    <w:rsid w:val="003E3F63"/>
    <w:rsid w:val="003E47E0"/>
    <w:rsid w:val="003E4C90"/>
    <w:rsid w:val="003E4FB7"/>
    <w:rsid w:val="003E55CC"/>
    <w:rsid w:val="003E5CEB"/>
    <w:rsid w:val="003E6FE5"/>
    <w:rsid w:val="003E72F5"/>
    <w:rsid w:val="003E7B93"/>
    <w:rsid w:val="003F0715"/>
    <w:rsid w:val="003F25EA"/>
    <w:rsid w:val="003F3A3E"/>
    <w:rsid w:val="003F3FB4"/>
    <w:rsid w:val="003F400F"/>
    <w:rsid w:val="003F45B1"/>
    <w:rsid w:val="003F4743"/>
    <w:rsid w:val="003F59B7"/>
    <w:rsid w:val="003F676D"/>
    <w:rsid w:val="003F6CF5"/>
    <w:rsid w:val="003F6EFA"/>
    <w:rsid w:val="003F73A1"/>
    <w:rsid w:val="00400117"/>
    <w:rsid w:val="0040089E"/>
    <w:rsid w:val="004008BA"/>
    <w:rsid w:val="0040094D"/>
    <w:rsid w:val="00400C83"/>
    <w:rsid w:val="004012E0"/>
    <w:rsid w:val="004014F4"/>
    <w:rsid w:val="00401D4B"/>
    <w:rsid w:val="004027FD"/>
    <w:rsid w:val="00402E8C"/>
    <w:rsid w:val="00403F9A"/>
    <w:rsid w:val="0040495F"/>
    <w:rsid w:val="0040568A"/>
    <w:rsid w:val="00405DB6"/>
    <w:rsid w:val="004061C1"/>
    <w:rsid w:val="00406A2A"/>
    <w:rsid w:val="004073ED"/>
    <w:rsid w:val="0041032C"/>
    <w:rsid w:val="0041051B"/>
    <w:rsid w:val="00410F09"/>
    <w:rsid w:val="0041207A"/>
    <w:rsid w:val="0041215B"/>
    <w:rsid w:val="00412267"/>
    <w:rsid w:val="00412918"/>
    <w:rsid w:val="00413755"/>
    <w:rsid w:val="00413758"/>
    <w:rsid w:val="00413BAF"/>
    <w:rsid w:val="004149BE"/>
    <w:rsid w:val="00415431"/>
    <w:rsid w:val="004154B3"/>
    <w:rsid w:val="00415DB6"/>
    <w:rsid w:val="00417618"/>
    <w:rsid w:val="00417AA6"/>
    <w:rsid w:val="00417D58"/>
    <w:rsid w:val="00420510"/>
    <w:rsid w:val="004215E5"/>
    <w:rsid w:val="00421625"/>
    <w:rsid w:val="00421B16"/>
    <w:rsid w:val="00422144"/>
    <w:rsid w:val="0042470B"/>
    <w:rsid w:val="00424C14"/>
    <w:rsid w:val="0042587B"/>
    <w:rsid w:val="004261C8"/>
    <w:rsid w:val="00426879"/>
    <w:rsid w:val="00427338"/>
    <w:rsid w:val="004307D7"/>
    <w:rsid w:val="0043131B"/>
    <w:rsid w:val="004316A9"/>
    <w:rsid w:val="00431F4A"/>
    <w:rsid w:val="0043264F"/>
    <w:rsid w:val="00433A53"/>
    <w:rsid w:val="00434B03"/>
    <w:rsid w:val="00434D6F"/>
    <w:rsid w:val="0043529D"/>
    <w:rsid w:val="004352B6"/>
    <w:rsid w:val="004356C7"/>
    <w:rsid w:val="004375BD"/>
    <w:rsid w:val="00437AE8"/>
    <w:rsid w:val="0044010D"/>
    <w:rsid w:val="00440644"/>
    <w:rsid w:val="004412A2"/>
    <w:rsid w:val="004413E2"/>
    <w:rsid w:val="00442220"/>
    <w:rsid w:val="004427A2"/>
    <w:rsid w:val="00442CF8"/>
    <w:rsid w:val="00444305"/>
    <w:rsid w:val="0044443A"/>
    <w:rsid w:val="00444F70"/>
    <w:rsid w:val="004450CF"/>
    <w:rsid w:val="00445491"/>
    <w:rsid w:val="004455D4"/>
    <w:rsid w:val="00445A00"/>
    <w:rsid w:val="00445AC7"/>
    <w:rsid w:val="004469B7"/>
    <w:rsid w:val="00447D87"/>
    <w:rsid w:val="0045013B"/>
    <w:rsid w:val="00450767"/>
    <w:rsid w:val="00450E97"/>
    <w:rsid w:val="00451D50"/>
    <w:rsid w:val="00452AEB"/>
    <w:rsid w:val="00452FBA"/>
    <w:rsid w:val="004534C0"/>
    <w:rsid w:val="00453521"/>
    <w:rsid w:val="0045484B"/>
    <w:rsid w:val="004549E2"/>
    <w:rsid w:val="00454FD2"/>
    <w:rsid w:val="0045561A"/>
    <w:rsid w:val="004569B5"/>
    <w:rsid w:val="00456A8F"/>
    <w:rsid w:val="004571CE"/>
    <w:rsid w:val="004603FB"/>
    <w:rsid w:val="00462329"/>
    <w:rsid w:val="004625DD"/>
    <w:rsid w:val="00464626"/>
    <w:rsid w:val="004647AF"/>
    <w:rsid w:val="0046480B"/>
    <w:rsid w:val="00465290"/>
    <w:rsid w:val="0046543A"/>
    <w:rsid w:val="0046630F"/>
    <w:rsid w:val="0046631D"/>
    <w:rsid w:val="00466F0D"/>
    <w:rsid w:val="004670A1"/>
    <w:rsid w:val="004671C4"/>
    <w:rsid w:val="0046731E"/>
    <w:rsid w:val="00467450"/>
    <w:rsid w:val="00467C0B"/>
    <w:rsid w:val="00467DD3"/>
    <w:rsid w:val="00470045"/>
    <w:rsid w:val="004704D7"/>
    <w:rsid w:val="00470B60"/>
    <w:rsid w:val="0047288C"/>
    <w:rsid w:val="00472F87"/>
    <w:rsid w:val="004731C6"/>
    <w:rsid w:val="00473947"/>
    <w:rsid w:val="00475923"/>
    <w:rsid w:val="00475A69"/>
    <w:rsid w:val="00476350"/>
    <w:rsid w:val="00476524"/>
    <w:rsid w:val="004774EE"/>
    <w:rsid w:val="00477E01"/>
    <w:rsid w:val="00480459"/>
    <w:rsid w:val="00480506"/>
    <w:rsid w:val="00480DD7"/>
    <w:rsid w:val="00481297"/>
    <w:rsid w:val="004818F1"/>
    <w:rsid w:val="004819D5"/>
    <w:rsid w:val="00482D02"/>
    <w:rsid w:val="00482E9A"/>
    <w:rsid w:val="00482FD9"/>
    <w:rsid w:val="004834B7"/>
    <w:rsid w:val="00483EBC"/>
    <w:rsid w:val="00484849"/>
    <w:rsid w:val="00484A1D"/>
    <w:rsid w:val="00484F27"/>
    <w:rsid w:val="00485A74"/>
    <w:rsid w:val="00485DD3"/>
    <w:rsid w:val="00485FC7"/>
    <w:rsid w:val="004867E4"/>
    <w:rsid w:val="004873B7"/>
    <w:rsid w:val="0049158E"/>
    <w:rsid w:val="004917AD"/>
    <w:rsid w:val="00491C70"/>
    <w:rsid w:val="0049203D"/>
    <w:rsid w:val="00492A90"/>
    <w:rsid w:val="0049356D"/>
    <w:rsid w:val="00493981"/>
    <w:rsid w:val="00493C6D"/>
    <w:rsid w:val="00493CF1"/>
    <w:rsid w:val="00493CF8"/>
    <w:rsid w:val="004975A1"/>
    <w:rsid w:val="00497A76"/>
    <w:rsid w:val="004A0653"/>
    <w:rsid w:val="004A1CE2"/>
    <w:rsid w:val="004A3717"/>
    <w:rsid w:val="004A38D2"/>
    <w:rsid w:val="004A4364"/>
    <w:rsid w:val="004A476E"/>
    <w:rsid w:val="004A47FB"/>
    <w:rsid w:val="004A4CC4"/>
    <w:rsid w:val="004A6029"/>
    <w:rsid w:val="004B0EA8"/>
    <w:rsid w:val="004B12F4"/>
    <w:rsid w:val="004B25C3"/>
    <w:rsid w:val="004B2AED"/>
    <w:rsid w:val="004B322F"/>
    <w:rsid w:val="004B3303"/>
    <w:rsid w:val="004B35DF"/>
    <w:rsid w:val="004B388A"/>
    <w:rsid w:val="004B3EED"/>
    <w:rsid w:val="004B4007"/>
    <w:rsid w:val="004B47F3"/>
    <w:rsid w:val="004B5124"/>
    <w:rsid w:val="004B627B"/>
    <w:rsid w:val="004B6C0C"/>
    <w:rsid w:val="004C0896"/>
    <w:rsid w:val="004C1DB1"/>
    <w:rsid w:val="004C1DF0"/>
    <w:rsid w:val="004C45C4"/>
    <w:rsid w:val="004C511B"/>
    <w:rsid w:val="004C6432"/>
    <w:rsid w:val="004C68D2"/>
    <w:rsid w:val="004C737D"/>
    <w:rsid w:val="004D0A58"/>
    <w:rsid w:val="004D0CAB"/>
    <w:rsid w:val="004D0D6F"/>
    <w:rsid w:val="004D335E"/>
    <w:rsid w:val="004D345C"/>
    <w:rsid w:val="004D378B"/>
    <w:rsid w:val="004D382C"/>
    <w:rsid w:val="004D3B49"/>
    <w:rsid w:val="004D3D31"/>
    <w:rsid w:val="004D5021"/>
    <w:rsid w:val="004D65C2"/>
    <w:rsid w:val="004D7733"/>
    <w:rsid w:val="004D7E8E"/>
    <w:rsid w:val="004E09FA"/>
    <w:rsid w:val="004E168F"/>
    <w:rsid w:val="004E2263"/>
    <w:rsid w:val="004E316D"/>
    <w:rsid w:val="004E34BD"/>
    <w:rsid w:val="004E4642"/>
    <w:rsid w:val="004F008F"/>
    <w:rsid w:val="004F0264"/>
    <w:rsid w:val="004F2CC3"/>
    <w:rsid w:val="004F2DC9"/>
    <w:rsid w:val="004F2ED5"/>
    <w:rsid w:val="004F340A"/>
    <w:rsid w:val="004F3AE4"/>
    <w:rsid w:val="004F414C"/>
    <w:rsid w:val="004F4B06"/>
    <w:rsid w:val="004F54C2"/>
    <w:rsid w:val="004F5EF2"/>
    <w:rsid w:val="004F61DA"/>
    <w:rsid w:val="004F7217"/>
    <w:rsid w:val="004F76DB"/>
    <w:rsid w:val="004F7FD9"/>
    <w:rsid w:val="00500908"/>
    <w:rsid w:val="005009B0"/>
    <w:rsid w:val="00501004"/>
    <w:rsid w:val="0050136A"/>
    <w:rsid w:val="00501673"/>
    <w:rsid w:val="00501A6D"/>
    <w:rsid w:val="005024AD"/>
    <w:rsid w:val="00502846"/>
    <w:rsid w:val="005038B2"/>
    <w:rsid w:val="0050677A"/>
    <w:rsid w:val="00507ECC"/>
    <w:rsid w:val="00510D67"/>
    <w:rsid w:val="00511368"/>
    <w:rsid w:val="005128AF"/>
    <w:rsid w:val="00513881"/>
    <w:rsid w:val="0051395A"/>
    <w:rsid w:val="00513F3B"/>
    <w:rsid w:val="00513F7C"/>
    <w:rsid w:val="00514FC8"/>
    <w:rsid w:val="00515180"/>
    <w:rsid w:val="00515E13"/>
    <w:rsid w:val="00517B8D"/>
    <w:rsid w:val="00517FF0"/>
    <w:rsid w:val="00521465"/>
    <w:rsid w:val="00524828"/>
    <w:rsid w:val="00524CE5"/>
    <w:rsid w:val="00524DB7"/>
    <w:rsid w:val="00525292"/>
    <w:rsid w:val="00525E90"/>
    <w:rsid w:val="00526540"/>
    <w:rsid w:val="00526BD3"/>
    <w:rsid w:val="00527920"/>
    <w:rsid w:val="005305E1"/>
    <w:rsid w:val="00530D18"/>
    <w:rsid w:val="005312BB"/>
    <w:rsid w:val="005318EE"/>
    <w:rsid w:val="0053231F"/>
    <w:rsid w:val="005325A0"/>
    <w:rsid w:val="0053298A"/>
    <w:rsid w:val="00533C63"/>
    <w:rsid w:val="0053414B"/>
    <w:rsid w:val="005403D4"/>
    <w:rsid w:val="00540597"/>
    <w:rsid w:val="00540A91"/>
    <w:rsid w:val="00541425"/>
    <w:rsid w:val="005423EE"/>
    <w:rsid w:val="005433EE"/>
    <w:rsid w:val="00543DFA"/>
    <w:rsid w:val="00544061"/>
    <w:rsid w:val="00544506"/>
    <w:rsid w:val="00544D0F"/>
    <w:rsid w:val="00544E55"/>
    <w:rsid w:val="005459DF"/>
    <w:rsid w:val="00545D4F"/>
    <w:rsid w:val="00545E78"/>
    <w:rsid w:val="00550241"/>
    <w:rsid w:val="005517DF"/>
    <w:rsid w:val="0055235C"/>
    <w:rsid w:val="0055349F"/>
    <w:rsid w:val="0055488C"/>
    <w:rsid w:val="00555AE6"/>
    <w:rsid w:val="005560BB"/>
    <w:rsid w:val="0055618A"/>
    <w:rsid w:val="00557B7A"/>
    <w:rsid w:val="00560318"/>
    <w:rsid w:val="00561365"/>
    <w:rsid w:val="0056184D"/>
    <w:rsid w:val="005634FC"/>
    <w:rsid w:val="00563567"/>
    <w:rsid w:val="005638D1"/>
    <w:rsid w:val="00564713"/>
    <w:rsid w:val="00564B62"/>
    <w:rsid w:val="005665CD"/>
    <w:rsid w:val="00567657"/>
    <w:rsid w:val="005700A6"/>
    <w:rsid w:val="00570F55"/>
    <w:rsid w:val="00571500"/>
    <w:rsid w:val="005725AA"/>
    <w:rsid w:val="00572A6F"/>
    <w:rsid w:val="00572B59"/>
    <w:rsid w:val="00572F92"/>
    <w:rsid w:val="00574399"/>
    <w:rsid w:val="005744AB"/>
    <w:rsid w:val="005749E0"/>
    <w:rsid w:val="00574A92"/>
    <w:rsid w:val="00574D19"/>
    <w:rsid w:val="00574FD4"/>
    <w:rsid w:val="005760AE"/>
    <w:rsid w:val="00576BBD"/>
    <w:rsid w:val="00577B2F"/>
    <w:rsid w:val="00577D8F"/>
    <w:rsid w:val="00580363"/>
    <w:rsid w:val="00580E66"/>
    <w:rsid w:val="00581830"/>
    <w:rsid w:val="00581A1B"/>
    <w:rsid w:val="005823D6"/>
    <w:rsid w:val="0058310C"/>
    <w:rsid w:val="00584658"/>
    <w:rsid w:val="005847B0"/>
    <w:rsid w:val="005863F2"/>
    <w:rsid w:val="005864CA"/>
    <w:rsid w:val="00587063"/>
    <w:rsid w:val="005871DA"/>
    <w:rsid w:val="00587495"/>
    <w:rsid w:val="00587844"/>
    <w:rsid w:val="00587B23"/>
    <w:rsid w:val="005904CE"/>
    <w:rsid w:val="00590A42"/>
    <w:rsid w:val="005912B3"/>
    <w:rsid w:val="005918DB"/>
    <w:rsid w:val="005925DF"/>
    <w:rsid w:val="00592839"/>
    <w:rsid w:val="0059285D"/>
    <w:rsid w:val="00592F6A"/>
    <w:rsid w:val="005935F0"/>
    <w:rsid w:val="00593648"/>
    <w:rsid w:val="0059386B"/>
    <w:rsid w:val="005938DE"/>
    <w:rsid w:val="00593990"/>
    <w:rsid w:val="00594CBC"/>
    <w:rsid w:val="005960B6"/>
    <w:rsid w:val="00597131"/>
    <w:rsid w:val="005972EE"/>
    <w:rsid w:val="00597AEC"/>
    <w:rsid w:val="00597D5F"/>
    <w:rsid w:val="005A067E"/>
    <w:rsid w:val="005A06CB"/>
    <w:rsid w:val="005A09C4"/>
    <w:rsid w:val="005A0EEA"/>
    <w:rsid w:val="005A1FD6"/>
    <w:rsid w:val="005A2D30"/>
    <w:rsid w:val="005A3C55"/>
    <w:rsid w:val="005A4684"/>
    <w:rsid w:val="005A46EC"/>
    <w:rsid w:val="005A4EED"/>
    <w:rsid w:val="005A50B4"/>
    <w:rsid w:val="005A6164"/>
    <w:rsid w:val="005A6234"/>
    <w:rsid w:val="005A6616"/>
    <w:rsid w:val="005A670A"/>
    <w:rsid w:val="005A7BBB"/>
    <w:rsid w:val="005A7FC1"/>
    <w:rsid w:val="005B105B"/>
    <w:rsid w:val="005B10CD"/>
    <w:rsid w:val="005B12C4"/>
    <w:rsid w:val="005B13BE"/>
    <w:rsid w:val="005B15B1"/>
    <w:rsid w:val="005B1930"/>
    <w:rsid w:val="005B20FD"/>
    <w:rsid w:val="005B3055"/>
    <w:rsid w:val="005B3A81"/>
    <w:rsid w:val="005B3B72"/>
    <w:rsid w:val="005B3BFB"/>
    <w:rsid w:val="005B54E5"/>
    <w:rsid w:val="005B5912"/>
    <w:rsid w:val="005B5EE8"/>
    <w:rsid w:val="005B6732"/>
    <w:rsid w:val="005B6F1E"/>
    <w:rsid w:val="005B7857"/>
    <w:rsid w:val="005B7E49"/>
    <w:rsid w:val="005C02D9"/>
    <w:rsid w:val="005C0D2C"/>
    <w:rsid w:val="005C14D6"/>
    <w:rsid w:val="005C2510"/>
    <w:rsid w:val="005C29ED"/>
    <w:rsid w:val="005C3D19"/>
    <w:rsid w:val="005C4593"/>
    <w:rsid w:val="005C494B"/>
    <w:rsid w:val="005C527A"/>
    <w:rsid w:val="005C54F3"/>
    <w:rsid w:val="005C5AB8"/>
    <w:rsid w:val="005C5ADE"/>
    <w:rsid w:val="005C6A2A"/>
    <w:rsid w:val="005C6B3C"/>
    <w:rsid w:val="005C6B5C"/>
    <w:rsid w:val="005C7F70"/>
    <w:rsid w:val="005D04C3"/>
    <w:rsid w:val="005D12C7"/>
    <w:rsid w:val="005D1C6A"/>
    <w:rsid w:val="005D3B54"/>
    <w:rsid w:val="005D3FF3"/>
    <w:rsid w:val="005D6CAA"/>
    <w:rsid w:val="005D79C1"/>
    <w:rsid w:val="005E026F"/>
    <w:rsid w:val="005E0E58"/>
    <w:rsid w:val="005E1279"/>
    <w:rsid w:val="005E203F"/>
    <w:rsid w:val="005E4218"/>
    <w:rsid w:val="005E5728"/>
    <w:rsid w:val="005E5923"/>
    <w:rsid w:val="005E59D2"/>
    <w:rsid w:val="005E6112"/>
    <w:rsid w:val="005E67EF"/>
    <w:rsid w:val="005E6CBB"/>
    <w:rsid w:val="005E73CE"/>
    <w:rsid w:val="005E7C6E"/>
    <w:rsid w:val="005E7D5B"/>
    <w:rsid w:val="005F0AC5"/>
    <w:rsid w:val="005F107A"/>
    <w:rsid w:val="005F12A1"/>
    <w:rsid w:val="005F14CB"/>
    <w:rsid w:val="005F1CBC"/>
    <w:rsid w:val="005F1CF7"/>
    <w:rsid w:val="005F3173"/>
    <w:rsid w:val="005F3320"/>
    <w:rsid w:val="005F355C"/>
    <w:rsid w:val="005F35A6"/>
    <w:rsid w:val="005F3681"/>
    <w:rsid w:val="005F3931"/>
    <w:rsid w:val="005F5186"/>
    <w:rsid w:val="005F5B27"/>
    <w:rsid w:val="005F7469"/>
    <w:rsid w:val="005F7766"/>
    <w:rsid w:val="0060071C"/>
    <w:rsid w:val="0060084E"/>
    <w:rsid w:val="00601B4A"/>
    <w:rsid w:val="00602059"/>
    <w:rsid w:val="0060249F"/>
    <w:rsid w:val="00602547"/>
    <w:rsid w:val="00602760"/>
    <w:rsid w:val="00604ABF"/>
    <w:rsid w:val="00604CA7"/>
    <w:rsid w:val="006055D1"/>
    <w:rsid w:val="00605ADF"/>
    <w:rsid w:val="00606E25"/>
    <w:rsid w:val="00606FCB"/>
    <w:rsid w:val="00607C15"/>
    <w:rsid w:val="00610212"/>
    <w:rsid w:val="00611BFA"/>
    <w:rsid w:val="006125BE"/>
    <w:rsid w:val="00612717"/>
    <w:rsid w:val="00614B0E"/>
    <w:rsid w:val="00615992"/>
    <w:rsid w:val="00615FF4"/>
    <w:rsid w:val="00616BBA"/>
    <w:rsid w:val="00617784"/>
    <w:rsid w:val="00620B7B"/>
    <w:rsid w:val="0062104C"/>
    <w:rsid w:val="00621B96"/>
    <w:rsid w:val="00621D59"/>
    <w:rsid w:val="00621EE2"/>
    <w:rsid w:val="00622394"/>
    <w:rsid w:val="00622B00"/>
    <w:rsid w:val="00623F74"/>
    <w:rsid w:val="006240EA"/>
    <w:rsid w:val="00624C34"/>
    <w:rsid w:val="00624F91"/>
    <w:rsid w:val="00625CB3"/>
    <w:rsid w:val="00626240"/>
    <w:rsid w:val="00626514"/>
    <w:rsid w:val="006266C6"/>
    <w:rsid w:val="00626E63"/>
    <w:rsid w:val="0062714B"/>
    <w:rsid w:val="006278AE"/>
    <w:rsid w:val="006317DF"/>
    <w:rsid w:val="00631BC2"/>
    <w:rsid w:val="00632E68"/>
    <w:rsid w:val="00633BD3"/>
    <w:rsid w:val="00633F6F"/>
    <w:rsid w:val="006341B8"/>
    <w:rsid w:val="00634475"/>
    <w:rsid w:val="006347B9"/>
    <w:rsid w:val="00634921"/>
    <w:rsid w:val="006355E9"/>
    <w:rsid w:val="0063677D"/>
    <w:rsid w:val="006368B7"/>
    <w:rsid w:val="00637012"/>
    <w:rsid w:val="006370C5"/>
    <w:rsid w:val="0063753B"/>
    <w:rsid w:val="00637BCE"/>
    <w:rsid w:val="0064121F"/>
    <w:rsid w:val="00641DF4"/>
    <w:rsid w:val="0064237F"/>
    <w:rsid w:val="006423DA"/>
    <w:rsid w:val="00642580"/>
    <w:rsid w:val="0064564F"/>
    <w:rsid w:val="00645A00"/>
    <w:rsid w:val="006501DB"/>
    <w:rsid w:val="00650648"/>
    <w:rsid w:val="006509F4"/>
    <w:rsid w:val="006516DE"/>
    <w:rsid w:val="006524D8"/>
    <w:rsid w:val="006525BD"/>
    <w:rsid w:val="006530F0"/>
    <w:rsid w:val="00653C31"/>
    <w:rsid w:val="00653CFB"/>
    <w:rsid w:val="00653EE9"/>
    <w:rsid w:val="00653FA2"/>
    <w:rsid w:val="00654D59"/>
    <w:rsid w:val="00654E0A"/>
    <w:rsid w:val="0065588D"/>
    <w:rsid w:val="00656651"/>
    <w:rsid w:val="0065798F"/>
    <w:rsid w:val="00661707"/>
    <w:rsid w:val="006617EF"/>
    <w:rsid w:val="00662900"/>
    <w:rsid w:val="0066299E"/>
    <w:rsid w:val="00662DF9"/>
    <w:rsid w:val="006631FA"/>
    <w:rsid w:val="00663DE8"/>
    <w:rsid w:val="00664031"/>
    <w:rsid w:val="006647B3"/>
    <w:rsid w:val="006658D8"/>
    <w:rsid w:val="00665F05"/>
    <w:rsid w:val="006668C9"/>
    <w:rsid w:val="006671B5"/>
    <w:rsid w:val="00667B47"/>
    <w:rsid w:val="00667D1D"/>
    <w:rsid w:val="0067164A"/>
    <w:rsid w:val="00673920"/>
    <w:rsid w:val="00673C2B"/>
    <w:rsid w:val="00674692"/>
    <w:rsid w:val="006753F0"/>
    <w:rsid w:val="006759E6"/>
    <w:rsid w:val="00675CC9"/>
    <w:rsid w:val="006767E5"/>
    <w:rsid w:val="00676A6D"/>
    <w:rsid w:val="00676D1A"/>
    <w:rsid w:val="006770AD"/>
    <w:rsid w:val="006773A1"/>
    <w:rsid w:val="00677E87"/>
    <w:rsid w:val="00680589"/>
    <w:rsid w:val="00680598"/>
    <w:rsid w:val="00680633"/>
    <w:rsid w:val="00680D60"/>
    <w:rsid w:val="0068100E"/>
    <w:rsid w:val="006814DF"/>
    <w:rsid w:val="00682507"/>
    <w:rsid w:val="00682634"/>
    <w:rsid w:val="006835DA"/>
    <w:rsid w:val="00683B65"/>
    <w:rsid w:val="00683E39"/>
    <w:rsid w:val="00683EDD"/>
    <w:rsid w:val="00685180"/>
    <w:rsid w:val="00686050"/>
    <w:rsid w:val="006861DF"/>
    <w:rsid w:val="00686346"/>
    <w:rsid w:val="00687281"/>
    <w:rsid w:val="00691BDC"/>
    <w:rsid w:val="00691F6E"/>
    <w:rsid w:val="006936E7"/>
    <w:rsid w:val="00694E41"/>
    <w:rsid w:val="006953AA"/>
    <w:rsid w:val="006953F4"/>
    <w:rsid w:val="006955B2"/>
    <w:rsid w:val="00695770"/>
    <w:rsid w:val="00696091"/>
    <w:rsid w:val="0069689A"/>
    <w:rsid w:val="00696E41"/>
    <w:rsid w:val="00697599"/>
    <w:rsid w:val="006979C2"/>
    <w:rsid w:val="006A062B"/>
    <w:rsid w:val="006A0EED"/>
    <w:rsid w:val="006A15FF"/>
    <w:rsid w:val="006A18F0"/>
    <w:rsid w:val="006A23B9"/>
    <w:rsid w:val="006A3808"/>
    <w:rsid w:val="006A3C92"/>
    <w:rsid w:val="006A3DC9"/>
    <w:rsid w:val="006A3F9F"/>
    <w:rsid w:val="006A454C"/>
    <w:rsid w:val="006A45F8"/>
    <w:rsid w:val="006A4674"/>
    <w:rsid w:val="006A4759"/>
    <w:rsid w:val="006A6749"/>
    <w:rsid w:val="006A7A79"/>
    <w:rsid w:val="006A7F03"/>
    <w:rsid w:val="006B2165"/>
    <w:rsid w:val="006B2222"/>
    <w:rsid w:val="006B4163"/>
    <w:rsid w:val="006B5E22"/>
    <w:rsid w:val="006B7188"/>
    <w:rsid w:val="006B7EAB"/>
    <w:rsid w:val="006C03CF"/>
    <w:rsid w:val="006C0DED"/>
    <w:rsid w:val="006C0FF6"/>
    <w:rsid w:val="006C187A"/>
    <w:rsid w:val="006C1B7A"/>
    <w:rsid w:val="006C1BC2"/>
    <w:rsid w:val="006C3196"/>
    <w:rsid w:val="006C33B5"/>
    <w:rsid w:val="006C494F"/>
    <w:rsid w:val="006C4B76"/>
    <w:rsid w:val="006C5AB7"/>
    <w:rsid w:val="006C5D80"/>
    <w:rsid w:val="006C6613"/>
    <w:rsid w:val="006C6653"/>
    <w:rsid w:val="006C721E"/>
    <w:rsid w:val="006C788B"/>
    <w:rsid w:val="006C7BF5"/>
    <w:rsid w:val="006C7FA7"/>
    <w:rsid w:val="006D03FA"/>
    <w:rsid w:val="006D0B26"/>
    <w:rsid w:val="006D0B3F"/>
    <w:rsid w:val="006D18A1"/>
    <w:rsid w:val="006D1A7F"/>
    <w:rsid w:val="006D1C58"/>
    <w:rsid w:val="006D2422"/>
    <w:rsid w:val="006D2C27"/>
    <w:rsid w:val="006D2DC9"/>
    <w:rsid w:val="006D349B"/>
    <w:rsid w:val="006D3799"/>
    <w:rsid w:val="006D47E3"/>
    <w:rsid w:val="006D5AA9"/>
    <w:rsid w:val="006D5DC9"/>
    <w:rsid w:val="006D5F70"/>
    <w:rsid w:val="006D63E3"/>
    <w:rsid w:val="006D7B3A"/>
    <w:rsid w:val="006E0084"/>
    <w:rsid w:val="006E2C93"/>
    <w:rsid w:val="006E3207"/>
    <w:rsid w:val="006F08E8"/>
    <w:rsid w:val="006F0C19"/>
    <w:rsid w:val="006F0D0F"/>
    <w:rsid w:val="006F0D62"/>
    <w:rsid w:val="006F1B26"/>
    <w:rsid w:val="006F1C1E"/>
    <w:rsid w:val="006F4523"/>
    <w:rsid w:val="006F4868"/>
    <w:rsid w:val="006F4B94"/>
    <w:rsid w:val="006F5175"/>
    <w:rsid w:val="006F590A"/>
    <w:rsid w:val="006F6A25"/>
    <w:rsid w:val="006F6DFE"/>
    <w:rsid w:val="0070048E"/>
    <w:rsid w:val="00702222"/>
    <w:rsid w:val="007028E4"/>
    <w:rsid w:val="007029A2"/>
    <w:rsid w:val="00702AD8"/>
    <w:rsid w:val="00702F77"/>
    <w:rsid w:val="00704BFA"/>
    <w:rsid w:val="007056BD"/>
    <w:rsid w:val="0070682C"/>
    <w:rsid w:val="0071016D"/>
    <w:rsid w:val="007107C4"/>
    <w:rsid w:val="00710FAC"/>
    <w:rsid w:val="00711F9B"/>
    <w:rsid w:val="00712056"/>
    <w:rsid w:val="007167AA"/>
    <w:rsid w:val="00716821"/>
    <w:rsid w:val="00716CE9"/>
    <w:rsid w:val="007173CD"/>
    <w:rsid w:val="007175BD"/>
    <w:rsid w:val="00720493"/>
    <w:rsid w:val="00720603"/>
    <w:rsid w:val="00720CDE"/>
    <w:rsid w:val="00721124"/>
    <w:rsid w:val="00721296"/>
    <w:rsid w:val="00722790"/>
    <w:rsid w:val="00724033"/>
    <w:rsid w:val="00724F0A"/>
    <w:rsid w:val="007254EF"/>
    <w:rsid w:val="007257E5"/>
    <w:rsid w:val="007259FB"/>
    <w:rsid w:val="007262CE"/>
    <w:rsid w:val="00727FD0"/>
    <w:rsid w:val="00730DAF"/>
    <w:rsid w:val="00731A3B"/>
    <w:rsid w:val="007320F5"/>
    <w:rsid w:val="0073333A"/>
    <w:rsid w:val="007335BA"/>
    <w:rsid w:val="00733652"/>
    <w:rsid w:val="00734178"/>
    <w:rsid w:val="007346A6"/>
    <w:rsid w:val="00734BE1"/>
    <w:rsid w:val="00734C6D"/>
    <w:rsid w:val="00735075"/>
    <w:rsid w:val="00736AED"/>
    <w:rsid w:val="00736C86"/>
    <w:rsid w:val="00737B6A"/>
    <w:rsid w:val="00737B75"/>
    <w:rsid w:val="00740225"/>
    <w:rsid w:val="007420BD"/>
    <w:rsid w:val="00742AB4"/>
    <w:rsid w:val="007449CF"/>
    <w:rsid w:val="00746D69"/>
    <w:rsid w:val="00747A87"/>
    <w:rsid w:val="0075004F"/>
    <w:rsid w:val="00751140"/>
    <w:rsid w:val="00751671"/>
    <w:rsid w:val="00752648"/>
    <w:rsid w:val="00752BB9"/>
    <w:rsid w:val="00753746"/>
    <w:rsid w:val="00753E2A"/>
    <w:rsid w:val="00754429"/>
    <w:rsid w:val="007546C5"/>
    <w:rsid w:val="0075558E"/>
    <w:rsid w:val="00755CDE"/>
    <w:rsid w:val="0075679B"/>
    <w:rsid w:val="0075709E"/>
    <w:rsid w:val="0076027F"/>
    <w:rsid w:val="00760582"/>
    <w:rsid w:val="00760AF4"/>
    <w:rsid w:val="007610E5"/>
    <w:rsid w:val="00761444"/>
    <w:rsid w:val="00761D8D"/>
    <w:rsid w:val="00763332"/>
    <w:rsid w:val="00763CAB"/>
    <w:rsid w:val="00764574"/>
    <w:rsid w:val="00764807"/>
    <w:rsid w:val="007660ED"/>
    <w:rsid w:val="0076713A"/>
    <w:rsid w:val="00767866"/>
    <w:rsid w:val="0077096E"/>
    <w:rsid w:val="00770CA1"/>
    <w:rsid w:val="00771346"/>
    <w:rsid w:val="0077161B"/>
    <w:rsid w:val="0077195C"/>
    <w:rsid w:val="0077344E"/>
    <w:rsid w:val="00774706"/>
    <w:rsid w:val="00774768"/>
    <w:rsid w:val="0077505C"/>
    <w:rsid w:val="007759E0"/>
    <w:rsid w:val="0077673C"/>
    <w:rsid w:val="00776753"/>
    <w:rsid w:val="00777134"/>
    <w:rsid w:val="0077722A"/>
    <w:rsid w:val="00777346"/>
    <w:rsid w:val="00777554"/>
    <w:rsid w:val="00777B0A"/>
    <w:rsid w:val="00777D33"/>
    <w:rsid w:val="007807E1"/>
    <w:rsid w:val="00780A28"/>
    <w:rsid w:val="007818AF"/>
    <w:rsid w:val="00781CE0"/>
    <w:rsid w:val="00781D5A"/>
    <w:rsid w:val="00782A0B"/>
    <w:rsid w:val="00783482"/>
    <w:rsid w:val="007836D2"/>
    <w:rsid w:val="00783C83"/>
    <w:rsid w:val="007845A3"/>
    <w:rsid w:val="00786536"/>
    <w:rsid w:val="007876DB"/>
    <w:rsid w:val="007879A1"/>
    <w:rsid w:val="007908DB"/>
    <w:rsid w:val="00790915"/>
    <w:rsid w:val="0079109D"/>
    <w:rsid w:val="00791F3E"/>
    <w:rsid w:val="00795AB8"/>
    <w:rsid w:val="00795D40"/>
    <w:rsid w:val="00795EC7"/>
    <w:rsid w:val="007965E5"/>
    <w:rsid w:val="007968AE"/>
    <w:rsid w:val="00796D00"/>
    <w:rsid w:val="00797839"/>
    <w:rsid w:val="00797F5D"/>
    <w:rsid w:val="007A0496"/>
    <w:rsid w:val="007A08AD"/>
    <w:rsid w:val="007A1758"/>
    <w:rsid w:val="007A376F"/>
    <w:rsid w:val="007A3AC6"/>
    <w:rsid w:val="007A43DA"/>
    <w:rsid w:val="007A47D5"/>
    <w:rsid w:val="007A4C77"/>
    <w:rsid w:val="007B1530"/>
    <w:rsid w:val="007B17DE"/>
    <w:rsid w:val="007B18E2"/>
    <w:rsid w:val="007B2719"/>
    <w:rsid w:val="007B4A4A"/>
    <w:rsid w:val="007B4DF6"/>
    <w:rsid w:val="007B50EC"/>
    <w:rsid w:val="007B5309"/>
    <w:rsid w:val="007B6AE8"/>
    <w:rsid w:val="007B7046"/>
    <w:rsid w:val="007C0802"/>
    <w:rsid w:val="007C097F"/>
    <w:rsid w:val="007C24F1"/>
    <w:rsid w:val="007C2CAD"/>
    <w:rsid w:val="007C2D59"/>
    <w:rsid w:val="007C42C9"/>
    <w:rsid w:val="007C4646"/>
    <w:rsid w:val="007C46CE"/>
    <w:rsid w:val="007C4D95"/>
    <w:rsid w:val="007C5328"/>
    <w:rsid w:val="007C53AE"/>
    <w:rsid w:val="007C61EE"/>
    <w:rsid w:val="007C7C26"/>
    <w:rsid w:val="007D09CC"/>
    <w:rsid w:val="007D1509"/>
    <w:rsid w:val="007D1F3F"/>
    <w:rsid w:val="007D2A4B"/>
    <w:rsid w:val="007D2B29"/>
    <w:rsid w:val="007D2DBC"/>
    <w:rsid w:val="007D3850"/>
    <w:rsid w:val="007D5438"/>
    <w:rsid w:val="007D5FB7"/>
    <w:rsid w:val="007D6E2F"/>
    <w:rsid w:val="007D75F5"/>
    <w:rsid w:val="007D7DEF"/>
    <w:rsid w:val="007E0AED"/>
    <w:rsid w:val="007E0E10"/>
    <w:rsid w:val="007E1292"/>
    <w:rsid w:val="007E2969"/>
    <w:rsid w:val="007E369C"/>
    <w:rsid w:val="007E3FA6"/>
    <w:rsid w:val="007E476A"/>
    <w:rsid w:val="007E5C7F"/>
    <w:rsid w:val="007E66DF"/>
    <w:rsid w:val="007E6A10"/>
    <w:rsid w:val="007E6BBC"/>
    <w:rsid w:val="007E71F1"/>
    <w:rsid w:val="007E7BE9"/>
    <w:rsid w:val="007F0708"/>
    <w:rsid w:val="007F09A5"/>
    <w:rsid w:val="007F0C99"/>
    <w:rsid w:val="007F1124"/>
    <w:rsid w:val="007F1EA8"/>
    <w:rsid w:val="007F2825"/>
    <w:rsid w:val="007F350F"/>
    <w:rsid w:val="007F36FE"/>
    <w:rsid w:val="007F4479"/>
    <w:rsid w:val="007F4A05"/>
    <w:rsid w:val="007F5747"/>
    <w:rsid w:val="007F5D5E"/>
    <w:rsid w:val="007F5F75"/>
    <w:rsid w:val="007F680A"/>
    <w:rsid w:val="007F745D"/>
    <w:rsid w:val="007F751F"/>
    <w:rsid w:val="007F7A22"/>
    <w:rsid w:val="0080031C"/>
    <w:rsid w:val="00800FA5"/>
    <w:rsid w:val="00801BCE"/>
    <w:rsid w:val="00801CF4"/>
    <w:rsid w:val="00802268"/>
    <w:rsid w:val="0080264B"/>
    <w:rsid w:val="00802B9D"/>
    <w:rsid w:val="00802D45"/>
    <w:rsid w:val="00802D4E"/>
    <w:rsid w:val="008036A4"/>
    <w:rsid w:val="008042A9"/>
    <w:rsid w:val="008058BA"/>
    <w:rsid w:val="00805CB1"/>
    <w:rsid w:val="00807AFC"/>
    <w:rsid w:val="008114E2"/>
    <w:rsid w:val="00811B97"/>
    <w:rsid w:val="0081279D"/>
    <w:rsid w:val="00812856"/>
    <w:rsid w:val="008139C7"/>
    <w:rsid w:val="008147F2"/>
    <w:rsid w:val="00814BBD"/>
    <w:rsid w:val="00814CD9"/>
    <w:rsid w:val="008151FB"/>
    <w:rsid w:val="00816064"/>
    <w:rsid w:val="00816A1E"/>
    <w:rsid w:val="00817292"/>
    <w:rsid w:val="0081794E"/>
    <w:rsid w:val="00820A99"/>
    <w:rsid w:val="00821A1F"/>
    <w:rsid w:val="0082231A"/>
    <w:rsid w:val="008229F1"/>
    <w:rsid w:val="00822B1E"/>
    <w:rsid w:val="00822BB4"/>
    <w:rsid w:val="00823117"/>
    <w:rsid w:val="00823B2C"/>
    <w:rsid w:val="00824431"/>
    <w:rsid w:val="008244EE"/>
    <w:rsid w:val="00824AF7"/>
    <w:rsid w:val="00826277"/>
    <w:rsid w:val="00826F04"/>
    <w:rsid w:val="0082752D"/>
    <w:rsid w:val="00830362"/>
    <w:rsid w:val="0083044F"/>
    <w:rsid w:val="008305BB"/>
    <w:rsid w:val="00830F7D"/>
    <w:rsid w:val="008343FD"/>
    <w:rsid w:val="0083470C"/>
    <w:rsid w:val="00834AC6"/>
    <w:rsid w:val="00835342"/>
    <w:rsid w:val="008355B6"/>
    <w:rsid w:val="0083560A"/>
    <w:rsid w:val="008356AD"/>
    <w:rsid w:val="0083676A"/>
    <w:rsid w:val="00836BBA"/>
    <w:rsid w:val="00837647"/>
    <w:rsid w:val="00842B37"/>
    <w:rsid w:val="00842C97"/>
    <w:rsid w:val="00843A17"/>
    <w:rsid w:val="00843CD4"/>
    <w:rsid w:val="00844228"/>
    <w:rsid w:val="008449DE"/>
    <w:rsid w:val="00844A43"/>
    <w:rsid w:val="00844B3C"/>
    <w:rsid w:val="00845C05"/>
    <w:rsid w:val="00845D49"/>
    <w:rsid w:val="0084623B"/>
    <w:rsid w:val="00846DAA"/>
    <w:rsid w:val="0084756A"/>
    <w:rsid w:val="00847581"/>
    <w:rsid w:val="00851A73"/>
    <w:rsid w:val="0085302D"/>
    <w:rsid w:val="00853383"/>
    <w:rsid w:val="008537F1"/>
    <w:rsid w:val="00854011"/>
    <w:rsid w:val="00854FCB"/>
    <w:rsid w:val="00855855"/>
    <w:rsid w:val="008559BF"/>
    <w:rsid w:val="008566D5"/>
    <w:rsid w:val="008571FE"/>
    <w:rsid w:val="00861A67"/>
    <w:rsid w:val="00861CC8"/>
    <w:rsid w:val="00862B1D"/>
    <w:rsid w:val="0086350B"/>
    <w:rsid w:val="00863830"/>
    <w:rsid w:val="0086527B"/>
    <w:rsid w:val="008652BD"/>
    <w:rsid w:val="00865B16"/>
    <w:rsid w:val="00867E83"/>
    <w:rsid w:val="008701C8"/>
    <w:rsid w:val="0087021A"/>
    <w:rsid w:val="008704C2"/>
    <w:rsid w:val="00871819"/>
    <w:rsid w:val="008724F5"/>
    <w:rsid w:val="00875C05"/>
    <w:rsid w:val="0087603A"/>
    <w:rsid w:val="00877885"/>
    <w:rsid w:val="008803F3"/>
    <w:rsid w:val="00880A11"/>
    <w:rsid w:val="00880A5F"/>
    <w:rsid w:val="0088144A"/>
    <w:rsid w:val="008818E7"/>
    <w:rsid w:val="00881B09"/>
    <w:rsid w:val="008828AB"/>
    <w:rsid w:val="008831C9"/>
    <w:rsid w:val="0088338B"/>
    <w:rsid w:val="00883FAC"/>
    <w:rsid w:val="0088482F"/>
    <w:rsid w:val="008849FC"/>
    <w:rsid w:val="00884C7B"/>
    <w:rsid w:val="00885581"/>
    <w:rsid w:val="00885954"/>
    <w:rsid w:val="00885C29"/>
    <w:rsid w:val="00886C22"/>
    <w:rsid w:val="0088758B"/>
    <w:rsid w:val="00887CFF"/>
    <w:rsid w:val="00887F73"/>
    <w:rsid w:val="008901B9"/>
    <w:rsid w:val="00890997"/>
    <w:rsid w:val="00890B03"/>
    <w:rsid w:val="00891121"/>
    <w:rsid w:val="008912EC"/>
    <w:rsid w:val="00891DEC"/>
    <w:rsid w:val="00893118"/>
    <w:rsid w:val="0089409E"/>
    <w:rsid w:val="00894F8F"/>
    <w:rsid w:val="00895F15"/>
    <w:rsid w:val="0089604C"/>
    <w:rsid w:val="0089681D"/>
    <w:rsid w:val="00896E27"/>
    <w:rsid w:val="00896E49"/>
    <w:rsid w:val="00896ECC"/>
    <w:rsid w:val="00896FD7"/>
    <w:rsid w:val="00897AB0"/>
    <w:rsid w:val="008A0003"/>
    <w:rsid w:val="008A1F57"/>
    <w:rsid w:val="008A288D"/>
    <w:rsid w:val="008A311B"/>
    <w:rsid w:val="008A3B9C"/>
    <w:rsid w:val="008A5517"/>
    <w:rsid w:val="008A57A5"/>
    <w:rsid w:val="008A59EB"/>
    <w:rsid w:val="008A6ADE"/>
    <w:rsid w:val="008A74F0"/>
    <w:rsid w:val="008A75BE"/>
    <w:rsid w:val="008A7608"/>
    <w:rsid w:val="008B0E0E"/>
    <w:rsid w:val="008B0F40"/>
    <w:rsid w:val="008B2286"/>
    <w:rsid w:val="008B27F9"/>
    <w:rsid w:val="008B30AE"/>
    <w:rsid w:val="008B36B6"/>
    <w:rsid w:val="008B3E9D"/>
    <w:rsid w:val="008B3F0F"/>
    <w:rsid w:val="008B5698"/>
    <w:rsid w:val="008B5C32"/>
    <w:rsid w:val="008B5DF0"/>
    <w:rsid w:val="008B640E"/>
    <w:rsid w:val="008B672F"/>
    <w:rsid w:val="008B6929"/>
    <w:rsid w:val="008B6D1F"/>
    <w:rsid w:val="008B7272"/>
    <w:rsid w:val="008B7A0D"/>
    <w:rsid w:val="008BC685"/>
    <w:rsid w:val="008C01A3"/>
    <w:rsid w:val="008C1F81"/>
    <w:rsid w:val="008C43FC"/>
    <w:rsid w:val="008C457F"/>
    <w:rsid w:val="008C465B"/>
    <w:rsid w:val="008C4BBF"/>
    <w:rsid w:val="008C55AE"/>
    <w:rsid w:val="008C66EC"/>
    <w:rsid w:val="008C7645"/>
    <w:rsid w:val="008C7A08"/>
    <w:rsid w:val="008C7B0F"/>
    <w:rsid w:val="008C7BEA"/>
    <w:rsid w:val="008D02F9"/>
    <w:rsid w:val="008D099A"/>
    <w:rsid w:val="008D15AC"/>
    <w:rsid w:val="008D1635"/>
    <w:rsid w:val="008D2724"/>
    <w:rsid w:val="008D4D6A"/>
    <w:rsid w:val="008D5657"/>
    <w:rsid w:val="008D6A3E"/>
    <w:rsid w:val="008D7931"/>
    <w:rsid w:val="008E05EF"/>
    <w:rsid w:val="008E0B5A"/>
    <w:rsid w:val="008E0C01"/>
    <w:rsid w:val="008E0FC0"/>
    <w:rsid w:val="008E2722"/>
    <w:rsid w:val="008E31CE"/>
    <w:rsid w:val="008E3798"/>
    <w:rsid w:val="008E3AEB"/>
    <w:rsid w:val="008E447C"/>
    <w:rsid w:val="008E5454"/>
    <w:rsid w:val="008E6EC1"/>
    <w:rsid w:val="008E78F4"/>
    <w:rsid w:val="008E7FDF"/>
    <w:rsid w:val="008F0457"/>
    <w:rsid w:val="008F11F3"/>
    <w:rsid w:val="008F2BE1"/>
    <w:rsid w:val="008F2E93"/>
    <w:rsid w:val="008F44A2"/>
    <w:rsid w:val="008F468E"/>
    <w:rsid w:val="008F4F3E"/>
    <w:rsid w:val="008F79AF"/>
    <w:rsid w:val="0090028F"/>
    <w:rsid w:val="009008F0"/>
    <w:rsid w:val="009024A7"/>
    <w:rsid w:val="009026C3"/>
    <w:rsid w:val="009028ED"/>
    <w:rsid w:val="00902E9D"/>
    <w:rsid w:val="009044C9"/>
    <w:rsid w:val="009044E4"/>
    <w:rsid w:val="009045DB"/>
    <w:rsid w:val="00906358"/>
    <w:rsid w:val="009064CA"/>
    <w:rsid w:val="00907C02"/>
    <w:rsid w:val="00910A8F"/>
    <w:rsid w:val="00910D3E"/>
    <w:rsid w:val="009112E8"/>
    <w:rsid w:val="00911918"/>
    <w:rsid w:val="0091212B"/>
    <w:rsid w:val="0091256E"/>
    <w:rsid w:val="00913106"/>
    <w:rsid w:val="00913A7E"/>
    <w:rsid w:val="0091469D"/>
    <w:rsid w:val="00914C57"/>
    <w:rsid w:val="009153D6"/>
    <w:rsid w:val="00915B38"/>
    <w:rsid w:val="00920F7D"/>
    <w:rsid w:val="0092113C"/>
    <w:rsid w:val="00921934"/>
    <w:rsid w:val="00921940"/>
    <w:rsid w:val="00922121"/>
    <w:rsid w:val="009222D1"/>
    <w:rsid w:val="00922706"/>
    <w:rsid w:val="009229B0"/>
    <w:rsid w:val="00922FAC"/>
    <w:rsid w:val="009230F8"/>
    <w:rsid w:val="00923810"/>
    <w:rsid w:val="00924F31"/>
    <w:rsid w:val="0092547F"/>
    <w:rsid w:val="0092562D"/>
    <w:rsid w:val="009257FF"/>
    <w:rsid w:val="00927883"/>
    <w:rsid w:val="00930A98"/>
    <w:rsid w:val="00930F4C"/>
    <w:rsid w:val="009318D5"/>
    <w:rsid w:val="00932C0E"/>
    <w:rsid w:val="00933B07"/>
    <w:rsid w:val="00933DC9"/>
    <w:rsid w:val="00934E5F"/>
    <w:rsid w:val="00935098"/>
    <w:rsid w:val="00935316"/>
    <w:rsid w:val="009355E1"/>
    <w:rsid w:val="0093582B"/>
    <w:rsid w:val="009358E6"/>
    <w:rsid w:val="009361C2"/>
    <w:rsid w:val="00936AA3"/>
    <w:rsid w:val="00936BB4"/>
    <w:rsid w:val="00937088"/>
    <w:rsid w:val="00937EB0"/>
    <w:rsid w:val="009401A0"/>
    <w:rsid w:val="0094067C"/>
    <w:rsid w:val="00941A10"/>
    <w:rsid w:val="00942677"/>
    <w:rsid w:val="0094270E"/>
    <w:rsid w:val="009430BF"/>
    <w:rsid w:val="009438EE"/>
    <w:rsid w:val="00944DF6"/>
    <w:rsid w:val="00944F93"/>
    <w:rsid w:val="00946AA5"/>
    <w:rsid w:val="0095049D"/>
    <w:rsid w:val="009505D9"/>
    <w:rsid w:val="00951437"/>
    <w:rsid w:val="00951443"/>
    <w:rsid w:val="00951C32"/>
    <w:rsid w:val="00951FED"/>
    <w:rsid w:val="00953C2A"/>
    <w:rsid w:val="00953D21"/>
    <w:rsid w:val="00954352"/>
    <w:rsid w:val="00954F6D"/>
    <w:rsid w:val="00955019"/>
    <w:rsid w:val="00955789"/>
    <w:rsid w:val="00956B19"/>
    <w:rsid w:val="0095783E"/>
    <w:rsid w:val="00957BA7"/>
    <w:rsid w:val="00960322"/>
    <w:rsid w:val="009607CD"/>
    <w:rsid w:val="00960A01"/>
    <w:rsid w:val="00962D39"/>
    <w:rsid w:val="009642F9"/>
    <w:rsid w:val="009646B0"/>
    <w:rsid w:val="00966A56"/>
    <w:rsid w:val="00966CE2"/>
    <w:rsid w:val="0096772A"/>
    <w:rsid w:val="00970430"/>
    <w:rsid w:val="00970FA7"/>
    <w:rsid w:val="0097112A"/>
    <w:rsid w:val="00971DAB"/>
    <w:rsid w:val="00972505"/>
    <w:rsid w:val="00973D7B"/>
    <w:rsid w:val="00974157"/>
    <w:rsid w:val="0097460E"/>
    <w:rsid w:val="0097465C"/>
    <w:rsid w:val="009746F0"/>
    <w:rsid w:val="00974DC0"/>
    <w:rsid w:val="0097677A"/>
    <w:rsid w:val="00977157"/>
    <w:rsid w:val="00977191"/>
    <w:rsid w:val="009800D7"/>
    <w:rsid w:val="00980252"/>
    <w:rsid w:val="009815E7"/>
    <w:rsid w:val="00982FF7"/>
    <w:rsid w:val="00983C8E"/>
    <w:rsid w:val="009851E2"/>
    <w:rsid w:val="00986312"/>
    <w:rsid w:val="00986DF2"/>
    <w:rsid w:val="00986FCE"/>
    <w:rsid w:val="009876BB"/>
    <w:rsid w:val="009926C3"/>
    <w:rsid w:val="00992989"/>
    <w:rsid w:val="0099373D"/>
    <w:rsid w:val="00993FB5"/>
    <w:rsid w:val="0099453F"/>
    <w:rsid w:val="00994F95"/>
    <w:rsid w:val="00996727"/>
    <w:rsid w:val="009978F0"/>
    <w:rsid w:val="009A0045"/>
    <w:rsid w:val="009A0770"/>
    <w:rsid w:val="009A185D"/>
    <w:rsid w:val="009A2056"/>
    <w:rsid w:val="009A2B1D"/>
    <w:rsid w:val="009A2F4D"/>
    <w:rsid w:val="009A5159"/>
    <w:rsid w:val="009A581C"/>
    <w:rsid w:val="009A5CBD"/>
    <w:rsid w:val="009A66BB"/>
    <w:rsid w:val="009A6764"/>
    <w:rsid w:val="009A7FB4"/>
    <w:rsid w:val="009B0284"/>
    <w:rsid w:val="009B02EC"/>
    <w:rsid w:val="009B03BA"/>
    <w:rsid w:val="009B0881"/>
    <w:rsid w:val="009B1630"/>
    <w:rsid w:val="009B228D"/>
    <w:rsid w:val="009B3EA8"/>
    <w:rsid w:val="009B4014"/>
    <w:rsid w:val="009B422E"/>
    <w:rsid w:val="009B47A7"/>
    <w:rsid w:val="009B4BA0"/>
    <w:rsid w:val="009B6626"/>
    <w:rsid w:val="009B6DE6"/>
    <w:rsid w:val="009B6E71"/>
    <w:rsid w:val="009B7C8F"/>
    <w:rsid w:val="009C0426"/>
    <w:rsid w:val="009C0E28"/>
    <w:rsid w:val="009C24AE"/>
    <w:rsid w:val="009C293F"/>
    <w:rsid w:val="009C30AE"/>
    <w:rsid w:val="009C49C4"/>
    <w:rsid w:val="009C5C2A"/>
    <w:rsid w:val="009C600F"/>
    <w:rsid w:val="009C70B6"/>
    <w:rsid w:val="009D0121"/>
    <w:rsid w:val="009D0BE1"/>
    <w:rsid w:val="009D1959"/>
    <w:rsid w:val="009D330A"/>
    <w:rsid w:val="009D3392"/>
    <w:rsid w:val="009D3F6B"/>
    <w:rsid w:val="009D59D4"/>
    <w:rsid w:val="009D6604"/>
    <w:rsid w:val="009D6ED8"/>
    <w:rsid w:val="009E0737"/>
    <w:rsid w:val="009E14CC"/>
    <w:rsid w:val="009E3E64"/>
    <w:rsid w:val="009E3FD1"/>
    <w:rsid w:val="009E418E"/>
    <w:rsid w:val="009E55EE"/>
    <w:rsid w:val="009E5B7A"/>
    <w:rsid w:val="009E6DA4"/>
    <w:rsid w:val="009F03B6"/>
    <w:rsid w:val="009F1F54"/>
    <w:rsid w:val="009F2F7C"/>
    <w:rsid w:val="009F36A6"/>
    <w:rsid w:val="009F3AE7"/>
    <w:rsid w:val="009F509E"/>
    <w:rsid w:val="009F59F4"/>
    <w:rsid w:val="009F5AD1"/>
    <w:rsid w:val="009F5C3E"/>
    <w:rsid w:val="009F6699"/>
    <w:rsid w:val="009F6CFB"/>
    <w:rsid w:val="00A00E22"/>
    <w:rsid w:val="00A01A39"/>
    <w:rsid w:val="00A02068"/>
    <w:rsid w:val="00A02D06"/>
    <w:rsid w:val="00A03275"/>
    <w:rsid w:val="00A03982"/>
    <w:rsid w:val="00A048A7"/>
    <w:rsid w:val="00A05A40"/>
    <w:rsid w:val="00A05F0A"/>
    <w:rsid w:val="00A05F5F"/>
    <w:rsid w:val="00A06134"/>
    <w:rsid w:val="00A1001E"/>
    <w:rsid w:val="00A13A96"/>
    <w:rsid w:val="00A13DF6"/>
    <w:rsid w:val="00A13F55"/>
    <w:rsid w:val="00A143EE"/>
    <w:rsid w:val="00A14626"/>
    <w:rsid w:val="00A14705"/>
    <w:rsid w:val="00A14BB6"/>
    <w:rsid w:val="00A15668"/>
    <w:rsid w:val="00A15680"/>
    <w:rsid w:val="00A15EEF"/>
    <w:rsid w:val="00A16300"/>
    <w:rsid w:val="00A16567"/>
    <w:rsid w:val="00A1690E"/>
    <w:rsid w:val="00A173FC"/>
    <w:rsid w:val="00A174FE"/>
    <w:rsid w:val="00A2186A"/>
    <w:rsid w:val="00A23E50"/>
    <w:rsid w:val="00A243D8"/>
    <w:rsid w:val="00A24A83"/>
    <w:rsid w:val="00A253C2"/>
    <w:rsid w:val="00A25BC8"/>
    <w:rsid w:val="00A307CD"/>
    <w:rsid w:val="00A316E1"/>
    <w:rsid w:val="00A31B88"/>
    <w:rsid w:val="00A31FF9"/>
    <w:rsid w:val="00A3262F"/>
    <w:rsid w:val="00A334FC"/>
    <w:rsid w:val="00A336DF"/>
    <w:rsid w:val="00A33D9A"/>
    <w:rsid w:val="00A340F7"/>
    <w:rsid w:val="00A34D3C"/>
    <w:rsid w:val="00A34E2B"/>
    <w:rsid w:val="00A35032"/>
    <w:rsid w:val="00A35122"/>
    <w:rsid w:val="00A35455"/>
    <w:rsid w:val="00A35740"/>
    <w:rsid w:val="00A35D2E"/>
    <w:rsid w:val="00A36118"/>
    <w:rsid w:val="00A3629B"/>
    <w:rsid w:val="00A36398"/>
    <w:rsid w:val="00A367D9"/>
    <w:rsid w:val="00A36928"/>
    <w:rsid w:val="00A36C60"/>
    <w:rsid w:val="00A36E15"/>
    <w:rsid w:val="00A37847"/>
    <w:rsid w:val="00A40B30"/>
    <w:rsid w:val="00A42CA4"/>
    <w:rsid w:val="00A45A43"/>
    <w:rsid w:val="00A46454"/>
    <w:rsid w:val="00A46979"/>
    <w:rsid w:val="00A46C7E"/>
    <w:rsid w:val="00A5016C"/>
    <w:rsid w:val="00A5098C"/>
    <w:rsid w:val="00A52788"/>
    <w:rsid w:val="00A52804"/>
    <w:rsid w:val="00A52EB2"/>
    <w:rsid w:val="00A53C9F"/>
    <w:rsid w:val="00A54320"/>
    <w:rsid w:val="00A5479F"/>
    <w:rsid w:val="00A54A15"/>
    <w:rsid w:val="00A562AD"/>
    <w:rsid w:val="00A56BC4"/>
    <w:rsid w:val="00A57044"/>
    <w:rsid w:val="00A6149E"/>
    <w:rsid w:val="00A6299D"/>
    <w:rsid w:val="00A63389"/>
    <w:rsid w:val="00A6358D"/>
    <w:rsid w:val="00A64260"/>
    <w:rsid w:val="00A655EF"/>
    <w:rsid w:val="00A65679"/>
    <w:rsid w:val="00A65D16"/>
    <w:rsid w:val="00A66210"/>
    <w:rsid w:val="00A673D6"/>
    <w:rsid w:val="00A703F2"/>
    <w:rsid w:val="00A70924"/>
    <w:rsid w:val="00A70CD3"/>
    <w:rsid w:val="00A70F0A"/>
    <w:rsid w:val="00A71B72"/>
    <w:rsid w:val="00A72621"/>
    <w:rsid w:val="00A73178"/>
    <w:rsid w:val="00A741ED"/>
    <w:rsid w:val="00A755B3"/>
    <w:rsid w:val="00A75FAA"/>
    <w:rsid w:val="00A76179"/>
    <w:rsid w:val="00A77828"/>
    <w:rsid w:val="00A77A95"/>
    <w:rsid w:val="00A81074"/>
    <w:rsid w:val="00A81140"/>
    <w:rsid w:val="00A81148"/>
    <w:rsid w:val="00A81F78"/>
    <w:rsid w:val="00A82AFB"/>
    <w:rsid w:val="00A8449D"/>
    <w:rsid w:val="00A85F49"/>
    <w:rsid w:val="00A90336"/>
    <w:rsid w:val="00A90C3B"/>
    <w:rsid w:val="00A9197B"/>
    <w:rsid w:val="00A91CE4"/>
    <w:rsid w:val="00A929C4"/>
    <w:rsid w:val="00A93DD7"/>
    <w:rsid w:val="00A9471D"/>
    <w:rsid w:val="00A94CC9"/>
    <w:rsid w:val="00A94EFC"/>
    <w:rsid w:val="00A95AC8"/>
    <w:rsid w:val="00A96CDA"/>
    <w:rsid w:val="00A96D37"/>
    <w:rsid w:val="00A96E53"/>
    <w:rsid w:val="00A97E03"/>
    <w:rsid w:val="00AA368A"/>
    <w:rsid w:val="00AA4987"/>
    <w:rsid w:val="00AA6028"/>
    <w:rsid w:val="00AA63D8"/>
    <w:rsid w:val="00AA6FC3"/>
    <w:rsid w:val="00AB039D"/>
    <w:rsid w:val="00AB09CE"/>
    <w:rsid w:val="00AB0CA9"/>
    <w:rsid w:val="00AB18A7"/>
    <w:rsid w:val="00AB2315"/>
    <w:rsid w:val="00AB23B0"/>
    <w:rsid w:val="00AB2770"/>
    <w:rsid w:val="00AB3843"/>
    <w:rsid w:val="00AB3E3B"/>
    <w:rsid w:val="00AB4712"/>
    <w:rsid w:val="00AB4B9A"/>
    <w:rsid w:val="00AB5FD0"/>
    <w:rsid w:val="00AB6FC5"/>
    <w:rsid w:val="00AB7810"/>
    <w:rsid w:val="00AB7BF7"/>
    <w:rsid w:val="00AB7C76"/>
    <w:rsid w:val="00AC0036"/>
    <w:rsid w:val="00AC07B9"/>
    <w:rsid w:val="00AC0E32"/>
    <w:rsid w:val="00AC17EF"/>
    <w:rsid w:val="00AC2131"/>
    <w:rsid w:val="00AC26FD"/>
    <w:rsid w:val="00AC2C73"/>
    <w:rsid w:val="00AC36E6"/>
    <w:rsid w:val="00AC59FE"/>
    <w:rsid w:val="00AC5A8F"/>
    <w:rsid w:val="00AC6C03"/>
    <w:rsid w:val="00AC6D92"/>
    <w:rsid w:val="00AC77FA"/>
    <w:rsid w:val="00AD08F7"/>
    <w:rsid w:val="00AD08FF"/>
    <w:rsid w:val="00AD0D79"/>
    <w:rsid w:val="00AD1E3C"/>
    <w:rsid w:val="00AD3202"/>
    <w:rsid w:val="00AD3D19"/>
    <w:rsid w:val="00AD5B4E"/>
    <w:rsid w:val="00AD65BF"/>
    <w:rsid w:val="00AD6FE2"/>
    <w:rsid w:val="00AD7E16"/>
    <w:rsid w:val="00AE087E"/>
    <w:rsid w:val="00AE2183"/>
    <w:rsid w:val="00AE22A8"/>
    <w:rsid w:val="00AE2B5E"/>
    <w:rsid w:val="00AE375E"/>
    <w:rsid w:val="00AE38E7"/>
    <w:rsid w:val="00AE3BBC"/>
    <w:rsid w:val="00AE3E68"/>
    <w:rsid w:val="00AE45F5"/>
    <w:rsid w:val="00AE499F"/>
    <w:rsid w:val="00AE4F4D"/>
    <w:rsid w:val="00AE587C"/>
    <w:rsid w:val="00AE6C86"/>
    <w:rsid w:val="00AE6DAC"/>
    <w:rsid w:val="00AE6F15"/>
    <w:rsid w:val="00AF0C4E"/>
    <w:rsid w:val="00AF25EC"/>
    <w:rsid w:val="00AF2969"/>
    <w:rsid w:val="00AF2A7A"/>
    <w:rsid w:val="00AF31CE"/>
    <w:rsid w:val="00AF3F6F"/>
    <w:rsid w:val="00AF44AE"/>
    <w:rsid w:val="00AF5DF2"/>
    <w:rsid w:val="00AF6D6E"/>
    <w:rsid w:val="00B00841"/>
    <w:rsid w:val="00B02B1B"/>
    <w:rsid w:val="00B037AD"/>
    <w:rsid w:val="00B04441"/>
    <w:rsid w:val="00B0468D"/>
    <w:rsid w:val="00B0478E"/>
    <w:rsid w:val="00B0568A"/>
    <w:rsid w:val="00B06031"/>
    <w:rsid w:val="00B07C13"/>
    <w:rsid w:val="00B10C0D"/>
    <w:rsid w:val="00B1102F"/>
    <w:rsid w:val="00B126E3"/>
    <w:rsid w:val="00B13C61"/>
    <w:rsid w:val="00B145BB"/>
    <w:rsid w:val="00B145D3"/>
    <w:rsid w:val="00B148CA"/>
    <w:rsid w:val="00B15C38"/>
    <w:rsid w:val="00B1695A"/>
    <w:rsid w:val="00B16A3A"/>
    <w:rsid w:val="00B16B59"/>
    <w:rsid w:val="00B16E13"/>
    <w:rsid w:val="00B17089"/>
    <w:rsid w:val="00B17C7B"/>
    <w:rsid w:val="00B17D7B"/>
    <w:rsid w:val="00B20B31"/>
    <w:rsid w:val="00B217EB"/>
    <w:rsid w:val="00B21C30"/>
    <w:rsid w:val="00B21D3B"/>
    <w:rsid w:val="00B22BAA"/>
    <w:rsid w:val="00B259F2"/>
    <w:rsid w:val="00B25D68"/>
    <w:rsid w:val="00B269CA"/>
    <w:rsid w:val="00B27276"/>
    <w:rsid w:val="00B27C03"/>
    <w:rsid w:val="00B27FAD"/>
    <w:rsid w:val="00B3024C"/>
    <w:rsid w:val="00B305C0"/>
    <w:rsid w:val="00B30C80"/>
    <w:rsid w:val="00B314F5"/>
    <w:rsid w:val="00B31898"/>
    <w:rsid w:val="00B3220C"/>
    <w:rsid w:val="00B3581A"/>
    <w:rsid w:val="00B35B4C"/>
    <w:rsid w:val="00B35CED"/>
    <w:rsid w:val="00B37732"/>
    <w:rsid w:val="00B37B99"/>
    <w:rsid w:val="00B37C4C"/>
    <w:rsid w:val="00B37FC2"/>
    <w:rsid w:val="00B4031A"/>
    <w:rsid w:val="00B40C2C"/>
    <w:rsid w:val="00B41626"/>
    <w:rsid w:val="00B41E8E"/>
    <w:rsid w:val="00B42182"/>
    <w:rsid w:val="00B4260C"/>
    <w:rsid w:val="00B42D50"/>
    <w:rsid w:val="00B43097"/>
    <w:rsid w:val="00B44084"/>
    <w:rsid w:val="00B446F6"/>
    <w:rsid w:val="00B4476E"/>
    <w:rsid w:val="00B464E7"/>
    <w:rsid w:val="00B46E81"/>
    <w:rsid w:val="00B47490"/>
    <w:rsid w:val="00B47F92"/>
    <w:rsid w:val="00B50787"/>
    <w:rsid w:val="00B52F2A"/>
    <w:rsid w:val="00B532A6"/>
    <w:rsid w:val="00B53E62"/>
    <w:rsid w:val="00B53ED2"/>
    <w:rsid w:val="00B54DAD"/>
    <w:rsid w:val="00B56976"/>
    <w:rsid w:val="00B56C08"/>
    <w:rsid w:val="00B57552"/>
    <w:rsid w:val="00B61162"/>
    <w:rsid w:val="00B627F5"/>
    <w:rsid w:val="00B63404"/>
    <w:rsid w:val="00B66049"/>
    <w:rsid w:val="00B66A84"/>
    <w:rsid w:val="00B67933"/>
    <w:rsid w:val="00B67A0E"/>
    <w:rsid w:val="00B7044A"/>
    <w:rsid w:val="00B70748"/>
    <w:rsid w:val="00B70D5D"/>
    <w:rsid w:val="00B7285E"/>
    <w:rsid w:val="00B731D3"/>
    <w:rsid w:val="00B7320D"/>
    <w:rsid w:val="00B7327A"/>
    <w:rsid w:val="00B73903"/>
    <w:rsid w:val="00B73976"/>
    <w:rsid w:val="00B7425A"/>
    <w:rsid w:val="00B744DE"/>
    <w:rsid w:val="00B76031"/>
    <w:rsid w:val="00B7605F"/>
    <w:rsid w:val="00B76681"/>
    <w:rsid w:val="00B766CB"/>
    <w:rsid w:val="00B77969"/>
    <w:rsid w:val="00B80035"/>
    <w:rsid w:val="00B81BB3"/>
    <w:rsid w:val="00B8295E"/>
    <w:rsid w:val="00B82D6F"/>
    <w:rsid w:val="00B8387D"/>
    <w:rsid w:val="00B83F30"/>
    <w:rsid w:val="00B84008"/>
    <w:rsid w:val="00B84D27"/>
    <w:rsid w:val="00B85151"/>
    <w:rsid w:val="00B856D9"/>
    <w:rsid w:val="00B858ED"/>
    <w:rsid w:val="00B86545"/>
    <w:rsid w:val="00B87128"/>
    <w:rsid w:val="00B8744C"/>
    <w:rsid w:val="00B879FF"/>
    <w:rsid w:val="00B901A8"/>
    <w:rsid w:val="00B90B18"/>
    <w:rsid w:val="00B9156D"/>
    <w:rsid w:val="00B93005"/>
    <w:rsid w:val="00B9349D"/>
    <w:rsid w:val="00B93804"/>
    <w:rsid w:val="00B93E6A"/>
    <w:rsid w:val="00B96B92"/>
    <w:rsid w:val="00B9738F"/>
    <w:rsid w:val="00B97459"/>
    <w:rsid w:val="00B97A40"/>
    <w:rsid w:val="00BA0623"/>
    <w:rsid w:val="00BA0DE3"/>
    <w:rsid w:val="00BA114B"/>
    <w:rsid w:val="00BA16BA"/>
    <w:rsid w:val="00BA2218"/>
    <w:rsid w:val="00BA24E4"/>
    <w:rsid w:val="00BA3A96"/>
    <w:rsid w:val="00BA3E61"/>
    <w:rsid w:val="00BA4838"/>
    <w:rsid w:val="00BA4F0E"/>
    <w:rsid w:val="00BA5B34"/>
    <w:rsid w:val="00BA5E47"/>
    <w:rsid w:val="00BA6A51"/>
    <w:rsid w:val="00BA708A"/>
    <w:rsid w:val="00BB031C"/>
    <w:rsid w:val="00BB0CAA"/>
    <w:rsid w:val="00BB13AA"/>
    <w:rsid w:val="00BB1A22"/>
    <w:rsid w:val="00BB2377"/>
    <w:rsid w:val="00BB32BB"/>
    <w:rsid w:val="00BB3CCF"/>
    <w:rsid w:val="00BB4DD5"/>
    <w:rsid w:val="00BB550C"/>
    <w:rsid w:val="00BB6D69"/>
    <w:rsid w:val="00BC0651"/>
    <w:rsid w:val="00BC13FF"/>
    <w:rsid w:val="00BC1E43"/>
    <w:rsid w:val="00BC1EB0"/>
    <w:rsid w:val="00BC26F9"/>
    <w:rsid w:val="00BC285C"/>
    <w:rsid w:val="00BC5E22"/>
    <w:rsid w:val="00BC5E30"/>
    <w:rsid w:val="00BC6DEE"/>
    <w:rsid w:val="00BC77B2"/>
    <w:rsid w:val="00BC78A5"/>
    <w:rsid w:val="00BC7CF4"/>
    <w:rsid w:val="00BD1026"/>
    <w:rsid w:val="00BD1150"/>
    <w:rsid w:val="00BD2449"/>
    <w:rsid w:val="00BD44BB"/>
    <w:rsid w:val="00BD5A2C"/>
    <w:rsid w:val="00BD5C19"/>
    <w:rsid w:val="00BD5F37"/>
    <w:rsid w:val="00BD67C1"/>
    <w:rsid w:val="00BD6A48"/>
    <w:rsid w:val="00BD77BA"/>
    <w:rsid w:val="00BE0299"/>
    <w:rsid w:val="00BE2051"/>
    <w:rsid w:val="00BE249B"/>
    <w:rsid w:val="00BE3C71"/>
    <w:rsid w:val="00BE5CFA"/>
    <w:rsid w:val="00BE68BB"/>
    <w:rsid w:val="00BE69C2"/>
    <w:rsid w:val="00BE6F92"/>
    <w:rsid w:val="00BE779A"/>
    <w:rsid w:val="00BF03E7"/>
    <w:rsid w:val="00BF05CA"/>
    <w:rsid w:val="00BF1ABF"/>
    <w:rsid w:val="00BF20A9"/>
    <w:rsid w:val="00BF32A2"/>
    <w:rsid w:val="00BF3E4B"/>
    <w:rsid w:val="00BF5997"/>
    <w:rsid w:val="00BF5F10"/>
    <w:rsid w:val="00BF63F5"/>
    <w:rsid w:val="00BF6608"/>
    <w:rsid w:val="00BF7DAC"/>
    <w:rsid w:val="00C0134F"/>
    <w:rsid w:val="00C0330F"/>
    <w:rsid w:val="00C03ED8"/>
    <w:rsid w:val="00C04A3C"/>
    <w:rsid w:val="00C05267"/>
    <w:rsid w:val="00C054D5"/>
    <w:rsid w:val="00C06B67"/>
    <w:rsid w:val="00C079F7"/>
    <w:rsid w:val="00C1034F"/>
    <w:rsid w:val="00C10C43"/>
    <w:rsid w:val="00C1104B"/>
    <w:rsid w:val="00C140D6"/>
    <w:rsid w:val="00C14DAE"/>
    <w:rsid w:val="00C15F2E"/>
    <w:rsid w:val="00C16772"/>
    <w:rsid w:val="00C16DF5"/>
    <w:rsid w:val="00C17716"/>
    <w:rsid w:val="00C17A76"/>
    <w:rsid w:val="00C21014"/>
    <w:rsid w:val="00C2135E"/>
    <w:rsid w:val="00C220D2"/>
    <w:rsid w:val="00C221AE"/>
    <w:rsid w:val="00C23D25"/>
    <w:rsid w:val="00C25120"/>
    <w:rsid w:val="00C27AE9"/>
    <w:rsid w:val="00C30584"/>
    <w:rsid w:val="00C30EB1"/>
    <w:rsid w:val="00C31230"/>
    <w:rsid w:val="00C3131B"/>
    <w:rsid w:val="00C314DF"/>
    <w:rsid w:val="00C33336"/>
    <w:rsid w:val="00C33376"/>
    <w:rsid w:val="00C355C6"/>
    <w:rsid w:val="00C35C79"/>
    <w:rsid w:val="00C36313"/>
    <w:rsid w:val="00C36F3E"/>
    <w:rsid w:val="00C40452"/>
    <w:rsid w:val="00C40CBD"/>
    <w:rsid w:val="00C418E6"/>
    <w:rsid w:val="00C424F5"/>
    <w:rsid w:val="00C428BA"/>
    <w:rsid w:val="00C42CF6"/>
    <w:rsid w:val="00C43240"/>
    <w:rsid w:val="00C43CA7"/>
    <w:rsid w:val="00C45407"/>
    <w:rsid w:val="00C50FE0"/>
    <w:rsid w:val="00C512D8"/>
    <w:rsid w:val="00C5143A"/>
    <w:rsid w:val="00C51AE1"/>
    <w:rsid w:val="00C53D3D"/>
    <w:rsid w:val="00C54B36"/>
    <w:rsid w:val="00C55CFF"/>
    <w:rsid w:val="00C571C4"/>
    <w:rsid w:val="00C57CB8"/>
    <w:rsid w:val="00C61B64"/>
    <w:rsid w:val="00C61F1F"/>
    <w:rsid w:val="00C628D6"/>
    <w:rsid w:val="00C6417B"/>
    <w:rsid w:val="00C641F1"/>
    <w:rsid w:val="00C64565"/>
    <w:rsid w:val="00C647B5"/>
    <w:rsid w:val="00C64A01"/>
    <w:rsid w:val="00C65561"/>
    <w:rsid w:val="00C6575D"/>
    <w:rsid w:val="00C66337"/>
    <w:rsid w:val="00C675D1"/>
    <w:rsid w:val="00C677CC"/>
    <w:rsid w:val="00C67954"/>
    <w:rsid w:val="00C67C51"/>
    <w:rsid w:val="00C702BF"/>
    <w:rsid w:val="00C7046B"/>
    <w:rsid w:val="00C70633"/>
    <w:rsid w:val="00C71259"/>
    <w:rsid w:val="00C71322"/>
    <w:rsid w:val="00C7167C"/>
    <w:rsid w:val="00C72064"/>
    <w:rsid w:val="00C73373"/>
    <w:rsid w:val="00C738EA"/>
    <w:rsid w:val="00C73AB1"/>
    <w:rsid w:val="00C73D2C"/>
    <w:rsid w:val="00C7560B"/>
    <w:rsid w:val="00C77227"/>
    <w:rsid w:val="00C778FE"/>
    <w:rsid w:val="00C80922"/>
    <w:rsid w:val="00C81703"/>
    <w:rsid w:val="00C81AD0"/>
    <w:rsid w:val="00C81C55"/>
    <w:rsid w:val="00C840CF"/>
    <w:rsid w:val="00C84329"/>
    <w:rsid w:val="00C8479E"/>
    <w:rsid w:val="00C847A7"/>
    <w:rsid w:val="00C853BD"/>
    <w:rsid w:val="00C86926"/>
    <w:rsid w:val="00C86A81"/>
    <w:rsid w:val="00C86F63"/>
    <w:rsid w:val="00C8773C"/>
    <w:rsid w:val="00C87E56"/>
    <w:rsid w:val="00C90302"/>
    <w:rsid w:val="00C92276"/>
    <w:rsid w:val="00C923DA"/>
    <w:rsid w:val="00C932CE"/>
    <w:rsid w:val="00C93BB3"/>
    <w:rsid w:val="00C94301"/>
    <w:rsid w:val="00C94CA9"/>
    <w:rsid w:val="00C94D9A"/>
    <w:rsid w:val="00C957C2"/>
    <w:rsid w:val="00C9614D"/>
    <w:rsid w:val="00C96886"/>
    <w:rsid w:val="00C9714F"/>
    <w:rsid w:val="00C97A35"/>
    <w:rsid w:val="00CA016F"/>
    <w:rsid w:val="00CA07CE"/>
    <w:rsid w:val="00CA1DC0"/>
    <w:rsid w:val="00CA2110"/>
    <w:rsid w:val="00CA2239"/>
    <w:rsid w:val="00CA2BC9"/>
    <w:rsid w:val="00CA2C74"/>
    <w:rsid w:val="00CA35CF"/>
    <w:rsid w:val="00CA5175"/>
    <w:rsid w:val="00CA5D02"/>
    <w:rsid w:val="00CA5D24"/>
    <w:rsid w:val="00CA600A"/>
    <w:rsid w:val="00CA620F"/>
    <w:rsid w:val="00CA69DD"/>
    <w:rsid w:val="00CA6D5D"/>
    <w:rsid w:val="00CA7F33"/>
    <w:rsid w:val="00CA7F88"/>
    <w:rsid w:val="00CB00EC"/>
    <w:rsid w:val="00CB1D43"/>
    <w:rsid w:val="00CB3153"/>
    <w:rsid w:val="00CB3164"/>
    <w:rsid w:val="00CB335D"/>
    <w:rsid w:val="00CB5635"/>
    <w:rsid w:val="00CB6416"/>
    <w:rsid w:val="00CB7153"/>
    <w:rsid w:val="00CB75BA"/>
    <w:rsid w:val="00CB78BC"/>
    <w:rsid w:val="00CB78ED"/>
    <w:rsid w:val="00CB7F22"/>
    <w:rsid w:val="00CC0191"/>
    <w:rsid w:val="00CC0A40"/>
    <w:rsid w:val="00CC14BA"/>
    <w:rsid w:val="00CC2A65"/>
    <w:rsid w:val="00CC35FC"/>
    <w:rsid w:val="00CC3EC8"/>
    <w:rsid w:val="00CC442E"/>
    <w:rsid w:val="00CC444E"/>
    <w:rsid w:val="00CC47A8"/>
    <w:rsid w:val="00CC50A6"/>
    <w:rsid w:val="00CC51F4"/>
    <w:rsid w:val="00CC6ADC"/>
    <w:rsid w:val="00CC89FC"/>
    <w:rsid w:val="00CD0241"/>
    <w:rsid w:val="00CD0790"/>
    <w:rsid w:val="00CD0B4A"/>
    <w:rsid w:val="00CD1D88"/>
    <w:rsid w:val="00CD20B9"/>
    <w:rsid w:val="00CD24D3"/>
    <w:rsid w:val="00CD2CB5"/>
    <w:rsid w:val="00CD3EF9"/>
    <w:rsid w:val="00CD4CC4"/>
    <w:rsid w:val="00CD5213"/>
    <w:rsid w:val="00CD6465"/>
    <w:rsid w:val="00CD7DC5"/>
    <w:rsid w:val="00CD7E1D"/>
    <w:rsid w:val="00CE0985"/>
    <w:rsid w:val="00CE105C"/>
    <w:rsid w:val="00CE1255"/>
    <w:rsid w:val="00CE28FF"/>
    <w:rsid w:val="00CE29AC"/>
    <w:rsid w:val="00CE32DF"/>
    <w:rsid w:val="00CE3688"/>
    <w:rsid w:val="00CE4663"/>
    <w:rsid w:val="00CE4BB9"/>
    <w:rsid w:val="00CE5ECB"/>
    <w:rsid w:val="00CE6121"/>
    <w:rsid w:val="00CE6E29"/>
    <w:rsid w:val="00CF1564"/>
    <w:rsid w:val="00CF2EC9"/>
    <w:rsid w:val="00CF3454"/>
    <w:rsid w:val="00CF3B7D"/>
    <w:rsid w:val="00CF57EC"/>
    <w:rsid w:val="00CF5862"/>
    <w:rsid w:val="00CF653E"/>
    <w:rsid w:val="00CF6577"/>
    <w:rsid w:val="00CF6868"/>
    <w:rsid w:val="00CF68DD"/>
    <w:rsid w:val="00CF7026"/>
    <w:rsid w:val="00CF738C"/>
    <w:rsid w:val="00CF7E5F"/>
    <w:rsid w:val="00D00DFC"/>
    <w:rsid w:val="00D01851"/>
    <w:rsid w:val="00D01AC9"/>
    <w:rsid w:val="00D01C3C"/>
    <w:rsid w:val="00D02277"/>
    <w:rsid w:val="00D028A6"/>
    <w:rsid w:val="00D03B8E"/>
    <w:rsid w:val="00D03DF1"/>
    <w:rsid w:val="00D0425D"/>
    <w:rsid w:val="00D04499"/>
    <w:rsid w:val="00D046FE"/>
    <w:rsid w:val="00D05225"/>
    <w:rsid w:val="00D0561B"/>
    <w:rsid w:val="00D06828"/>
    <w:rsid w:val="00D071A9"/>
    <w:rsid w:val="00D07375"/>
    <w:rsid w:val="00D07D8F"/>
    <w:rsid w:val="00D10565"/>
    <w:rsid w:val="00D105D6"/>
    <w:rsid w:val="00D10BC8"/>
    <w:rsid w:val="00D124EC"/>
    <w:rsid w:val="00D14B67"/>
    <w:rsid w:val="00D15316"/>
    <w:rsid w:val="00D1551D"/>
    <w:rsid w:val="00D15B68"/>
    <w:rsid w:val="00D1606F"/>
    <w:rsid w:val="00D17D65"/>
    <w:rsid w:val="00D20076"/>
    <w:rsid w:val="00D211DB"/>
    <w:rsid w:val="00D21537"/>
    <w:rsid w:val="00D21575"/>
    <w:rsid w:val="00D22FA3"/>
    <w:rsid w:val="00D23526"/>
    <w:rsid w:val="00D242D4"/>
    <w:rsid w:val="00D24B8D"/>
    <w:rsid w:val="00D250C0"/>
    <w:rsid w:val="00D25289"/>
    <w:rsid w:val="00D271C2"/>
    <w:rsid w:val="00D2727D"/>
    <w:rsid w:val="00D2760F"/>
    <w:rsid w:val="00D300BE"/>
    <w:rsid w:val="00D30158"/>
    <w:rsid w:val="00D307A6"/>
    <w:rsid w:val="00D31AA0"/>
    <w:rsid w:val="00D33A02"/>
    <w:rsid w:val="00D341BB"/>
    <w:rsid w:val="00D34427"/>
    <w:rsid w:val="00D345F3"/>
    <w:rsid w:val="00D347FD"/>
    <w:rsid w:val="00D34A9D"/>
    <w:rsid w:val="00D35131"/>
    <w:rsid w:val="00D353D2"/>
    <w:rsid w:val="00D36086"/>
    <w:rsid w:val="00D36560"/>
    <w:rsid w:val="00D371F8"/>
    <w:rsid w:val="00D4433A"/>
    <w:rsid w:val="00D44613"/>
    <w:rsid w:val="00D44AB3"/>
    <w:rsid w:val="00D465F0"/>
    <w:rsid w:val="00D47E6B"/>
    <w:rsid w:val="00D50BEB"/>
    <w:rsid w:val="00D516F8"/>
    <w:rsid w:val="00D517E0"/>
    <w:rsid w:val="00D51B7A"/>
    <w:rsid w:val="00D51E09"/>
    <w:rsid w:val="00D537AC"/>
    <w:rsid w:val="00D5393E"/>
    <w:rsid w:val="00D543E7"/>
    <w:rsid w:val="00D55356"/>
    <w:rsid w:val="00D56AA5"/>
    <w:rsid w:val="00D5785F"/>
    <w:rsid w:val="00D6009D"/>
    <w:rsid w:val="00D60B6F"/>
    <w:rsid w:val="00D61A87"/>
    <w:rsid w:val="00D627BB"/>
    <w:rsid w:val="00D62DC8"/>
    <w:rsid w:val="00D62E9D"/>
    <w:rsid w:val="00D62F0D"/>
    <w:rsid w:val="00D62F47"/>
    <w:rsid w:val="00D62F5A"/>
    <w:rsid w:val="00D65132"/>
    <w:rsid w:val="00D654D9"/>
    <w:rsid w:val="00D65D13"/>
    <w:rsid w:val="00D667AD"/>
    <w:rsid w:val="00D669C1"/>
    <w:rsid w:val="00D66CF4"/>
    <w:rsid w:val="00D67C9F"/>
    <w:rsid w:val="00D7107A"/>
    <w:rsid w:val="00D727C1"/>
    <w:rsid w:val="00D73348"/>
    <w:rsid w:val="00D73E14"/>
    <w:rsid w:val="00D746BA"/>
    <w:rsid w:val="00D7573B"/>
    <w:rsid w:val="00D7580F"/>
    <w:rsid w:val="00D75E85"/>
    <w:rsid w:val="00D76494"/>
    <w:rsid w:val="00D76518"/>
    <w:rsid w:val="00D7724D"/>
    <w:rsid w:val="00D77B93"/>
    <w:rsid w:val="00D8176C"/>
    <w:rsid w:val="00D81C69"/>
    <w:rsid w:val="00D82A6C"/>
    <w:rsid w:val="00D8318E"/>
    <w:rsid w:val="00D844AD"/>
    <w:rsid w:val="00D8582A"/>
    <w:rsid w:val="00D85EFF"/>
    <w:rsid w:val="00D86446"/>
    <w:rsid w:val="00D87E7F"/>
    <w:rsid w:val="00D90ED8"/>
    <w:rsid w:val="00D93476"/>
    <w:rsid w:val="00D93FA0"/>
    <w:rsid w:val="00D940DC"/>
    <w:rsid w:val="00D94D10"/>
    <w:rsid w:val="00D958DF"/>
    <w:rsid w:val="00D965D5"/>
    <w:rsid w:val="00D96E64"/>
    <w:rsid w:val="00DA0DFE"/>
    <w:rsid w:val="00DA123E"/>
    <w:rsid w:val="00DA1460"/>
    <w:rsid w:val="00DA1749"/>
    <w:rsid w:val="00DA2754"/>
    <w:rsid w:val="00DA31DD"/>
    <w:rsid w:val="00DA3302"/>
    <w:rsid w:val="00DA3791"/>
    <w:rsid w:val="00DA4996"/>
    <w:rsid w:val="00DA59E6"/>
    <w:rsid w:val="00DA653B"/>
    <w:rsid w:val="00DA78F3"/>
    <w:rsid w:val="00DB0091"/>
    <w:rsid w:val="00DB082E"/>
    <w:rsid w:val="00DB0C80"/>
    <w:rsid w:val="00DB17A7"/>
    <w:rsid w:val="00DB5045"/>
    <w:rsid w:val="00DB583D"/>
    <w:rsid w:val="00DB62AB"/>
    <w:rsid w:val="00DB7071"/>
    <w:rsid w:val="00DB729E"/>
    <w:rsid w:val="00DB7514"/>
    <w:rsid w:val="00DC00F3"/>
    <w:rsid w:val="00DC0C31"/>
    <w:rsid w:val="00DC0EDA"/>
    <w:rsid w:val="00DC0F15"/>
    <w:rsid w:val="00DC0F1F"/>
    <w:rsid w:val="00DC13AD"/>
    <w:rsid w:val="00DC25ED"/>
    <w:rsid w:val="00DC351C"/>
    <w:rsid w:val="00DC5076"/>
    <w:rsid w:val="00DC571A"/>
    <w:rsid w:val="00DC59F0"/>
    <w:rsid w:val="00DC5D1D"/>
    <w:rsid w:val="00DC66C6"/>
    <w:rsid w:val="00DC6A20"/>
    <w:rsid w:val="00DC7F97"/>
    <w:rsid w:val="00DD068F"/>
    <w:rsid w:val="00DD077B"/>
    <w:rsid w:val="00DD0950"/>
    <w:rsid w:val="00DD0CAC"/>
    <w:rsid w:val="00DD28A4"/>
    <w:rsid w:val="00DD2BC3"/>
    <w:rsid w:val="00DD30C0"/>
    <w:rsid w:val="00DD3B84"/>
    <w:rsid w:val="00DD46D4"/>
    <w:rsid w:val="00DD4749"/>
    <w:rsid w:val="00DD622E"/>
    <w:rsid w:val="00DD6310"/>
    <w:rsid w:val="00DD7E50"/>
    <w:rsid w:val="00DD7F55"/>
    <w:rsid w:val="00DE10CC"/>
    <w:rsid w:val="00DE134C"/>
    <w:rsid w:val="00DE1729"/>
    <w:rsid w:val="00DE18AE"/>
    <w:rsid w:val="00DE2A0B"/>
    <w:rsid w:val="00DE2A3D"/>
    <w:rsid w:val="00DE3A81"/>
    <w:rsid w:val="00DE419D"/>
    <w:rsid w:val="00DE4C5C"/>
    <w:rsid w:val="00DE6381"/>
    <w:rsid w:val="00DE65BB"/>
    <w:rsid w:val="00DE65D7"/>
    <w:rsid w:val="00DE7BE8"/>
    <w:rsid w:val="00DF00D0"/>
    <w:rsid w:val="00DF133B"/>
    <w:rsid w:val="00DF1BEB"/>
    <w:rsid w:val="00DF2CC1"/>
    <w:rsid w:val="00DF2DF0"/>
    <w:rsid w:val="00DF397D"/>
    <w:rsid w:val="00DF3EED"/>
    <w:rsid w:val="00DF4C4D"/>
    <w:rsid w:val="00DF4D11"/>
    <w:rsid w:val="00DF5200"/>
    <w:rsid w:val="00DF559D"/>
    <w:rsid w:val="00DF5BA5"/>
    <w:rsid w:val="00DF6B50"/>
    <w:rsid w:val="00DF7FA4"/>
    <w:rsid w:val="00E001DB"/>
    <w:rsid w:val="00E00CB0"/>
    <w:rsid w:val="00E01377"/>
    <w:rsid w:val="00E01EA5"/>
    <w:rsid w:val="00E01F6E"/>
    <w:rsid w:val="00E02557"/>
    <w:rsid w:val="00E02FF6"/>
    <w:rsid w:val="00E04E28"/>
    <w:rsid w:val="00E05474"/>
    <w:rsid w:val="00E0572A"/>
    <w:rsid w:val="00E05809"/>
    <w:rsid w:val="00E05BDD"/>
    <w:rsid w:val="00E06387"/>
    <w:rsid w:val="00E06439"/>
    <w:rsid w:val="00E068F7"/>
    <w:rsid w:val="00E0755D"/>
    <w:rsid w:val="00E076AF"/>
    <w:rsid w:val="00E07841"/>
    <w:rsid w:val="00E07900"/>
    <w:rsid w:val="00E10792"/>
    <w:rsid w:val="00E10A10"/>
    <w:rsid w:val="00E10BB9"/>
    <w:rsid w:val="00E10EED"/>
    <w:rsid w:val="00E1113B"/>
    <w:rsid w:val="00E11E07"/>
    <w:rsid w:val="00E11E7E"/>
    <w:rsid w:val="00E12E43"/>
    <w:rsid w:val="00E131BA"/>
    <w:rsid w:val="00E138AD"/>
    <w:rsid w:val="00E15641"/>
    <w:rsid w:val="00E15A5F"/>
    <w:rsid w:val="00E165EF"/>
    <w:rsid w:val="00E17B08"/>
    <w:rsid w:val="00E17D6D"/>
    <w:rsid w:val="00E200FA"/>
    <w:rsid w:val="00E202BA"/>
    <w:rsid w:val="00E2047A"/>
    <w:rsid w:val="00E209D5"/>
    <w:rsid w:val="00E21A43"/>
    <w:rsid w:val="00E22E09"/>
    <w:rsid w:val="00E239D5"/>
    <w:rsid w:val="00E23CD4"/>
    <w:rsid w:val="00E2466B"/>
    <w:rsid w:val="00E24AB4"/>
    <w:rsid w:val="00E24DA8"/>
    <w:rsid w:val="00E2707A"/>
    <w:rsid w:val="00E27362"/>
    <w:rsid w:val="00E2748E"/>
    <w:rsid w:val="00E279C1"/>
    <w:rsid w:val="00E3025C"/>
    <w:rsid w:val="00E304F3"/>
    <w:rsid w:val="00E3056A"/>
    <w:rsid w:val="00E31587"/>
    <w:rsid w:val="00E31974"/>
    <w:rsid w:val="00E321E5"/>
    <w:rsid w:val="00E33208"/>
    <w:rsid w:val="00E33564"/>
    <w:rsid w:val="00E33685"/>
    <w:rsid w:val="00E34340"/>
    <w:rsid w:val="00E35BCA"/>
    <w:rsid w:val="00E35DFA"/>
    <w:rsid w:val="00E36F59"/>
    <w:rsid w:val="00E37292"/>
    <w:rsid w:val="00E37A1F"/>
    <w:rsid w:val="00E37E7B"/>
    <w:rsid w:val="00E4002F"/>
    <w:rsid w:val="00E41060"/>
    <w:rsid w:val="00E4140C"/>
    <w:rsid w:val="00E43EE1"/>
    <w:rsid w:val="00E44AA9"/>
    <w:rsid w:val="00E45C7B"/>
    <w:rsid w:val="00E47322"/>
    <w:rsid w:val="00E47F19"/>
    <w:rsid w:val="00E503BD"/>
    <w:rsid w:val="00E50C21"/>
    <w:rsid w:val="00E50CB2"/>
    <w:rsid w:val="00E51022"/>
    <w:rsid w:val="00E51280"/>
    <w:rsid w:val="00E52AA5"/>
    <w:rsid w:val="00E533F5"/>
    <w:rsid w:val="00E53626"/>
    <w:rsid w:val="00E53A3B"/>
    <w:rsid w:val="00E53B27"/>
    <w:rsid w:val="00E54BA1"/>
    <w:rsid w:val="00E5550C"/>
    <w:rsid w:val="00E56E19"/>
    <w:rsid w:val="00E571B8"/>
    <w:rsid w:val="00E57825"/>
    <w:rsid w:val="00E57A17"/>
    <w:rsid w:val="00E6091F"/>
    <w:rsid w:val="00E6133C"/>
    <w:rsid w:val="00E61BD4"/>
    <w:rsid w:val="00E61D76"/>
    <w:rsid w:val="00E638B2"/>
    <w:rsid w:val="00E63F63"/>
    <w:rsid w:val="00E65026"/>
    <w:rsid w:val="00E653A7"/>
    <w:rsid w:val="00E65ABD"/>
    <w:rsid w:val="00E66056"/>
    <w:rsid w:val="00E66B4D"/>
    <w:rsid w:val="00E66CFD"/>
    <w:rsid w:val="00E66F99"/>
    <w:rsid w:val="00E67176"/>
    <w:rsid w:val="00E67AD6"/>
    <w:rsid w:val="00E67BC5"/>
    <w:rsid w:val="00E7087A"/>
    <w:rsid w:val="00E70D90"/>
    <w:rsid w:val="00E70E52"/>
    <w:rsid w:val="00E72531"/>
    <w:rsid w:val="00E72E7F"/>
    <w:rsid w:val="00E73F8F"/>
    <w:rsid w:val="00E749CF"/>
    <w:rsid w:val="00E7502F"/>
    <w:rsid w:val="00E762A8"/>
    <w:rsid w:val="00E762D5"/>
    <w:rsid w:val="00E76321"/>
    <w:rsid w:val="00E76C8B"/>
    <w:rsid w:val="00E800E0"/>
    <w:rsid w:val="00E80236"/>
    <w:rsid w:val="00E8031E"/>
    <w:rsid w:val="00E8091D"/>
    <w:rsid w:val="00E817C7"/>
    <w:rsid w:val="00E821B9"/>
    <w:rsid w:val="00E82485"/>
    <w:rsid w:val="00E828D8"/>
    <w:rsid w:val="00E82CDF"/>
    <w:rsid w:val="00E82E20"/>
    <w:rsid w:val="00E83238"/>
    <w:rsid w:val="00E83699"/>
    <w:rsid w:val="00E842E0"/>
    <w:rsid w:val="00E852AC"/>
    <w:rsid w:val="00E86C82"/>
    <w:rsid w:val="00E86E8F"/>
    <w:rsid w:val="00E8713E"/>
    <w:rsid w:val="00E8723F"/>
    <w:rsid w:val="00E90CBB"/>
    <w:rsid w:val="00E90D7E"/>
    <w:rsid w:val="00E917C9"/>
    <w:rsid w:val="00E92383"/>
    <w:rsid w:val="00E9295E"/>
    <w:rsid w:val="00E92F25"/>
    <w:rsid w:val="00E93234"/>
    <w:rsid w:val="00E935FC"/>
    <w:rsid w:val="00E938EB"/>
    <w:rsid w:val="00E93FEB"/>
    <w:rsid w:val="00E946CD"/>
    <w:rsid w:val="00E9518D"/>
    <w:rsid w:val="00E95900"/>
    <w:rsid w:val="00E9673E"/>
    <w:rsid w:val="00E96EEC"/>
    <w:rsid w:val="00E9746D"/>
    <w:rsid w:val="00E9798C"/>
    <w:rsid w:val="00E97D9D"/>
    <w:rsid w:val="00EA0183"/>
    <w:rsid w:val="00EA0C0B"/>
    <w:rsid w:val="00EA0CBE"/>
    <w:rsid w:val="00EA1102"/>
    <w:rsid w:val="00EA1115"/>
    <w:rsid w:val="00EA1919"/>
    <w:rsid w:val="00EA4201"/>
    <w:rsid w:val="00EA4D7A"/>
    <w:rsid w:val="00EA596B"/>
    <w:rsid w:val="00EA6D34"/>
    <w:rsid w:val="00EA6F5A"/>
    <w:rsid w:val="00EA7DA7"/>
    <w:rsid w:val="00EB02DD"/>
    <w:rsid w:val="00EB06D2"/>
    <w:rsid w:val="00EB10B7"/>
    <w:rsid w:val="00EB34A6"/>
    <w:rsid w:val="00EB3E47"/>
    <w:rsid w:val="00EB49C2"/>
    <w:rsid w:val="00EB4C06"/>
    <w:rsid w:val="00EB5FA1"/>
    <w:rsid w:val="00EB63F3"/>
    <w:rsid w:val="00EB698B"/>
    <w:rsid w:val="00EB6F71"/>
    <w:rsid w:val="00EB721B"/>
    <w:rsid w:val="00EC050A"/>
    <w:rsid w:val="00EC07AE"/>
    <w:rsid w:val="00EC083B"/>
    <w:rsid w:val="00EC10A0"/>
    <w:rsid w:val="00EC12A8"/>
    <w:rsid w:val="00EC1815"/>
    <w:rsid w:val="00EC1911"/>
    <w:rsid w:val="00EC20AA"/>
    <w:rsid w:val="00EC2C18"/>
    <w:rsid w:val="00EC4670"/>
    <w:rsid w:val="00EC4E65"/>
    <w:rsid w:val="00EC535F"/>
    <w:rsid w:val="00EC5F8E"/>
    <w:rsid w:val="00EC6849"/>
    <w:rsid w:val="00EC691C"/>
    <w:rsid w:val="00EC6A64"/>
    <w:rsid w:val="00EC6CFD"/>
    <w:rsid w:val="00EC6EB1"/>
    <w:rsid w:val="00EC71A3"/>
    <w:rsid w:val="00EC72EA"/>
    <w:rsid w:val="00EC73AE"/>
    <w:rsid w:val="00ED1F6C"/>
    <w:rsid w:val="00ED37C0"/>
    <w:rsid w:val="00ED50DC"/>
    <w:rsid w:val="00ED5845"/>
    <w:rsid w:val="00ED69E9"/>
    <w:rsid w:val="00ED73A3"/>
    <w:rsid w:val="00ED7998"/>
    <w:rsid w:val="00ED7EAB"/>
    <w:rsid w:val="00EE0B3D"/>
    <w:rsid w:val="00EE0D96"/>
    <w:rsid w:val="00EE1123"/>
    <w:rsid w:val="00EE336C"/>
    <w:rsid w:val="00EE350F"/>
    <w:rsid w:val="00EE3E15"/>
    <w:rsid w:val="00EE465C"/>
    <w:rsid w:val="00EE5759"/>
    <w:rsid w:val="00EE5E9F"/>
    <w:rsid w:val="00EE5FBD"/>
    <w:rsid w:val="00EE6100"/>
    <w:rsid w:val="00EE6159"/>
    <w:rsid w:val="00EE6FD9"/>
    <w:rsid w:val="00EF0428"/>
    <w:rsid w:val="00EF13EF"/>
    <w:rsid w:val="00EF1CD5"/>
    <w:rsid w:val="00EF3951"/>
    <w:rsid w:val="00EF3A58"/>
    <w:rsid w:val="00EF4118"/>
    <w:rsid w:val="00EF466B"/>
    <w:rsid w:val="00EF52CC"/>
    <w:rsid w:val="00EF7549"/>
    <w:rsid w:val="00EF7B53"/>
    <w:rsid w:val="00EF7D1E"/>
    <w:rsid w:val="00F00CFE"/>
    <w:rsid w:val="00F00F7B"/>
    <w:rsid w:val="00F01A09"/>
    <w:rsid w:val="00F024C2"/>
    <w:rsid w:val="00F02EAC"/>
    <w:rsid w:val="00F03618"/>
    <w:rsid w:val="00F04F5F"/>
    <w:rsid w:val="00F0580D"/>
    <w:rsid w:val="00F0581F"/>
    <w:rsid w:val="00F05D2D"/>
    <w:rsid w:val="00F06E5B"/>
    <w:rsid w:val="00F06EFC"/>
    <w:rsid w:val="00F10558"/>
    <w:rsid w:val="00F10BDE"/>
    <w:rsid w:val="00F10D8F"/>
    <w:rsid w:val="00F11A5B"/>
    <w:rsid w:val="00F11E7E"/>
    <w:rsid w:val="00F1207E"/>
    <w:rsid w:val="00F126E7"/>
    <w:rsid w:val="00F14DF2"/>
    <w:rsid w:val="00F15257"/>
    <w:rsid w:val="00F15879"/>
    <w:rsid w:val="00F15E41"/>
    <w:rsid w:val="00F16400"/>
    <w:rsid w:val="00F1700E"/>
    <w:rsid w:val="00F175D5"/>
    <w:rsid w:val="00F17E61"/>
    <w:rsid w:val="00F20B82"/>
    <w:rsid w:val="00F21820"/>
    <w:rsid w:val="00F21A4B"/>
    <w:rsid w:val="00F220D1"/>
    <w:rsid w:val="00F22EFF"/>
    <w:rsid w:val="00F22FEA"/>
    <w:rsid w:val="00F23F86"/>
    <w:rsid w:val="00F243DE"/>
    <w:rsid w:val="00F24408"/>
    <w:rsid w:val="00F24D41"/>
    <w:rsid w:val="00F252AC"/>
    <w:rsid w:val="00F25B6B"/>
    <w:rsid w:val="00F2763D"/>
    <w:rsid w:val="00F27644"/>
    <w:rsid w:val="00F30272"/>
    <w:rsid w:val="00F31639"/>
    <w:rsid w:val="00F31769"/>
    <w:rsid w:val="00F31AB6"/>
    <w:rsid w:val="00F31DAE"/>
    <w:rsid w:val="00F3215D"/>
    <w:rsid w:val="00F327B3"/>
    <w:rsid w:val="00F346D1"/>
    <w:rsid w:val="00F34773"/>
    <w:rsid w:val="00F35493"/>
    <w:rsid w:val="00F355EF"/>
    <w:rsid w:val="00F36A84"/>
    <w:rsid w:val="00F37504"/>
    <w:rsid w:val="00F37F48"/>
    <w:rsid w:val="00F41734"/>
    <w:rsid w:val="00F417D8"/>
    <w:rsid w:val="00F429E4"/>
    <w:rsid w:val="00F42F9A"/>
    <w:rsid w:val="00F43602"/>
    <w:rsid w:val="00F43CA4"/>
    <w:rsid w:val="00F450A5"/>
    <w:rsid w:val="00F45982"/>
    <w:rsid w:val="00F46152"/>
    <w:rsid w:val="00F464A7"/>
    <w:rsid w:val="00F46F44"/>
    <w:rsid w:val="00F518A1"/>
    <w:rsid w:val="00F518C9"/>
    <w:rsid w:val="00F5273B"/>
    <w:rsid w:val="00F53D03"/>
    <w:rsid w:val="00F55E40"/>
    <w:rsid w:val="00F56303"/>
    <w:rsid w:val="00F56C6A"/>
    <w:rsid w:val="00F578E5"/>
    <w:rsid w:val="00F6056E"/>
    <w:rsid w:val="00F605EF"/>
    <w:rsid w:val="00F621E9"/>
    <w:rsid w:val="00F62A36"/>
    <w:rsid w:val="00F62B1E"/>
    <w:rsid w:val="00F63638"/>
    <w:rsid w:val="00F641B7"/>
    <w:rsid w:val="00F64F86"/>
    <w:rsid w:val="00F656D0"/>
    <w:rsid w:val="00F65C5F"/>
    <w:rsid w:val="00F66ABF"/>
    <w:rsid w:val="00F67522"/>
    <w:rsid w:val="00F70463"/>
    <w:rsid w:val="00F70E7E"/>
    <w:rsid w:val="00F711C6"/>
    <w:rsid w:val="00F71A26"/>
    <w:rsid w:val="00F73178"/>
    <w:rsid w:val="00F73B32"/>
    <w:rsid w:val="00F73EB2"/>
    <w:rsid w:val="00F748E8"/>
    <w:rsid w:val="00F74B21"/>
    <w:rsid w:val="00F7501C"/>
    <w:rsid w:val="00F76553"/>
    <w:rsid w:val="00F76EED"/>
    <w:rsid w:val="00F77D24"/>
    <w:rsid w:val="00F80728"/>
    <w:rsid w:val="00F80B00"/>
    <w:rsid w:val="00F80ECE"/>
    <w:rsid w:val="00F81654"/>
    <w:rsid w:val="00F81E95"/>
    <w:rsid w:val="00F841C6"/>
    <w:rsid w:val="00F8519E"/>
    <w:rsid w:val="00F857F5"/>
    <w:rsid w:val="00F85BA4"/>
    <w:rsid w:val="00F8660B"/>
    <w:rsid w:val="00F86D8B"/>
    <w:rsid w:val="00F876D0"/>
    <w:rsid w:val="00F90B0C"/>
    <w:rsid w:val="00F91834"/>
    <w:rsid w:val="00F9238C"/>
    <w:rsid w:val="00F92AB0"/>
    <w:rsid w:val="00F93D05"/>
    <w:rsid w:val="00F94BF6"/>
    <w:rsid w:val="00F95225"/>
    <w:rsid w:val="00F95FE7"/>
    <w:rsid w:val="00F96ABE"/>
    <w:rsid w:val="00F9798F"/>
    <w:rsid w:val="00F97D03"/>
    <w:rsid w:val="00FA129B"/>
    <w:rsid w:val="00FA1345"/>
    <w:rsid w:val="00FA1601"/>
    <w:rsid w:val="00FA1915"/>
    <w:rsid w:val="00FA1D80"/>
    <w:rsid w:val="00FA2A6F"/>
    <w:rsid w:val="00FA42FF"/>
    <w:rsid w:val="00FA5506"/>
    <w:rsid w:val="00FA5802"/>
    <w:rsid w:val="00FA5818"/>
    <w:rsid w:val="00FA7D60"/>
    <w:rsid w:val="00FB0FDE"/>
    <w:rsid w:val="00FB2256"/>
    <w:rsid w:val="00FB30E1"/>
    <w:rsid w:val="00FB342E"/>
    <w:rsid w:val="00FB3977"/>
    <w:rsid w:val="00FB5A58"/>
    <w:rsid w:val="00FB6782"/>
    <w:rsid w:val="00FB6851"/>
    <w:rsid w:val="00FB72C2"/>
    <w:rsid w:val="00FC1619"/>
    <w:rsid w:val="00FC1DBF"/>
    <w:rsid w:val="00FC3E17"/>
    <w:rsid w:val="00FC5A1D"/>
    <w:rsid w:val="00FC5C53"/>
    <w:rsid w:val="00FC663E"/>
    <w:rsid w:val="00FC6A49"/>
    <w:rsid w:val="00FC6B2C"/>
    <w:rsid w:val="00FC701C"/>
    <w:rsid w:val="00FC7901"/>
    <w:rsid w:val="00FC7EF1"/>
    <w:rsid w:val="00FD0367"/>
    <w:rsid w:val="00FD0EC5"/>
    <w:rsid w:val="00FD1987"/>
    <w:rsid w:val="00FD19F7"/>
    <w:rsid w:val="00FD2930"/>
    <w:rsid w:val="00FD2C8B"/>
    <w:rsid w:val="00FD36C1"/>
    <w:rsid w:val="00FD5A1C"/>
    <w:rsid w:val="00FD6587"/>
    <w:rsid w:val="00FD6DAC"/>
    <w:rsid w:val="00FD7C55"/>
    <w:rsid w:val="00FE0519"/>
    <w:rsid w:val="00FE06F3"/>
    <w:rsid w:val="00FE0AD7"/>
    <w:rsid w:val="00FE2612"/>
    <w:rsid w:val="00FE2C44"/>
    <w:rsid w:val="00FE3BE2"/>
    <w:rsid w:val="00FE3F10"/>
    <w:rsid w:val="00FE4918"/>
    <w:rsid w:val="00FE51A6"/>
    <w:rsid w:val="00FE6302"/>
    <w:rsid w:val="00FE69A5"/>
    <w:rsid w:val="00FF0C81"/>
    <w:rsid w:val="00FF0FAA"/>
    <w:rsid w:val="00FF2115"/>
    <w:rsid w:val="00FF236E"/>
    <w:rsid w:val="00FF2D5A"/>
    <w:rsid w:val="00FF32FA"/>
    <w:rsid w:val="00FF39A8"/>
    <w:rsid w:val="00FF4035"/>
    <w:rsid w:val="00FF51C8"/>
    <w:rsid w:val="00FF5476"/>
    <w:rsid w:val="00FF5AAC"/>
    <w:rsid w:val="00FF5B26"/>
    <w:rsid w:val="00FF7910"/>
    <w:rsid w:val="00FF7B72"/>
    <w:rsid w:val="0111DC50"/>
    <w:rsid w:val="0132B1F3"/>
    <w:rsid w:val="01816466"/>
    <w:rsid w:val="01F1A6DF"/>
    <w:rsid w:val="0267D597"/>
    <w:rsid w:val="02D45636"/>
    <w:rsid w:val="02DF49D3"/>
    <w:rsid w:val="02FED273"/>
    <w:rsid w:val="0334D067"/>
    <w:rsid w:val="037E47DF"/>
    <w:rsid w:val="04200DF0"/>
    <w:rsid w:val="042A7F3D"/>
    <w:rsid w:val="049A35CB"/>
    <w:rsid w:val="050A1D34"/>
    <w:rsid w:val="0512A39C"/>
    <w:rsid w:val="0519E38C"/>
    <w:rsid w:val="0526FA8F"/>
    <w:rsid w:val="05343CDE"/>
    <w:rsid w:val="053B3152"/>
    <w:rsid w:val="05411656"/>
    <w:rsid w:val="0572F0DB"/>
    <w:rsid w:val="0583EDC0"/>
    <w:rsid w:val="05B2332F"/>
    <w:rsid w:val="060C2EBA"/>
    <w:rsid w:val="0613D282"/>
    <w:rsid w:val="064D4D50"/>
    <w:rsid w:val="066882A0"/>
    <w:rsid w:val="06B13780"/>
    <w:rsid w:val="06CC790F"/>
    <w:rsid w:val="06FFC60F"/>
    <w:rsid w:val="0729C5EF"/>
    <w:rsid w:val="073EC977"/>
    <w:rsid w:val="07479EB8"/>
    <w:rsid w:val="077883F9"/>
    <w:rsid w:val="0788CFC5"/>
    <w:rsid w:val="078E1D1A"/>
    <w:rsid w:val="0792A0A2"/>
    <w:rsid w:val="07C90472"/>
    <w:rsid w:val="07CA940F"/>
    <w:rsid w:val="081BFB22"/>
    <w:rsid w:val="0842818C"/>
    <w:rsid w:val="08AA961B"/>
    <w:rsid w:val="08CA8B10"/>
    <w:rsid w:val="08DE3B69"/>
    <w:rsid w:val="08EE8C8F"/>
    <w:rsid w:val="0949E52F"/>
    <w:rsid w:val="09520D04"/>
    <w:rsid w:val="09AE1749"/>
    <w:rsid w:val="0A35B492"/>
    <w:rsid w:val="0A3E126B"/>
    <w:rsid w:val="0A4B5CF8"/>
    <w:rsid w:val="0A81149A"/>
    <w:rsid w:val="0AD2E765"/>
    <w:rsid w:val="0ADFCD35"/>
    <w:rsid w:val="0AF7778C"/>
    <w:rsid w:val="0B02D08B"/>
    <w:rsid w:val="0B067A86"/>
    <w:rsid w:val="0B258CF5"/>
    <w:rsid w:val="0B284075"/>
    <w:rsid w:val="0B30A199"/>
    <w:rsid w:val="0B8340FF"/>
    <w:rsid w:val="0BAD9CA9"/>
    <w:rsid w:val="0BD76DE2"/>
    <w:rsid w:val="0BF2BFFC"/>
    <w:rsid w:val="0BFF44CF"/>
    <w:rsid w:val="0C070662"/>
    <w:rsid w:val="0C0746B4"/>
    <w:rsid w:val="0C3A1281"/>
    <w:rsid w:val="0C3AA30D"/>
    <w:rsid w:val="0C720CCA"/>
    <w:rsid w:val="0CE21047"/>
    <w:rsid w:val="0D044AA3"/>
    <w:rsid w:val="0D11AE9B"/>
    <w:rsid w:val="0D11F709"/>
    <w:rsid w:val="0D39C154"/>
    <w:rsid w:val="0D5EDDD8"/>
    <w:rsid w:val="0D97950A"/>
    <w:rsid w:val="0DC3B0D8"/>
    <w:rsid w:val="0DD6C502"/>
    <w:rsid w:val="0E394970"/>
    <w:rsid w:val="0E3B87A2"/>
    <w:rsid w:val="0E531CC4"/>
    <w:rsid w:val="0E9410EB"/>
    <w:rsid w:val="0EAFE357"/>
    <w:rsid w:val="0ED0BBDE"/>
    <w:rsid w:val="0ED0D2E3"/>
    <w:rsid w:val="0ED1B541"/>
    <w:rsid w:val="0EDC1620"/>
    <w:rsid w:val="0EFFBDBA"/>
    <w:rsid w:val="0F1C79C4"/>
    <w:rsid w:val="0F53E6FD"/>
    <w:rsid w:val="0FCC2F48"/>
    <w:rsid w:val="0FF1477A"/>
    <w:rsid w:val="1040A508"/>
    <w:rsid w:val="10E8F9A0"/>
    <w:rsid w:val="11097A88"/>
    <w:rsid w:val="110A9DE7"/>
    <w:rsid w:val="112A01D2"/>
    <w:rsid w:val="1141EC62"/>
    <w:rsid w:val="116A46D2"/>
    <w:rsid w:val="117B2024"/>
    <w:rsid w:val="1190C704"/>
    <w:rsid w:val="119C844E"/>
    <w:rsid w:val="11E532B8"/>
    <w:rsid w:val="120194CE"/>
    <w:rsid w:val="1209ADC7"/>
    <w:rsid w:val="1258B4E0"/>
    <w:rsid w:val="125E9623"/>
    <w:rsid w:val="12973B14"/>
    <w:rsid w:val="12CA5D5A"/>
    <w:rsid w:val="12E58FD7"/>
    <w:rsid w:val="131473DE"/>
    <w:rsid w:val="131628C8"/>
    <w:rsid w:val="13300FF4"/>
    <w:rsid w:val="134364F3"/>
    <w:rsid w:val="135C17CC"/>
    <w:rsid w:val="135FBA23"/>
    <w:rsid w:val="1371BB91"/>
    <w:rsid w:val="1388CEB7"/>
    <w:rsid w:val="13B94A41"/>
    <w:rsid w:val="13CBC40C"/>
    <w:rsid w:val="13E3D571"/>
    <w:rsid w:val="149EDE74"/>
    <w:rsid w:val="14CE3A99"/>
    <w:rsid w:val="14F7E95A"/>
    <w:rsid w:val="150C988F"/>
    <w:rsid w:val="1526335A"/>
    <w:rsid w:val="153C18C4"/>
    <w:rsid w:val="155744A0"/>
    <w:rsid w:val="15759A5D"/>
    <w:rsid w:val="15849EE4"/>
    <w:rsid w:val="15B454CB"/>
    <w:rsid w:val="15BC1842"/>
    <w:rsid w:val="166A2FBA"/>
    <w:rsid w:val="16AC474D"/>
    <w:rsid w:val="16C2E810"/>
    <w:rsid w:val="1707952C"/>
    <w:rsid w:val="1714D0B7"/>
    <w:rsid w:val="173E5B02"/>
    <w:rsid w:val="17496253"/>
    <w:rsid w:val="176B898A"/>
    <w:rsid w:val="17D98842"/>
    <w:rsid w:val="17E0FC52"/>
    <w:rsid w:val="17E970E2"/>
    <w:rsid w:val="184263B5"/>
    <w:rsid w:val="187804CF"/>
    <w:rsid w:val="18B38636"/>
    <w:rsid w:val="18FB1563"/>
    <w:rsid w:val="190BA235"/>
    <w:rsid w:val="19BAC5DD"/>
    <w:rsid w:val="1A08AFB9"/>
    <w:rsid w:val="1A142CA1"/>
    <w:rsid w:val="1A425DC8"/>
    <w:rsid w:val="1ABFB71F"/>
    <w:rsid w:val="1AD95F0D"/>
    <w:rsid w:val="1B0283BF"/>
    <w:rsid w:val="1B0B0418"/>
    <w:rsid w:val="1B1C7681"/>
    <w:rsid w:val="1BE3A72F"/>
    <w:rsid w:val="1C188443"/>
    <w:rsid w:val="1C294CC5"/>
    <w:rsid w:val="1C39CFE9"/>
    <w:rsid w:val="1C963F49"/>
    <w:rsid w:val="1CC576CD"/>
    <w:rsid w:val="1D012FF7"/>
    <w:rsid w:val="1D0A2CDD"/>
    <w:rsid w:val="1D0CD967"/>
    <w:rsid w:val="1D1A96B2"/>
    <w:rsid w:val="1D33924B"/>
    <w:rsid w:val="1D4D73A7"/>
    <w:rsid w:val="1D766434"/>
    <w:rsid w:val="1D7E8B25"/>
    <w:rsid w:val="1D9F8470"/>
    <w:rsid w:val="1DA3C734"/>
    <w:rsid w:val="1DD34D78"/>
    <w:rsid w:val="1DFE7459"/>
    <w:rsid w:val="1E09C3CC"/>
    <w:rsid w:val="1E1267CE"/>
    <w:rsid w:val="1E1457B9"/>
    <w:rsid w:val="1E23C949"/>
    <w:rsid w:val="1E62D71E"/>
    <w:rsid w:val="1E658754"/>
    <w:rsid w:val="1E65D68F"/>
    <w:rsid w:val="1ED69EA5"/>
    <w:rsid w:val="1F14DF54"/>
    <w:rsid w:val="1F158A38"/>
    <w:rsid w:val="1F4D9C2C"/>
    <w:rsid w:val="1F667E97"/>
    <w:rsid w:val="1F804ECD"/>
    <w:rsid w:val="1FAB667E"/>
    <w:rsid w:val="1FF818CB"/>
    <w:rsid w:val="200E023D"/>
    <w:rsid w:val="202EF7AF"/>
    <w:rsid w:val="206AB6AD"/>
    <w:rsid w:val="207365E9"/>
    <w:rsid w:val="20763AC8"/>
    <w:rsid w:val="207912B5"/>
    <w:rsid w:val="207D80BA"/>
    <w:rsid w:val="20BAF206"/>
    <w:rsid w:val="20D9F900"/>
    <w:rsid w:val="21443DA8"/>
    <w:rsid w:val="21777CEF"/>
    <w:rsid w:val="21A35958"/>
    <w:rsid w:val="21A8C045"/>
    <w:rsid w:val="21B87ADF"/>
    <w:rsid w:val="22567251"/>
    <w:rsid w:val="225C6969"/>
    <w:rsid w:val="22886837"/>
    <w:rsid w:val="22AFA208"/>
    <w:rsid w:val="22B19D62"/>
    <w:rsid w:val="22FAE8E6"/>
    <w:rsid w:val="22FECDAF"/>
    <w:rsid w:val="230A3E12"/>
    <w:rsid w:val="23104067"/>
    <w:rsid w:val="23143564"/>
    <w:rsid w:val="231DE2F8"/>
    <w:rsid w:val="232EF064"/>
    <w:rsid w:val="2380FEAA"/>
    <w:rsid w:val="23C73384"/>
    <w:rsid w:val="23E2B6B2"/>
    <w:rsid w:val="23FE49E1"/>
    <w:rsid w:val="240CA7AB"/>
    <w:rsid w:val="240FBD2E"/>
    <w:rsid w:val="2421D040"/>
    <w:rsid w:val="244EDC5A"/>
    <w:rsid w:val="245C1E12"/>
    <w:rsid w:val="24665E7A"/>
    <w:rsid w:val="24851AC0"/>
    <w:rsid w:val="24999A45"/>
    <w:rsid w:val="24A3F81B"/>
    <w:rsid w:val="24A9F47E"/>
    <w:rsid w:val="24C55BCF"/>
    <w:rsid w:val="253BBE59"/>
    <w:rsid w:val="25470D62"/>
    <w:rsid w:val="25BE1E04"/>
    <w:rsid w:val="25E878AD"/>
    <w:rsid w:val="2643E4BF"/>
    <w:rsid w:val="265174B5"/>
    <w:rsid w:val="266DA90B"/>
    <w:rsid w:val="2681968F"/>
    <w:rsid w:val="269C290A"/>
    <w:rsid w:val="26AA3298"/>
    <w:rsid w:val="26BCCE88"/>
    <w:rsid w:val="26C27F76"/>
    <w:rsid w:val="26FC3953"/>
    <w:rsid w:val="2718C13A"/>
    <w:rsid w:val="273486E7"/>
    <w:rsid w:val="27AD6ADF"/>
    <w:rsid w:val="27F1CD83"/>
    <w:rsid w:val="280A0F88"/>
    <w:rsid w:val="28341FF1"/>
    <w:rsid w:val="2835B46F"/>
    <w:rsid w:val="2844579B"/>
    <w:rsid w:val="288BE825"/>
    <w:rsid w:val="28E0CC87"/>
    <w:rsid w:val="28EF7303"/>
    <w:rsid w:val="290051EF"/>
    <w:rsid w:val="29408675"/>
    <w:rsid w:val="29436BFC"/>
    <w:rsid w:val="29642FFD"/>
    <w:rsid w:val="29766B8B"/>
    <w:rsid w:val="2976B78C"/>
    <w:rsid w:val="29847245"/>
    <w:rsid w:val="29B08702"/>
    <w:rsid w:val="29C2994D"/>
    <w:rsid w:val="2A1173DA"/>
    <w:rsid w:val="2A674EA5"/>
    <w:rsid w:val="2A752A0E"/>
    <w:rsid w:val="2A924F0F"/>
    <w:rsid w:val="2ACA8864"/>
    <w:rsid w:val="2ADE7528"/>
    <w:rsid w:val="2AFBC057"/>
    <w:rsid w:val="2AFD6267"/>
    <w:rsid w:val="2B0A8683"/>
    <w:rsid w:val="2B15690B"/>
    <w:rsid w:val="2BD35643"/>
    <w:rsid w:val="2BE17729"/>
    <w:rsid w:val="2BF5603E"/>
    <w:rsid w:val="2C15F610"/>
    <w:rsid w:val="2C66B822"/>
    <w:rsid w:val="2CC12046"/>
    <w:rsid w:val="2D29E7A0"/>
    <w:rsid w:val="2D32AE3F"/>
    <w:rsid w:val="2D45C13B"/>
    <w:rsid w:val="2D6B0953"/>
    <w:rsid w:val="2D6B26B2"/>
    <w:rsid w:val="2D8B0A94"/>
    <w:rsid w:val="2DC5BB5D"/>
    <w:rsid w:val="2DFC7C2B"/>
    <w:rsid w:val="2E10F9B4"/>
    <w:rsid w:val="2E204AB9"/>
    <w:rsid w:val="2EE8A7A8"/>
    <w:rsid w:val="2EFF515D"/>
    <w:rsid w:val="2F17BD4E"/>
    <w:rsid w:val="2F190B85"/>
    <w:rsid w:val="2F3A85A5"/>
    <w:rsid w:val="2FC3F926"/>
    <w:rsid w:val="2FC55EF4"/>
    <w:rsid w:val="302FA8E2"/>
    <w:rsid w:val="305093C1"/>
    <w:rsid w:val="30823ECF"/>
    <w:rsid w:val="3086B06E"/>
    <w:rsid w:val="30984B0D"/>
    <w:rsid w:val="30F7B720"/>
    <w:rsid w:val="317F3478"/>
    <w:rsid w:val="31A5C3CE"/>
    <w:rsid w:val="31D061B3"/>
    <w:rsid w:val="31EBCD54"/>
    <w:rsid w:val="324C9C91"/>
    <w:rsid w:val="325BE6DA"/>
    <w:rsid w:val="32CBA349"/>
    <w:rsid w:val="32D11A13"/>
    <w:rsid w:val="32F0225D"/>
    <w:rsid w:val="33017993"/>
    <w:rsid w:val="3330D5C5"/>
    <w:rsid w:val="334FC672"/>
    <w:rsid w:val="3363F3BF"/>
    <w:rsid w:val="3377645D"/>
    <w:rsid w:val="3377CF9B"/>
    <w:rsid w:val="33909860"/>
    <w:rsid w:val="33A43A6B"/>
    <w:rsid w:val="33BBE831"/>
    <w:rsid w:val="33C0168A"/>
    <w:rsid w:val="340E5E6B"/>
    <w:rsid w:val="341717E9"/>
    <w:rsid w:val="34179D8F"/>
    <w:rsid w:val="342FC027"/>
    <w:rsid w:val="344F6F63"/>
    <w:rsid w:val="347C0D04"/>
    <w:rsid w:val="34BC9A6D"/>
    <w:rsid w:val="34F85253"/>
    <w:rsid w:val="3526FCD4"/>
    <w:rsid w:val="35488864"/>
    <w:rsid w:val="355A76BF"/>
    <w:rsid w:val="355F7F87"/>
    <w:rsid w:val="35997FFC"/>
    <w:rsid w:val="359B7900"/>
    <w:rsid w:val="35C0C6F5"/>
    <w:rsid w:val="35EC149A"/>
    <w:rsid w:val="35F1F6C2"/>
    <w:rsid w:val="366B35AB"/>
    <w:rsid w:val="36DAF669"/>
    <w:rsid w:val="36DBD4F0"/>
    <w:rsid w:val="36F6F9B0"/>
    <w:rsid w:val="36FAB928"/>
    <w:rsid w:val="3761290B"/>
    <w:rsid w:val="376EF4F5"/>
    <w:rsid w:val="378AE30A"/>
    <w:rsid w:val="3790465B"/>
    <w:rsid w:val="37DFFE57"/>
    <w:rsid w:val="3802C5C4"/>
    <w:rsid w:val="385651B8"/>
    <w:rsid w:val="387D7E77"/>
    <w:rsid w:val="38B1022F"/>
    <w:rsid w:val="38B45059"/>
    <w:rsid w:val="38C5C4B7"/>
    <w:rsid w:val="396AA4AC"/>
    <w:rsid w:val="396D0136"/>
    <w:rsid w:val="3973B254"/>
    <w:rsid w:val="39A995F7"/>
    <w:rsid w:val="39C75126"/>
    <w:rsid w:val="39C9420F"/>
    <w:rsid w:val="39CEE550"/>
    <w:rsid w:val="39CF560C"/>
    <w:rsid w:val="39F9400F"/>
    <w:rsid w:val="3A64C1B8"/>
    <w:rsid w:val="3A8179D6"/>
    <w:rsid w:val="3A8BE60A"/>
    <w:rsid w:val="3AA52950"/>
    <w:rsid w:val="3AC4AE83"/>
    <w:rsid w:val="3AD1F05C"/>
    <w:rsid w:val="3AEB078D"/>
    <w:rsid w:val="3B0FEDAD"/>
    <w:rsid w:val="3B185D2F"/>
    <w:rsid w:val="3B33B49A"/>
    <w:rsid w:val="3B4D5A2B"/>
    <w:rsid w:val="3B531A1B"/>
    <w:rsid w:val="3B6F5261"/>
    <w:rsid w:val="3BA6FCE1"/>
    <w:rsid w:val="3BD07DA6"/>
    <w:rsid w:val="3C0C19A7"/>
    <w:rsid w:val="3C0EA8A2"/>
    <w:rsid w:val="3C1873C3"/>
    <w:rsid w:val="3C371F89"/>
    <w:rsid w:val="3C3D2B5E"/>
    <w:rsid w:val="3C649952"/>
    <w:rsid w:val="3C78D14C"/>
    <w:rsid w:val="3C816831"/>
    <w:rsid w:val="3C8957C4"/>
    <w:rsid w:val="3CCBCF59"/>
    <w:rsid w:val="3CCF57C9"/>
    <w:rsid w:val="3CE8148D"/>
    <w:rsid w:val="3D1B93B2"/>
    <w:rsid w:val="3D6A74EE"/>
    <w:rsid w:val="3D832178"/>
    <w:rsid w:val="3DBC2EE7"/>
    <w:rsid w:val="3DD6EF6E"/>
    <w:rsid w:val="3E12CFA6"/>
    <w:rsid w:val="3E2D36F5"/>
    <w:rsid w:val="3E3254A0"/>
    <w:rsid w:val="3E5A6918"/>
    <w:rsid w:val="3E5ECFAA"/>
    <w:rsid w:val="3E8EE422"/>
    <w:rsid w:val="3E97F70F"/>
    <w:rsid w:val="3EB031BD"/>
    <w:rsid w:val="3EB7CF3C"/>
    <w:rsid w:val="3EBB9590"/>
    <w:rsid w:val="3EDF1A07"/>
    <w:rsid w:val="3EE44906"/>
    <w:rsid w:val="3EECD5CF"/>
    <w:rsid w:val="3F18407C"/>
    <w:rsid w:val="3F1AC0C1"/>
    <w:rsid w:val="3F203693"/>
    <w:rsid w:val="3F2D8E3B"/>
    <w:rsid w:val="3F43F935"/>
    <w:rsid w:val="3F614BD4"/>
    <w:rsid w:val="3F62273D"/>
    <w:rsid w:val="3F92C32D"/>
    <w:rsid w:val="3FA224F3"/>
    <w:rsid w:val="3FB6E538"/>
    <w:rsid w:val="3FBA7D4F"/>
    <w:rsid w:val="3FC8BA13"/>
    <w:rsid w:val="3FDD6E60"/>
    <w:rsid w:val="3FEA09F0"/>
    <w:rsid w:val="3FF2A19A"/>
    <w:rsid w:val="4028D4A5"/>
    <w:rsid w:val="403A8225"/>
    <w:rsid w:val="409FD1B2"/>
    <w:rsid w:val="40D41780"/>
    <w:rsid w:val="40F63397"/>
    <w:rsid w:val="40F75365"/>
    <w:rsid w:val="4101B776"/>
    <w:rsid w:val="4153D74A"/>
    <w:rsid w:val="4161D315"/>
    <w:rsid w:val="4174DC6E"/>
    <w:rsid w:val="41B5AC29"/>
    <w:rsid w:val="41BAAAAA"/>
    <w:rsid w:val="41DCE186"/>
    <w:rsid w:val="41DE2FC4"/>
    <w:rsid w:val="42A9D3B0"/>
    <w:rsid w:val="42BB0A01"/>
    <w:rsid w:val="42C14B13"/>
    <w:rsid w:val="42E851AA"/>
    <w:rsid w:val="42EAF9E6"/>
    <w:rsid w:val="43114947"/>
    <w:rsid w:val="4350D0FC"/>
    <w:rsid w:val="43C63028"/>
    <w:rsid w:val="43D59CCE"/>
    <w:rsid w:val="43F35773"/>
    <w:rsid w:val="43F44076"/>
    <w:rsid w:val="4408C95A"/>
    <w:rsid w:val="442039C1"/>
    <w:rsid w:val="442271F6"/>
    <w:rsid w:val="442E04F9"/>
    <w:rsid w:val="44565BD1"/>
    <w:rsid w:val="4527A499"/>
    <w:rsid w:val="4535758F"/>
    <w:rsid w:val="45368BB7"/>
    <w:rsid w:val="453D78E8"/>
    <w:rsid w:val="45434FC6"/>
    <w:rsid w:val="4544D68B"/>
    <w:rsid w:val="4553D706"/>
    <w:rsid w:val="455501EF"/>
    <w:rsid w:val="45C88B0E"/>
    <w:rsid w:val="45D25A03"/>
    <w:rsid w:val="46014324"/>
    <w:rsid w:val="46060FF1"/>
    <w:rsid w:val="460E1EB6"/>
    <w:rsid w:val="462E9C29"/>
    <w:rsid w:val="4632D058"/>
    <w:rsid w:val="46331038"/>
    <w:rsid w:val="46918C11"/>
    <w:rsid w:val="46A05A55"/>
    <w:rsid w:val="4723FCE6"/>
    <w:rsid w:val="47457FD0"/>
    <w:rsid w:val="47513F6E"/>
    <w:rsid w:val="475D8FAD"/>
    <w:rsid w:val="47F5264E"/>
    <w:rsid w:val="481B7D8E"/>
    <w:rsid w:val="481D0D89"/>
    <w:rsid w:val="483E3DBE"/>
    <w:rsid w:val="4854F878"/>
    <w:rsid w:val="4867CA0D"/>
    <w:rsid w:val="4877761F"/>
    <w:rsid w:val="489AEABB"/>
    <w:rsid w:val="48BE705B"/>
    <w:rsid w:val="48C7CAC4"/>
    <w:rsid w:val="48CD3023"/>
    <w:rsid w:val="48EC80BE"/>
    <w:rsid w:val="490593B4"/>
    <w:rsid w:val="49133D83"/>
    <w:rsid w:val="493D4832"/>
    <w:rsid w:val="493F28A3"/>
    <w:rsid w:val="4950413B"/>
    <w:rsid w:val="49533C2E"/>
    <w:rsid w:val="495BAC85"/>
    <w:rsid w:val="4974AA5C"/>
    <w:rsid w:val="49B27F52"/>
    <w:rsid w:val="49E871E0"/>
    <w:rsid w:val="4A267D76"/>
    <w:rsid w:val="4A288269"/>
    <w:rsid w:val="4A3F1782"/>
    <w:rsid w:val="4A4E731B"/>
    <w:rsid w:val="4A5BD97D"/>
    <w:rsid w:val="4A73CD43"/>
    <w:rsid w:val="4A81A420"/>
    <w:rsid w:val="4AB0DC41"/>
    <w:rsid w:val="4AB14B14"/>
    <w:rsid w:val="4ACDEF42"/>
    <w:rsid w:val="4AD20766"/>
    <w:rsid w:val="4AF1A07A"/>
    <w:rsid w:val="4B655F86"/>
    <w:rsid w:val="4BBD239B"/>
    <w:rsid w:val="4BCAB598"/>
    <w:rsid w:val="4BD6C929"/>
    <w:rsid w:val="4BFE9F6E"/>
    <w:rsid w:val="4C1383F3"/>
    <w:rsid w:val="4C295367"/>
    <w:rsid w:val="4C2F02DB"/>
    <w:rsid w:val="4C40D169"/>
    <w:rsid w:val="4C6CB311"/>
    <w:rsid w:val="4C8A37C4"/>
    <w:rsid w:val="4CBD3C91"/>
    <w:rsid w:val="4CC481A8"/>
    <w:rsid w:val="4CCEE46D"/>
    <w:rsid w:val="4CE71AD5"/>
    <w:rsid w:val="4CF56D19"/>
    <w:rsid w:val="4CF64B98"/>
    <w:rsid w:val="4D4E4340"/>
    <w:rsid w:val="4D770DBF"/>
    <w:rsid w:val="4D85BCD3"/>
    <w:rsid w:val="4D94EE16"/>
    <w:rsid w:val="4E206476"/>
    <w:rsid w:val="4E326F45"/>
    <w:rsid w:val="4E3CB541"/>
    <w:rsid w:val="4E3EF6AE"/>
    <w:rsid w:val="4E86F3C6"/>
    <w:rsid w:val="4E893E5E"/>
    <w:rsid w:val="4E9A989A"/>
    <w:rsid w:val="4EB68D46"/>
    <w:rsid w:val="4EC8F989"/>
    <w:rsid w:val="4ECEA3C3"/>
    <w:rsid w:val="4ED5AF38"/>
    <w:rsid w:val="4EDDB44A"/>
    <w:rsid w:val="4EF49793"/>
    <w:rsid w:val="4F3A323E"/>
    <w:rsid w:val="4F591182"/>
    <w:rsid w:val="4F5F50D6"/>
    <w:rsid w:val="4F7438D2"/>
    <w:rsid w:val="4FBFE454"/>
    <w:rsid w:val="4FC29ED9"/>
    <w:rsid w:val="4FC6A065"/>
    <w:rsid w:val="4FF691FF"/>
    <w:rsid w:val="500B3F31"/>
    <w:rsid w:val="5011DEA5"/>
    <w:rsid w:val="5031AC3D"/>
    <w:rsid w:val="506ACCD6"/>
    <w:rsid w:val="5092FE8A"/>
    <w:rsid w:val="50C0E95F"/>
    <w:rsid w:val="50D08B60"/>
    <w:rsid w:val="50FD33E5"/>
    <w:rsid w:val="51199602"/>
    <w:rsid w:val="5122FE8A"/>
    <w:rsid w:val="5198221D"/>
    <w:rsid w:val="519F7C20"/>
    <w:rsid w:val="51AD5E53"/>
    <w:rsid w:val="51F4930E"/>
    <w:rsid w:val="522DB300"/>
    <w:rsid w:val="52808EB5"/>
    <w:rsid w:val="529E14EF"/>
    <w:rsid w:val="52FBCC58"/>
    <w:rsid w:val="530ECB56"/>
    <w:rsid w:val="5352B5A3"/>
    <w:rsid w:val="538EA0AA"/>
    <w:rsid w:val="53A9CA5D"/>
    <w:rsid w:val="540C3914"/>
    <w:rsid w:val="5411AD93"/>
    <w:rsid w:val="542EBCB1"/>
    <w:rsid w:val="54538621"/>
    <w:rsid w:val="54A990DB"/>
    <w:rsid w:val="54ACB72F"/>
    <w:rsid w:val="54F6C39E"/>
    <w:rsid w:val="54F9A3B8"/>
    <w:rsid w:val="54FA545C"/>
    <w:rsid w:val="552C3C57"/>
    <w:rsid w:val="553E240C"/>
    <w:rsid w:val="55449D0A"/>
    <w:rsid w:val="55561DCF"/>
    <w:rsid w:val="55F07BD0"/>
    <w:rsid w:val="55F9AF80"/>
    <w:rsid w:val="5659C77A"/>
    <w:rsid w:val="5678FE47"/>
    <w:rsid w:val="56A5E0CD"/>
    <w:rsid w:val="56D2F5DA"/>
    <w:rsid w:val="56F94597"/>
    <w:rsid w:val="572F89A0"/>
    <w:rsid w:val="5736F0BE"/>
    <w:rsid w:val="5740AFAB"/>
    <w:rsid w:val="5753AE17"/>
    <w:rsid w:val="5789B1E5"/>
    <w:rsid w:val="578EB2D7"/>
    <w:rsid w:val="57958285"/>
    <w:rsid w:val="57FFFDBE"/>
    <w:rsid w:val="580C8E11"/>
    <w:rsid w:val="585899A7"/>
    <w:rsid w:val="58664DB4"/>
    <w:rsid w:val="586CE7A7"/>
    <w:rsid w:val="5873E034"/>
    <w:rsid w:val="5879A79C"/>
    <w:rsid w:val="5888C385"/>
    <w:rsid w:val="58A18589"/>
    <w:rsid w:val="58A6D44F"/>
    <w:rsid w:val="58AB7B42"/>
    <w:rsid w:val="58D934E1"/>
    <w:rsid w:val="59040116"/>
    <w:rsid w:val="595CFEF4"/>
    <w:rsid w:val="5968F9A1"/>
    <w:rsid w:val="596A0B7D"/>
    <w:rsid w:val="596DEAF7"/>
    <w:rsid w:val="5A000394"/>
    <w:rsid w:val="5A28D810"/>
    <w:rsid w:val="5A4DF6D1"/>
    <w:rsid w:val="5A53EEB8"/>
    <w:rsid w:val="5A563379"/>
    <w:rsid w:val="5A7CA146"/>
    <w:rsid w:val="5AD3A9EC"/>
    <w:rsid w:val="5AD5F1F0"/>
    <w:rsid w:val="5AD67258"/>
    <w:rsid w:val="5AEF8CE1"/>
    <w:rsid w:val="5BBAA416"/>
    <w:rsid w:val="5C186CE0"/>
    <w:rsid w:val="5C38EF6C"/>
    <w:rsid w:val="5C41D649"/>
    <w:rsid w:val="5C81F915"/>
    <w:rsid w:val="5C8B1A03"/>
    <w:rsid w:val="5CA04737"/>
    <w:rsid w:val="5CA43C0D"/>
    <w:rsid w:val="5CF03C80"/>
    <w:rsid w:val="5CF2A540"/>
    <w:rsid w:val="5D02DCDC"/>
    <w:rsid w:val="5D098AAD"/>
    <w:rsid w:val="5D283185"/>
    <w:rsid w:val="5D7BA46C"/>
    <w:rsid w:val="5DAE0943"/>
    <w:rsid w:val="5E083EC2"/>
    <w:rsid w:val="5E522446"/>
    <w:rsid w:val="5E98B289"/>
    <w:rsid w:val="5EA94820"/>
    <w:rsid w:val="5EF6EDAB"/>
    <w:rsid w:val="5F044DD8"/>
    <w:rsid w:val="5F464118"/>
    <w:rsid w:val="5FDC6264"/>
    <w:rsid w:val="5FE05F74"/>
    <w:rsid w:val="5FE3CAAA"/>
    <w:rsid w:val="5FED2E26"/>
    <w:rsid w:val="6021BCAF"/>
    <w:rsid w:val="6024AA31"/>
    <w:rsid w:val="6051CA41"/>
    <w:rsid w:val="6067CF87"/>
    <w:rsid w:val="60686829"/>
    <w:rsid w:val="608BC7E0"/>
    <w:rsid w:val="60A8C96E"/>
    <w:rsid w:val="60B2388D"/>
    <w:rsid w:val="611C8393"/>
    <w:rsid w:val="61302ADC"/>
    <w:rsid w:val="61E6E209"/>
    <w:rsid w:val="61EF463E"/>
    <w:rsid w:val="61F50639"/>
    <w:rsid w:val="62092EBA"/>
    <w:rsid w:val="621891D7"/>
    <w:rsid w:val="621B3D0A"/>
    <w:rsid w:val="6236AD02"/>
    <w:rsid w:val="623DABE1"/>
    <w:rsid w:val="6276AC02"/>
    <w:rsid w:val="628A59D8"/>
    <w:rsid w:val="62A0241D"/>
    <w:rsid w:val="633DF82C"/>
    <w:rsid w:val="6351EC73"/>
    <w:rsid w:val="638C700F"/>
    <w:rsid w:val="63A2173F"/>
    <w:rsid w:val="63C287F8"/>
    <w:rsid w:val="63C4C9CC"/>
    <w:rsid w:val="63EE6B49"/>
    <w:rsid w:val="63EE71C8"/>
    <w:rsid w:val="6411FEB5"/>
    <w:rsid w:val="641BC0FC"/>
    <w:rsid w:val="644C9EFC"/>
    <w:rsid w:val="64513F60"/>
    <w:rsid w:val="6453BAFA"/>
    <w:rsid w:val="646C226B"/>
    <w:rsid w:val="64719970"/>
    <w:rsid w:val="64DB76B5"/>
    <w:rsid w:val="64F7A737"/>
    <w:rsid w:val="64FE421B"/>
    <w:rsid w:val="654A3E44"/>
    <w:rsid w:val="657464C4"/>
    <w:rsid w:val="65A570D4"/>
    <w:rsid w:val="65EA2AD2"/>
    <w:rsid w:val="6601BCC0"/>
    <w:rsid w:val="6617A356"/>
    <w:rsid w:val="666E0A06"/>
    <w:rsid w:val="66854032"/>
    <w:rsid w:val="66A2ADC4"/>
    <w:rsid w:val="66B9F558"/>
    <w:rsid w:val="674890EC"/>
    <w:rsid w:val="67532561"/>
    <w:rsid w:val="677041C4"/>
    <w:rsid w:val="67712BBD"/>
    <w:rsid w:val="6783D8AE"/>
    <w:rsid w:val="6785ED24"/>
    <w:rsid w:val="67AA9588"/>
    <w:rsid w:val="6806B240"/>
    <w:rsid w:val="6816377D"/>
    <w:rsid w:val="682A055D"/>
    <w:rsid w:val="688748AF"/>
    <w:rsid w:val="688D814D"/>
    <w:rsid w:val="68A325A9"/>
    <w:rsid w:val="68A3347E"/>
    <w:rsid w:val="68CF0534"/>
    <w:rsid w:val="68F1C461"/>
    <w:rsid w:val="690C19E9"/>
    <w:rsid w:val="69609344"/>
    <w:rsid w:val="69681ACA"/>
    <w:rsid w:val="696DDC24"/>
    <w:rsid w:val="6972467A"/>
    <w:rsid w:val="69A1590C"/>
    <w:rsid w:val="69E57950"/>
    <w:rsid w:val="6A168DF1"/>
    <w:rsid w:val="6A2969A5"/>
    <w:rsid w:val="6A2A404A"/>
    <w:rsid w:val="6A392FD0"/>
    <w:rsid w:val="6A44C30D"/>
    <w:rsid w:val="6A5CE19D"/>
    <w:rsid w:val="6A97BFDD"/>
    <w:rsid w:val="6A9C42D2"/>
    <w:rsid w:val="6AB0F024"/>
    <w:rsid w:val="6AEAC87E"/>
    <w:rsid w:val="6B0EED23"/>
    <w:rsid w:val="6B163C8B"/>
    <w:rsid w:val="6B1B371B"/>
    <w:rsid w:val="6B1C94AD"/>
    <w:rsid w:val="6B569A9E"/>
    <w:rsid w:val="6B6A9E75"/>
    <w:rsid w:val="6BB035C4"/>
    <w:rsid w:val="6BF75A1D"/>
    <w:rsid w:val="6C1395CF"/>
    <w:rsid w:val="6C178A14"/>
    <w:rsid w:val="6C1A8A33"/>
    <w:rsid w:val="6C3B39A6"/>
    <w:rsid w:val="6C517D57"/>
    <w:rsid w:val="6C670132"/>
    <w:rsid w:val="6C85CE95"/>
    <w:rsid w:val="6CE795E7"/>
    <w:rsid w:val="6CF0461B"/>
    <w:rsid w:val="6D12B125"/>
    <w:rsid w:val="6D12DEA7"/>
    <w:rsid w:val="6D134074"/>
    <w:rsid w:val="6D2D932A"/>
    <w:rsid w:val="6D4CF2D6"/>
    <w:rsid w:val="6D556BD3"/>
    <w:rsid w:val="6D6C75FA"/>
    <w:rsid w:val="6DC346A8"/>
    <w:rsid w:val="6DCDE4C1"/>
    <w:rsid w:val="6DD338CB"/>
    <w:rsid w:val="6E5D62D2"/>
    <w:rsid w:val="6E80E11B"/>
    <w:rsid w:val="6E8976E3"/>
    <w:rsid w:val="6E993008"/>
    <w:rsid w:val="6EA79026"/>
    <w:rsid w:val="6F01B0AC"/>
    <w:rsid w:val="6F3D222F"/>
    <w:rsid w:val="6F51C444"/>
    <w:rsid w:val="6F5DCBFC"/>
    <w:rsid w:val="6F713452"/>
    <w:rsid w:val="6F843F17"/>
    <w:rsid w:val="6F8CED99"/>
    <w:rsid w:val="6F952B78"/>
    <w:rsid w:val="6FCB794D"/>
    <w:rsid w:val="6FFA38C5"/>
    <w:rsid w:val="6FFAC482"/>
    <w:rsid w:val="7007B380"/>
    <w:rsid w:val="702404FA"/>
    <w:rsid w:val="70330C8F"/>
    <w:rsid w:val="704F432C"/>
    <w:rsid w:val="7057EB81"/>
    <w:rsid w:val="70619E73"/>
    <w:rsid w:val="7062BEF4"/>
    <w:rsid w:val="709B3313"/>
    <w:rsid w:val="70C6F969"/>
    <w:rsid w:val="70D4237D"/>
    <w:rsid w:val="70E1860F"/>
    <w:rsid w:val="7131DFFC"/>
    <w:rsid w:val="7149D09F"/>
    <w:rsid w:val="714CD626"/>
    <w:rsid w:val="715520E4"/>
    <w:rsid w:val="71659796"/>
    <w:rsid w:val="719307AB"/>
    <w:rsid w:val="719FA717"/>
    <w:rsid w:val="71FF78A6"/>
    <w:rsid w:val="723AA5DB"/>
    <w:rsid w:val="729E66B8"/>
    <w:rsid w:val="72A0D12D"/>
    <w:rsid w:val="72BF6778"/>
    <w:rsid w:val="72BFE6A6"/>
    <w:rsid w:val="72C5DA4F"/>
    <w:rsid w:val="72FB360B"/>
    <w:rsid w:val="7319CC8B"/>
    <w:rsid w:val="73380726"/>
    <w:rsid w:val="73649346"/>
    <w:rsid w:val="7375EED7"/>
    <w:rsid w:val="7380AE52"/>
    <w:rsid w:val="738DBD00"/>
    <w:rsid w:val="73BECC06"/>
    <w:rsid w:val="73E4893A"/>
    <w:rsid w:val="73FBC43D"/>
    <w:rsid w:val="7407AEAF"/>
    <w:rsid w:val="74091856"/>
    <w:rsid w:val="74A11AB7"/>
    <w:rsid w:val="74BB059A"/>
    <w:rsid w:val="74CB6B16"/>
    <w:rsid w:val="74F05C1A"/>
    <w:rsid w:val="74F4B9B4"/>
    <w:rsid w:val="74F93F29"/>
    <w:rsid w:val="7523E76B"/>
    <w:rsid w:val="7524BCDF"/>
    <w:rsid w:val="7544CB85"/>
    <w:rsid w:val="7552B4A0"/>
    <w:rsid w:val="75A72DA4"/>
    <w:rsid w:val="75C2A22C"/>
    <w:rsid w:val="75C39A08"/>
    <w:rsid w:val="75FE2B45"/>
    <w:rsid w:val="761AE4D3"/>
    <w:rsid w:val="7659B29A"/>
    <w:rsid w:val="767863A8"/>
    <w:rsid w:val="76950125"/>
    <w:rsid w:val="76E520E5"/>
    <w:rsid w:val="76FE420B"/>
    <w:rsid w:val="7700454D"/>
    <w:rsid w:val="7715C1EB"/>
    <w:rsid w:val="77345EE0"/>
    <w:rsid w:val="773D79DB"/>
    <w:rsid w:val="77637406"/>
    <w:rsid w:val="77702501"/>
    <w:rsid w:val="77782A02"/>
    <w:rsid w:val="77C44F34"/>
    <w:rsid w:val="7818D2C8"/>
    <w:rsid w:val="78501450"/>
    <w:rsid w:val="78587112"/>
    <w:rsid w:val="78641349"/>
    <w:rsid w:val="788909EE"/>
    <w:rsid w:val="78A9DA8F"/>
    <w:rsid w:val="78B05622"/>
    <w:rsid w:val="78C285B6"/>
    <w:rsid w:val="78E7E318"/>
    <w:rsid w:val="78E940D1"/>
    <w:rsid w:val="79215AE1"/>
    <w:rsid w:val="7925B4CB"/>
    <w:rsid w:val="79BA0819"/>
    <w:rsid w:val="79C3FD19"/>
    <w:rsid w:val="7A2E2C62"/>
    <w:rsid w:val="7A3A4092"/>
    <w:rsid w:val="7A4607A4"/>
    <w:rsid w:val="7A5BC192"/>
    <w:rsid w:val="7A71F425"/>
    <w:rsid w:val="7A8CD7D1"/>
    <w:rsid w:val="7AC72332"/>
    <w:rsid w:val="7AD43978"/>
    <w:rsid w:val="7ADEB6D6"/>
    <w:rsid w:val="7AE62E10"/>
    <w:rsid w:val="7AF59770"/>
    <w:rsid w:val="7B823D71"/>
    <w:rsid w:val="7BA06322"/>
    <w:rsid w:val="7BC0A83A"/>
    <w:rsid w:val="7BF32C0A"/>
    <w:rsid w:val="7C25DFB5"/>
    <w:rsid w:val="7C5F206D"/>
    <w:rsid w:val="7C62FE64"/>
    <w:rsid w:val="7C7CDC7E"/>
    <w:rsid w:val="7CDCC536"/>
    <w:rsid w:val="7CF31909"/>
    <w:rsid w:val="7CF9A4F5"/>
    <w:rsid w:val="7CFD1435"/>
    <w:rsid w:val="7D0F8877"/>
    <w:rsid w:val="7D14813F"/>
    <w:rsid w:val="7D2940CA"/>
    <w:rsid w:val="7D3E884E"/>
    <w:rsid w:val="7D56AA30"/>
    <w:rsid w:val="7D972AD3"/>
    <w:rsid w:val="7D9AA9B5"/>
    <w:rsid w:val="7E014353"/>
    <w:rsid w:val="7E24FFC4"/>
    <w:rsid w:val="7E3AD28C"/>
    <w:rsid w:val="7E41CA6B"/>
    <w:rsid w:val="7E5EFCB1"/>
    <w:rsid w:val="7E69296A"/>
    <w:rsid w:val="7EA56057"/>
    <w:rsid w:val="7EAE83DF"/>
    <w:rsid w:val="7ED18FBA"/>
    <w:rsid w:val="7F187D78"/>
    <w:rsid w:val="7F28A5A5"/>
    <w:rsid w:val="7F31E217"/>
    <w:rsid w:val="7FCBB0B0"/>
    <w:rsid w:val="7FDC7C71"/>
    <w:rsid w:val="7FDEE1F5"/>
    <w:rsid w:val="7FE5AB41"/>
    <w:rsid w:val="7FE887D4"/>
    <w:rsid w:val="7FF9EDA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543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70A"/>
    <w:rPr>
      <w:rFonts w:ascii="Times New Roman" w:eastAsia="Times New Roman" w:hAnsi="Times New Roman" w:cs="Times New Roman"/>
      <w:kern w:val="0"/>
      <w:sz w:val="24"/>
      <w:szCs w:val="24"/>
      <w:lang w:val="en-GB"/>
      <w14:ligatures w14:val="none"/>
    </w:rPr>
  </w:style>
  <w:style w:type="paragraph" w:styleId="Heading2">
    <w:name w:val="heading 2"/>
    <w:basedOn w:val="Normal"/>
    <w:next w:val="Normal"/>
    <w:link w:val="Heading2Char"/>
    <w:uiPriority w:val="9"/>
    <w:unhideWhenUsed/>
    <w:qFormat/>
    <w:rsid w:val="00357525"/>
    <w:pPr>
      <w:spacing w:before="360" w:after="120" w:line="240" w:lineRule="auto"/>
      <w:jc w:val="center"/>
      <w:outlineLvl w:val="1"/>
    </w:pPr>
    <w:rPr>
      <w:rFonts w:eastAsiaTheme="minorHAnsi" w:cstheme="minorBidi"/>
      <w:b/>
      <w:sz w:val="28"/>
      <w:szCs w:val="28"/>
      <w:lang w:val="en-AU"/>
    </w:rPr>
  </w:style>
  <w:style w:type="paragraph" w:styleId="Heading3">
    <w:name w:val="heading 3"/>
    <w:basedOn w:val="Normal"/>
    <w:next w:val="Normal"/>
    <w:link w:val="Heading3Char"/>
    <w:uiPriority w:val="9"/>
    <w:unhideWhenUsed/>
    <w:qFormat/>
    <w:rsid w:val="008C465B"/>
    <w:pPr>
      <w:spacing w:before="120" w:after="120" w:line="240" w:lineRule="auto"/>
      <w:jc w:val="both"/>
      <w:outlineLvl w:val="2"/>
    </w:pPr>
    <w:rPr>
      <w:rFonts w:eastAsiaTheme="minorHAnsi" w:cstheme="minorBidi"/>
      <w:b/>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B16"/>
    <w:pPr>
      <w:tabs>
        <w:tab w:val="center" w:pos="4513"/>
        <w:tab w:val="right" w:pos="9026"/>
      </w:tabs>
      <w:spacing w:after="0" w:line="240" w:lineRule="auto"/>
    </w:pPr>
    <w:rPr>
      <w:kern w:val="2"/>
      <w:lang w:val="en-AU"/>
      <w14:ligatures w14:val="standardContextual"/>
    </w:rPr>
  </w:style>
  <w:style w:type="character" w:customStyle="1" w:styleId="HeaderChar">
    <w:name w:val="Header Char"/>
    <w:basedOn w:val="DefaultParagraphFont"/>
    <w:link w:val="Header"/>
    <w:uiPriority w:val="99"/>
    <w:rsid w:val="00421B16"/>
  </w:style>
  <w:style w:type="paragraph" w:styleId="Footer">
    <w:name w:val="footer"/>
    <w:basedOn w:val="Normal"/>
    <w:link w:val="FooterChar"/>
    <w:uiPriority w:val="99"/>
    <w:unhideWhenUsed/>
    <w:rsid w:val="00421B16"/>
    <w:pPr>
      <w:tabs>
        <w:tab w:val="center" w:pos="4513"/>
        <w:tab w:val="right" w:pos="9026"/>
      </w:tabs>
      <w:spacing w:after="0" w:line="240" w:lineRule="auto"/>
    </w:pPr>
    <w:rPr>
      <w:kern w:val="2"/>
      <w:lang w:val="en-AU"/>
      <w14:ligatures w14:val="standardContextual"/>
    </w:rPr>
  </w:style>
  <w:style w:type="character" w:customStyle="1" w:styleId="FooterChar">
    <w:name w:val="Footer Char"/>
    <w:basedOn w:val="DefaultParagraphFont"/>
    <w:link w:val="Footer"/>
    <w:uiPriority w:val="99"/>
    <w:rsid w:val="00421B16"/>
  </w:style>
  <w:style w:type="paragraph" w:styleId="Title">
    <w:name w:val="Title"/>
    <w:basedOn w:val="Normal"/>
    <w:next w:val="Normal"/>
    <w:link w:val="TitleChar"/>
    <w:uiPriority w:val="10"/>
    <w:qFormat/>
    <w:rsid w:val="00AF2A7A"/>
    <w:pPr>
      <w:spacing w:after="0" w:line="240" w:lineRule="auto"/>
      <w:contextualSpacing/>
    </w:pPr>
    <w:rPr>
      <w:rFonts w:asciiTheme="majorHAnsi" w:eastAsiaTheme="majorEastAsia" w:hAnsiTheme="majorHAnsi" w:cstheme="majorBidi"/>
      <w:spacing w:val="-10"/>
      <w:kern w:val="28"/>
      <w:sz w:val="56"/>
      <w:szCs w:val="56"/>
      <w:lang w:val="en-AU"/>
      <w14:ligatures w14:val="standardContextual"/>
    </w:rPr>
  </w:style>
  <w:style w:type="character" w:customStyle="1" w:styleId="TitleChar">
    <w:name w:val="Title Char"/>
    <w:basedOn w:val="DefaultParagraphFont"/>
    <w:link w:val="Title"/>
    <w:uiPriority w:val="10"/>
    <w:rsid w:val="00AF2A7A"/>
    <w:rPr>
      <w:rFonts w:asciiTheme="majorHAnsi" w:eastAsiaTheme="majorEastAsia" w:hAnsiTheme="majorHAnsi" w:cstheme="majorBidi"/>
      <w:spacing w:val="-10"/>
      <w:kern w:val="28"/>
      <w:sz w:val="56"/>
      <w:szCs w:val="56"/>
    </w:rPr>
  </w:style>
  <w:style w:type="paragraph" w:styleId="ListParagraph">
    <w:name w:val="List Paragraph"/>
    <w:aliases w:val="SWA List Paragraph,Indent,Recommendation,List Paragraph1,standard lewis,List Paragraph11,List Paragraph2,Bulit List -  Paragraph,Main numbered paragraph,Numbered List Paragraph,Bullet,CV text,Dot pt,F5 List Paragraph,FooterText,L"/>
    <w:basedOn w:val="Normal"/>
    <w:link w:val="ListParagraphChar"/>
    <w:uiPriority w:val="34"/>
    <w:qFormat/>
    <w:rsid w:val="00EB698B"/>
    <w:pPr>
      <w:ind w:left="720"/>
      <w:contextualSpacing/>
    </w:pPr>
  </w:style>
  <w:style w:type="paragraph" w:customStyle="1" w:styleId="xmsonormal">
    <w:name w:val="x_msonormal"/>
    <w:basedOn w:val="Normal"/>
    <w:rsid w:val="005F35A6"/>
    <w:pPr>
      <w:spacing w:after="0" w:line="240" w:lineRule="auto"/>
    </w:pPr>
    <w:rPr>
      <w:rFonts w:ascii="Calibri" w:hAnsi="Calibri" w:cs="Calibri"/>
      <w:lang w:val="en-AU" w:eastAsia="en-AU"/>
    </w:rPr>
  </w:style>
  <w:style w:type="character" w:styleId="CommentReference">
    <w:name w:val="annotation reference"/>
    <w:basedOn w:val="DefaultParagraphFont"/>
    <w:uiPriority w:val="99"/>
    <w:semiHidden/>
    <w:unhideWhenUsed/>
    <w:rsid w:val="00F42F9A"/>
    <w:rPr>
      <w:sz w:val="16"/>
      <w:szCs w:val="16"/>
    </w:rPr>
  </w:style>
  <w:style w:type="paragraph" w:styleId="CommentText">
    <w:name w:val="annotation text"/>
    <w:basedOn w:val="Normal"/>
    <w:link w:val="CommentTextChar"/>
    <w:uiPriority w:val="99"/>
    <w:unhideWhenUsed/>
    <w:rsid w:val="00F42F9A"/>
    <w:pPr>
      <w:spacing w:line="240" w:lineRule="auto"/>
    </w:pPr>
    <w:rPr>
      <w:sz w:val="20"/>
      <w:szCs w:val="20"/>
    </w:rPr>
  </w:style>
  <w:style w:type="character" w:customStyle="1" w:styleId="CommentTextChar">
    <w:name w:val="Comment Text Char"/>
    <w:basedOn w:val="DefaultParagraphFont"/>
    <w:link w:val="CommentText"/>
    <w:uiPriority w:val="99"/>
    <w:rsid w:val="00F42F9A"/>
    <w:rPr>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F42F9A"/>
    <w:rPr>
      <w:b/>
      <w:bCs/>
    </w:rPr>
  </w:style>
  <w:style w:type="character" w:customStyle="1" w:styleId="CommentSubjectChar">
    <w:name w:val="Comment Subject Char"/>
    <w:basedOn w:val="CommentTextChar"/>
    <w:link w:val="CommentSubject"/>
    <w:uiPriority w:val="99"/>
    <w:semiHidden/>
    <w:rsid w:val="00F42F9A"/>
    <w:rPr>
      <w:b/>
      <w:bCs/>
      <w:kern w:val="0"/>
      <w:sz w:val="20"/>
      <w:szCs w:val="20"/>
      <w:lang w:val="en-GB"/>
      <w14:ligatures w14:val="none"/>
    </w:rPr>
  </w:style>
  <w:style w:type="paragraph" w:customStyle="1" w:styleId="EMfirstbullet">
    <w:name w:val="EM first bullet"/>
    <w:basedOn w:val="Normal"/>
    <w:link w:val="EMfirstbulletChar"/>
    <w:uiPriority w:val="1"/>
    <w:qFormat/>
    <w:rsid w:val="00467DD3"/>
    <w:pPr>
      <w:numPr>
        <w:numId w:val="7"/>
      </w:numPr>
    </w:pPr>
    <w:rPr>
      <w:rFonts w:eastAsiaTheme="minorEastAsia"/>
    </w:rPr>
  </w:style>
  <w:style w:type="character" w:customStyle="1" w:styleId="EMfirstbulletChar">
    <w:name w:val="EM first bullet Char"/>
    <w:basedOn w:val="DefaultParagraphFont"/>
    <w:link w:val="EMfirstbullet"/>
    <w:uiPriority w:val="1"/>
    <w:rsid w:val="00467DD3"/>
    <w:rPr>
      <w:rFonts w:ascii="Times New Roman" w:eastAsiaTheme="minorEastAsia" w:hAnsi="Times New Roman" w:cs="Times New Roman"/>
      <w:kern w:val="0"/>
      <w:sz w:val="24"/>
      <w:szCs w:val="24"/>
      <w:lang w:val="en-GB"/>
      <w14:ligatures w14:val="none"/>
    </w:rPr>
  </w:style>
  <w:style w:type="paragraph" w:customStyle="1" w:styleId="SCHRnumbers">
    <w:name w:val="SCHR numbers"/>
    <w:basedOn w:val="Normal"/>
    <w:link w:val="SCHRnumbersChar"/>
    <w:uiPriority w:val="1"/>
    <w:qFormat/>
    <w:rsid w:val="00144E54"/>
    <w:pPr>
      <w:numPr>
        <w:numId w:val="8"/>
      </w:numPr>
      <w:spacing w:after="120"/>
    </w:pPr>
  </w:style>
  <w:style w:type="character" w:customStyle="1" w:styleId="SCHRnumbersChar">
    <w:name w:val="SCHR numbers Char"/>
    <w:basedOn w:val="DefaultParagraphFont"/>
    <w:link w:val="SCHRnumbers"/>
    <w:uiPriority w:val="1"/>
    <w:rsid w:val="00144E54"/>
    <w:rPr>
      <w:kern w:val="0"/>
      <w:lang w:val="en-GB"/>
      <w14:ligatures w14:val="none"/>
    </w:rPr>
  </w:style>
  <w:style w:type="paragraph" w:styleId="Revision">
    <w:name w:val="Revision"/>
    <w:hidden/>
    <w:uiPriority w:val="99"/>
    <w:semiHidden/>
    <w:rsid w:val="000D493B"/>
    <w:pPr>
      <w:spacing w:after="0" w:line="240" w:lineRule="auto"/>
    </w:pPr>
    <w:rPr>
      <w:kern w:val="0"/>
      <w:lang w:val="en-GB"/>
      <w14:ligatures w14:val="none"/>
    </w:rPr>
  </w:style>
  <w:style w:type="table" w:styleId="TableGrid">
    <w:name w:val="Table Grid"/>
    <w:basedOn w:val="TableNormal"/>
    <w:uiPriority w:val="59"/>
    <w:rsid w:val="005864CA"/>
    <w:pPr>
      <w:spacing w:after="0" w:line="240" w:lineRule="auto"/>
    </w:pPr>
    <w:rPr>
      <w:kern w:val="0"/>
      <w:lang w:val="en-GB"/>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tedraft">
    <w:name w:val="note(draft)"/>
    <w:aliases w:val="nd"/>
    <w:basedOn w:val="Normal"/>
    <w:rsid w:val="0053414B"/>
    <w:pPr>
      <w:spacing w:before="240" w:after="0" w:line="240" w:lineRule="auto"/>
      <w:ind w:left="284" w:hanging="284"/>
    </w:pPr>
    <w:rPr>
      <w:i/>
      <w:szCs w:val="20"/>
      <w:lang w:val="en-AU" w:eastAsia="en-AU"/>
    </w:rPr>
  </w:style>
  <w:style w:type="paragraph" w:customStyle="1" w:styleId="paragraph">
    <w:name w:val="paragraph"/>
    <w:aliases w:val="a"/>
    <w:basedOn w:val="Normal"/>
    <w:rsid w:val="00AB3E3B"/>
    <w:pPr>
      <w:tabs>
        <w:tab w:val="right" w:pos="1531"/>
      </w:tabs>
      <w:spacing w:before="40" w:after="0" w:line="240" w:lineRule="auto"/>
      <w:ind w:left="1644" w:hanging="1644"/>
    </w:pPr>
    <w:rPr>
      <w:szCs w:val="20"/>
      <w:lang w:val="en-AU" w:eastAsia="en-AU"/>
    </w:rPr>
  </w:style>
  <w:style w:type="character" w:customStyle="1" w:styleId="ListParagraphChar">
    <w:name w:val="List Paragraph Char"/>
    <w:aliases w:val="SWA List Paragraph Char,Indent Char,Recommendation Char,List Paragraph1 Char,standard lewis Char,List Paragraph11 Char,List Paragraph2 Char,Bulit List -  Paragraph Char,Main numbered paragraph Char,Numbered List Paragraph Char,L Char"/>
    <w:basedOn w:val="DefaultParagraphFont"/>
    <w:link w:val="ListParagraph"/>
    <w:uiPriority w:val="34"/>
    <w:qFormat/>
    <w:rsid w:val="008F44A2"/>
    <w:rPr>
      <w:kern w:val="0"/>
      <w:lang w:val="en-GB"/>
      <w14:ligatures w14:val="none"/>
    </w:rPr>
  </w:style>
  <w:style w:type="paragraph" w:customStyle="1" w:styleId="subsection">
    <w:name w:val="subsection"/>
    <w:aliases w:val="ss"/>
    <w:basedOn w:val="Normal"/>
    <w:link w:val="subsectionChar"/>
    <w:rsid w:val="00A46454"/>
    <w:pPr>
      <w:tabs>
        <w:tab w:val="right" w:pos="1021"/>
      </w:tabs>
      <w:spacing w:before="180" w:after="0" w:line="240" w:lineRule="auto"/>
      <w:ind w:left="1134" w:hanging="1134"/>
    </w:pPr>
    <w:rPr>
      <w:szCs w:val="20"/>
      <w:lang w:val="en-AU" w:eastAsia="en-AU"/>
    </w:rPr>
  </w:style>
  <w:style w:type="character" w:customStyle="1" w:styleId="subsectionChar">
    <w:name w:val="subsection Char"/>
    <w:aliases w:val="ss Char"/>
    <w:basedOn w:val="DefaultParagraphFont"/>
    <w:link w:val="subsection"/>
    <w:locked/>
    <w:rsid w:val="00A46454"/>
    <w:rPr>
      <w:rFonts w:ascii="Times New Roman" w:eastAsia="Times New Roman" w:hAnsi="Times New Roman" w:cs="Times New Roman"/>
      <w:kern w:val="0"/>
      <w:sz w:val="24"/>
      <w:szCs w:val="20"/>
      <w:lang w:eastAsia="en-AU"/>
      <w14:ligatures w14:val="none"/>
    </w:rPr>
  </w:style>
  <w:style w:type="paragraph" w:customStyle="1" w:styleId="paragraphsub">
    <w:name w:val="paragraphsub"/>
    <w:basedOn w:val="Normal"/>
    <w:rsid w:val="00112B3C"/>
    <w:pPr>
      <w:spacing w:before="100" w:beforeAutospacing="1" w:after="100" w:afterAutospacing="1" w:line="240" w:lineRule="auto"/>
    </w:pPr>
    <w:rPr>
      <w:lang w:val="en-AU" w:eastAsia="en-AU"/>
    </w:rPr>
  </w:style>
  <w:style w:type="paragraph" w:customStyle="1" w:styleId="Definition">
    <w:name w:val="Definition"/>
    <w:aliases w:val="dd"/>
    <w:basedOn w:val="Normal"/>
    <w:rsid w:val="3E12CFA6"/>
    <w:pPr>
      <w:spacing w:before="180" w:line="240" w:lineRule="auto"/>
      <w:ind w:left="1134"/>
    </w:pPr>
    <w:rPr>
      <w:rFonts w:eastAsiaTheme="minorEastAsia"/>
      <w:lang w:eastAsia="en-AU"/>
    </w:rPr>
  </w:style>
  <w:style w:type="character" w:styleId="Hyperlink">
    <w:name w:val="Hyperlink"/>
    <w:basedOn w:val="DefaultParagraphFont"/>
    <w:uiPriority w:val="99"/>
    <w:unhideWhenUsed/>
    <w:rsid w:val="00D25289"/>
    <w:rPr>
      <w:color w:val="0563C1" w:themeColor="hyperlink"/>
      <w:u w:val="single"/>
    </w:rPr>
  </w:style>
  <w:style w:type="character" w:styleId="UnresolvedMention">
    <w:name w:val="Unresolved Mention"/>
    <w:basedOn w:val="DefaultParagraphFont"/>
    <w:uiPriority w:val="99"/>
    <w:semiHidden/>
    <w:unhideWhenUsed/>
    <w:rsid w:val="00D25289"/>
    <w:rPr>
      <w:color w:val="605E5C"/>
      <w:shd w:val="clear" w:color="auto" w:fill="E1DFDD"/>
    </w:rPr>
  </w:style>
  <w:style w:type="numbering" w:customStyle="1" w:styleId="Itemnumbering">
    <w:name w:val="Item numbering"/>
    <w:basedOn w:val="NoList"/>
    <w:uiPriority w:val="99"/>
    <w:rsid w:val="007D09CC"/>
    <w:pPr>
      <w:numPr>
        <w:numId w:val="26"/>
      </w:numPr>
    </w:pPr>
  </w:style>
  <w:style w:type="numbering" w:customStyle="1" w:styleId="Style1">
    <w:name w:val="Style1"/>
    <w:basedOn w:val="NoList"/>
    <w:uiPriority w:val="99"/>
    <w:rsid w:val="00E93234"/>
    <w:pPr>
      <w:numPr>
        <w:numId w:val="28"/>
      </w:numPr>
    </w:pPr>
  </w:style>
  <w:style w:type="paragraph" w:customStyle="1" w:styleId="Notesonclausepara">
    <w:name w:val="Notes on clause para"/>
    <w:basedOn w:val="xmsonormal"/>
    <w:qFormat/>
    <w:rsid w:val="004571CE"/>
    <w:pPr>
      <w:numPr>
        <w:numId w:val="4"/>
      </w:numPr>
      <w:spacing w:afterLines="50" w:after="50"/>
    </w:pPr>
    <w:rPr>
      <w:rFonts w:ascii="Times New Roman" w:hAnsi="Times New Roman" w:cs="Times New Roman"/>
    </w:rPr>
  </w:style>
  <w:style w:type="character" w:customStyle="1" w:styleId="Heading2Char">
    <w:name w:val="Heading 2 Char"/>
    <w:basedOn w:val="DefaultParagraphFont"/>
    <w:link w:val="Heading2"/>
    <w:uiPriority w:val="9"/>
    <w:rsid w:val="00357525"/>
    <w:rPr>
      <w:rFonts w:ascii="Times New Roman" w:hAnsi="Times New Roman"/>
      <w:b/>
      <w:kern w:val="0"/>
      <w:sz w:val="28"/>
      <w:szCs w:val="28"/>
      <w14:ligatures w14:val="none"/>
    </w:rPr>
  </w:style>
  <w:style w:type="character" w:customStyle="1" w:styleId="Heading3Char">
    <w:name w:val="Heading 3 Char"/>
    <w:basedOn w:val="DefaultParagraphFont"/>
    <w:link w:val="Heading3"/>
    <w:uiPriority w:val="9"/>
    <w:rsid w:val="008C465B"/>
    <w:rPr>
      <w:rFonts w:ascii="Times New Roman" w:hAnsi="Times New Roman"/>
      <w:b/>
      <w:kern w:val="0"/>
      <w:sz w:val="24"/>
      <w:szCs w:val="24"/>
      <w14:ligatures w14:val="none"/>
    </w:rPr>
  </w:style>
  <w:style w:type="paragraph" w:customStyle="1" w:styleId="HRCSParagraph">
    <w:name w:val="HRCS Paragraph"/>
    <w:basedOn w:val="Normal"/>
    <w:qFormat/>
    <w:rsid w:val="00FF0C81"/>
    <w:pPr>
      <w:spacing w:before="120" w:after="120" w:line="240" w:lineRule="auto"/>
    </w:pPr>
    <w:rPr>
      <w:rFonts w:eastAsiaTheme="minorHAnsi" w:cstheme="minorBidi"/>
      <w:lang w:val="en-AU"/>
    </w:rPr>
  </w:style>
  <w:style w:type="character" w:styleId="FollowedHyperlink">
    <w:name w:val="FollowedHyperlink"/>
    <w:basedOn w:val="DefaultParagraphFont"/>
    <w:uiPriority w:val="99"/>
    <w:semiHidden/>
    <w:unhideWhenUsed/>
    <w:rsid w:val="00B35B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14104">
      <w:bodyDiv w:val="1"/>
      <w:marLeft w:val="0"/>
      <w:marRight w:val="0"/>
      <w:marTop w:val="0"/>
      <w:marBottom w:val="0"/>
      <w:divBdr>
        <w:top w:val="none" w:sz="0" w:space="0" w:color="auto"/>
        <w:left w:val="none" w:sz="0" w:space="0" w:color="auto"/>
        <w:bottom w:val="none" w:sz="0" w:space="0" w:color="auto"/>
        <w:right w:val="none" w:sz="0" w:space="0" w:color="auto"/>
      </w:divBdr>
      <w:divsChild>
        <w:div w:id="913514111">
          <w:marLeft w:val="0"/>
          <w:marRight w:val="0"/>
          <w:marTop w:val="0"/>
          <w:marBottom w:val="0"/>
          <w:divBdr>
            <w:top w:val="none" w:sz="0" w:space="0" w:color="auto"/>
            <w:left w:val="none" w:sz="0" w:space="0" w:color="auto"/>
            <w:bottom w:val="none" w:sz="0" w:space="0" w:color="auto"/>
            <w:right w:val="none" w:sz="0" w:space="0" w:color="auto"/>
          </w:divBdr>
        </w:div>
        <w:div w:id="1111436224">
          <w:marLeft w:val="0"/>
          <w:marRight w:val="0"/>
          <w:marTop w:val="0"/>
          <w:marBottom w:val="0"/>
          <w:divBdr>
            <w:top w:val="none" w:sz="0" w:space="0" w:color="auto"/>
            <w:left w:val="none" w:sz="0" w:space="0" w:color="auto"/>
            <w:bottom w:val="none" w:sz="0" w:space="0" w:color="auto"/>
            <w:right w:val="none" w:sz="0" w:space="0" w:color="auto"/>
          </w:divBdr>
        </w:div>
        <w:div w:id="1373265948">
          <w:marLeft w:val="0"/>
          <w:marRight w:val="0"/>
          <w:marTop w:val="0"/>
          <w:marBottom w:val="0"/>
          <w:divBdr>
            <w:top w:val="none" w:sz="0" w:space="0" w:color="auto"/>
            <w:left w:val="none" w:sz="0" w:space="0" w:color="auto"/>
            <w:bottom w:val="none" w:sz="0" w:space="0" w:color="auto"/>
            <w:right w:val="none" w:sz="0" w:space="0" w:color="auto"/>
          </w:divBdr>
        </w:div>
        <w:div w:id="1828782234">
          <w:marLeft w:val="0"/>
          <w:marRight w:val="0"/>
          <w:marTop w:val="0"/>
          <w:marBottom w:val="0"/>
          <w:divBdr>
            <w:top w:val="none" w:sz="0" w:space="0" w:color="auto"/>
            <w:left w:val="none" w:sz="0" w:space="0" w:color="auto"/>
            <w:bottom w:val="none" w:sz="0" w:space="0" w:color="auto"/>
            <w:right w:val="none" w:sz="0" w:space="0" w:color="auto"/>
          </w:divBdr>
        </w:div>
        <w:div w:id="1943343028">
          <w:marLeft w:val="0"/>
          <w:marRight w:val="0"/>
          <w:marTop w:val="0"/>
          <w:marBottom w:val="0"/>
          <w:divBdr>
            <w:top w:val="none" w:sz="0" w:space="0" w:color="auto"/>
            <w:left w:val="none" w:sz="0" w:space="0" w:color="auto"/>
            <w:bottom w:val="none" w:sz="0" w:space="0" w:color="auto"/>
            <w:right w:val="none" w:sz="0" w:space="0" w:color="auto"/>
          </w:divBdr>
        </w:div>
        <w:div w:id="2017002279">
          <w:marLeft w:val="0"/>
          <w:marRight w:val="0"/>
          <w:marTop w:val="0"/>
          <w:marBottom w:val="0"/>
          <w:divBdr>
            <w:top w:val="none" w:sz="0" w:space="0" w:color="auto"/>
            <w:left w:val="none" w:sz="0" w:space="0" w:color="auto"/>
            <w:bottom w:val="none" w:sz="0" w:space="0" w:color="auto"/>
            <w:right w:val="none" w:sz="0" w:space="0" w:color="auto"/>
          </w:divBdr>
        </w:div>
        <w:div w:id="2110080390">
          <w:marLeft w:val="0"/>
          <w:marRight w:val="0"/>
          <w:marTop w:val="0"/>
          <w:marBottom w:val="0"/>
          <w:divBdr>
            <w:top w:val="none" w:sz="0" w:space="0" w:color="auto"/>
            <w:left w:val="none" w:sz="0" w:space="0" w:color="auto"/>
            <w:bottom w:val="none" w:sz="0" w:space="0" w:color="auto"/>
            <w:right w:val="none" w:sz="0" w:space="0" w:color="auto"/>
          </w:divBdr>
        </w:div>
      </w:divsChild>
    </w:div>
    <w:div w:id="76368344">
      <w:bodyDiv w:val="1"/>
      <w:marLeft w:val="0"/>
      <w:marRight w:val="0"/>
      <w:marTop w:val="0"/>
      <w:marBottom w:val="0"/>
      <w:divBdr>
        <w:top w:val="none" w:sz="0" w:space="0" w:color="auto"/>
        <w:left w:val="none" w:sz="0" w:space="0" w:color="auto"/>
        <w:bottom w:val="none" w:sz="0" w:space="0" w:color="auto"/>
        <w:right w:val="none" w:sz="0" w:space="0" w:color="auto"/>
      </w:divBdr>
    </w:div>
    <w:div w:id="222907668">
      <w:bodyDiv w:val="1"/>
      <w:marLeft w:val="0"/>
      <w:marRight w:val="0"/>
      <w:marTop w:val="0"/>
      <w:marBottom w:val="0"/>
      <w:divBdr>
        <w:top w:val="none" w:sz="0" w:space="0" w:color="auto"/>
        <w:left w:val="none" w:sz="0" w:space="0" w:color="auto"/>
        <w:bottom w:val="none" w:sz="0" w:space="0" w:color="auto"/>
        <w:right w:val="none" w:sz="0" w:space="0" w:color="auto"/>
      </w:divBdr>
    </w:div>
    <w:div w:id="337386588">
      <w:bodyDiv w:val="1"/>
      <w:marLeft w:val="0"/>
      <w:marRight w:val="0"/>
      <w:marTop w:val="0"/>
      <w:marBottom w:val="0"/>
      <w:divBdr>
        <w:top w:val="none" w:sz="0" w:space="0" w:color="auto"/>
        <w:left w:val="none" w:sz="0" w:space="0" w:color="auto"/>
        <w:bottom w:val="none" w:sz="0" w:space="0" w:color="auto"/>
        <w:right w:val="none" w:sz="0" w:space="0" w:color="auto"/>
      </w:divBdr>
    </w:div>
    <w:div w:id="507645224">
      <w:bodyDiv w:val="1"/>
      <w:marLeft w:val="0"/>
      <w:marRight w:val="0"/>
      <w:marTop w:val="0"/>
      <w:marBottom w:val="0"/>
      <w:divBdr>
        <w:top w:val="none" w:sz="0" w:space="0" w:color="auto"/>
        <w:left w:val="none" w:sz="0" w:space="0" w:color="auto"/>
        <w:bottom w:val="none" w:sz="0" w:space="0" w:color="auto"/>
        <w:right w:val="none" w:sz="0" w:space="0" w:color="auto"/>
      </w:divBdr>
    </w:div>
    <w:div w:id="660431959">
      <w:bodyDiv w:val="1"/>
      <w:marLeft w:val="0"/>
      <w:marRight w:val="0"/>
      <w:marTop w:val="0"/>
      <w:marBottom w:val="0"/>
      <w:divBdr>
        <w:top w:val="none" w:sz="0" w:space="0" w:color="auto"/>
        <w:left w:val="none" w:sz="0" w:space="0" w:color="auto"/>
        <w:bottom w:val="none" w:sz="0" w:space="0" w:color="auto"/>
        <w:right w:val="none" w:sz="0" w:space="0" w:color="auto"/>
      </w:divBdr>
    </w:div>
    <w:div w:id="674648719">
      <w:bodyDiv w:val="1"/>
      <w:marLeft w:val="0"/>
      <w:marRight w:val="0"/>
      <w:marTop w:val="0"/>
      <w:marBottom w:val="0"/>
      <w:divBdr>
        <w:top w:val="none" w:sz="0" w:space="0" w:color="auto"/>
        <w:left w:val="none" w:sz="0" w:space="0" w:color="auto"/>
        <w:bottom w:val="none" w:sz="0" w:space="0" w:color="auto"/>
        <w:right w:val="none" w:sz="0" w:space="0" w:color="auto"/>
      </w:divBdr>
    </w:div>
    <w:div w:id="804590675">
      <w:bodyDiv w:val="1"/>
      <w:marLeft w:val="0"/>
      <w:marRight w:val="0"/>
      <w:marTop w:val="0"/>
      <w:marBottom w:val="0"/>
      <w:divBdr>
        <w:top w:val="none" w:sz="0" w:space="0" w:color="auto"/>
        <w:left w:val="none" w:sz="0" w:space="0" w:color="auto"/>
        <w:bottom w:val="none" w:sz="0" w:space="0" w:color="auto"/>
        <w:right w:val="none" w:sz="0" w:space="0" w:color="auto"/>
      </w:divBdr>
      <w:divsChild>
        <w:div w:id="32511365">
          <w:marLeft w:val="0"/>
          <w:marRight w:val="0"/>
          <w:marTop w:val="0"/>
          <w:marBottom w:val="0"/>
          <w:divBdr>
            <w:top w:val="none" w:sz="0" w:space="0" w:color="auto"/>
            <w:left w:val="none" w:sz="0" w:space="0" w:color="auto"/>
            <w:bottom w:val="none" w:sz="0" w:space="0" w:color="auto"/>
            <w:right w:val="none" w:sz="0" w:space="0" w:color="auto"/>
          </w:divBdr>
          <w:divsChild>
            <w:div w:id="2028557952">
              <w:marLeft w:val="-225"/>
              <w:marRight w:val="-225"/>
              <w:marTop w:val="0"/>
              <w:marBottom w:val="0"/>
              <w:divBdr>
                <w:top w:val="none" w:sz="0" w:space="0" w:color="auto"/>
                <w:left w:val="none" w:sz="0" w:space="0" w:color="auto"/>
                <w:bottom w:val="none" w:sz="0" w:space="0" w:color="auto"/>
                <w:right w:val="none" w:sz="0" w:space="0" w:color="auto"/>
              </w:divBdr>
              <w:divsChild>
                <w:div w:id="16567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09210">
      <w:bodyDiv w:val="1"/>
      <w:marLeft w:val="0"/>
      <w:marRight w:val="0"/>
      <w:marTop w:val="0"/>
      <w:marBottom w:val="0"/>
      <w:divBdr>
        <w:top w:val="none" w:sz="0" w:space="0" w:color="auto"/>
        <w:left w:val="none" w:sz="0" w:space="0" w:color="auto"/>
        <w:bottom w:val="none" w:sz="0" w:space="0" w:color="auto"/>
        <w:right w:val="none" w:sz="0" w:space="0" w:color="auto"/>
      </w:divBdr>
      <w:divsChild>
        <w:div w:id="1970698043">
          <w:marLeft w:val="0"/>
          <w:marRight w:val="0"/>
          <w:marTop w:val="0"/>
          <w:marBottom w:val="0"/>
          <w:divBdr>
            <w:top w:val="none" w:sz="0" w:space="0" w:color="auto"/>
            <w:left w:val="none" w:sz="0" w:space="0" w:color="auto"/>
            <w:bottom w:val="none" w:sz="0" w:space="0" w:color="auto"/>
            <w:right w:val="none" w:sz="0" w:space="0" w:color="auto"/>
          </w:divBdr>
          <w:divsChild>
            <w:div w:id="1564020697">
              <w:marLeft w:val="-225"/>
              <w:marRight w:val="-225"/>
              <w:marTop w:val="0"/>
              <w:marBottom w:val="0"/>
              <w:divBdr>
                <w:top w:val="none" w:sz="0" w:space="0" w:color="auto"/>
                <w:left w:val="none" w:sz="0" w:space="0" w:color="auto"/>
                <w:bottom w:val="none" w:sz="0" w:space="0" w:color="auto"/>
                <w:right w:val="none" w:sz="0" w:space="0" w:color="auto"/>
              </w:divBdr>
              <w:divsChild>
                <w:div w:id="134554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914725">
      <w:bodyDiv w:val="1"/>
      <w:marLeft w:val="0"/>
      <w:marRight w:val="0"/>
      <w:marTop w:val="0"/>
      <w:marBottom w:val="0"/>
      <w:divBdr>
        <w:top w:val="none" w:sz="0" w:space="0" w:color="auto"/>
        <w:left w:val="none" w:sz="0" w:space="0" w:color="auto"/>
        <w:bottom w:val="none" w:sz="0" w:space="0" w:color="auto"/>
        <w:right w:val="none" w:sz="0" w:space="0" w:color="auto"/>
      </w:divBdr>
      <w:divsChild>
        <w:div w:id="1535803215">
          <w:marLeft w:val="0"/>
          <w:marRight w:val="0"/>
          <w:marTop w:val="0"/>
          <w:marBottom w:val="0"/>
          <w:divBdr>
            <w:top w:val="none" w:sz="0" w:space="0" w:color="auto"/>
            <w:left w:val="none" w:sz="0" w:space="0" w:color="auto"/>
            <w:bottom w:val="none" w:sz="0" w:space="0" w:color="auto"/>
            <w:right w:val="none" w:sz="0" w:space="0" w:color="auto"/>
          </w:divBdr>
        </w:div>
        <w:div w:id="2047095060">
          <w:marLeft w:val="0"/>
          <w:marRight w:val="0"/>
          <w:marTop w:val="0"/>
          <w:marBottom w:val="0"/>
          <w:divBdr>
            <w:top w:val="none" w:sz="0" w:space="0" w:color="auto"/>
            <w:left w:val="none" w:sz="0" w:space="0" w:color="auto"/>
            <w:bottom w:val="none" w:sz="0" w:space="0" w:color="auto"/>
            <w:right w:val="none" w:sz="0" w:space="0" w:color="auto"/>
          </w:divBdr>
        </w:div>
      </w:divsChild>
    </w:div>
    <w:div w:id="828860830">
      <w:bodyDiv w:val="1"/>
      <w:marLeft w:val="0"/>
      <w:marRight w:val="0"/>
      <w:marTop w:val="0"/>
      <w:marBottom w:val="0"/>
      <w:divBdr>
        <w:top w:val="none" w:sz="0" w:space="0" w:color="auto"/>
        <w:left w:val="none" w:sz="0" w:space="0" w:color="auto"/>
        <w:bottom w:val="none" w:sz="0" w:space="0" w:color="auto"/>
        <w:right w:val="none" w:sz="0" w:space="0" w:color="auto"/>
      </w:divBdr>
    </w:div>
    <w:div w:id="831220628">
      <w:bodyDiv w:val="1"/>
      <w:marLeft w:val="0"/>
      <w:marRight w:val="0"/>
      <w:marTop w:val="0"/>
      <w:marBottom w:val="0"/>
      <w:divBdr>
        <w:top w:val="none" w:sz="0" w:space="0" w:color="auto"/>
        <w:left w:val="none" w:sz="0" w:space="0" w:color="auto"/>
        <w:bottom w:val="none" w:sz="0" w:space="0" w:color="auto"/>
        <w:right w:val="none" w:sz="0" w:space="0" w:color="auto"/>
      </w:divBdr>
    </w:div>
    <w:div w:id="838734875">
      <w:bodyDiv w:val="1"/>
      <w:marLeft w:val="0"/>
      <w:marRight w:val="0"/>
      <w:marTop w:val="0"/>
      <w:marBottom w:val="0"/>
      <w:divBdr>
        <w:top w:val="none" w:sz="0" w:space="0" w:color="auto"/>
        <w:left w:val="none" w:sz="0" w:space="0" w:color="auto"/>
        <w:bottom w:val="none" w:sz="0" w:space="0" w:color="auto"/>
        <w:right w:val="none" w:sz="0" w:space="0" w:color="auto"/>
      </w:divBdr>
    </w:div>
    <w:div w:id="959259360">
      <w:bodyDiv w:val="1"/>
      <w:marLeft w:val="0"/>
      <w:marRight w:val="0"/>
      <w:marTop w:val="0"/>
      <w:marBottom w:val="0"/>
      <w:divBdr>
        <w:top w:val="none" w:sz="0" w:space="0" w:color="auto"/>
        <w:left w:val="none" w:sz="0" w:space="0" w:color="auto"/>
        <w:bottom w:val="none" w:sz="0" w:space="0" w:color="auto"/>
        <w:right w:val="none" w:sz="0" w:space="0" w:color="auto"/>
      </w:divBdr>
    </w:div>
    <w:div w:id="1092119683">
      <w:bodyDiv w:val="1"/>
      <w:marLeft w:val="0"/>
      <w:marRight w:val="0"/>
      <w:marTop w:val="0"/>
      <w:marBottom w:val="0"/>
      <w:divBdr>
        <w:top w:val="none" w:sz="0" w:space="0" w:color="auto"/>
        <w:left w:val="none" w:sz="0" w:space="0" w:color="auto"/>
        <w:bottom w:val="none" w:sz="0" w:space="0" w:color="auto"/>
        <w:right w:val="none" w:sz="0" w:space="0" w:color="auto"/>
      </w:divBdr>
    </w:div>
    <w:div w:id="1201286226">
      <w:bodyDiv w:val="1"/>
      <w:marLeft w:val="0"/>
      <w:marRight w:val="0"/>
      <w:marTop w:val="0"/>
      <w:marBottom w:val="0"/>
      <w:divBdr>
        <w:top w:val="none" w:sz="0" w:space="0" w:color="auto"/>
        <w:left w:val="none" w:sz="0" w:space="0" w:color="auto"/>
        <w:bottom w:val="none" w:sz="0" w:space="0" w:color="auto"/>
        <w:right w:val="none" w:sz="0" w:space="0" w:color="auto"/>
      </w:divBdr>
    </w:div>
    <w:div w:id="1262488254">
      <w:bodyDiv w:val="1"/>
      <w:marLeft w:val="0"/>
      <w:marRight w:val="0"/>
      <w:marTop w:val="0"/>
      <w:marBottom w:val="0"/>
      <w:divBdr>
        <w:top w:val="none" w:sz="0" w:space="0" w:color="auto"/>
        <w:left w:val="none" w:sz="0" w:space="0" w:color="auto"/>
        <w:bottom w:val="none" w:sz="0" w:space="0" w:color="auto"/>
        <w:right w:val="none" w:sz="0" w:space="0" w:color="auto"/>
      </w:divBdr>
    </w:div>
    <w:div w:id="1382554562">
      <w:bodyDiv w:val="1"/>
      <w:marLeft w:val="0"/>
      <w:marRight w:val="0"/>
      <w:marTop w:val="0"/>
      <w:marBottom w:val="0"/>
      <w:divBdr>
        <w:top w:val="none" w:sz="0" w:space="0" w:color="auto"/>
        <w:left w:val="none" w:sz="0" w:space="0" w:color="auto"/>
        <w:bottom w:val="none" w:sz="0" w:space="0" w:color="auto"/>
        <w:right w:val="none" w:sz="0" w:space="0" w:color="auto"/>
      </w:divBdr>
    </w:div>
    <w:div w:id="1417896717">
      <w:bodyDiv w:val="1"/>
      <w:marLeft w:val="0"/>
      <w:marRight w:val="0"/>
      <w:marTop w:val="0"/>
      <w:marBottom w:val="0"/>
      <w:divBdr>
        <w:top w:val="none" w:sz="0" w:space="0" w:color="auto"/>
        <w:left w:val="none" w:sz="0" w:space="0" w:color="auto"/>
        <w:bottom w:val="none" w:sz="0" w:space="0" w:color="auto"/>
        <w:right w:val="none" w:sz="0" w:space="0" w:color="auto"/>
      </w:divBdr>
    </w:div>
    <w:div w:id="1428580540">
      <w:bodyDiv w:val="1"/>
      <w:marLeft w:val="0"/>
      <w:marRight w:val="0"/>
      <w:marTop w:val="0"/>
      <w:marBottom w:val="0"/>
      <w:divBdr>
        <w:top w:val="none" w:sz="0" w:space="0" w:color="auto"/>
        <w:left w:val="none" w:sz="0" w:space="0" w:color="auto"/>
        <w:bottom w:val="none" w:sz="0" w:space="0" w:color="auto"/>
        <w:right w:val="none" w:sz="0" w:space="0" w:color="auto"/>
      </w:divBdr>
    </w:div>
    <w:div w:id="1462916314">
      <w:bodyDiv w:val="1"/>
      <w:marLeft w:val="0"/>
      <w:marRight w:val="0"/>
      <w:marTop w:val="0"/>
      <w:marBottom w:val="0"/>
      <w:divBdr>
        <w:top w:val="none" w:sz="0" w:space="0" w:color="auto"/>
        <w:left w:val="none" w:sz="0" w:space="0" w:color="auto"/>
        <w:bottom w:val="none" w:sz="0" w:space="0" w:color="auto"/>
        <w:right w:val="none" w:sz="0" w:space="0" w:color="auto"/>
      </w:divBdr>
    </w:div>
    <w:div w:id="1508866864">
      <w:bodyDiv w:val="1"/>
      <w:marLeft w:val="0"/>
      <w:marRight w:val="0"/>
      <w:marTop w:val="0"/>
      <w:marBottom w:val="0"/>
      <w:divBdr>
        <w:top w:val="none" w:sz="0" w:space="0" w:color="auto"/>
        <w:left w:val="none" w:sz="0" w:space="0" w:color="auto"/>
        <w:bottom w:val="none" w:sz="0" w:space="0" w:color="auto"/>
        <w:right w:val="none" w:sz="0" w:space="0" w:color="auto"/>
      </w:divBdr>
    </w:div>
    <w:div w:id="1511093658">
      <w:bodyDiv w:val="1"/>
      <w:marLeft w:val="0"/>
      <w:marRight w:val="0"/>
      <w:marTop w:val="0"/>
      <w:marBottom w:val="0"/>
      <w:divBdr>
        <w:top w:val="none" w:sz="0" w:space="0" w:color="auto"/>
        <w:left w:val="none" w:sz="0" w:space="0" w:color="auto"/>
        <w:bottom w:val="none" w:sz="0" w:space="0" w:color="auto"/>
        <w:right w:val="none" w:sz="0" w:space="0" w:color="auto"/>
      </w:divBdr>
      <w:divsChild>
        <w:div w:id="107549866">
          <w:marLeft w:val="0"/>
          <w:marRight w:val="0"/>
          <w:marTop w:val="0"/>
          <w:marBottom w:val="0"/>
          <w:divBdr>
            <w:top w:val="none" w:sz="0" w:space="0" w:color="auto"/>
            <w:left w:val="none" w:sz="0" w:space="0" w:color="auto"/>
            <w:bottom w:val="none" w:sz="0" w:space="0" w:color="auto"/>
            <w:right w:val="none" w:sz="0" w:space="0" w:color="auto"/>
          </w:divBdr>
        </w:div>
        <w:div w:id="2079549688">
          <w:marLeft w:val="0"/>
          <w:marRight w:val="0"/>
          <w:marTop w:val="0"/>
          <w:marBottom w:val="0"/>
          <w:divBdr>
            <w:top w:val="none" w:sz="0" w:space="0" w:color="auto"/>
            <w:left w:val="none" w:sz="0" w:space="0" w:color="auto"/>
            <w:bottom w:val="none" w:sz="0" w:space="0" w:color="auto"/>
            <w:right w:val="none" w:sz="0" w:space="0" w:color="auto"/>
          </w:divBdr>
        </w:div>
      </w:divsChild>
    </w:div>
    <w:div w:id="1573731887">
      <w:bodyDiv w:val="1"/>
      <w:marLeft w:val="0"/>
      <w:marRight w:val="0"/>
      <w:marTop w:val="0"/>
      <w:marBottom w:val="0"/>
      <w:divBdr>
        <w:top w:val="none" w:sz="0" w:space="0" w:color="auto"/>
        <w:left w:val="none" w:sz="0" w:space="0" w:color="auto"/>
        <w:bottom w:val="none" w:sz="0" w:space="0" w:color="auto"/>
        <w:right w:val="none" w:sz="0" w:space="0" w:color="auto"/>
      </w:divBdr>
      <w:divsChild>
        <w:div w:id="408426423">
          <w:marLeft w:val="0"/>
          <w:marRight w:val="0"/>
          <w:marTop w:val="0"/>
          <w:marBottom w:val="0"/>
          <w:divBdr>
            <w:top w:val="none" w:sz="0" w:space="0" w:color="auto"/>
            <w:left w:val="none" w:sz="0" w:space="0" w:color="auto"/>
            <w:bottom w:val="none" w:sz="0" w:space="0" w:color="auto"/>
            <w:right w:val="none" w:sz="0" w:space="0" w:color="auto"/>
          </w:divBdr>
        </w:div>
        <w:div w:id="599218827">
          <w:marLeft w:val="0"/>
          <w:marRight w:val="0"/>
          <w:marTop w:val="0"/>
          <w:marBottom w:val="0"/>
          <w:divBdr>
            <w:top w:val="none" w:sz="0" w:space="0" w:color="auto"/>
            <w:left w:val="none" w:sz="0" w:space="0" w:color="auto"/>
            <w:bottom w:val="none" w:sz="0" w:space="0" w:color="auto"/>
            <w:right w:val="none" w:sz="0" w:space="0" w:color="auto"/>
          </w:divBdr>
        </w:div>
      </w:divsChild>
    </w:div>
    <w:div w:id="1583447085">
      <w:bodyDiv w:val="1"/>
      <w:marLeft w:val="0"/>
      <w:marRight w:val="0"/>
      <w:marTop w:val="0"/>
      <w:marBottom w:val="0"/>
      <w:divBdr>
        <w:top w:val="none" w:sz="0" w:space="0" w:color="auto"/>
        <w:left w:val="none" w:sz="0" w:space="0" w:color="auto"/>
        <w:bottom w:val="none" w:sz="0" w:space="0" w:color="auto"/>
        <w:right w:val="none" w:sz="0" w:space="0" w:color="auto"/>
      </w:divBdr>
      <w:divsChild>
        <w:div w:id="40134282">
          <w:marLeft w:val="0"/>
          <w:marRight w:val="0"/>
          <w:marTop w:val="0"/>
          <w:marBottom w:val="0"/>
          <w:divBdr>
            <w:top w:val="none" w:sz="0" w:space="0" w:color="auto"/>
            <w:left w:val="none" w:sz="0" w:space="0" w:color="auto"/>
            <w:bottom w:val="none" w:sz="0" w:space="0" w:color="auto"/>
            <w:right w:val="none" w:sz="0" w:space="0" w:color="auto"/>
          </w:divBdr>
        </w:div>
        <w:div w:id="618537079">
          <w:marLeft w:val="0"/>
          <w:marRight w:val="0"/>
          <w:marTop w:val="0"/>
          <w:marBottom w:val="0"/>
          <w:divBdr>
            <w:top w:val="none" w:sz="0" w:space="0" w:color="auto"/>
            <w:left w:val="none" w:sz="0" w:space="0" w:color="auto"/>
            <w:bottom w:val="none" w:sz="0" w:space="0" w:color="auto"/>
            <w:right w:val="none" w:sz="0" w:space="0" w:color="auto"/>
          </w:divBdr>
        </w:div>
        <w:div w:id="725641849">
          <w:marLeft w:val="0"/>
          <w:marRight w:val="0"/>
          <w:marTop w:val="0"/>
          <w:marBottom w:val="0"/>
          <w:divBdr>
            <w:top w:val="none" w:sz="0" w:space="0" w:color="auto"/>
            <w:left w:val="none" w:sz="0" w:space="0" w:color="auto"/>
            <w:bottom w:val="none" w:sz="0" w:space="0" w:color="auto"/>
            <w:right w:val="none" w:sz="0" w:space="0" w:color="auto"/>
          </w:divBdr>
        </w:div>
        <w:div w:id="1102646073">
          <w:marLeft w:val="0"/>
          <w:marRight w:val="0"/>
          <w:marTop w:val="0"/>
          <w:marBottom w:val="0"/>
          <w:divBdr>
            <w:top w:val="none" w:sz="0" w:space="0" w:color="auto"/>
            <w:left w:val="none" w:sz="0" w:space="0" w:color="auto"/>
            <w:bottom w:val="none" w:sz="0" w:space="0" w:color="auto"/>
            <w:right w:val="none" w:sz="0" w:space="0" w:color="auto"/>
          </w:divBdr>
        </w:div>
        <w:div w:id="1487433293">
          <w:marLeft w:val="0"/>
          <w:marRight w:val="0"/>
          <w:marTop w:val="0"/>
          <w:marBottom w:val="0"/>
          <w:divBdr>
            <w:top w:val="none" w:sz="0" w:space="0" w:color="auto"/>
            <w:left w:val="none" w:sz="0" w:space="0" w:color="auto"/>
            <w:bottom w:val="none" w:sz="0" w:space="0" w:color="auto"/>
            <w:right w:val="none" w:sz="0" w:space="0" w:color="auto"/>
          </w:divBdr>
        </w:div>
        <w:div w:id="1646739716">
          <w:marLeft w:val="0"/>
          <w:marRight w:val="0"/>
          <w:marTop w:val="0"/>
          <w:marBottom w:val="0"/>
          <w:divBdr>
            <w:top w:val="none" w:sz="0" w:space="0" w:color="auto"/>
            <w:left w:val="none" w:sz="0" w:space="0" w:color="auto"/>
            <w:bottom w:val="none" w:sz="0" w:space="0" w:color="auto"/>
            <w:right w:val="none" w:sz="0" w:space="0" w:color="auto"/>
          </w:divBdr>
        </w:div>
        <w:div w:id="1930888004">
          <w:marLeft w:val="0"/>
          <w:marRight w:val="0"/>
          <w:marTop w:val="0"/>
          <w:marBottom w:val="0"/>
          <w:divBdr>
            <w:top w:val="none" w:sz="0" w:space="0" w:color="auto"/>
            <w:left w:val="none" w:sz="0" w:space="0" w:color="auto"/>
            <w:bottom w:val="none" w:sz="0" w:space="0" w:color="auto"/>
            <w:right w:val="none" w:sz="0" w:space="0" w:color="auto"/>
          </w:divBdr>
        </w:div>
      </w:divsChild>
    </w:div>
    <w:div w:id="1636446056">
      <w:bodyDiv w:val="1"/>
      <w:marLeft w:val="0"/>
      <w:marRight w:val="0"/>
      <w:marTop w:val="0"/>
      <w:marBottom w:val="0"/>
      <w:divBdr>
        <w:top w:val="none" w:sz="0" w:space="0" w:color="auto"/>
        <w:left w:val="none" w:sz="0" w:space="0" w:color="auto"/>
        <w:bottom w:val="none" w:sz="0" w:space="0" w:color="auto"/>
        <w:right w:val="none" w:sz="0" w:space="0" w:color="auto"/>
      </w:divBdr>
    </w:div>
    <w:div w:id="1731806292">
      <w:bodyDiv w:val="1"/>
      <w:marLeft w:val="0"/>
      <w:marRight w:val="0"/>
      <w:marTop w:val="0"/>
      <w:marBottom w:val="0"/>
      <w:divBdr>
        <w:top w:val="none" w:sz="0" w:space="0" w:color="auto"/>
        <w:left w:val="none" w:sz="0" w:space="0" w:color="auto"/>
        <w:bottom w:val="none" w:sz="0" w:space="0" w:color="auto"/>
        <w:right w:val="none" w:sz="0" w:space="0" w:color="auto"/>
      </w:divBdr>
    </w:div>
    <w:div w:id="1750272441">
      <w:bodyDiv w:val="1"/>
      <w:marLeft w:val="0"/>
      <w:marRight w:val="0"/>
      <w:marTop w:val="0"/>
      <w:marBottom w:val="0"/>
      <w:divBdr>
        <w:top w:val="none" w:sz="0" w:space="0" w:color="auto"/>
        <w:left w:val="none" w:sz="0" w:space="0" w:color="auto"/>
        <w:bottom w:val="none" w:sz="0" w:space="0" w:color="auto"/>
        <w:right w:val="none" w:sz="0" w:space="0" w:color="auto"/>
      </w:divBdr>
      <w:divsChild>
        <w:div w:id="1179926812">
          <w:marLeft w:val="0"/>
          <w:marRight w:val="0"/>
          <w:marTop w:val="0"/>
          <w:marBottom w:val="0"/>
          <w:divBdr>
            <w:top w:val="none" w:sz="0" w:space="0" w:color="auto"/>
            <w:left w:val="none" w:sz="0" w:space="0" w:color="auto"/>
            <w:bottom w:val="none" w:sz="0" w:space="0" w:color="auto"/>
            <w:right w:val="none" w:sz="0" w:space="0" w:color="auto"/>
          </w:divBdr>
        </w:div>
        <w:div w:id="2094277100">
          <w:marLeft w:val="0"/>
          <w:marRight w:val="0"/>
          <w:marTop w:val="0"/>
          <w:marBottom w:val="0"/>
          <w:divBdr>
            <w:top w:val="none" w:sz="0" w:space="0" w:color="auto"/>
            <w:left w:val="none" w:sz="0" w:space="0" w:color="auto"/>
            <w:bottom w:val="none" w:sz="0" w:space="0" w:color="auto"/>
            <w:right w:val="none" w:sz="0" w:space="0" w:color="auto"/>
          </w:divBdr>
        </w:div>
      </w:divsChild>
    </w:div>
    <w:div w:id="1763335284">
      <w:bodyDiv w:val="1"/>
      <w:marLeft w:val="0"/>
      <w:marRight w:val="0"/>
      <w:marTop w:val="0"/>
      <w:marBottom w:val="0"/>
      <w:divBdr>
        <w:top w:val="none" w:sz="0" w:space="0" w:color="auto"/>
        <w:left w:val="none" w:sz="0" w:space="0" w:color="auto"/>
        <w:bottom w:val="none" w:sz="0" w:space="0" w:color="auto"/>
        <w:right w:val="none" w:sz="0" w:space="0" w:color="auto"/>
      </w:divBdr>
    </w:div>
    <w:div w:id="1793405919">
      <w:bodyDiv w:val="1"/>
      <w:marLeft w:val="0"/>
      <w:marRight w:val="0"/>
      <w:marTop w:val="0"/>
      <w:marBottom w:val="0"/>
      <w:divBdr>
        <w:top w:val="none" w:sz="0" w:space="0" w:color="auto"/>
        <w:left w:val="none" w:sz="0" w:space="0" w:color="auto"/>
        <w:bottom w:val="none" w:sz="0" w:space="0" w:color="auto"/>
        <w:right w:val="none" w:sz="0" w:space="0" w:color="auto"/>
      </w:divBdr>
    </w:div>
    <w:div w:id="1829320106">
      <w:bodyDiv w:val="1"/>
      <w:marLeft w:val="0"/>
      <w:marRight w:val="0"/>
      <w:marTop w:val="0"/>
      <w:marBottom w:val="0"/>
      <w:divBdr>
        <w:top w:val="none" w:sz="0" w:space="0" w:color="auto"/>
        <w:left w:val="none" w:sz="0" w:space="0" w:color="auto"/>
        <w:bottom w:val="none" w:sz="0" w:space="0" w:color="auto"/>
        <w:right w:val="none" w:sz="0" w:space="0" w:color="auto"/>
      </w:divBdr>
    </w:div>
    <w:div w:id="1847480675">
      <w:bodyDiv w:val="1"/>
      <w:marLeft w:val="0"/>
      <w:marRight w:val="0"/>
      <w:marTop w:val="0"/>
      <w:marBottom w:val="0"/>
      <w:divBdr>
        <w:top w:val="none" w:sz="0" w:space="0" w:color="auto"/>
        <w:left w:val="none" w:sz="0" w:space="0" w:color="auto"/>
        <w:bottom w:val="none" w:sz="0" w:space="0" w:color="auto"/>
        <w:right w:val="none" w:sz="0" w:space="0" w:color="auto"/>
      </w:divBdr>
    </w:div>
    <w:div w:id="185198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C694D-8774-49E6-9DA8-FAA8634C3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3534</Words>
  <Characters>20145</Characters>
  <Application>Microsoft Office Word</Application>
  <DocSecurity>0</DocSecurity>
  <Lines>167</Lines>
  <Paragraphs>47</Paragraphs>
  <ScaleCrop>false</ScaleCrop>
  <Company/>
  <LinksUpToDate>false</LinksUpToDate>
  <CharactersWithSpaces>23632</CharactersWithSpaces>
  <SharedDoc>false</SharedDoc>
  <HLinks>
    <vt:vector size="18" baseType="variant">
      <vt:variant>
        <vt:i4>6815858</vt:i4>
      </vt:variant>
      <vt:variant>
        <vt:i4>6</vt:i4>
      </vt:variant>
      <vt:variant>
        <vt:i4>0</vt:i4>
      </vt:variant>
      <vt:variant>
        <vt:i4>5</vt:i4>
      </vt:variant>
      <vt:variant>
        <vt:lpwstr>https://www.who.int/news-room/fact-sheets/detail/lead-poisoning-and-health</vt:lpwstr>
      </vt:variant>
      <vt:variant>
        <vt:lpwstr/>
      </vt:variant>
      <vt:variant>
        <vt:i4>7143522</vt:i4>
      </vt:variant>
      <vt:variant>
        <vt:i4>3</vt:i4>
      </vt:variant>
      <vt:variant>
        <vt:i4>0</vt:i4>
      </vt:variant>
      <vt:variant>
        <vt:i4>5</vt:i4>
      </vt:variant>
      <vt:variant>
        <vt:lpwstr>https://www.safeworkaustralia.gov.au/sites/default/files/2021-11/decision-regulation-impact-statement-managing-risks-associated-with-lead-in-the-workplace.pdf</vt:lpwstr>
      </vt:variant>
      <vt:variant>
        <vt:lpwstr/>
      </vt:variant>
      <vt:variant>
        <vt:i4>7143522</vt:i4>
      </vt:variant>
      <vt:variant>
        <vt:i4>0</vt:i4>
      </vt:variant>
      <vt:variant>
        <vt:i4>0</vt:i4>
      </vt:variant>
      <vt:variant>
        <vt:i4>5</vt:i4>
      </vt:variant>
      <vt:variant>
        <vt:lpwstr>https://www.safeworkaustralia.gov.au/sites/default/files/2021-11/decision-regulation-impact-statement-managing-risks-associated-with-lead-in-the-workplace.pdf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2025-03-24T02:42:00Z</dcterms:created>
  <dcterms:modified xsi:type="dcterms:W3CDTF">2025-03-24T02:42:00Z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2025-03-24T02:42:12Z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d61c4329-3997-4277-9772-43e988b4a978</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