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50C4D" w14:textId="77777777" w:rsidR="00F65B6D" w:rsidRPr="003240D3" w:rsidRDefault="0057002B" w:rsidP="00A36C37">
      <w:pPr>
        <w:pStyle w:val="ESTitleHeader"/>
        <w:spacing w:before="120"/>
        <w:rPr>
          <w:b/>
        </w:rPr>
      </w:pPr>
      <w:bookmarkStart w:id="0" w:name="_GoBack"/>
      <w:bookmarkEnd w:id="0"/>
      <w:r w:rsidRPr="003240D3">
        <w:rPr>
          <w:b/>
        </w:rPr>
        <w:t>EXPLANATORY STATEMENT</w:t>
      </w:r>
    </w:p>
    <w:p w14:paraId="1DA5C9A1" w14:textId="77777777" w:rsidR="0057002B" w:rsidRPr="006309B1" w:rsidRDefault="0057002B" w:rsidP="00A36C37">
      <w:pPr>
        <w:pStyle w:val="ESTitleDecisionMaker"/>
        <w:spacing w:before="120"/>
      </w:pPr>
      <w:r w:rsidRPr="006309B1">
        <w:t xml:space="preserve">Issued by </w:t>
      </w:r>
      <w:r w:rsidR="000A1290">
        <w:t xml:space="preserve">the Minister for Immigration and Multicultural Affairs </w:t>
      </w:r>
    </w:p>
    <w:p w14:paraId="7C34EF4A" w14:textId="77777777" w:rsidR="0057002B" w:rsidRPr="006309B1" w:rsidRDefault="00B315E2" w:rsidP="00A36C37">
      <w:pPr>
        <w:pStyle w:val="ESTitleEnablingLegislation"/>
        <w:spacing w:before="120"/>
      </w:pPr>
      <w:r w:rsidRPr="006309B1">
        <w:t>Migration Regulations 1994</w:t>
      </w:r>
    </w:p>
    <w:p w14:paraId="15CCE6DE" w14:textId="77777777" w:rsidR="0057002B" w:rsidRPr="006309B1" w:rsidRDefault="00227F68" w:rsidP="00A36C37">
      <w:pPr>
        <w:pStyle w:val="ESTitleInstrumentName"/>
        <w:rPr>
          <w:b w:val="0"/>
          <w:i w:val="0"/>
        </w:rPr>
      </w:pPr>
      <w:r w:rsidRPr="00227F68">
        <w:t>Migration (</w:t>
      </w:r>
      <w:r w:rsidR="000A1290">
        <w:t>Class of Persons for Nil VAC for</w:t>
      </w:r>
      <w:r w:rsidR="001A3CA3">
        <w:t xml:space="preserve"> Subclass 600</w:t>
      </w:r>
      <w:r w:rsidR="000A1290">
        <w:t xml:space="preserve"> </w:t>
      </w:r>
      <w:r w:rsidR="001A3CA3">
        <w:t>(</w:t>
      </w:r>
      <w:r w:rsidR="000A1290">
        <w:t>Visitor</w:t>
      </w:r>
      <w:r w:rsidR="001A3CA3">
        <w:t>)</w:t>
      </w:r>
      <w:r w:rsidR="003E177B">
        <w:t xml:space="preserve"> Visa Applications</w:t>
      </w:r>
      <w:r w:rsidR="003E177B" w:rsidRPr="00B434A2">
        <w:t>—</w:t>
      </w:r>
      <w:r w:rsidR="000A1290">
        <w:t xml:space="preserve">Pacific Australia Card Holders) </w:t>
      </w:r>
      <w:r w:rsidRPr="00227F68">
        <w:t xml:space="preserve">Specification </w:t>
      </w:r>
      <w:r w:rsidR="000A1290">
        <w:t>2025</w:t>
      </w:r>
    </w:p>
    <w:p w14:paraId="70C18539" w14:textId="23F1815E" w:rsidR="0057002B" w:rsidRPr="006309B1" w:rsidRDefault="0057002B" w:rsidP="00A36C37">
      <w:pPr>
        <w:pStyle w:val="ESPara"/>
        <w:numPr>
          <w:ilvl w:val="0"/>
          <w:numId w:val="0"/>
        </w:numPr>
      </w:pPr>
      <w:r w:rsidRPr="006309B1">
        <w:t>The instrume</w:t>
      </w:r>
      <w:r w:rsidR="00B315E2" w:rsidRPr="006309B1">
        <w:t>nt</w:t>
      </w:r>
      <w:r w:rsidR="00E210AE">
        <w:t xml:space="preserve"> (</w:t>
      </w:r>
      <w:r w:rsidR="00227F68">
        <w:t>d</w:t>
      </w:r>
      <w:r w:rsidR="00227F68" w:rsidRPr="006309B1">
        <w:t xml:space="preserve">epartmental </w:t>
      </w:r>
      <w:r w:rsidR="00B315E2" w:rsidRPr="006309B1">
        <w:t>reference LIN</w:t>
      </w:r>
      <w:r w:rsidR="00DE6E87" w:rsidRPr="006309B1">
        <w:t> </w:t>
      </w:r>
      <w:r w:rsidR="000A1290">
        <w:t>25/007</w:t>
      </w:r>
      <w:r w:rsidR="00E210AE">
        <w:t>)</w:t>
      </w:r>
      <w:r w:rsidR="00B315E2" w:rsidRPr="006309B1">
        <w:t xml:space="preserve"> is made under </w:t>
      </w:r>
      <w:r w:rsidR="00E16347" w:rsidRPr="002C59D6">
        <w:t>subpa</w:t>
      </w:r>
      <w:r w:rsidR="00E16347">
        <w:t>ragraph 1236(2)(a)(iv)</w:t>
      </w:r>
      <w:r w:rsidRPr="006309B1">
        <w:t xml:space="preserve"> of </w:t>
      </w:r>
      <w:r w:rsidR="00227F68">
        <w:t xml:space="preserve">Schedule </w:t>
      </w:r>
      <w:r w:rsidR="00E16347">
        <w:t>1</w:t>
      </w:r>
      <w:r w:rsidR="00227F68">
        <w:t xml:space="preserve"> to </w:t>
      </w:r>
      <w:r w:rsidRPr="006309B1">
        <w:t xml:space="preserve">the </w:t>
      </w:r>
      <w:r w:rsidRPr="006309B1">
        <w:rPr>
          <w:i/>
        </w:rPr>
        <w:t>Migration Regulations 1994</w:t>
      </w:r>
      <w:r w:rsidR="00B315E2" w:rsidRPr="006309B1">
        <w:t xml:space="preserve"> (the Migration Regulations)</w:t>
      </w:r>
      <w:r w:rsidR="00E210AE">
        <w:t>, and for the purposes of that subparagraph</w:t>
      </w:r>
      <w:r w:rsidR="00B315E2" w:rsidRPr="006309B1">
        <w:t xml:space="preserve">. </w:t>
      </w:r>
    </w:p>
    <w:p w14:paraId="4B20CCD9" w14:textId="77777777" w:rsidR="00BD598E" w:rsidRPr="006309B1" w:rsidRDefault="00B315E2" w:rsidP="00A36C37">
      <w:pPr>
        <w:pStyle w:val="ESPara"/>
        <w:numPr>
          <w:ilvl w:val="0"/>
          <w:numId w:val="0"/>
        </w:numPr>
      </w:pPr>
      <w:r w:rsidRPr="006309B1">
        <w:t xml:space="preserve">The instrument commences </w:t>
      </w:r>
      <w:r w:rsidR="002C59D6" w:rsidRPr="00E033D3">
        <w:t>on 22 March 2025</w:t>
      </w:r>
      <w:r w:rsidR="00227F68" w:rsidRPr="00E724A4">
        <w:t>.</w:t>
      </w:r>
      <w:r w:rsidR="00227F68">
        <w:t xml:space="preserve"> It</w:t>
      </w:r>
      <w:r w:rsidR="00AA4557" w:rsidRPr="006309B1">
        <w:t xml:space="preserve"> i</w:t>
      </w:r>
      <w:r w:rsidR="00BD598E" w:rsidRPr="006309B1">
        <w:t xml:space="preserve">s a </w:t>
      </w:r>
      <w:r w:rsidR="00AA4557" w:rsidRPr="006309B1">
        <w:t>legislative</w:t>
      </w:r>
      <w:r w:rsidR="00BD598E" w:rsidRPr="006309B1">
        <w:t xml:space="preserve"> instrument for </w:t>
      </w:r>
      <w:r w:rsidR="00B75478" w:rsidRPr="006309B1">
        <w:t xml:space="preserve">the </w:t>
      </w:r>
      <w:r w:rsidR="00227F68">
        <w:t xml:space="preserve">purposes of the </w:t>
      </w:r>
      <w:r w:rsidR="00100DFC" w:rsidRPr="006309B1">
        <w:rPr>
          <w:i/>
        </w:rPr>
        <w:t>Legislation Act 2003</w:t>
      </w:r>
      <w:r w:rsidR="00100DFC" w:rsidRPr="006309B1">
        <w:t xml:space="preserve"> (the Legislation Act)</w:t>
      </w:r>
      <w:r w:rsidR="00BD598E" w:rsidRPr="006309B1">
        <w:t>.</w:t>
      </w:r>
    </w:p>
    <w:p w14:paraId="445F8576" w14:textId="77777777" w:rsidR="00B315E2" w:rsidRPr="00BC37E4" w:rsidRDefault="00BD598E" w:rsidP="00A36C37">
      <w:pPr>
        <w:pStyle w:val="ESHeading"/>
      </w:pPr>
      <w:r w:rsidRPr="006309B1">
        <w:t>Purpose</w:t>
      </w:r>
      <w:r w:rsidR="00BB0CF2" w:rsidRPr="006309B1">
        <w:t xml:space="preserve"> </w:t>
      </w:r>
    </w:p>
    <w:p w14:paraId="1F8FD789" w14:textId="77777777" w:rsidR="008E0302" w:rsidRPr="002C59D6" w:rsidRDefault="008E0302" w:rsidP="008E0302">
      <w:pPr>
        <w:pStyle w:val="ESSubparaList"/>
        <w:numPr>
          <w:ilvl w:val="0"/>
          <w:numId w:val="0"/>
        </w:numPr>
      </w:pPr>
      <w:r w:rsidRPr="002C59D6">
        <w:t>Subparagraph 1236(2)(a)(iv) of Schedule 1 to the Migration Regulations provides that in relation to an application for</w:t>
      </w:r>
      <w:r w:rsidR="00152FA4">
        <w:t xml:space="preserve"> </w:t>
      </w:r>
      <w:r w:rsidR="00C7664D">
        <w:t>a</w:t>
      </w:r>
      <w:r w:rsidRPr="002C59D6">
        <w:t xml:space="preserve"> Subclass 600 (Visitor) visa (Subclass 600 visa)</w:t>
      </w:r>
      <w:r w:rsidR="00745DEA">
        <w:t>,</w:t>
      </w:r>
      <w:r w:rsidRPr="002C59D6">
        <w:t xml:space="preserve"> </w:t>
      </w:r>
      <w:r w:rsidR="00E16347">
        <w:t>that</w:t>
      </w:r>
      <w:r w:rsidR="00E16347" w:rsidRPr="002C59D6">
        <w:t xml:space="preserve"> </w:t>
      </w:r>
      <w:r w:rsidRPr="002C59D6">
        <w:t xml:space="preserve">is not in the </w:t>
      </w:r>
      <w:r w:rsidR="00E16347">
        <w:t>F</w:t>
      </w:r>
      <w:r w:rsidRPr="002C59D6">
        <w:t>requent Traveller stream</w:t>
      </w:r>
      <w:r w:rsidR="00C7664D">
        <w:t>,</w:t>
      </w:r>
      <w:r w:rsidRPr="002C59D6">
        <w:t xml:space="preserve"> </w:t>
      </w:r>
      <w:r w:rsidR="00E16347" w:rsidRPr="00E16347">
        <w:t>the first instalment of the visa application charge (VAC)</w:t>
      </w:r>
      <w:r w:rsidR="00E16347">
        <w:t xml:space="preserve"> for</w:t>
      </w:r>
      <w:r w:rsidR="00E16347" w:rsidRPr="00E16347">
        <w:t xml:space="preserve"> </w:t>
      </w:r>
      <w:r w:rsidR="00E16347">
        <w:t>an</w:t>
      </w:r>
      <w:r w:rsidR="00E16347" w:rsidRPr="00E16347">
        <w:t xml:space="preserve"> applicant </w:t>
      </w:r>
      <w:r w:rsidR="00E16347">
        <w:t xml:space="preserve">who </w:t>
      </w:r>
      <w:r w:rsidR="00E16347" w:rsidRPr="00E16347">
        <w:t xml:space="preserve">is in a class of persons specified by the Minister, </w:t>
      </w:r>
      <w:r w:rsidRPr="002C59D6">
        <w:t>is nil.</w:t>
      </w:r>
    </w:p>
    <w:p w14:paraId="6C4C6A2C" w14:textId="1FFA71FB" w:rsidR="006D2DF3" w:rsidRDefault="001A0C0C" w:rsidP="008E0302">
      <w:pPr>
        <w:pStyle w:val="ESSubparaList"/>
        <w:numPr>
          <w:ilvl w:val="0"/>
          <w:numId w:val="0"/>
        </w:numPr>
      </w:pPr>
      <w:r w:rsidRPr="002C59D6">
        <w:t xml:space="preserve">The purpose of the instrument is to specify the class of persons for whom the amount of the first instalment of </w:t>
      </w:r>
      <w:r w:rsidR="00C7664D">
        <w:t xml:space="preserve">the </w:t>
      </w:r>
      <w:r w:rsidRPr="002C59D6">
        <w:t>VAC is nil, under subpa</w:t>
      </w:r>
      <w:r w:rsidR="002B0B8C" w:rsidRPr="002C59D6">
        <w:t>ragraph 1236(2)(a)(iv) of Schedule 1 to the Migration Regulation</w:t>
      </w:r>
      <w:r w:rsidR="00405294">
        <w:t>s</w:t>
      </w:r>
      <w:r w:rsidR="002B0B8C" w:rsidRPr="002C59D6">
        <w:t xml:space="preserve">. </w:t>
      </w:r>
      <w:r w:rsidR="00405294">
        <w:t xml:space="preserve">Section 5 of the instrument provides that a person </w:t>
      </w:r>
      <w:r w:rsidR="00E210AE">
        <w:t xml:space="preserve">(the applicant) </w:t>
      </w:r>
      <w:r w:rsidR="00981A79">
        <w:t>is specified if they</w:t>
      </w:r>
      <w:r w:rsidR="006D2DF3">
        <w:t>:</w:t>
      </w:r>
    </w:p>
    <w:p w14:paraId="4A921E28" w14:textId="77777777" w:rsidR="006D2DF3" w:rsidRDefault="00981A79" w:rsidP="003F0979">
      <w:pPr>
        <w:pStyle w:val="ESSubparaList"/>
        <w:numPr>
          <w:ilvl w:val="0"/>
          <w:numId w:val="11"/>
        </w:numPr>
      </w:pPr>
      <w:r>
        <w:t>hold</w:t>
      </w:r>
      <w:r w:rsidR="006D2DF3">
        <w:t xml:space="preserve"> a valid Pacific Australia Card; and</w:t>
      </w:r>
    </w:p>
    <w:p w14:paraId="629BCE41" w14:textId="77777777" w:rsidR="00981A79" w:rsidRDefault="006D2DF3" w:rsidP="003F0979">
      <w:pPr>
        <w:pStyle w:val="ESSubparaList"/>
        <w:numPr>
          <w:ilvl w:val="0"/>
          <w:numId w:val="11"/>
        </w:numPr>
      </w:pPr>
      <w:r>
        <w:t>seek to be granted a Subclass 600 (Visitor) visa in either the Tourist stream or the Business</w:t>
      </w:r>
      <w:r w:rsidR="00981A79">
        <w:t xml:space="preserve"> Visitor</w:t>
      </w:r>
      <w:r>
        <w:t xml:space="preserve"> stream</w:t>
      </w:r>
      <w:r w:rsidR="00981A79">
        <w:t xml:space="preserve"> as set out in Schedule 2 to the Migration Regulations; and</w:t>
      </w:r>
    </w:p>
    <w:p w14:paraId="0E4478C5" w14:textId="77777777" w:rsidR="00981A79" w:rsidRDefault="00981A79" w:rsidP="00981A79">
      <w:pPr>
        <w:pStyle w:val="ESSubparaList"/>
        <w:numPr>
          <w:ilvl w:val="0"/>
          <w:numId w:val="11"/>
        </w:numPr>
      </w:pPr>
      <w:r>
        <w:t>are outside Australia at the time of application</w:t>
      </w:r>
      <w:r w:rsidR="003E177B">
        <w:t>.</w:t>
      </w:r>
    </w:p>
    <w:p w14:paraId="73D9D948" w14:textId="5F32A7DF" w:rsidR="00473A70" w:rsidRDefault="00473A70" w:rsidP="008E0302">
      <w:pPr>
        <w:pStyle w:val="ESSubparaList"/>
        <w:numPr>
          <w:ilvl w:val="0"/>
          <w:numId w:val="0"/>
        </w:numPr>
      </w:pPr>
      <w:r w:rsidRPr="002A6B9A">
        <w:t xml:space="preserve">The Australian Government, through the Department of Foreign Affairs and Trade, issue invitations </w:t>
      </w:r>
      <w:r>
        <w:t xml:space="preserve">for a Pacific Australia Card (PAC) </w:t>
      </w:r>
      <w:r w:rsidRPr="002A6B9A">
        <w:t xml:space="preserve">to key leaders in a range of fields, from Pacific Island </w:t>
      </w:r>
      <w:r>
        <w:t xml:space="preserve">Forum </w:t>
      </w:r>
      <w:r w:rsidRPr="002A6B9A">
        <w:t xml:space="preserve">countries </w:t>
      </w:r>
      <w:r>
        <w:t xml:space="preserve">and territories (not including New Zealand) </w:t>
      </w:r>
      <w:r w:rsidRPr="002A6B9A">
        <w:t>to receive (or apply) for a PAC. An individual cannot apply for a card directly. Eligibility for the card is generally connected to a position.</w:t>
      </w:r>
      <w:r>
        <w:t xml:space="preserve"> As New Zealand citizens are eligible for a Subclass 444 (Special Category) visa, which attracts a nil VAC, and provides the holder with the right to reside in Australia indefinitely, </w:t>
      </w:r>
      <w:r w:rsidR="00710B6E">
        <w:t>a</w:t>
      </w:r>
      <w:r>
        <w:t xml:space="preserve"> PAC is unnecessary</w:t>
      </w:r>
      <w:r w:rsidRPr="003F0979">
        <w:t>.</w:t>
      </w:r>
    </w:p>
    <w:p w14:paraId="07719672" w14:textId="163DA2CE" w:rsidR="001A0C0C" w:rsidRPr="002C59D6" w:rsidRDefault="00745DEA" w:rsidP="008E0302">
      <w:pPr>
        <w:pStyle w:val="ESSubparaList"/>
        <w:numPr>
          <w:ilvl w:val="0"/>
          <w:numId w:val="0"/>
        </w:numPr>
      </w:pPr>
      <w:r>
        <w:t xml:space="preserve">The instrument operates to </w:t>
      </w:r>
      <w:r w:rsidR="00E16347">
        <w:t>provide</w:t>
      </w:r>
      <w:r>
        <w:t xml:space="preserve"> PAC holders </w:t>
      </w:r>
      <w:r w:rsidR="006D2DF3">
        <w:t xml:space="preserve">who are outside Australia at </w:t>
      </w:r>
      <w:r w:rsidR="00981A79">
        <w:t xml:space="preserve">the </w:t>
      </w:r>
      <w:r w:rsidR="006D2DF3">
        <w:t xml:space="preserve">time of application and seeking to be granted </w:t>
      </w:r>
      <w:r w:rsidR="00E16347">
        <w:t xml:space="preserve">a </w:t>
      </w:r>
      <w:r w:rsidRPr="00745DEA">
        <w:t xml:space="preserve">Subclass 600 visa </w:t>
      </w:r>
      <w:r w:rsidR="006D2DF3">
        <w:t>in the Tourist stream or Business</w:t>
      </w:r>
      <w:r w:rsidR="00981A79">
        <w:t xml:space="preserve"> Visitor</w:t>
      </w:r>
      <w:r w:rsidRPr="00745DEA">
        <w:t xml:space="preserve"> stream</w:t>
      </w:r>
      <w:r w:rsidR="00981A79">
        <w:t>,</w:t>
      </w:r>
      <w:r>
        <w:t xml:space="preserve"> </w:t>
      </w:r>
      <w:r w:rsidR="00981A79">
        <w:t xml:space="preserve">with </w:t>
      </w:r>
      <w:r w:rsidR="009510AB">
        <w:t xml:space="preserve">a </w:t>
      </w:r>
      <w:r w:rsidR="00E16347">
        <w:t xml:space="preserve">nil </w:t>
      </w:r>
      <w:r>
        <w:t>VAC.</w:t>
      </w:r>
      <w:r w:rsidR="00981A79">
        <w:t xml:space="preserve"> These applicants</w:t>
      </w:r>
      <w:r w:rsidR="00856A89">
        <w:t>,</w:t>
      </w:r>
      <w:r w:rsidR="00981A79">
        <w:t xml:space="preserve"> </w:t>
      </w:r>
      <w:r w:rsidR="00856A89">
        <w:t xml:space="preserve">unless they applied for the visa in the course of acting as a representative of a foreign government, </w:t>
      </w:r>
      <w:r w:rsidR="00981A79">
        <w:t>would otherwise be required to pay the VAC amount of $195</w:t>
      </w:r>
      <w:r w:rsidR="001C5280">
        <w:t>,</w:t>
      </w:r>
      <w:r w:rsidR="00981A79">
        <w:t xml:space="preserve"> which is the base application charge for </w:t>
      </w:r>
      <w:r w:rsidR="00932B1B">
        <w:t xml:space="preserve">a Subclass 600 visa application (that is not in the Frequent Traveller stream) for </w:t>
      </w:r>
      <w:r w:rsidR="00981A79">
        <w:t xml:space="preserve">an applicant who is outside Australia. </w:t>
      </w:r>
    </w:p>
    <w:p w14:paraId="2BA54D7C" w14:textId="77777777" w:rsidR="002B0B8C" w:rsidRDefault="00E626A1" w:rsidP="008E0302">
      <w:pPr>
        <w:pStyle w:val="ESSubparaList"/>
        <w:numPr>
          <w:ilvl w:val="0"/>
          <w:numId w:val="0"/>
        </w:numPr>
      </w:pPr>
      <w:r w:rsidRPr="00E16347">
        <w:lastRenderedPageBreak/>
        <w:t xml:space="preserve">Implementation of a nil VAC for PAC holders supports the Government’s broader goal of deepening Australia’s connections </w:t>
      </w:r>
      <w:r>
        <w:t>and people-to-people ties within the Indo-Pacific region. In particular, t</w:t>
      </w:r>
      <w:r w:rsidR="008B70FC">
        <w:t xml:space="preserve">he instrument </w:t>
      </w:r>
      <w:r w:rsidR="00BB0666">
        <w:t xml:space="preserve">reflects the Government’s commitment to </w:t>
      </w:r>
      <w:r w:rsidRPr="003737B8">
        <w:t xml:space="preserve">facilitate travel </w:t>
      </w:r>
      <w:r>
        <w:t>from the Pacific to Australia.</w:t>
      </w:r>
      <w:r w:rsidRPr="003737B8">
        <w:t xml:space="preserve"> </w:t>
      </w:r>
      <w:r w:rsidR="00BB0666" w:rsidRPr="00E16347">
        <w:t xml:space="preserve"> </w:t>
      </w:r>
    </w:p>
    <w:p w14:paraId="7F9A5F1E" w14:textId="77777777" w:rsidR="008B24C8" w:rsidRPr="006309B1" w:rsidRDefault="008B24C8" w:rsidP="00A36C37">
      <w:pPr>
        <w:pStyle w:val="ESHeading"/>
      </w:pPr>
      <w:r w:rsidRPr="006309B1">
        <w:t>Consultation</w:t>
      </w:r>
    </w:p>
    <w:p w14:paraId="603FF044" w14:textId="182C9876" w:rsidR="00932B1B" w:rsidRDefault="00856A89" w:rsidP="00932B1B">
      <w:pPr>
        <w:pStyle w:val="ESSubparaList"/>
        <w:numPr>
          <w:ilvl w:val="0"/>
          <w:numId w:val="0"/>
        </w:numPr>
      </w:pPr>
      <w:r>
        <w:t>Whole of government</w:t>
      </w:r>
      <w:r w:rsidR="00631224" w:rsidRPr="00631224">
        <w:t xml:space="preserve"> consultation</w:t>
      </w:r>
      <w:r w:rsidR="00631224">
        <w:t>, including consultation with the Department of Foreign Affairs and Trade,</w:t>
      </w:r>
      <w:r w:rsidR="00631224" w:rsidRPr="00631224">
        <w:t xml:space="preserve"> </w:t>
      </w:r>
      <w:r>
        <w:t xml:space="preserve">Prime Minister and Cabinet, Department of Finance and Department of the Treasury </w:t>
      </w:r>
      <w:r w:rsidR="00631224" w:rsidRPr="00631224">
        <w:t xml:space="preserve">was undertaken </w:t>
      </w:r>
      <w:r w:rsidR="00631224">
        <w:t xml:space="preserve">to develop the policy settings to facilitate travel and strengthen </w:t>
      </w:r>
      <w:r w:rsidR="009510AB">
        <w:t>connections</w:t>
      </w:r>
      <w:r w:rsidR="00631224">
        <w:t xml:space="preserve"> between Australia and the Pacific. </w:t>
      </w:r>
      <w:r w:rsidR="001C5280">
        <w:t xml:space="preserve">The Government’s Migration Strategy, </w:t>
      </w:r>
      <w:r w:rsidR="001C5280" w:rsidRPr="00631224">
        <w:t>released on 11 December 2023, outlines a new vision for Australia’s migration system</w:t>
      </w:r>
      <w:r w:rsidR="001C5280">
        <w:t xml:space="preserve"> including a</w:t>
      </w:r>
      <w:r w:rsidR="001C5280" w:rsidRPr="00631224">
        <w:t xml:space="preserve"> commitment </w:t>
      </w:r>
      <w:r w:rsidR="001C5280">
        <w:t>to d</w:t>
      </w:r>
      <w:r w:rsidR="001C5280" w:rsidRPr="00631224">
        <w:t>eepening people-to-</w:t>
      </w:r>
      <w:r w:rsidR="001C5280">
        <w:t>people ties in the Indo-Pacific</w:t>
      </w:r>
      <w:r w:rsidR="001C5280" w:rsidRPr="0060120E">
        <w:t>.</w:t>
      </w:r>
      <w:r w:rsidR="001C5280">
        <w:t xml:space="preserve"> This instrument supports this commitment. The Migration Strategy was informed </w:t>
      </w:r>
      <w:r w:rsidR="001C5280" w:rsidRPr="0063406F">
        <w:t>by extensive consultation with business, unions and other stakeholders, and more than 450 submissions received as part of the Review of the Migration System.</w:t>
      </w:r>
      <w:r w:rsidR="001C5280">
        <w:t xml:space="preserve"> </w:t>
      </w:r>
    </w:p>
    <w:p w14:paraId="0FF14FFA" w14:textId="77777777" w:rsidR="000464D5" w:rsidRPr="007D7708" w:rsidRDefault="00D33FCD" w:rsidP="00932B1B">
      <w:pPr>
        <w:pStyle w:val="ESSubparaList"/>
        <w:numPr>
          <w:ilvl w:val="0"/>
          <w:numId w:val="0"/>
        </w:numPr>
      </w:pPr>
      <w:r w:rsidRPr="007D7708">
        <w:t>The Office of Impact Analysi</w:t>
      </w:r>
      <w:r w:rsidR="00913743" w:rsidRPr="007D7708">
        <w:t xml:space="preserve">s (OIA) </w:t>
      </w:r>
      <w:r w:rsidR="00745DEA">
        <w:t xml:space="preserve">was consulted and considered that a detailed analysis is not required under </w:t>
      </w:r>
      <w:r w:rsidR="008B70FC" w:rsidRPr="007D7708">
        <w:t>the Australian Government</w:t>
      </w:r>
      <w:r w:rsidR="0060120E" w:rsidRPr="007D7708">
        <w:t xml:space="preserve"> Impact Analysis </w:t>
      </w:r>
      <w:r w:rsidR="00745DEA">
        <w:t>Framework</w:t>
      </w:r>
      <w:r w:rsidR="0060120E" w:rsidRPr="007D7708">
        <w:t xml:space="preserve">. </w:t>
      </w:r>
      <w:r w:rsidR="00913743" w:rsidRPr="007D7708">
        <w:t xml:space="preserve">The OIA reference number is </w:t>
      </w:r>
      <w:r w:rsidR="000464D5" w:rsidRPr="007D7708">
        <w:t>OIA24-08544.</w:t>
      </w:r>
    </w:p>
    <w:p w14:paraId="3795D32E" w14:textId="77777777" w:rsidR="006A056C" w:rsidRPr="006309B1" w:rsidRDefault="006A056C" w:rsidP="00A36C37">
      <w:pPr>
        <w:pStyle w:val="ESPara"/>
        <w:numPr>
          <w:ilvl w:val="0"/>
          <w:numId w:val="0"/>
        </w:numPr>
        <w:ind w:left="567" w:hanging="567"/>
      </w:pPr>
      <w:r w:rsidRPr="006309B1">
        <w:rPr>
          <w:b/>
          <w:i/>
        </w:rPr>
        <w:t>Details of the instrument</w:t>
      </w:r>
    </w:p>
    <w:p w14:paraId="09D36FBE" w14:textId="77777777" w:rsidR="002C7C0C" w:rsidRPr="006309B1" w:rsidRDefault="002C7C0C" w:rsidP="002C7C0C">
      <w:pPr>
        <w:pStyle w:val="ESAttHeading"/>
        <w:rPr>
          <w:b w:val="0"/>
        </w:rPr>
      </w:pPr>
      <w:r w:rsidRPr="006309B1">
        <w:t>Section 1</w:t>
      </w:r>
      <w:r w:rsidRPr="006309B1">
        <w:tab/>
        <w:t>Name</w:t>
      </w:r>
    </w:p>
    <w:p w14:paraId="0F72924F" w14:textId="77777777" w:rsidR="002C7C0C" w:rsidRPr="006309B1" w:rsidRDefault="002C7C0C" w:rsidP="002C7C0C">
      <w:pPr>
        <w:pStyle w:val="ESAttNormal"/>
      </w:pPr>
      <w:r w:rsidRPr="006309B1">
        <w:t xml:space="preserve">This section provides that the name of the instrument is the </w:t>
      </w:r>
      <w:r w:rsidRPr="003240D3">
        <w:rPr>
          <w:i/>
        </w:rPr>
        <w:t>M</w:t>
      </w:r>
      <w:r>
        <w:rPr>
          <w:i/>
        </w:rPr>
        <w:t xml:space="preserve">igration (Class of Persons for Nil VAC for </w:t>
      </w:r>
      <w:r w:rsidR="001C5280">
        <w:rPr>
          <w:i/>
        </w:rPr>
        <w:t xml:space="preserve">Subclass (600) </w:t>
      </w:r>
      <w:r>
        <w:rPr>
          <w:i/>
        </w:rPr>
        <w:t>Visitor Visa Applications</w:t>
      </w:r>
      <w:r w:rsidR="001C5280" w:rsidRPr="00B434A2">
        <w:rPr>
          <w:i/>
        </w:rPr>
        <w:t>—</w:t>
      </w:r>
      <w:r>
        <w:rPr>
          <w:i/>
        </w:rPr>
        <w:t xml:space="preserve">Pacific Australia Card Holders) Specification 2025. </w:t>
      </w:r>
    </w:p>
    <w:p w14:paraId="3963A2B6" w14:textId="77777777" w:rsidR="002C7C0C" w:rsidRPr="006309B1" w:rsidRDefault="002C7C0C" w:rsidP="002C7C0C">
      <w:pPr>
        <w:pStyle w:val="ESAttHeading"/>
        <w:rPr>
          <w:b w:val="0"/>
        </w:rPr>
      </w:pPr>
      <w:r w:rsidRPr="006309B1">
        <w:t>Section 2</w:t>
      </w:r>
      <w:r w:rsidRPr="006309B1">
        <w:tab/>
        <w:t>Commencement</w:t>
      </w:r>
    </w:p>
    <w:p w14:paraId="3E65FAEE" w14:textId="77777777" w:rsidR="002C7C0C" w:rsidRPr="00160816" w:rsidRDefault="002C7C0C" w:rsidP="002C7C0C">
      <w:pPr>
        <w:pStyle w:val="ESAttHeading"/>
        <w:rPr>
          <w:b w:val="0"/>
        </w:rPr>
      </w:pPr>
      <w:r w:rsidRPr="006309B1">
        <w:rPr>
          <w:b w:val="0"/>
        </w:rPr>
        <w:t xml:space="preserve">This section provides </w:t>
      </w:r>
      <w:r>
        <w:rPr>
          <w:b w:val="0"/>
        </w:rPr>
        <w:t xml:space="preserve">that </w:t>
      </w:r>
      <w:r w:rsidRPr="006309B1">
        <w:rPr>
          <w:b w:val="0"/>
        </w:rPr>
        <w:t xml:space="preserve">the instrument commences </w:t>
      </w:r>
      <w:r w:rsidRPr="002C7C0C">
        <w:rPr>
          <w:b w:val="0"/>
        </w:rPr>
        <w:t>on 22 March 2025.</w:t>
      </w:r>
    </w:p>
    <w:p w14:paraId="69585BFE" w14:textId="77777777" w:rsidR="002C7C0C" w:rsidRPr="006309B1" w:rsidRDefault="002C7C0C" w:rsidP="002C7C0C">
      <w:pPr>
        <w:pStyle w:val="ESAttHeading"/>
        <w:rPr>
          <w:b w:val="0"/>
        </w:rPr>
      </w:pPr>
      <w:r w:rsidRPr="006309B1">
        <w:t>Section 3</w:t>
      </w:r>
      <w:r w:rsidRPr="006309B1">
        <w:tab/>
        <w:t>Authority</w:t>
      </w:r>
    </w:p>
    <w:p w14:paraId="7DCE0FD0" w14:textId="77777777" w:rsidR="002C7C0C" w:rsidRPr="006309B1" w:rsidRDefault="002C7C0C" w:rsidP="002C7C0C">
      <w:pPr>
        <w:pStyle w:val="ESAttHeading"/>
      </w:pPr>
      <w:r w:rsidRPr="006309B1">
        <w:rPr>
          <w:b w:val="0"/>
        </w:rPr>
        <w:t xml:space="preserve">This section provides </w:t>
      </w:r>
      <w:r>
        <w:rPr>
          <w:b w:val="0"/>
        </w:rPr>
        <w:t xml:space="preserve">that </w:t>
      </w:r>
      <w:r w:rsidRPr="006309B1">
        <w:rPr>
          <w:b w:val="0"/>
        </w:rPr>
        <w:t>the instrument is made under sub</w:t>
      </w:r>
      <w:r>
        <w:rPr>
          <w:b w:val="0"/>
        </w:rPr>
        <w:t xml:space="preserve">paragraph 1236(2)(a)(iv) of Schedule 1 to the </w:t>
      </w:r>
      <w:r w:rsidRPr="006309B1">
        <w:rPr>
          <w:b w:val="0"/>
          <w:i/>
        </w:rPr>
        <w:t>Migration Regulations 1994</w:t>
      </w:r>
      <w:r>
        <w:rPr>
          <w:b w:val="0"/>
          <w:i/>
        </w:rPr>
        <w:t xml:space="preserve"> </w:t>
      </w:r>
      <w:r>
        <w:rPr>
          <w:b w:val="0"/>
        </w:rPr>
        <w:t>(the Migration Regulations)</w:t>
      </w:r>
      <w:r w:rsidRPr="006309B1">
        <w:rPr>
          <w:b w:val="0"/>
        </w:rPr>
        <w:t>.</w:t>
      </w:r>
    </w:p>
    <w:p w14:paraId="65419805" w14:textId="77777777" w:rsidR="002C7C0C" w:rsidRPr="006309B1" w:rsidRDefault="002C7C0C" w:rsidP="002C7C0C">
      <w:pPr>
        <w:pStyle w:val="ESAttHeading"/>
      </w:pPr>
      <w:r w:rsidRPr="007D7708">
        <w:t>Section 4</w:t>
      </w:r>
      <w:r w:rsidRPr="007D7708">
        <w:tab/>
        <w:t>Definitions</w:t>
      </w:r>
    </w:p>
    <w:p w14:paraId="4C0E8E7A" w14:textId="41C42C5F" w:rsidR="002C7C0C" w:rsidRDefault="002C7C0C" w:rsidP="00965B84">
      <w:pPr>
        <w:pStyle w:val="ESAttNormal"/>
      </w:pPr>
      <w:r w:rsidRPr="006309B1">
        <w:t xml:space="preserve">This section </w:t>
      </w:r>
      <w:r>
        <w:t>sets out definitions of certain terms used in the instrument, including</w:t>
      </w:r>
      <w:r w:rsidR="00E210AE">
        <w:t xml:space="preserve"> </w:t>
      </w:r>
      <w:r w:rsidRPr="003737B8">
        <w:rPr>
          <w:b/>
          <w:i/>
        </w:rPr>
        <w:t>Pacific Australia Card</w:t>
      </w:r>
      <w:r w:rsidR="00E210AE">
        <w:t xml:space="preserve">, </w:t>
      </w:r>
      <w:r>
        <w:t xml:space="preserve">which </w:t>
      </w:r>
      <w:r w:rsidRPr="00442AEF">
        <w:t xml:space="preserve">means a card by that name issued to a person by the </w:t>
      </w:r>
      <w:r w:rsidRPr="00B225FD">
        <w:t>Government of Australia.</w:t>
      </w:r>
    </w:p>
    <w:p w14:paraId="657CAD11" w14:textId="77777777" w:rsidR="002C7C0C" w:rsidRPr="006309B1" w:rsidRDefault="002C7C0C" w:rsidP="002C7C0C">
      <w:pPr>
        <w:pStyle w:val="ESAttHeading"/>
      </w:pPr>
      <w:r w:rsidRPr="006309B1">
        <w:t>S</w:t>
      </w:r>
      <w:r>
        <w:t>ection 5</w:t>
      </w:r>
      <w:r w:rsidRPr="006309B1">
        <w:tab/>
      </w:r>
      <w:r>
        <w:t>Class of persons for nil VAC – Subclass 600 (Visitor) visa</w:t>
      </w:r>
    </w:p>
    <w:p w14:paraId="38AE7D14" w14:textId="77777777" w:rsidR="0002662A" w:rsidRDefault="001C5280" w:rsidP="002C7C0C">
      <w:pPr>
        <w:pStyle w:val="ESAttNormal"/>
      </w:pPr>
      <w:r>
        <w:t>This section specifies</w:t>
      </w:r>
      <w:r w:rsidRPr="001C5280">
        <w:t xml:space="preserve"> </w:t>
      </w:r>
      <w:r>
        <w:t xml:space="preserve">who will be in a class of persons for the purposes of </w:t>
      </w:r>
      <w:r w:rsidRPr="00442AEF">
        <w:t>subparagraph 1236(2)(a)(iv) of Schedule</w:t>
      </w:r>
      <w:r>
        <w:t xml:space="preserve"> 1 to the Migration Regulations</w:t>
      </w:r>
      <w:r w:rsidR="00932B1B">
        <w:t>.</w:t>
      </w:r>
      <w:r>
        <w:t xml:space="preserve"> </w:t>
      </w:r>
      <w:r w:rsidR="002C7C0C">
        <w:t>S</w:t>
      </w:r>
      <w:r w:rsidR="002C7C0C" w:rsidRPr="00442AEF">
        <w:t xml:space="preserve">ubparagraph 1236(2)(a)(iv) </w:t>
      </w:r>
      <w:r w:rsidR="002C7C0C">
        <w:t>provides that</w:t>
      </w:r>
      <w:r w:rsidR="002C7C0C" w:rsidRPr="00442AEF">
        <w:t xml:space="preserve"> </w:t>
      </w:r>
      <w:r w:rsidR="002C7C0C">
        <w:t xml:space="preserve">in relation to an application for a Subclass 600 (Visitor) visa that is not in the Frequent Traveller stream, the first instalment of the visa application charge for an applicant who is in a class of persons specified by the Minister, is nil. </w:t>
      </w:r>
    </w:p>
    <w:p w14:paraId="7B0861B4" w14:textId="094BB6BF" w:rsidR="002C7C0C" w:rsidRDefault="00F34B89" w:rsidP="002C7C0C">
      <w:pPr>
        <w:pStyle w:val="ESAttNormal"/>
      </w:pPr>
      <w:r>
        <w:t xml:space="preserve">Section 5 of the instrument provides that a person </w:t>
      </w:r>
      <w:r w:rsidR="001C5280">
        <w:t xml:space="preserve">who is the holder of a </w:t>
      </w:r>
      <w:r w:rsidR="001C5280" w:rsidRPr="00442AEF">
        <w:t>valid Pacific Australia Card</w:t>
      </w:r>
      <w:r w:rsidR="001C5280">
        <w:t>,</w:t>
      </w:r>
      <w:r w:rsidR="001C5280" w:rsidRPr="00442AEF">
        <w:t xml:space="preserve"> </w:t>
      </w:r>
      <w:r w:rsidR="001C5280">
        <w:t>who seeks to be granted a Subclass 600 (Visitor) visa in the Tourist stream or Business Visitor stream</w:t>
      </w:r>
      <w:r>
        <w:t>,</w:t>
      </w:r>
      <w:r w:rsidR="001C5280">
        <w:t xml:space="preserve"> </w:t>
      </w:r>
      <w:r w:rsidR="00932B1B">
        <w:t xml:space="preserve">and is outside Australia at the time of application, </w:t>
      </w:r>
      <w:r w:rsidR="001C5280" w:rsidRPr="00442AEF">
        <w:t xml:space="preserve">is specified </w:t>
      </w:r>
      <w:r w:rsidR="001C5280">
        <w:t>to be in a class of persons.</w:t>
      </w:r>
    </w:p>
    <w:p w14:paraId="0B993240" w14:textId="77777777" w:rsidR="002C7C0C" w:rsidRPr="00BC37E4" w:rsidRDefault="002C7C0C" w:rsidP="002C7C0C">
      <w:pPr>
        <w:pStyle w:val="ESAttNormal"/>
      </w:pPr>
      <w:r>
        <w:lastRenderedPageBreak/>
        <w:t>The effect of section 5 of the instrument is that if the applicant</w:t>
      </w:r>
      <w:r w:rsidR="00E626A1">
        <w:t xml:space="preserve"> </w:t>
      </w:r>
      <w:r w:rsidR="00F34B89">
        <w:t>falls within the class of persons specified</w:t>
      </w:r>
      <w:r>
        <w:t xml:space="preserve">, the visa application charge is nil. </w:t>
      </w:r>
      <w:r w:rsidR="00F34B89">
        <w:t xml:space="preserve">Applicants who do not fall within this class of persons will be liable to pay the relevant VAC as set out in subitem 1236(2) of Schedule 1 to the Migration Regulations. </w:t>
      </w:r>
    </w:p>
    <w:p w14:paraId="0F297E78" w14:textId="77777777" w:rsidR="006A056C" w:rsidRPr="006309B1" w:rsidRDefault="006A056C" w:rsidP="00A36C37">
      <w:pPr>
        <w:pStyle w:val="ESPara"/>
        <w:numPr>
          <w:ilvl w:val="0"/>
          <w:numId w:val="0"/>
        </w:numPr>
        <w:ind w:left="567" w:hanging="567"/>
      </w:pPr>
      <w:r w:rsidRPr="006309B1">
        <w:rPr>
          <w:b/>
          <w:i/>
        </w:rPr>
        <w:t xml:space="preserve">Parliamentary scrutiny etc. </w:t>
      </w:r>
    </w:p>
    <w:p w14:paraId="45E5846E" w14:textId="77777777" w:rsidR="00D33FCD" w:rsidRPr="006309B1" w:rsidRDefault="00D33FCD" w:rsidP="00A36C37">
      <w:pPr>
        <w:pStyle w:val="ESPara"/>
        <w:numPr>
          <w:ilvl w:val="0"/>
          <w:numId w:val="0"/>
        </w:numPr>
      </w:pPr>
      <w:r w:rsidRPr="006309B1">
        <w:t xml:space="preserve">The instrument is exempt from disallowance under section 42 of the Legislation Act. This is because instruments made under Schedule </w:t>
      </w:r>
      <w:r w:rsidR="003737B8">
        <w:t>1</w:t>
      </w:r>
      <w:r w:rsidRPr="006309B1">
        <w:t xml:space="preserve"> to the Migration Regulations are prescribed as being exempt from disallowance. See table item 20</w:t>
      </w:r>
      <w:r w:rsidR="0050338D" w:rsidRPr="006309B1">
        <w:t>(b)</w:t>
      </w:r>
      <w:r w:rsidRPr="006309B1">
        <w:t xml:space="preserve"> in section 10 of the </w:t>
      </w:r>
      <w:r w:rsidRPr="006309B1">
        <w:rPr>
          <w:i/>
        </w:rPr>
        <w:t>Legislation (Exemptions and Other matters) Regulation 2015</w:t>
      </w:r>
      <w:r w:rsidRPr="006309B1">
        <w:t xml:space="preserve">. As the instrument is exempt from disallowance, a Statement of Compatibility with Human Rights is not required. </w:t>
      </w:r>
    </w:p>
    <w:p w14:paraId="11164AB4" w14:textId="77777777" w:rsidR="00E069E1" w:rsidRPr="00BC37E4" w:rsidRDefault="00D33FCD" w:rsidP="002C7C0C">
      <w:pPr>
        <w:pStyle w:val="ESPara"/>
        <w:numPr>
          <w:ilvl w:val="0"/>
          <w:numId w:val="0"/>
        </w:numPr>
      </w:pPr>
      <w:r w:rsidRPr="007D7708">
        <w:t xml:space="preserve">The instrument </w:t>
      </w:r>
      <w:r w:rsidR="004B38AD" w:rsidRPr="007D7708">
        <w:t xml:space="preserve">is </w:t>
      </w:r>
      <w:r w:rsidRPr="007D7708">
        <w:t xml:space="preserve">made by the </w:t>
      </w:r>
      <w:r w:rsidR="00442AEF">
        <w:t>Minister</w:t>
      </w:r>
      <w:r w:rsidR="00442AEF" w:rsidRPr="007D7708">
        <w:t xml:space="preserve"> </w:t>
      </w:r>
      <w:r w:rsidR="004B38AD" w:rsidRPr="007D7708">
        <w:t xml:space="preserve">under and </w:t>
      </w:r>
      <w:r w:rsidRPr="007D7708">
        <w:t xml:space="preserve">in accordance with </w:t>
      </w:r>
      <w:r w:rsidR="007D7708" w:rsidRPr="007D7708">
        <w:t xml:space="preserve">subparagraph 1236(2)(a)(iv) of Schedule 1 to the Migration Regulations. </w:t>
      </w:r>
    </w:p>
    <w:sectPr w:rsidR="00E069E1" w:rsidRPr="00BC37E4" w:rsidSect="004F5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F4E3B9" w16cex:dateUtc="2024-11-05T22:44:00Z"/>
  <w16cex:commentExtensible w16cex:durableId="46A06ACE" w16cex:dateUtc="2024-11-05T22:48:00Z"/>
  <w16cex:commentExtensible w16cex:durableId="66B34F60" w16cex:dateUtc="2024-11-05T2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4DA977" w16cid:durableId="49654CD3"/>
  <w16cid:commentId w16cid:paraId="4F19D984" w16cid:durableId="56F4E3B9"/>
  <w16cid:commentId w16cid:paraId="15DB8410" w16cid:durableId="3C2FAA4C"/>
  <w16cid:commentId w16cid:paraId="6C7921FC" w16cid:durableId="46A06ACE"/>
  <w16cid:commentId w16cid:paraId="5258995E" w16cid:durableId="4E420087"/>
  <w16cid:commentId w16cid:paraId="441DB7BD" w16cid:durableId="66B34F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9B4F" w14:textId="77777777" w:rsidR="009A0F89" w:rsidRDefault="009A0F89" w:rsidP="00F65B6D">
      <w:pPr>
        <w:spacing w:after="0" w:line="240" w:lineRule="auto"/>
      </w:pPr>
      <w:r>
        <w:separator/>
      </w:r>
    </w:p>
  </w:endnote>
  <w:endnote w:type="continuationSeparator" w:id="0">
    <w:p w14:paraId="51DC7C02" w14:textId="77777777" w:rsidR="009A0F89" w:rsidRDefault="009A0F89" w:rsidP="00F6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C88D" w14:textId="77777777" w:rsidR="00F65B6D" w:rsidRDefault="00F65B6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FFA19D" wp14:editId="7CE7C9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621689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309B2" w14:textId="77777777" w:rsidR="00F65B6D" w:rsidRPr="00F65B6D" w:rsidRDefault="00F65B6D" w:rsidP="00F65B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B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9B4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" filled="f" stroked="f">
              <v:textbox style="mso-fit-shape-to-text:t" inset="0,0,0,15pt">
                <w:txbxContent>
                  <w:p w:rsidR="00F65B6D" w:rsidRPr="00F65B6D" w:rsidRDefault="00F65B6D" w:rsidP="00F65B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B6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44239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D810E" w14:textId="6B71D81F" w:rsidR="006133F4" w:rsidRPr="006133F4" w:rsidRDefault="006133F4">
        <w:pPr>
          <w:pStyle w:val="Footer"/>
          <w:jc w:val="center"/>
          <w:rPr>
            <w:rFonts w:ascii="Times New Roman" w:hAnsi="Times New Roman" w:cs="Times New Roman"/>
          </w:rPr>
        </w:pPr>
        <w:r w:rsidRPr="006133F4">
          <w:rPr>
            <w:rFonts w:ascii="Times New Roman" w:hAnsi="Times New Roman" w:cs="Times New Roman"/>
          </w:rPr>
          <w:fldChar w:fldCharType="begin"/>
        </w:r>
        <w:r w:rsidRPr="006133F4">
          <w:rPr>
            <w:rFonts w:ascii="Times New Roman" w:hAnsi="Times New Roman" w:cs="Times New Roman"/>
          </w:rPr>
          <w:instrText xml:space="preserve"> PAGE   \* MERGEFORMAT </w:instrText>
        </w:r>
        <w:r w:rsidRPr="006133F4">
          <w:rPr>
            <w:rFonts w:ascii="Times New Roman" w:hAnsi="Times New Roman" w:cs="Times New Roman"/>
          </w:rPr>
          <w:fldChar w:fldCharType="separate"/>
        </w:r>
        <w:r w:rsidR="00616A00">
          <w:rPr>
            <w:rFonts w:ascii="Times New Roman" w:hAnsi="Times New Roman" w:cs="Times New Roman"/>
            <w:noProof/>
          </w:rPr>
          <w:t>2</w:t>
        </w:r>
        <w:r w:rsidRPr="00613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ACA92F" w14:textId="77777777" w:rsidR="006133F4" w:rsidRDefault="00613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786A" w14:textId="77777777" w:rsidR="00F65B6D" w:rsidRDefault="00F65B6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16CAB5" wp14:editId="146B5D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765993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CFE35" w14:textId="77777777" w:rsidR="00F65B6D" w:rsidRPr="00F65B6D" w:rsidRDefault="00F65B6D" w:rsidP="00F65B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B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233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" filled="f" stroked="f">
              <v:textbox style="mso-fit-shape-to-text:t" inset="0,0,0,15pt">
                <w:txbxContent>
                  <w:p w:rsidR="00F65B6D" w:rsidRPr="00F65B6D" w:rsidRDefault="00F65B6D" w:rsidP="00F65B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B6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AA45" w14:textId="77777777" w:rsidR="009A0F89" w:rsidRDefault="009A0F89" w:rsidP="00F65B6D">
      <w:pPr>
        <w:spacing w:after="0" w:line="240" w:lineRule="auto"/>
      </w:pPr>
      <w:r>
        <w:separator/>
      </w:r>
    </w:p>
  </w:footnote>
  <w:footnote w:type="continuationSeparator" w:id="0">
    <w:p w14:paraId="1BF3939D" w14:textId="77777777" w:rsidR="009A0F89" w:rsidRDefault="009A0F89" w:rsidP="00F6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8061F" w14:textId="77777777" w:rsidR="00F65B6D" w:rsidRDefault="00F65B6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1F259B" wp14:editId="35F26B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162358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254D" w14:textId="77777777" w:rsidR="00F65B6D" w:rsidRPr="00F65B6D" w:rsidRDefault="00F65B6D" w:rsidP="00F65B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B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43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" filled="f" stroked="f">
              <v:textbox style="mso-fit-shape-to-text:t" inset="0,15pt,0,0">
                <w:txbxContent>
                  <w:p w:rsidR="00F65B6D" w:rsidRPr="00F65B6D" w:rsidRDefault="00F65B6D" w:rsidP="00F65B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B6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47C5" w14:textId="77777777" w:rsidR="006343A5" w:rsidRDefault="00634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ED7C" w14:textId="77777777" w:rsidR="00F65B6D" w:rsidRDefault="00F65B6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382E93" wp14:editId="7D5FB1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198340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704BF" w14:textId="77777777" w:rsidR="00F65B6D" w:rsidRPr="00F65B6D" w:rsidRDefault="00F65B6D" w:rsidP="00F65B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65B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E6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" filled="f" stroked="f">
              <v:textbox style="mso-fit-shape-to-text:t" inset="0,15pt,0,0">
                <w:txbxContent>
                  <w:p w:rsidR="00F65B6D" w:rsidRPr="00F65B6D" w:rsidRDefault="00F65B6D" w:rsidP="00F65B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65B6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1466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834271"/>
    <w:multiLevelType w:val="hybridMultilevel"/>
    <w:tmpl w:val="FF0C0978"/>
    <w:lvl w:ilvl="0" w:tplc="AB428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73"/>
    <w:multiLevelType w:val="hybridMultilevel"/>
    <w:tmpl w:val="AF8C2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506C"/>
    <w:multiLevelType w:val="hybridMultilevel"/>
    <w:tmpl w:val="2D187A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31D1E"/>
    <w:multiLevelType w:val="hybridMultilevel"/>
    <w:tmpl w:val="9E6E8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20F6"/>
    <w:multiLevelType w:val="hybridMultilevel"/>
    <w:tmpl w:val="6D0A8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E2"/>
    <w:rsid w:val="0002662A"/>
    <w:rsid w:val="00037096"/>
    <w:rsid w:val="000464D5"/>
    <w:rsid w:val="000546C1"/>
    <w:rsid w:val="00064BC7"/>
    <w:rsid w:val="00073858"/>
    <w:rsid w:val="000A1290"/>
    <w:rsid w:val="000C158B"/>
    <w:rsid w:val="000C7080"/>
    <w:rsid w:val="000D014F"/>
    <w:rsid w:val="000D3E1B"/>
    <w:rsid w:val="00100DFC"/>
    <w:rsid w:val="001173DE"/>
    <w:rsid w:val="00152FA4"/>
    <w:rsid w:val="00160816"/>
    <w:rsid w:val="00167822"/>
    <w:rsid w:val="0017168D"/>
    <w:rsid w:val="00177DC9"/>
    <w:rsid w:val="0019164E"/>
    <w:rsid w:val="001A0C0C"/>
    <w:rsid w:val="001A3CA3"/>
    <w:rsid w:val="001A75C8"/>
    <w:rsid w:val="001B6943"/>
    <w:rsid w:val="001C5280"/>
    <w:rsid w:val="001D7492"/>
    <w:rsid w:val="00227F68"/>
    <w:rsid w:val="002402E0"/>
    <w:rsid w:val="002A6B9A"/>
    <w:rsid w:val="002B0B8C"/>
    <w:rsid w:val="002C59D6"/>
    <w:rsid w:val="002C7C0C"/>
    <w:rsid w:val="002D167E"/>
    <w:rsid w:val="003240D3"/>
    <w:rsid w:val="00324215"/>
    <w:rsid w:val="00327440"/>
    <w:rsid w:val="00337112"/>
    <w:rsid w:val="00346133"/>
    <w:rsid w:val="003737B8"/>
    <w:rsid w:val="003B4DA4"/>
    <w:rsid w:val="003E177B"/>
    <w:rsid w:val="003F0979"/>
    <w:rsid w:val="003F6ADF"/>
    <w:rsid w:val="00405294"/>
    <w:rsid w:val="00442AEF"/>
    <w:rsid w:val="00457D4A"/>
    <w:rsid w:val="00464080"/>
    <w:rsid w:val="00473A70"/>
    <w:rsid w:val="004767A1"/>
    <w:rsid w:val="004B38AD"/>
    <w:rsid w:val="004C43FA"/>
    <w:rsid w:val="004E45A1"/>
    <w:rsid w:val="004F498C"/>
    <w:rsid w:val="004F5CE4"/>
    <w:rsid w:val="0050338D"/>
    <w:rsid w:val="0051065C"/>
    <w:rsid w:val="00524F9E"/>
    <w:rsid w:val="00560B24"/>
    <w:rsid w:val="0057002B"/>
    <w:rsid w:val="005A3733"/>
    <w:rsid w:val="005B1659"/>
    <w:rsid w:val="005D2DE5"/>
    <w:rsid w:val="0060120E"/>
    <w:rsid w:val="00604E06"/>
    <w:rsid w:val="006133F4"/>
    <w:rsid w:val="006152AB"/>
    <w:rsid w:val="00616A00"/>
    <w:rsid w:val="006309B1"/>
    <w:rsid w:val="00631224"/>
    <w:rsid w:val="0063406F"/>
    <w:rsid w:val="006343A5"/>
    <w:rsid w:val="006A056C"/>
    <w:rsid w:val="006D2DF3"/>
    <w:rsid w:val="006F266F"/>
    <w:rsid w:val="00710B6E"/>
    <w:rsid w:val="00712E0A"/>
    <w:rsid w:val="00715793"/>
    <w:rsid w:val="00745DEA"/>
    <w:rsid w:val="007D7708"/>
    <w:rsid w:val="007E4691"/>
    <w:rsid w:val="007F2637"/>
    <w:rsid w:val="0081441D"/>
    <w:rsid w:val="00817135"/>
    <w:rsid w:val="00832BD9"/>
    <w:rsid w:val="00856A89"/>
    <w:rsid w:val="00875FC3"/>
    <w:rsid w:val="0088407D"/>
    <w:rsid w:val="008A1CE3"/>
    <w:rsid w:val="008B24C8"/>
    <w:rsid w:val="008B4991"/>
    <w:rsid w:val="008B70FC"/>
    <w:rsid w:val="008E0302"/>
    <w:rsid w:val="00913743"/>
    <w:rsid w:val="00915032"/>
    <w:rsid w:val="009235EE"/>
    <w:rsid w:val="00926243"/>
    <w:rsid w:val="00932B1B"/>
    <w:rsid w:val="0094270C"/>
    <w:rsid w:val="009510AB"/>
    <w:rsid w:val="00965B84"/>
    <w:rsid w:val="00981A79"/>
    <w:rsid w:val="00992873"/>
    <w:rsid w:val="00992951"/>
    <w:rsid w:val="009969EC"/>
    <w:rsid w:val="009A0F89"/>
    <w:rsid w:val="009C5AF6"/>
    <w:rsid w:val="00A36C37"/>
    <w:rsid w:val="00AA4557"/>
    <w:rsid w:val="00AA4F77"/>
    <w:rsid w:val="00B208DC"/>
    <w:rsid w:val="00B225FD"/>
    <w:rsid w:val="00B315E2"/>
    <w:rsid w:val="00B445D9"/>
    <w:rsid w:val="00B65A06"/>
    <w:rsid w:val="00B75478"/>
    <w:rsid w:val="00BB0666"/>
    <w:rsid w:val="00BB0CF2"/>
    <w:rsid w:val="00BC37E4"/>
    <w:rsid w:val="00BD598E"/>
    <w:rsid w:val="00BE3E7F"/>
    <w:rsid w:val="00C05384"/>
    <w:rsid w:val="00C56630"/>
    <w:rsid w:val="00C73B1A"/>
    <w:rsid w:val="00C74C8F"/>
    <w:rsid w:val="00C7664D"/>
    <w:rsid w:val="00C81A5E"/>
    <w:rsid w:val="00C930F2"/>
    <w:rsid w:val="00CB38F2"/>
    <w:rsid w:val="00CF464C"/>
    <w:rsid w:val="00CF484C"/>
    <w:rsid w:val="00D33FCD"/>
    <w:rsid w:val="00D40E1E"/>
    <w:rsid w:val="00D8353A"/>
    <w:rsid w:val="00DB5A48"/>
    <w:rsid w:val="00DE6E87"/>
    <w:rsid w:val="00E033D3"/>
    <w:rsid w:val="00E03DCC"/>
    <w:rsid w:val="00E05697"/>
    <w:rsid w:val="00E069E1"/>
    <w:rsid w:val="00E16347"/>
    <w:rsid w:val="00E210AE"/>
    <w:rsid w:val="00E45FE2"/>
    <w:rsid w:val="00E47B30"/>
    <w:rsid w:val="00E626A1"/>
    <w:rsid w:val="00E724A4"/>
    <w:rsid w:val="00E75141"/>
    <w:rsid w:val="00EA12C9"/>
    <w:rsid w:val="00EF0FD5"/>
    <w:rsid w:val="00F33FDB"/>
    <w:rsid w:val="00F34A43"/>
    <w:rsid w:val="00F34B89"/>
    <w:rsid w:val="00F3765F"/>
    <w:rsid w:val="00F61F45"/>
    <w:rsid w:val="00F65B6D"/>
    <w:rsid w:val="00F76241"/>
    <w:rsid w:val="00F951B0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C11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4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338D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B208DC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B6D"/>
  </w:style>
  <w:style w:type="paragraph" w:styleId="Footer">
    <w:name w:val="footer"/>
    <w:basedOn w:val="Normal"/>
    <w:link w:val="FooterChar"/>
    <w:uiPriority w:val="99"/>
    <w:unhideWhenUsed/>
    <w:rsid w:val="00F6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6D"/>
  </w:style>
  <w:style w:type="character" w:styleId="Hyperlink">
    <w:name w:val="Hyperlink"/>
    <w:basedOn w:val="DefaultParagraphFont"/>
    <w:uiPriority w:val="99"/>
    <w:semiHidden/>
    <w:unhideWhenUsed/>
    <w:rsid w:val="00996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0E65-1711-45C6-BE3E-18ADA7E4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2025-03-13T05:43:00Z</dcterms:created>
  <dcterms:modified xsi:type="dcterms:W3CDTF">2025-03-13T05:44:00Z</dcterms:modified>
</cp:coreProperties>
</file>