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F" w14:textId="77777777" w:rsidR="0067203C" w:rsidRDefault="0067203C" w:rsidP="0067203C">
      <w:pPr>
        <w:pStyle w:val="Title"/>
        <w:jc w:val="left"/>
      </w:pPr>
      <w:r w:rsidRPr="00097630">
        <w:t>EXPLANATORY STATEMENT</w:t>
      </w:r>
    </w:p>
    <w:p w14:paraId="7214BFC9" w14:textId="77777777" w:rsidR="0067203C" w:rsidRDefault="0067203C" w:rsidP="0067203C">
      <w:pPr>
        <w:pStyle w:val="Title"/>
        <w:jc w:val="left"/>
      </w:pPr>
    </w:p>
    <w:p w14:paraId="40FAA0AB" w14:textId="2EAE62C8" w:rsidR="0067203C" w:rsidRDefault="0067203C" w:rsidP="003830A3">
      <w:pPr>
        <w:pStyle w:val="Title"/>
        <w:jc w:val="left"/>
      </w:pPr>
      <w:r w:rsidRPr="0007549D">
        <w:t xml:space="preserve">Veterans' Entitlements </w:t>
      </w:r>
      <w:r>
        <w:t>(Period to Show Decision Reviewable</w:t>
      </w:r>
      <w:r w:rsidR="002628A9">
        <w:t xml:space="preserve"> by Veterans’ Review Board</w:t>
      </w:r>
      <w:r>
        <w:t>) Instrument 202</w:t>
      </w:r>
      <w:r w:rsidR="00C44DB9">
        <w:t>5</w:t>
      </w:r>
    </w:p>
    <w:p w14:paraId="69F29E61" w14:textId="77777777" w:rsidR="0067203C" w:rsidRDefault="0067203C" w:rsidP="003830A3">
      <w:pPr>
        <w:pStyle w:val="Title"/>
        <w:spacing w:before="240" w:line="276" w:lineRule="auto"/>
        <w:jc w:val="left"/>
      </w:pPr>
      <w:r w:rsidRPr="00E81228">
        <w:t>Authority</w:t>
      </w:r>
    </w:p>
    <w:p w14:paraId="1BB2DC69" w14:textId="73105CE8" w:rsidR="0067203C" w:rsidRPr="0007549D" w:rsidRDefault="0067203C" w:rsidP="003830A3">
      <w:pPr>
        <w:pStyle w:val="LDBodytext"/>
        <w:numPr>
          <w:ilvl w:val="0"/>
          <w:numId w:val="1"/>
        </w:numPr>
        <w:spacing w:before="240" w:line="276" w:lineRule="auto"/>
      </w:pPr>
      <w:r w:rsidRPr="0007549D">
        <w:rPr>
          <w:szCs w:val="22"/>
        </w:rPr>
        <w:t xml:space="preserve">The </w:t>
      </w:r>
      <w:r w:rsidR="004D70AB">
        <w:rPr>
          <w:szCs w:val="22"/>
        </w:rPr>
        <w:t>Minister for Veterans’ Affairs</w:t>
      </w:r>
      <w:r w:rsidRPr="0007549D">
        <w:t xml:space="preserve"> makes this</w:t>
      </w:r>
      <w:r>
        <w:t xml:space="preserve"> instrument under </w:t>
      </w:r>
      <w:r w:rsidR="00C32C7D">
        <w:t xml:space="preserve">paragraph </w:t>
      </w:r>
      <w:r>
        <w:t>155(7</w:t>
      </w:r>
      <w:r w:rsidRPr="0007549D">
        <w:t>)</w:t>
      </w:r>
      <w:r>
        <w:t>(b)</w:t>
      </w:r>
      <w:r w:rsidRPr="0007549D">
        <w:t xml:space="preserve"> of the </w:t>
      </w:r>
      <w:r w:rsidRPr="0007549D">
        <w:rPr>
          <w:i/>
        </w:rPr>
        <w:t xml:space="preserve">Veterans’ Entitlements Act 1986 </w:t>
      </w:r>
      <w:r w:rsidRPr="0007549D">
        <w:t xml:space="preserve">(the </w:t>
      </w:r>
      <w:r w:rsidRPr="0007549D">
        <w:rPr>
          <w:rStyle w:val="LDBoldItal"/>
        </w:rPr>
        <w:t>Act</w:t>
      </w:r>
      <w:r w:rsidRPr="0007549D">
        <w:t>)</w:t>
      </w:r>
      <w:r w:rsidRPr="0007549D">
        <w:rPr>
          <w:i/>
        </w:rPr>
        <w:t>.</w:t>
      </w:r>
    </w:p>
    <w:p w14:paraId="208AE95F" w14:textId="77777777" w:rsidR="0067203C" w:rsidRDefault="0067203C" w:rsidP="003830A3">
      <w:pPr>
        <w:pStyle w:val="Title"/>
        <w:spacing w:before="240" w:line="276" w:lineRule="auto"/>
        <w:jc w:val="left"/>
      </w:pPr>
      <w:r>
        <w:t>Purpose</w:t>
      </w:r>
    </w:p>
    <w:p w14:paraId="0C279D4F" w14:textId="0ED224DB" w:rsidR="0067203C" w:rsidRPr="009C5E43" w:rsidRDefault="0067203C" w:rsidP="003830A3">
      <w:pPr>
        <w:pStyle w:val="ListParagraph"/>
        <w:numPr>
          <w:ilvl w:val="0"/>
          <w:numId w:val="1"/>
        </w:numPr>
        <w:spacing w:before="240" w:after="0" w:line="276" w:lineRule="auto"/>
        <w:ind w:left="714" w:hanging="357"/>
        <w:jc w:val="both"/>
        <w:rPr>
          <w:rFonts w:ascii="Times New Roman" w:hAnsi="Times New Roman" w:cs="Times New Roman"/>
          <w:color w:val="000000"/>
          <w:sz w:val="24"/>
          <w:szCs w:val="24"/>
        </w:rPr>
      </w:pPr>
      <w:r w:rsidRPr="009C5E43">
        <w:rPr>
          <w:rFonts w:ascii="Times New Roman" w:hAnsi="Times New Roman" w:cs="Times New Roman"/>
          <w:sz w:val="24"/>
          <w:szCs w:val="24"/>
        </w:rPr>
        <w:t>This instrument rep</w:t>
      </w:r>
      <w:r>
        <w:rPr>
          <w:rFonts w:ascii="Times New Roman" w:hAnsi="Times New Roman" w:cs="Times New Roman"/>
          <w:sz w:val="24"/>
          <w:szCs w:val="24"/>
        </w:rPr>
        <w:t>eal</w:t>
      </w:r>
      <w:r w:rsidR="003830A3">
        <w:rPr>
          <w:rFonts w:ascii="Times New Roman" w:hAnsi="Times New Roman" w:cs="Times New Roman"/>
          <w:sz w:val="24"/>
          <w:szCs w:val="24"/>
        </w:rPr>
        <w:t>s</w:t>
      </w:r>
      <w:r w:rsidR="00822FD9">
        <w:rPr>
          <w:rFonts w:ascii="Times New Roman" w:hAnsi="Times New Roman" w:cs="Times New Roman"/>
          <w:sz w:val="24"/>
          <w:szCs w:val="24"/>
        </w:rPr>
        <w:t xml:space="preserve"> and replace</w:t>
      </w:r>
      <w:r w:rsidR="003830A3">
        <w:rPr>
          <w:rFonts w:ascii="Times New Roman" w:hAnsi="Times New Roman" w:cs="Times New Roman"/>
          <w:sz w:val="24"/>
          <w:szCs w:val="24"/>
        </w:rPr>
        <w:t>s</w:t>
      </w:r>
      <w:r w:rsidRPr="009C5E43">
        <w:rPr>
          <w:rFonts w:ascii="Times New Roman" w:hAnsi="Times New Roman" w:cs="Times New Roman"/>
          <w:sz w:val="24"/>
          <w:szCs w:val="24"/>
        </w:rPr>
        <w:t xml:space="preserve"> the</w:t>
      </w:r>
      <w:r>
        <w:rPr>
          <w:rFonts w:ascii="Times New Roman" w:hAnsi="Times New Roman" w:cs="Times New Roman"/>
          <w:sz w:val="24"/>
          <w:szCs w:val="24"/>
        </w:rPr>
        <w:t xml:space="preserve"> existing</w:t>
      </w:r>
      <w:r w:rsidRPr="009C5E43">
        <w:rPr>
          <w:rFonts w:ascii="Times New Roman" w:hAnsi="Times New Roman" w:cs="Times New Roman"/>
          <w:sz w:val="24"/>
          <w:szCs w:val="24"/>
        </w:rPr>
        <w:t xml:space="preserve"> </w:t>
      </w:r>
      <w:r>
        <w:rPr>
          <w:rFonts w:ascii="Times New Roman" w:hAnsi="Times New Roman" w:cs="Times New Roman"/>
          <w:i/>
          <w:sz w:val="24"/>
          <w:szCs w:val="24"/>
        </w:rPr>
        <w:t>Veterans’ Entitlements (Period to Show Decision is Reviewable by Veterans’ Review Board) Instrument 2014</w:t>
      </w:r>
      <w:r w:rsidR="00E92F14">
        <w:rPr>
          <w:rFonts w:ascii="Times New Roman" w:hAnsi="Times New Roman" w:cs="Times New Roman"/>
          <w:sz w:val="24"/>
          <w:szCs w:val="24"/>
        </w:rPr>
        <w:t>, due to sunset on 1 April 2025</w:t>
      </w:r>
      <w:r>
        <w:rPr>
          <w:rFonts w:ascii="Times New Roman" w:hAnsi="Times New Roman" w:cs="Times New Roman"/>
          <w:sz w:val="24"/>
          <w:szCs w:val="24"/>
        </w:rPr>
        <w:t>.</w:t>
      </w:r>
    </w:p>
    <w:p w14:paraId="66CA913A" w14:textId="28044C8E" w:rsidR="0067203C" w:rsidRPr="00E548E5" w:rsidRDefault="0067203C" w:rsidP="003830A3">
      <w:pPr>
        <w:pStyle w:val="ListParagraph"/>
        <w:numPr>
          <w:ilvl w:val="0"/>
          <w:numId w:val="1"/>
        </w:numPr>
        <w:spacing w:before="240" w:after="0" w:line="276" w:lineRule="auto"/>
        <w:ind w:left="714" w:hanging="357"/>
        <w:rPr>
          <w:rFonts w:ascii="Times New Roman" w:hAnsi="Times New Roman" w:cs="Times New Roman"/>
          <w:bCs/>
          <w:sz w:val="24"/>
          <w:szCs w:val="24"/>
        </w:rPr>
      </w:pPr>
      <w:r>
        <w:rPr>
          <w:rFonts w:ascii="Times New Roman" w:hAnsi="Times New Roman" w:cs="Times New Roman"/>
          <w:bCs/>
          <w:sz w:val="24"/>
          <w:szCs w:val="24"/>
        </w:rPr>
        <w:t>This</w:t>
      </w:r>
      <w:r w:rsidRPr="00E548E5">
        <w:rPr>
          <w:rFonts w:ascii="Times New Roman" w:hAnsi="Times New Roman" w:cs="Times New Roman"/>
          <w:bCs/>
          <w:sz w:val="24"/>
          <w:szCs w:val="24"/>
        </w:rPr>
        <w:t xml:space="preserve"> </w:t>
      </w:r>
      <w:r>
        <w:rPr>
          <w:rFonts w:ascii="Times New Roman" w:hAnsi="Times New Roman" w:cs="Times New Roman"/>
          <w:bCs/>
          <w:sz w:val="24"/>
          <w:szCs w:val="24"/>
        </w:rPr>
        <w:t xml:space="preserve">instrument </w:t>
      </w:r>
      <w:r w:rsidRPr="00E548E5">
        <w:rPr>
          <w:rFonts w:ascii="Times New Roman" w:hAnsi="Times New Roman" w:cs="Times New Roman"/>
          <w:bCs/>
          <w:sz w:val="24"/>
          <w:szCs w:val="24"/>
        </w:rPr>
        <w:t>is a</w:t>
      </w:r>
      <w:r w:rsidR="00C32C7D">
        <w:rPr>
          <w:rFonts w:ascii="Times New Roman" w:hAnsi="Times New Roman" w:cs="Times New Roman"/>
          <w:bCs/>
          <w:sz w:val="24"/>
          <w:szCs w:val="24"/>
        </w:rPr>
        <w:t xml:space="preserve"> disallowable</w:t>
      </w:r>
      <w:r w:rsidRPr="00E548E5">
        <w:rPr>
          <w:rFonts w:ascii="Times New Roman" w:hAnsi="Times New Roman" w:cs="Times New Roman"/>
          <w:bCs/>
          <w:sz w:val="24"/>
          <w:szCs w:val="24"/>
        </w:rPr>
        <w:t xml:space="preserve"> legislative instrument.</w:t>
      </w:r>
    </w:p>
    <w:p w14:paraId="04323A63" w14:textId="77777777" w:rsidR="0067203C" w:rsidRDefault="0067203C" w:rsidP="0067203C">
      <w:pPr>
        <w:pStyle w:val="LDAmendHeading"/>
      </w:pPr>
      <w:r>
        <w:t>Overview</w:t>
      </w:r>
    </w:p>
    <w:p w14:paraId="15F6930D" w14:textId="77777777" w:rsidR="0018698D" w:rsidRDefault="00C153DB" w:rsidP="003830A3">
      <w:pPr>
        <w:pStyle w:val="ListParagraph"/>
        <w:numPr>
          <w:ilvl w:val="0"/>
          <w:numId w:val="1"/>
        </w:numPr>
        <w:spacing w:before="240" w:after="0" w:line="276"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Subsection</w:t>
      </w:r>
      <w:r w:rsidR="0018698D">
        <w:rPr>
          <w:rFonts w:ascii="Times New Roman" w:hAnsi="Times New Roman" w:cs="Times New Roman"/>
          <w:color w:val="000000"/>
          <w:sz w:val="24"/>
          <w:szCs w:val="24"/>
        </w:rPr>
        <w:t xml:space="preserve"> 155(7) of the Act allows the Principal Member to dismiss an application for the review of a decision if—</w:t>
      </w:r>
    </w:p>
    <w:p w14:paraId="2F741E35" w14:textId="77777777" w:rsidR="0018698D" w:rsidRDefault="0018698D" w:rsidP="003830A3">
      <w:pPr>
        <w:pStyle w:val="ListParagraph"/>
        <w:numPr>
          <w:ilvl w:val="1"/>
          <w:numId w:val="1"/>
        </w:numPr>
        <w:spacing w:before="240"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National Registrar has given written notice to the applicant, telling the applicant that the decision sought to be reviewed does not appear to be reviewable by the Board; and</w:t>
      </w:r>
    </w:p>
    <w:p w14:paraId="14B7B1D8" w14:textId="77777777" w:rsidR="0018698D" w:rsidRDefault="0018698D" w:rsidP="003830A3">
      <w:pPr>
        <w:pStyle w:val="ListParagraph"/>
        <w:numPr>
          <w:ilvl w:val="1"/>
          <w:numId w:val="1"/>
        </w:numPr>
        <w:spacing w:before="240"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applicant is unable to show that the decision is reviewable by the </w:t>
      </w:r>
      <w:r w:rsidR="00C32C7D">
        <w:rPr>
          <w:rFonts w:ascii="Times New Roman" w:hAnsi="Times New Roman" w:cs="Times New Roman"/>
          <w:color w:val="000000"/>
          <w:sz w:val="24"/>
          <w:szCs w:val="24"/>
        </w:rPr>
        <w:t xml:space="preserve">Veterans’ Review </w:t>
      </w:r>
      <w:r>
        <w:rPr>
          <w:rFonts w:ascii="Times New Roman" w:hAnsi="Times New Roman" w:cs="Times New Roman"/>
          <w:color w:val="000000"/>
          <w:sz w:val="24"/>
          <w:szCs w:val="24"/>
        </w:rPr>
        <w:t xml:space="preserve">Board before the end of a period prescribed </w:t>
      </w:r>
      <w:r w:rsidR="00C153DB">
        <w:rPr>
          <w:rFonts w:ascii="Times New Roman" w:hAnsi="Times New Roman" w:cs="Times New Roman"/>
          <w:color w:val="000000"/>
          <w:sz w:val="24"/>
          <w:szCs w:val="24"/>
        </w:rPr>
        <w:t>by the Minister.</w:t>
      </w:r>
    </w:p>
    <w:p w14:paraId="662E7618" w14:textId="77777777" w:rsidR="00C153DB" w:rsidRDefault="00C153DB" w:rsidP="003830A3">
      <w:pPr>
        <w:pStyle w:val="ListParagraph"/>
        <w:numPr>
          <w:ilvl w:val="0"/>
          <w:numId w:val="1"/>
        </w:numPr>
        <w:spacing w:before="240"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Paragraph 155(7)(b) of the Act confers on the Minister the power to make a legislative instrument prescribing the period (the </w:t>
      </w:r>
      <w:r>
        <w:rPr>
          <w:rFonts w:ascii="Times New Roman" w:hAnsi="Times New Roman" w:cs="Times New Roman"/>
          <w:b/>
          <w:i/>
          <w:color w:val="000000"/>
          <w:sz w:val="24"/>
          <w:szCs w:val="24"/>
        </w:rPr>
        <w:t>prescribed period</w:t>
      </w:r>
      <w:r>
        <w:rPr>
          <w:rFonts w:ascii="Times New Roman" w:hAnsi="Times New Roman" w:cs="Times New Roman"/>
          <w:color w:val="000000"/>
          <w:sz w:val="24"/>
          <w:szCs w:val="24"/>
        </w:rPr>
        <w:t>).</w:t>
      </w:r>
      <w:r w:rsidR="00DE003D">
        <w:rPr>
          <w:rFonts w:ascii="Times New Roman" w:hAnsi="Times New Roman" w:cs="Times New Roman"/>
          <w:color w:val="000000"/>
          <w:sz w:val="24"/>
          <w:szCs w:val="24"/>
        </w:rPr>
        <w:t xml:space="preserve"> This instrument is made under the power.</w:t>
      </w:r>
    </w:p>
    <w:p w14:paraId="1F7573A0" w14:textId="47F9A779" w:rsidR="00C153DB" w:rsidRDefault="00C32C7D" w:rsidP="003830A3">
      <w:pPr>
        <w:pStyle w:val="ListParagraph"/>
        <w:numPr>
          <w:ilvl w:val="0"/>
          <w:numId w:val="1"/>
        </w:numPr>
        <w:spacing w:before="240" w:after="0" w:line="276"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In this</w:t>
      </w:r>
      <w:r w:rsidR="00C153DB">
        <w:rPr>
          <w:rFonts w:ascii="Times New Roman" w:hAnsi="Times New Roman" w:cs="Times New Roman"/>
          <w:color w:val="000000"/>
          <w:sz w:val="24"/>
          <w:szCs w:val="24"/>
        </w:rPr>
        <w:t xml:space="preserve"> instrument, the Minister</w:t>
      </w:r>
      <w:r w:rsidR="0067203C" w:rsidRPr="009C5E43">
        <w:rPr>
          <w:rFonts w:ascii="Times New Roman" w:hAnsi="Times New Roman" w:cs="Times New Roman"/>
          <w:color w:val="000000"/>
          <w:sz w:val="24"/>
          <w:szCs w:val="24"/>
        </w:rPr>
        <w:t xml:space="preserve"> </w:t>
      </w:r>
      <w:r w:rsidR="00822FD9">
        <w:rPr>
          <w:rFonts w:ascii="Times New Roman" w:hAnsi="Times New Roman" w:cs="Times New Roman"/>
          <w:color w:val="000000"/>
          <w:sz w:val="24"/>
          <w:szCs w:val="24"/>
        </w:rPr>
        <w:t>p</w:t>
      </w:r>
      <w:r w:rsidR="00844D0B">
        <w:rPr>
          <w:rFonts w:ascii="Times New Roman" w:hAnsi="Times New Roman" w:cs="Times New Roman"/>
          <w:color w:val="000000"/>
          <w:sz w:val="24"/>
          <w:szCs w:val="24"/>
        </w:rPr>
        <w:t>rescribes a period of 28 days</w:t>
      </w:r>
      <w:r w:rsidR="00C153DB">
        <w:rPr>
          <w:rFonts w:ascii="Times New Roman" w:hAnsi="Times New Roman" w:cs="Times New Roman"/>
          <w:color w:val="000000"/>
          <w:sz w:val="24"/>
          <w:szCs w:val="24"/>
        </w:rPr>
        <w:t xml:space="preserve"> beginning from the day the National Registrar notifies the applicant as the period before the end of which the applicant must show that a decision is reviewable by the Board. If the applicant is unable to show that before the end of the prescribed period, the power of the Principal Member to dismiss the application without reviewing it is enlivened.</w:t>
      </w:r>
    </w:p>
    <w:p w14:paraId="77E19318" w14:textId="18BCC029" w:rsidR="00844D0B" w:rsidRDefault="00F87811" w:rsidP="003830A3">
      <w:pPr>
        <w:pStyle w:val="ListParagraph"/>
        <w:numPr>
          <w:ilvl w:val="0"/>
          <w:numId w:val="1"/>
        </w:numPr>
        <w:spacing w:before="240" w:after="0" w:line="276"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section 36 of the </w:t>
      </w:r>
      <w:r>
        <w:rPr>
          <w:rFonts w:ascii="Times New Roman" w:hAnsi="Times New Roman" w:cs="Times New Roman"/>
          <w:i/>
          <w:color w:val="000000"/>
          <w:sz w:val="24"/>
          <w:szCs w:val="24"/>
        </w:rPr>
        <w:t>Acts Interpretation Act 1901</w:t>
      </w:r>
      <w:r>
        <w:rPr>
          <w:rFonts w:ascii="Times New Roman" w:hAnsi="Times New Roman" w:cs="Times New Roman"/>
          <w:color w:val="000000"/>
          <w:sz w:val="24"/>
          <w:szCs w:val="24"/>
        </w:rPr>
        <w:t>, the first day of the 28-day period is the day after the day the National Registrar notifies the applicant in writing under paragraph 155(7)(a) of the Act.</w:t>
      </w:r>
    </w:p>
    <w:p w14:paraId="61F13501" w14:textId="77777777" w:rsidR="007650E0" w:rsidRPr="007650E0" w:rsidRDefault="0067203C" w:rsidP="007650E0">
      <w:pPr>
        <w:pStyle w:val="LDAmendHeading"/>
      </w:pPr>
      <w:r>
        <w:t>Consultation</w:t>
      </w:r>
    </w:p>
    <w:p w14:paraId="7D8B477E" w14:textId="583D90A0" w:rsidR="007650E0" w:rsidRPr="00F708D3" w:rsidRDefault="0095184D" w:rsidP="003830A3">
      <w:pPr>
        <w:pStyle w:val="ListParagraph"/>
        <w:spacing w:after="240"/>
        <w:rPr>
          <w:rFonts w:ascii="Times New Roman" w:hAnsi="Times New Roman" w:cs="Times New Roman"/>
          <w:sz w:val="24"/>
          <w:szCs w:val="24"/>
        </w:rPr>
      </w:pPr>
      <w:r w:rsidRPr="00F708D3">
        <w:rPr>
          <w:rFonts w:ascii="Times New Roman" w:hAnsi="Times New Roman" w:cs="Times New Roman"/>
          <w:sz w:val="24"/>
          <w:szCs w:val="24"/>
        </w:rPr>
        <w:t xml:space="preserve">The Veterans’ Review Board was consulted in the development of this Instrument.  </w:t>
      </w:r>
    </w:p>
    <w:p w14:paraId="1034E1AC" w14:textId="77777777" w:rsidR="0067203C" w:rsidRDefault="0067203C" w:rsidP="0067203C">
      <w:pPr>
        <w:pStyle w:val="LDAmendHeading"/>
      </w:pPr>
      <w:r>
        <w:t>Commencement</w:t>
      </w:r>
    </w:p>
    <w:p w14:paraId="57C23263" w14:textId="77777777" w:rsidR="0067203C" w:rsidRPr="008120A8" w:rsidRDefault="0067203C" w:rsidP="003830A3">
      <w:pPr>
        <w:pStyle w:val="LDMinuteParagraph"/>
        <w:tabs>
          <w:tab w:val="clear" w:pos="142"/>
          <w:tab w:val="clear" w:pos="360"/>
        </w:tabs>
        <w:ind w:left="720"/>
        <w:rPr>
          <w:b/>
        </w:rPr>
      </w:pPr>
      <w:r w:rsidRPr="003F3302">
        <w:t xml:space="preserve">The </w:t>
      </w:r>
      <w:r w:rsidRPr="00D2586E">
        <w:rPr>
          <w:color w:val="000000"/>
        </w:rPr>
        <w:t>instrument</w:t>
      </w:r>
      <w:r w:rsidRPr="003F3302">
        <w:t xml:space="preserve"> commences on the day after</w:t>
      </w:r>
      <w:r w:rsidR="00E92F14">
        <w:t xml:space="preserve"> the day it is registered</w:t>
      </w:r>
      <w:r w:rsidRPr="003F3302">
        <w:t>.</w:t>
      </w:r>
    </w:p>
    <w:p w14:paraId="5013F4ED" w14:textId="77777777" w:rsidR="0067203C" w:rsidRDefault="0067203C" w:rsidP="0067203C">
      <w:pPr>
        <w:pStyle w:val="LDAmendHeading"/>
      </w:pPr>
      <w:r>
        <w:lastRenderedPageBreak/>
        <w:t>Human rights implications</w:t>
      </w:r>
    </w:p>
    <w:p w14:paraId="28A816B2" w14:textId="77777777" w:rsidR="0067203C" w:rsidRDefault="0067203C" w:rsidP="003830A3">
      <w:pPr>
        <w:pStyle w:val="LDBodytext"/>
        <w:ind w:left="720"/>
      </w:pPr>
      <w:r>
        <w:t xml:space="preserve">This instrument is compatible with the human rights and freedoms recognised or declared under section 3 of the </w:t>
      </w:r>
      <w:r>
        <w:rPr>
          <w:i/>
        </w:rPr>
        <w:t>Human Rights (Parliamentary Scrutiny) Act 2011</w:t>
      </w:r>
      <w:r>
        <w:t xml:space="preserve">. A full statement of compatibility is set out in </w:t>
      </w:r>
      <w:r>
        <w:rPr>
          <w:b/>
          <w:u w:val="single"/>
        </w:rPr>
        <w:t>Attachment A.</w:t>
      </w:r>
    </w:p>
    <w:p w14:paraId="537B6209" w14:textId="77777777" w:rsidR="0067203C" w:rsidRDefault="0067203C" w:rsidP="0067203C">
      <w:pPr>
        <w:pStyle w:val="LDAmendHeading"/>
      </w:pPr>
      <w:r>
        <w:t>Making the instrument</w:t>
      </w:r>
    </w:p>
    <w:p w14:paraId="3F6CD606" w14:textId="7B5E5207" w:rsidR="00973ADD" w:rsidRDefault="00E92F14" w:rsidP="003830A3">
      <w:pPr>
        <w:pStyle w:val="LDBodytext"/>
        <w:ind w:left="720"/>
      </w:pPr>
      <w:r>
        <w:t>The instrument i</w:t>
      </w:r>
      <w:r w:rsidR="0067203C">
        <w:t xml:space="preserve">s made by the </w:t>
      </w:r>
      <w:r w:rsidR="00973ADD">
        <w:t>Minister for Veterans’ Affairs</w:t>
      </w:r>
      <w:r w:rsidR="0067203C">
        <w:t>.</w:t>
      </w:r>
    </w:p>
    <w:p w14:paraId="4D5B8D74" w14:textId="77777777" w:rsidR="0067203C" w:rsidRPr="00973ADD" w:rsidRDefault="00973ADD" w:rsidP="003830A3">
      <w:r>
        <w:br w:type="page"/>
      </w:r>
    </w:p>
    <w:p w14:paraId="284781F2" w14:textId="77777777" w:rsidR="0067203C" w:rsidRPr="00216E4F" w:rsidRDefault="0067203C" w:rsidP="0067203C">
      <w:pPr>
        <w:pStyle w:val="Title"/>
        <w:jc w:val="left"/>
        <w:rPr>
          <w:u w:val="single"/>
        </w:rPr>
      </w:pPr>
      <w:r w:rsidRPr="00216E4F">
        <w:rPr>
          <w:u w:val="single"/>
        </w:rPr>
        <w:lastRenderedPageBreak/>
        <w:t>Attachment A</w:t>
      </w:r>
    </w:p>
    <w:p w14:paraId="5A50E21A" w14:textId="77777777" w:rsidR="0067203C" w:rsidRDefault="0067203C" w:rsidP="0067203C">
      <w:pPr>
        <w:pStyle w:val="Title"/>
        <w:jc w:val="left"/>
      </w:pPr>
    </w:p>
    <w:p w14:paraId="6BFEDA55" w14:textId="77777777" w:rsidR="0067203C" w:rsidRDefault="0067203C" w:rsidP="0067203C">
      <w:pPr>
        <w:pStyle w:val="Title"/>
      </w:pPr>
      <w:r>
        <w:t>Statement of Compatibility with Human Rights</w:t>
      </w:r>
    </w:p>
    <w:p w14:paraId="2B0AD562" w14:textId="77777777" w:rsidR="0067203C" w:rsidRDefault="0067203C" w:rsidP="0067203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59A8D6A9" w14:textId="77777777" w:rsidR="008D409B" w:rsidRDefault="008D409B" w:rsidP="008D409B">
      <w:pPr>
        <w:pStyle w:val="Title"/>
        <w:rPr>
          <w:i/>
        </w:rPr>
      </w:pPr>
    </w:p>
    <w:p w14:paraId="3D3FE4DD" w14:textId="55C930B5" w:rsidR="008D409B" w:rsidRPr="008D409B" w:rsidRDefault="008D409B" w:rsidP="008D409B">
      <w:pPr>
        <w:pStyle w:val="Title"/>
        <w:rPr>
          <w:i/>
        </w:rPr>
      </w:pPr>
      <w:r w:rsidRPr="008D409B">
        <w:rPr>
          <w:i/>
        </w:rPr>
        <w:t>Veterans' Entitlements (Period to Show Decision Reviewable</w:t>
      </w:r>
      <w:r w:rsidR="002628A9">
        <w:rPr>
          <w:i/>
        </w:rPr>
        <w:t xml:space="preserve"> by Veterans’ Review Board</w:t>
      </w:r>
      <w:r w:rsidRPr="008D409B">
        <w:rPr>
          <w:i/>
        </w:rPr>
        <w:t>) Instrument 202</w:t>
      </w:r>
      <w:r w:rsidR="00C44DB9">
        <w:rPr>
          <w:i/>
        </w:rPr>
        <w:t>5</w:t>
      </w:r>
    </w:p>
    <w:p w14:paraId="573BD976" w14:textId="77777777" w:rsidR="008D409B" w:rsidRDefault="008D409B" w:rsidP="008D409B">
      <w:pPr>
        <w:rPr>
          <w:sz w:val="24"/>
          <w:szCs w:val="24"/>
        </w:rPr>
      </w:pPr>
    </w:p>
    <w:p w14:paraId="2E126247" w14:textId="7EDBD968" w:rsidR="0071659B" w:rsidRDefault="008D409B" w:rsidP="008D409B">
      <w:pPr>
        <w:pStyle w:val="Normal1"/>
        <w:spacing w:before="0" w:beforeAutospacing="0" w:after="0" w:afterAutospacing="0"/>
        <w:rPr>
          <w:lang w:val="en-AU" w:eastAsia="en-AU"/>
        </w:rPr>
      </w:pPr>
      <w:r w:rsidRPr="00E97B85">
        <w:rPr>
          <w:lang w:val="en-AU" w:eastAsia="en-AU"/>
        </w:rPr>
        <w:t xml:space="preserve">The attached legislative instrument </w:t>
      </w:r>
      <w:r w:rsidR="00134A92">
        <w:rPr>
          <w:lang w:val="en-AU" w:eastAsia="en-AU"/>
        </w:rPr>
        <w:t>engages</w:t>
      </w:r>
      <w:r w:rsidRPr="00E97B85">
        <w:rPr>
          <w:lang w:val="en-AU" w:eastAsia="en-AU"/>
        </w:rPr>
        <w:t xml:space="preserve"> an applicable right or freedom. </w:t>
      </w:r>
      <w:r w:rsidR="00134A92">
        <w:rPr>
          <w:lang w:val="en-AU" w:eastAsia="en-AU"/>
        </w:rPr>
        <w:t xml:space="preserve">This instrument may be </w:t>
      </w:r>
      <w:r w:rsidR="0071659B">
        <w:rPr>
          <w:lang w:val="en-AU" w:eastAsia="en-AU"/>
        </w:rPr>
        <w:t>perceived</w:t>
      </w:r>
      <w:r w:rsidR="00134A92">
        <w:rPr>
          <w:lang w:val="en-AU" w:eastAsia="en-AU"/>
        </w:rPr>
        <w:t xml:space="preserve"> to have limited the right outlined in</w:t>
      </w:r>
      <w:r w:rsidRPr="00E97B85">
        <w:rPr>
          <w:lang w:val="en-AU" w:eastAsia="en-AU"/>
        </w:rPr>
        <w:t xml:space="preserve"> Article 14(1) of the International Covenant on Civil and Political Rights (ICCPR):</w:t>
      </w:r>
    </w:p>
    <w:p w14:paraId="1251128A" w14:textId="77777777" w:rsidR="0071659B" w:rsidRDefault="0071659B" w:rsidP="008D409B">
      <w:pPr>
        <w:pStyle w:val="Normal1"/>
        <w:spacing w:before="0" w:beforeAutospacing="0" w:after="0" w:afterAutospacing="0"/>
        <w:rPr>
          <w:lang w:val="en-AU" w:eastAsia="en-AU"/>
        </w:rPr>
      </w:pPr>
    </w:p>
    <w:p w14:paraId="4B40FC51" w14:textId="013211FE" w:rsidR="008D409B" w:rsidRPr="003830A3" w:rsidRDefault="008D409B" w:rsidP="0071659B">
      <w:pPr>
        <w:pStyle w:val="Normal1"/>
        <w:spacing w:before="0" w:beforeAutospacing="0" w:after="0" w:afterAutospacing="0"/>
        <w:ind w:left="426"/>
        <w:rPr>
          <w:sz w:val="22"/>
          <w:lang w:val="en-AU" w:eastAsia="en-AU"/>
        </w:rPr>
      </w:pPr>
      <w:r w:rsidRPr="003830A3">
        <w:rPr>
          <w:sz w:val="22"/>
          <w:lang w:val="en-AU" w:eastAsia="en-AU"/>
        </w:rPr>
        <w:t>All persons shall be equal before the courts and tribunals.  In the determination of any criminal charge against him, or his rights and obligations in a suit at law, everyone shall be entitled to a fair and public hearing by a competent, independent and impartial tribunal established by law</w:t>
      </w:r>
    </w:p>
    <w:p w14:paraId="171C9482" w14:textId="77777777" w:rsidR="0071659B" w:rsidRDefault="0071659B" w:rsidP="008D409B">
      <w:pPr>
        <w:pStyle w:val="Normal1"/>
        <w:spacing w:before="0" w:beforeAutospacing="0" w:after="0" w:afterAutospacing="0"/>
        <w:rPr>
          <w:lang w:val="en-AU" w:eastAsia="en-AU"/>
        </w:rPr>
      </w:pPr>
    </w:p>
    <w:p w14:paraId="3E79F3FA" w14:textId="77777777" w:rsidR="0071659B" w:rsidRDefault="0071659B" w:rsidP="008D409B">
      <w:pPr>
        <w:pStyle w:val="Normal1"/>
        <w:spacing w:before="0" w:beforeAutospacing="0" w:after="0" w:afterAutospacing="0"/>
        <w:rPr>
          <w:lang w:val="en-AU" w:eastAsia="en-AU"/>
        </w:rPr>
      </w:pPr>
      <w:r>
        <w:rPr>
          <w:lang w:val="en-AU" w:eastAsia="en-AU"/>
        </w:rPr>
        <w:t>The right under Article 14(1) of the ICCPR encompasses the right to a fair hearing. One element of the right to a fair hearing is that each party must have a reasonable opportunity to present their case.</w:t>
      </w:r>
      <w:r>
        <w:rPr>
          <w:rStyle w:val="FootnoteReference"/>
          <w:lang w:val="en-AU" w:eastAsia="en-AU"/>
        </w:rPr>
        <w:footnoteReference w:id="1"/>
      </w:r>
      <w:r>
        <w:rPr>
          <w:lang w:val="en-AU" w:eastAsia="en-AU"/>
        </w:rPr>
        <w:t xml:space="preserve"> It also includes the obligation that a matter be finalised expeditiously within a reasonable period and undue delay.</w:t>
      </w:r>
    </w:p>
    <w:p w14:paraId="679192DD" w14:textId="77777777" w:rsidR="0071659B" w:rsidRDefault="0071659B" w:rsidP="008D409B">
      <w:pPr>
        <w:pStyle w:val="Normal1"/>
        <w:spacing w:before="0" w:beforeAutospacing="0" w:after="0" w:afterAutospacing="0"/>
        <w:rPr>
          <w:lang w:val="en-AU" w:eastAsia="en-AU"/>
        </w:rPr>
      </w:pPr>
    </w:p>
    <w:p w14:paraId="56BC0858" w14:textId="77777777" w:rsidR="0071659B" w:rsidRDefault="0071659B" w:rsidP="008D409B">
      <w:pPr>
        <w:pStyle w:val="Normal1"/>
        <w:spacing w:before="0" w:beforeAutospacing="0" w:after="0" w:afterAutospacing="0"/>
        <w:rPr>
          <w:lang w:val="en-AU" w:eastAsia="en-AU"/>
        </w:rPr>
      </w:pPr>
      <w:r>
        <w:rPr>
          <w:lang w:val="en-AU" w:eastAsia="en-AU"/>
        </w:rPr>
        <w:t>Although this instrument prescribes a set period within which an applicant for review of decision must show that the decision is reviewable by the Veterans’ Review Board, it is a reasonable period of 28 days after the day the National Registrar notifies the applicant under paragraph 155(7)(a) of the Act.</w:t>
      </w:r>
    </w:p>
    <w:p w14:paraId="0698EC91" w14:textId="77777777" w:rsidR="0071659B" w:rsidRDefault="0071659B" w:rsidP="008D409B">
      <w:pPr>
        <w:pStyle w:val="Normal1"/>
        <w:spacing w:before="0" w:beforeAutospacing="0" w:after="0" w:afterAutospacing="0"/>
        <w:rPr>
          <w:lang w:val="en-AU" w:eastAsia="en-AU"/>
        </w:rPr>
      </w:pPr>
    </w:p>
    <w:p w14:paraId="33B82CED" w14:textId="77777777" w:rsidR="0071659B" w:rsidRDefault="0071659B" w:rsidP="008D409B">
      <w:pPr>
        <w:pStyle w:val="Normal1"/>
        <w:spacing w:before="0" w:beforeAutospacing="0" w:after="0" w:afterAutospacing="0"/>
        <w:rPr>
          <w:lang w:val="en-AU" w:eastAsia="en-AU"/>
        </w:rPr>
      </w:pPr>
      <w:r>
        <w:rPr>
          <w:lang w:val="en-AU" w:eastAsia="en-AU"/>
        </w:rPr>
        <w:t>Also, the application for review is not dismissed automatically if the applicant fails to show the decision is reviewable by the end of the prescribed period. Rather, it merely allows the Principal Member of the Board to dismiss the application. The Principal Member may, but need not, dismiss the application.</w:t>
      </w:r>
    </w:p>
    <w:p w14:paraId="3BA0470E" w14:textId="77777777" w:rsidR="0071659B" w:rsidRDefault="0071659B" w:rsidP="008D409B">
      <w:pPr>
        <w:pStyle w:val="Normal1"/>
        <w:spacing w:before="0" w:beforeAutospacing="0" w:after="0" w:afterAutospacing="0"/>
        <w:rPr>
          <w:lang w:val="en-AU" w:eastAsia="en-AU"/>
        </w:rPr>
      </w:pPr>
    </w:p>
    <w:p w14:paraId="0ED2BE74" w14:textId="77777777" w:rsidR="0071659B" w:rsidRPr="00E97B85" w:rsidRDefault="0071659B" w:rsidP="008D409B">
      <w:pPr>
        <w:pStyle w:val="Normal1"/>
        <w:spacing w:before="0" w:beforeAutospacing="0" w:after="0" w:afterAutospacing="0"/>
        <w:rPr>
          <w:lang w:val="en-AU" w:eastAsia="en-AU"/>
        </w:rPr>
      </w:pPr>
      <w:r>
        <w:rPr>
          <w:lang w:val="en-AU" w:eastAsia="en-AU"/>
        </w:rPr>
        <w:t>It is in the in</w:t>
      </w:r>
      <w:r w:rsidR="00D9263C">
        <w:rPr>
          <w:lang w:val="en-AU" w:eastAsia="en-AU"/>
        </w:rPr>
        <w:t xml:space="preserve">terest of all parties to have an application for </w:t>
      </w:r>
      <w:r>
        <w:rPr>
          <w:lang w:val="en-AU" w:eastAsia="en-AU"/>
        </w:rPr>
        <w:t xml:space="preserve">review finalised expeditiously so the applicant may </w:t>
      </w:r>
      <w:r w:rsidR="00D9263C">
        <w:rPr>
          <w:lang w:val="en-AU" w:eastAsia="en-AU"/>
        </w:rPr>
        <w:t>carry on with their life with a level of certainty, and can decide on the next steps to be taken. The Commission would also be able to plan ahead as to any potential legal actions that it may be involved in in relation to the application.</w:t>
      </w:r>
    </w:p>
    <w:p w14:paraId="45E11DDD" w14:textId="48B4A44D" w:rsidR="008D409B" w:rsidRDefault="00D9263C" w:rsidP="008D409B">
      <w:pPr>
        <w:pStyle w:val="NormalWeb"/>
        <w:textAlignment w:val="top"/>
      </w:pPr>
      <w:r>
        <w:t>By</w:t>
      </w:r>
      <w:r w:rsidR="008D409B">
        <w:t xml:space="preserve"> giving a person in a legal proceeding a reasonable period in which to contest a decision by the </w:t>
      </w:r>
      <w:r>
        <w:t xml:space="preserve">Principal Member </w:t>
      </w:r>
      <w:r w:rsidR="008D409B">
        <w:t>to dismiss the person’s</w:t>
      </w:r>
      <w:r>
        <w:t xml:space="preserve"> application</w:t>
      </w:r>
      <w:r w:rsidR="008D409B">
        <w:t xml:space="preserve">, the person’s right to a fair hearing is </w:t>
      </w:r>
      <w:r>
        <w:t xml:space="preserve">in fact promoted </w:t>
      </w:r>
      <w:r w:rsidR="008D409B">
        <w:t>and thus the attached instrument is compatible with the Article 14(1) of the ICCPR.</w:t>
      </w:r>
    </w:p>
    <w:p w14:paraId="68438A30" w14:textId="4CD1538E" w:rsidR="008D409B" w:rsidRDefault="008D409B" w:rsidP="008D409B">
      <w:pPr>
        <w:pStyle w:val="NormalWeb"/>
        <w:textAlignment w:val="top"/>
      </w:pPr>
      <w:r>
        <w:t xml:space="preserve">The period of 28 days </w:t>
      </w:r>
      <w:r w:rsidR="00D9263C">
        <w:t>is prescribed</w:t>
      </w:r>
      <w:r>
        <w:t xml:space="preserve"> because it is </w:t>
      </w:r>
      <w:r w:rsidR="0073787F">
        <w:t>the period that applies</w:t>
      </w:r>
      <w:r>
        <w:t xml:space="preserve"> under the </w:t>
      </w:r>
      <w:r w:rsidR="00D9263C">
        <w:t xml:space="preserve">Act </w:t>
      </w:r>
      <w:r>
        <w:t xml:space="preserve">in a situation similar to the present. </w:t>
      </w:r>
      <w:r w:rsidR="0073787F">
        <w:t>U</w:t>
      </w:r>
      <w:r>
        <w:t>nder subsection 137(3) of the Act</w:t>
      </w:r>
      <w:r w:rsidR="00D9263C">
        <w:t>,</w:t>
      </w:r>
      <w:r>
        <w:t xml:space="preserve"> an applicant to the </w:t>
      </w:r>
      <w:r w:rsidR="00D9263C">
        <w:t xml:space="preserve">Board </w:t>
      </w:r>
      <w:r>
        <w:t xml:space="preserve">has 28 days in which to provide comments to the Secretary of the Department in relation to a report prepared by </w:t>
      </w:r>
      <w:r w:rsidR="00D9263C">
        <w:t>the Department</w:t>
      </w:r>
      <w:r>
        <w:t xml:space="preserve"> concerning evidence in</w:t>
      </w:r>
      <w:r w:rsidR="00D9263C">
        <w:t xml:space="preserve"> it</w:t>
      </w:r>
      <w:r>
        <w:t>s control that is relevant to the application.</w:t>
      </w:r>
      <w:r w:rsidR="0073787F">
        <w:t xml:space="preserve"> Consistency in the duration of the period in which an applicant for review is to </w:t>
      </w:r>
      <w:r w:rsidR="0073787F">
        <w:lastRenderedPageBreak/>
        <w:t>respond to an assertion by the Commission, the Board or the Secretary would assist applicants in navigating the review processes under the Act.</w:t>
      </w:r>
    </w:p>
    <w:p w14:paraId="02194AA7" w14:textId="0359720A" w:rsidR="008D409B" w:rsidRPr="00B1015A" w:rsidRDefault="008D409B" w:rsidP="008D409B">
      <w:pPr>
        <w:pStyle w:val="Default"/>
      </w:pPr>
      <w:r w:rsidRPr="00B1015A">
        <w:rPr>
          <w:bCs/>
        </w:rPr>
        <w:t>Conclusion</w:t>
      </w:r>
    </w:p>
    <w:p w14:paraId="1F519BC5" w14:textId="0254F988" w:rsidR="008D409B" w:rsidRPr="00A341AC" w:rsidRDefault="008D409B" w:rsidP="008D409B">
      <w:pPr>
        <w:pStyle w:val="Normal1"/>
        <w:spacing w:before="120" w:beforeAutospacing="0" w:after="120" w:afterAutospacing="0"/>
        <w:rPr>
          <w:lang w:val="en-AU" w:eastAsia="en-AU"/>
        </w:rPr>
      </w:pPr>
      <w:r w:rsidRPr="00A341AC">
        <w:rPr>
          <w:lang w:val="en-AU" w:eastAsia="en-AU"/>
        </w:rPr>
        <w:t xml:space="preserve">The attached legislative instrument is compatible with the right to a fair hearing by a </w:t>
      </w:r>
      <w:r w:rsidR="00D9263C">
        <w:rPr>
          <w:lang w:val="en-AU" w:eastAsia="en-AU"/>
        </w:rPr>
        <w:t>c</w:t>
      </w:r>
      <w:r w:rsidRPr="00A341AC">
        <w:rPr>
          <w:lang w:val="en-AU" w:eastAsia="en-AU"/>
        </w:rPr>
        <w:t xml:space="preserve">ourt or </w:t>
      </w:r>
      <w:r w:rsidR="00D9263C">
        <w:rPr>
          <w:lang w:val="en-AU" w:eastAsia="en-AU"/>
        </w:rPr>
        <w:t>t</w:t>
      </w:r>
      <w:r w:rsidRPr="00A341AC">
        <w:rPr>
          <w:lang w:val="en-AU" w:eastAsia="en-AU"/>
        </w:rPr>
        <w:t>ribunal in that the period prescribed in it for a</w:t>
      </w:r>
      <w:r w:rsidR="00D9263C">
        <w:rPr>
          <w:lang w:val="en-AU" w:eastAsia="en-AU"/>
        </w:rPr>
        <w:t xml:space="preserve"> person seeking review </w:t>
      </w:r>
      <w:r w:rsidRPr="00A341AC">
        <w:rPr>
          <w:lang w:val="en-AU" w:eastAsia="en-AU"/>
        </w:rPr>
        <w:t xml:space="preserve">to </w:t>
      </w:r>
      <w:r w:rsidR="00D9263C">
        <w:rPr>
          <w:lang w:val="en-AU" w:eastAsia="en-AU"/>
        </w:rPr>
        <w:t>show that, before the application may be dismissed, the National Registrar erred in holding that the application was not reviewable by the Board</w:t>
      </w:r>
      <w:r w:rsidRPr="00A341AC">
        <w:rPr>
          <w:lang w:val="en-AU" w:eastAsia="en-AU"/>
        </w:rPr>
        <w:t>.</w:t>
      </w:r>
    </w:p>
    <w:p w14:paraId="18D1A9C4" w14:textId="77777777" w:rsidR="0067203C" w:rsidRDefault="0067203C" w:rsidP="0067203C">
      <w:pPr>
        <w:spacing w:after="0" w:line="240" w:lineRule="auto"/>
        <w:rPr>
          <w:rFonts w:ascii="Times New Roman" w:hAnsi="Times New Roman"/>
          <w:sz w:val="24"/>
          <w:szCs w:val="24"/>
        </w:rPr>
      </w:pPr>
    </w:p>
    <w:p w14:paraId="3E6A7C7A" w14:textId="77777777" w:rsidR="0067203C" w:rsidRDefault="0067203C" w:rsidP="0067203C">
      <w:pPr>
        <w:spacing w:after="0" w:line="240" w:lineRule="auto"/>
        <w:rPr>
          <w:rFonts w:ascii="Times New Roman" w:hAnsi="Times New Roman"/>
          <w:sz w:val="24"/>
          <w:szCs w:val="24"/>
        </w:rPr>
      </w:pPr>
    </w:p>
    <w:p w14:paraId="1636179C" w14:textId="22DC9554" w:rsidR="0067203C" w:rsidRDefault="003830A3" w:rsidP="0067203C">
      <w:pPr>
        <w:spacing w:after="0" w:line="240" w:lineRule="auto"/>
        <w:rPr>
          <w:rFonts w:ascii="Times New Roman" w:hAnsi="Times New Roman"/>
          <w:sz w:val="24"/>
          <w:szCs w:val="24"/>
        </w:rPr>
      </w:pPr>
      <w:r>
        <w:rPr>
          <w:rFonts w:ascii="Times New Roman" w:hAnsi="Times New Roman"/>
          <w:sz w:val="24"/>
          <w:szCs w:val="24"/>
        </w:rPr>
        <w:t>Minister for Veterans’ Affairs</w:t>
      </w:r>
    </w:p>
    <w:p w14:paraId="3434737F" w14:textId="77777777" w:rsidR="0067203C" w:rsidRDefault="0067203C" w:rsidP="0067203C">
      <w:pPr>
        <w:spacing w:after="0" w:line="240" w:lineRule="auto"/>
        <w:rPr>
          <w:rFonts w:ascii="Times New Roman" w:hAnsi="Times New Roman"/>
          <w:sz w:val="24"/>
          <w:szCs w:val="24"/>
        </w:rPr>
      </w:pPr>
      <w:r>
        <w:rPr>
          <w:rFonts w:ascii="Times New Roman" w:hAnsi="Times New Roman"/>
          <w:sz w:val="24"/>
          <w:szCs w:val="24"/>
        </w:rPr>
        <w:t>Rule-Maker</w:t>
      </w:r>
    </w:p>
    <w:p w14:paraId="5B3F8EF9" w14:textId="77777777" w:rsidR="0067203C" w:rsidRPr="00E548E5" w:rsidRDefault="0067203C" w:rsidP="0067203C">
      <w:pPr>
        <w:pStyle w:val="Title"/>
        <w:jc w:val="left"/>
        <w:rPr>
          <w:rFonts w:ascii="Times New Roman" w:hAnsi="Times New Roman" w:cs="Times New Roman"/>
        </w:rPr>
      </w:pPr>
    </w:p>
    <w:p w14:paraId="305CDD5F" w14:textId="77777777" w:rsidR="009D3A94" w:rsidRDefault="009D3A94"/>
    <w:sectPr w:rsidR="009D3A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036E" w14:textId="77777777" w:rsidR="00E57B2F" w:rsidRDefault="00E57B2F" w:rsidP="0067203C">
      <w:pPr>
        <w:spacing w:after="0" w:line="240" w:lineRule="auto"/>
      </w:pPr>
      <w:r>
        <w:separator/>
      </w:r>
    </w:p>
  </w:endnote>
  <w:endnote w:type="continuationSeparator" w:id="0">
    <w:p w14:paraId="06FC1748" w14:textId="77777777" w:rsidR="00E57B2F" w:rsidRDefault="00E57B2F" w:rsidP="0067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139715FF" w14:textId="225E767C" w:rsidR="009D3A94" w:rsidRPr="00506142" w:rsidRDefault="007650E0" w:rsidP="00E76832">
        <w:pPr>
          <w:pStyle w:val="Footer"/>
          <w:pBdr>
            <w:top w:val="single" w:sz="4" w:space="1" w:color="auto"/>
          </w:pBdr>
          <w:rPr>
            <w:rFonts w:ascii="Arial" w:hAnsi="Arial" w:cs="Arial"/>
            <w:sz w:val="16"/>
            <w:szCs w:val="16"/>
          </w:rPr>
        </w:pPr>
        <w:r>
          <w:rPr>
            <w:rFonts w:ascii="Arial" w:hAnsi="Arial" w:cs="Arial"/>
            <w:i/>
            <w:sz w:val="16"/>
            <w:szCs w:val="16"/>
          </w:rPr>
          <w:t>Veterans’ Entitlements (P</w:t>
        </w:r>
        <w:r w:rsidR="0067203C">
          <w:rPr>
            <w:rFonts w:ascii="Arial" w:hAnsi="Arial" w:cs="Arial"/>
            <w:i/>
            <w:sz w:val="16"/>
            <w:szCs w:val="16"/>
          </w:rPr>
          <w:t>eriod to Show Decision Reviewable</w:t>
        </w:r>
        <w:r w:rsidR="002628A9">
          <w:rPr>
            <w:rFonts w:ascii="Arial" w:hAnsi="Arial" w:cs="Arial"/>
            <w:i/>
            <w:sz w:val="16"/>
            <w:szCs w:val="16"/>
          </w:rPr>
          <w:t xml:space="preserve"> by Veterans’ Review Board</w:t>
        </w:r>
        <w:r>
          <w:rPr>
            <w:rFonts w:ascii="Arial" w:hAnsi="Arial" w:cs="Arial"/>
            <w:i/>
            <w:sz w:val="16"/>
            <w:szCs w:val="16"/>
          </w:rPr>
          <w:t>)</w:t>
        </w:r>
        <w:r w:rsidR="0067203C">
          <w:rPr>
            <w:rFonts w:ascii="Arial" w:hAnsi="Arial" w:cs="Arial"/>
            <w:i/>
            <w:sz w:val="16"/>
            <w:szCs w:val="16"/>
          </w:rPr>
          <w:t xml:space="preserve"> Instrument</w:t>
        </w:r>
        <w:r>
          <w:rPr>
            <w:rFonts w:ascii="Arial" w:hAnsi="Arial" w:cs="Arial"/>
            <w:i/>
            <w:sz w:val="16"/>
            <w:szCs w:val="16"/>
          </w:rPr>
          <w:t xml:space="preserve"> 202</w:t>
        </w:r>
        <w:r w:rsidR="00C44DB9">
          <w:rPr>
            <w:rFonts w:ascii="Arial" w:hAnsi="Arial" w:cs="Arial"/>
            <w:i/>
            <w:sz w:val="16"/>
            <w:szCs w:val="16"/>
          </w:rPr>
          <w:t>5</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3787F">
          <w:rPr>
            <w:rStyle w:val="PageNumber"/>
            <w:rFonts w:ascii="Arial" w:hAnsi="Arial" w:cs="Arial"/>
            <w:noProof/>
            <w:sz w:val="16"/>
            <w:szCs w:val="16"/>
          </w:rPr>
          <w:t>4</w:t>
        </w:r>
        <w:r w:rsidRPr="00DE2A5F">
          <w:rPr>
            <w:rStyle w:val="PageNumber"/>
            <w:rFonts w:ascii="Arial" w:hAnsi="Arial" w:cs="Arial"/>
            <w:sz w:val="16"/>
            <w:szCs w:val="16"/>
          </w:rPr>
          <w:fldChar w:fldCharType="end"/>
        </w:r>
      </w:p>
      <w:p w14:paraId="2633900F" w14:textId="77777777" w:rsidR="009D3A94" w:rsidRDefault="004D0691"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CA24" w14:textId="77777777" w:rsidR="00E57B2F" w:rsidRDefault="00E57B2F" w:rsidP="0067203C">
      <w:pPr>
        <w:spacing w:after="0" w:line="240" w:lineRule="auto"/>
      </w:pPr>
      <w:r>
        <w:separator/>
      </w:r>
    </w:p>
  </w:footnote>
  <w:footnote w:type="continuationSeparator" w:id="0">
    <w:p w14:paraId="7F5E47F7" w14:textId="77777777" w:rsidR="00E57B2F" w:rsidRDefault="00E57B2F" w:rsidP="0067203C">
      <w:pPr>
        <w:spacing w:after="0" w:line="240" w:lineRule="auto"/>
      </w:pPr>
      <w:r>
        <w:continuationSeparator/>
      </w:r>
    </w:p>
  </w:footnote>
  <w:footnote w:id="1">
    <w:p w14:paraId="3871488D" w14:textId="77777777" w:rsidR="0071659B" w:rsidRPr="0071659B" w:rsidRDefault="0071659B">
      <w:pPr>
        <w:pStyle w:val="FootnoteText"/>
      </w:pPr>
      <w:r>
        <w:rPr>
          <w:rStyle w:val="FootnoteReference"/>
        </w:rPr>
        <w:footnoteRef/>
      </w:r>
      <w:r>
        <w:t xml:space="preserve"> UN Human Rights Committee, </w:t>
      </w:r>
      <w:r>
        <w:rPr>
          <w:i/>
        </w:rPr>
        <w:t>General Comment No. 32, Article 14, Right to equality before courts and tribunals and to fair trial</w:t>
      </w:r>
      <w:r>
        <w:t xml:space="preserve"> (2007)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07E89"/>
    <w:multiLevelType w:val="hybridMultilevel"/>
    <w:tmpl w:val="3F9A8328"/>
    <w:lvl w:ilvl="0" w:tplc="302ED23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18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3C"/>
    <w:rsid w:val="00027D0D"/>
    <w:rsid w:val="00097EA2"/>
    <w:rsid w:val="000A61F9"/>
    <w:rsid w:val="000C7ED5"/>
    <w:rsid w:val="000E4A07"/>
    <w:rsid w:val="00134A92"/>
    <w:rsid w:val="0018698D"/>
    <w:rsid w:val="002628A9"/>
    <w:rsid w:val="00266365"/>
    <w:rsid w:val="00302B36"/>
    <w:rsid w:val="00333E84"/>
    <w:rsid w:val="003830A3"/>
    <w:rsid w:val="003E645D"/>
    <w:rsid w:val="003F3E02"/>
    <w:rsid w:val="004D0691"/>
    <w:rsid w:val="004D70AB"/>
    <w:rsid w:val="00564DCF"/>
    <w:rsid w:val="0067203C"/>
    <w:rsid w:val="006E484E"/>
    <w:rsid w:val="0071659B"/>
    <w:rsid w:val="00730AB0"/>
    <w:rsid w:val="0073787F"/>
    <w:rsid w:val="007650E0"/>
    <w:rsid w:val="007B1C5E"/>
    <w:rsid w:val="00802E09"/>
    <w:rsid w:val="00822FD9"/>
    <w:rsid w:val="00844D0B"/>
    <w:rsid w:val="008D409B"/>
    <w:rsid w:val="0095184D"/>
    <w:rsid w:val="00973ADD"/>
    <w:rsid w:val="009D3A94"/>
    <w:rsid w:val="00A43F96"/>
    <w:rsid w:val="00A9555A"/>
    <w:rsid w:val="00AF7B30"/>
    <w:rsid w:val="00B51C18"/>
    <w:rsid w:val="00BE1834"/>
    <w:rsid w:val="00C153DB"/>
    <w:rsid w:val="00C32C7D"/>
    <w:rsid w:val="00C44DB9"/>
    <w:rsid w:val="00C631AE"/>
    <w:rsid w:val="00C82479"/>
    <w:rsid w:val="00C85C3C"/>
    <w:rsid w:val="00CF27C9"/>
    <w:rsid w:val="00D9263C"/>
    <w:rsid w:val="00DE003D"/>
    <w:rsid w:val="00E57B2F"/>
    <w:rsid w:val="00E92F14"/>
    <w:rsid w:val="00EE7B38"/>
    <w:rsid w:val="00F708D3"/>
    <w:rsid w:val="00F87811"/>
    <w:rsid w:val="00FD5956"/>
    <w:rsid w:val="00FF1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D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203C"/>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67203C"/>
    <w:rPr>
      <w:rFonts w:ascii="Arial" w:eastAsia="Times New Roman" w:hAnsi="Arial" w:cs="Arial"/>
      <w:b/>
      <w:bCs/>
      <w:sz w:val="24"/>
      <w:szCs w:val="24"/>
    </w:rPr>
  </w:style>
  <w:style w:type="paragraph" w:customStyle="1" w:styleId="LDBodytext">
    <w:name w:val="LDBody text"/>
    <w:link w:val="LDBodytextChar"/>
    <w:rsid w:val="0067203C"/>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203C"/>
    <w:rPr>
      <w:rFonts w:ascii="Times New Roman" w:eastAsia="Times New Roman" w:hAnsi="Times New Roman" w:cs="Times New Roman"/>
      <w:sz w:val="24"/>
      <w:szCs w:val="24"/>
    </w:rPr>
  </w:style>
  <w:style w:type="character" w:customStyle="1" w:styleId="LDBoldItal">
    <w:name w:val="LDBoldItal"/>
    <w:uiPriority w:val="1"/>
    <w:qFormat/>
    <w:rsid w:val="0067203C"/>
    <w:rPr>
      <w:b/>
      <w:i/>
    </w:rPr>
  </w:style>
  <w:style w:type="paragraph" w:styleId="ListParagraph">
    <w:name w:val="List Paragraph"/>
    <w:basedOn w:val="Normal"/>
    <w:uiPriority w:val="34"/>
    <w:qFormat/>
    <w:rsid w:val="0067203C"/>
    <w:pPr>
      <w:ind w:left="720"/>
      <w:contextualSpacing/>
    </w:pPr>
  </w:style>
  <w:style w:type="paragraph" w:customStyle="1" w:styleId="LDAmendHeading">
    <w:name w:val="LDAmendHeading"/>
    <w:basedOn w:val="Normal"/>
    <w:next w:val="Normal"/>
    <w:rsid w:val="0067203C"/>
    <w:pPr>
      <w:keepNext/>
      <w:spacing w:before="180" w:after="60" w:line="240" w:lineRule="auto"/>
      <w:ind w:left="720" w:hanging="720"/>
    </w:pPr>
    <w:rPr>
      <w:rFonts w:ascii="Arial" w:eastAsia="Times New Roman" w:hAnsi="Arial" w:cs="Times New Roman"/>
      <w:b/>
      <w:sz w:val="24"/>
      <w:szCs w:val="24"/>
    </w:rPr>
  </w:style>
  <w:style w:type="paragraph" w:customStyle="1" w:styleId="LDMinuteParagraph">
    <w:name w:val="LDMinuteParagraph"/>
    <w:basedOn w:val="Normal"/>
    <w:rsid w:val="0067203C"/>
    <w:pPr>
      <w:tabs>
        <w:tab w:val="num" w:pos="142"/>
        <w:tab w:val="left" w:pos="360"/>
      </w:tabs>
      <w:overflowPunct w:val="0"/>
      <w:autoSpaceDE w:val="0"/>
      <w:autoSpaceDN w:val="0"/>
      <w:adjustRightInd w:val="0"/>
      <w:spacing w:after="120" w:line="240" w:lineRule="auto"/>
      <w:ind w:left="142"/>
      <w:textAlignment w:val="baseline"/>
    </w:pPr>
    <w:rPr>
      <w:rFonts w:ascii="Times New Roman" w:eastAsia="Times New Roman" w:hAnsi="Times New Roman" w:cs="Times New Roman"/>
      <w:sz w:val="24"/>
      <w:szCs w:val="20"/>
    </w:rPr>
  </w:style>
  <w:style w:type="paragraph" w:styleId="NormalWeb">
    <w:name w:val="Normal (Web)"/>
    <w:basedOn w:val="Normal"/>
    <w:rsid w:val="006720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72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3C"/>
  </w:style>
  <w:style w:type="paragraph" w:styleId="Footer">
    <w:name w:val="footer"/>
    <w:basedOn w:val="Normal"/>
    <w:link w:val="FooterChar"/>
    <w:unhideWhenUsed/>
    <w:rsid w:val="0067203C"/>
    <w:pPr>
      <w:tabs>
        <w:tab w:val="center" w:pos="4513"/>
        <w:tab w:val="right" w:pos="9026"/>
      </w:tabs>
      <w:spacing w:after="0" w:line="240" w:lineRule="auto"/>
    </w:pPr>
  </w:style>
  <w:style w:type="character" w:customStyle="1" w:styleId="FooterChar">
    <w:name w:val="Footer Char"/>
    <w:basedOn w:val="DefaultParagraphFont"/>
    <w:link w:val="Footer"/>
    <w:rsid w:val="0067203C"/>
  </w:style>
  <w:style w:type="character" w:styleId="PageNumber">
    <w:name w:val="page number"/>
    <w:basedOn w:val="DefaultParagraphFont"/>
    <w:rsid w:val="0067203C"/>
  </w:style>
  <w:style w:type="paragraph" w:customStyle="1" w:styleId="Normal1">
    <w:name w:val="Normal1"/>
    <w:basedOn w:val="Normal"/>
    <w:link w:val="normalChar"/>
    <w:rsid w:val="008D40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8D409B"/>
    <w:rPr>
      <w:rFonts w:ascii="Times New Roman" w:eastAsia="Times New Roman" w:hAnsi="Times New Roman" w:cs="Times New Roman"/>
      <w:sz w:val="24"/>
      <w:szCs w:val="24"/>
      <w:lang w:val="en-US"/>
    </w:rPr>
  </w:style>
  <w:style w:type="paragraph" w:customStyle="1" w:styleId="Default">
    <w:name w:val="Default"/>
    <w:rsid w:val="008D409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716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59B"/>
    <w:rPr>
      <w:sz w:val="20"/>
      <w:szCs w:val="20"/>
    </w:rPr>
  </w:style>
  <w:style w:type="character" w:styleId="FootnoteReference">
    <w:name w:val="footnote reference"/>
    <w:basedOn w:val="DefaultParagraphFont"/>
    <w:uiPriority w:val="99"/>
    <w:semiHidden/>
    <w:unhideWhenUsed/>
    <w:rsid w:val="0071659B"/>
    <w:rPr>
      <w:vertAlign w:val="superscript"/>
    </w:rPr>
  </w:style>
  <w:style w:type="paragraph" w:styleId="Revision">
    <w:name w:val="Revision"/>
    <w:hidden/>
    <w:uiPriority w:val="99"/>
    <w:semiHidden/>
    <w:rsid w:val="003830A3"/>
    <w:pPr>
      <w:spacing w:after="0" w:line="240" w:lineRule="auto"/>
    </w:pPr>
  </w:style>
  <w:style w:type="character" w:styleId="CommentReference">
    <w:name w:val="annotation reference"/>
    <w:basedOn w:val="DefaultParagraphFont"/>
    <w:uiPriority w:val="99"/>
    <w:semiHidden/>
    <w:unhideWhenUsed/>
    <w:rsid w:val="004D70AB"/>
    <w:rPr>
      <w:sz w:val="16"/>
      <w:szCs w:val="16"/>
    </w:rPr>
  </w:style>
  <w:style w:type="paragraph" w:styleId="CommentText">
    <w:name w:val="annotation text"/>
    <w:basedOn w:val="Normal"/>
    <w:link w:val="CommentTextChar"/>
    <w:uiPriority w:val="99"/>
    <w:unhideWhenUsed/>
    <w:rsid w:val="004D70AB"/>
    <w:pPr>
      <w:spacing w:line="240" w:lineRule="auto"/>
    </w:pPr>
    <w:rPr>
      <w:sz w:val="20"/>
      <w:szCs w:val="20"/>
    </w:rPr>
  </w:style>
  <w:style w:type="character" w:customStyle="1" w:styleId="CommentTextChar">
    <w:name w:val="Comment Text Char"/>
    <w:basedOn w:val="DefaultParagraphFont"/>
    <w:link w:val="CommentText"/>
    <w:uiPriority w:val="99"/>
    <w:rsid w:val="004D70AB"/>
    <w:rPr>
      <w:sz w:val="20"/>
      <w:szCs w:val="20"/>
    </w:rPr>
  </w:style>
  <w:style w:type="paragraph" w:styleId="CommentSubject">
    <w:name w:val="annotation subject"/>
    <w:basedOn w:val="CommentText"/>
    <w:next w:val="CommentText"/>
    <w:link w:val="CommentSubjectChar"/>
    <w:uiPriority w:val="99"/>
    <w:semiHidden/>
    <w:unhideWhenUsed/>
    <w:rsid w:val="004D70AB"/>
    <w:rPr>
      <w:b/>
      <w:bCs/>
    </w:rPr>
  </w:style>
  <w:style w:type="character" w:customStyle="1" w:styleId="CommentSubjectChar">
    <w:name w:val="Comment Subject Char"/>
    <w:basedOn w:val="CommentTextChar"/>
    <w:link w:val="CommentSubject"/>
    <w:uiPriority w:val="99"/>
    <w:semiHidden/>
    <w:rsid w:val="004D7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79AD-173D-4AE1-B1AE-73E0E4B6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2025-03-11T04:58:00Z</dcterms:created>
  <dcterms:modified xsi:type="dcterms:W3CDTF">2025-03-11T04:58:00Z</dcterms:modified>
</cp:coreProperties>
</file>