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9FE8" w14:textId="77777777" w:rsidR="00877A88" w:rsidRDefault="00877A88" w:rsidP="00877A88">
      <w:pPr>
        <w:pStyle w:val="Title"/>
        <w:spacing w:before="0"/>
        <w:jc w:val="center"/>
        <w:outlineLvl w:val="0"/>
        <w:rPr>
          <w:u w:val="single"/>
        </w:rPr>
      </w:pPr>
      <w:r w:rsidRPr="00407795">
        <w:rPr>
          <w:u w:val="single"/>
        </w:rPr>
        <w:t>EXPLANATORY STATEMENT</w:t>
      </w:r>
    </w:p>
    <w:p w14:paraId="1A6B611F" w14:textId="77777777" w:rsidR="00877A88" w:rsidRPr="00407795" w:rsidRDefault="00877A88" w:rsidP="00877A88">
      <w:pPr>
        <w:pStyle w:val="Title"/>
        <w:spacing w:before="0"/>
        <w:outlineLvl w:val="0"/>
        <w:rPr>
          <w:u w:val="single"/>
        </w:rPr>
      </w:pPr>
    </w:p>
    <w:p w14:paraId="7CD36BD8" w14:textId="439FED3F" w:rsidR="00631B54" w:rsidRDefault="00F82E2D" w:rsidP="00F82E2D">
      <w:pPr>
        <w:spacing w:before="0"/>
        <w:ind w:right="91"/>
        <w:jc w:val="center"/>
        <w:rPr>
          <w:rFonts w:cs="Arial"/>
          <w:szCs w:val="24"/>
        </w:rPr>
      </w:pPr>
      <w:r>
        <w:rPr>
          <w:rFonts w:cs="Arial"/>
          <w:szCs w:val="24"/>
        </w:rPr>
        <w:t>Issued by the authority of the Minister for Social Services</w:t>
      </w:r>
    </w:p>
    <w:p w14:paraId="233BAF5C" w14:textId="77777777" w:rsidR="00F82E2D" w:rsidRDefault="00F82E2D" w:rsidP="00846D04">
      <w:pPr>
        <w:spacing w:before="0"/>
        <w:ind w:right="91"/>
        <w:jc w:val="center"/>
      </w:pPr>
    </w:p>
    <w:p w14:paraId="65FEBAB7" w14:textId="77777777" w:rsidR="008C037A" w:rsidRDefault="008C037A" w:rsidP="008C037A">
      <w:pPr>
        <w:spacing w:before="0" w:after="240"/>
        <w:jc w:val="center"/>
        <w:outlineLvl w:val="0"/>
        <w:rPr>
          <w:rFonts w:cs="Arial"/>
          <w:i/>
        </w:rPr>
      </w:pPr>
      <w:r w:rsidRPr="00103F62">
        <w:rPr>
          <w:rFonts w:cs="Arial"/>
          <w:i/>
        </w:rPr>
        <w:t xml:space="preserve">National Redress Scheme for Institutional Child Sexual Abuse </w:t>
      </w:r>
      <w:r>
        <w:rPr>
          <w:rFonts w:cs="Arial"/>
          <w:i/>
        </w:rPr>
        <w:t>Act</w:t>
      </w:r>
      <w:r w:rsidRPr="00103F62">
        <w:rPr>
          <w:rFonts w:cs="Arial"/>
          <w:i/>
        </w:rPr>
        <w:t xml:space="preserve"> 2018</w:t>
      </w:r>
    </w:p>
    <w:p w14:paraId="0049893D" w14:textId="36D09D40" w:rsidR="00B40425" w:rsidRDefault="00B40425" w:rsidP="00B40425">
      <w:pPr>
        <w:pStyle w:val="BodyText"/>
        <w:spacing w:before="0" w:after="240"/>
        <w:rPr>
          <w:rFonts w:cs="Arial"/>
          <w:b w:val="0"/>
          <w:i/>
        </w:rPr>
      </w:pPr>
      <w:r w:rsidRPr="00B40425">
        <w:rPr>
          <w:rFonts w:cs="Arial"/>
          <w:b w:val="0"/>
          <w:i/>
        </w:rPr>
        <w:t xml:space="preserve">National Redress Scheme for Institutional Child Sexual Abuse Direct Personal Response Framework Amendment (Partly-participating Institutions and Other Measures) </w:t>
      </w:r>
      <w:r w:rsidR="00AF69AA">
        <w:rPr>
          <w:rFonts w:cs="Arial"/>
          <w:b w:val="0"/>
          <w:i/>
        </w:rPr>
        <w:t>2025</w:t>
      </w:r>
    </w:p>
    <w:p w14:paraId="671F0AF7" w14:textId="77777777" w:rsidR="00D750C8" w:rsidRPr="00741B28" w:rsidRDefault="00D750C8" w:rsidP="00D750C8">
      <w:pPr>
        <w:pStyle w:val="numberlist"/>
        <w:tabs>
          <w:tab w:val="center" w:pos="4677"/>
        </w:tabs>
        <w:spacing w:after="240"/>
        <w:jc w:val="both"/>
        <w:rPr>
          <w:rFonts w:cs="Arial"/>
          <w:b/>
        </w:rPr>
      </w:pPr>
      <w:r>
        <w:rPr>
          <w:rFonts w:cs="Arial"/>
          <w:b/>
        </w:rPr>
        <w:t xml:space="preserve">Purpose </w:t>
      </w:r>
    </w:p>
    <w:p w14:paraId="2CF49D8B" w14:textId="77777777" w:rsidR="00D750C8" w:rsidRPr="00631B54" w:rsidRDefault="00D750C8" w:rsidP="00D750C8">
      <w:pPr>
        <w:spacing w:before="0" w:after="240"/>
        <w:jc w:val="both"/>
        <w:outlineLvl w:val="0"/>
        <w:rPr>
          <w:rFonts w:cs="Arial"/>
          <w:iCs/>
        </w:rPr>
      </w:pPr>
      <w:r>
        <w:rPr>
          <w:rFonts w:cs="Arial"/>
          <w:iCs/>
        </w:rPr>
        <w:t xml:space="preserve">The </w:t>
      </w:r>
      <w:r w:rsidRPr="00631B54">
        <w:rPr>
          <w:rFonts w:cs="Arial"/>
          <w:iCs/>
        </w:rPr>
        <w:t xml:space="preserve">purpose of the instrument is to amend the </w:t>
      </w:r>
      <w:r w:rsidRPr="00741B28">
        <w:rPr>
          <w:rFonts w:cs="Arial"/>
          <w:i/>
        </w:rPr>
        <w:t>National Redress Scheme for Institutional Child Sexual Abuse Direct Personal Response Framework 2018</w:t>
      </w:r>
      <w:r>
        <w:rPr>
          <w:rFonts w:cs="Arial"/>
          <w:i/>
        </w:rPr>
        <w:t xml:space="preserve"> </w:t>
      </w:r>
      <w:r>
        <w:rPr>
          <w:rFonts w:cs="Arial"/>
          <w:iCs/>
        </w:rPr>
        <w:t>(the Framework)</w:t>
      </w:r>
      <w:r w:rsidRPr="00631B54">
        <w:rPr>
          <w:rFonts w:cs="Arial"/>
          <w:i/>
        </w:rPr>
        <w:t xml:space="preserve"> </w:t>
      </w:r>
      <w:r w:rsidRPr="00631B54">
        <w:rPr>
          <w:rFonts w:cs="Arial"/>
          <w:iCs/>
        </w:rPr>
        <w:t>to:</w:t>
      </w:r>
    </w:p>
    <w:p w14:paraId="26A1752F" w14:textId="603A18EB" w:rsidR="00D750C8" w:rsidRDefault="00D750C8" w:rsidP="00D750C8">
      <w:pPr>
        <w:pStyle w:val="ListParagraph"/>
        <w:numPr>
          <w:ilvl w:val="0"/>
          <w:numId w:val="13"/>
        </w:numPr>
        <w:spacing w:before="0" w:after="240"/>
        <w:jc w:val="both"/>
        <w:outlineLvl w:val="0"/>
        <w:rPr>
          <w:rFonts w:ascii="Arial" w:hAnsi="Arial" w:cs="Arial"/>
          <w:iCs/>
        </w:rPr>
      </w:pPr>
      <w:r w:rsidRPr="00741B28">
        <w:rPr>
          <w:rFonts w:ascii="Arial" w:hAnsi="Arial" w:cs="Arial"/>
          <w:iCs/>
        </w:rPr>
        <w:t xml:space="preserve">amend </w:t>
      </w:r>
      <w:r w:rsidR="006C4A54">
        <w:rPr>
          <w:rFonts w:ascii="Arial" w:hAnsi="Arial" w:cs="Arial"/>
          <w:iCs/>
        </w:rPr>
        <w:t>relevant</w:t>
      </w:r>
      <w:r w:rsidR="006C4A54" w:rsidRPr="00741B28">
        <w:rPr>
          <w:rFonts w:ascii="Arial" w:hAnsi="Arial" w:cs="Arial"/>
          <w:iCs/>
        </w:rPr>
        <w:t xml:space="preserve"> </w:t>
      </w:r>
      <w:r w:rsidRPr="00741B28">
        <w:rPr>
          <w:rFonts w:ascii="Arial" w:hAnsi="Arial" w:cs="Arial"/>
          <w:iCs/>
        </w:rPr>
        <w:t xml:space="preserve">provisions of the Framework to </w:t>
      </w:r>
      <w:r>
        <w:rPr>
          <w:rFonts w:ascii="Arial" w:hAnsi="Arial" w:cs="Arial"/>
          <w:iCs/>
        </w:rPr>
        <w:t>prescribe that</w:t>
      </w:r>
      <w:r w:rsidRPr="00741B28">
        <w:rPr>
          <w:rFonts w:ascii="Arial" w:hAnsi="Arial" w:cs="Arial"/>
          <w:iCs/>
        </w:rPr>
        <w:t xml:space="preserve"> partly-participating institutions are subject to the requirements and obligations of the Framework with respect to direct personal responses</w:t>
      </w:r>
      <w:r w:rsidR="00DB22B0">
        <w:rPr>
          <w:rFonts w:ascii="Arial" w:hAnsi="Arial" w:cs="Arial"/>
          <w:iCs/>
        </w:rPr>
        <w:t xml:space="preserve"> (DPRs)</w:t>
      </w:r>
      <w:r>
        <w:rPr>
          <w:rFonts w:ascii="Arial" w:hAnsi="Arial" w:cs="Arial"/>
          <w:iCs/>
        </w:rPr>
        <w:t>;</w:t>
      </w:r>
      <w:r w:rsidRPr="00741B28">
        <w:rPr>
          <w:rFonts w:ascii="Arial" w:hAnsi="Arial" w:cs="Arial"/>
          <w:iCs/>
        </w:rPr>
        <w:t xml:space="preserve"> </w:t>
      </w:r>
    </w:p>
    <w:p w14:paraId="5AD8033B" w14:textId="0C008996" w:rsidR="00D750C8" w:rsidRPr="005D05CF" w:rsidRDefault="00D750C8" w:rsidP="000570A9">
      <w:pPr>
        <w:pStyle w:val="ListParagraph"/>
        <w:numPr>
          <w:ilvl w:val="0"/>
          <w:numId w:val="13"/>
        </w:numPr>
        <w:spacing w:before="0" w:after="240"/>
        <w:jc w:val="both"/>
        <w:outlineLvl w:val="0"/>
      </w:pPr>
      <w:r w:rsidRPr="00D750C8">
        <w:rPr>
          <w:rFonts w:ascii="Arial" w:hAnsi="Arial" w:cs="Arial"/>
          <w:iCs/>
        </w:rPr>
        <w:t xml:space="preserve">amend the review and reporting obligations of participating and partly-participating institutions to require institutions to report complaints every 6 months and include additional criteria to promote better quality </w:t>
      </w:r>
      <w:r w:rsidR="006C4A54">
        <w:rPr>
          <w:rFonts w:ascii="Arial" w:hAnsi="Arial" w:cs="Arial"/>
          <w:iCs/>
        </w:rPr>
        <w:t xml:space="preserve">DPRs </w:t>
      </w:r>
      <w:r w:rsidRPr="00D750C8">
        <w:rPr>
          <w:rFonts w:ascii="Arial" w:hAnsi="Arial" w:cs="Arial"/>
          <w:iCs/>
        </w:rPr>
        <w:t>for survivors.</w:t>
      </w:r>
    </w:p>
    <w:p w14:paraId="3E0C6CDF" w14:textId="5FABBBA4" w:rsidR="007B65E5" w:rsidRPr="007340D0" w:rsidDel="007B65E5" w:rsidRDefault="007B65E5" w:rsidP="00ED3698">
      <w:pPr>
        <w:spacing w:before="0" w:after="200" w:line="276" w:lineRule="auto"/>
        <w:rPr>
          <w:rFonts w:cs="Arial"/>
          <w:b/>
          <w:bCs/>
        </w:rPr>
      </w:pPr>
      <w:r>
        <w:rPr>
          <w:rFonts w:cs="Arial"/>
          <w:b/>
          <w:bCs/>
        </w:rPr>
        <w:t>Background</w:t>
      </w:r>
    </w:p>
    <w:p w14:paraId="46D2120A" w14:textId="15417910" w:rsidR="00ED3698" w:rsidRPr="000570A9" w:rsidRDefault="007B65E5" w:rsidP="00ED3698">
      <w:pPr>
        <w:spacing w:before="0" w:after="200" w:line="276" w:lineRule="auto"/>
        <w:rPr>
          <w:rFonts w:cs="Arial"/>
        </w:rPr>
      </w:pPr>
      <w:r>
        <w:rPr>
          <w:rFonts w:cs="Arial"/>
        </w:rPr>
        <w:t>T</w:t>
      </w:r>
      <w:r w:rsidR="00ED3698" w:rsidRPr="000570A9">
        <w:rPr>
          <w:rFonts w:cs="Arial"/>
        </w:rPr>
        <w:t>his instrument amend</w:t>
      </w:r>
      <w:r>
        <w:rPr>
          <w:rFonts w:cs="Arial"/>
        </w:rPr>
        <w:t>s</w:t>
      </w:r>
      <w:r w:rsidR="00ED3698" w:rsidRPr="000570A9">
        <w:rPr>
          <w:rFonts w:cs="Arial"/>
        </w:rPr>
        <w:t xml:space="preserve"> the </w:t>
      </w:r>
      <w:r w:rsidR="00ED3698" w:rsidRPr="005D05CF">
        <w:rPr>
          <w:rFonts w:cs="Arial"/>
          <w:i/>
          <w:iCs/>
        </w:rPr>
        <w:t>National Redress Scheme for Institutional Child Sexual Abuse Direct Personal Response Framework 2018</w:t>
      </w:r>
      <w:r w:rsidR="00ED3698" w:rsidRPr="000570A9">
        <w:rPr>
          <w:rFonts w:cs="Arial"/>
        </w:rPr>
        <w:t xml:space="preserve"> (the DPR Framework) to align it with</w:t>
      </w:r>
      <w:r w:rsidR="00ED3698">
        <w:rPr>
          <w:rFonts w:cs="Arial"/>
        </w:rPr>
        <w:t xml:space="preserve"> amendments made by the </w:t>
      </w:r>
      <w:r w:rsidR="00ED3698" w:rsidRPr="00810B6B">
        <w:rPr>
          <w:rFonts w:cs="Arial"/>
          <w:i/>
          <w:iCs/>
        </w:rPr>
        <w:t>National Redress Scheme for Institutional Child Sexual Abuse Amendment (Funders of Last Resort and Other Measures) Act 2021</w:t>
      </w:r>
      <w:r w:rsidR="00ED3698" w:rsidRPr="00810B6B">
        <w:rPr>
          <w:rFonts w:cs="Arial"/>
        </w:rPr>
        <w:t xml:space="preserve"> (the 2021 Amendment Act).</w:t>
      </w:r>
      <w:r w:rsidR="00ED3698">
        <w:rPr>
          <w:rFonts w:cs="Arial"/>
        </w:rPr>
        <w:t xml:space="preserve"> The 2021 Amendment Act was the result of: </w:t>
      </w:r>
    </w:p>
    <w:p w14:paraId="040AD77D" w14:textId="77777777" w:rsidR="00ED3698" w:rsidRPr="000570A9" w:rsidRDefault="00ED3698" w:rsidP="00ED3698">
      <w:pPr>
        <w:numPr>
          <w:ilvl w:val="0"/>
          <w:numId w:val="17"/>
        </w:numPr>
        <w:spacing w:before="0" w:after="200" w:line="276" w:lineRule="auto"/>
        <w:rPr>
          <w:rFonts w:cs="Arial"/>
        </w:rPr>
      </w:pPr>
      <w:r w:rsidRPr="000570A9">
        <w:rPr>
          <w:rFonts w:cs="Arial"/>
        </w:rPr>
        <w:t xml:space="preserve">actions stemming from the Australian Government response to the Final Report of the Second Year Review of the National Redress Scheme for Institutional Child Sexual Abuse (the Second Anniversary Review), and </w:t>
      </w:r>
    </w:p>
    <w:p w14:paraId="2EF97F53" w14:textId="77777777" w:rsidR="00ED3698" w:rsidRPr="000570A9" w:rsidRDefault="00ED3698" w:rsidP="00ED3698">
      <w:pPr>
        <w:numPr>
          <w:ilvl w:val="0"/>
          <w:numId w:val="17"/>
        </w:numPr>
        <w:spacing w:before="0" w:after="200" w:line="276" w:lineRule="auto"/>
        <w:rPr>
          <w:rFonts w:cs="Arial"/>
        </w:rPr>
      </w:pPr>
      <w:r w:rsidRPr="000570A9">
        <w:rPr>
          <w:rFonts w:cs="Arial"/>
        </w:rPr>
        <w:t>the Australian Government responses to the First and Second Interim Reports of the Joint Select Committee on Implementation of the National Redress Scheme (JSC reports).</w:t>
      </w:r>
    </w:p>
    <w:p w14:paraId="34964D5F" w14:textId="7FE08D1C" w:rsidR="00ED3698" w:rsidRDefault="00ED3698" w:rsidP="00ED3698">
      <w:pPr>
        <w:spacing w:before="0" w:after="200" w:line="276" w:lineRule="auto"/>
        <w:rPr>
          <w:rFonts w:cs="Arial"/>
        </w:rPr>
      </w:pPr>
      <w:r>
        <w:rPr>
          <w:rFonts w:cs="Arial"/>
        </w:rPr>
        <w:t>The DPR Framework operates as guidelines about how a DPR is to be provided under</w:t>
      </w:r>
      <w:r w:rsidR="007B65E5">
        <w:rPr>
          <w:rFonts w:cs="Arial"/>
        </w:rPr>
        <w:t xml:space="preserve"> the </w:t>
      </w:r>
      <w:r w:rsidR="007B65E5" w:rsidRPr="000570A9">
        <w:rPr>
          <w:rFonts w:cs="Arial"/>
        </w:rPr>
        <w:t>National Redress Scheme for Institutional Child Sexual Abuse</w:t>
      </w:r>
      <w:r>
        <w:rPr>
          <w:rFonts w:cs="Arial"/>
        </w:rPr>
        <w:t xml:space="preserve"> </w:t>
      </w:r>
      <w:r w:rsidR="007B65E5">
        <w:rPr>
          <w:rFonts w:cs="Arial"/>
        </w:rPr>
        <w:t>(</w:t>
      </w:r>
      <w:r>
        <w:rPr>
          <w:rFonts w:cs="Arial"/>
        </w:rPr>
        <w:t>the Scheme</w:t>
      </w:r>
      <w:r w:rsidR="007B65E5">
        <w:rPr>
          <w:rFonts w:cs="Arial"/>
        </w:rPr>
        <w:t>)</w:t>
      </w:r>
      <w:r>
        <w:rPr>
          <w:rFonts w:cs="Arial"/>
        </w:rPr>
        <w:t xml:space="preserve">, including review and reporting obligations. </w:t>
      </w:r>
    </w:p>
    <w:p w14:paraId="05231486" w14:textId="77777777" w:rsidR="00ED3698" w:rsidRDefault="00ED3698" w:rsidP="00ED3698">
      <w:pPr>
        <w:spacing w:before="0" w:after="200" w:line="276" w:lineRule="auto"/>
        <w:rPr>
          <w:rFonts w:cs="Arial"/>
        </w:rPr>
      </w:pPr>
      <w:r w:rsidRPr="00810B6B">
        <w:rPr>
          <w:rFonts w:cs="Arial"/>
        </w:rPr>
        <w:t>The Royal Commission into Institutional Responses to Child Sexual Abuse (the Royal Commission) found that many survivors spoke of the importance to their wellbeing of an institution acknowledging the abuse for which it is responsible. Such an acknowledgement often assists survivors’ sense of achieving justice and assists with the healing process.</w:t>
      </w:r>
    </w:p>
    <w:p w14:paraId="2DD71872" w14:textId="77777777" w:rsidR="00ED3698" w:rsidRPr="000570A9" w:rsidRDefault="00ED3698" w:rsidP="00ED3698">
      <w:pPr>
        <w:spacing w:before="0" w:after="200" w:line="276" w:lineRule="auto"/>
        <w:rPr>
          <w:rFonts w:cs="Arial"/>
        </w:rPr>
      </w:pPr>
      <w:r w:rsidRPr="000570A9">
        <w:rPr>
          <w:rFonts w:cs="Arial"/>
        </w:rPr>
        <w:lastRenderedPageBreak/>
        <w:t xml:space="preserve">Currently, the DPR Framework does not include partly-participating institution (PPI) arrangements, which were introduced </w:t>
      </w:r>
      <w:r>
        <w:rPr>
          <w:rFonts w:cs="Arial"/>
        </w:rPr>
        <w:t>by the 2021 Amendment Act. An institution which is partly-participating in the Scheme is listed under section 164B for a participating jurisdiction. A PPI is required to provide DPR under the Scheme, however t</w:t>
      </w:r>
      <w:r w:rsidRPr="000570A9">
        <w:rPr>
          <w:rFonts w:cs="Arial"/>
        </w:rPr>
        <w:t>he current DPR Framework does not outline the role of a PPI in delivering D</w:t>
      </w:r>
      <w:r>
        <w:rPr>
          <w:rFonts w:cs="Arial"/>
        </w:rPr>
        <w:t xml:space="preserve">PR </w:t>
      </w:r>
      <w:r w:rsidRPr="000570A9">
        <w:rPr>
          <w:rFonts w:cs="Arial"/>
        </w:rPr>
        <w:t>to survivors.</w:t>
      </w:r>
    </w:p>
    <w:p w14:paraId="2FD196FF" w14:textId="22D8B2B8" w:rsidR="00ED3698" w:rsidRPr="000570A9" w:rsidRDefault="00ED3698" w:rsidP="00ED3698">
      <w:pPr>
        <w:spacing w:before="0" w:after="200" w:line="276" w:lineRule="auto"/>
        <w:rPr>
          <w:rFonts w:cs="Arial"/>
        </w:rPr>
      </w:pPr>
      <w:r w:rsidRPr="000570A9">
        <w:rPr>
          <w:rFonts w:cs="Arial"/>
        </w:rPr>
        <w:t>Since the commencement of the Scheme, the DPR Framework has sought to contribute to the psychological and physical recovery of those survivors who entrust their experience with the Scheme and acts as an acknowledgement by the Australian Government that their abuse has had a varied and personal impact on their life.</w:t>
      </w:r>
    </w:p>
    <w:p w14:paraId="169A765A" w14:textId="77777777" w:rsidR="00ED3698" w:rsidRPr="000570A9" w:rsidRDefault="00ED3698" w:rsidP="00ED3698">
      <w:pPr>
        <w:spacing w:before="0" w:after="200" w:line="276" w:lineRule="auto"/>
        <w:rPr>
          <w:rFonts w:cs="Arial"/>
        </w:rPr>
      </w:pPr>
      <w:r>
        <w:rPr>
          <w:rFonts w:cs="Arial"/>
        </w:rPr>
        <w:t>It is important that survivors who name PPIs are provided with DPR consistent with the experience of survivors who name fully participating institutions, and to ensure that PPIs are subject to the same review and reporting obligations as fully participating institutions.</w:t>
      </w:r>
    </w:p>
    <w:p w14:paraId="641CFE43" w14:textId="77777777" w:rsidR="007B65E5" w:rsidRPr="007340D0" w:rsidRDefault="007B65E5" w:rsidP="007B65E5">
      <w:pPr>
        <w:spacing w:before="0" w:after="200" w:line="276" w:lineRule="auto"/>
        <w:rPr>
          <w:rFonts w:cs="Arial"/>
          <w:b/>
          <w:bCs/>
        </w:rPr>
      </w:pPr>
      <w:r w:rsidRPr="000570A9">
        <w:rPr>
          <w:rFonts w:cs="Arial"/>
          <w:b/>
          <w:bCs/>
        </w:rPr>
        <w:t>Overview of the legislative instrument</w:t>
      </w:r>
    </w:p>
    <w:p w14:paraId="2AD34BDF" w14:textId="77777777" w:rsidR="00ED3698" w:rsidRDefault="00ED3698" w:rsidP="00ED3698">
      <w:pPr>
        <w:spacing w:before="0" w:after="200" w:line="276" w:lineRule="auto"/>
        <w:rPr>
          <w:rFonts w:cs="Arial"/>
        </w:rPr>
      </w:pPr>
      <w:r w:rsidRPr="000570A9">
        <w:rPr>
          <w:rFonts w:cs="Arial"/>
        </w:rPr>
        <w:t xml:space="preserve">The DPR Framework has not been updated since the Scheme commenced. </w:t>
      </w:r>
    </w:p>
    <w:p w14:paraId="69C6D17B" w14:textId="77777777" w:rsidR="00ED3698" w:rsidRPr="000570A9" w:rsidRDefault="00ED3698" w:rsidP="00ED3698">
      <w:pPr>
        <w:spacing w:before="0" w:after="200" w:line="276" w:lineRule="auto"/>
        <w:rPr>
          <w:rFonts w:cs="Arial"/>
        </w:rPr>
      </w:pPr>
      <w:r w:rsidRPr="000570A9">
        <w:rPr>
          <w:rFonts w:cs="Arial"/>
        </w:rPr>
        <w:t xml:space="preserve">The proposed amendment would clarify the expectation of PPIs’ compliance with the DPR Framework, including reporting obligations, by inserting explicit references to PPIs into the </w:t>
      </w:r>
      <w:r>
        <w:rPr>
          <w:rFonts w:cs="Arial"/>
        </w:rPr>
        <w:t xml:space="preserve">DPR </w:t>
      </w:r>
      <w:r w:rsidRPr="000570A9">
        <w:rPr>
          <w:rFonts w:cs="Arial"/>
        </w:rPr>
        <w:t>Framework.</w:t>
      </w:r>
    </w:p>
    <w:p w14:paraId="0B5F4C14" w14:textId="77777777" w:rsidR="00ED3698" w:rsidRPr="000570A9" w:rsidRDefault="00ED3698" w:rsidP="00ED3698">
      <w:pPr>
        <w:spacing w:before="0" w:after="200" w:line="276" w:lineRule="auto"/>
        <w:rPr>
          <w:rFonts w:cs="Arial"/>
        </w:rPr>
      </w:pPr>
      <w:r w:rsidRPr="000570A9">
        <w:rPr>
          <w:rFonts w:cs="Arial"/>
        </w:rPr>
        <w:t>The proposed amendments also introduce additional reporting requirements for all institutions</w:t>
      </w:r>
      <w:r>
        <w:rPr>
          <w:rFonts w:cs="Arial"/>
        </w:rPr>
        <w:t>, whether or not partly-participating,</w:t>
      </w:r>
      <w:r w:rsidRPr="000570A9">
        <w:rPr>
          <w:rFonts w:cs="Arial"/>
        </w:rPr>
        <w:t xml:space="preserve"> to specifically report to the Scheme </w:t>
      </w:r>
      <w:r>
        <w:rPr>
          <w:rFonts w:cs="Arial"/>
        </w:rPr>
        <w:t>about</w:t>
      </w:r>
      <w:r w:rsidRPr="000570A9">
        <w:rPr>
          <w:rFonts w:cs="Arial"/>
        </w:rPr>
        <w:t xml:space="preserve"> any complaints made </w:t>
      </w:r>
      <w:r>
        <w:rPr>
          <w:rFonts w:cs="Arial"/>
        </w:rPr>
        <w:t xml:space="preserve">directly to an institution </w:t>
      </w:r>
      <w:r w:rsidRPr="000570A9">
        <w:rPr>
          <w:rFonts w:cs="Arial"/>
        </w:rPr>
        <w:t>about a DPR. Further, the proposed amendments will change the reporting time frame</w:t>
      </w:r>
      <w:r>
        <w:rPr>
          <w:rFonts w:cs="Arial"/>
        </w:rPr>
        <w:t xml:space="preserve"> </w:t>
      </w:r>
      <w:r w:rsidRPr="000570A9">
        <w:rPr>
          <w:rFonts w:cs="Arial"/>
        </w:rPr>
        <w:t>to every six months</w:t>
      </w:r>
      <w:r>
        <w:rPr>
          <w:rFonts w:cs="Arial"/>
        </w:rPr>
        <w:t xml:space="preserve"> – the current DPR Framework requires the matter to be reported </w:t>
      </w:r>
      <w:r w:rsidRPr="000570A9">
        <w:rPr>
          <w:rFonts w:cs="Arial"/>
        </w:rPr>
        <w:t xml:space="preserve">‘as soon as practicable’. This change fulfils a recommendation made by the JSC reports and the Second Anniversary Review by enabling better data collection on the provision of DPRs which, in turn, will inform more timely improvements to, and </w:t>
      </w:r>
      <w:r>
        <w:rPr>
          <w:rFonts w:cs="Arial"/>
        </w:rPr>
        <w:t xml:space="preserve">Scheme </w:t>
      </w:r>
      <w:r w:rsidRPr="000570A9">
        <w:rPr>
          <w:rFonts w:cs="Arial"/>
        </w:rPr>
        <w:t>support for institutions providing, DPRs.</w:t>
      </w:r>
    </w:p>
    <w:p w14:paraId="61F6606C" w14:textId="692BB1CD" w:rsidR="00ED3698" w:rsidRPr="000570A9" w:rsidRDefault="00ED3698" w:rsidP="00ED3698">
      <w:pPr>
        <w:spacing w:before="0" w:after="200" w:line="276" w:lineRule="auto"/>
        <w:rPr>
          <w:rFonts w:cs="Arial"/>
        </w:rPr>
      </w:pPr>
      <w:r w:rsidRPr="000570A9">
        <w:rPr>
          <w:rFonts w:cs="Arial"/>
        </w:rPr>
        <w:t>Amendments to this instrument have also been made to align the DPR Framework with the guiding principles of the Scheme</w:t>
      </w:r>
      <w:r w:rsidR="007B65E5">
        <w:rPr>
          <w:rFonts w:cs="Arial"/>
        </w:rPr>
        <w:t xml:space="preserve"> in </w:t>
      </w:r>
      <w:r w:rsidRPr="000570A9">
        <w:rPr>
          <w:rFonts w:cs="Arial"/>
        </w:rPr>
        <w:t xml:space="preserve">section 10 of the Act. </w:t>
      </w:r>
      <w:r w:rsidR="007B65E5">
        <w:rPr>
          <w:rFonts w:cs="Arial"/>
        </w:rPr>
        <w:t>I</w:t>
      </w:r>
      <w:r w:rsidR="005D05CF">
        <w:rPr>
          <w:rFonts w:cs="Arial"/>
        </w:rPr>
        <w:t>n</w:t>
      </w:r>
      <w:r w:rsidR="007B65E5">
        <w:rPr>
          <w:rFonts w:cs="Arial"/>
        </w:rPr>
        <w:t xml:space="preserve"> particular</w:t>
      </w:r>
      <w:r w:rsidRPr="000570A9">
        <w:rPr>
          <w:rFonts w:cs="Arial"/>
        </w:rPr>
        <w:t>, that redress should be assessed, offered and provided to avoid, as far as possible, further harming or traumatising the survivor.</w:t>
      </w:r>
      <w:r>
        <w:rPr>
          <w:rFonts w:cs="Arial"/>
        </w:rPr>
        <w:t xml:space="preserve"> Redress includes DPR as a component. </w:t>
      </w:r>
      <w:r w:rsidRPr="000570A9">
        <w:rPr>
          <w:rFonts w:cs="Arial"/>
        </w:rPr>
        <w:t xml:space="preserve"> </w:t>
      </w:r>
    </w:p>
    <w:p w14:paraId="43DE022D" w14:textId="77777777" w:rsidR="00ED3698" w:rsidRPr="000570A9" w:rsidRDefault="00ED3698" w:rsidP="00ED3698">
      <w:pPr>
        <w:spacing w:before="0" w:after="200" w:line="276" w:lineRule="auto"/>
        <w:rPr>
          <w:rFonts w:cs="Arial"/>
        </w:rPr>
      </w:pPr>
      <w:r w:rsidRPr="000570A9">
        <w:rPr>
          <w:rFonts w:cs="Arial"/>
        </w:rPr>
        <w:t>The proposed amendments to the DPR Framework will enhance benefits to survivors by:</w:t>
      </w:r>
    </w:p>
    <w:p w14:paraId="37064440" w14:textId="77777777" w:rsidR="00ED3698" w:rsidRPr="000570A9" w:rsidRDefault="00ED3698" w:rsidP="00ED3698">
      <w:pPr>
        <w:numPr>
          <w:ilvl w:val="0"/>
          <w:numId w:val="18"/>
        </w:numPr>
        <w:spacing w:before="0" w:after="200" w:line="276" w:lineRule="auto"/>
        <w:rPr>
          <w:rFonts w:cs="Arial"/>
        </w:rPr>
      </w:pPr>
      <w:r w:rsidRPr="000570A9">
        <w:rPr>
          <w:rFonts w:cs="Arial"/>
        </w:rPr>
        <w:t>Enshrining the existence, role and reporting obligations of PPIs in the DPR Framework.</w:t>
      </w:r>
    </w:p>
    <w:p w14:paraId="0675252B" w14:textId="77777777" w:rsidR="00ED3698" w:rsidRPr="000570A9" w:rsidRDefault="00ED3698" w:rsidP="00ED3698">
      <w:pPr>
        <w:numPr>
          <w:ilvl w:val="0"/>
          <w:numId w:val="18"/>
        </w:numPr>
        <w:spacing w:before="0" w:after="200" w:line="276" w:lineRule="auto"/>
        <w:rPr>
          <w:rFonts w:cs="Arial"/>
        </w:rPr>
      </w:pPr>
      <w:r w:rsidRPr="000570A9">
        <w:rPr>
          <w:rFonts w:cs="Arial"/>
        </w:rPr>
        <w:lastRenderedPageBreak/>
        <w:t>Enabling the Scheme to have further visibility of how many DPRs are undertaken by participating and PPIs. Where there may be trends in low-uptake and quality, the Scheme can invest targeted resources to assist institutions and improve DPRs for survivors.</w:t>
      </w:r>
    </w:p>
    <w:p w14:paraId="571F94E6" w14:textId="77777777" w:rsidR="00ED3698" w:rsidRPr="000570A9" w:rsidRDefault="00ED3698" w:rsidP="00ED3698">
      <w:pPr>
        <w:numPr>
          <w:ilvl w:val="0"/>
          <w:numId w:val="18"/>
        </w:numPr>
        <w:spacing w:before="0" w:after="200" w:line="276" w:lineRule="auto"/>
        <w:rPr>
          <w:rFonts w:cs="Arial"/>
        </w:rPr>
      </w:pPr>
      <w:r w:rsidRPr="000570A9">
        <w:rPr>
          <w:rFonts w:cs="Arial"/>
        </w:rPr>
        <w:t>Enabling the Scheme to have visibility of reporting of survivor complaints about DPRs to institutions.</w:t>
      </w:r>
    </w:p>
    <w:p w14:paraId="71A010D2" w14:textId="77777777" w:rsidR="00ED3698" w:rsidRPr="000570A9" w:rsidRDefault="00ED3698" w:rsidP="00ED3698">
      <w:pPr>
        <w:numPr>
          <w:ilvl w:val="0"/>
          <w:numId w:val="18"/>
        </w:numPr>
        <w:spacing w:before="0" w:after="200" w:line="276" w:lineRule="auto"/>
        <w:rPr>
          <w:rFonts w:cs="Arial"/>
        </w:rPr>
      </w:pPr>
      <w:r w:rsidRPr="000570A9">
        <w:rPr>
          <w:rFonts w:cs="Arial"/>
        </w:rPr>
        <w:t>Enabling more frequent, but not increased, reporting regarding DPR</w:t>
      </w:r>
      <w:r w:rsidRPr="000570A9">
        <w:rPr>
          <w:rFonts w:cs="Arial"/>
        </w:rPr>
        <w:br/>
        <w:t>complaints.</w:t>
      </w:r>
    </w:p>
    <w:p w14:paraId="24B23D41" w14:textId="77777777" w:rsidR="00ED3698" w:rsidRPr="000570A9" w:rsidRDefault="00ED3698" w:rsidP="00ED3698">
      <w:pPr>
        <w:numPr>
          <w:ilvl w:val="0"/>
          <w:numId w:val="18"/>
        </w:numPr>
        <w:spacing w:before="0" w:after="200" w:line="276" w:lineRule="auto"/>
        <w:rPr>
          <w:rFonts w:cs="Arial"/>
        </w:rPr>
      </w:pPr>
      <w:r w:rsidRPr="000570A9">
        <w:rPr>
          <w:rFonts w:cs="Arial"/>
        </w:rPr>
        <w:t>Requiring the delivery of DPRs according to trauma-informed principles.</w:t>
      </w:r>
    </w:p>
    <w:p w14:paraId="4A869572" w14:textId="6D7C5D0E" w:rsidR="00ED3698" w:rsidRPr="00ED3698" w:rsidRDefault="00ED3698" w:rsidP="005D05CF">
      <w:pPr>
        <w:numPr>
          <w:ilvl w:val="0"/>
          <w:numId w:val="18"/>
        </w:numPr>
        <w:spacing w:before="0" w:after="200" w:line="276" w:lineRule="auto"/>
        <w:rPr>
          <w:rFonts w:cs="Arial"/>
        </w:rPr>
      </w:pPr>
      <w:r w:rsidRPr="000570A9">
        <w:rPr>
          <w:rFonts w:cs="Arial"/>
        </w:rPr>
        <w:t>Highlighting the value of providing culturally safe DPRs, particularly for Aboriginal and Torres Strait Islander survivors.</w:t>
      </w:r>
    </w:p>
    <w:p w14:paraId="00E4A01C" w14:textId="381129E0" w:rsidR="00D750C8" w:rsidRPr="00846D04" w:rsidRDefault="00D750C8" w:rsidP="00846D04">
      <w:pPr>
        <w:pStyle w:val="BodyText"/>
        <w:spacing w:before="0" w:after="240"/>
        <w:jc w:val="left"/>
        <w:rPr>
          <w:rFonts w:cs="Arial"/>
          <w:bCs/>
          <w:iCs/>
        </w:rPr>
      </w:pPr>
      <w:r w:rsidRPr="00846D04">
        <w:rPr>
          <w:rFonts w:cs="Arial"/>
          <w:bCs/>
          <w:iCs/>
        </w:rPr>
        <w:t>Authority</w:t>
      </w:r>
    </w:p>
    <w:p w14:paraId="53268EFD" w14:textId="4859F316" w:rsidR="00C81318" w:rsidRDefault="00877A88" w:rsidP="00877A88">
      <w:pPr>
        <w:spacing w:before="0" w:after="240"/>
        <w:jc w:val="both"/>
        <w:outlineLvl w:val="0"/>
        <w:rPr>
          <w:rFonts w:cs="Arial"/>
        </w:rPr>
      </w:pPr>
      <w:r>
        <w:rPr>
          <w:rFonts w:cs="Arial"/>
        </w:rPr>
        <w:t xml:space="preserve">The </w:t>
      </w:r>
      <w:r w:rsidR="000D703E" w:rsidRPr="000D703E">
        <w:rPr>
          <w:rFonts w:cs="Arial"/>
          <w:i/>
        </w:rPr>
        <w:t xml:space="preserve">National Redress Scheme for Institutional Child Sexual Abuse Direct Personal Response Framework Amendment (Partly-participating Institutions and Other Measures) </w:t>
      </w:r>
      <w:r w:rsidR="00AF69AA" w:rsidRPr="000D703E">
        <w:rPr>
          <w:rFonts w:cs="Arial"/>
          <w:i/>
        </w:rPr>
        <w:t>202</w:t>
      </w:r>
      <w:r w:rsidR="00AF69AA">
        <w:rPr>
          <w:rFonts w:cs="Arial"/>
          <w:i/>
        </w:rPr>
        <w:t>5</w:t>
      </w:r>
      <w:r w:rsidR="00AF69AA" w:rsidRPr="000D703E" w:rsidDel="000D703E">
        <w:rPr>
          <w:rFonts w:cs="Arial"/>
          <w:i/>
        </w:rPr>
        <w:t xml:space="preserve"> </w:t>
      </w:r>
      <w:r>
        <w:rPr>
          <w:rFonts w:cs="Arial"/>
        </w:rPr>
        <w:t xml:space="preserve">(the </w:t>
      </w:r>
      <w:r w:rsidR="006C4A54">
        <w:rPr>
          <w:rFonts w:cs="Arial"/>
        </w:rPr>
        <w:t>I</w:t>
      </w:r>
      <w:r w:rsidR="00741B28">
        <w:rPr>
          <w:rFonts w:cs="Arial"/>
        </w:rPr>
        <w:t>nstrument</w:t>
      </w:r>
      <w:r>
        <w:rPr>
          <w:rFonts w:cs="Arial"/>
        </w:rPr>
        <w:t>) is</w:t>
      </w:r>
      <w:r w:rsidR="00741B28">
        <w:rPr>
          <w:rFonts w:cs="Arial"/>
        </w:rPr>
        <w:t xml:space="preserve"> </w:t>
      </w:r>
      <w:r>
        <w:rPr>
          <w:rFonts w:cs="Arial"/>
        </w:rPr>
        <w:t>made under section </w:t>
      </w:r>
      <w:r w:rsidR="000323AA">
        <w:rPr>
          <w:rFonts w:cs="Arial"/>
        </w:rPr>
        <w:t>55</w:t>
      </w:r>
      <w:r>
        <w:rPr>
          <w:rFonts w:cs="Arial"/>
        </w:rPr>
        <w:t xml:space="preserve"> of the </w:t>
      </w:r>
      <w:r w:rsidR="000323AA" w:rsidRPr="00F23DE8">
        <w:rPr>
          <w:i/>
        </w:rPr>
        <w:t>National Redress Scheme for Institutional Child Sexual Abuse Act 2018</w:t>
      </w:r>
      <w:r>
        <w:rPr>
          <w:rFonts w:cs="Arial"/>
          <w:i/>
        </w:rPr>
        <w:t xml:space="preserve"> </w:t>
      </w:r>
      <w:r>
        <w:rPr>
          <w:rFonts w:cs="Arial"/>
        </w:rPr>
        <w:t>(the Act)</w:t>
      </w:r>
      <w:r w:rsidR="00F35C8E">
        <w:rPr>
          <w:rFonts w:cs="Arial"/>
        </w:rPr>
        <w:t xml:space="preserve">. </w:t>
      </w:r>
    </w:p>
    <w:p w14:paraId="3EB35935" w14:textId="7B8293A5" w:rsidR="00877A88" w:rsidRDefault="00F35C8E" w:rsidP="00877A88">
      <w:pPr>
        <w:spacing w:before="0" w:after="240"/>
        <w:jc w:val="both"/>
        <w:outlineLvl w:val="0"/>
        <w:rPr>
          <w:rFonts w:cs="Arial"/>
        </w:rPr>
      </w:pPr>
      <w:r>
        <w:rPr>
          <w:rFonts w:cs="Arial"/>
        </w:rPr>
        <w:t xml:space="preserve">Section 55 of the Act </w:t>
      </w:r>
      <w:r w:rsidR="00594847">
        <w:rPr>
          <w:rFonts w:cs="Arial"/>
        </w:rPr>
        <w:t>provides the Minister</w:t>
      </w:r>
      <w:r w:rsidR="00660B79">
        <w:rPr>
          <w:rFonts w:cs="Arial"/>
        </w:rPr>
        <w:t xml:space="preserve"> </w:t>
      </w:r>
      <w:r w:rsidR="00594847">
        <w:rPr>
          <w:rFonts w:cs="Arial"/>
        </w:rPr>
        <w:t>may</w:t>
      </w:r>
      <w:r>
        <w:rPr>
          <w:rFonts w:cs="Arial"/>
        </w:rPr>
        <w:t xml:space="preserve"> declare</w:t>
      </w:r>
      <w:r w:rsidR="00594847">
        <w:rPr>
          <w:rFonts w:cs="Arial"/>
        </w:rPr>
        <w:t>, in writing,</w:t>
      </w:r>
      <w:r>
        <w:rPr>
          <w:rFonts w:cs="Arial"/>
        </w:rPr>
        <w:t xml:space="preserve"> </w:t>
      </w:r>
      <w:r w:rsidR="00660B79">
        <w:rPr>
          <w:rFonts w:cs="Arial"/>
        </w:rPr>
        <w:t xml:space="preserve">guidelines about </w:t>
      </w:r>
      <w:r w:rsidR="006C4A54">
        <w:rPr>
          <w:rFonts w:cs="Arial"/>
        </w:rPr>
        <w:t xml:space="preserve">how </w:t>
      </w:r>
      <w:r w:rsidR="00DB22B0">
        <w:rPr>
          <w:rFonts w:cs="Arial"/>
        </w:rPr>
        <w:t>DPRs</w:t>
      </w:r>
      <w:r>
        <w:rPr>
          <w:rFonts w:cs="Arial"/>
        </w:rPr>
        <w:t xml:space="preserve"> are to be provided under the </w:t>
      </w:r>
      <w:r w:rsidRPr="00002973">
        <w:rPr>
          <w:rFonts w:cs="Arial"/>
        </w:rPr>
        <w:t xml:space="preserve">National Redress Scheme for Institutional Child Sexual Abuse </w:t>
      </w:r>
      <w:r w:rsidR="00594847">
        <w:rPr>
          <w:rFonts w:cs="Arial"/>
        </w:rPr>
        <w:t>(the </w:t>
      </w:r>
      <w:r w:rsidRPr="00002973">
        <w:rPr>
          <w:rFonts w:cs="Arial"/>
        </w:rPr>
        <w:t>Scheme</w:t>
      </w:r>
      <w:r>
        <w:rPr>
          <w:rFonts w:cs="Arial"/>
        </w:rPr>
        <w:t>) established by the Act.</w:t>
      </w:r>
      <w:r w:rsidR="00660B79">
        <w:rPr>
          <w:rFonts w:cs="Arial"/>
        </w:rPr>
        <w:t xml:space="preserve"> </w:t>
      </w:r>
    </w:p>
    <w:p w14:paraId="51F2F35B" w14:textId="417912C3" w:rsidR="00D741A0" w:rsidRDefault="00D741A0" w:rsidP="00877A88">
      <w:pPr>
        <w:spacing w:before="0" w:after="240"/>
        <w:jc w:val="both"/>
        <w:outlineLvl w:val="0"/>
        <w:rPr>
          <w:rFonts w:cs="Arial"/>
        </w:rPr>
      </w:pPr>
      <w:r>
        <w:rPr>
          <w:rFonts w:cs="Arial"/>
        </w:rPr>
        <w:t xml:space="preserve">Subsection 33(3) of the </w:t>
      </w:r>
      <w:r>
        <w:rPr>
          <w:rFonts w:cs="Arial"/>
          <w:i/>
          <w:iCs/>
        </w:rPr>
        <w:t xml:space="preserve">Acts Interpretation Act 1901 </w:t>
      </w:r>
      <w:r>
        <w:rPr>
          <w:rFonts w:cs="Arial"/>
        </w:rPr>
        <w:t xml:space="preserve">provides that a power to make a legislative instrument includes a power to repeal, rescind, revoke, amend, or vary that instrument in the same manner, and subject to the same conditions, as the power to make the instrument. </w:t>
      </w:r>
    </w:p>
    <w:p w14:paraId="2BB22551" w14:textId="50BBCAC4" w:rsidR="00D750C8" w:rsidRPr="00846D04" w:rsidRDefault="00D750C8" w:rsidP="00877A88">
      <w:pPr>
        <w:spacing w:before="0" w:after="240"/>
        <w:jc w:val="both"/>
        <w:outlineLvl w:val="0"/>
        <w:rPr>
          <w:rFonts w:cs="Arial"/>
          <w:b/>
          <w:bCs/>
        </w:rPr>
      </w:pPr>
      <w:r w:rsidRPr="00846D04">
        <w:rPr>
          <w:rFonts w:cs="Arial"/>
          <w:b/>
          <w:bCs/>
        </w:rPr>
        <w:t>Commencement</w:t>
      </w:r>
    </w:p>
    <w:p w14:paraId="081B29C9" w14:textId="71AC83A5" w:rsidR="00D750C8" w:rsidRPr="00653D3A" w:rsidRDefault="00D90CF3" w:rsidP="00877A88">
      <w:pPr>
        <w:spacing w:before="0" w:after="240"/>
        <w:jc w:val="both"/>
        <w:outlineLvl w:val="0"/>
        <w:rPr>
          <w:rFonts w:cs="Arial"/>
        </w:rPr>
      </w:pPr>
      <w:r w:rsidRPr="00653D3A">
        <w:rPr>
          <w:rFonts w:cs="Arial"/>
        </w:rPr>
        <w:t xml:space="preserve">The </w:t>
      </w:r>
      <w:r w:rsidR="009675D9" w:rsidRPr="00653D3A">
        <w:rPr>
          <w:rFonts w:cs="Arial"/>
        </w:rPr>
        <w:t xml:space="preserve">instrument commences on the day after registration. </w:t>
      </w:r>
    </w:p>
    <w:p w14:paraId="192F7486" w14:textId="0B819768" w:rsidR="00D750C8" w:rsidRPr="00653D3A" w:rsidRDefault="00D750C8" w:rsidP="00D750C8">
      <w:pPr>
        <w:spacing w:before="0" w:after="240"/>
        <w:jc w:val="both"/>
        <w:outlineLvl w:val="0"/>
        <w:rPr>
          <w:rFonts w:cs="Arial"/>
          <w:iCs/>
        </w:rPr>
      </w:pPr>
      <w:r w:rsidRPr="00653D3A">
        <w:rPr>
          <w:rFonts w:cs="Arial"/>
          <w:b/>
        </w:rPr>
        <w:t>Consultation</w:t>
      </w:r>
    </w:p>
    <w:p w14:paraId="5D08A064" w14:textId="42DDC583" w:rsidR="00653D3A" w:rsidRPr="00653D3A" w:rsidRDefault="00653D3A">
      <w:pPr>
        <w:rPr>
          <w:rFonts w:cs="Arial"/>
        </w:rPr>
      </w:pPr>
      <w:r w:rsidRPr="004029A7">
        <w:rPr>
          <w:rFonts w:cs="Arial"/>
        </w:rPr>
        <w:t xml:space="preserve">The Department of Social Services </w:t>
      </w:r>
      <w:r w:rsidR="006C4A54">
        <w:rPr>
          <w:rFonts w:cs="Arial"/>
        </w:rPr>
        <w:t xml:space="preserve">(the Department) </w:t>
      </w:r>
      <w:r w:rsidRPr="004029A7">
        <w:rPr>
          <w:rFonts w:cs="Arial"/>
        </w:rPr>
        <w:t xml:space="preserve">consulted with </w:t>
      </w:r>
      <w:r w:rsidRPr="00653D3A">
        <w:rPr>
          <w:rFonts w:cs="Arial"/>
        </w:rPr>
        <w:t xml:space="preserve">officials from the following departments regarding the proposed amendments: </w:t>
      </w:r>
    </w:p>
    <w:p w14:paraId="75397417" w14:textId="083EC8F3" w:rsidR="00653D3A" w:rsidRPr="002734C9" w:rsidRDefault="00653D3A" w:rsidP="00653D3A">
      <w:pPr>
        <w:pStyle w:val="ListParagraph"/>
        <w:numPr>
          <w:ilvl w:val="0"/>
          <w:numId w:val="21"/>
        </w:numPr>
        <w:rPr>
          <w:rFonts w:ascii="Arial" w:hAnsi="Arial" w:cs="Arial"/>
        </w:rPr>
      </w:pPr>
      <w:r w:rsidRPr="002734C9">
        <w:rPr>
          <w:rFonts w:ascii="Arial" w:hAnsi="Arial" w:cs="Arial"/>
        </w:rPr>
        <w:t>New South Wales Department of Communities and Justice</w:t>
      </w:r>
    </w:p>
    <w:p w14:paraId="7726C00D" w14:textId="16EF061D" w:rsidR="00653D3A" w:rsidRPr="002734C9" w:rsidRDefault="00653D3A" w:rsidP="00653D3A">
      <w:pPr>
        <w:pStyle w:val="ListParagraph"/>
        <w:numPr>
          <w:ilvl w:val="0"/>
          <w:numId w:val="21"/>
        </w:numPr>
        <w:rPr>
          <w:rFonts w:ascii="Arial" w:hAnsi="Arial" w:cs="Arial"/>
        </w:rPr>
      </w:pPr>
      <w:r w:rsidRPr="002734C9">
        <w:rPr>
          <w:rFonts w:ascii="Arial" w:hAnsi="Arial" w:cs="Arial"/>
        </w:rPr>
        <w:t>Western Australia Department of Justice</w:t>
      </w:r>
    </w:p>
    <w:p w14:paraId="65D661C5" w14:textId="53524104" w:rsidR="00653D3A" w:rsidRPr="002734C9" w:rsidRDefault="00653D3A" w:rsidP="00653D3A">
      <w:pPr>
        <w:pStyle w:val="ListParagraph"/>
        <w:numPr>
          <w:ilvl w:val="0"/>
          <w:numId w:val="21"/>
        </w:numPr>
        <w:rPr>
          <w:rFonts w:ascii="Arial" w:hAnsi="Arial" w:cs="Arial"/>
        </w:rPr>
      </w:pPr>
      <w:r w:rsidRPr="002734C9">
        <w:rPr>
          <w:rFonts w:ascii="Arial" w:hAnsi="Arial" w:cs="Arial"/>
        </w:rPr>
        <w:t xml:space="preserve">Victoria Department of Justice and Community Safety </w:t>
      </w:r>
    </w:p>
    <w:p w14:paraId="2649C992" w14:textId="0D909BBD" w:rsidR="00653D3A" w:rsidRPr="002734C9" w:rsidRDefault="00653D3A" w:rsidP="00653D3A">
      <w:pPr>
        <w:pStyle w:val="ListParagraph"/>
        <w:numPr>
          <w:ilvl w:val="0"/>
          <w:numId w:val="21"/>
        </w:numPr>
        <w:rPr>
          <w:rFonts w:ascii="Arial" w:hAnsi="Arial" w:cs="Arial"/>
        </w:rPr>
      </w:pPr>
      <w:r w:rsidRPr="002734C9">
        <w:rPr>
          <w:rFonts w:ascii="Arial" w:hAnsi="Arial" w:cs="Arial"/>
        </w:rPr>
        <w:t xml:space="preserve">Tasmania Department of Justice </w:t>
      </w:r>
    </w:p>
    <w:p w14:paraId="1ED45DDB" w14:textId="78AE67A9" w:rsidR="00653D3A" w:rsidRPr="002734C9" w:rsidRDefault="00653D3A" w:rsidP="00653D3A">
      <w:pPr>
        <w:pStyle w:val="ListParagraph"/>
        <w:numPr>
          <w:ilvl w:val="0"/>
          <w:numId w:val="21"/>
        </w:numPr>
        <w:rPr>
          <w:rFonts w:ascii="Arial" w:hAnsi="Arial" w:cs="Arial"/>
        </w:rPr>
      </w:pPr>
      <w:r w:rsidRPr="002734C9">
        <w:rPr>
          <w:rFonts w:ascii="Arial" w:hAnsi="Arial" w:cs="Arial"/>
        </w:rPr>
        <w:t xml:space="preserve">South Australia Attorney-General’s Department </w:t>
      </w:r>
    </w:p>
    <w:p w14:paraId="3B8B8D8A" w14:textId="5EE362EB" w:rsidR="00653D3A" w:rsidRPr="002734C9" w:rsidRDefault="00653D3A" w:rsidP="00653D3A">
      <w:pPr>
        <w:pStyle w:val="ListParagraph"/>
        <w:numPr>
          <w:ilvl w:val="0"/>
          <w:numId w:val="21"/>
        </w:numPr>
        <w:rPr>
          <w:rFonts w:ascii="Arial" w:hAnsi="Arial" w:cs="Arial"/>
        </w:rPr>
      </w:pPr>
      <w:r w:rsidRPr="002734C9">
        <w:rPr>
          <w:rFonts w:ascii="Arial" w:hAnsi="Arial" w:cs="Arial"/>
        </w:rPr>
        <w:t xml:space="preserve">Queensland Department of Families, Seniors, Disability Services and Child Safety </w:t>
      </w:r>
    </w:p>
    <w:p w14:paraId="286B66F5" w14:textId="00BE4AE7" w:rsidR="00653D3A" w:rsidRPr="002734C9" w:rsidRDefault="00653D3A" w:rsidP="00653D3A">
      <w:pPr>
        <w:pStyle w:val="ListParagraph"/>
        <w:numPr>
          <w:ilvl w:val="0"/>
          <w:numId w:val="21"/>
        </w:numPr>
        <w:rPr>
          <w:rFonts w:ascii="Arial" w:hAnsi="Arial" w:cs="Arial"/>
        </w:rPr>
      </w:pPr>
      <w:r w:rsidRPr="002734C9">
        <w:rPr>
          <w:rFonts w:ascii="Arial" w:hAnsi="Arial" w:cs="Arial"/>
        </w:rPr>
        <w:t xml:space="preserve">Northern Territory Attorney-General’s Department </w:t>
      </w:r>
    </w:p>
    <w:p w14:paraId="3ED3202B" w14:textId="35733B58" w:rsidR="00653D3A" w:rsidRDefault="00653D3A" w:rsidP="00653D3A">
      <w:pPr>
        <w:pStyle w:val="ListParagraph"/>
        <w:numPr>
          <w:ilvl w:val="0"/>
          <w:numId w:val="21"/>
        </w:numPr>
        <w:rPr>
          <w:rFonts w:ascii="Arial" w:hAnsi="Arial" w:cs="Arial"/>
        </w:rPr>
      </w:pPr>
      <w:r w:rsidRPr="002734C9">
        <w:rPr>
          <w:rFonts w:ascii="Arial" w:hAnsi="Arial" w:cs="Arial"/>
        </w:rPr>
        <w:t xml:space="preserve">Australian Capital Territory Department of Justice and Community Safety </w:t>
      </w:r>
    </w:p>
    <w:p w14:paraId="35D82F1C" w14:textId="77777777" w:rsidR="00653D3A" w:rsidRPr="002734C9" w:rsidRDefault="00653D3A" w:rsidP="0007215B">
      <w:pPr>
        <w:pStyle w:val="ListParagraph"/>
        <w:rPr>
          <w:rFonts w:ascii="Arial" w:hAnsi="Arial" w:cs="Arial"/>
        </w:rPr>
      </w:pPr>
    </w:p>
    <w:p w14:paraId="1477324A" w14:textId="6ACBE98D" w:rsidR="00490CF2" w:rsidRDefault="00490CF2">
      <w:pPr>
        <w:rPr>
          <w:rFonts w:cs="Arial"/>
          <w:szCs w:val="24"/>
        </w:rPr>
      </w:pPr>
      <w:r w:rsidRPr="00647FD1">
        <w:rPr>
          <w:rFonts w:cs="Arial"/>
          <w:szCs w:val="24"/>
        </w:rPr>
        <w:lastRenderedPageBreak/>
        <w:t xml:space="preserve">No objections were raised by </w:t>
      </w:r>
      <w:r>
        <w:rPr>
          <w:rFonts w:cs="Arial"/>
          <w:szCs w:val="24"/>
        </w:rPr>
        <w:t xml:space="preserve">the </w:t>
      </w:r>
      <w:r w:rsidRPr="00647FD1">
        <w:rPr>
          <w:rFonts w:cs="Arial"/>
          <w:szCs w:val="24"/>
        </w:rPr>
        <w:t>State and Territor</w:t>
      </w:r>
      <w:r>
        <w:rPr>
          <w:rFonts w:cs="Arial"/>
          <w:szCs w:val="24"/>
        </w:rPr>
        <w:t>y departments</w:t>
      </w:r>
      <w:r w:rsidRPr="00647FD1">
        <w:rPr>
          <w:rFonts w:cs="Arial"/>
          <w:szCs w:val="24"/>
        </w:rPr>
        <w:t xml:space="preserve"> in relation to the proposed changes in this instrument</w:t>
      </w:r>
      <w:r>
        <w:rPr>
          <w:rFonts w:cs="Arial"/>
          <w:szCs w:val="24"/>
        </w:rPr>
        <w:t xml:space="preserve"> during the consultation process. </w:t>
      </w:r>
    </w:p>
    <w:p w14:paraId="4E2343E0" w14:textId="77777777" w:rsidR="00490CF2" w:rsidRDefault="00490CF2">
      <w:pPr>
        <w:rPr>
          <w:rFonts w:cs="Arial"/>
        </w:rPr>
      </w:pPr>
    </w:p>
    <w:p w14:paraId="6CA5EC63" w14:textId="48CD1457" w:rsidR="00BC27C2" w:rsidRDefault="00490CF2" w:rsidP="00490CF2">
      <w:r>
        <w:t>The Department also consulted the National Redress Scheme Interjurisdictional Committee and the Ministers</w:t>
      </w:r>
      <w:r w:rsidR="006C4A54">
        <w:t>’</w:t>
      </w:r>
      <w:r>
        <w:t xml:space="preserve"> Redress Scheme Governance Board. During this process, Tasmania sought to include a reference to the obligation of institutions to deliver </w:t>
      </w:r>
      <w:r w:rsidR="00FF1D89">
        <w:t>DPRs</w:t>
      </w:r>
      <w:r>
        <w:t xml:space="preserve"> in accordance with ‘trauma informed principles’. </w:t>
      </w:r>
      <w:r w:rsidR="006C4A54">
        <w:t>T</w:t>
      </w:r>
      <w:r>
        <w:t>his reference</w:t>
      </w:r>
      <w:r w:rsidR="006C4A54">
        <w:t xml:space="preserve"> has been included</w:t>
      </w:r>
      <w:r>
        <w:t xml:space="preserve"> in the instrument as a result of this consultation. No other substantive issues were raised during consultation. </w:t>
      </w:r>
    </w:p>
    <w:p w14:paraId="143AB454" w14:textId="77777777" w:rsidR="00490CF2" w:rsidRPr="00CA5B91" w:rsidRDefault="00490CF2" w:rsidP="00490CF2"/>
    <w:p w14:paraId="32C4E83B" w14:textId="6EE33D06" w:rsidR="00DB1380" w:rsidRPr="00EF6E6E" w:rsidRDefault="00846D04" w:rsidP="000570A9">
      <w:pPr>
        <w:pStyle w:val="numberlist"/>
        <w:spacing w:after="240"/>
        <w:jc w:val="both"/>
        <w:rPr>
          <w:rFonts w:cs="Arial"/>
          <w:b/>
        </w:rPr>
      </w:pPr>
      <w:r>
        <w:rPr>
          <w:rFonts w:cs="Arial"/>
          <w:b/>
        </w:rPr>
        <w:t xml:space="preserve">Regulatory </w:t>
      </w:r>
      <w:r w:rsidR="00D750C8">
        <w:rPr>
          <w:rFonts w:cs="Arial"/>
          <w:b/>
        </w:rPr>
        <w:t>Impact Analysis</w:t>
      </w:r>
    </w:p>
    <w:p w14:paraId="470DFFCB" w14:textId="347A9EA4" w:rsidR="00DB1380" w:rsidRPr="000570A9" w:rsidRDefault="00DB1380" w:rsidP="00DB1380">
      <w:pPr>
        <w:spacing w:before="0" w:after="200" w:line="276" w:lineRule="auto"/>
        <w:rPr>
          <w:bCs/>
        </w:rPr>
      </w:pPr>
      <w:r>
        <w:rPr>
          <w:bCs/>
        </w:rPr>
        <w:t xml:space="preserve">The Office of Impact Analysis (OIA) was consulted and considered that a detailed analysis is not required under the Australian Government’s Policy Impact Analysis </w:t>
      </w:r>
      <w:r w:rsidRPr="000570A9">
        <w:rPr>
          <w:bCs/>
        </w:rPr>
        <w:t>Framework and no regulatory impact statement was required. The OIA reference number is OIA24-0</w:t>
      </w:r>
      <w:r w:rsidR="004E1995" w:rsidRPr="000570A9">
        <w:rPr>
          <w:bCs/>
        </w:rPr>
        <w:t>8</w:t>
      </w:r>
      <w:r w:rsidR="00F81CD6" w:rsidRPr="000570A9">
        <w:rPr>
          <w:bCs/>
        </w:rPr>
        <w:t>135</w:t>
      </w:r>
      <w:r w:rsidRPr="000570A9">
        <w:rPr>
          <w:bCs/>
        </w:rPr>
        <w:t xml:space="preserve">. </w:t>
      </w:r>
    </w:p>
    <w:p w14:paraId="7F1AD8D9" w14:textId="77777777" w:rsidR="00DB1380" w:rsidRPr="000570A9" w:rsidRDefault="00DB1380" w:rsidP="00DB1380">
      <w:pPr>
        <w:spacing w:before="0" w:after="200" w:line="276" w:lineRule="auto"/>
        <w:rPr>
          <w:b/>
        </w:rPr>
      </w:pPr>
      <w:r w:rsidRPr="000570A9">
        <w:rPr>
          <w:b/>
        </w:rPr>
        <w:t>Details of the instrument</w:t>
      </w:r>
    </w:p>
    <w:p w14:paraId="43FDEF53" w14:textId="3D9E895F" w:rsidR="00DB1380" w:rsidRPr="000570A9" w:rsidRDefault="00DB1380" w:rsidP="00DB1380">
      <w:pPr>
        <w:spacing w:before="0" w:after="200" w:line="276" w:lineRule="auto"/>
        <w:rPr>
          <w:bCs/>
        </w:rPr>
      </w:pPr>
      <w:r w:rsidRPr="000570A9">
        <w:rPr>
          <w:bCs/>
        </w:rPr>
        <w:t xml:space="preserve">Details of the instrument are set out in </w:t>
      </w:r>
      <w:r w:rsidR="00846D04" w:rsidRPr="000570A9">
        <w:rPr>
          <w:b/>
          <w:u w:val="single"/>
        </w:rPr>
        <w:t>Explanation of the Provisions</w:t>
      </w:r>
      <w:r w:rsidRPr="000570A9">
        <w:rPr>
          <w:bCs/>
        </w:rPr>
        <w:t xml:space="preserve">. </w:t>
      </w:r>
    </w:p>
    <w:p w14:paraId="7FD30B9B" w14:textId="77777777" w:rsidR="00DB1380" w:rsidRPr="000570A9" w:rsidRDefault="00DB1380" w:rsidP="00DB1380">
      <w:pPr>
        <w:spacing w:before="0" w:after="200" w:line="276" w:lineRule="auto"/>
        <w:rPr>
          <w:b/>
        </w:rPr>
      </w:pPr>
      <w:r w:rsidRPr="000570A9">
        <w:rPr>
          <w:b/>
        </w:rPr>
        <w:t>Parliamentary scrutiny etc.</w:t>
      </w:r>
    </w:p>
    <w:p w14:paraId="6990C1D9" w14:textId="341D7D1D" w:rsidR="007309E8" w:rsidRDefault="00846D04" w:rsidP="00DB1380">
      <w:pPr>
        <w:spacing w:before="0" w:after="200" w:line="276" w:lineRule="auto"/>
        <w:rPr>
          <w:bCs/>
        </w:rPr>
      </w:pPr>
      <w:r w:rsidRPr="000570A9">
        <w:rPr>
          <w:bCs/>
        </w:rPr>
        <w:t xml:space="preserve">In accordance with subsection 55(4) of the Act, the </w:t>
      </w:r>
      <w:r w:rsidR="006C4A54">
        <w:rPr>
          <w:bCs/>
        </w:rPr>
        <w:t>I</w:t>
      </w:r>
      <w:r w:rsidR="00DB1380" w:rsidRPr="000570A9">
        <w:rPr>
          <w:bCs/>
        </w:rPr>
        <w:t>nstrument is</w:t>
      </w:r>
      <w:r w:rsidRPr="000570A9">
        <w:rPr>
          <w:bCs/>
        </w:rPr>
        <w:t xml:space="preserve"> a legislative instrument but is not </w:t>
      </w:r>
      <w:r w:rsidR="00DB1380" w:rsidRPr="000570A9">
        <w:rPr>
          <w:bCs/>
        </w:rPr>
        <w:t xml:space="preserve">subject to disallowance under section 42 of the </w:t>
      </w:r>
      <w:r w:rsidR="00DB1380" w:rsidRPr="000570A9">
        <w:rPr>
          <w:bCs/>
          <w:i/>
          <w:iCs/>
        </w:rPr>
        <w:t>Legislation Act 2003.</w:t>
      </w:r>
      <w:r w:rsidR="00DB1380" w:rsidRPr="000570A9">
        <w:rPr>
          <w:bCs/>
        </w:rPr>
        <w:t xml:space="preserve"> </w:t>
      </w:r>
      <w:r w:rsidR="00C9363A" w:rsidRPr="00C9363A">
        <w:rPr>
          <w:bCs/>
        </w:rPr>
        <w:t xml:space="preserve"> </w:t>
      </w:r>
    </w:p>
    <w:p w14:paraId="5E712BF3" w14:textId="33E41536" w:rsidR="00DB1380" w:rsidRPr="000570A9" w:rsidRDefault="007309E8" w:rsidP="00DB1380">
      <w:pPr>
        <w:spacing w:before="0" w:after="200" w:line="276" w:lineRule="auto"/>
        <w:rPr>
          <w:bCs/>
        </w:rPr>
      </w:pPr>
      <w:r>
        <w:rPr>
          <w:bCs/>
        </w:rPr>
        <w:t>The explanatory memorandum for the Act explains that i</w:t>
      </w:r>
      <w:r w:rsidR="00C9363A" w:rsidRPr="00C9363A">
        <w:rPr>
          <w:bCs/>
        </w:rPr>
        <w:t>t is necessary to exempt th</w:t>
      </w:r>
      <w:r>
        <w:rPr>
          <w:bCs/>
        </w:rPr>
        <w:t xml:space="preserve">e </w:t>
      </w:r>
      <w:r w:rsidR="005D05CF">
        <w:rPr>
          <w:bCs/>
        </w:rPr>
        <w:t>DPR F</w:t>
      </w:r>
      <w:r>
        <w:rPr>
          <w:bCs/>
        </w:rPr>
        <w:t xml:space="preserve">ramework </w:t>
      </w:r>
      <w:r w:rsidR="00C9363A" w:rsidRPr="00C9363A">
        <w:rPr>
          <w:bCs/>
        </w:rPr>
        <w:t>from disallowance so that the method or matters to be taken into account</w:t>
      </w:r>
      <w:r w:rsidR="00AB393B">
        <w:rPr>
          <w:bCs/>
        </w:rPr>
        <w:t xml:space="preserve"> can be amended</w:t>
      </w:r>
      <w:r w:rsidR="00C9363A" w:rsidRPr="00C9363A">
        <w:rPr>
          <w:bCs/>
        </w:rPr>
        <w:t xml:space="preserve"> for the purpose of ensuring that institutions provide a consistent approach to giving </w:t>
      </w:r>
      <w:r w:rsidR="00C9363A">
        <w:rPr>
          <w:bCs/>
        </w:rPr>
        <w:t>DPR</w:t>
      </w:r>
      <w:r w:rsidR="00C9363A" w:rsidRPr="00C9363A">
        <w:rPr>
          <w:bCs/>
        </w:rPr>
        <w:t xml:space="preserve"> to survivors. </w:t>
      </w:r>
      <w:r>
        <w:rPr>
          <w:bCs/>
        </w:rPr>
        <w:t xml:space="preserve">Further, the </w:t>
      </w:r>
      <w:r w:rsidR="005D05CF">
        <w:rPr>
          <w:bCs/>
        </w:rPr>
        <w:t>DPR F</w:t>
      </w:r>
      <w:r>
        <w:rPr>
          <w:bCs/>
        </w:rPr>
        <w:t xml:space="preserve">ramework </w:t>
      </w:r>
      <w:r w:rsidR="00C9363A" w:rsidRPr="00C9363A">
        <w:rPr>
          <w:bCs/>
        </w:rPr>
        <w:t xml:space="preserve">would ordinarily be of an administrative character and would not be a legislative instrument. However, in order to ensure certainty and transparency it </w:t>
      </w:r>
      <w:r w:rsidR="00C9363A">
        <w:rPr>
          <w:bCs/>
        </w:rPr>
        <w:t>was considered</w:t>
      </w:r>
      <w:r w:rsidR="00C9363A" w:rsidRPr="00C9363A">
        <w:rPr>
          <w:bCs/>
        </w:rPr>
        <w:t xml:space="preserve"> appropriate to make this declaration a legislative instrument</w:t>
      </w:r>
      <w:r w:rsidR="00C9363A">
        <w:rPr>
          <w:bCs/>
        </w:rPr>
        <w:t xml:space="preserve"> under the Act</w:t>
      </w:r>
      <w:r w:rsidR="00C9363A" w:rsidRPr="00C9363A">
        <w:rPr>
          <w:bCs/>
        </w:rPr>
        <w:t>.</w:t>
      </w:r>
    </w:p>
    <w:p w14:paraId="142A4D43" w14:textId="0747573C" w:rsidR="00DB1380" w:rsidRDefault="00DB1380" w:rsidP="00DB1380">
      <w:pPr>
        <w:spacing w:before="0" w:after="200" w:line="276" w:lineRule="auto"/>
        <w:rPr>
          <w:bCs/>
        </w:rPr>
      </w:pPr>
      <w:r w:rsidRPr="000570A9">
        <w:rPr>
          <w:bCs/>
        </w:rPr>
        <w:t>A Statement of Compatibility with Human Rights has been prepared in relation to the instrument and provides that the instrument is compatible with human rights as it advances the protection of the rights of people who have experienced child sexual abuse in Australia.</w:t>
      </w:r>
    </w:p>
    <w:p w14:paraId="162CA65A" w14:textId="77777777" w:rsidR="00A22314" w:rsidRPr="009A5EAC" w:rsidRDefault="00A22314" w:rsidP="00846D04">
      <w:pPr>
        <w:spacing w:before="0" w:after="200" w:line="276" w:lineRule="auto"/>
        <w:rPr>
          <w:color w:val="000000" w:themeColor="text1"/>
          <w:szCs w:val="24"/>
        </w:rPr>
      </w:pPr>
    </w:p>
    <w:p w14:paraId="140B122E" w14:textId="77777777" w:rsidR="000E2585" w:rsidRDefault="000E2585">
      <w:pPr>
        <w:spacing w:before="0" w:after="200" w:line="276" w:lineRule="auto"/>
        <w:rPr>
          <w:rFonts w:cs="Arial"/>
          <w:b/>
        </w:rPr>
      </w:pPr>
      <w:r>
        <w:rPr>
          <w:rFonts w:cs="Arial"/>
          <w:b/>
        </w:rPr>
        <w:br w:type="page"/>
      </w:r>
    </w:p>
    <w:p w14:paraId="0984CA48" w14:textId="67DCF436" w:rsidR="000E2585" w:rsidRPr="00846D04" w:rsidRDefault="006308F8" w:rsidP="000570A9">
      <w:pPr>
        <w:pStyle w:val="Letter2Text"/>
        <w:spacing w:after="240"/>
        <w:jc w:val="center"/>
        <w:rPr>
          <w:rFonts w:cs="Arial"/>
          <w:b/>
          <w:u w:val="single"/>
        </w:rPr>
      </w:pPr>
      <w:r w:rsidRPr="00846D04">
        <w:rPr>
          <w:rFonts w:cs="Arial"/>
          <w:b/>
          <w:u w:val="single"/>
        </w:rPr>
        <w:lastRenderedPageBreak/>
        <w:t xml:space="preserve">Explanation </w:t>
      </w:r>
      <w:r w:rsidR="00877A88" w:rsidRPr="00846D04">
        <w:rPr>
          <w:rFonts w:cs="Arial"/>
          <w:b/>
          <w:u w:val="single"/>
        </w:rPr>
        <w:t>of the provisions</w:t>
      </w:r>
    </w:p>
    <w:p w14:paraId="2380C1BE" w14:textId="3079F9F4" w:rsidR="00DF2F2D" w:rsidRPr="00846D04" w:rsidRDefault="00DF2F2D" w:rsidP="00846D04">
      <w:pPr>
        <w:pStyle w:val="BodyText"/>
        <w:spacing w:before="0" w:after="240"/>
        <w:rPr>
          <w:rFonts w:cs="Arial"/>
          <w:b w:val="0"/>
          <w:i/>
        </w:rPr>
      </w:pPr>
      <w:r>
        <w:rPr>
          <w:rFonts w:cs="Arial"/>
        </w:rPr>
        <w:t xml:space="preserve">Details of the </w:t>
      </w:r>
      <w:r w:rsidRPr="00DF2F2D">
        <w:rPr>
          <w:rFonts w:cs="Arial"/>
          <w:bCs/>
          <w:i/>
        </w:rPr>
        <w:t>National</w:t>
      </w:r>
      <w:r w:rsidRPr="00B40425">
        <w:rPr>
          <w:rFonts w:cs="Arial"/>
          <w:b w:val="0"/>
          <w:i/>
        </w:rPr>
        <w:t xml:space="preserve"> </w:t>
      </w:r>
      <w:r w:rsidRPr="00DF2F2D">
        <w:rPr>
          <w:rFonts w:cs="Arial"/>
          <w:bCs/>
          <w:i/>
        </w:rPr>
        <w:t xml:space="preserve">Redress Scheme for Institutional Child Sexual Abuse Direct Personal Response Framework Amendment (Partly-participating Institutions and Other Measures) </w:t>
      </w:r>
      <w:r w:rsidR="00AF69AA" w:rsidRPr="00DF2F2D">
        <w:rPr>
          <w:rFonts w:cs="Arial"/>
          <w:bCs/>
          <w:i/>
        </w:rPr>
        <w:t>202</w:t>
      </w:r>
      <w:r w:rsidR="00AF69AA">
        <w:rPr>
          <w:rFonts w:cs="Arial"/>
          <w:bCs/>
          <w:i/>
        </w:rPr>
        <w:t>5</w:t>
      </w:r>
    </w:p>
    <w:p w14:paraId="0BCB3661" w14:textId="15AB202E" w:rsidR="00877A88" w:rsidRDefault="00877A88" w:rsidP="00877A88">
      <w:pPr>
        <w:pStyle w:val="Letter2Text"/>
        <w:spacing w:after="240"/>
        <w:jc w:val="both"/>
        <w:rPr>
          <w:rFonts w:cs="Arial"/>
          <w:b/>
        </w:rPr>
      </w:pPr>
      <w:r w:rsidRPr="00707C52">
        <w:rPr>
          <w:rFonts w:cs="Arial"/>
          <w:b/>
        </w:rPr>
        <w:t>Section 1</w:t>
      </w:r>
      <w:r>
        <w:rPr>
          <w:rFonts w:cs="Arial"/>
        </w:rPr>
        <w:t xml:space="preserve"> </w:t>
      </w:r>
      <w:r>
        <w:rPr>
          <w:rFonts w:cs="Arial"/>
          <w:b/>
        </w:rPr>
        <w:t>– Name</w:t>
      </w:r>
    </w:p>
    <w:p w14:paraId="0DF1CFA1" w14:textId="29C1D37F" w:rsidR="00877A88" w:rsidRDefault="00877A88" w:rsidP="00877A88">
      <w:pPr>
        <w:pStyle w:val="Letter2Text"/>
        <w:spacing w:after="240"/>
        <w:jc w:val="both"/>
        <w:rPr>
          <w:rFonts w:cs="Arial"/>
        </w:rPr>
      </w:pPr>
      <w:r>
        <w:rPr>
          <w:rFonts w:cs="Arial"/>
        </w:rPr>
        <w:t>This section provides that the n</w:t>
      </w:r>
      <w:r w:rsidRPr="00407795">
        <w:rPr>
          <w:rFonts w:cs="Arial"/>
        </w:rPr>
        <w:t>ame of the</w:t>
      </w:r>
      <w:r w:rsidR="009B34E2">
        <w:rPr>
          <w:rFonts w:cs="Arial"/>
        </w:rPr>
        <w:t xml:space="preserve"> </w:t>
      </w:r>
      <w:r w:rsidR="00767109">
        <w:rPr>
          <w:rFonts w:cs="Arial"/>
        </w:rPr>
        <w:t>I</w:t>
      </w:r>
      <w:r w:rsidR="009B34E2">
        <w:rPr>
          <w:rFonts w:cs="Arial"/>
        </w:rPr>
        <w:t>nstrument</w:t>
      </w:r>
      <w:r>
        <w:rPr>
          <w:rFonts w:cs="Arial"/>
        </w:rPr>
        <w:t xml:space="preserve"> is the </w:t>
      </w:r>
      <w:r w:rsidR="00477C9F" w:rsidRPr="000D703E">
        <w:rPr>
          <w:rFonts w:cs="Arial"/>
          <w:i/>
        </w:rPr>
        <w:t xml:space="preserve">National Redress Scheme for Institutional Child Sexual Abuse Direct Personal Response Framework Amendment (Partly-participating Institutions and Other Measures) </w:t>
      </w:r>
      <w:r w:rsidR="00AF69AA" w:rsidRPr="000D703E">
        <w:rPr>
          <w:rFonts w:cs="Arial"/>
          <w:i/>
        </w:rPr>
        <w:t>202</w:t>
      </w:r>
      <w:r w:rsidR="00AF69AA">
        <w:rPr>
          <w:rFonts w:cs="Arial"/>
          <w:i/>
        </w:rPr>
        <w:t>5</w:t>
      </w:r>
      <w:r>
        <w:rPr>
          <w:rFonts w:cs="Arial"/>
        </w:rPr>
        <w:t>.</w:t>
      </w:r>
    </w:p>
    <w:p w14:paraId="10B7034C" w14:textId="77777777" w:rsidR="00877A88" w:rsidRDefault="00877A88" w:rsidP="00877A88">
      <w:pPr>
        <w:pStyle w:val="Letter2Text"/>
        <w:spacing w:after="240"/>
        <w:jc w:val="both"/>
        <w:rPr>
          <w:rFonts w:cs="Arial"/>
          <w:b/>
        </w:rPr>
      </w:pPr>
      <w:r w:rsidRPr="00707C52">
        <w:rPr>
          <w:rFonts w:cs="Arial"/>
          <w:b/>
        </w:rPr>
        <w:t>Section 2</w:t>
      </w:r>
      <w:r>
        <w:rPr>
          <w:rFonts w:cs="Arial"/>
          <w:b/>
        </w:rPr>
        <w:t xml:space="preserve"> – Commencement</w:t>
      </w:r>
    </w:p>
    <w:p w14:paraId="4BE2D89D" w14:textId="70D16ABE" w:rsidR="00785844" w:rsidRPr="008650E9" w:rsidRDefault="00785844" w:rsidP="00785844">
      <w:pPr>
        <w:pStyle w:val="Letter2Text"/>
        <w:spacing w:after="240"/>
        <w:jc w:val="both"/>
        <w:rPr>
          <w:rFonts w:cs="Arial"/>
        </w:rPr>
      </w:pPr>
      <w:r>
        <w:rPr>
          <w:rFonts w:cs="Arial"/>
        </w:rPr>
        <w:t xml:space="preserve">This section provides that the </w:t>
      </w:r>
      <w:r w:rsidR="00767109">
        <w:rPr>
          <w:rFonts w:cs="Arial"/>
        </w:rPr>
        <w:t>I</w:t>
      </w:r>
      <w:r>
        <w:rPr>
          <w:rFonts w:cs="Arial"/>
        </w:rPr>
        <w:t xml:space="preserve">nstrument commences on the day after registration. </w:t>
      </w:r>
    </w:p>
    <w:p w14:paraId="7F7C1B29" w14:textId="77777777" w:rsidR="00877A88" w:rsidRDefault="00877A88" w:rsidP="00877A88">
      <w:pPr>
        <w:pStyle w:val="Letter2Text"/>
        <w:spacing w:after="240"/>
        <w:jc w:val="both"/>
        <w:rPr>
          <w:rFonts w:cs="Arial"/>
          <w:b/>
        </w:rPr>
      </w:pPr>
      <w:r>
        <w:rPr>
          <w:rFonts w:cs="Arial"/>
          <w:b/>
        </w:rPr>
        <w:t>Section 3 – Authority</w:t>
      </w:r>
    </w:p>
    <w:p w14:paraId="27252659" w14:textId="232CEAE5" w:rsidR="00877A88" w:rsidRDefault="00877A88" w:rsidP="00C50130">
      <w:pPr>
        <w:pStyle w:val="Letter2Text"/>
        <w:spacing w:after="240"/>
        <w:jc w:val="both"/>
        <w:rPr>
          <w:rFonts w:cs="Arial"/>
        </w:rPr>
      </w:pPr>
      <w:r>
        <w:rPr>
          <w:rFonts w:cs="Arial"/>
        </w:rPr>
        <w:t xml:space="preserve">This section provides that the </w:t>
      </w:r>
      <w:r w:rsidR="00767109">
        <w:rPr>
          <w:rFonts w:cs="Arial"/>
        </w:rPr>
        <w:t>I</w:t>
      </w:r>
      <w:r w:rsidR="00C50130">
        <w:rPr>
          <w:rFonts w:cs="Arial"/>
        </w:rPr>
        <w:t xml:space="preserve">nstrument </w:t>
      </w:r>
      <w:r>
        <w:rPr>
          <w:rFonts w:cs="Arial"/>
        </w:rPr>
        <w:t>is made under</w:t>
      </w:r>
      <w:r w:rsidR="00ED2552">
        <w:rPr>
          <w:rFonts w:cs="Arial"/>
        </w:rPr>
        <w:t xml:space="preserve"> section</w:t>
      </w:r>
      <w:r w:rsidR="00C50130">
        <w:rPr>
          <w:rFonts w:cs="Arial"/>
        </w:rPr>
        <w:t xml:space="preserve"> 55 of the</w:t>
      </w:r>
      <w:r w:rsidR="00ED2552">
        <w:rPr>
          <w:rFonts w:cs="Arial"/>
        </w:rPr>
        <w:t xml:space="preserve"> Act.</w:t>
      </w:r>
    </w:p>
    <w:p w14:paraId="46C9B046" w14:textId="19F379DB" w:rsidR="00584FCC" w:rsidRPr="00D53174" w:rsidRDefault="00584FCC" w:rsidP="00846D04">
      <w:pPr>
        <w:spacing w:before="0" w:after="240"/>
        <w:jc w:val="both"/>
        <w:outlineLvl w:val="0"/>
        <w:rPr>
          <w:rFonts w:cs="Arial"/>
        </w:rPr>
      </w:pPr>
      <w:r>
        <w:rPr>
          <w:rFonts w:cs="Arial"/>
        </w:rPr>
        <w:t xml:space="preserve">Subsection 33(3) of the </w:t>
      </w:r>
      <w:r>
        <w:rPr>
          <w:rFonts w:cs="Arial"/>
          <w:i/>
          <w:iCs/>
        </w:rPr>
        <w:t xml:space="preserve">Acts Interpretation Act 1901 </w:t>
      </w:r>
      <w:r>
        <w:rPr>
          <w:rFonts w:cs="Arial"/>
        </w:rPr>
        <w:t xml:space="preserve">provides that a power to make a legislative instrument includes a power to repeal, rescind, revoke, amend, or vary that instrument in the same manner, and subject to the same conditions, as the power to make the instrument. </w:t>
      </w:r>
    </w:p>
    <w:p w14:paraId="57F8D8B4" w14:textId="13E94B12" w:rsidR="00FB58EA" w:rsidRPr="00584FCC" w:rsidRDefault="00FB58EA" w:rsidP="00877A88">
      <w:pPr>
        <w:pStyle w:val="Letter2Text"/>
        <w:spacing w:after="240"/>
        <w:jc w:val="both"/>
        <w:rPr>
          <w:rFonts w:cs="Arial"/>
          <w:b/>
        </w:rPr>
      </w:pPr>
      <w:r w:rsidRPr="000570A9">
        <w:rPr>
          <w:rFonts w:cs="Arial"/>
          <w:b/>
        </w:rPr>
        <w:t xml:space="preserve">Section 4 - </w:t>
      </w:r>
      <w:r w:rsidR="00551C09" w:rsidRPr="000570A9">
        <w:rPr>
          <w:rFonts w:cs="Arial"/>
          <w:b/>
        </w:rPr>
        <w:t>Schedules</w:t>
      </w:r>
    </w:p>
    <w:p w14:paraId="54FC08B0" w14:textId="2AB361C7" w:rsidR="00877A88" w:rsidRDefault="00E259EB" w:rsidP="00877A88">
      <w:pPr>
        <w:pStyle w:val="Letter2Text"/>
        <w:spacing w:after="240"/>
        <w:jc w:val="both"/>
        <w:rPr>
          <w:rFonts w:cs="Arial"/>
        </w:rPr>
      </w:pPr>
      <w:r>
        <w:rPr>
          <w:rFonts w:cs="Arial"/>
          <w:bCs/>
        </w:rPr>
        <w:t>This section</w:t>
      </w:r>
      <w:r w:rsidR="00877A88" w:rsidRPr="00940C20">
        <w:rPr>
          <w:rFonts w:cs="Arial"/>
          <w:bCs/>
        </w:rPr>
        <w:t xml:space="preserve"> </w:t>
      </w:r>
      <w:r w:rsidR="00477C9F" w:rsidRPr="00940C20">
        <w:rPr>
          <w:rFonts w:cs="Arial"/>
          <w:bCs/>
        </w:rPr>
        <w:t>provides</w:t>
      </w:r>
      <w:r w:rsidR="00477C9F">
        <w:rPr>
          <w:rFonts w:cs="Arial"/>
        </w:rPr>
        <w:t xml:space="preserve"> e</w:t>
      </w:r>
      <w:r w:rsidR="00477C9F" w:rsidRPr="00477C9F">
        <w:rPr>
          <w:rFonts w:cs="Arial"/>
        </w:rPr>
        <w:t>ach instrument that is specified in Schedule 1 to th</w:t>
      </w:r>
      <w:r>
        <w:rPr>
          <w:rFonts w:cs="Arial"/>
        </w:rPr>
        <w:t xml:space="preserve">e </w:t>
      </w:r>
      <w:r w:rsidR="00A116C9">
        <w:rPr>
          <w:rFonts w:cs="Arial"/>
        </w:rPr>
        <w:t>I</w:t>
      </w:r>
      <w:r w:rsidR="00477C9F" w:rsidRPr="00477C9F">
        <w:rPr>
          <w:rFonts w:cs="Arial"/>
        </w:rPr>
        <w:t>nstrument is amended as set out in the applicable items in Schedule 1, and any other item in Schedule 1 to th</w:t>
      </w:r>
      <w:r>
        <w:rPr>
          <w:rFonts w:cs="Arial"/>
        </w:rPr>
        <w:t>e</w:t>
      </w:r>
      <w:r w:rsidR="00477C9F" w:rsidRPr="00477C9F">
        <w:rPr>
          <w:rFonts w:cs="Arial"/>
        </w:rPr>
        <w:t xml:space="preserve"> </w:t>
      </w:r>
      <w:r w:rsidR="00F32A9B">
        <w:rPr>
          <w:rFonts w:cs="Arial"/>
        </w:rPr>
        <w:t>I</w:t>
      </w:r>
      <w:r w:rsidR="00477C9F" w:rsidRPr="00477C9F">
        <w:rPr>
          <w:rFonts w:cs="Arial"/>
        </w:rPr>
        <w:t>nstrument has effect according to its terms.</w:t>
      </w:r>
    </w:p>
    <w:p w14:paraId="21AC733B" w14:textId="0FDBE2D5" w:rsidR="00477C9F" w:rsidRPr="004E40FA" w:rsidRDefault="00477C9F" w:rsidP="00877A88">
      <w:pPr>
        <w:pStyle w:val="Letter2Text"/>
        <w:spacing w:after="240"/>
        <w:jc w:val="both"/>
        <w:rPr>
          <w:rFonts w:cs="Arial"/>
          <w:b/>
        </w:rPr>
      </w:pPr>
      <w:r>
        <w:rPr>
          <w:rFonts w:cs="Arial"/>
          <w:b/>
          <w:u w:val="single"/>
        </w:rPr>
        <w:t xml:space="preserve">Schedule 1 – Amendments </w:t>
      </w:r>
    </w:p>
    <w:p w14:paraId="5667D270" w14:textId="1DCB6FF2" w:rsidR="00477C9F" w:rsidRDefault="00477C9F" w:rsidP="00877A88">
      <w:pPr>
        <w:pStyle w:val="Letter2Text"/>
        <w:spacing w:after="240"/>
        <w:jc w:val="both"/>
        <w:rPr>
          <w:rFonts w:cs="Arial"/>
          <w:b/>
        </w:rPr>
      </w:pPr>
      <w:r>
        <w:rPr>
          <w:rFonts w:cs="Arial"/>
          <w:b/>
        </w:rPr>
        <w:t>Item</w:t>
      </w:r>
      <w:r w:rsidR="006E6E0C">
        <w:rPr>
          <w:rFonts w:cs="Arial"/>
          <w:b/>
        </w:rPr>
        <w:t>s</w:t>
      </w:r>
      <w:r>
        <w:rPr>
          <w:rFonts w:cs="Arial"/>
          <w:b/>
        </w:rPr>
        <w:t xml:space="preserve"> </w:t>
      </w:r>
      <w:r w:rsidR="00551C09">
        <w:rPr>
          <w:rFonts w:cs="Arial"/>
          <w:b/>
        </w:rPr>
        <w:t>[</w:t>
      </w:r>
      <w:r>
        <w:rPr>
          <w:rFonts w:cs="Arial"/>
          <w:b/>
        </w:rPr>
        <w:t>1</w:t>
      </w:r>
      <w:r w:rsidR="00551C09">
        <w:rPr>
          <w:rFonts w:cs="Arial"/>
          <w:b/>
        </w:rPr>
        <w:t>]</w:t>
      </w:r>
      <w:r w:rsidR="006E6E0C">
        <w:rPr>
          <w:rFonts w:cs="Arial"/>
          <w:b/>
        </w:rPr>
        <w:t xml:space="preserve"> to [2]</w:t>
      </w:r>
      <w:r w:rsidR="00551C09">
        <w:rPr>
          <w:rFonts w:cs="Arial"/>
          <w:b/>
        </w:rPr>
        <w:t xml:space="preserve"> – Section 4</w:t>
      </w:r>
      <w:r>
        <w:rPr>
          <w:rFonts w:cs="Arial"/>
          <w:b/>
        </w:rPr>
        <w:t xml:space="preserve"> </w:t>
      </w:r>
    </w:p>
    <w:p w14:paraId="01754AFB" w14:textId="180B5047" w:rsidR="0058785D" w:rsidRDefault="006E6E0C" w:rsidP="0058785D">
      <w:pPr>
        <w:pStyle w:val="Letter2Text"/>
        <w:spacing w:after="240"/>
        <w:jc w:val="both"/>
        <w:rPr>
          <w:rFonts w:cs="Arial"/>
          <w:bCs/>
        </w:rPr>
      </w:pPr>
      <w:r>
        <w:rPr>
          <w:rFonts w:cs="Arial"/>
          <w:bCs/>
        </w:rPr>
        <w:t>Item 1</w:t>
      </w:r>
      <w:r w:rsidR="00477C9F">
        <w:rPr>
          <w:rFonts w:cs="Arial"/>
          <w:bCs/>
        </w:rPr>
        <w:t xml:space="preserve"> repeals </w:t>
      </w:r>
      <w:r w:rsidR="00F32A9B">
        <w:rPr>
          <w:rFonts w:cs="Arial"/>
          <w:bCs/>
        </w:rPr>
        <w:t xml:space="preserve">paragraph </w:t>
      </w:r>
      <w:r w:rsidR="00477C9F">
        <w:rPr>
          <w:rFonts w:cs="Arial"/>
          <w:bCs/>
        </w:rPr>
        <w:t xml:space="preserve">(d) of the note to Section 4 of the Framework. It substitutes </w:t>
      </w:r>
      <w:r w:rsidR="00F32A9B">
        <w:rPr>
          <w:rFonts w:cs="Arial"/>
          <w:bCs/>
        </w:rPr>
        <w:t xml:space="preserve"> new paragraphs (d) and (e)</w:t>
      </w:r>
      <w:r w:rsidR="00477C9F">
        <w:rPr>
          <w:rFonts w:cs="Arial"/>
          <w:bCs/>
        </w:rPr>
        <w:t xml:space="preserve"> so as to include the definition of partly-participating institution </w:t>
      </w:r>
      <w:r w:rsidR="009D7126">
        <w:rPr>
          <w:rFonts w:cs="Arial"/>
          <w:bCs/>
        </w:rPr>
        <w:t xml:space="preserve">from the Act in the Framework. </w:t>
      </w:r>
      <w:r w:rsidR="00477C9F">
        <w:rPr>
          <w:rFonts w:cs="Arial"/>
          <w:bCs/>
        </w:rPr>
        <w:t xml:space="preserve"> </w:t>
      </w:r>
    </w:p>
    <w:p w14:paraId="473C5198" w14:textId="573EB273" w:rsidR="002F1F25" w:rsidRDefault="002F1F25" w:rsidP="002F1F25">
      <w:pPr>
        <w:pStyle w:val="Letter2Text"/>
        <w:spacing w:after="240"/>
        <w:jc w:val="both"/>
        <w:rPr>
          <w:rFonts w:cs="Arial"/>
        </w:rPr>
      </w:pPr>
      <w:r>
        <w:rPr>
          <w:rFonts w:cs="Arial"/>
        </w:rPr>
        <w:t xml:space="preserve">Item 2 inserts the definition of “complaint” and “direct personal response facilitator”. These terms are included to facilitate the expansion of the review and reporting obligations of institutions which are providing DPRs. </w:t>
      </w:r>
    </w:p>
    <w:p w14:paraId="5A6B1E85" w14:textId="42017B19" w:rsidR="00466161" w:rsidRDefault="00466161" w:rsidP="002F1F25">
      <w:pPr>
        <w:pStyle w:val="Letter2Text"/>
        <w:spacing w:after="240"/>
        <w:jc w:val="both"/>
        <w:rPr>
          <w:rFonts w:cs="Arial"/>
        </w:rPr>
      </w:pPr>
      <w:r>
        <w:rPr>
          <w:rFonts w:cs="Arial"/>
        </w:rPr>
        <w:t xml:space="preserve">A complaint for the purposes of the Instrument means an expression of dissatisfaction made to or about a responsible institution related to its products, services, staff or the handling of the complaint, where a response or resolution is explicitly or implicitly expected or legally required. For example, a survivor make a complaint that an institution did not deliver </w:t>
      </w:r>
      <w:r w:rsidR="000C104E">
        <w:rPr>
          <w:rFonts w:cs="Arial"/>
        </w:rPr>
        <w:t xml:space="preserve">a </w:t>
      </w:r>
      <w:r>
        <w:rPr>
          <w:rFonts w:cs="Arial"/>
        </w:rPr>
        <w:t xml:space="preserve">DPR to satisfaction because it did not take into account the survivor’s cultural needs. </w:t>
      </w:r>
    </w:p>
    <w:p w14:paraId="5E80185C" w14:textId="721BBEB5" w:rsidR="00466161" w:rsidRDefault="00466161" w:rsidP="002F1F25">
      <w:pPr>
        <w:pStyle w:val="Letter2Text"/>
        <w:spacing w:after="240"/>
        <w:jc w:val="both"/>
        <w:rPr>
          <w:rFonts w:cs="Arial"/>
        </w:rPr>
      </w:pPr>
      <w:r>
        <w:rPr>
          <w:rFonts w:cs="Arial"/>
        </w:rPr>
        <w:t xml:space="preserve">A </w:t>
      </w:r>
      <w:r w:rsidR="00307DBC">
        <w:rPr>
          <w:rFonts w:cs="Arial"/>
        </w:rPr>
        <w:t>DPR</w:t>
      </w:r>
      <w:r>
        <w:rPr>
          <w:rFonts w:cs="Arial"/>
        </w:rPr>
        <w:t xml:space="preserve"> </w:t>
      </w:r>
      <w:r w:rsidR="00307DBC">
        <w:rPr>
          <w:rFonts w:cs="Arial"/>
        </w:rPr>
        <w:t>F</w:t>
      </w:r>
      <w:r>
        <w:rPr>
          <w:rFonts w:cs="Arial"/>
        </w:rPr>
        <w:t>acilitator means a neutral, independent third party who has the knowledge and skills to ensure the DPR process operates in accordance with</w:t>
      </w:r>
      <w:r w:rsidR="000C104E">
        <w:rPr>
          <w:rFonts w:cs="Arial"/>
        </w:rPr>
        <w:t xml:space="preserve"> the DPR Framework.</w:t>
      </w:r>
      <w:r>
        <w:rPr>
          <w:rFonts w:cs="Arial"/>
        </w:rPr>
        <w:t xml:space="preserve"> </w:t>
      </w:r>
      <w:r w:rsidR="00307DBC">
        <w:rPr>
          <w:rFonts w:cs="Arial"/>
        </w:rPr>
        <w:t xml:space="preserve">For example, a DPR Facilitator should be a third party with necessary </w:t>
      </w:r>
      <w:r w:rsidR="00307DBC">
        <w:rPr>
          <w:rFonts w:cs="Arial"/>
        </w:rPr>
        <w:lastRenderedPageBreak/>
        <w:t xml:space="preserve">skills to </w:t>
      </w:r>
      <w:r w:rsidR="00307DBC" w:rsidRPr="00307DBC">
        <w:rPr>
          <w:rFonts w:cs="Arial"/>
        </w:rPr>
        <w:t>prepare participants for and conduct a face-to-face DPR</w:t>
      </w:r>
      <w:r w:rsidR="00307DBC">
        <w:rPr>
          <w:rFonts w:cs="Arial"/>
        </w:rPr>
        <w:t xml:space="preserve"> so that it meets the requirements of the DPR Framework. </w:t>
      </w:r>
    </w:p>
    <w:p w14:paraId="323580D8" w14:textId="6E21B65B" w:rsidR="0058785D" w:rsidRDefault="009D7126" w:rsidP="00477C9F">
      <w:pPr>
        <w:pStyle w:val="Letter2Text"/>
        <w:spacing w:after="240"/>
        <w:jc w:val="both"/>
        <w:rPr>
          <w:rFonts w:cs="Arial"/>
        </w:rPr>
      </w:pPr>
      <w:r>
        <w:rPr>
          <w:rFonts w:cs="Arial"/>
        </w:rPr>
        <w:t>Item 2</w:t>
      </w:r>
      <w:r w:rsidR="002F1F25">
        <w:rPr>
          <w:rFonts w:cs="Arial"/>
        </w:rPr>
        <w:t xml:space="preserve"> also</w:t>
      </w:r>
      <w:r w:rsidR="0058785D">
        <w:rPr>
          <w:rFonts w:cs="Arial"/>
        </w:rPr>
        <w:t xml:space="preserve"> </w:t>
      </w:r>
      <w:r w:rsidR="005A001F">
        <w:rPr>
          <w:rFonts w:cs="Arial"/>
        </w:rPr>
        <w:t>inserts a definition of</w:t>
      </w:r>
      <w:r w:rsidR="0058785D">
        <w:rPr>
          <w:rFonts w:cs="Arial"/>
        </w:rPr>
        <w:t xml:space="preserve"> “Responsible institution” for the purposes of the Framework to include both a participating institution and a partly-participating institution. </w:t>
      </w:r>
      <w:r w:rsidR="008817AB">
        <w:rPr>
          <w:rFonts w:cs="Arial"/>
        </w:rPr>
        <w:t xml:space="preserve">The definition of “responsible institution” in the Framework is not the same definition of “responsible institution” as defined by the Act. </w:t>
      </w:r>
    </w:p>
    <w:p w14:paraId="0A7A2C9A" w14:textId="606DF871" w:rsidR="0058785D" w:rsidRDefault="0058785D" w:rsidP="00477C9F">
      <w:pPr>
        <w:pStyle w:val="Letter2Text"/>
        <w:spacing w:after="240"/>
        <w:jc w:val="both"/>
        <w:rPr>
          <w:rFonts w:cs="Arial"/>
          <w:b/>
          <w:bCs/>
        </w:rPr>
      </w:pPr>
      <w:r>
        <w:rPr>
          <w:rFonts w:cs="Arial"/>
          <w:b/>
          <w:bCs/>
        </w:rPr>
        <w:t>Item</w:t>
      </w:r>
      <w:r w:rsidR="00783258">
        <w:rPr>
          <w:rFonts w:cs="Arial"/>
          <w:b/>
          <w:bCs/>
        </w:rPr>
        <w:t>s</w:t>
      </w:r>
      <w:r>
        <w:rPr>
          <w:rFonts w:cs="Arial"/>
          <w:b/>
          <w:bCs/>
        </w:rPr>
        <w:t xml:space="preserve"> </w:t>
      </w:r>
      <w:r w:rsidR="008C4F6F">
        <w:rPr>
          <w:rFonts w:cs="Arial"/>
          <w:b/>
          <w:bCs/>
        </w:rPr>
        <w:t>[</w:t>
      </w:r>
      <w:r>
        <w:rPr>
          <w:rFonts w:cs="Arial"/>
          <w:b/>
          <w:bCs/>
        </w:rPr>
        <w:t>3</w:t>
      </w:r>
      <w:r w:rsidR="008C4F6F">
        <w:rPr>
          <w:rFonts w:cs="Arial"/>
          <w:b/>
          <w:bCs/>
        </w:rPr>
        <w:t>]</w:t>
      </w:r>
      <w:r w:rsidR="00783258">
        <w:rPr>
          <w:rFonts w:cs="Arial"/>
          <w:b/>
          <w:bCs/>
        </w:rPr>
        <w:t xml:space="preserve"> and [4]</w:t>
      </w:r>
      <w:r w:rsidR="008C4F6F">
        <w:rPr>
          <w:rFonts w:cs="Arial"/>
          <w:b/>
          <w:bCs/>
        </w:rPr>
        <w:t xml:space="preserve"> – Section 5 </w:t>
      </w:r>
      <w:r>
        <w:rPr>
          <w:rFonts w:cs="Arial"/>
          <w:b/>
          <w:bCs/>
        </w:rPr>
        <w:t xml:space="preserve"> </w:t>
      </w:r>
    </w:p>
    <w:p w14:paraId="46C36651" w14:textId="7E4D7B19" w:rsidR="0058785D" w:rsidRDefault="00783258" w:rsidP="00477C9F">
      <w:pPr>
        <w:pStyle w:val="Letter2Text"/>
        <w:spacing w:after="240"/>
        <w:jc w:val="both"/>
        <w:rPr>
          <w:rFonts w:cs="Arial"/>
        </w:rPr>
      </w:pPr>
      <w:r>
        <w:rPr>
          <w:rFonts w:cs="Arial"/>
        </w:rPr>
        <w:t>Item 3</w:t>
      </w:r>
      <w:r w:rsidR="0058785D">
        <w:rPr>
          <w:rFonts w:cs="Arial"/>
        </w:rPr>
        <w:t xml:space="preserve"> </w:t>
      </w:r>
      <w:r w:rsidR="00E17283">
        <w:rPr>
          <w:rFonts w:cs="Arial"/>
        </w:rPr>
        <w:t xml:space="preserve">omits </w:t>
      </w:r>
      <w:r w:rsidR="0058785D">
        <w:rPr>
          <w:rFonts w:cs="Arial"/>
        </w:rPr>
        <w:t xml:space="preserve">the words </w:t>
      </w:r>
      <w:r w:rsidR="00555E5A">
        <w:rPr>
          <w:rFonts w:cs="Arial"/>
        </w:rPr>
        <w:t>“</w:t>
      </w:r>
      <w:r w:rsidR="003D43F0">
        <w:rPr>
          <w:rFonts w:cs="Arial"/>
        </w:rPr>
        <w:t>participating</w:t>
      </w:r>
      <w:r w:rsidR="0058785D">
        <w:rPr>
          <w:rFonts w:cs="Arial"/>
        </w:rPr>
        <w:t xml:space="preserve"> institution</w:t>
      </w:r>
      <w:r w:rsidR="00E17283">
        <w:rPr>
          <w:rFonts w:cs="Arial"/>
        </w:rPr>
        <w:t xml:space="preserve"> (the </w:t>
      </w:r>
      <w:r w:rsidR="00E17283">
        <w:rPr>
          <w:rFonts w:cs="Arial"/>
          <w:b/>
          <w:bCs/>
          <w:i/>
          <w:iCs/>
        </w:rPr>
        <w:t>responsible institution</w:t>
      </w:r>
      <w:r w:rsidR="00E17283" w:rsidRPr="005D05CF">
        <w:rPr>
          <w:rFonts w:cs="Arial"/>
          <w:u w:val="single"/>
        </w:rPr>
        <w:t>)</w:t>
      </w:r>
      <w:r w:rsidR="00555E5A">
        <w:rPr>
          <w:rFonts w:cs="Arial"/>
        </w:rPr>
        <w:t>”</w:t>
      </w:r>
      <w:r w:rsidR="0058785D">
        <w:rPr>
          <w:rFonts w:cs="Arial"/>
        </w:rPr>
        <w:t xml:space="preserve"> </w:t>
      </w:r>
      <w:r w:rsidR="003769DA">
        <w:rPr>
          <w:rFonts w:cs="Arial"/>
        </w:rPr>
        <w:t>and substitutes the words ‘responsible institution’ in</w:t>
      </w:r>
      <w:r w:rsidR="00555E5A">
        <w:rPr>
          <w:rFonts w:cs="Arial"/>
        </w:rPr>
        <w:t xml:space="preserve"> section 5 of the Framework</w:t>
      </w:r>
      <w:r w:rsidR="000047C0">
        <w:rPr>
          <w:rFonts w:cs="Arial"/>
        </w:rPr>
        <w:t>.</w:t>
      </w:r>
      <w:r w:rsidR="00555E5A">
        <w:rPr>
          <w:rFonts w:cs="Arial"/>
        </w:rPr>
        <w:t xml:space="preserve"> </w:t>
      </w:r>
    </w:p>
    <w:p w14:paraId="586CDF6E" w14:textId="5CCAE493" w:rsidR="00555E5A" w:rsidRDefault="000047C0" w:rsidP="00477C9F">
      <w:pPr>
        <w:pStyle w:val="Letter2Text"/>
        <w:spacing w:after="240"/>
        <w:jc w:val="both"/>
        <w:rPr>
          <w:rFonts w:cs="Arial"/>
        </w:rPr>
      </w:pPr>
      <w:r>
        <w:rPr>
          <w:rFonts w:cs="Arial"/>
        </w:rPr>
        <w:t>Item 4</w:t>
      </w:r>
      <w:r w:rsidR="005C742C">
        <w:rPr>
          <w:rFonts w:cs="Arial"/>
        </w:rPr>
        <w:t xml:space="preserve"> </w:t>
      </w:r>
      <w:r w:rsidR="003D43F0">
        <w:rPr>
          <w:rFonts w:cs="Arial"/>
        </w:rPr>
        <w:t>omits the words “participating institutions</w:t>
      </w:r>
      <w:r w:rsidR="00555E5A">
        <w:rPr>
          <w:rFonts w:cs="Arial"/>
        </w:rPr>
        <w:t>” to the note to section 5 of the Framework</w:t>
      </w:r>
      <w:r w:rsidR="003D43F0">
        <w:rPr>
          <w:rFonts w:cs="Arial"/>
        </w:rPr>
        <w:t xml:space="preserve"> and substitutes the words “responsible institution”</w:t>
      </w:r>
      <w:r>
        <w:rPr>
          <w:rFonts w:cs="Arial"/>
        </w:rPr>
        <w:t>.</w:t>
      </w:r>
    </w:p>
    <w:p w14:paraId="4E4DF315" w14:textId="67C0D371" w:rsidR="000047C0" w:rsidRDefault="003769DA" w:rsidP="00477C9F">
      <w:pPr>
        <w:pStyle w:val="Letter2Text"/>
        <w:spacing w:after="240"/>
        <w:jc w:val="both"/>
        <w:rPr>
          <w:rFonts w:cs="Arial"/>
        </w:rPr>
      </w:pPr>
      <w:r>
        <w:rPr>
          <w:rFonts w:cs="Arial"/>
        </w:rPr>
        <w:t xml:space="preserve">These amendments pick up the new definition of ‘responsible institution’ inserted by item 2 </w:t>
      </w:r>
      <w:r w:rsidR="004E0A66">
        <w:rPr>
          <w:rFonts w:cs="Arial"/>
        </w:rPr>
        <w:t>so</w:t>
      </w:r>
      <w:r>
        <w:rPr>
          <w:rFonts w:cs="Arial"/>
        </w:rPr>
        <w:t xml:space="preserve"> that </w:t>
      </w:r>
      <w:r w:rsidR="004E0A66">
        <w:rPr>
          <w:rFonts w:cs="Arial"/>
        </w:rPr>
        <w:t>section 5 applies to both participating institutions and partly-participating institutions. This means that a person can receive a DPR from both kinds of institutions.</w:t>
      </w:r>
      <w:r w:rsidR="004E0A66" w:rsidDel="004E0A66">
        <w:rPr>
          <w:rFonts w:cs="Arial"/>
        </w:rPr>
        <w:t xml:space="preserve"> </w:t>
      </w:r>
      <w:r w:rsidR="000047C0">
        <w:rPr>
          <w:rFonts w:cs="Arial"/>
        </w:rPr>
        <w:t xml:space="preserve">  </w:t>
      </w:r>
    </w:p>
    <w:p w14:paraId="1EB01941" w14:textId="162295D2" w:rsidR="00555E5A" w:rsidRDefault="00555E5A" w:rsidP="00477C9F">
      <w:pPr>
        <w:pStyle w:val="Letter2Text"/>
        <w:spacing w:after="240"/>
        <w:jc w:val="both"/>
        <w:rPr>
          <w:rFonts w:cs="Arial"/>
          <w:b/>
          <w:bCs/>
        </w:rPr>
      </w:pPr>
      <w:r>
        <w:rPr>
          <w:rFonts w:cs="Arial"/>
          <w:b/>
          <w:bCs/>
        </w:rPr>
        <w:t>Item</w:t>
      </w:r>
      <w:r w:rsidR="005B543D">
        <w:rPr>
          <w:rFonts w:cs="Arial"/>
          <w:b/>
          <w:bCs/>
        </w:rPr>
        <w:t>s</w:t>
      </w:r>
      <w:r>
        <w:rPr>
          <w:rFonts w:cs="Arial"/>
          <w:b/>
          <w:bCs/>
        </w:rPr>
        <w:t xml:space="preserve"> </w:t>
      </w:r>
      <w:r w:rsidR="00502486">
        <w:rPr>
          <w:rFonts w:cs="Arial"/>
          <w:b/>
          <w:bCs/>
        </w:rPr>
        <w:t>[</w:t>
      </w:r>
      <w:r>
        <w:rPr>
          <w:rFonts w:cs="Arial"/>
          <w:b/>
          <w:bCs/>
        </w:rPr>
        <w:t>5</w:t>
      </w:r>
      <w:r w:rsidR="00502486">
        <w:rPr>
          <w:rFonts w:cs="Arial"/>
          <w:b/>
          <w:bCs/>
        </w:rPr>
        <w:t>]</w:t>
      </w:r>
      <w:r w:rsidR="005B543D">
        <w:rPr>
          <w:rFonts w:cs="Arial"/>
          <w:b/>
          <w:bCs/>
        </w:rPr>
        <w:t xml:space="preserve"> to [</w:t>
      </w:r>
      <w:r w:rsidR="002F1F25">
        <w:rPr>
          <w:rFonts w:cs="Arial"/>
          <w:b/>
          <w:bCs/>
        </w:rPr>
        <w:t>7</w:t>
      </w:r>
      <w:r w:rsidR="005B543D">
        <w:rPr>
          <w:rFonts w:cs="Arial"/>
          <w:b/>
          <w:bCs/>
        </w:rPr>
        <w:t>]</w:t>
      </w:r>
      <w:r w:rsidR="00502486">
        <w:rPr>
          <w:rFonts w:cs="Arial"/>
          <w:b/>
          <w:bCs/>
        </w:rPr>
        <w:t xml:space="preserve"> – Section 6</w:t>
      </w:r>
      <w:r>
        <w:rPr>
          <w:rFonts w:cs="Arial"/>
          <w:b/>
          <w:bCs/>
        </w:rPr>
        <w:t xml:space="preserve"> </w:t>
      </w:r>
    </w:p>
    <w:p w14:paraId="7ADC8E1A" w14:textId="0F58FC15" w:rsidR="00555E5A" w:rsidRDefault="005B543D" w:rsidP="00477C9F">
      <w:pPr>
        <w:pStyle w:val="Letter2Text"/>
        <w:spacing w:after="240"/>
        <w:jc w:val="both"/>
        <w:rPr>
          <w:rFonts w:cs="Arial"/>
        </w:rPr>
      </w:pPr>
      <w:r>
        <w:rPr>
          <w:rFonts w:cs="Arial"/>
        </w:rPr>
        <w:t>Item 5</w:t>
      </w:r>
      <w:r w:rsidR="00555E5A">
        <w:rPr>
          <w:rFonts w:cs="Arial"/>
        </w:rPr>
        <w:t xml:space="preserve"> </w:t>
      </w:r>
      <w:r w:rsidR="00371060">
        <w:rPr>
          <w:rFonts w:cs="Arial"/>
        </w:rPr>
        <w:t>inserts</w:t>
      </w:r>
      <w:r w:rsidR="00555E5A">
        <w:rPr>
          <w:rFonts w:cs="Arial"/>
        </w:rPr>
        <w:t xml:space="preserve"> the number “1” after the </w:t>
      </w:r>
      <w:r w:rsidR="002F1F25">
        <w:rPr>
          <w:rFonts w:cs="Arial"/>
        </w:rPr>
        <w:t xml:space="preserve">word </w:t>
      </w:r>
      <w:r w:rsidR="00555E5A">
        <w:rPr>
          <w:rFonts w:cs="Arial"/>
        </w:rPr>
        <w:t xml:space="preserve">note </w:t>
      </w:r>
      <w:r w:rsidR="002F1F25">
        <w:rPr>
          <w:rFonts w:cs="Arial"/>
        </w:rPr>
        <w:t xml:space="preserve">in the note </w:t>
      </w:r>
      <w:r w:rsidR="00555E5A">
        <w:rPr>
          <w:rFonts w:cs="Arial"/>
        </w:rPr>
        <w:t xml:space="preserve">to section 6. </w:t>
      </w:r>
      <w:r w:rsidR="002F1F25">
        <w:rPr>
          <w:rFonts w:cs="Arial"/>
        </w:rPr>
        <w:t>This item is consequential to item 7 that inserts a second note to section 6.</w:t>
      </w:r>
    </w:p>
    <w:p w14:paraId="4D08A172" w14:textId="24C56DB1" w:rsidR="00555E5A" w:rsidRDefault="005B543D" w:rsidP="00477C9F">
      <w:pPr>
        <w:pStyle w:val="Letter2Text"/>
        <w:spacing w:after="240"/>
        <w:jc w:val="both"/>
        <w:rPr>
          <w:rFonts w:cs="Arial"/>
        </w:rPr>
      </w:pPr>
      <w:r>
        <w:rPr>
          <w:rFonts w:cs="Arial"/>
        </w:rPr>
        <w:t>Item 6</w:t>
      </w:r>
      <w:r w:rsidR="00555E5A">
        <w:rPr>
          <w:rFonts w:cs="Arial"/>
        </w:rPr>
        <w:t xml:space="preserve"> </w:t>
      </w:r>
      <w:r w:rsidR="00AE1EB2">
        <w:rPr>
          <w:rFonts w:cs="Arial"/>
        </w:rPr>
        <w:t>omits the words “</w:t>
      </w:r>
      <w:r w:rsidR="00BF3425">
        <w:rPr>
          <w:rFonts w:cs="Arial"/>
        </w:rPr>
        <w:t xml:space="preserve">participating institution” </w:t>
      </w:r>
      <w:r w:rsidR="002F1F25">
        <w:rPr>
          <w:rFonts w:cs="Arial"/>
        </w:rPr>
        <w:t xml:space="preserve">in </w:t>
      </w:r>
      <w:r w:rsidR="00BF3425">
        <w:rPr>
          <w:rFonts w:cs="Arial"/>
        </w:rPr>
        <w:t xml:space="preserve">the </w:t>
      </w:r>
      <w:r w:rsidR="002F1F25">
        <w:rPr>
          <w:rFonts w:cs="Arial"/>
        </w:rPr>
        <w:t xml:space="preserve">existing </w:t>
      </w:r>
      <w:r w:rsidR="00BF3425">
        <w:rPr>
          <w:rFonts w:cs="Arial"/>
        </w:rPr>
        <w:t>note to section 6</w:t>
      </w:r>
      <w:r w:rsidR="00A8547B">
        <w:rPr>
          <w:rFonts w:cs="Arial"/>
        </w:rPr>
        <w:t xml:space="preserve"> </w:t>
      </w:r>
      <w:r w:rsidR="00E221FC">
        <w:rPr>
          <w:rFonts w:cs="Arial"/>
        </w:rPr>
        <w:t xml:space="preserve">and substitutes the words “responsible institution”, </w:t>
      </w:r>
      <w:r w:rsidR="00A8547B">
        <w:rPr>
          <w:rFonts w:cs="Arial"/>
        </w:rPr>
        <w:t>so as to make the note applicable to partly-participating institutions.</w:t>
      </w:r>
      <w:r w:rsidR="00BF3425">
        <w:rPr>
          <w:rFonts w:cs="Arial"/>
        </w:rPr>
        <w:t xml:space="preserve"> </w:t>
      </w:r>
    </w:p>
    <w:p w14:paraId="25A7455D" w14:textId="68C46935" w:rsidR="00724820" w:rsidRDefault="005B543D" w:rsidP="00477C9F">
      <w:pPr>
        <w:pStyle w:val="Letter2Text"/>
        <w:spacing w:after="240"/>
        <w:jc w:val="both"/>
        <w:rPr>
          <w:rFonts w:cs="Arial"/>
        </w:rPr>
      </w:pPr>
      <w:r>
        <w:rPr>
          <w:rFonts w:cs="Arial"/>
        </w:rPr>
        <w:t>Item 7</w:t>
      </w:r>
      <w:r w:rsidR="00BF3425">
        <w:rPr>
          <w:rFonts w:cs="Arial"/>
        </w:rPr>
        <w:t xml:space="preserve"> inserts a</w:t>
      </w:r>
      <w:r w:rsidR="002F1F25">
        <w:rPr>
          <w:rFonts w:cs="Arial"/>
        </w:rPr>
        <w:t xml:space="preserve"> second</w:t>
      </w:r>
      <w:r w:rsidR="00BF3425">
        <w:rPr>
          <w:rFonts w:cs="Arial"/>
        </w:rPr>
        <w:t xml:space="preserve"> </w:t>
      </w:r>
      <w:r w:rsidR="00890AC5">
        <w:rPr>
          <w:rFonts w:cs="Arial"/>
        </w:rPr>
        <w:t>n</w:t>
      </w:r>
      <w:r w:rsidR="00BF3425">
        <w:rPr>
          <w:rFonts w:cs="Arial"/>
        </w:rPr>
        <w:t xml:space="preserve">ote </w:t>
      </w:r>
      <w:r w:rsidR="002F1F25">
        <w:rPr>
          <w:rFonts w:cs="Arial"/>
        </w:rPr>
        <w:t xml:space="preserve">at the end of </w:t>
      </w:r>
      <w:r w:rsidR="00BF3425">
        <w:rPr>
          <w:rFonts w:cs="Arial"/>
        </w:rPr>
        <w:t xml:space="preserve">section 6 which clarifies partly-participating institutions are not covered by the release from civil liability set out in section 43 of the Act. </w:t>
      </w:r>
      <w:r w:rsidR="00724820">
        <w:rPr>
          <w:rFonts w:cs="Arial"/>
        </w:rPr>
        <w:t xml:space="preserve">This item is included for clarity. </w:t>
      </w:r>
    </w:p>
    <w:p w14:paraId="5314D7BE" w14:textId="689E0C90" w:rsidR="002F1F25" w:rsidRPr="001825AB" w:rsidRDefault="002F1F25" w:rsidP="00477C9F">
      <w:pPr>
        <w:pStyle w:val="Letter2Text"/>
        <w:spacing w:after="240"/>
        <w:jc w:val="both"/>
        <w:rPr>
          <w:rFonts w:cs="Arial"/>
          <w:b/>
          <w:bCs/>
        </w:rPr>
      </w:pPr>
      <w:r>
        <w:rPr>
          <w:rFonts w:cs="Arial"/>
          <w:b/>
          <w:bCs/>
        </w:rPr>
        <w:t>Items [8] and [9]</w:t>
      </w:r>
    </w:p>
    <w:p w14:paraId="68F73662" w14:textId="7C253C9B" w:rsidR="00371060" w:rsidRDefault="005B543D" w:rsidP="00371060">
      <w:pPr>
        <w:pStyle w:val="Letter2Text"/>
        <w:spacing w:after="240"/>
        <w:jc w:val="both"/>
        <w:rPr>
          <w:rFonts w:cs="Arial"/>
        </w:rPr>
      </w:pPr>
      <w:r w:rsidRPr="00846D04">
        <w:rPr>
          <w:rFonts w:cs="Arial"/>
        </w:rPr>
        <w:t>Item 8</w:t>
      </w:r>
      <w:r w:rsidR="00371060">
        <w:rPr>
          <w:rFonts w:cs="Arial"/>
        </w:rPr>
        <w:t xml:space="preserve"> inserts the number “1” after the </w:t>
      </w:r>
      <w:r w:rsidR="002F1F25">
        <w:rPr>
          <w:rFonts w:cs="Arial"/>
        </w:rPr>
        <w:t xml:space="preserve">word </w:t>
      </w:r>
      <w:r w:rsidR="00371060">
        <w:rPr>
          <w:rFonts w:cs="Arial"/>
        </w:rPr>
        <w:t xml:space="preserve">note </w:t>
      </w:r>
      <w:r w:rsidR="002F1F25">
        <w:rPr>
          <w:rFonts w:cs="Arial"/>
        </w:rPr>
        <w:t xml:space="preserve">in the note </w:t>
      </w:r>
      <w:r w:rsidR="00371060">
        <w:rPr>
          <w:rFonts w:cs="Arial"/>
        </w:rPr>
        <w:t xml:space="preserve">to section </w:t>
      </w:r>
      <w:r w:rsidR="002F1F25">
        <w:rPr>
          <w:rFonts w:cs="Arial"/>
        </w:rPr>
        <w:t>10</w:t>
      </w:r>
      <w:r w:rsidR="00371060">
        <w:rPr>
          <w:rFonts w:cs="Arial"/>
        </w:rPr>
        <w:t>.</w:t>
      </w:r>
      <w:r w:rsidR="002F1F25">
        <w:rPr>
          <w:rFonts w:cs="Arial"/>
        </w:rPr>
        <w:t xml:space="preserve"> This item is consequential to item 9 that inserts a second note to section 10.</w:t>
      </w:r>
      <w:r w:rsidR="00371060">
        <w:rPr>
          <w:rFonts w:cs="Arial"/>
        </w:rPr>
        <w:t xml:space="preserve"> </w:t>
      </w:r>
    </w:p>
    <w:p w14:paraId="6A340F56" w14:textId="5A8E58CC" w:rsidR="00432EEE" w:rsidRDefault="005B543D" w:rsidP="00477C9F">
      <w:pPr>
        <w:pStyle w:val="Letter2Text"/>
        <w:spacing w:after="240"/>
        <w:jc w:val="both"/>
        <w:rPr>
          <w:rFonts w:cs="Arial"/>
        </w:rPr>
      </w:pPr>
      <w:r>
        <w:rPr>
          <w:rFonts w:cs="Arial"/>
        </w:rPr>
        <w:t>Item 9</w:t>
      </w:r>
      <w:r w:rsidR="00371060">
        <w:rPr>
          <w:rFonts w:cs="Arial"/>
        </w:rPr>
        <w:t xml:space="preserve"> inserts a</w:t>
      </w:r>
      <w:r w:rsidR="002F1F25">
        <w:rPr>
          <w:rFonts w:cs="Arial"/>
        </w:rPr>
        <w:t xml:space="preserve"> second</w:t>
      </w:r>
      <w:r w:rsidR="00371060">
        <w:rPr>
          <w:rFonts w:cs="Arial"/>
        </w:rPr>
        <w:t xml:space="preserve"> </w:t>
      </w:r>
      <w:r w:rsidR="00FF1D89">
        <w:rPr>
          <w:rFonts w:cs="Arial"/>
        </w:rPr>
        <w:t>n</w:t>
      </w:r>
      <w:r w:rsidR="00371060">
        <w:rPr>
          <w:rFonts w:cs="Arial"/>
        </w:rPr>
        <w:t xml:space="preserve">ote to section </w:t>
      </w:r>
      <w:r w:rsidR="002F1F25">
        <w:rPr>
          <w:rFonts w:cs="Arial"/>
        </w:rPr>
        <w:t>10</w:t>
      </w:r>
      <w:r w:rsidR="00371060">
        <w:rPr>
          <w:rFonts w:cs="Arial"/>
        </w:rPr>
        <w:t xml:space="preserve"> which </w:t>
      </w:r>
      <w:r w:rsidR="00432EEE">
        <w:rPr>
          <w:rFonts w:cs="Arial"/>
        </w:rPr>
        <w:t xml:space="preserve">provides </w:t>
      </w:r>
      <w:r w:rsidR="00D17C5B">
        <w:rPr>
          <w:rFonts w:cs="Arial"/>
        </w:rPr>
        <w:t xml:space="preserve">that </w:t>
      </w:r>
      <w:r w:rsidR="00432EEE">
        <w:rPr>
          <w:rFonts w:cs="Arial"/>
        </w:rPr>
        <w:t>a</w:t>
      </w:r>
      <w:r w:rsidR="00432EEE" w:rsidRPr="00432EEE">
        <w:rPr>
          <w:rFonts w:cs="Arial"/>
        </w:rPr>
        <w:t xml:space="preserve"> </w:t>
      </w:r>
      <w:r w:rsidR="00432EEE">
        <w:rPr>
          <w:rFonts w:cs="Arial"/>
        </w:rPr>
        <w:t>“</w:t>
      </w:r>
      <w:r w:rsidR="00432EEE" w:rsidRPr="00432EEE">
        <w:rPr>
          <w:rFonts w:cs="Arial"/>
        </w:rPr>
        <w:t>representative</w:t>
      </w:r>
      <w:r w:rsidR="00432EEE">
        <w:rPr>
          <w:rFonts w:cs="Arial"/>
        </w:rPr>
        <w:t>”</w:t>
      </w:r>
      <w:r w:rsidR="00432EEE" w:rsidRPr="00432EEE">
        <w:rPr>
          <w:rFonts w:cs="Arial"/>
        </w:rPr>
        <w:t xml:space="preserve"> for the purposes of section 10 is an agent or employee of the responsible institution who will be providing a </w:t>
      </w:r>
      <w:r w:rsidR="00DB22B0">
        <w:rPr>
          <w:rFonts w:cs="Arial"/>
        </w:rPr>
        <w:t xml:space="preserve">DPR </w:t>
      </w:r>
      <w:r w:rsidR="00432EEE" w:rsidRPr="00432EEE">
        <w:rPr>
          <w:rFonts w:cs="Arial"/>
        </w:rPr>
        <w:t>on its behalf.</w:t>
      </w:r>
      <w:r w:rsidR="00735AEB">
        <w:rPr>
          <w:rFonts w:cs="Arial"/>
        </w:rPr>
        <w:t xml:space="preserve"> </w:t>
      </w:r>
      <w:r>
        <w:rPr>
          <w:rFonts w:cs="Arial"/>
        </w:rPr>
        <w:t>This item</w:t>
      </w:r>
      <w:r w:rsidR="00432EEE">
        <w:rPr>
          <w:rFonts w:cs="Arial"/>
        </w:rPr>
        <w:t xml:space="preserve"> is inserted to </w:t>
      </w:r>
      <w:r w:rsidR="003D5267">
        <w:rPr>
          <w:rFonts w:cs="Arial"/>
        </w:rPr>
        <w:t xml:space="preserve">distinguish </w:t>
      </w:r>
      <w:r w:rsidR="00432EEE">
        <w:rPr>
          <w:rFonts w:cs="Arial"/>
        </w:rPr>
        <w:t>“representative”</w:t>
      </w:r>
      <w:r w:rsidR="00735AEB">
        <w:rPr>
          <w:rFonts w:cs="Arial"/>
        </w:rPr>
        <w:t xml:space="preserve"> </w:t>
      </w:r>
      <w:r w:rsidR="003D5267">
        <w:rPr>
          <w:rFonts w:cs="Arial"/>
        </w:rPr>
        <w:t xml:space="preserve">for the purposes of this provision </w:t>
      </w:r>
      <w:r w:rsidR="00E41500">
        <w:rPr>
          <w:rFonts w:cs="Arial"/>
        </w:rPr>
        <w:t>from the meaning</w:t>
      </w:r>
      <w:r w:rsidR="00432EEE">
        <w:rPr>
          <w:rFonts w:cs="Arial"/>
        </w:rPr>
        <w:t xml:space="preserve"> </w:t>
      </w:r>
      <w:r w:rsidR="00B534C7">
        <w:rPr>
          <w:rFonts w:cs="Arial"/>
        </w:rPr>
        <w:t xml:space="preserve">of “representative” </w:t>
      </w:r>
      <w:r w:rsidR="00432EEE">
        <w:rPr>
          <w:rFonts w:cs="Arial"/>
        </w:rPr>
        <w:t xml:space="preserve">under the Act. </w:t>
      </w:r>
    </w:p>
    <w:p w14:paraId="4703D4D2" w14:textId="1DE38D3B" w:rsidR="005F0318" w:rsidRDefault="005F0318" w:rsidP="00477C9F">
      <w:pPr>
        <w:pStyle w:val="Letter2Text"/>
        <w:spacing w:after="240"/>
        <w:jc w:val="both"/>
        <w:rPr>
          <w:rFonts w:cs="Arial"/>
          <w:b/>
          <w:bCs/>
        </w:rPr>
      </w:pPr>
      <w:r>
        <w:rPr>
          <w:rFonts w:cs="Arial"/>
          <w:b/>
          <w:bCs/>
        </w:rPr>
        <w:t>Item</w:t>
      </w:r>
      <w:r w:rsidR="0075183C">
        <w:rPr>
          <w:rFonts w:cs="Arial"/>
          <w:b/>
          <w:bCs/>
        </w:rPr>
        <w:t>s</w:t>
      </w:r>
      <w:r>
        <w:rPr>
          <w:rFonts w:cs="Arial"/>
          <w:b/>
          <w:bCs/>
        </w:rPr>
        <w:t xml:space="preserve"> [10]</w:t>
      </w:r>
      <w:r w:rsidR="0075183C">
        <w:rPr>
          <w:rFonts w:cs="Arial"/>
          <w:b/>
          <w:bCs/>
        </w:rPr>
        <w:t xml:space="preserve"> to [1</w:t>
      </w:r>
      <w:r w:rsidR="009F13A5">
        <w:rPr>
          <w:rFonts w:cs="Arial"/>
          <w:b/>
          <w:bCs/>
        </w:rPr>
        <w:t>2</w:t>
      </w:r>
      <w:r w:rsidR="0075183C">
        <w:rPr>
          <w:rFonts w:cs="Arial"/>
          <w:b/>
          <w:bCs/>
        </w:rPr>
        <w:t>]</w:t>
      </w:r>
      <w:r>
        <w:rPr>
          <w:rFonts w:cs="Arial"/>
          <w:b/>
          <w:bCs/>
        </w:rPr>
        <w:t xml:space="preserve"> </w:t>
      </w:r>
      <w:r w:rsidR="006F5332">
        <w:rPr>
          <w:rFonts w:cs="Arial"/>
          <w:b/>
          <w:bCs/>
        </w:rPr>
        <w:t xml:space="preserve">– </w:t>
      </w:r>
      <w:r w:rsidR="0075183C">
        <w:rPr>
          <w:rFonts w:cs="Arial"/>
          <w:b/>
          <w:bCs/>
        </w:rPr>
        <w:t>Section 11</w:t>
      </w:r>
      <w:r w:rsidR="006F5332">
        <w:rPr>
          <w:rFonts w:cs="Arial"/>
          <w:b/>
          <w:bCs/>
        </w:rPr>
        <w:t xml:space="preserve"> </w:t>
      </w:r>
    </w:p>
    <w:p w14:paraId="16E8C39A" w14:textId="0BEFB09D" w:rsidR="00D8153F" w:rsidRDefault="007866F5" w:rsidP="00477C9F">
      <w:pPr>
        <w:pStyle w:val="Letter2Text"/>
        <w:spacing w:after="240"/>
        <w:jc w:val="both"/>
        <w:rPr>
          <w:rFonts w:cs="Arial"/>
        </w:rPr>
      </w:pPr>
      <w:r>
        <w:rPr>
          <w:rFonts w:cs="Arial"/>
        </w:rPr>
        <w:t>Item 10</w:t>
      </w:r>
      <w:r w:rsidR="006F5332">
        <w:rPr>
          <w:rFonts w:cs="Arial"/>
        </w:rPr>
        <w:t xml:space="preserve"> </w:t>
      </w:r>
      <w:r w:rsidR="00832577">
        <w:rPr>
          <w:rFonts w:cs="Arial"/>
        </w:rPr>
        <w:t>inserts the words</w:t>
      </w:r>
      <w:r w:rsidR="00D8153F" w:rsidRPr="00D8153F">
        <w:rPr>
          <w:rFonts w:cs="Arial"/>
        </w:rPr>
        <w:t xml:space="preserve"> </w:t>
      </w:r>
      <w:r w:rsidR="00832577">
        <w:rPr>
          <w:rFonts w:cs="Arial"/>
        </w:rPr>
        <w:t>“</w:t>
      </w:r>
      <w:r w:rsidR="00D8153F" w:rsidRPr="00D8153F">
        <w:rPr>
          <w:rFonts w:cs="Arial"/>
        </w:rPr>
        <w:t>(including cultural needs)</w:t>
      </w:r>
      <w:r w:rsidR="00832577">
        <w:rPr>
          <w:rFonts w:cs="Arial"/>
        </w:rPr>
        <w:t>”</w:t>
      </w:r>
      <w:r w:rsidR="00D17C5B">
        <w:rPr>
          <w:rFonts w:cs="Arial"/>
        </w:rPr>
        <w:t xml:space="preserve"> after the words “survivor’s needs”</w:t>
      </w:r>
      <w:r w:rsidR="00832577">
        <w:rPr>
          <w:rFonts w:cs="Arial"/>
        </w:rPr>
        <w:t xml:space="preserve"> </w:t>
      </w:r>
      <w:r w:rsidR="00D17C5B">
        <w:rPr>
          <w:rFonts w:cs="Arial"/>
        </w:rPr>
        <w:t xml:space="preserve">in </w:t>
      </w:r>
      <w:r w:rsidR="00832577">
        <w:rPr>
          <w:rFonts w:cs="Arial"/>
        </w:rPr>
        <w:t>paragraph 11(c)</w:t>
      </w:r>
      <w:r w:rsidR="0041300A">
        <w:rPr>
          <w:rFonts w:cs="Arial"/>
        </w:rPr>
        <w:t>.</w:t>
      </w:r>
      <w:r>
        <w:rPr>
          <w:rFonts w:cs="Arial"/>
        </w:rPr>
        <w:t xml:space="preserve"> </w:t>
      </w:r>
      <w:r w:rsidR="00D8153F">
        <w:rPr>
          <w:rFonts w:cs="Arial"/>
        </w:rPr>
        <w:t xml:space="preserve">This item is included </w:t>
      </w:r>
      <w:r w:rsidR="00D17C5B">
        <w:rPr>
          <w:rFonts w:cs="Arial"/>
        </w:rPr>
        <w:t>require</w:t>
      </w:r>
      <w:r w:rsidR="009243B5">
        <w:rPr>
          <w:rFonts w:cs="Arial"/>
        </w:rPr>
        <w:t xml:space="preserve"> an institution to</w:t>
      </w:r>
      <w:r w:rsidR="004413B4">
        <w:rPr>
          <w:rFonts w:cs="Arial"/>
        </w:rPr>
        <w:t xml:space="preserve"> </w:t>
      </w:r>
      <w:r w:rsidR="00D17C5B">
        <w:rPr>
          <w:rFonts w:cs="Arial"/>
        </w:rPr>
        <w:t xml:space="preserve"> consider </w:t>
      </w:r>
      <w:r w:rsidR="00D8153F">
        <w:rPr>
          <w:rFonts w:cs="Arial"/>
        </w:rPr>
        <w:t xml:space="preserve">a survivor’s cultural needs </w:t>
      </w:r>
      <w:r w:rsidR="004413B4">
        <w:rPr>
          <w:rFonts w:cs="Arial"/>
        </w:rPr>
        <w:t xml:space="preserve">in providing a </w:t>
      </w:r>
      <w:r w:rsidR="00DB22B0">
        <w:rPr>
          <w:rFonts w:cs="Arial"/>
        </w:rPr>
        <w:t>DPR</w:t>
      </w:r>
      <w:r w:rsidR="00442181">
        <w:rPr>
          <w:rFonts w:cs="Arial"/>
        </w:rPr>
        <w:t>. This provision h</w:t>
      </w:r>
      <w:r w:rsidR="00442181" w:rsidRPr="00442181">
        <w:rPr>
          <w:rFonts w:cs="Arial"/>
        </w:rPr>
        <w:t>ighlight</w:t>
      </w:r>
      <w:r w:rsidR="00442181">
        <w:rPr>
          <w:rFonts w:cs="Arial"/>
        </w:rPr>
        <w:t>s</w:t>
      </w:r>
      <w:r w:rsidR="00442181" w:rsidRPr="00442181">
        <w:rPr>
          <w:rFonts w:cs="Arial"/>
        </w:rPr>
        <w:t xml:space="preserve"> the value of providing culturally safe DPRs, particularly for Aboriginal and Torres Strait Islander survivors.</w:t>
      </w:r>
    </w:p>
    <w:p w14:paraId="4C21E811" w14:textId="2147C5F4" w:rsidR="007866F5" w:rsidRPr="006F5332" w:rsidRDefault="007866F5" w:rsidP="00477C9F">
      <w:pPr>
        <w:pStyle w:val="Letter2Text"/>
        <w:spacing w:after="240"/>
        <w:jc w:val="both"/>
        <w:rPr>
          <w:rFonts w:cs="Arial"/>
        </w:rPr>
      </w:pPr>
      <w:r>
        <w:rPr>
          <w:rFonts w:cs="Arial"/>
        </w:rPr>
        <w:t xml:space="preserve">Item 11 </w:t>
      </w:r>
      <w:r w:rsidR="00FD1DD1">
        <w:rPr>
          <w:rFonts w:cs="Arial"/>
        </w:rPr>
        <w:t>omits the words “the survivor”, and substitutes</w:t>
      </w:r>
      <w:r>
        <w:rPr>
          <w:rFonts w:cs="Arial"/>
        </w:rPr>
        <w:t xml:space="preserve"> “or traumatising the survivor</w:t>
      </w:r>
      <w:r w:rsidR="00FD1DD1">
        <w:rPr>
          <w:rFonts w:cs="Arial"/>
        </w:rPr>
        <w:t xml:space="preserve"> by </w:t>
      </w:r>
      <w:r w:rsidR="007212BE">
        <w:rPr>
          <w:rFonts w:cs="Arial"/>
        </w:rPr>
        <w:t>prioritising and applying trauma informed principles of safety; trust; collaboration; choice; and empowerment.</w:t>
      </w:r>
      <w:r>
        <w:rPr>
          <w:rFonts w:cs="Arial"/>
        </w:rPr>
        <w:t>”</w:t>
      </w:r>
      <w:r w:rsidR="001F3481">
        <w:rPr>
          <w:rFonts w:cs="Arial"/>
        </w:rPr>
        <w:t xml:space="preserve"> </w:t>
      </w:r>
      <w:r w:rsidR="001E4161">
        <w:rPr>
          <w:rFonts w:cs="Arial"/>
        </w:rPr>
        <w:t>T</w:t>
      </w:r>
      <w:r w:rsidR="00651396">
        <w:rPr>
          <w:rFonts w:cs="Arial"/>
        </w:rPr>
        <w:t>he provider of</w:t>
      </w:r>
      <w:r w:rsidR="002734C9">
        <w:rPr>
          <w:rFonts w:cs="Arial"/>
        </w:rPr>
        <w:t xml:space="preserve"> </w:t>
      </w:r>
      <w:r w:rsidR="00651396">
        <w:rPr>
          <w:rFonts w:cs="Arial"/>
        </w:rPr>
        <w:t xml:space="preserve">a </w:t>
      </w:r>
      <w:r w:rsidR="00DB22B0">
        <w:rPr>
          <w:rFonts w:cs="Arial"/>
        </w:rPr>
        <w:t>DPR</w:t>
      </w:r>
      <w:r w:rsidR="00651396">
        <w:rPr>
          <w:rFonts w:cs="Arial"/>
        </w:rPr>
        <w:t xml:space="preserve"> </w:t>
      </w:r>
      <w:r w:rsidR="001C4C74">
        <w:rPr>
          <w:rFonts w:cs="Arial"/>
        </w:rPr>
        <w:t>will be</w:t>
      </w:r>
      <w:r w:rsidR="00651396">
        <w:rPr>
          <w:rFonts w:cs="Arial"/>
        </w:rPr>
        <w:t xml:space="preserve"> required to take into account</w:t>
      </w:r>
      <w:r w:rsidR="001E4161">
        <w:rPr>
          <w:rFonts w:cs="Arial"/>
        </w:rPr>
        <w:t xml:space="preserve"> these trauma informed principles</w:t>
      </w:r>
      <w:r w:rsidR="001C4C74">
        <w:rPr>
          <w:rFonts w:cs="Arial"/>
        </w:rPr>
        <w:t xml:space="preserve"> and t</w:t>
      </w:r>
      <w:r>
        <w:rPr>
          <w:rFonts w:cs="Arial"/>
        </w:rPr>
        <w:t>his item is included to acknowledge the</w:t>
      </w:r>
      <w:r w:rsidR="008535D3">
        <w:rPr>
          <w:rFonts w:cs="Arial"/>
        </w:rPr>
        <w:t xml:space="preserve"> negative</w:t>
      </w:r>
      <w:r>
        <w:rPr>
          <w:rFonts w:cs="Arial"/>
        </w:rPr>
        <w:t xml:space="preserve"> impact</w:t>
      </w:r>
      <w:r w:rsidR="008535D3">
        <w:rPr>
          <w:rFonts w:cs="Arial"/>
        </w:rPr>
        <w:t>s</w:t>
      </w:r>
      <w:r>
        <w:rPr>
          <w:rFonts w:cs="Arial"/>
        </w:rPr>
        <w:t xml:space="preserve"> a </w:t>
      </w:r>
      <w:r w:rsidR="00DB22B0">
        <w:rPr>
          <w:rFonts w:cs="Arial"/>
        </w:rPr>
        <w:t>DPR</w:t>
      </w:r>
      <w:r>
        <w:rPr>
          <w:rFonts w:cs="Arial"/>
        </w:rPr>
        <w:t xml:space="preserve"> may have on a survivor, and </w:t>
      </w:r>
      <w:r w:rsidR="006E00E5">
        <w:rPr>
          <w:rFonts w:cs="Arial"/>
        </w:rPr>
        <w:t>seek to avoid</w:t>
      </w:r>
      <w:r w:rsidR="009610D4">
        <w:rPr>
          <w:rFonts w:cs="Arial"/>
        </w:rPr>
        <w:t xml:space="preserve"> or minimise</w:t>
      </w:r>
      <w:r w:rsidR="006E00E5">
        <w:rPr>
          <w:rFonts w:cs="Arial"/>
        </w:rPr>
        <w:t xml:space="preserve"> those impacts. </w:t>
      </w:r>
    </w:p>
    <w:p w14:paraId="3E2911CC" w14:textId="5D983505" w:rsidR="00A47A69" w:rsidRPr="009F13A5" w:rsidRDefault="009F13A5" w:rsidP="00A47A69">
      <w:pPr>
        <w:pStyle w:val="Letter2Text"/>
        <w:spacing w:after="240"/>
        <w:jc w:val="both"/>
      </w:pPr>
      <w:r>
        <w:t>Item 12</w:t>
      </w:r>
      <w:r w:rsidR="00A47A69">
        <w:t xml:space="preserve"> inserts a note to section </w:t>
      </w:r>
      <w:r w:rsidR="005F6B31">
        <w:t xml:space="preserve">12 </w:t>
      </w:r>
      <w:r w:rsidR="00A47A69">
        <w:t>of the Framework which provides a “</w:t>
      </w:r>
      <w:r w:rsidR="00A47A69" w:rsidRPr="00A47A69">
        <w:t>representative</w:t>
      </w:r>
      <w:r w:rsidR="00A47A69">
        <w:t>”</w:t>
      </w:r>
      <w:r w:rsidR="00A47A69" w:rsidRPr="00A47A69">
        <w:t xml:space="preserve"> for the purposes of section 11 is to be taken as an agent or employee of the responsible institution who will be providing a </w:t>
      </w:r>
      <w:r w:rsidR="00DB22B0">
        <w:t>DPR</w:t>
      </w:r>
      <w:r w:rsidR="00A47A69" w:rsidRPr="00A47A69">
        <w:t xml:space="preserve"> on its behalf.</w:t>
      </w:r>
      <w:r>
        <w:t xml:space="preserve"> </w:t>
      </w:r>
      <w:r w:rsidR="00A47A69">
        <w:rPr>
          <w:rFonts w:cs="Arial"/>
        </w:rPr>
        <w:t xml:space="preserve">The note is inserted to distinguish the meaning of “representative” </w:t>
      </w:r>
      <w:r>
        <w:rPr>
          <w:rFonts w:cs="Arial"/>
        </w:rPr>
        <w:t>in this provision of the Framework from the meaning of “representative” under</w:t>
      </w:r>
      <w:r w:rsidR="00A47A69">
        <w:rPr>
          <w:rFonts w:cs="Arial"/>
        </w:rPr>
        <w:t xml:space="preserve"> the Act</w:t>
      </w:r>
      <w:r>
        <w:rPr>
          <w:rFonts w:cs="Arial"/>
        </w:rPr>
        <w:t>.</w:t>
      </w:r>
    </w:p>
    <w:p w14:paraId="3137DF85" w14:textId="34A8D97A" w:rsidR="00A47A69" w:rsidRDefault="00A47A69" w:rsidP="00477C9F">
      <w:pPr>
        <w:pStyle w:val="Letter2Text"/>
        <w:spacing w:after="240"/>
        <w:jc w:val="both"/>
        <w:rPr>
          <w:rFonts w:cs="Arial"/>
          <w:b/>
          <w:bCs/>
        </w:rPr>
      </w:pPr>
      <w:r>
        <w:rPr>
          <w:rFonts w:cs="Arial"/>
          <w:b/>
          <w:bCs/>
        </w:rPr>
        <w:t xml:space="preserve">Item </w:t>
      </w:r>
      <w:r w:rsidR="004276B3">
        <w:rPr>
          <w:rFonts w:cs="Arial"/>
          <w:b/>
          <w:bCs/>
        </w:rPr>
        <w:t>[</w:t>
      </w:r>
      <w:r>
        <w:rPr>
          <w:rFonts w:cs="Arial"/>
          <w:b/>
          <w:bCs/>
        </w:rPr>
        <w:t>1</w:t>
      </w:r>
      <w:r w:rsidR="009F13A5">
        <w:rPr>
          <w:rFonts w:cs="Arial"/>
          <w:b/>
          <w:bCs/>
        </w:rPr>
        <w:t>3</w:t>
      </w:r>
      <w:r w:rsidR="004276B3">
        <w:rPr>
          <w:rFonts w:cs="Arial"/>
          <w:b/>
          <w:bCs/>
        </w:rPr>
        <w:t xml:space="preserve">] – Section 13 </w:t>
      </w:r>
    </w:p>
    <w:p w14:paraId="76E26F33" w14:textId="1CB73253" w:rsidR="004276B3" w:rsidRDefault="004276B3" w:rsidP="00945389">
      <w:pPr>
        <w:pStyle w:val="Letter2Text"/>
        <w:spacing w:after="240"/>
        <w:jc w:val="both"/>
        <w:rPr>
          <w:rFonts w:cs="Arial"/>
        </w:rPr>
      </w:pPr>
      <w:r>
        <w:rPr>
          <w:rFonts w:cs="Arial"/>
        </w:rPr>
        <w:t>This item</w:t>
      </w:r>
      <w:r w:rsidR="00A47A69">
        <w:rPr>
          <w:rFonts w:cs="Arial"/>
        </w:rPr>
        <w:t xml:space="preserve"> </w:t>
      </w:r>
      <w:r w:rsidR="00097944">
        <w:rPr>
          <w:rFonts w:cs="Arial"/>
        </w:rPr>
        <w:t>omits the</w:t>
      </w:r>
      <w:r w:rsidR="00A47A69">
        <w:rPr>
          <w:rFonts w:cs="Arial"/>
        </w:rPr>
        <w:t xml:space="preserve"> words “participating institution” from section 13 of the Framework and substitutes </w:t>
      </w:r>
      <w:r>
        <w:rPr>
          <w:rFonts w:cs="Arial"/>
        </w:rPr>
        <w:t xml:space="preserve">the words </w:t>
      </w:r>
      <w:r w:rsidR="00A47A69">
        <w:rPr>
          <w:rFonts w:cs="Arial"/>
        </w:rPr>
        <w:t>“responsible institution”</w:t>
      </w:r>
      <w:r w:rsidR="00945389">
        <w:rPr>
          <w:rFonts w:cs="Arial"/>
        </w:rPr>
        <w:t>.</w:t>
      </w:r>
      <w:r w:rsidR="00945389" w:rsidRPr="00945389">
        <w:rPr>
          <w:rFonts w:cs="Arial"/>
        </w:rPr>
        <w:t xml:space="preserve"> </w:t>
      </w:r>
      <w:r w:rsidR="00945389">
        <w:rPr>
          <w:rFonts w:cs="Arial"/>
        </w:rPr>
        <w:t>“Responsible institution” includes both participating and partly-participating institutions.</w:t>
      </w:r>
    </w:p>
    <w:p w14:paraId="4DDF4ED4" w14:textId="7A20174F" w:rsidR="00A47A69" w:rsidRDefault="00A47A69" w:rsidP="00477C9F">
      <w:pPr>
        <w:pStyle w:val="Letter2Text"/>
        <w:spacing w:after="240"/>
        <w:jc w:val="both"/>
        <w:rPr>
          <w:rFonts w:cs="Arial"/>
          <w:b/>
          <w:bCs/>
        </w:rPr>
      </w:pPr>
      <w:r>
        <w:rPr>
          <w:rFonts w:cs="Arial"/>
          <w:b/>
          <w:bCs/>
        </w:rPr>
        <w:t xml:space="preserve">Item </w:t>
      </w:r>
      <w:r w:rsidR="009C786B">
        <w:rPr>
          <w:rFonts w:cs="Arial"/>
          <w:b/>
          <w:bCs/>
        </w:rPr>
        <w:t>[</w:t>
      </w:r>
      <w:r>
        <w:rPr>
          <w:rFonts w:cs="Arial"/>
          <w:b/>
          <w:bCs/>
        </w:rPr>
        <w:t>1</w:t>
      </w:r>
      <w:r w:rsidR="00F94A7C">
        <w:rPr>
          <w:rFonts w:cs="Arial"/>
          <w:b/>
          <w:bCs/>
        </w:rPr>
        <w:t>4</w:t>
      </w:r>
      <w:r w:rsidR="009C786B">
        <w:rPr>
          <w:rFonts w:cs="Arial"/>
          <w:b/>
          <w:bCs/>
        </w:rPr>
        <w:t>] – Part 4 heading</w:t>
      </w:r>
      <w:r>
        <w:rPr>
          <w:rFonts w:cs="Arial"/>
          <w:b/>
          <w:bCs/>
        </w:rPr>
        <w:t xml:space="preserve"> </w:t>
      </w:r>
    </w:p>
    <w:p w14:paraId="3DD4C928" w14:textId="25E511BE" w:rsidR="00A47A69" w:rsidRDefault="009C786B" w:rsidP="00477C9F">
      <w:pPr>
        <w:pStyle w:val="Letter2Text"/>
        <w:spacing w:after="240"/>
        <w:jc w:val="both"/>
        <w:rPr>
          <w:rFonts w:cs="Arial"/>
        </w:rPr>
      </w:pPr>
      <w:r>
        <w:rPr>
          <w:rFonts w:cs="Arial"/>
        </w:rPr>
        <w:t>This item</w:t>
      </w:r>
      <w:r w:rsidR="00A47A69">
        <w:rPr>
          <w:rFonts w:cs="Arial"/>
        </w:rPr>
        <w:t xml:space="preserve"> repeals the heading to Part 4 of the Framework and substitutes a new heading which refers </w:t>
      </w:r>
      <w:r w:rsidR="00097944">
        <w:rPr>
          <w:rFonts w:cs="Arial"/>
        </w:rPr>
        <w:t>to all responsible institutions, which includes both participating and part</w:t>
      </w:r>
      <w:r w:rsidR="0025600A">
        <w:rPr>
          <w:rFonts w:cs="Arial"/>
        </w:rPr>
        <w:t>ly</w:t>
      </w:r>
      <w:r w:rsidR="00097944">
        <w:rPr>
          <w:rFonts w:cs="Arial"/>
        </w:rPr>
        <w:t xml:space="preserve">-participating institutions. </w:t>
      </w:r>
    </w:p>
    <w:p w14:paraId="6BEA4253" w14:textId="0AD5A57B" w:rsidR="00B53F42" w:rsidRDefault="00B53F42" w:rsidP="00477C9F">
      <w:pPr>
        <w:pStyle w:val="Letter2Text"/>
        <w:spacing w:after="240"/>
        <w:jc w:val="both"/>
        <w:rPr>
          <w:rFonts w:cs="Arial"/>
          <w:b/>
          <w:bCs/>
        </w:rPr>
      </w:pPr>
      <w:r>
        <w:rPr>
          <w:rFonts w:cs="Arial"/>
          <w:b/>
          <w:bCs/>
        </w:rPr>
        <w:t xml:space="preserve">Item </w:t>
      </w:r>
      <w:r w:rsidR="009C786B">
        <w:rPr>
          <w:rFonts w:cs="Arial"/>
          <w:b/>
          <w:bCs/>
        </w:rPr>
        <w:t>[</w:t>
      </w:r>
      <w:r>
        <w:rPr>
          <w:rFonts w:cs="Arial"/>
          <w:b/>
          <w:bCs/>
        </w:rPr>
        <w:t>1</w:t>
      </w:r>
      <w:r w:rsidR="00F94A7C">
        <w:rPr>
          <w:rFonts w:cs="Arial"/>
          <w:b/>
          <w:bCs/>
        </w:rPr>
        <w:t>5</w:t>
      </w:r>
      <w:r w:rsidR="009C786B">
        <w:rPr>
          <w:rFonts w:cs="Arial"/>
          <w:b/>
          <w:bCs/>
        </w:rPr>
        <w:t xml:space="preserve">] </w:t>
      </w:r>
      <w:r w:rsidR="007C7256">
        <w:rPr>
          <w:rFonts w:cs="Arial"/>
          <w:b/>
          <w:bCs/>
        </w:rPr>
        <w:t>–</w:t>
      </w:r>
      <w:r w:rsidR="009C786B">
        <w:rPr>
          <w:rFonts w:cs="Arial"/>
          <w:b/>
          <w:bCs/>
        </w:rPr>
        <w:t xml:space="preserve"> </w:t>
      </w:r>
      <w:r w:rsidR="007C7256">
        <w:rPr>
          <w:rFonts w:cs="Arial"/>
          <w:b/>
          <w:bCs/>
        </w:rPr>
        <w:t xml:space="preserve">Section 16 </w:t>
      </w:r>
    </w:p>
    <w:p w14:paraId="078149FF" w14:textId="09127DBC" w:rsidR="00B53F42" w:rsidRDefault="007C7256" w:rsidP="00477C9F">
      <w:pPr>
        <w:pStyle w:val="Letter2Text"/>
        <w:spacing w:after="240"/>
        <w:jc w:val="both"/>
        <w:rPr>
          <w:rFonts w:cs="Arial"/>
        </w:rPr>
      </w:pPr>
      <w:r>
        <w:rPr>
          <w:rFonts w:cs="Arial"/>
        </w:rPr>
        <w:t>This item repeals</w:t>
      </w:r>
      <w:r w:rsidR="00B53F42">
        <w:rPr>
          <w:rFonts w:cs="Arial"/>
        </w:rPr>
        <w:t xml:space="preserve"> the words “participating institution” from section 16 of the Framework and substitutes</w:t>
      </w:r>
      <w:r>
        <w:rPr>
          <w:rFonts w:cs="Arial"/>
        </w:rPr>
        <w:t xml:space="preserve"> the words</w:t>
      </w:r>
      <w:r w:rsidR="00B53F42">
        <w:rPr>
          <w:rFonts w:cs="Arial"/>
        </w:rPr>
        <w:t xml:space="preserve"> “responsible institution”</w:t>
      </w:r>
      <w:r w:rsidR="00945389">
        <w:rPr>
          <w:rFonts w:cs="Arial"/>
        </w:rPr>
        <w:t>. “Responsible institution”</w:t>
      </w:r>
      <w:r w:rsidR="00B53F42">
        <w:rPr>
          <w:rFonts w:cs="Arial"/>
        </w:rPr>
        <w:t xml:space="preserve"> includes both participating and partly-participating institutions.</w:t>
      </w:r>
    </w:p>
    <w:p w14:paraId="401186E7" w14:textId="39F458C8" w:rsidR="00B53F42" w:rsidRDefault="00B53F42" w:rsidP="00477C9F">
      <w:pPr>
        <w:pStyle w:val="Letter2Text"/>
        <w:spacing w:after="240"/>
        <w:jc w:val="both"/>
        <w:rPr>
          <w:rFonts w:cs="Arial"/>
          <w:b/>
          <w:bCs/>
        </w:rPr>
      </w:pPr>
      <w:r>
        <w:rPr>
          <w:rFonts w:cs="Arial"/>
          <w:b/>
          <w:bCs/>
        </w:rPr>
        <w:t xml:space="preserve">Item </w:t>
      </w:r>
      <w:r w:rsidR="00F92C9F">
        <w:rPr>
          <w:rFonts w:cs="Arial"/>
          <w:b/>
          <w:bCs/>
        </w:rPr>
        <w:t>[</w:t>
      </w:r>
      <w:r>
        <w:rPr>
          <w:rFonts w:cs="Arial"/>
          <w:b/>
          <w:bCs/>
        </w:rPr>
        <w:t>1</w:t>
      </w:r>
      <w:r w:rsidR="00F94A7C">
        <w:rPr>
          <w:rFonts w:cs="Arial"/>
          <w:b/>
          <w:bCs/>
        </w:rPr>
        <w:t>6</w:t>
      </w:r>
      <w:r w:rsidR="00F92C9F">
        <w:rPr>
          <w:rFonts w:cs="Arial"/>
          <w:b/>
          <w:bCs/>
        </w:rPr>
        <w:t xml:space="preserve">] – Section 17 </w:t>
      </w:r>
      <w:r>
        <w:rPr>
          <w:rFonts w:cs="Arial"/>
          <w:b/>
          <w:bCs/>
        </w:rPr>
        <w:t xml:space="preserve"> </w:t>
      </w:r>
    </w:p>
    <w:p w14:paraId="1451C0C6" w14:textId="1970652E" w:rsidR="00FA57AD" w:rsidRDefault="00F92C9F" w:rsidP="0007215B">
      <w:pPr>
        <w:pStyle w:val="Item"/>
        <w:ind w:left="0"/>
        <w:rPr>
          <w:rFonts w:ascii="Arial" w:hAnsi="Arial" w:cs="Arial"/>
          <w:sz w:val="24"/>
          <w:szCs w:val="24"/>
        </w:rPr>
      </w:pPr>
      <w:r w:rsidRPr="0007215B">
        <w:rPr>
          <w:rFonts w:ascii="Arial" w:hAnsi="Arial" w:cs="Arial"/>
          <w:sz w:val="24"/>
          <w:szCs w:val="24"/>
        </w:rPr>
        <w:t>This item</w:t>
      </w:r>
      <w:r w:rsidR="00B53F42" w:rsidRPr="0007215B">
        <w:rPr>
          <w:rFonts w:ascii="Arial" w:hAnsi="Arial" w:cs="Arial"/>
          <w:sz w:val="24"/>
          <w:szCs w:val="24"/>
        </w:rPr>
        <w:t xml:space="preserve"> repeals section 17 of the Framework which deals with reporting obligations for institutions providing DPR. </w:t>
      </w:r>
      <w:r w:rsidR="00983FF2" w:rsidRPr="0007215B">
        <w:rPr>
          <w:rFonts w:ascii="Arial" w:hAnsi="Arial" w:cs="Arial"/>
          <w:sz w:val="24"/>
          <w:szCs w:val="24"/>
        </w:rPr>
        <w:t xml:space="preserve">The instrument substitutes new section 17 which </w:t>
      </w:r>
      <w:r w:rsidR="002734C9" w:rsidRPr="0007215B">
        <w:rPr>
          <w:rFonts w:ascii="Arial" w:hAnsi="Arial" w:cs="Arial"/>
          <w:sz w:val="24"/>
          <w:szCs w:val="24"/>
        </w:rPr>
        <w:t>requires each responsible institution to give the Operator information</w:t>
      </w:r>
      <w:r w:rsidR="00FA57AD" w:rsidRPr="0007215B">
        <w:rPr>
          <w:rFonts w:ascii="Arial" w:hAnsi="Arial" w:cs="Arial"/>
          <w:sz w:val="24"/>
          <w:szCs w:val="24"/>
        </w:rPr>
        <w:t xml:space="preserve"> every </w:t>
      </w:r>
      <w:r w:rsidR="0007215B">
        <w:rPr>
          <w:rFonts w:ascii="Arial" w:hAnsi="Arial" w:cs="Arial"/>
          <w:sz w:val="24"/>
          <w:szCs w:val="24"/>
        </w:rPr>
        <w:t>6</w:t>
      </w:r>
      <w:r w:rsidR="0007215B" w:rsidRPr="0007215B">
        <w:rPr>
          <w:rFonts w:ascii="Arial" w:hAnsi="Arial" w:cs="Arial"/>
          <w:sz w:val="24"/>
          <w:szCs w:val="24"/>
        </w:rPr>
        <w:t xml:space="preserve"> </w:t>
      </w:r>
      <w:r w:rsidR="00FA57AD" w:rsidRPr="0007215B">
        <w:rPr>
          <w:rFonts w:ascii="Arial" w:hAnsi="Arial" w:cs="Arial"/>
          <w:sz w:val="24"/>
          <w:szCs w:val="24"/>
        </w:rPr>
        <w:t>months</w:t>
      </w:r>
      <w:r w:rsidR="002734C9" w:rsidRPr="0007215B">
        <w:rPr>
          <w:rFonts w:ascii="Arial" w:hAnsi="Arial" w:cs="Arial"/>
          <w:sz w:val="24"/>
          <w:szCs w:val="24"/>
        </w:rPr>
        <w:t xml:space="preserve"> about:</w:t>
      </w:r>
      <w:r w:rsidR="00983FF2" w:rsidRPr="00FA57AD">
        <w:rPr>
          <w:rFonts w:ascii="Arial" w:hAnsi="Arial" w:cs="Arial"/>
          <w:sz w:val="24"/>
          <w:szCs w:val="24"/>
        </w:rPr>
        <w:t> </w:t>
      </w:r>
    </w:p>
    <w:p w14:paraId="78E9D99E" w14:textId="2A3C4E7E" w:rsidR="00983FF2" w:rsidRPr="002734C9" w:rsidRDefault="00983FF2" w:rsidP="00983FF2">
      <w:pPr>
        <w:pStyle w:val="Item"/>
        <w:ind w:left="1430" w:hanging="355"/>
        <w:rPr>
          <w:rFonts w:ascii="Arial" w:hAnsi="Arial" w:cs="Arial"/>
          <w:sz w:val="24"/>
          <w:szCs w:val="24"/>
        </w:rPr>
      </w:pPr>
      <w:r w:rsidRPr="00FA57AD">
        <w:rPr>
          <w:rFonts w:ascii="Arial" w:hAnsi="Arial" w:cs="Arial"/>
          <w:sz w:val="24"/>
          <w:szCs w:val="24"/>
        </w:rPr>
        <w:t>(a) the number of requests for </w:t>
      </w:r>
      <w:r w:rsidR="002734C9" w:rsidRPr="00FA57AD">
        <w:rPr>
          <w:rFonts w:ascii="Arial" w:hAnsi="Arial" w:cs="Arial"/>
          <w:sz w:val="24"/>
          <w:szCs w:val="24"/>
        </w:rPr>
        <w:t>DPR</w:t>
      </w:r>
      <w:r w:rsidRPr="00FA57AD">
        <w:rPr>
          <w:rFonts w:ascii="Arial" w:hAnsi="Arial" w:cs="Arial"/>
          <w:sz w:val="24"/>
          <w:szCs w:val="24"/>
        </w:rPr>
        <w:t> </w:t>
      </w:r>
      <w:r w:rsidR="002734C9">
        <w:rPr>
          <w:rFonts w:ascii="Arial" w:hAnsi="Arial" w:cs="Arial"/>
          <w:sz w:val="24"/>
          <w:szCs w:val="24"/>
        </w:rPr>
        <w:t>it received</w:t>
      </w:r>
      <w:r w:rsidRPr="002734C9">
        <w:rPr>
          <w:rFonts w:ascii="Arial" w:hAnsi="Arial" w:cs="Arial"/>
          <w:sz w:val="24"/>
          <w:szCs w:val="24"/>
        </w:rPr>
        <w:t xml:space="preserve"> the preceding </w:t>
      </w:r>
      <w:r w:rsidR="0007215B">
        <w:rPr>
          <w:rFonts w:ascii="Arial" w:hAnsi="Arial" w:cs="Arial"/>
          <w:sz w:val="24"/>
          <w:szCs w:val="24"/>
        </w:rPr>
        <w:t>6</w:t>
      </w:r>
      <w:r w:rsidRPr="002734C9">
        <w:rPr>
          <w:rFonts w:ascii="Arial" w:hAnsi="Arial" w:cs="Arial"/>
          <w:sz w:val="24"/>
          <w:szCs w:val="24"/>
        </w:rPr>
        <w:t xml:space="preserve"> month period;</w:t>
      </w:r>
    </w:p>
    <w:p w14:paraId="3E4E8839" w14:textId="2D8F96DA" w:rsidR="00983FF2" w:rsidRPr="002734C9" w:rsidRDefault="00983FF2" w:rsidP="00983FF2">
      <w:pPr>
        <w:pStyle w:val="Item"/>
        <w:ind w:left="1430" w:hanging="355"/>
        <w:rPr>
          <w:rFonts w:ascii="Arial" w:hAnsi="Arial" w:cs="Arial"/>
          <w:sz w:val="24"/>
          <w:szCs w:val="24"/>
        </w:rPr>
      </w:pPr>
      <w:r w:rsidRPr="002734C9">
        <w:rPr>
          <w:rFonts w:ascii="Arial" w:hAnsi="Arial" w:cs="Arial"/>
          <w:sz w:val="24"/>
          <w:szCs w:val="24"/>
        </w:rPr>
        <w:t xml:space="preserve"> (b) the number of </w:t>
      </w:r>
      <w:r w:rsidR="002734C9">
        <w:rPr>
          <w:rFonts w:ascii="Arial" w:hAnsi="Arial" w:cs="Arial"/>
          <w:sz w:val="24"/>
          <w:szCs w:val="24"/>
        </w:rPr>
        <w:t>DPRs</w:t>
      </w:r>
      <w:r w:rsidRPr="002734C9">
        <w:rPr>
          <w:rFonts w:ascii="Arial" w:hAnsi="Arial" w:cs="Arial"/>
          <w:sz w:val="24"/>
          <w:szCs w:val="24"/>
        </w:rPr>
        <w:t xml:space="preserve"> given during the preceding </w:t>
      </w:r>
      <w:r w:rsidR="0007215B">
        <w:rPr>
          <w:rFonts w:ascii="Arial" w:hAnsi="Arial" w:cs="Arial"/>
          <w:sz w:val="24"/>
          <w:szCs w:val="24"/>
        </w:rPr>
        <w:t>6</w:t>
      </w:r>
      <w:r w:rsidRPr="002734C9">
        <w:rPr>
          <w:rFonts w:ascii="Arial" w:hAnsi="Arial" w:cs="Arial"/>
          <w:sz w:val="24"/>
          <w:szCs w:val="24"/>
        </w:rPr>
        <w:t xml:space="preserve"> month period;</w:t>
      </w:r>
    </w:p>
    <w:p w14:paraId="79718F53" w14:textId="3EA168DD" w:rsidR="00983FF2" w:rsidRPr="002734C9" w:rsidRDefault="00983FF2" w:rsidP="00FA57AD">
      <w:pPr>
        <w:pStyle w:val="Item"/>
        <w:ind w:left="1430" w:hanging="355"/>
        <w:rPr>
          <w:rFonts w:ascii="Arial" w:hAnsi="Arial" w:cs="Arial"/>
          <w:sz w:val="24"/>
          <w:szCs w:val="24"/>
        </w:rPr>
      </w:pPr>
      <w:r w:rsidRPr="002734C9">
        <w:rPr>
          <w:rFonts w:ascii="Arial" w:hAnsi="Arial" w:cs="Arial"/>
          <w:sz w:val="24"/>
          <w:szCs w:val="24"/>
        </w:rPr>
        <w:t> (c) the types of </w:t>
      </w:r>
      <w:r w:rsidR="002734C9">
        <w:rPr>
          <w:rFonts w:ascii="Arial" w:hAnsi="Arial" w:cs="Arial"/>
          <w:sz w:val="24"/>
          <w:szCs w:val="24"/>
        </w:rPr>
        <w:t>DPRs</w:t>
      </w:r>
      <w:r w:rsidRPr="002734C9">
        <w:rPr>
          <w:rFonts w:ascii="Arial" w:hAnsi="Arial" w:cs="Arial"/>
          <w:sz w:val="24"/>
          <w:szCs w:val="24"/>
        </w:rPr>
        <w:t xml:space="preserve"> requested </w:t>
      </w:r>
      <w:r w:rsidR="002734C9">
        <w:rPr>
          <w:rFonts w:ascii="Arial" w:hAnsi="Arial" w:cs="Arial"/>
          <w:sz w:val="24"/>
          <w:szCs w:val="24"/>
        </w:rPr>
        <w:t xml:space="preserve">and given </w:t>
      </w:r>
      <w:r w:rsidRPr="002734C9">
        <w:rPr>
          <w:rFonts w:ascii="Arial" w:hAnsi="Arial" w:cs="Arial"/>
          <w:sz w:val="24"/>
          <w:szCs w:val="24"/>
        </w:rPr>
        <w:t xml:space="preserve">during the preceding </w:t>
      </w:r>
      <w:r w:rsidR="0007215B">
        <w:rPr>
          <w:rFonts w:ascii="Arial" w:hAnsi="Arial" w:cs="Arial"/>
          <w:sz w:val="24"/>
          <w:szCs w:val="24"/>
        </w:rPr>
        <w:t>6</w:t>
      </w:r>
      <w:r w:rsidRPr="002734C9">
        <w:rPr>
          <w:rFonts w:ascii="Arial" w:hAnsi="Arial" w:cs="Arial"/>
          <w:sz w:val="24"/>
          <w:szCs w:val="24"/>
        </w:rPr>
        <w:t xml:space="preserve"> month period;</w:t>
      </w:r>
    </w:p>
    <w:p w14:paraId="14946B9A" w14:textId="45AC662E" w:rsidR="00983FF2" w:rsidRPr="002734C9" w:rsidRDefault="00983FF2" w:rsidP="00983FF2">
      <w:pPr>
        <w:pStyle w:val="Item"/>
        <w:ind w:left="1416" w:hanging="308"/>
        <w:rPr>
          <w:rFonts w:ascii="Arial" w:hAnsi="Arial" w:cs="Arial"/>
          <w:sz w:val="24"/>
          <w:szCs w:val="24"/>
        </w:rPr>
      </w:pPr>
      <w:r w:rsidRPr="002734C9">
        <w:rPr>
          <w:rFonts w:ascii="Arial" w:hAnsi="Arial" w:cs="Arial"/>
          <w:sz w:val="24"/>
          <w:szCs w:val="24"/>
        </w:rPr>
        <w:t>(</w:t>
      </w:r>
      <w:r w:rsidR="00EF734D">
        <w:rPr>
          <w:rFonts w:ascii="Arial" w:hAnsi="Arial" w:cs="Arial"/>
          <w:sz w:val="24"/>
          <w:szCs w:val="24"/>
        </w:rPr>
        <w:t>d</w:t>
      </w:r>
      <w:r w:rsidRPr="002734C9">
        <w:rPr>
          <w:rFonts w:ascii="Arial" w:hAnsi="Arial" w:cs="Arial"/>
          <w:sz w:val="24"/>
          <w:szCs w:val="24"/>
        </w:rPr>
        <w:t xml:space="preserve">) whether a direct personal response facilitator was used for each </w:t>
      </w:r>
      <w:r w:rsidR="002734C9">
        <w:rPr>
          <w:rFonts w:ascii="Arial" w:hAnsi="Arial" w:cs="Arial"/>
          <w:sz w:val="24"/>
          <w:szCs w:val="24"/>
        </w:rPr>
        <w:t>DPR</w:t>
      </w:r>
      <w:r w:rsidRPr="002734C9">
        <w:rPr>
          <w:rFonts w:ascii="Arial" w:hAnsi="Arial" w:cs="Arial"/>
          <w:sz w:val="24"/>
          <w:szCs w:val="24"/>
        </w:rPr>
        <w:t xml:space="preserve"> provided</w:t>
      </w:r>
      <w:r w:rsidR="00FA57AD">
        <w:rPr>
          <w:rFonts w:ascii="Arial" w:hAnsi="Arial" w:cs="Arial"/>
          <w:sz w:val="24"/>
          <w:szCs w:val="24"/>
        </w:rPr>
        <w:t xml:space="preserve"> during </w:t>
      </w:r>
      <w:r w:rsidR="0007215B">
        <w:rPr>
          <w:rFonts w:ascii="Arial" w:hAnsi="Arial" w:cs="Arial"/>
          <w:sz w:val="24"/>
          <w:szCs w:val="24"/>
        </w:rPr>
        <w:t>the preceding 6 month period</w:t>
      </w:r>
      <w:r w:rsidRPr="002734C9">
        <w:rPr>
          <w:rFonts w:ascii="Arial" w:hAnsi="Arial" w:cs="Arial"/>
          <w:sz w:val="24"/>
          <w:szCs w:val="24"/>
        </w:rPr>
        <w:t>;</w:t>
      </w:r>
    </w:p>
    <w:p w14:paraId="1CF09D95" w14:textId="01D8B9E6" w:rsidR="00983FF2" w:rsidRPr="002734C9" w:rsidRDefault="00983FF2" w:rsidP="00983FF2">
      <w:pPr>
        <w:pStyle w:val="Item"/>
        <w:ind w:left="1430" w:hanging="355"/>
        <w:rPr>
          <w:rFonts w:ascii="Arial" w:hAnsi="Arial" w:cs="Arial"/>
          <w:sz w:val="24"/>
          <w:szCs w:val="24"/>
        </w:rPr>
      </w:pPr>
      <w:r w:rsidRPr="002734C9">
        <w:rPr>
          <w:rFonts w:ascii="Arial" w:hAnsi="Arial" w:cs="Arial"/>
          <w:sz w:val="24"/>
          <w:szCs w:val="24"/>
        </w:rPr>
        <w:t> (</w:t>
      </w:r>
      <w:r w:rsidR="00EF734D">
        <w:rPr>
          <w:rFonts w:ascii="Arial" w:hAnsi="Arial" w:cs="Arial"/>
          <w:sz w:val="24"/>
          <w:szCs w:val="24"/>
        </w:rPr>
        <w:t>e</w:t>
      </w:r>
      <w:r w:rsidRPr="002734C9">
        <w:rPr>
          <w:rFonts w:ascii="Arial" w:hAnsi="Arial" w:cs="Arial"/>
          <w:sz w:val="24"/>
          <w:szCs w:val="24"/>
        </w:rPr>
        <w:t xml:space="preserve">) the time between each request made to the institution for a </w:t>
      </w:r>
      <w:r w:rsidR="00FA57AD">
        <w:rPr>
          <w:rFonts w:ascii="Arial" w:hAnsi="Arial" w:cs="Arial"/>
          <w:sz w:val="24"/>
          <w:szCs w:val="24"/>
        </w:rPr>
        <w:t>DPR</w:t>
      </w:r>
      <w:r w:rsidRPr="002734C9">
        <w:rPr>
          <w:rFonts w:ascii="Arial" w:hAnsi="Arial" w:cs="Arial"/>
          <w:sz w:val="24"/>
          <w:szCs w:val="24"/>
        </w:rPr>
        <w:t xml:space="preserve"> and the giving of the </w:t>
      </w:r>
      <w:r w:rsidR="00FA57AD">
        <w:rPr>
          <w:rFonts w:ascii="Arial" w:hAnsi="Arial" w:cs="Arial"/>
          <w:sz w:val="24"/>
          <w:szCs w:val="24"/>
        </w:rPr>
        <w:t>DPR</w:t>
      </w:r>
      <w:r w:rsidR="0007215B">
        <w:rPr>
          <w:rFonts w:ascii="Arial" w:hAnsi="Arial" w:cs="Arial"/>
          <w:sz w:val="24"/>
          <w:szCs w:val="24"/>
        </w:rPr>
        <w:t xml:space="preserve"> during the preceding 6 month period</w:t>
      </w:r>
      <w:r w:rsidRPr="002734C9">
        <w:rPr>
          <w:rFonts w:ascii="Arial" w:hAnsi="Arial" w:cs="Arial"/>
          <w:sz w:val="24"/>
          <w:szCs w:val="24"/>
        </w:rPr>
        <w:t xml:space="preserve">; </w:t>
      </w:r>
    </w:p>
    <w:p w14:paraId="55DA1E2A" w14:textId="72604F18" w:rsidR="00983FF2" w:rsidRPr="002734C9" w:rsidRDefault="00983FF2" w:rsidP="00983FF2">
      <w:pPr>
        <w:pStyle w:val="Item"/>
        <w:ind w:left="1430" w:hanging="355"/>
        <w:rPr>
          <w:rFonts w:ascii="Arial" w:hAnsi="Arial" w:cs="Arial"/>
          <w:sz w:val="24"/>
          <w:szCs w:val="24"/>
        </w:rPr>
      </w:pPr>
      <w:r w:rsidRPr="002734C9">
        <w:rPr>
          <w:rFonts w:ascii="Arial" w:hAnsi="Arial" w:cs="Arial"/>
          <w:sz w:val="24"/>
          <w:szCs w:val="24"/>
        </w:rPr>
        <w:t>(</w:t>
      </w:r>
      <w:r w:rsidR="00EF734D">
        <w:rPr>
          <w:rFonts w:ascii="Arial" w:hAnsi="Arial" w:cs="Arial"/>
          <w:sz w:val="24"/>
          <w:szCs w:val="24"/>
        </w:rPr>
        <w:t>f</w:t>
      </w:r>
      <w:r w:rsidRPr="002734C9">
        <w:rPr>
          <w:rFonts w:ascii="Arial" w:hAnsi="Arial" w:cs="Arial"/>
          <w:sz w:val="24"/>
          <w:szCs w:val="24"/>
        </w:rPr>
        <w:t xml:space="preserve">) details of each complaint received by the institution during the preceding </w:t>
      </w:r>
      <w:r w:rsidR="001A37D7">
        <w:rPr>
          <w:rFonts w:ascii="Arial" w:hAnsi="Arial" w:cs="Arial"/>
          <w:sz w:val="24"/>
          <w:szCs w:val="24"/>
        </w:rPr>
        <w:t>6</w:t>
      </w:r>
      <w:r w:rsidRPr="002734C9">
        <w:rPr>
          <w:rFonts w:ascii="Arial" w:hAnsi="Arial" w:cs="Arial"/>
          <w:sz w:val="24"/>
          <w:szCs w:val="24"/>
        </w:rPr>
        <w:t xml:space="preserve"> months in relation to a </w:t>
      </w:r>
      <w:r w:rsidR="00FA57AD">
        <w:rPr>
          <w:rFonts w:ascii="Arial" w:hAnsi="Arial" w:cs="Arial"/>
          <w:sz w:val="24"/>
          <w:szCs w:val="24"/>
        </w:rPr>
        <w:t>DPR</w:t>
      </w:r>
      <w:r w:rsidRPr="002734C9">
        <w:rPr>
          <w:rFonts w:ascii="Arial" w:hAnsi="Arial" w:cs="Arial"/>
          <w:sz w:val="24"/>
          <w:szCs w:val="24"/>
        </w:rPr>
        <w:t xml:space="preserve"> it provided, specifically:</w:t>
      </w:r>
    </w:p>
    <w:p w14:paraId="2BC42493" w14:textId="16C66273" w:rsidR="00983FF2" w:rsidRPr="002734C9" w:rsidRDefault="00983FF2" w:rsidP="00983FF2">
      <w:pPr>
        <w:pStyle w:val="Item"/>
        <w:numPr>
          <w:ilvl w:val="0"/>
          <w:numId w:val="14"/>
        </w:numPr>
        <w:ind w:left="1701"/>
        <w:rPr>
          <w:rFonts w:ascii="Arial" w:hAnsi="Arial" w:cs="Arial"/>
          <w:sz w:val="24"/>
          <w:szCs w:val="24"/>
        </w:rPr>
      </w:pPr>
      <w:r w:rsidRPr="002734C9">
        <w:rPr>
          <w:rFonts w:ascii="Arial" w:hAnsi="Arial" w:cs="Arial"/>
          <w:sz w:val="24"/>
          <w:szCs w:val="24"/>
        </w:rPr>
        <w:t xml:space="preserve">the number of complains made to the institution in relation to </w:t>
      </w:r>
      <w:r w:rsidR="00FA57AD">
        <w:rPr>
          <w:rFonts w:ascii="Arial" w:hAnsi="Arial" w:cs="Arial"/>
          <w:sz w:val="24"/>
          <w:szCs w:val="24"/>
        </w:rPr>
        <w:t>DPRs</w:t>
      </w:r>
      <w:r w:rsidRPr="002734C9">
        <w:rPr>
          <w:rFonts w:ascii="Arial" w:hAnsi="Arial" w:cs="Arial"/>
          <w:sz w:val="24"/>
          <w:szCs w:val="24"/>
        </w:rPr>
        <w:t xml:space="preserve">; </w:t>
      </w:r>
    </w:p>
    <w:p w14:paraId="1EBBE3C9" w14:textId="77777777" w:rsidR="00983FF2" w:rsidRPr="002734C9" w:rsidRDefault="00983FF2" w:rsidP="00983FF2">
      <w:pPr>
        <w:pStyle w:val="Item"/>
        <w:numPr>
          <w:ilvl w:val="0"/>
          <w:numId w:val="14"/>
        </w:numPr>
        <w:ind w:left="1701"/>
        <w:rPr>
          <w:rFonts w:ascii="Arial" w:hAnsi="Arial" w:cs="Arial"/>
          <w:sz w:val="24"/>
          <w:szCs w:val="24"/>
        </w:rPr>
      </w:pPr>
      <w:r w:rsidRPr="002734C9">
        <w:rPr>
          <w:rFonts w:ascii="Arial" w:hAnsi="Arial" w:cs="Arial"/>
          <w:sz w:val="24"/>
          <w:szCs w:val="24"/>
        </w:rPr>
        <w:t xml:space="preserve">the nature of the complaints; and </w:t>
      </w:r>
    </w:p>
    <w:p w14:paraId="7244DA12" w14:textId="77777777" w:rsidR="00FA57AD" w:rsidRDefault="00983FF2" w:rsidP="00983FF2">
      <w:pPr>
        <w:pStyle w:val="Item"/>
        <w:numPr>
          <w:ilvl w:val="0"/>
          <w:numId w:val="14"/>
        </w:numPr>
        <w:ind w:left="1701"/>
        <w:rPr>
          <w:rFonts w:ascii="Arial" w:hAnsi="Arial" w:cs="Arial"/>
          <w:sz w:val="24"/>
          <w:szCs w:val="24"/>
        </w:rPr>
      </w:pPr>
      <w:r w:rsidRPr="002734C9">
        <w:rPr>
          <w:rFonts w:ascii="Arial" w:hAnsi="Arial" w:cs="Arial"/>
          <w:sz w:val="24"/>
          <w:szCs w:val="24"/>
        </w:rPr>
        <w:t>how the complaints were resolved.</w:t>
      </w:r>
    </w:p>
    <w:p w14:paraId="291E5B54" w14:textId="0FDB7C86" w:rsidR="00983FF2" w:rsidRPr="002734C9" w:rsidRDefault="00983FF2" w:rsidP="00FA57AD">
      <w:pPr>
        <w:pStyle w:val="Item"/>
        <w:rPr>
          <w:rFonts w:ascii="Arial" w:hAnsi="Arial" w:cs="Arial"/>
          <w:sz w:val="24"/>
          <w:szCs w:val="24"/>
        </w:rPr>
      </w:pPr>
      <w:r w:rsidRPr="002734C9">
        <w:rPr>
          <w:rFonts w:ascii="Arial" w:hAnsi="Arial" w:cs="Arial"/>
          <w:sz w:val="24"/>
          <w:szCs w:val="24"/>
        </w:rPr>
        <w:t xml:space="preserve">  </w:t>
      </w:r>
    </w:p>
    <w:p w14:paraId="0FFCB3BC" w14:textId="559069C7" w:rsidR="00DC1CC3" w:rsidRPr="001A37D7" w:rsidRDefault="00FA57AD" w:rsidP="001A37D7">
      <w:pPr>
        <w:pStyle w:val="Item"/>
        <w:ind w:left="0"/>
        <w:rPr>
          <w:rFonts w:ascii="Arial" w:hAnsi="Arial" w:cs="Arial"/>
          <w:sz w:val="24"/>
          <w:szCs w:val="24"/>
        </w:rPr>
      </w:pPr>
      <w:r>
        <w:rPr>
          <w:rFonts w:ascii="Arial" w:hAnsi="Arial" w:cs="Arial"/>
          <w:sz w:val="24"/>
          <w:szCs w:val="24"/>
        </w:rPr>
        <w:t>T</w:t>
      </w:r>
      <w:r w:rsidR="00DC1CC3" w:rsidRPr="002734C9">
        <w:rPr>
          <w:rFonts w:ascii="Arial" w:hAnsi="Arial" w:cs="Arial"/>
          <w:sz w:val="24"/>
          <w:szCs w:val="24"/>
        </w:rPr>
        <w:t xml:space="preserve">he preceding </w:t>
      </w:r>
      <w:r w:rsidR="001A37D7">
        <w:rPr>
          <w:rFonts w:ascii="Arial" w:hAnsi="Arial" w:cs="Arial"/>
          <w:sz w:val="24"/>
          <w:szCs w:val="24"/>
        </w:rPr>
        <w:t>6</w:t>
      </w:r>
      <w:r w:rsidR="00DC1CC3" w:rsidRPr="002734C9">
        <w:rPr>
          <w:rFonts w:ascii="Arial" w:hAnsi="Arial" w:cs="Arial"/>
          <w:sz w:val="24"/>
          <w:szCs w:val="24"/>
        </w:rPr>
        <w:t xml:space="preserve"> month</w:t>
      </w:r>
      <w:r w:rsidR="001A37D7">
        <w:rPr>
          <w:rFonts w:ascii="Arial" w:hAnsi="Arial" w:cs="Arial"/>
          <w:sz w:val="24"/>
          <w:szCs w:val="24"/>
        </w:rPr>
        <w:t xml:space="preserve"> period</w:t>
      </w:r>
      <w:r w:rsidR="00DC1CC3" w:rsidRPr="002734C9">
        <w:rPr>
          <w:rFonts w:ascii="Arial" w:hAnsi="Arial" w:cs="Arial"/>
          <w:sz w:val="24"/>
          <w:szCs w:val="24"/>
        </w:rPr>
        <w:t xml:space="preserve"> means July to December for the January reporting period and January to June for the July 6 months preceding the reporting day.</w:t>
      </w:r>
    </w:p>
    <w:p w14:paraId="5F9E179A" w14:textId="77777777" w:rsidR="00983FF2" w:rsidRPr="00846D04" w:rsidRDefault="00983FF2" w:rsidP="00DC1CC3">
      <w:pPr>
        <w:pStyle w:val="Item"/>
        <w:ind w:left="1560" w:hanging="485"/>
      </w:pPr>
    </w:p>
    <w:p w14:paraId="46AB94FE" w14:textId="65A170AB" w:rsidR="00983FF2" w:rsidRPr="00B53F42" w:rsidRDefault="00983FF2" w:rsidP="00477C9F">
      <w:pPr>
        <w:pStyle w:val="Letter2Text"/>
        <w:spacing w:after="240"/>
        <w:jc w:val="both"/>
        <w:rPr>
          <w:rFonts w:cs="Arial"/>
        </w:rPr>
      </w:pPr>
      <w:r>
        <w:rPr>
          <w:rFonts w:cs="Arial"/>
        </w:rPr>
        <w:t>New section 17 contains additional reporting requirements for participating and partly-participating institutions</w:t>
      </w:r>
      <w:r w:rsidR="00F92C9F">
        <w:rPr>
          <w:rFonts w:cs="Arial"/>
        </w:rPr>
        <w:t xml:space="preserve"> to improve the experience of survivors who elect to receive a </w:t>
      </w:r>
      <w:r w:rsidR="00DB22B0">
        <w:rPr>
          <w:rFonts w:cs="Arial"/>
        </w:rPr>
        <w:t>DPR</w:t>
      </w:r>
      <w:r w:rsidR="00F92C9F">
        <w:rPr>
          <w:rFonts w:cs="Arial"/>
        </w:rPr>
        <w:t xml:space="preserve"> from institutions</w:t>
      </w:r>
      <w:r>
        <w:rPr>
          <w:rFonts w:cs="Arial"/>
        </w:rPr>
        <w:t>.</w:t>
      </w:r>
      <w:r w:rsidR="00F92C9F">
        <w:rPr>
          <w:rFonts w:cs="Arial"/>
        </w:rPr>
        <w:t xml:space="preserve"> </w:t>
      </w:r>
    </w:p>
    <w:p w14:paraId="6C12262B" w14:textId="2A1FCE08" w:rsidR="008F754D" w:rsidRPr="0025428D" w:rsidRDefault="00442181" w:rsidP="000570A9">
      <w:pPr>
        <w:spacing w:before="0" w:after="200" w:line="276" w:lineRule="auto"/>
        <w:rPr>
          <w:rFonts w:cs="Arial"/>
        </w:rPr>
      </w:pPr>
      <w:r>
        <w:rPr>
          <w:rFonts w:cs="Arial"/>
        </w:rPr>
        <w:t>New section 17 will e</w:t>
      </w:r>
      <w:r w:rsidR="000B65CA" w:rsidRPr="0025428D">
        <w:rPr>
          <w:rFonts w:cs="Arial"/>
        </w:rPr>
        <w:t>nabl</w:t>
      </w:r>
      <w:r>
        <w:rPr>
          <w:rFonts w:cs="Arial"/>
        </w:rPr>
        <w:t>e</w:t>
      </w:r>
      <w:r w:rsidR="000B65CA" w:rsidRPr="0025428D">
        <w:rPr>
          <w:rFonts w:cs="Arial"/>
        </w:rPr>
        <w:t xml:space="preserve"> the Scheme to have further visibility of how many DPRs are undertaken by </w:t>
      </w:r>
      <w:r w:rsidR="0025600A">
        <w:rPr>
          <w:rFonts w:cs="Arial"/>
        </w:rPr>
        <w:t>institutions</w:t>
      </w:r>
      <w:r w:rsidR="008F754D">
        <w:rPr>
          <w:rFonts w:cs="Arial"/>
        </w:rPr>
        <w:t xml:space="preserve">, including how survivor complaints are reported to institutions. </w:t>
      </w:r>
    </w:p>
    <w:p w14:paraId="5CBA1F08" w14:textId="77777777" w:rsidR="00983FF2" w:rsidRDefault="00983FF2">
      <w:pPr>
        <w:spacing w:before="0" w:after="200" w:line="276" w:lineRule="auto"/>
        <w:rPr>
          <w:rFonts w:cs="Arial"/>
          <w:b/>
        </w:rPr>
      </w:pPr>
      <w:r>
        <w:rPr>
          <w:rFonts w:cs="Arial"/>
          <w:b/>
        </w:rPr>
        <w:br w:type="page"/>
      </w:r>
    </w:p>
    <w:p w14:paraId="5CB414C6" w14:textId="77777777" w:rsidR="00BF4107" w:rsidRPr="00030172" w:rsidRDefault="00BF4107" w:rsidP="000570A9">
      <w:pPr>
        <w:spacing w:before="0" w:after="200" w:line="276" w:lineRule="auto"/>
        <w:jc w:val="center"/>
        <w:rPr>
          <w:rFonts w:cs="Arial"/>
          <w:b/>
          <w:bCs/>
        </w:rPr>
      </w:pPr>
      <w:r w:rsidRPr="00030172">
        <w:rPr>
          <w:rFonts w:cs="Arial"/>
          <w:b/>
          <w:bCs/>
        </w:rPr>
        <w:t>Statement of Compatibility of Human Rights</w:t>
      </w:r>
    </w:p>
    <w:p w14:paraId="038DCB59" w14:textId="77777777" w:rsidR="00BF4107" w:rsidRPr="000570A9" w:rsidRDefault="00BF4107" w:rsidP="00BF4107">
      <w:pPr>
        <w:spacing w:before="0" w:after="200" w:line="276" w:lineRule="auto"/>
        <w:rPr>
          <w:rFonts w:cs="Arial"/>
        </w:rPr>
      </w:pPr>
    </w:p>
    <w:p w14:paraId="71BEB985" w14:textId="77777777" w:rsidR="00BF4107" w:rsidRPr="000570A9" w:rsidRDefault="00BF4107" w:rsidP="000570A9">
      <w:pPr>
        <w:spacing w:before="0" w:after="200" w:line="276" w:lineRule="auto"/>
        <w:jc w:val="center"/>
        <w:rPr>
          <w:rFonts w:cs="Arial"/>
          <w:i/>
          <w:iCs/>
        </w:rPr>
      </w:pPr>
      <w:r w:rsidRPr="000570A9">
        <w:rPr>
          <w:rFonts w:cs="Arial"/>
          <w:i/>
          <w:iCs/>
        </w:rPr>
        <w:t>Prepared in accordance with Part 3 of the Human Rights (Parliamentary Scrutiny)</w:t>
      </w:r>
    </w:p>
    <w:p w14:paraId="7C35A8DA" w14:textId="4DD42047" w:rsidR="00BF4107" w:rsidRPr="000570A9" w:rsidRDefault="00BF4107" w:rsidP="000570A9">
      <w:pPr>
        <w:spacing w:before="0" w:after="200" w:line="276" w:lineRule="auto"/>
        <w:jc w:val="center"/>
        <w:rPr>
          <w:rFonts w:cs="Arial"/>
        </w:rPr>
      </w:pPr>
      <w:r w:rsidRPr="000570A9">
        <w:rPr>
          <w:rFonts w:cs="Arial"/>
          <w:i/>
          <w:iCs/>
        </w:rPr>
        <w:t>Act 2011</w:t>
      </w:r>
    </w:p>
    <w:p w14:paraId="319BB605" w14:textId="77777777" w:rsidR="00BF4107" w:rsidRPr="005E0392" w:rsidRDefault="00BF4107" w:rsidP="000570A9">
      <w:pPr>
        <w:spacing w:before="0" w:after="200" w:line="276" w:lineRule="auto"/>
        <w:jc w:val="center"/>
        <w:rPr>
          <w:rFonts w:cs="Arial"/>
          <w:b/>
          <w:bCs/>
          <w:i/>
          <w:iCs/>
        </w:rPr>
      </w:pPr>
      <w:r w:rsidRPr="005E0392">
        <w:rPr>
          <w:rFonts w:cs="Arial"/>
          <w:b/>
          <w:bCs/>
          <w:i/>
          <w:iCs/>
        </w:rPr>
        <w:t>National Redress Scheme for Institutional Child Sexual Abuse Direct Personal</w:t>
      </w:r>
    </w:p>
    <w:p w14:paraId="2746EFE0" w14:textId="2476354D" w:rsidR="00BF4107" w:rsidRPr="005E0392" w:rsidRDefault="00BF4107" w:rsidP="000570A9">
      <w:pPr>
        <w:spacing w:before="0" w:after="200" w:line="276" w:lineRule="auto"/>
        <w:jc w:val="center"/>
        <w:rPr>
          <w:rFonts w:cs="Arial"/>
          <w:b/>
          <w:bCs/>
        </w:rPr>
      </w:pPr>
      <w:r w:rsidRPr="005E0392">
        <w:rPr>
          <w:rFonts w:cs="Arial"/>
          <w:b/>
          <w:bCs/>
          <w:i/>
          <w:iCs/>
        </w:rPr>
        <w:t>Response Framework 2018</w:t>
      </w:r>
    </w:p>
    <w:p w14:paraId="63F5E14A" w14:textId="588DC195" w:rsidR="00BF4107" w:rsidRPr="000570A9" w:rsidRDefault="00BF4107" w:rsidP="000570A9">
      <w:pPr>
        <w:spacing w:before="0" w:after="200" w:line="276" w:lineRule="auto"/>
        <w:jc w:val="center"/>
        <w:rPr>
          <w:rFonts w:cs="Arial"/>
        </w:rPr>
      </w:pPr>
      <w:r w:rsidRPr="000570A9">
        <w:rPr>
          <w:rFonts w:cs="Arial"/>
        </w:rPr>
        <w:t xml:space="preserve">This instrument is compatible with the human rights and freedoms recognised or declared in the international instruments listed in section 3 of the </w:t>
      </w:r>
      <w:r w:rsidRPr="000570A9">
        <w:rPr>
          <w:rFonts w:cs="Arial"/>
          <w:i/>
          <w:iCs/>
        </w:rPr>
        <w:t>Human Rights (Parliamentary Scrutiny) Act 2011</w:t>
      </w:r>
      <w:r w:rsidRPr="000570A9">
        <w:rPr>
          <w:rFonts w:cs="Arial"/>
        </w:rPr>
        <w:t>.</w:t>
      </w:r>
    </w:p>
    <w:p w14:paraId="666B386C" w14:textId="3708A7E7" w:rsidR="00BF4107" w:rsidRPr="007340D0" w:rsidRDefault="00BF4107" w:rsidP="00BF4107">
      <w:pPr>
        <w:spacing w:before="0" w:after="200" w:line="276" w:lineRule="auto"/>
        <w:rPr>
          <w:rFonts w:cs="Arial"/>
          <w:b/>
          <w:bCs/>
        </w:rPr>
      </w:pPr>
      <w:r w:rsidRPr="000570A9">
        <w:rPr>
          <w:rFonts w:cs="Arial"/>
          <w:b/>
          <w:bCs/>
        </w:rPr>
        <w:t>Overview of the legislative instrument</w:t>
      </w:r>
    </w:p>
    <w:p w14:paraId="06E217C1" w14:textId="77777777" w:rsidR="001825AB" w:rsidRDefault="001825AB" w:rsidP="001825AB">
      <w:pPr>
        <w:spacing w:before="0" w:after="200" w:line="276" w:lineRule="auto"/>
        <w:rPr>
          <w:rFonts w:cs="Arial"/>
        </w:rPr>
      </w:pPr>
      <w:r w:rsidRPr="000570A9">
        <w:rPr>
          <w:rFonts w:cs="Arial"/>
        </w:rPr>
        <w:t xml:space="preserve">The DPR Framework has not been updated since the Scheme commenced. </w:t>
      </w:r>
    </w:p>
    <w:p w14:paraId="2AB60994" w14:textId="77777777" w:rsidR="001825AB" w:rsidRPr="000570A9" w:rsidRDefault="001825AB" w:rsidP="001825AB">
      <w:pPr>
        <w:spacing w:before="0" w:after="200" w:line="276" w:lineRule="auto"/>
        <w:rPr>
          <w:rFonts w:cs="Arial"/>
        </w:rPr>
      </w:pPr>
      <w:r w:rsidRPr="000570A9">
        <w:rPr>
          <w:rFonts w:cs="Arial"/>
        </w:rPr>
        <w:t xml:space="preserve">The proposed amendment would clarify the expectation of PPIs’ compliance with the DPR Framework, including reporting obligations, by inserting explicit references to PPIs into the </w:t>
      </w:r>
      <w:r>
        <w:rPr>
          <w:rFonts w:cs="Arial"/>
        </w:rPr>
        <w:t xml:space="preserve">DPR </w:t>
      </w:r>
      <w:r w:rsidRPr="000570A9">
        <w:rPr>
          <w:rFonts w:cs="Arial"/>
        </w:rPr>
        <w:t>Framework.</w:t>
      </w:r>
    </w:p>
    <w:p w14:paraId="249A2AAA" w14:textId="77777777" w:rsidR="001825AB" w:rsidRPr="000570A9" w:rsidRDefault="001825AB" w:rsidP="001825AB">
      <w:pPr>
        <w:spacing w:before="0" w:after="200" w:line="276" w:lineRule="auto"/>
        <w:rPr>
          <w:rFonts w:cs="Arial"/>
        </w:rPr>
      </w:pPr>
      <w:r w:rsidRPr="000570A9">
        <w:rPr>
          <w:rFonts w:cs="Arial"/>
        </w:rPr>
        <w:t>The proposed amendments also introduce additional reporting requirements for all institutions</w:t>
      </w:r>
      <w:r>
        <w:rPr>
          <w:rFonts w:cs="Arial"/>
        </w:rPr>
        <w:t>, whether or not partly-participating,</w:t>
      </w:r>
      <w:r w:rsidRPr="000570A9">
        <w:rPr>
          <w:rFonts w:cs="Arial"/>
        </w:rPr>
        <w:t xml:space="preserve"> to specifically report to the Scheme </w:t>
      </w:r>
      <w:r>
        <w:rPr>
          <w:rFonts w:cs="Arial"/>
        </w:rPr>
        <w:t>about</w:t>
      </w:r>
      <w:r w:rsidRPr="000570A9">
        <w:rPr>
          <w:rFonts w:cs="Arial"/>
        </w:rPr>
        <w:t xml:space="preserve"> any complaints made </w:t>
      </w:r>
      <w:r>
        <w:rPr>
          <w:rFonts w:cs="Arial"/>
        </w:rPr>
        <w:t xml:space="preserve">directly to an institution </w:t>
      </w:r>
      <w:r w:rsidRPr="000570A9">
        <w:rPr>
          <w:rFonts w:cs="Arial"/>
        </w:rPr>
        <w:t>about a DPR. Further, the proposed amendments will change the reporting time frame</w:t>
      </w:r>
      <w:r>
        <w:rPr>
          <w:rFonts w:cs="Arial"/>
        </w:rPr>
        <w:t xml:space="preserve"> </w:t>
      </w:r>
      <w:r w:rsidRPr="000570A9">
        <w:rPr>
          <w:rFonts w:cs="Arial"/>
        </w:rPr>
        <w:t>to every six months</w:t>
      </w:r>
      <w:r>
        <w:rPr>
          <w:rFonts w:cs="Arial"/>
        </w:rPr>
        <w:t xml:space="preserve"> – the current DPR Framework requires the matter to be reported </w:t>
      </w:r>
      <w:r w:rsidRPr="000570A9">
        <w:rPr>
          <w:rFonts w:cs="Arial"/>
        </w:rPr>
        <w:t xml:space="preserve">‘as soon as practicable’. This change fulfils a recommendation made by the JSC reports and the Second Anniversary Review by enabling better data collection on the provision of DPRs which, in turn, will inform more timely improvements to, and </w:t>
      </w:r>
      <w:r>
        <w:rPr>
          <w:rFonts w:cs="Arial"/>
        </w:rPr>
        <w:t xml:space="preserve">Scheme </w:t>
      </w:r>
      <w:r w:rsidRPr="000570A9">
        <w:rPr>
          <w:rFonts w:cs="Arial"/>
        </w:rPr>
        <w:t>support for institutions providing, DPRs.</w:t>
      </w:r>
    </w:p>
    <w:p w14:paraId="49638291" w14:textId="77777777" w:rsidR="001825AB" w:rsidRPr="000570A9" w:rsidRDefault="001825AB" w:rsidP="001825AB">
      <w:pPr>
        <w:spacing w:before="0" w:after="200" w:line="276" w:lineRule="auto"/>
        <w:rPr>
          <w:rFonts w:cs="Arial"/>
        </w:rPr>
      </w:pPr>
      <w:r w:rsidRPr="000570A9">
        <w:rPr>
          <w:rFonts w:cs="Arial"/>
        </w:rPr>
        <w:t>Amendments to this instrument have also been made to align the DPR Framework with the guiding principles of the Scheme</w:t>
      </w:r>
      <w:r>
        <w:rPr>
          <w:rFonts w:cs="Arial"/>
        </w:rPr>
        <w:t xml:space="preserve"> in </w:t>
      </w:r>
      <w:r w:rsidRPr="000570A9">
        <w:rPr>
          <w:rFonts w:cs="Arial"/>
        </w:rPr>
        <w:t xml:space="preserve">section 10 of the Act. </w:t>
      </w:r>
      <w:r>
        <w:rPr>
          <w:rFonts w:cs="Arial"/>
        </w:rPr>
        <w:t>In particular</w:t>
      </w:r>
      <w:r w:rsidRPr="000570A9">
        <w:rPr>
          <w:rFonts w:cs="Arial"/>
        </w:rPr>
        <w:t>, that redress should be assessed, offered and provided to avoid, as far as possible, further harming or traumatising the survivor.</w:t>
      </w:r>
      <w:r>
        <w:rPr>
          <w:rFonts w:cs="Arial"/>
        </w:rPr>
        <w:t xml:space="preserve"> Redress includes DPR as a component. </w:t>
      </w:r>
      <w:r w:rsidRPr="000570A9">
        <w:rPr>
          <w:rFonts w:cs="Arial"/>
        </w:rPr>
        <w:t xml:space="preserve"> </w:t>
      </w:r>
    </w:p>
    <w:p w14:paraId="0994C11B" w14:textId="77777777" w:rsidR="001825AB" w:rsidRPr="000570A9" w:rsidRDefault="001825AB" w:rsidP="001825AB">
      <w:pPr>
        <w:spacing w:before="0" w:after="200" w:line="276" w:lineRule="auto"/>
        <w:rPr>
          <w:rFonts w:cs="Arial"/>
        </w:rPr>
      </w:pPr>
      <w:r w:rsidRPr="000570A9">
        <w:rPr>
          <w:rFonts w:cs="Arial"/>
        </w:rPr>
        <w:t>The proposed amendments to the DPR Framework will enhance benefits to survivors by:</w:t>
      </w:r>
    </w:p>
    <w:p w14:paraId="2AC0E6C7" w14:textId="77777777" w:rsidR="001825AB" w:rsidRPr="000570A9" w:rsidRDefault="001825AB" w:rsidP="001825AB">
      <w:pPr>
        <w:numPr>
          <w:ilvl w:val="0"/>
          <w:numId w:val="23"/>
        </w:numPr>
        <w:spacing w:before="0" w:after="200" w:line="276" w:lineRule="auto"/>
        <w:rPr>
          <w:rFonts w:cs="Arial"/>
        </w:rPr>
      </w:pPr>
      <w:r w:rsidRPr="000570A9">
        <w:rPr>
          <w:rFonts w:cs="Arial"/>
        </w:rPr>
        <w:t>Enshrining the existence, role and reporting obligations of PPIs in the DPR Framework.</w:t>
      </w:r>
    </w:p>
    <w:p w14:paraId="45621C16" w14:textId="77777777" w:rsidR="001825AB" w:rsidRPr="000570A9" w:rsidRDefault="001825AB" w:rsidP="001825AB">
      <w:pPr>
        <w:numPr>
          <w:ilvl w:val="0"/>
          <w:numId w:val="23"/>
        </w:numPr>
        <w:spacing w:before="0" w:after="200" w:line="276" w:lineRule="auto"/>
        <w:rPr>
          <w:rFonts w:cs="Arial"/>
        </w:rPr>
      </w:pPr>
      <w:r w:rsidRPr="000570A9">
        <w:rPr>
          <w:rFonts w:cs="Arial"/>
        </w:rPr>
        <w:t>Enabling the Scheme to have further visibility of how many DPRs are undertaken by participating and PPIs. Where there may be trends in low-uptake and quality, the Scheme can invest targeted resources to assist institutions and improve DPRs for survivors.</w:t>
      </w:r>
    </w:p>
    <w:p w14:paraId="5FDC4FE2" w14:textId="77777777" w:rsidR="001825AB" w:rsidRPr="000570A9" w:rsidRDefault="001825AB" w:rsidP="001825AB">
      <w:pPr>
        <w:numPr>
          <w:ilvl w:val="0"/>
          <w:numId w:val="23"/>
        </w:numPr>
        <w:spacing w:before="0" w:after="200" w:line="276" w:lineRule="auto"/>
        <w:rPr>
          <w:rFonts w:cs="Arial"/>
        </w:rPr>
      </w:pPr>
      <w:r w:rsidRPr="000570A9">
        <w:rPr>
          <w:rFonts w:cs="Arial"/>
        </w:rPr>
        <w:t>Enabling the Scheme to have visibility of reporting of survivor complaints about DPRs to institutions.</w:t>
      </w:r>
    </w:p>
    <w:p w14:paraId="21F16D6A" w14:textId="77777777" w:rsidR="001825AB" w:rsidRPr="000570A9" w:rsidRDefault="001825AB" w:rsidP="001825AB">
      <w:pPr>
        <w:numPr>
          <w:ilvl w:val="0"/>
          <w:numId w:val="23"/>
        </w:numPr>
        <w:spacing w:before="0" w:after="200" w:line="276" w:lineRule="auto"/>
        <w:rPr>
          <w:rFonts w:cs="Arial"/>
        </w:rPr>
      </w:pPr>
      <w:r w:rsidRPr="000570A9">
        <w:rPr>
          <w:rFonts w:cs="Arial"/>
        </w:rPr>
        <w:t>Enabling more frequent, but not increased, reporting regarding DPR</w:t>
      </w:r>
      <w:r w:rsidRPr="000570A9">
        <w:rPr>
          <w:rFonts w:cs="Arial"/>
        </w:rPr>
        <w:br/>
        <w:t>complaints.</w:t>
      </w:r>
    </w:p>
    <w:p w14:paraId="45FF4CF4" w14:textId="77777777" w:rsidR="001825AB" w:rsidRPr="000570A9" w:rsidRDefault="001825AB" w:rsidP="001825AB">
      <w:pPr>
        <w:numPr>
          <w:ilvl w:val="0"/>
          <w:numId w:val="23"/>
        </w:numPr>
        <w:spacing w:before="0" w:after="200" w:line="276" w:lineRule="auto"/>
        <w:rPr>
          <w:rFonts w:cs="Arial"/>
        </w:rPr>
      </w:pPr>
      <w:r w:rsidRPr="000570A9">
        <w:rPr>
          <w:rFonts w:cs="Arial"/>
        </w:rPr>
        <w:t>Requiring the delivery of DPRs according to trauma-informed principles.</w:t>
      </w:r>
    </w:p>
    <w:p w14:paraId="6E38177C" w14:textId="77777777" w:rsidR="001825AB" w:rsidRPr="00ED3698" w:rsidRDefault="001825AB" w:rsidP="001825AB">
      <w:pPr>
        <w:numPr>
          <w:ilvl w:val="0"/>
          <w:numId w:val="23"/>
        </w:numPr>
        <w:spacing w:before="0" w:after="200" w:line="276" w:lineRule="auto"/>
        <w:rPr>
          <w:rFonts w:cs="Arial"/>
        </w:rPr>
      </w:pPr>
      <w:r w:rsidRPr="000570A9">
        <w:rPr>
          <w:rFonts w:cs="Arial"/>
        </w:rPr>
        <w:t>Highlighting the value of providing culturally safe DPRs, particularly for Aboriginal and Torres Strait Islander survivors.</w:t>
      </w:r>
    </w:p>
    <w:p w14:paraId="69C97FAB" w14:textId="08A482B2" w:rsidR="00BF4107" w:rsidRPr="000570A9" w:rsidRDefault="00BF4107" w:rsidP="00BF4107">
      <w:pPr>
        <w:spacing w:before="0" w:after="200" w:line="276" w:lineRule="auto"/>
        <w:rPr>
          <w:rFonts w:cs="Arial"/>
          <w:b/>
          <w:bCs/>
          <w:u w:val="single"/>
        </w:rPr>
      </w:pPr>
      <w:r w:rsidRPr="000570A9">
        <w:rPr>
          <w:rFonts w:cs="Arial"/>
          <w:b/>
          <w:bCs/>
          <w:u w:val="single"/>
        </w:rPr>
        <w:t>Human rights implications</w:t>
      </w:r>
    </w:p>
    <w:p w14:paraId="5106C4C6" w14:textId="658A560B" w:rsidR="00284FE2" w:rsidRDefault="00284FE2" w:rsidP="00BF4107">
      <w:pPr>
        <w:spacing w:before="0" w:after="200" w:line="276" w:lineRule="auto"/>
        <w:rPr>
          <w:rFonts w:cs="Arial"/>
          <w:bCs/>
          <w:szCs w:val="24"/>
        </w:rPr>
      </w:pPr>
      <w:r>
        <w:rPr>
          <w:rFonts w:cs="Arial"/>
          <w:bCs/>
          <w:szCs w:val="24"/>
        </w:rPr>
        <w:t xml:space="preserve">The Statement of Compatibility of Human Rights for the </w:t>
      </w:r>
      <w:r w:rsidR="00FD1470">
        <w:rPr>
          <w:rFonts w:cs="Arial"/>
          <w:bCs/>
          <w:szCs w:val="24"/>
        </w:rPr>
        <w:t xml:space="preserve">2021 </w:t>
      </w:r>
      <w:r w:rsidR="00C36F6E">
        <w:rPr>
          <w:rFonts w:cs="Arial"/>
          <w:bCs/>
          <w:szCs w:val="24"/>
        </w:rPr>
        <w:t xml:space="preserve">Amendment Act </w:t>
      </w:r>
      <w:r>
        <w:rPr>
          <w:rFonts w:cs="Arial"/>
          <w:bCs/>
          <w:szCs w:val="24"/>
        </w:rPr>
        <w:t xml:space="preserve">included additional human rights implications relevant to the introduction of </w:t>
      </w:r>
      <w:r w:rsidR="00BB2D04">
        <w:rPr>
          <w:rFonts w:cs="Arial"/>
          <w:bCs/>
          <w:szCs w:val="24"/>
        </w:rPr>
        <w:t>PPIs</w:t>
      </w:r>
      <w:r>
        <w:rPr>
          <w:rFonts w:cs="Arial"/>
          <w:bCs/>
          <w:szCs w:val="24"/>
        </w:rPr>
        <w:t xml:space="preserve"> into the Scheme’s primary </w:t>
      </w:r>
      <w:r w:rsidRPr="00227D3F">
        <w:rPr>
          <w:rFonts w:cs="Arial"/>
          <w:bCs/>
          <w:szCs w:val="24"/>
        </w:rPr>
        <w:t xml:space="preserve">legislation. </w:t>
      </w:r>
    </w:p>
    <w:p w14:paraId="66D6DAF7" w14:textId="21BF1B0D" w:rsidR="001D443E" w:rsidRDefault="00017391" w:rsidP="00BF4107">
      <w:pPr>
        <w:spacing w:before="0" w:after="200" w:line="276" w:lineRule="auto"/>
        <w:rPr>
          <w:rFonts w:cs="Arial"/>
        </w:rPr>
      </w:pPr>
      <w:r>
        <w:rPr>
          <w:rFonts w:cs="Arial"/>
        </w:rPr>
        <w:t>Similarly, t</w:t>
      </w:r>
      <w:r w:rsidR="001D443E">
        <w:rPr>
          <w:rFonts w:cs="Arial"/>
        </w:rPr>
        <w:t>he instrument</w:t>
      </w:r>
      <w:r w:rsidR="008045BA">
        <w:rPr>
          <w:rFonts w:cs="Arial"/>
        </w:rPr>
        <w:t xml:space="preserve"> positively</w:t>
      </w:r>
      <w:r w:rsidR="001D443E">
        <w:rPr>
          <w:rFonts w:cs="Arial"/>
        </w:rPr>
        <w:t xml:space="preserve"> engages with the </w:t>
      </w:r>
      <w:r w:rsidR="009040C8">
        <w:rPr>
          <w:rFonts w:cs="Arial"/>
        </w:rPr>
        <w:t xml:space="preserve">following human rights: </w:t>
      </w:r>
    </w:p>
    <w:p w14:paraId="7F4F0339" w14:textId="6FCCE4EB" w:rsidR="00731E1A" w:rsidRDefault="00731E1A" w:rsidP="00731E1A">
      <w:pPr>
        <w:pStyle w:val="ListParagraph"/>
        <w:numPr>
          <w:ilvl w:val="0"/>
          <w:numId w:val="22"/>
        </w:numPr>
        <w:spacing w:before="0" w:after="200" w:line="276" w:lineRule="auto"/>
        <w:rPr>
          <w:rFonts w:ascii="Arial" w:hAnsi="Arial" w:cs="Arial"/>
        </w:rPr>
      </w:pPr>
      <w:r>
        <w:rPr>
          <w:rFonts w:ascii="Arial" w:hAnsi="Arial" w:cs="Arial"/>
        </w:rPr>
        <w:t>The right to freedom from discrimination in upholding the rights of the child – article 2 of the Convention on the Rights of the Child (CRC)</w:t>
      </w:r>
    </w:p>
    <w:p w14:paraId="743887F5" w14:textId="2F723CAE" w:rsidR="00731E1A" w:rsidRDefault="00731E1A" w:rsidP="00731E1A">
      <w:pPr>
        <w:pStyle w:val="ListParagraph"/>
        <w:numPr>
          <w:ilvl w:val="0"/>
          <w:numId w:val="22"/>
        </w:numPr>
        <w:spacing w:before="0" w:after="200" w:line="276" w:lineRule="auto"/>
        <w:rPr>
          <w:rFonts w:ascii="Arial" w:hAnsi="Arial" w:cs="Arial"/>
        </w:rPr>
      </w:pPr>
      <w:r w:rsidRPr="001825AB">
        <w:rPr>
          <w:rFonts w:ascii="Arial" w:hAnsi="Arial" w:cs="Arial"/>
        </w:rPr>
        <w:t>The right to protection from sexual abuse</w:t>
      </w:r>
      <w:r>
        <w:rPr>
          <w:rFonts w:ascii="Arial" w:hAnsi="Arial" w:cs="Arial"/>
        </w:rPr>
        <w:t xml:space="preserve"> – articles 19 and 34 of the CRC</w:t>
      </w:r>
    </w:p>
    <w:p w14:paraId="0D17C3A0" w14:textId="642F1E97" w:rsidR="00731E1A" w:rsidRDefault="00731E1A" w:rsidP="00731E1A">
      <w:pPr>
        <w:pStyle w:val="ListParagraph"/>
        <w:numPr>
          <w:ilvl w:val="0"/>
          <w:numId w:val="22"/>
        </w:numPr>
        <w:spacing w:before="0" w:after="200" w:line="276" w:lineRule="auto"/>
        <w:rPr>
          <w:rFonts w:ascii="Arial" w:hAnsi="Arial" w:cs="Arial"/>
        </w:rPr>
      </w:pPr>
      <w:r>
        <w:rPr>
          <w:rFonts w:ascii="Arial" w:hAnsi="Arial" w:cs="Arial"/>
        </w:rPr>
        <w:t xml:space="preserve">The right to state-supported recovery for child victims of abuse – article 39 of the CRC </w:t>
      </w:r>
    </w:p>
    <w:p w14:paraId="4DEC6181" w14:textId="26ABC986" w:rsidR="00731E1A" w:rsidRDefault="004227DC" w:rsidP="00731E1A">
      <w:pPr>
        <w:pStyle w:val="ListParagraph"/>
        <w:numPr>
          <w:ilvl w:val="0"/>
          <w:numId w:val="22"/>
        </w:numPr>
        <w:spacing w:before="0" w:after="200" w:line="276" w:lineRule="auto"/>
        <w:rPr>
          <w:rFonts w:ascii="Arial" w:hAnsi="Arial" w:cs="Arial"/>
        </w:rPr>
      </w:pPr>
      <w:r>
        <w:rPr>
          <w:rFonts w:ascii="Arial" w:hAnsi="Arial" w:cs="Arial"/>
        </w:rPr>
        <w:t>The right to an effective remedy – article 2(3) of the International Covenant on Civil and Political Rights (ICCPR)</w:t>
      </w:r>
    </w:p>
    <w:p w14:paraId="03BC63D6" w14:textId="4880EBAA" w:rsidR="00920A91" w:rsidRDefault="00920A91" w:rsidP="00731E1A">
      <w:pPr>
        <w:pStyle w:val="ListParagraph"/>
        <w:numPr>
          <w:ilvl w:val="0"/>
          <w:numId w:val="22"/>
        </w:numPr>
        <w:spacing w:before="0" w:after="200" w:line="276" w:lineRule="auto"/>
        <w:rPr>
          <w:rFonts w:ascii="Arial" w:hAnsi="Arial" w:cs="Arial"/>
        </w:rPr>
      </w:pPr>
      <w:r>
        <w:rPr>
          <w:rFonts w:ascii="Arial" w:hAnsi="Arial" w:cs="Arial"/>
        </w:rPr>
        <w:t xml:space="preserve">The right to health – article 12 of the </w:t>
      </w:r>
      <w:r w:rsidRPr="00920A91">
        <w:rPr>
          <w:rFonts w:ascii="Arial" w:hAnsi="Arial" w:cs="Arial"/>
        </w:rPr>
        <w:t>International Covenant on Economic, Social and Cultural Rights</w:t>
      </w:r>
      <w:r>
        <w:rPr>
          <w:rFonts w:ascii="Arial" w:hAnsi="Arial" w:cs="Arial"/>
        </w:rPr>
        <w:t xml:space="preserve"> (ICESCR)</w:t>
      </w:r>
    </w:p>
    <w:p w14:paraId="46455B06" w14:textId="1C6796EA" w:rsidR="00F50455" w:rsidRDefault="00F50455" w:rsidP="00F50455">
      <w:pPr>
        <w:spacing w:before="0" w:after="200" w:line="276" w:lineRule="auto"/>
        <w:rPr>
          <w:rFonts w:cs="Arial"/>
          <w:b/>
          <w:bCs/>
        </w:rPr>
      </w:pPr>
      <w:r w:rsidRPr="001825AB">
        <w:rPr>
          <w:rFonts w:cs="Arial"/>
          <w:b/>
          <w:bCs/>
        </w:rPr>
        <w:t>The right to freedom from discrimination in upholding the rights of the child</w:t>
      </w:r>
    </w:p>
    <w:p w14:paraId="76D9EA76" w14:textId="5838C0E0" w:rsidR="00142FA9" w:rsidRPr="00C627CD" w:rsidRDefault="00142FA9" w:rsidP="00142FA9">
      <w:pPr>
        <w:spacing w:before="0" w:after="200" w:line="276" w:lineRule="auto"/>
      </w:pPr>
      <w:r w:rsidRPr="00C627CD">
        <w:t xml:space="preserve">Article 2 of the CRC guarantees the right of children to freedom from discrimination in the upholding of their other rights in the </w:t>
      </w:r>
      <w:r>
        <w:t>CRC.</w:t>
      </w:r>
    </w:p>
    <w:p w14:paraId="2104BA96" w14:textId="67355CF0" w:rsidR="00142FA9" w:rsidRPr="00C627CD" w:rsidRDefault="00142FA9" w:rsidP="00142FA9">
      <w:pPr>
        <w:spacing w:before="0" w:after="200" w:line="276" w:lineRule="auto"/>
      </w:pPr>
      <w:r w:rsidRPr="00C627CD">
        <w:t xml:space="preserve">The Framework </w:t>
      </w:r>
      <w:r>
        <w:t xml:space="preserve">currently </w:t>
      </w:r>
      <w:r w:rsidRPr="00C627CD">
        <w:t xml:space="preserve">sets out the minimum requirements for engagement in a </w:t>
      </w:r>
      <w:r>
        <w:t>DPR</w:t>
      </w:r>
      <w:r w:rsidRPr="00C627CD">
        <w:t xml:space="preserve"> to ensure that that all who receive redress have equal opportunity to access a </w:t>
      </w:r>
      <w:r>
        <w:t>DPR</w:t>
      </w:r>
      <w:r w:rsidRPr="00C627CD">
        <w:t xml:space="preserve"> that is meaningful and appropriate for their circumstances.</w:t>
      </w:r>
    </w:p>
    <w:p w14:paraId="3CD7C653" w14:textId="5D11EE44" w:rsidR="00DE5A32" w:rsidRDefault="00142FA9" w:rsidP="00142FA9">
      <w:pPr>
        <w:spacing w:before="0" w:after="200" w:line="276" w:lineRule="auto"/>
      </w:pPr>
      <w:r>
        <w:t>The proposed amendments will amend s</w:t>
      </w:r>
      <w:r w:rsidRPr="00C627CD">
        <w:t>ection</w:t>
      </w:r>
      <w:r>
        <w:t xml:space="preserve"> 11 of the DPR Framework to require that </w:t>
      </w:r>
      <w:r w:rsidR="00DE5A32">
        <w:t>a responsible institution account for the cultural needs of a survivor in preparing for or giving DPR. Further, the amendments will require an institution to seek to avoid further harming the survivor by prioritising and applying trauma informed principles which includes safety and empowerment.</w:t>
      </w:r>
    </w:p>
    <w:p w14:paraId="4D76E0F0" w14:textId="1DB48CAD" w:rsidR="00142FA9" w:rsidRPr="00C627CD" w:rsidRDefault="00DE5A32" w:rsidP="00142FA9">
      <w:pPr>
        <w:spacing w:before="0" w:after="200" w:line="276" w:lineRule="auto"/>
      </w:pPr>
      <w:r>
        <w:t>By including additional obligations for institutions, the amendments are intended to</w:t>
      </w:r>
      <w:r w:rsidR="00142FA9" w:rsidRPr="00C627CD">
        <w:t xml:space="preserve"> ensure that </w:t>
      </w:r>
      <w:r>
        <w:t>DPR</w:t>
      </w:r>
      <w:r w:rsidR="00142FA9" w:rsidRPr="00C627CD">
        <w:t xml:space="preserve"> </w:t>
      </w:r>
      <w:r>
        <w:t xml:space="preserve">is given to survivors in a way which promotes diversity and the individual needs of each survivor. </w:t>
      </w:r>
    </w:p>
    <w:p w14:paraId="64863093" w14:textId="39852088" w:rsidR="00F50455" w:rsidRPr="001825AB" w:rsidRDefault="004552EB" w:rsidP="00F50455">
      <w:pPr>
        <w:spacing w:before="0" w:after="200" w:line="276" w:lineRule="auto"/>
        <w:rPr>
          <w:rFonts w:cs="Arial"/>
          <w:b/>
          <w:bCs/>
        </w:rPr>
      </w:pPr>
      <w:r w:rsidRPr="001825AB">
        <w:rPr>
          <w:rFonts w:cs="Arial"/>
          <w:b/>
          <w:bCs/>
        </w:rPr>
        <w:t>The right to protection from sexual abuse</w:t>
      </w:r>
    </w:p>
    <w:p w14:paraId="198A2553" w14:textId="77777777" w:rsidR="004552EB" w:rsidRPr="00C627CD" w:rsidRDefault="004552EB" w:rsidP="004552EB">
      <w:pPr>
        <w:spacing w:before="0" w:after="200" w:line="276" w:lineRule="auto"/>
      </w:pPr>
      <w:r w:rsidRPr="00C627CD">
        <w:t>Articles 19 and 34 of the CRC guarantee the right of every child to protection from all forms of physical or mental violence, injury or abuse, including sexual exploitation and abuse.</w:t>
      </w:r>
    </w:p>
    <w:p w14:paraId="14960F3C" w14:textId="37EBC67E" w:rsidR="00D077F2" w:rsidRDefault="004552EB" w:rsidP="004552EB">
      <w:pPr>
        <w:spacing w:before="0" w:after="200" w:line="276" w:lineRule="auto"/>
      </w:pPr>
      <w:r w:rsidRPr="00C627CD">
        <w:t>The Framework</w:t>
      </w:r>
      <w:r>
        <w:t xml:space="preserve"> currently</w:t>
      </w:r>
      <w:r w:rsidRPr="00C627CD">
        <w:t xml:space="preserve"> promotes this right </w:t>
      </w:r>
      <w:r w:rsidR="00C15087">
        <w:t xml:space="preserve">by </w:t>
      </w:r>
      <w:r w:rsidRPr="00C627CD">
        <w:t xml:space="preserve">providing the detailed requirements necessary to support and implement the </w:t>
      </w:r>
      <w:r w:rsidR="00C15087">
        <w:t>DPR</w:t>
      </w:r>
      <w:r w:rsidRPr="00C627CD">
        <w:t xml:space="preserve"> element of the Scheme. </w:t>
      </w:r>
      <w:r>
        <w:t xml:space="preserve">The </w:t>
      </w:r>
      <w:r w:rsidR="00D077F2">
        <w:t>amendments will</w:t>
      </w:r>
      <w:r>
        <w:t xml:space="preserve"> expand upon th</w:t>
      </w:r>
      <w:r w:rsidR="00D077F2">
        <w:t>e existing Framework</w:t>
      </w:r>
      <w:r>
        <w:t xml:space="preserve"> by including part-participating institutions in the Framework</w:t>
      </w:r>
      <w:r w:rsidR="00D077F2">
        <w:t xml:space="preserve"> which will ensure those institutions are subject to the requirements set out in that instrument.  </w:t>
      </w:r>
    </w:p>
    <w:p w14:paraId="5814EA0F" w14:textId="6A051B3A" w:rsidR="004552EB" w:rsidRPr="00C627CD" w:rsidRDefault="00D077F2" w:rsidP="001825AB">
      <w:pPr>
        <w:spacing w:before="0" w:after="200" w:line="276" w:lineRule="auto"/>
      </w:pPr>
      <w:r>
        <w:t xml:space="preserve">The Framework will also be amended to </w:t>
      </w:r>
      <w:r w:rsidR="004552EB">
        <w:t xml:space="preserve">expand the </w:t>
      </w:r>
      <w:r w:rsidR="003C5756">
        <w:t xml:space="preserve">DPR reporting requirements institutions are subject to. The additional reporting requirements will ensure the Scheme has appropriate oversight of DPR being provided to survivors, including in terms of consistency </w:t>
      </w:r>
      <w:r w:rsidR="00C319F3">
        <w:t xml:space="preserve">and quality of DPRs. </w:t>
      </w:r>
    </w:p>
    <w:p w14:paraId="6DE4E334" w14:textId="2D6E4FF3" w:rsidR="00142FA9" w:rsidRPr="001825AB" w:rsidRDefault="00C319F3" w:rsidP="00F50455">
      <w:pPr>
        <w:spacing w:before="0" w:after="200" w:line="276" w:lineRule="auto"/>
        <w:rPr>
          <w:rFonts w:cs="Arial"/>
          <w:b/>
          <w:bCs/>
        </w:rPr>
      </w:pPr>
      <w:r w:rsidRPr="001825AB">
        <w:rPr>
          <w:rFonts w:cs="Arial"/>
          <w:b/>
          <w:bCs/>
        </w:rPr>
        <w:t>The right to state-supported recovery for child victims of abuse</w:t>
      </w:r>
    </w:p>
    <w:p w14:paraId="018A1B93" w14:textId="77777777" w:rsidR="00571670" w:rsidRPr="00C627CD" w:rsidRDefault="00571670" w:rsidP="00571670">
      <w:pPr>
        <w:spacing w:before="0" w:after="200" w:line="276" w:lineRule="auto"/>
      </w:pPr>
      <w:r w:rsidRPr="00C627CD">
        <w:t>Article 39 of the CRC guarantees the right to state-supported recovery for child victims of neglect, exploitation and abuse.</w:t>
      </w:r>
    </w:p>
    <w:p w14:paraId="05831A5A" w14:textId="791D26A7" w:rsidR="004552EB" w:rsidRPr="00454B2C" w:rsidRDefault="00571670" w:rsidP="00F50455">
      <w:pPr>
        <w:spacing w:before="0" w:after="200" w:line="276" w:lineRule="auto"/>
      </w:pPr>
      <w:r w:rsidRPr="00C627CD">
        <w:t>The Framework</w:t>
      </w:r>
      <w:r w:rsidR="004D4A56">
        <w:t xml:space="preserve"> currently</w:t>
      </w:r>
      <w:r w:rsidRPr="00C627CD">
        <w:t xml:space="preserve"> promotes this right by providing the detailed requirements necessary to support and implement </w:t>
      </w:r>
      <w:r w:rsidR="004D4A56">
        <w:t>DPR</w:t>
      </w:r>
      <w:r w:rsidRPr="00C627CD">
        <w:t xml:space="preserve">. </w:t>
      </w:r>
      <w:r>
        <w:t xml:space="preserve">The </w:t>
      </w:r>
      <w:r w:rsidR="004D4A56">
        <w:t>a</w:t>
      </w:r>
      <w:r>
        <w:t>mendment</w:t>
      </w:r>
      <w:r w:rsidR="004D4A56">
        <w:t>s</w:t>
      </w:r>
      <w:r>
        <w:t xml:space="preserve"> </w:t>
      </w:r>
      <w:r w:rsidR="004D4A56">
        <w:t>will expand</w:t>
      </w:r>
      <w:r>
        <w:t xml:space="preserve"> upon these requirements, both by ensuring that part-participating institutions</w:t>
      </w:r>
      <w:r w:rsidR="004D4A56">
        <w:t>,</w:t>
      </w:r>
      <w:r>
        <w:t xml:space="preserve"> a</w:t>
      </w:r>
      <w:r w:rsidR="004D4A56">
        <w:t>nd therefore all responsible institutions, a</w:t>
      </w:r>
      <w:r>
        <w:t xml:space="preserve">re subject to the Framework and also by expanding the reporting requirements </w:t>
      </w:r>
      <w:r w:rsidR="004D4A56">
        <w:t>and frequency of reporting for</w:t>
      </w:r>
      <w:r>
        <w:t xml:space="preserve"> institutions</w:t>
      </w:r>
      <w:r w:rsidR="004D4A56">
        <w:t xml:space="preserve">. The reporting requirements are expanded by the amendments so that </w:t>
      </w:r>
      <w:r>
        <w:t xml:space="preserve">the Scheme </w:t>
      </w:r>
      <w:r w:rsidR="004D4A56">
        <w:t>has increased</w:t>
      </w:r>
      <w:r>
        <w:t xml:space="preserve"> oversight over the provision of DPR to ensure </w:t>
      </w:r>
      <w:r w:rsidR="004D4A56">
        <w:t>that it is</w:t>
      </w:r>
      <w:r>
        <w:t xml:space="preserve"> provided in accordance </w:t>
      </w:r>
      <w:r w:rsidR="004D4A56">
        <w:t>Scheme expectations</w:t>
      </w:r>
      <w:r w:rsidR="00454B2C">
        <w:t xml:space="preserve"> to ensure consistency and quality of DPR being provided by responsible institutions</w:t>
      </w:r>
      <w:r>
        <w:t xml:space="preserve">.  </w:t>
      </w:r>
    </w:p>
    <w:p w14:paraId="1E2F9720" w14:textId="5E99FA7A" w:rsidR="00142FA9" w:rsidRPr="001825AB" w:rsidRDefault="00B77A45" w:rsidP="00F50455">
      <w:pPr>
        <w:spacing w:before="0" w:after="200" w:line="276" w:lineRule="auto"/>
        <w:rPr>
          <w:rFonts w:cs="Arial"/>
          <w:b/>
          <w:bCs/>
        </w:rPr>
      </w:pPr>
      <w:r w:rsidRPr="001825AB">
        <w:rPr>
          <w:rFonts w:cs="Arial"/>
          <w:b/>
          <w:bCs/>
        </w:rPr>
        <w:t>The right to an effective remedy</w:t>
      </w:r>
    </w:p>
    <w:p w14:paraId="41B83685" w14:textId="4ACA3217" w:rsidR="00B77A45" w:rsidRDefault="00B77A45" w:rsidP="00B77A45">
      <w:pPr>
        <w:rPr>
          <w:bCs/>
        </w:rPr>
      </w:pPr>
      <w:r>
        <w:rPr>
          <w:bCs/>
        </w:rPr>
        <w:t xml:space="preserve">Article 2(3) of the ICCPR guarantees the right to an effective remedy. </w:t>
      </w:r>
    </w:p>
    <w:p w14:paraId="5310579E" w14:textId="77777777" w:rsidR="00B77A45" w:rsidRDefault="00B77A45" w:rsidP="00B77A45">
      <w:pPr>
        <w:rPr>
          <w:bCs/>
        </w:rPr>
      </w:pPr>
    </w:p>
    <w:p w14:paraId="07CAD977" w14:textId="77777777" w:rsidR="00635C7D" w:rsidRDefault="00B77A45" w:rsidP="00B77A45">
      <w:pPr>
        <w:rPr>
          <w:bCs/>
        </w:rPr>
      </w:pPr>
      <w:r w:rsidRPr="00CD242C">
        <w:rPr>
          <w:bCs/>
        </w:rPr>
        <w:t xml:space="preserve">The Scheme currently provides an effective remedy to people and supports the recovery of people who have experienced institutional child sexual abuse by enabling recognition of past abuse and providing access to </w:t>
      </w:r>
      <w:r w:rsidR="00635C7D">
        <w:rPr>
          <w:bCs/>
        </w:rPr>
        <w:t xml:space="preserve">components of </w:t>
      </w:r>
      <w:r w:rsidRPr="00CD242C">
        <w:rPr>
          <w:bCs/>
        </w:rPr>
        <w:t xml:space="preserve">redress, including </w:t>
      </w:r>
      <w:r>
        <w:rPr>
          <w:bCs/>
        </w:rPr>
        <w:t xml:space="preserve">DPR. </w:t>
      </w:r>
    </w:p>
    <w:p w14:paraId="4EF7551C" w14:textId="77777777" w:rsidR="00635C7D" w:rsidRDefault="00635C7D" w:rsidP="00B77A45">
      <w:pPr>
        <w:rPr>
          <w:bCs/>
        </w:rPr>
      </w:pPr>
    </w:p>
    <w:p w14:paraId="76C81D5D" w14:textId="79B432BE" w:rsidR="00B77A45" w:rsidRPr="00B77A45" w:rsidRDefault="00B77A45" w:rsidP="001825AB">
      <w:pPr>
        <w:rPr>
          <w:rFonts w:cs="Arial"/>
          <w:bCs/>
          <w:szCs w:val="24"/>
        </w:rPr>
      </w:pPr>
      <w:r>
        <w:rPr>
          <w:bCs/>
        </w:rPr>
        <w:t>A DPR is given in accordance with the requirements of the existing DPR Framework.</w:t>
      </w:r>
      <w:r w:rsidRPr="00CD242C">
        <w:rPr>
          <w:bCs/>
        </w:rPr>
        <w:t xml:space="preserve"> </w:t>
      </w:r>
      <w:r w:rsidR="00635C7D">
        <w:rPr>
          <w:bCs/>
        </w:rPr>
        <w:t xml:space="preserve">The amendments </w:t>
      </w:r>
      <w:r w:rsidR="001264BC">
        <w:rPr>
          <w:bCs/>
        </w:rPr>
        <w:t xml:space="preserve">to the DPR Framework will further promote the effectiveness of DPR by ensuring part-participating institutions are subject to the requirements of the instrument, by including additional reporting requirements for participating institutions and by expanding the things an institution must consider when providing and preparing for DPR. </w:t>
      </w:r>
    </w:p>
    <w:p w14:paraId="70C74AFC" w14:textId="77777777" w:rsidR="00B77A45" w:rsidRDefault="00B77A45" w:rsidP="00B77A45"/>
    <w:p w14:paraId="07471D6D" w14:textId="77777777" w:rsidR="001264BC" w:rsidRPr="00C627CD" w:rsidRDefault="001264BC" w:rsidP="001264BC">
      <w:pPr>
        <w:spacing w:before="0" w:after="200" w:line="276" w:lineRule="auto"/>
        <w:rPr>
          <w:b/>
        </w:rPr>
      </w:pPr>
      <w:r w:rsidRPr="00C627CD">
        <w:rPr>
          <w:b/>
        </w:rPr>
        <w:t xml:space="preserve">The right to health </w:t>
      </w:r>
    </w:p>
    <w:p w14:paraId="326310EB" w14:textId="77777777" w:rsidR="001264BC" w:rsidRPr="00C627CD" w:rsidRDefault="001264BC" w:rsidP="001264BC">
      <w:pPr>
        <w:spacing w:before="0" w:after="200" w:line="276" w:lineRule="auto"/>
      </w:pPr>
      <w:r w:rsidRPr="00C627CD">
        <w:t xml:space="preserve">Article 12 of the ICESCR guarantees the right of everyone to the highest attainable standard of physical and mental health. </w:t>
      </w:r>
    </w:p>
    <w:p w14:paraId="124BF777" w14:textId="77777777" w:rsidR="001264BC" w:rsidRDefault="001264BC" w:rsidP="001264BC">
      <w:pPr>
        <w:spacing w:before="0" w:after="200" w:line="276" w:lineRule="auto"/>
      </w:pPr>
      <w:r w:rsidRPr="00C627CD">
        <w:t>The</w:t>
      </w:r>
      <w:r>
        <w:t xml:space="preserve"> DPR</w:t>
      </w:r>
      <w:r w:rsidRPr="00C627CD">
        <w:t xml:space="preserve"> Framework</w:t>
      </w:r>
      <w:r>
        <w:t xml:space="preserve"> currently</w:t>
      </w:r>
      <w:r w:rsidRPr="00C627CD">
        <w:t xml:space="preserve"> promotes this right through providing the detailed requirements necessary to support the implementation of the direct personal response element of the Scheme in a manner that promotes the health and wellbeing of the survivor. </w:t>
      </w:r>
    </w:p>
    <w:p w14:paraId="537384D6" w14:textId="5118E4BE" w:rsidR="001264BC" w:rsidRPr="00166000" w:rsidRDefault="001264BC" w:rsidP="001825AB">
      <w:pPr>
        <w:spacing w:before="0" w:after="200" w:line="276" w:lineRule="auto"/>
      </w:pPr>
      <w:r>
        <w:t xml:space="preserve">The amendments will further promote this right by requiring a responsible institution which is providing DPR to ensure the survivor is not further traumatised by prioritising and applying trauma informed principles of safety, trust, collaboration, choice and empowerment. </w:t>
      </w:r>
    </w:p>
    <w:p w14:paraId="760804D1" w14:textId="21BCCA4E" w:rsidR="00284AEA" w:rsidRDefault="00284AEA" w:rsidP="00BF4107">
      <w:pPr>
        <w:spacing w:before="0" w:after="200" w:line="276" w:lineRule="auto"/>
        <w:rPr>
          <w:rFonts w:cs="Arial"/>
        </w:rPr>
      </w:pPr>
      <w:r w:rsidRPr="00284AEA">
        <w:rPr>
          <w:rFonts w:cs="Arial"/>
        </w:rPr>
        <w:t>The amendments made by the instrument do not introduce any limitations on any human rights.</w:t>
      </w:r>
    </w:p>
    <w:p w14:paraId="4A858869" w14:textId="704D5E6F" w:rsidR="00BF4107" w:rsidRPr="000570A9" w:rsidRDefault="00123FE8" w:rsidP="00BF4107">
      <w:pPr>
        <w:spacing w:before="0" w:after="200" w:line="276" w:lineRule="auto"/>
        <w:rPr>
          <w:rFonts w:cs="Arial"/>
        </w:rPr>
      </w:pPr>
      <w:r>
        <w:rPr>
          <w:rFonts w:cs="Arial"/>
        </w:rPr>
        <w:t>The expansion of the application of the DPR Framework further promotes</w:t>
      </w:r>
      <w:r w:rsidR="00BF4107" w:rsidRPr="000570A9">
        <w:rPr>
          <w:rFonts w:cs="Arial"/>
        </w:rPr>
        <w:t xml:space="preserve"> the legislative purpose of the Scheme to deliver redress to persons who experienced child sexual abuse in institutional settings</w:t>
      </w:r>
      <w:r w:rsidR="00EB153A">
        <w:rPr>
          <w:rFonts w:cs="Arial"/>
        </w:rPr>
        <w:t xml:space="preserve"> and the right to state-sponsored recovery for child victims of abuse</w:t>
      </w:r>
      <w:r w:rsidR="00BF4107" w:rsidRPr="000570A9">
        <w:rPr>
          <w:rFonts w:cs="Arial"/>
        </w:rPr>
        <w:t>.</w:t>
      </w:r>
    </w:p>
    <w:p w14:paraId="458D6037" w14:textId="22298376" w:rsidR="00BF4107" w:rsidRPr="00962F4B" w:rsidRDefault="00BF4107" w:rsidP="00BF4107">
      <w:pPr>
        <w:spacing w:before="0" w:after="200" w:line="276" w:lineRule="auto"/>
        <w:rPr>
          <w:rFonts w:cs="Arial"/>
          <w:b/>
          <w:bCs/>
        </w:rPr>
      </w:pPr>
      <w:r w:rsidRPr="00962F4B">
        <w:rPr>
          <w:rFonts w:cs="Arial"/>
          <w:b/>
          <w:bCs/>
        </w:rPr>
        <w:t>Conclusion</w:t>
      </w:r>
    </w:p>
    <w:p w14:paraId="5BB0FA84" w14:textId="07EFAA3A" w:rsidR="00BF4107" w:rsidRPr="000570A9" w:rsidRDefault="00BF4107" w:rsidP="00BF4107">
      <w:pPr>
        <w:spacing w:before="0" w:after="200" w:line="276" w:lineRule="auto"/>
        <w:rPr>
          <w:rFonts w:cs="Arial"/>
        </w:rPr>
      </w:pPr>
      <w:r w:rsidRPr="000570A9">
        <w:rPr>
          <w:rFonts w:cs="Arial"/>
        </w:rPr>
        <w:t>This Instrument is compatible with human rights because it promotes the protection of human rights</w:t>
      </w:r>
      <w:r w:rsidR="00F36AF7">
        <w:rPr>
          <w:rFonts w:cs="Arial"/>
        </w:rPr>
        <w:t xml:space="preserve"> of people who have experienced child sexual abuse in Australia.</w:t>
      </w:r>
      <w:r w:rsidRPr="000570A9">
        <w:rPr>
          <w:rFonts w:cs="Arial"/>
        </w:rPr>
        <w:t xml:space="preserve"> </w:t>
      </w:r>
      <w:r w:rsidR="00F36AF7">
        <w:rPr>
          <w:rFonts w:cs="Arial"/>
        </w:rPr>
        <w:t>It</w:t>
      </w:r>
      <w:r w:rsidRPr="000570A9">
        <w:rPr>
          <w:rFonts w:cs="Arial"/>
        </w:rPr>
        <w:t xml:space="preserve"> does not introduce any limitations on human rights.</w:t>
      </w:r>
    </w:p>
    <w:p w14:paraId="2F87804E" w14:textId="77777777" w:rsidR="00BF4107" w:rsidRPr="000570A9" w:rsidRDefault="00BF4107" w:rsidP="00BF4107">
      <w:pPr>
        <w:spacing w:before="0" w:after="200" w:line="276" w:lineRule="auto"/>
        <w:rPr>
          <w:rFonts w:cs="Arial"/>
        </w:rPr>
      </w:pPr>
    </w:p>
    <w:p w14:paraId="7C520ED1" w14:textId="77777777" w:rsidR="00BF4107" w:rsidRPr="00EB153A" w:rsidRDefault="00BF4107" w:rsidP="000570A9">
      <w:pPr>
        <w:spacing w:before="0" w:after="200" w:line="276" w:lineRule="auto"/>
        <w:jc w:val="center"/>
        <w:rPr>
          <w:rFonts w:cs="Arial"/>
          <w:b/>
          <w:bCs/>
        </w:rPr>
      </w:pPr>
      <w:r w:rsidRPr="00EB153A">
        <w:rPr>
          <w:rFonts w:cs="Arial"/>
          <w:b/>
          <w:bCs/>
        </w:rPr>
        <w:t>The Hon Amanda Rishworth MP, Minister for Social Services</w:t>
      </w:r>
    </w:p>
    <w:p w14:paraId="26157F0F" w14:textId="77777777" w:rsidR="00950AAE" w:rsidRDefault="00950AAE" w:rsidP="00950AAE">
      <w:pPr>
        <w:spacing w:before="120" w:after="120"/>
        <w:jc w:val="both"/>
        <w:rPr>
          <w:rFonts w:cs="Arial"/>
          <w:szCs w:val="24"/>
          <w:lang w:eastAsia="en-AU"/>
        </w:rPr>
      </w:pPr>
    </w:p>
    <w:p w14:paraId="4F5691CD" w14:textId="2FD9B177" w:rsidR="00877A88" w:rsidRPr="00896FFA" w:rsidRDefault="00877A88" w:rsidP="002074A7">
      <w:pPr>
        <w:pStyle w:val="Default"/>
        <w:spacing w:after="240"/>
        <w:jc w:val="both"/>
      </w:pPr>
    </w:p>
    <w:sectPr w:rsidR="00877A88" w:rsidRPr="00896FFA" w:rsidSect="00056751">
      <w:footerReference w:type="default" r:id="rId11"/>
      <w:pgSz w:w="11906" w:h="16838"/>
      <w:pgMar w:top="1440" w:right="1440" w:bottom="1134"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5E5F" w14:textId="77777777" w:rsidR="00874D94" w:rsidRDefault="00874D94" w:rsidP="00B8316C">
      <w:pPr>
        <w:spacing w:before="0" w:after="0"/>
      </w:pPr>
      <w:r>
        <w:separator/>
      </w:r>
    </w:p>
  </w:endnote>
  <w:endnote w:type="continuationSeparator" w:id="0">
    <w:p w14:paraId="4E8B872B" w14:textId="77777777" w:rsidR="00874D94" w:rsidRDefault="00874D94" w:rsidP="00B83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ADBD" w14:textId="77777777" w:rsidR="0060369A" w:rsidRDefault="0060369A" w:rsidP="0060369A">
    <w:pPr>
      <w:pStyle w:val="Footer"/>
      <w:jc w:val="center"/>
      <w:rPr>
        <w:rFonts w:cs="Arial"/>
        <w:i/>
        <w:sz w:val="20"/>
      </w:rPr>
    </w:pPr>
  </w:p>
  <w:p w14:paraId="1B991F2C" w14:textId="749331C3" w:rsidR="0060369A" w:rsidRDefault="0060369A">
    <w:pPr>
      <w:pStyle w:val="Footer"/>
    </w:pPr>
  </w:p>
  <w:p w14:paraId="4DE907C4" w14:textId="77777777" w:rsidR="0060369A" w:rsidRDefault="0060369A">
    <w:pPr>
      <w:pStyle w:val="Footer"/>
    </w:pPr>
  </w:p>
  <w:p w14:paraId="5C4D8CCF" w14:textId="77777777" w:rsidR="0060369A" w:rsidRDefault="0060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FA8E" w14:textId="77777777" w:rsidR="00874D94" w:rsidRDefault="00874D94" w:rsidP="00B8316C">
      <w:pPr>
        <w:spacing w:before="0" w:after="0"/>
      </w:pPr>
      <w:r>
        <w:separator/>
      </w:r>
    </w:p>
  </w:footnote>
  <w:footnote w:type="continuationSeparator" w:id="0">
    <w:p w14:paraId="0FD70AE5" w14:textId="77777777" w:rsidR="00874D94" w:rsidRDefault="00874D94" w:rsidP="00B8316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C6C"/>
    <w:multiLevelType w:val="hybridMultilevel"/>
    <w:tmpl w:val="7FC29E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D1414E"/>
    <w:multiLevelType w:val="hybridMultilevel"/>
    <w:tmpl w:val="CDD61578"/>
    <w:lvl w:ilvl="0" w:tplc="9CACE5A4">
      <w:start w:val="1"/>
      <w:numFmt w:val="lowerRoman"/>
      <w:lvlText w:val="(%1)"/>
      <w:lvlJc w:val="left"/>
      <w:pPr>
        <w:ind w:left="2138" w:hanging="360"/>
      </w:pPr>
      <w:rPr>
        <w:rFonts w:hint="default"/>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 w15:restartNumberingAfterBreak="0">
    <w:nsid w:val="0B6D02D5"/>
    <w:multiLevelType w:val="hybridMultilevel"/>
    <w:tmpl w:val="454CC7F4"/>
    <w:lvl w:ilvl="0" w:tplc="323209B6">
      <w:start w:val="1"/>
      <w:numFmt w:val="decimal"/>
      <w:lvlText w:val="%1."/>
      <w:lvlJc w:val="left"/>
      <w:pPr>
        <w:ind w:left="1571" w:hanging="360"/>
      </w:pPr>
    </w:lvl>
    <w:lvl w:ilvl="1" w:tplc="069611CC">
      <w:start w:val="1"/>
      <w:numFmt w:val="lowerLetter"/>
      <w:lvlText w:val="%2."/>
      <w:lvlJc w:val="left"/>
      <w:pPr>
        <w:ind w:left="2291" w:hanging="360"/>
      </w:pPr>
    </w:lvl>
    <w:lvl w:ilvl="2" w:tplc="0FF45D42" w:tentative="1">
      <w:start w:val="1"/>
      <w:numFmt w:val="lowerRoman"/>
      <w:lvlText w:val="%3."/>
      <w:lvlJc w:val="right"/>
      <w:pPr>
        <w:ind w:left="3011" w:hanging="180"/>
      </w:pPr>
    </w:lvl>
    <w:lvl w:ilvl="3" w:tplc="0EF087BA" w:tentative="1">
      <w:start w:val="1"/>
      <w:numFmt w:val="decimal"/>
      <w:lvlText w:val="%4."/>
      <w:lvlJc w:val="left"/>
      <w:pPr>
        <w:ind w:left="3731" w:hanging="360"/>
      </w:pPr>
    </w:lvl>
    <w:lvl w:ilvl="4" w:tplc="4A00587A" w:tentative="1">
      <w:start w:val="1"/>
      <w:numFmt w:val="lowerLetter"/>
      <w:lvlText w:val="%5."/>
      <w:lvlJc w:val="left"/>
      <w:pPr>
        <w:ind w:left="4451" w:hanging="360"/>
      </w:pPr>
    </w:lvl>
    <w:lvl w:ilvl="5" w:tplc="A83ECEDE" w:tentative="1">
      <w:start w:val="1"/>
      <w:numFmt w:val="lowerRoman"/>
      <w:lvlText w:val="%6."/>
      <w:lvlJc w:val="right"/>
      <w:pPr>
        <w:ind w:left="5171" w:hanging="180"/>
      </w:pPr>
    </w:lvl>
    <w:lvl w:ilvl="6" w:tplc="A5F09CAE" w:tentative="1">
      <w:start w:val="1"/>
      <w:numFmt w:val="decimal"/>
      <w:lvlText w:val="%7."/>
      <w:lvlJc w:val="left"/>
      <w:pPr>
        <w:ind w:left="5891" w:hanging="360"/>
      </w:pPr>
    </w:lvl>
    <w:lvl w:ilvl="7" w:tplc="434E7D32" w:tentative="1">
      <w:start w:val="1"/>
      <w:numFmt w:val="lowerLetter"/>
      <w:lvlText w:val="%8."/>
      <w:lvlJc w:val="left"/>
      <w:pPr>
        <w:ind w:left="6611" w:hanging="360"/>
      </w:pPr>
    </w:lvl>
    <w:lvl w:ilvl="8" w:tplc="5BF680CC" w:tentative="1">
      <w:start w:val="1"/>
      <w:numFmt w:val="lowerRoman"/>
      <w:lvlText w:val="%9."/>
      <w:lvlJc w:val="right"/>
      <w:pPr>
        <w:ind w:left="7331" w:hanging="180"/>
      </w:pPr>
    </w:lvl>
  </w:abstractNum>
  <w:abstractNum w:abstractNumId="3" w15:restartNumberingAfterBreak="0">
    <w:nsid w:val="0F1B1F40"/>
    <w:multiLevelType w:val="hybridMultilevel"/>
    <w:tmpl w:val="1A6AA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F1359A"/>
    <w:multiLevelType w:val="hybridMultilevel"/>
    <w:tmpl w:val="0EBE0F1E"/>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080399"/>
    <w:multiLevelType w:val="hybridMultilevel"/>
    <w:tmpl w:val="44F00570"/>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3B14B1"/>
    <w:multiLevelType w:val="hybridMultilevel"/>
    <w:tmpl w:val="FEACAF44"/>
    <w:lvl w:ilvl="0" w:tplc="38A0D4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8C1838"/>
    <w:multiLevelType w:val="hybridMultilevel"/>
    <w:tmpl w:val="AF6A1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8F1348"/>
    <w:multiLevelType w:val="hybridMultilevel"/>
    <w:tmpl w:val="CBF88C9A"/>
    <w:lvl w:ilvl="0" w:tplc="8012A0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D542E5"/>
    <w:multiLevelType w:val="hybridMultilevel"/>
    <w:tmpl w:val="2CCE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968F5"/>
    <w:multiLevelType w:val="hybridMultilevel"/>
    <w:tmpl w:val="8384E2BE"/>
    <w:lvl w:ilvl="0" w:tplc="13D42600">
      <w:start w:val="1"/>
      <w:numFmt w:val="bullet"/>
      <w:lvlText w:val=""/>
      <w:lvlJc w:val="left"/>
      <w:pPr>
        <w:ind w:left="1020" w:hanging="360"/>
      </w:pPr>
      <w:rPr>
        <w:rFonts w:ascii="Symbol" w:hAnsi="Symbol"/>
      </w:rPr>
    </w:lvl>
    <w:lvl w:ilvl="1" w:tplc="5052C780">
      <w:start w:val="1"/>
      <w:numFmt w:val="bullet"/>
      <w:lvlText w:val=""/>
      <w:lvlJc w:val="left"/>
      <w:pPr>
        <w:ind w:left="1020" w:hanging="360"/>
      </w:pPr>
      <w:rPr>
        <w:rFonts w:ascii="Symbol" w:hAnsi="Symbol"/>
      </w:rPr>
    </w:lvl>
    <w:lvl w:ilvl="2" w:tplc="09DCA88C">
      <w:start w:val="1"/>
      <w:numFmt w:val="bullet"/>
      <w:lvlText w:val=""/>
      <w:lvlJc w:val="left"/>
      <w:pPr>
        <w:ind w:left="1020" w:hanging="360"/>
      </w:pPr>
      <w:rPr>
        <w:rFonts w:ascii="Symbol" w:hAnsi="Symbol"/>
      </w:rPr>
    </w:lvl>
    <w:lvl w:ilvl="3" w:tplc="A148C7D6">
      <w:start w:val="1"/>
      <w:numFmt w:val="bullet"/>
      <w:lvlText w:val=""/>
      <w:lvlJc w:val="left"/>
      <w:pPr>
        <w:ind w:left="1020" w:hanging="360"/>
      </w:pPr>
      <w:rPr>
        <w:rFonts w:ascii="Symbol" w:hAnsi="Symbol"/>
      </w:rPr>
    </w:lvl>
    <w:lvl w:ilvl="4" w:tplc="D3A4C186">
      <w:start w:val="1"/>
      <w:numFmt w:val="bullet"/>
      <w:lvlText w:val=""/>
      <w:lvlJc w:val="left"/>
      <w:pPr>
        <w:ind w:left="1020" w:hanging="360"/>
      </w:pPr>
      <w:rPr>
        <w:rFonts w:ascii="Symbol" w:hAnsi="Symbol"/>
      </w:rPr>
    </w:lvl>
    <w:lvl w:ilvl="5" w:tplc="C8C0E3AA">
      <w:start w:val="1"/>
      <w:numFmt w:val="bullet"/>
      <w:lvlText w:val=""/>
      <w:lvlJc w:val="left"/>
      <w:pPr>
        <w:ind w:left="1020" w:hanging="360"/>
      </w:pPr>
      <w:rPr>
        <w:rFonts w:ascii="Symbol" w:hAnsi="Symbol"/>
      </w:rPr>
    </w:lvl>
    <w:lvl w:ilvl="6" w:tplc="ACFCE242">
      <w:start w:val="1"/>
      <w:numFmt w:val="bullet"/>
      <w:lvlText w:val=""/>
      <w:lvlJc w:val="left"/>
      <w:pPr>
        <w:ind w:left="1020" w:hanging="360"/>
      </w:pPr>
      <w:rPr>
        <w:rFonts w:ascii="Symbol" w:hAnsi="Symbol"/>
      </w:rPr>
    </w:lvl>
    <w:lvl w:ilvl="7" w:tplc="B330DF0A">
      <w:start w:val="1"/>
      <w:numFmt w:val="bullet"/>
      <w:lvlText w:val=""/>
      <w:lvlJc w:val="left"/>
      <w:pPr>
        <w:ind w:left="1020" w:hanging="360"/>
      </w:pPr>
      <w:rPr>
        <w:rFonts w:ascii="Symbol" w:hAnsi="Symbol"/>
      </w:rPr>
    </w:lvl>
    <w:lvl w:ilvl="8" w:tplc="19B0FF5C">
      <w:start w:val="1"/>
      <w:numFmt w:val="bullet"/>
      <w:lvlText w:val=""/>
      <w:lvlJc w:val="left"/>
      <w:pPr>
        <w:ind w:left="1020" w:hanging="360"/>
      </w:pPr>
      <w:rPr>
        <w:rFonts w:ascii="Symbol" w:hAnsi="Symbol"/>
      </w:rPr>
    </w:lvl>
  </w:abstractNum>
  <w:abstractNum w:abstractNumId="11" w15:restartNumberingAfterBreak="0">
    <w:nsid w:val="2E442CE6"/>
    <w:multiLevelType w:val="hybridMultilevel"/>
    <w:tmpl w:val="59E28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1874DCC"/>
    <w:multiLevelType w:val="hybridMultilevel"/>
    <w:tmpl w:val="7E6EB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92359A"/>
    <w:multiLevelType w:val="hybridMultilevel"/>
    <w:tmpl w:val="0A78021A"/>
    <w:lvl w:ilvl="0" w:tplc="4608262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F84E40"/>
    <w:multiLevelType w:val="hybridMultilevel"/>
    <w:tmpl w:val="77C2E848"/>
    <w:lvl w:ilvl="0" w:tplc="A2CC1504">
      <w:start w:val="1"/>
      <w:numFmt w:val="bullet"/>
      <w:lvlText w:val=""/>
      <w:lvlJc w:val="left"/>
      <w:pPr>
        <w:ind w:left="720" w:hanging="360"/>
      </w:pPr>
      <w:rPr>
        <w:rFonts w:ascii="Symbol" w:hAnsi="Symbol"/>
      </w:rPr>
    </w:lvl>
    <w:lvl w:ilvl="1" w:tplc="77EC3DC2">
      <w:start w:val="1"/>
      <w:numFmt w:val="bullet"/>
      <w:lvlText w:val=""/>
      <w:lvlJc w:val="left"/>
      <w:pPr>
        <w:ind w:left="720" w:hanging="360"/>
      </w:pPr>
      <w:rPr>
        <w:rFonts w:ascii="Symbol" w:hAnsi="Symbol"/>
      </w:rPr>
    </w:lvl>
    <w:lvl w:ilvl="2" w:tplc="A1D4CC30">
      <w:start w:val="1"/>
      <w:numFmt w:val="bullet"/>
      <w:lvlText w:val=""/>
      <w:lvlJc w:val="left"/>
      <w:pPr>
        <w:ind w:left="720" w:hanging="360"/>
      </w:pPr>
      <w:rPr>
        <w:rFonts w:ascii="Symbol" w:hAnsi="Symbol"/>
      </w:rPr>
    </w:lvl>
    <w:lvl w:ilvl="3" w:tplc="C4B4E6C4">
      <w:start w:val="1"/>
      <w:numFmt w:val="bullet"/>
      <w:lvlText w:val=""/>
      <w:lvlJc w:val="left"/>
      <w:pPr>
        <w:ind w:left="720" w:hanging="360"/>
      </w:pPr>
      <w:rPr>
        <w:rFonts w:ascii="Symbol" w:hAnsi="Symbol"/>
      </w:rPr>
    </w:lvl>
    <w:lvl w:ilvl="4" w:tplc="AA26179E">
      <w:start w:val="1"/>
      <w:numFmt w:val="bullet"/>
      <w:lvlText w:val=""/>
      <w:lvlJc w:val="left"/>
      <w:pPr>
        <w:ind w:left="720" w:hanging="360"/>
      </w:pPr>
      <w:rPr>
        <w:rFonts w:ascii="Symbol" w:hAnsi="Symbol"/>
      </w:rPr>
    </w:lvl>
    <w:lvl w:ilvl="5" w:tplc="7EFE337C">
      <w:start w:val="1"/>
      <w:numFmt w:val="bullet"/>
      <w:lvlText w:val=""/>
      <w:lvlJc w:val="left"/>
      <w:pPr>
        <w:ind w:left="720" w:hanging="360"/>
      </w:pPr>
      <w:rPr>
        <w:rFonts w:ascii="Symbol" w:hAnsi="Symbol"/>
      </w:rPr>
    </w:lvl>
    <w:lvl w:ilvl="6" w:tplc="8CF64C14">
      <w:start w:val="1"/>
      <w:numFmt w:val="bullet"/>
      <w:lvlText w:val=""/>
      <w:lvlJc w:val="left"/>
      <w:pPr>
        <w:ind w:left="720" w:hanging="360"/>
      </w:pPr>
      <w:rPr>
        <w:rFonts w:ascii="Symbol" w:hAnsi="Symbol"/>
      </w:rPr>
    </w:lvl>
    <w:lvl w:ilvl="7" w:tplc="26A86A56">
      <w:start w:val="1"/>
      <w:numFmt w:val="bullet"/>
      <w:lvlText w:val=""/>
      <w:lvlJc w:val="left"/>
      <w:pPr>
        <w:ind w:left="720" w:hanging="360"/>
      </w:pPr>
      <w:rPr>
        <w:rFonts w:ascii="Symbol" w:hAnsi="Symbol"/>
      </w:rPr>
    </w:lvl>
    <w:lvl w:ilvl="8" w:tplc="FC027E1C">
      <w:start w:val="1"/>
      <w:numFmt w:val="bullet"/>
      <w:lvlText w:val=""/>
      <w:lvlJc w:val="left"/>
      <w:pPr>
        <w:ind w:left="720" w:hanging="360"/>
      </w:pPr>
      <w:rPr>
        <w:rFonts w:ascii="Symbol" w:hAnsi="Symbol"/>
      </w:rPr>
    </w:lvl>
  </w:abstractNum>
  <w:abstractNum w:abstractNumId="15" w15:restartNumberingAfterBreak="0">
    <w:nsid w:val="35F07533"/>
    <w:multiLevelType w:val="hybridMultilevel"/>
    <w:tmpl w:val="114A88BA"/>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6E0D25"/>
    <w:multiLevelType w:val="hybridMultilevel"/>
    <w:tmpl w:val="D1C280C2"/>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start w:val="1"/>
      <w:numFmt w:val="bullet"/>
      <w:lvlText w:val=""/>
      <w:lvlJc w:val="left"/>
      <w:pPr>
        <w:ind w:left="2223" w:hanging="360"/>
      </w:pPr>
      <w:rPr>
        <w:rFonts w:ascii="Wingdings" w:hAnsi="Wingdings" w:hint="default"/>
      </w:rPr>
    </w:lvl>
    <w:lvl w:ilvl="3" w:tplc="0C090001">
      <w:start w:val="1"/>
      <w:numFmt w:val="bullet"/>
      <w:lvlText w:val=""/>
      <w:lvlJc w:val="left"/>
      <w:pPr>
        <w:ind w:left="2943" w:hanging="360"/>
      </w:pPr>
      <w:rPr>
        <w:rFonts w:ascii="Symbol" w:hAnsi="Symbol" w:hint="default"/>
      </w:rPr>
    </w:lvl>
    <w:lvl w:ilvl="4" w:tplc="0C090003">
      <w:start w:val="1"/>
      <w:numFmt w:val="bullet"/>
      <w:lvlText w:val="o"/>
      <w:lvlJc w:val="left"/>
      <w:pPr>
        <w:ind w:left="3663" w:hanging="360"/>
      </w:pPr>
      <w:rPr>
        <w:rFonts w:ascii="Courier New" w:hAnsi="Courier New" w:cs="Courier New" w:hint="default"/>
      </w:rPr>
    </w:lvl>
    <w:lvl w:ilvl="5" w:tplc="0C090005">
      <w:start w:val="1"/>
      <w:numFmt w:val="bullet"/>
      <w:lvlText w:val=""/>
      <w:lvlJc w:val="left"/>
      <w:pPr>
        <w:ind w:left="4383" w:hanging="360"/>
      </w:pPr>
      <w:rPr>
        <w:rFonts w:ascii="Wingdings" w:hAnsi="Wingdings" w:hint="default"/>
      </w:rPr>
    </w:lvl>
    <w:lvl w:ilvl="6" w:tplc="0C090001">
      <w:start w:val="1"/>
      <w:numFmt w:val="bullet"/>
      <w:lvlText w:val=""/>
      <w:lvlJc w:val="left"/>
      <w:pPr>
        <w:ind w:left="5103" w:hanging="360"/>
      </w:pPr>
      <w:rPr>
        <w:rFonts w:ascii="Symbol" w:hAnsi="Symbol" w:hint="default"/>
      </w:rPr>
    </w:lvl>
    <w:lvl w:ilvl="7" w:tplc="0C090003">
      <w:start w:val="1"/>
      <w:numFmt w:val="bullet"/>
      <w:lvlText w:val="o"/>
      <w:lvlJc w:val="left"/>
      <w:pPr>
        <w:ind w:left="5823" w:hanging="360"/>
      </w:pPr>
      <w:rPr>
        <w:rFonts w:ascii="Courier New" w:hAnsi="Courier New" w:cs="Courier New" w:hint="default"/>
      </w:rPr>
    </w:lvl>
    <w:lvl w:ilvl="8" w:tplc="0C090005">
      <w:start w:val="1"/>
      <w:numFmt w:val="bullet"/>
      <w:lvlText w:val=""/>
      <w:lvlJc w:val="left"/>
      <w:pPr>
        <w:ind w:left="6543" w:hanging="360"/>
      </w:pPr>
      <w:rPr>
        <w:rFonts w:ascii="Wingdings" w:hAnsi="Wingdings" w:hint="default"/>
      </w:rPr>
    </w:lvl>
  </w:abstractNum>
  <w:abstractNum w:abstractNumId="17" w15:restartNumberingAfterBreak="0">
    <w:nsid w:val="4BD4481B"/>
    <w:multiLevelType w:val="hybridMultilevel"/>
    <w:tmpl w:val="E71CA24A"/>
    <w:lvl w:ilvl="0" w:tplc="460826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2848AE"/>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D0227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9ED7CE1"/>
    <w:multiLevelType w:val="hybridMultilevel"/>
    <w:tmpl w:val="CFC65612"/>
    <w:lvl w:ilvl="0" w:tplc="EF204F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E23EB4"/>
    <w:multiLevelType w:val="hybridMultilevel"/>
    <w:tmpl w:val="45787A36"/>
    <w:lvl w:ilvl="0" w:tplc="46082624">
      <w:numFmt w:val="bullet"/>
      <w:lvlText w:val="-"/>
      <w:lvlJc w:val="left"/>
      <w:pPr>
        <w:ind w:left="1440" w:hanging="360"/>
      </w:pPr>
      <w:rPr>
        <w:rFonts w:ascii="Arial" w:eastAsia="Times New Roman" w:hAnsi="Arial" w:cs="Arial" w:hint="default"/>
      </w:rPr>
    </w:lvl>
    <w:lvl w:ilvl="1" w:tplc="46082624">
      <w:numFmt w:val="bullet"/>
      <w:lvlText w:val="-"/>
      <w:lvlJc w:val="left"/>
      <w:pPr>
        <w:ind w:left="2520" w:hanging="72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9404EE5"/>
    <w:multiLevelType w:val="hybridMultilevel"/>
    <w:tmpl w:val="D228C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6436808">
    <w:abstractNumId w:val="21"/>
  </w:num>
  <w:num w:numId="2" w16cid:durableId="20404378">
    <w:abstractNumId w:val="22"/>
  </w:num>
  <w:num w:numId="3" w16cid:durableId="2053918282">
    <w:abstractNumId w:val="2"/>
  </w:num>
  <w:num w:numId="4" w16cid:durableId="310790187">
    <w:abstractNumId w:val="17"/>
  </w:num>
  <w:num w:numId="5" w16cid:durableId="7756757">
    <w:abstractNumId w:val="5"/>
  </w:num>
  <w:num w:numId="6" w16cid:durableId="55707063">
    <w:abstractNumId w:val="15"/>
  </w:num>
  <w:num w:numId="7" w16cid:durableId="1051198976">
    <w:abstractNumId w:val="13"/>
  </w:num>
  <w:num w:numId="8" w16cid:durableId="1629042159">
    <w:abstractNumId w:val="8"/>
  </w:num>
  <w:num w:numId="9" w16cid:durableId="688487239">
    <w:abstractNumId w:val="4"/>
  </w:num>
  <w:num w:numId="10" w16cid:durableId="1040202683">
    <w:abstractNumId w:val="6"/>
  </w:num>
  <w:num w:numId="11" w16cid:durableId="1803183859">
    <w:abstractNumId w:val="20"/>
  </w:num>
  <w:num w:numId="12" w16cid:durableId="75592735">
    <w:abstractNumId w:val="11"/>
  </w:num>
  <w:num w:numId="13" w16cid:durableId="927690133">
    <w:abstractNumId w:val="7"/>
  </w:num>
  <w:num w:numId="14" w16cid:durableId="340812455">
    <w:abstractNumId w:val="1"/>
  </w:num>
  <w:num w:numId="15" w16cid:durableId="335422290">
    <w:abstractNumId w:val="10"/>
  </w:num>
  <w:num w:numId="16" w16cid:durableId="867255593">
    <w:abstractNumId w:val="14"/>
  </w:num>
  <w:num w:numId="17" w16cid:durableId="938148452">
    <w:abstractNumId w:val="16"/>
  </w:num>
  <w:num w:numId="18" w16cid:durableId="293214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663372">
    <w:abstractNumId w:val="9"/>
  </w:num>
  <w:num w:numId="20" w16cid:durableId="786002451">
    <w:abstractNumId w:val="0"/>
  </w:num>
  <w:num w:numId="21" w16cid:durableId="1773895492">
    <w:abstractNumId w:val="12"/>
  </w:num>
  <w:num w:numId="22" w16cid:durableId="349458273">
    <w:abstractNumId w:val="3"/>
  </w:num>
  <w:num w:numId="23" w16cid:durableId="19899420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88"/>
    <w:rsid w:val="00002973"/>
    <w:rsid w:val="000047C0"/>
    <w:rsid w:val="00017391"/>
    <w:rsid w:val="00023FD9"/>
    <w:rsid w:val="00030172"/>
    <w:rsid w:val="000308B0"/>
    <w:rsid w:val="000317A9"/>
    <w:rsid w:val="000323AA"/>
    <w:rsid w:val="000431A0"/>
    <w:rsid w:val="00056751"/>
    <w:rsid w:val="000570A9"/>
    <w:rsid w:val="0007215B"/>
    <w:rsid w:val="00072F8A"/>
    <w:rsid w:val="00074A1D"/>
    <w:rsid w:val="00074AC9"/>
    <w:rsid w:val="000758A2"/>
    <w:rsid w:val="00080BDE"/>
    <w:rsid w:val="00080C9B"/>
    <w:rsid w:val="000856D0"/>
    <w:rsid w:val="00087352"/>
    <w:rsid w:val="00092E29"/>
    <w:rsid w:val="0009572F"/>
    <w:rsid w:val="00097944"/>
    <w:rsid w:val="00097CC7"/>
    <w:rsid w:val="000A3754"/>
    <w:rsid w:val="000A40E4"/>
    <w:rsid w:val="000B277E"/>
    <w:rsid w:val="000B2AA4"/>
    <w:rsid w:val="000B65CA"/>
    <w:rsid w:val="000B7D6A"/>
    <w:rsid w:val="000C104E"/>
    <w:rsid w:val="000C3757"/>
    <w:rsid w:val="000C4BEF"/>
    <w:rsid w:val="000D646F"/>
    <w:rsid w:val="000D651C"/>
    <w:rsid w:val="000D703E"/>
    <w:rsid w:val="000E2585"/>
    <w:rsid w:val="000E3A3B"/>
    <w:rsid w:val="000F61C7"/>
    <w:rsid w:val="00111664"/>
    <w:rsid w:val="00121E05"/>
    <w:rsid w:val="001237CE"/>
    <w:rsid w:val="00123FE8"/>
    <w:rsid w:val="001264BC"/>
    <w:rsid w:val="00131759"/>
    <w:rsid w:val="001374E2"/>
    <w:rsid w:val="001406B2"/>
    <w:rsid w:val="001412C3"/>
    <w:rsid w:val="00141E8B"/>
    <w:rsid w:val="00142FA9"/>
    <w:rsid w:val="00151515"/>
    <w:rsid w:val="001521EB"/>
    <w:rsid w:val="00153E20"/>
    <w:rsid w:val="0016278A"/>
    <w:rsid w:val="0017183B"/>
    <w:rsid w:val="00172A75"/>
    <w:rsid w:val="00174D86"/>
    <w:rsid w:val="00180A62"/>
    <w:rsid w:val="001825AB"/>
    <w:rsid w:val="00182B36"/>
    <w:rsid w:val="00192087"/>
    <w:rsid w:val="001936F2"/>
    <w:rsid w:val="00193C24"/>
    <w:rsid w:val="001A37D7"/>
    <w:rsid w:val="001A40B3"/>
    <w:rsid w:val="001A4399"/>
    <w:rsid w:val="001A5A35"/>
    <w:rsid w:val="001B114A"/>
    <w:rsid w:val="001B3C17"/>
    <w:rsid w:val="001B741A"/>
    <w:rsid w:val="001B7EF2"/>
    <w:rsid w:val="001C4C74"/>
    <w:rsid w:val="001C512F"/>
    <w:rsid w:val="001C7A81"/>
    <w:rsid w:val="001D2C24"/>
    <w:rsid w:val="001D443E"/>
    <w:rsid w:val="001D5362"/>
    <w:rsid w:val="001E1052"/>
    <w:rsid w:val="001E16FC"/>
    <w:rsid w:val="001E4161"/>
    <w:rsid w:val="001E4A3A"/>
    <w:rsid w:val="001E5748"/>
    <w:rsid w:val="001E68BB"/>
    <w:rsid w:val="001F3481"/>
    <w:rsid w:val="001F3A0B"/>
    <w:rsid w:val="001F4476"/>
    <w:rsid w:val="001F76B9"/>
    <w:rsid w:val="00203178"/>
    <w:rsid w:val="002074A7"/>
    <w:rsid w:val="00210ADB"/>
    <w:rsid w:val="00214F2E"/>
    <w:rsid w:val="00233578"/>
    <w:rsid w:val="002345D4"/>
    <w:rsid w:val="00234D88"/>
    <w:rsid w:val="0024085B"/>
    <w:rsid w:val="0025079A"/>
    <w:rsid w:val="0025600A"/>
    <w:rsid w:val="002573AA"/>
    <w:rsid w:val="00260ECD"/>
    <w:rsid w:val="002630A2"/>
    <w:rsid w:val="00263CA5"/>
    <w:rsid w:val="002734C9"/>
    <w:rsid w:val="0027352B"/>
    <w:rsid w:val="00274EB9"/>
    <w:rsid w:val="002774E7"/>
    <w:rsid w:val="002803F0"/>
    <w:rsid w:val="00281A13"/>
    <w:rsid w:val="00284AEA"/>
    <w:rsid w:val="00284FE2"/>
    <w:rsid w:val="002856DF"/>
    <w:rsid w:val="002A298C"/>
    <w:rsid w:val="002A4EF5"/>
    <w:rsid w:val="002A63FB"/>
    <w:rsid w:val="002C233E"/>
    <w:rsid w:val="002E35FC"/>
    <w:rsid w:val="002E71A6"/>
    <w:rsid w:val="002F1F25"/>
    <w:rsid w:val="002F3209"/>
    <w:rsid w:val="002F51DE"/>
    <w:rsid w:val="0030312B"/>
    <w:rsid w:val="003074E9"/>
    <w:rsid w:val="00307DBC"/>
    <w:rsid w:val="00316060"/>
    <w:rsid w:val="00323CD0"/>
    <w:rsid w:val="00324FBC"/>
    <w:rsid w:val="00331AF3"/>
    <w:rsid w:val="00332F22"/>
    <w:rsid w:val="003375F1"/>
    <w:rsid w:val="00341A2E"/>
    <w:rsid w:val="00345251"/>
    <w:rsid w:val="0034575E"/>
    <w:rsid w:val="00346441"/>
    <w:rsid w:val="00346BB9"/>
    <w:rsid w:val="00365DF8"/>
    <w:rsid w:val="0037082F"/>
    <w:rsid w:val="00371060"/>
    <w:rsid w:val="003755D0"/>
    <w:rsid w:val="003769DA"/>
    <w:rsid w:val="00383F94"/>
    <w:rsid w:val="0038465E"/>
    <w:rsid w:val="00385CE1"/>
    <w:rsid w:val="003904BB"/>
    <w:rsid w:val="00394DB8"/>
    <w:rsid w:val="00396B76"/>
    <w:rsid w:val="003A7925"/>
    <w:rsid w:val="003B4A9C"/>
    <w:rsid w:val="003C0A7F"/>
    <w:rsid w:val="003C5756"/>
    <w:rsid w:val="003C6041"/>
    <w:rsid w:val="003D43F0"/>
    <w:rsid w:val="003D5267"/>
    <w:rsid w:val="003D67E1"/>
    <w:rsid w:val="003E07DA"/>
    <w:rsid w:val="003F015A"/>
    <w:rsid w:val="003F44CF"/>
    <w:rsid w:val="003F4A3E"/>
    <w:rsid w:val="00402146"/>
    <w:rsid w:val="00402FA9"/>
    <w:rsid w:val="00404DD8"/>
    <w:rsid w:val="0041300A"/>
    <w:rsid w:val="004172C9"/>
    <w:rsid w:val="004227DC"/>
    <w:rsid w:val="004237FB"/>
    <w:rsid w:val="004276B3"/>
    <w:rsid w:val="00427C12"/>
    <w:rsid w:val="0043279D"/>
    <w:rsid w:val="00432E95"/>
    <w:rsid w:val="00432EEE"/>
    <w:rsid w:val="004413B4"/>
    <w:rsid w:val="00442181"/>
    <w:rsid w:val="00444B6D"/>
    <w:rsid w:val="00444C51"/>
    <w:rsid w:val="0045348A"/>
    <w:rsid w:val="004545A5"/>
    <w:rsid w:val="00454B2C"/>
    <w:rsid w:val="004552EB"/>
    <w:rsid w:val="004620D0"/>
    <w:rsid w:val="0046399F"/>
    <w:rsid w:val="00466161"/>
    <w:rsid w:val="0047321D"/>
    <w:rsid w:val="00477C9F"/>
    <w:rsid w:val="00482D4F"/>
    <w:rsid w:val="00490CF2"/>
    <w:rsid w:val="00496C1F"/>
    <w:rsid w:val="004A04D5"/>
    <w:rsid w:val="004B32B0"/>
    <w:rsid w:val="004B3449"/>
    <w:rsid w:val="004B5BB9"/>
    <w:rsid w:val="004B6C9A"/>
    <w:rsid w:val="004C160F"/>
    <w:rsid w:val="004C708E"/>
    <w:rsid w:val="004D09F8"/>
    <w:rsid w:val="004D2246"/>
    <w:rsid w:val="004D23B8"/>
    <w:rsid w:val="004D3DB4"/>
    <w:rsid w:val="004D4A56"/>
    <w:rsid w:val="004E0A66"/>
    <w:rsid w:val="004E1995"/>
    <w:rsid w:val="004E3BA2"/>
    <w:rsid w:val="004E40FA"/>
    <w:rsid w:val="004E4A87"/>
    <w:rsid w:val="004F2874"/>
    <w:rsid w:val="004F43E1"/>
    <w:rsid w:val="004F7BDA"/>
    <w:rsid w:val="00502486"/>
    <w:rsid w:val="005070A0"/>
    <w:rsid w:val="00512C4D"/>
    <w:rsid w:val="00517B2E"/>
    <w:rsid w:val="005203B6"/>
    <w:rsid w:val="00522D67"/>
    <w:rsid w:val="00523FF5"/>
    <w:rsid w:val="00527240"/>
    <w:rsid w:val="00531052"/>
    <w:rsid w:val="0054395A"/>
    <w:rsid w:val="00551C09"/>
    <w:rsid w:val="0055518D"/>
    <w:rsid w:val="00555676"/>
    <w:rsid w:val="00555E5A"/>
    <w:rsid w:val="00556155"/>
    <w:rsid w:val="00557764"/>
    <w:rsid w:val="00567F96"/>
    <w:rsid w:val="00570685"/>
    <w:rsid w:val="00571670"/>
    <w:rsid w:val="00581DCE"/>
    <w:rsid w:val="00584FCC"/>
    <w:rsid w:val="0058785D"/>
    <w:rsid w:val="00594847"/>
    <w:rsid w:val="005A001F"/>
    <w:rsid w:val="005A18F2"/>
    <w:rsid w:val="005A42E8"/>
    <w:rsid w:val="005B18A0"/>
    <w:rsid w:val="005B4E8B"/>
    <w:rsid w:val="005B4FB7"/>
    <w:rsid w:val="005B543D"/>
    <w:rsid w:val="005C02E7"/>
    <w:rsid w:val="005C3012"/>
    <w:rsid w:val="005C4778"/>
    <w:rsid w:val="005C742C"/>
    <w:rsid w:val="005D05CF"/>
    <w:rsid w:val="005E0392"/>
    <w:rsid w:val="005E19F3"/>
    <w:rsid w:val="005E7AD1"/>
    <w:rsid w:val="005F0318"/>
    <w:rsid w:val="005F6B31"/>
    <w:rsid w:val="00601F5F"/>
    <w:rsid w:val="006020A4"/>
    <w:rsid w:val="0060369A"/>
    <w:rsid w:val="00606909"/>
    <w:rsid w:val="006139A8"/>
    <w:rsid w:val="00613D69"/>
    <w:rsid w:val="00616070"/>
    <w:rsid w:val="006308F8"/>
    <w:rsid w:val="0063172B"/>
    <w:rsid w:val="00631B54"/>
    <w:rsid w:val="00631D96"/>
    <w:rsid w:val="00635C7D"/>
    <w:rsid w:val="0064059F"/>
    <w:rsid w:val="00643CC2"/>
    <w:rsid w:val="006446BA"/>
    <w:rsid w:val="006450AB"/>
    <w:rsid w:val="00651396"/>
    <w:rsid w:val="00653D3A"/>
    <w:rsid w:val="00660A46"/>
    <w:rsid w:val="00660B79"/>
    <w:rsid w:val="0066542F"/>
    <w:rsid w:val="0067134B"/>
    <w:rsid w:val="0068625D"/>
    <w:rsid w:val="00687517"/>
    <w:rsid w:val="0068764F"/>
    <w:rsid w:val="0069179B"/>
    <w:rsid w:val="00695BE8"/>
    <w:rsid w:val="006965D9"/>
    <w:rsid w:val="006B06DC"/>
    <w:rsid w:val="006B07D6"/>
    <w:rsid w:val="006B3B83"/>
    <w:rsid w:val="006B775A"/>
    <w:rsid w:val="006C11D1"/>
    <w:rsid w:val="006C1597"/>
    <w:rsid w:val="006C28BE"/>
    <w:rsid w:val="006C4A54"/>
    <w:rsid w:val="006C62E1"/>
    <w:rsid w:val="006D417A"/>
    <w:rsid w:val="006D7069"/>
    <w:rsid w:val="006E00E5"/>
    <w:rsid w:val="006E1525"/>
    <w:rsid w:val="006E6E0C"/>
    <w:rsid w:val="006E6F8C"/>
    <w:rsid w:val="006E7DA7"/>
    <w:rsid w:val="006F5332"/>
    <w:rsid w:val="006F63F5"/>
    <w:rsid w:val="0070134A"/>
    <w:rsid w:val="007035A4"/>
    <w:rsid w:val="00715BF2"/>
    <w:rsid w:val="00717675"/>
    <w:rsid w:val="007212BE"/>
    <w:rsid w:val="007233F3"/>
    <w:rsid w:val="00723D17"/>
    <w:rsid w:val="00724820"/>
    <w:rsid w:val="007304D5"/>
    <w:rsid w:val="007309E8"/>
    <w:rsid w:val="007312CA"/>
    <w:rsid w:val="00731E1A"/>
    <w:rsid w:val="007340D0"/>
    <w:rsid w:val="00735AEB"/>
    <w:rsid w:val="00736E97"/>
    <w:rsid w:val="00741B28"/>
    <w:rsid w:val="007448B5"/>
    <w:rsid w:val="00747F87"/>
    <w:rsid w:val="007500D5"/>
    <w:rsid w:val="0075183C"/>
    <w:rsid w:val="007521FD"/>
    <w:rsid w:val="00752AAA"/>
    <w:rsid w:val="00754B2F"/>
    <w:rsid w:val="0075685B"/>
    <w:rsid w:val="007634B0"/>
    <w:rsid w:val="00763EEF"/>
    <w:rsid w:val="007642CE"/>
    <w:rsid w:val="00766BE3"/>
    <w:rsid w:val="00767109"/>
    <w:rsid w:val="00775D0A"/>
    <w:rsid w:val="007772EA"/>
    <w:rsid w:val="00780065"/>
    <w:rsid w:val="00782A99"/>
    <w:rsid w:val="00783009"/>
    <w:rsid w:val="00783258"/>
    <w:rsid w:val="007851D3"/>
    <w:rsid w:val="00785844"/>
    <w:rsid w:val="007866F5"/>
    <w:rsid w:val="007A0901"/>
    <w:rsid w:val="007A0B26"/>
    <w:rsid w:val="007A727B"/>
    <w:rsid w:val="007A7353"/>
    <w:rsid w:val="007B2967"/>
    <w:rsid w:val="007B65E5"/>
    <w:rsid w:val="007C202F"/>
    <w:rsid w:val="007C25EB"/>
    <w:rsid w:val="007C7256"/>
    <w:rsid w:val="007D6C51"/>
    <w:rsid w:val="007D7692"/>
    <w:rsid w:val="007F2650"/>
    <w:rsid w:val="007F61F4"/>
    <w:rsid w:val="008005ED"/>
    <w:rsid w:val="00801C0C"/>
    <w:rsid w:val="008045BA"/>
    <w:rsid w:val="0081439C"/>
    <w:rsid w:val="00816498"/>
    <w:rsid w:val="00820AFC"/>
    <w:rsid w:val="00825E96"/>
    <w:rsid w:val="008312BC"/>
    <w:rsid w:val="00832577"/>
    <w:rsid w:val="00832817"/>
    <w:rsid w:val="0084655D"/>
    <w:rsid w:val="00846D04"/>
    <w:rsid w:val="00852E7A"/>
    <w:rsid w:val="008535D3"/>
    <w:rsid w:val="008625FA"/>
    <w:rsid w:val="00866753"/>
    <w:rsid w:val="00874D94"/>
    <w:rsid w:val="0087700B"/>
    <w:rsid w:val="00877A88"/>
    <w:rsid w:val="008817AB"/>
    <w:rsid w:val="00881847"/>
    <w:rsid w:val="00885586"/>
    <w:rsid w:val="00890AC5"/>
    <w:rsid w:val="00893AA1"/>
    <w:rsid w:val="00895991"/>
    <w:rsid w:val="00896FFA"/>
    <w:rsid w:val="008A3DC5"/>
    <w:rsid w:val="008A57E6"/>
    <w:rsid w:val="008B18D6"/>
    <w:rsid w:val="008B282A"/>
    <w:rsid w:val="008C037A"/>
    <w:rsid w:val="008C4F6F"/>
    <w:rsid w:val="008D345D"/>
    <w:rsid w:val="008D558C"/>
    <w:rsid w:val="008D6401"/>
    <w:rsid w:val="008E6506"/>
    <w:rsid w:val="008E6EC9"/>
    <w:rsid w:val="008F3613"/>
    <w:rsid w:val="008F754D"/>
    <w:rsid w:val="009040C8"/>
    <w:rsid w:val="009045DE"/>
    <w:rsid w:val="00920A91"/>
    <w:rsid w:val="009243B5"/>
    <w:rsid w:val="009251C2"/>
    <w:rsid w:val="00933F6D"/>
    <w:rsid w:val="009340D7"/>
    <w:rsid w:val="00936032"/>
    <w:rsid w:val="00936F97"/>
    <w:rsid w:val="00940C20"/>
    <w:rsid w:val="009427A2"/>
    <w:rsid w:val="009443D0"/>
    <w:rsid w:val="00945389"/>
    <w:rsid w:val="00946319"/>
    <w:rsid w:val="00950AAE"/>
    <w:rsid w:val="009522BB"/>
    <w:rsid w:val="009570AF"/>
    <w:rsid w:val="009610D4"/>
    <w:rsid w:val="00962F4B"/>
    <w:rsid w:val="009653E2"/>
    <w:rsid w:val="00965FD6"/>
    <w:rsid w:val="009675D9"/>
    <w:rsid w:val="009709DE"/>
    <w:rsid w:val="00976FE1"/>
    <w:rsid w:val="00983FF2"/>
    <w:rsid w:val="009A689D"/>
    <w:rsid w:val="009B24D0"/>
    <w:rsid w:val="009B34E2"/>
    <w:rsid w:val="009B5073"/>
    <w:rsid w:val="009C0962"/>
    <w:rsid w:val="009C6423"/>
    <w:rsid w:val="009C7455"/>
    <w:rsid w:val="009C786B"/>
    <w:rsid w:val="009D0858"/>
    <w:rsid w:val="009D1829"/>
    <w:rsid w:val="009D2381"/>
    <w:rsid w:val="009D7126"/>
    <w:rsid w:val="009D78F6"/>
    <w:rsid w:val="009F13A5"/>
    <w:rsid w:val="009F42F9"/>
    <w:rsid w:val="009F49CC"/>
    <w:rsid w:val="00A064C0"/>
    <w:rsid w:val="00A07342"/>
    <w:rsid w:val="00A116C9"/>
    <w:rsid w:val="00A14DBA"/>
    <w:rsid w:val="00A179F1"/>
    <w:rsid w:val="00A22314"/>
    <w:rsid w:val="00A47A69"/>
    <w:rsid w:val="00A5239C"/>
    <w:rsid w:val="00A54C5E"/>
    <w:rsid w:val="00A61A75"/>
    <w:rsid w:val="00A61C16"/>
    <w:rsid w:val="00A74AE7"/>
    <w:rsid w:val="00A8463F"/>
    <w:rsid w:val="00A8547B"/>
    <w:rsid w:val="00AA1169"/>
    <w:rsid w:val="00AA41D6"/>
    <w:rsid w:val="00AA6D1B"/>
    <w:rsid w:val="00AA74D0"/>
    <w:rsid w:val="00AB393B"/>
    <w:rsid w:val="00AC2C3C"/>
    <w:rsid w:val="00AC6FF9"/>
    <w:rsid w:val="00AC7540"/>
    <w:rsid w:val="00AD71D6"/>
    <w:rsid w:val="00AE1EB2"/>
    <w:rsid w:val="00AE4893"/>
    <w:rsid w:val="00AF1D99"/>
    <w:rsid w:val="00AF5163"/>
    <w:rsid w:val="00AF69AA"/>
    <w:rsid w:val="00AF7FCF"/>
    <w:rsid w:val="00B01058"/>
    <w:rsid w:val="00B10269"/>
    <w:rsid w:val="00B1101F"/>
    <w:rsid w:val="00B13D14"/>
    <w:rsid w:val="00B13F43"/>
    <w:rsid w:val="00B15E7F"/>
    <w:rsid w:val="00B25968"/>
    <w:rsid w:val="00B279F2"/>
    <w:rsid w:val="00B31938"/>
    <w:rsid w:val="00B31B66"/>
    <w:rsid w:val="00B35D67"/>
    <w:rsid w:val="00B40425"/>
    <w:rsid w:val="00B40B5F"/>
    <w:rsid w:val="00B4207D"/>
    <w:rsid w:val="00B5274C"/>
    <w:rsid w:val="00B5333F"/>
    <w:rsid w:val="00B534C7"/>
    <w:rsid w:val="00B53F42"/>
    <w:rsid w:val="00B57F58"/>
    <w:rsid w:val="00B60A95"/>
    <w:rsid w:val="00B7230D"/>
    <w:rsid w:val="00B77A45"/>
    <w:rsid w:val="00B8316C"/>
    <w:rsid w:val="00B859F3"/>
    <w:rsid w:val="00B91590"/>
    <w:rsid w:val="00B94367"/>
    <w:rsid w:val="00BA2449"/>
    <w:rsid w:val="00BA6359"/>
    <w:rsid w:val="00BA76E7"/>
    <w:rsid w:val="00BB0EF4"/>
    <w:rsid w:val="00BB2D04"/>
    <w:rsid w:val="00BB3675"/>
    <w:rsid w:val="00BB3804"/>
    <w:rsid w:val="00BB6A74"/>
    <w:rsid w:val="00BC253E"/>
    <w:rsid w:val="00BC27C2"/>
    <w:rsid w:val="00BD1439"/>
    <w:rsid w:val="00BD3D6F"/>
    <w:rsid w:val="00BD3F8C"/>
    <w:rsid w:val="00BD44D9"/>
    <w:rsid w:val="00BF2D0E"/>
    <w:rsid w:val="00BF3425"/>
    <w:rsid w:val="00BF4107"/>
    <w:rsid w:val="00BF6A19"/>
    <w:rsid w:val="00BF7D5B"/>
    <w:rsid w:val="00C02DBC"/>
    <w:rsid w:val="00C0318C"/>
    <w:rsid w:val="00C0397D"/>
    <w:rsid w:val="00C05AEB"/>
    <w:rsid w:val="00C13068"/>
    <w:rsid w:val="00C15087"/>
    <w:rsid w:val="00C16E20"/>
    <w:rsid w:val="00C17819"/>
    <w:rsid w:val="00C2365F"/>
    <w:rsid w:val="00C244F9"/>
    <w:rsid w:val="00C319F3"/>
    <w:rsid w:val="00C36F6E"/>
    <w:rsid w:val="00C44E96"/>
    <w:rsid w:val="00C50130"/>
    <w:rsid w:val="00C506DB"/>
    <w:rsid w:val="00C51A78"/>
    <w:rsid w:val="00C53082"/>
    <w:rsid w:val="00C62149"/>
    <w:rsid w:val="00C64E2E"/>
    <w:rsid w:val="00C81318"/>
    <w:rsid w:val="00C870C1"/>
    <w:rsid w:val="00C87F8A"/>
    <w:rsid w:val="00C922F6"/>
    <w:rsid w:val="00C9363A"/>
    <w:rsid w:val="00C942F1"/>
    <w:rsid w:val="00C94362"/>
    <w:rsid w:val="00C94386"/>
    <w:rsid w:val="00CA0136"/>
    <w:rsid w:val="00CA0AAC"/>
    <w:rsid w:val="00CA0B4E"/>
    <w:rsid w:val="00CA18D6"/>
    <w:rsid w:val="00CA2738"/>
    <w:rsid w:val="00CA5B91"/>
    <w:rsid w:val="00CC5CF6"/>
    <w:rsid w:val="00CC639D"/>
    <w:rsid w:val="00CE4267"/>
    <w:rsid w:val="00CE4276"/>
    <w:rsid w:val="00CE4D43"/>
    <w:rsid w:val="00CF5686"/>
    <w:rsid w:val="00CF711B"/>
    <w:rsid w:val="00D02B6C"/>
    <w:rsid w:val="00D06C19"/>
    <w:rsid w:val="00D071D9"/>
    <w:rsid w:val="00D077F2"/>
    <w:rsid w:val="00D14058"/>
    <w:rsid w:val="00D17C5B"/>
    <w:rsid w:val="00D2006F"/>
    <w:rsid w:val="00D26651"/>
    <w:rsid w:val="00D36C87"/>
    <w:rsid w:val="00D41400"/>
    <w:rsid w:val="00D42364"/>
    <w:rsid w:val="00D44FBB"/>
    <w:rsid w:val="00D45F2A"/>
    <w:rsid w:val="00D46B50"/>
    <w:rsid w:val="00D50B04"/>
    <w:rsid w:val="00D50DCC"/>
    <w:rsid w:val="00D57E73"/>
    <w:rsid w:val="00D741A0"/>
    <w:rsid w:val="00D750C8"/>
    <w:rsid w:val="00D750FB"/>
    <w:rsid w:val="00D75A35"/>
    <w:rsid w:val="00D8153F"/>
    <w:rsid w:val="00D90CF3"/>
    <w:rsid w:val="00D92751"/>
    <w:rsid w:val="00D9417E"/>
    <w:rsid w:val="00D95AFE"/>
    <w:rsid w:val="00DA1FB9"/>
    <w:rsid w:val="00DA454E"/>
    <w:rsid w:val="00DA5EF5"/>
    <w:rsid w:val="00DB1380"/>
    <w:rsid w:val="00DB1F64"/>
    <w:rsid w:val="00DB22B0"/>
    <w:rsid w:val="00DB77C0"/>
    <w:rsid w:val="00DC0031"/>
    <w:rsid w:val="00DC1CC3"/>
    <w:rsid w:val="00DC1D1A"/>
    <w:rsid w:val="00DC4070"/>
    <w:rsid w:val="00DC468D"/>
    <w:rsid w:val="00DE5A32"/>
    <w:rsid w:val="00DE5EB9"/>
    <w:rsid w:val="00DE71AB"/>
    <w:rsid w:val="00DF0F4B"/>
    <w:rsid w:val="00DF2D5B"/>
    <w:rsid w:val="00DF2DE1"/>
    <w:rsid w:val="00DF2F2D"/>
    <w:rsid w:val="00DF32F3"/>
    <w:rsid w:val="00DF458E"/>
    <w:rsid w:val="00DF759D"/>
    <w:rsid w:val="00E022AA"/>
    <w:rsid w:val="00E05089"/>
    <w:rsid w:val="00E15519"/>
    <w:rsid w:val="00E17283"/>
    <w:rsid w:val="00E17CA4"/>
    <w:rsid w:val="00E221FC"/>
    <w:rsid w:val="00E23C4B"/>
    <w:rsid w:val="00E259EB"/>
    <w:rsid w:val="00E353AF"/>
    <w:rsid w:val="00E36963"/>
    <w:rsid w:val="00E41322"/>
    <w:rsid w:val="00E41500"/>
    <w:rsid w:val="00E42827"/>
    <w:rsid w:val="00E47103"/>
    <w:rsid w:val="00E66750"/>
    <w:rsid w:val="00E74D0A"/>
    <w:rsid w:val="00E7625D"/>
    <w:rsid w:val="00E81390"/>
    <w:rsid w:val="00E87902"/>
    <w:rsid w:val="00E91487"/>
    <w:rsid w:val="00E91CC8"/>
    <w:rsid w:val="00E9370B"/>
    <w:rsid w:val="00EA557B"/>
    <w:rsid w:val="00EA55EB"/>
    <w:rsid w:val="00EB0176"/>
    <w:rsid w:val="00EB153A"/>
    <w:rsid w:val="00EB2812"/>
    <w:rsid w:val="00EB3598"/>
    <w:rsid w:val="00EC6DF5"/>
    <w:rsid w:val="00ED015F"/>
    <w:rsid w:val="00ED01BD"/>
    <w:rsid w:val="00ED2552"/>
    <w:rsid w:val="00ED3698"/>
    <w:rsid w:val="00ED44A3"/>
    <w:rsid w:val="00EE1B27"/>
    <w:rsid w:val="00EE44E4"/>
    <w:rsid w:val="00EE67F7"/>
    <w:rsid w:val="00EE7144"/>
    <w:rsid w:val="00EF3345"/>
    <w:rsid w:val="00EF4BAD"/>
    <w:rsid w:val="00EF5EBC"/>
    <w:rsid w:val="00EF734D"/>
    <w:rsid w:val="00F00FEB"/>
    <w:rsid w:val="00F0184E"/>
    <w:rsid w:val="00F05DEC"/>
    <w:rsid w:val="00F20E03"/>
    <w:rsid w:val="00F32A9B"/>
    <w:rsid w:val="00F35C8E"/>
    <w:rsid w:val="00F36AF7"/>
    <w:rsid w:val="00F43290"/>
    <w:rsid w:val="00F50455"/>
    <w:rsid w:val="00F50CC6"/>
    <w:rsid w:val="00F606BD"/>
    <w:rsid w:val="00F66E2E"/>
    <w:rsid w:val="00F75EA9"/>
    <w:rsid w:val="00F8156F"/>
    <w:rsid w:val="00F81CD6"/>
    <w:rsid w:val="00F8231B"/>
    <w:rsid w:val="00F82E2D"/>
    <w:rsid w:val="00F8312F"/>
    <w:rsid w:val="00F92C9F"/>
    <w:rsid w:val="00F9354A"/>
    <w:rsid w:val="00F94A7C"/>
    <w:rsid w:val="00F967C4"/>
    <w:rsid w:val="00F97750"/>
    <w:rsid w:val="00FA00A4"/>
    <w:rsid w:val="00FA17FC"/>
    <w:rsid w:val="00FA537F"/>
    <w:rsid w:val="00FA57AD"/>
    <w:rsid w:val="00FB58EA"/>
    <w:rsid w:val="00FB61F6"/>
    <w:rsid w:val="00FC03EC"/>
    <w:rsid w:val="00FC1F12"/>
    <w:rsid w:val="00FC3A78"/>
    <w:rsid w:val="00FC46CA"/>
    <w:rsid w:val="00FC689C"/>
    <w:rsid w:val="00FD1470"/>
    <w:rsid w:val="00FD1CD6"/>
    <w:rsid w:val="00FD1DD1"/>
    <w:rsid w:val="00FD4140"/>
    <w:rsid w:val="00FD6358"/>
    <w:rsid w:val="00FD6881"/>
    <w:rsid w:val="00FE0E10"/>
    <w:rsid w:val="00FE4436"/>
    <w:rsid w:val="00FE4C92"/>
    <w:rsid w:val="00FE7A3B"/>
    <w:rsid w:val="00FF15B1"/>
    <w:rsid w:val="00FF1D89"/>
    <w:rsid w:val="00FF210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C70D"/>
  <w15:chartTrackingRefBased/>
  <w15:docId w15:val="{1CF02A22-3E81-432B-AC4C-BAC696B1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88"/>
    <w:pPr>
      <w:spacing w:before="60" w:after="6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_list"/>
    <w:basedOn w:val="Normal"/>
    <w:uiPriority w:val="99"/>
    <w:rsid w:val="00877A88"/>
    <w:pPr>
      <w:spacing w:before="0" w:after="120"/>
    </w:pPr>
  </w:style>
  <w:style w:type="paragraph" w:styleId="Title">
    <w:name w:val="Title"/>
    <w:basedOn w:val="Normal"/>
    <w:link w:val="TitleChar"/>
    <w:qFormat/>
    <w:rsid w:val="00877A88"/>
    <w:pPr>
      <w:keepNext/>
    </w:pPr>
    <w:rPr>
      <w:rFonts w:cs="Arial"/>
      <w:b/>
      <w:bCs/>
      <w:sz w:val="28"/>
      <w:szCs w:val="32"/>
    </w:rPr>
  </w:style>
  <w:style w:type="character" w:customStyle="1" w:styleId="TitleChar">
    <w:name w:val="Title Char"/>
    <w:basedOn w:val="DefaultParagraphFont"/>
    <w:link w:val="Title"/>
    <w:rsid w:val="00877A88"/>
    <w:rPr>
      <w:rFonts w:ascii="Arial" w:eastAsia="Times New Roman" w:hAnsi="Arial" w:cs="Arial"/>
      <w:b/>
      <w:bCs/>
      <w:sz w:val="28"/>
      <w:szCs w:val="32"/>
    </w:rPr>
  </w:style>
  <w:style w:type="paragraph" w:styleId="BodyText">
    <w:name w:val="Body Text"/>
    <w:basedOn w:val="Normal"/>
    <w:link w:val="BodyTextChar"/>
    <w:rsid w:val="00877A88"/>
    <w:pPr>
      <w:jc w:val="center"/>
    </w:pPr>
    <w:rPr>
      <w:b/>
    </w:rPr>
  </w:style>
  <w:style w:type="character" w:customStyle="1" w:styleId="BodyTextChar">
    <w:name w:val="Body Text Char"/>
    <w:basedOn w:val="DefaultParagraphFont"/>
    <w:link w:val="BodyText"/>
    <w:rsid w:val="00877A88"/>
    <w:rPr>
      <w:rFonts w:ascii="Arial" w:eastAsia="Times New Roman" w:hAnsi="Arial" w:cs="Times New Roman"/>
      <w:b/>
      <w:sz w:val="24"/>
      <w:szCs w:val="20"/>
    </w:rPr>
  </w:style>
  <w:style w:type="paragraph" w:customStyle="1" w:styleId="Letter2Text">
    <w:name w:val="Letter 2 Text"/>
    <w:basedOn w:val="Normal"/>
    <w:rsid w:val="00877A88"/>
    <w:pPr>
      <w:spacing w:before="0" w:after="0"/>
    </w:pPr>
  </w:style>
  <w:style w:type="paragraph" w:styleId="ListParagraph">
    <w:name w:val="List Paragraph"/>
    <w:aliases w:val="Bullet Point,Bullet point,Bullet points,Bulleted Para,Content descriptions,Dot Point Lvl 1,L,List Bullet Cab,List Paragraph Number,List Paragraph1,List Paragraph11,List Paragraph111,NFP GP Bulleted List,Recommendation,bullet point list,列"/>
    <w:basedOn w:val="Normal"/>
    <w:link w:val="ListParagraphChar"/>
    <w:uiPriority w:val="34"/>
    <w:qFormat/>
    <w:rsid w:val="00877A88"/>
    <w:pPr>
      <w:ind w:left="720"/>
      <w:contextualSpacing/>
    </w:pPr>
    <w:rPr>
      <w:rFonts w:ascii="Times New Roman" w:hAnsi="Times New Roman"/>
    </w:rPr>
  </w:style>
  <w:style w:type="character" w:styleId="CommentReference">
    <w:name w:val="annotation reference"/>
    <w:basedOn w:val="DefaultParagraphFont"/>
    <w:uiPriority w:val="99"/>
    <w:semiHidden/>
    <w:unhideWhenUsed/>
    <w:rsid w:val="00523FF5"/>
    <w:rPr>
      <w:sz w:val="16"/>
      <w:szCs w:val="16"/>
    </w:rPr>
  </w:style>
  <w:style w:type="paragraph" w:styleId="CommentText">
    <w:name w:val="annotation text"/>
    <w:basedOn w:val="Normal"/>
    <w:link w:val="CommentTextChar"/>
    <w:uiPriority w:val="99"/>
    <w:unhideWhenUsed/>
    <w:rsid w:val="00523FF5"/>
    <w:rPr>
      <w:sz w:val="20"/>
    </w:rPr>
  </w:style>
  <w:style w:type="character" w:customStyle="1" w:styleId="CommentTextChar">
    <w:name w:val="Comment Text Char"/>
    <w:basedOn w:val="DefaultParagraphFont"/>
    <w:link w:val="CommentText"/>
    <w:uiPriority w:val="99"/>
    <w:rsid w:val="00523F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3FF5"/>
    <w:rPr>
      <w:b/>
      <w:bCs/>
    </w:rPr>
  </w:style>
  <w:style w:type="character" w:customStyle="1" w:styleId="CommentSubjectChar">
    <w:name w:val="Comment Subject Char"/>
    <w:basedOn w:val="CommentTextChar"/>
    <w:link w:val="CommentSubject"/>
    <w:uiPriority w:val="99"/>
    <w:semiHidden/>
    <w:rsid w:val="00523FF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23F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FF5"/>
    <w:rPr>
      <w:rFonts w:ascii="Segoe UI" w:eastAsia="Times New Roman" w:hAnsi="Segoe UI" w:cs="Segoe UI"/>
      <w:sz w:val="18"/>
      <w:szCs w:val="18"/>
    </w:rPr>
  </w:style>
  <w:style w:type="paragraph" w:customStyle="1" w:styleId="Default">
    <w:name w:val="Default"/>
    <w:rsid w:val="00523FF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B3804"/>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B8316C"/>
    <w:pPr>
      <w:tabs>
        <w:tab w:val="center" w:pos="4513"/>
        <w:tab w:val="right" w:pos="9026"/>
      </w:tabs>
      <w:spacing w:before="0" w:after="0"/>
    </w:pPr>
  </w:style>
  <w:style w:type="character" w:customStyle="1" w:styleId="HeaderChar">
    <w:name w:val="Header Char"/>
    <w:basedOn w:val="DefaultParagraphFont"/>
    <w:link w:val="Header"/>
    <w:uiPriority w:val="99"/>
    <w:rsid w:val="00B8316C"/>
    <w:rPr>
      <w:rFonts w:ascii="Arial" w:eastAsia="Times New Roman" w:hAnsi="Arial" w:cs="Times New Roman"/>
      <w:sz w:val="24"/>
      <w:szCs w:val="20"/>
    </w:rPr>
  </w:style>
  <w:style w:type="paragraph" w:styleId="Footer">
    <w:name w:val="footer"/>
    <w:basedOn w:val="Normal"/>
    <w:link w:val="FooterChar"/>
    <w:uiPriority w:val="99"/>
    <w:unhideWhenUsed/>
    <w:rsid w:val="00B8316C"/>
    <w:pPr>
      <w:tabs>
        <w:tab w:val="center" w:pos="4513"/>
        <w:tab w:val="right" w:pos="9026"/>
      </w:tabs>
      <w:spacing w:before="0" w:after="0"/>
    </w:pPr>
  </w:style>
  <w:style w:type="character" w:customStyle="1" w:styleId="FooterChar">
    <w:name w:val="Footer Char"/>
    <w:basedOn w:val="DefaultParagraphFont"/>
    <w:link w:val="Footer"/>
    <w:uiPriority w:val="99"/>
    <w:rsid w:val="00B8316C"/>
    <w:rPr>
      <w:rFonts w:ascii="Arial" w:eastAsia="Times New Roman" w:hAnsi="Arial" w:cs="Times New Roman"/>
      <w:sz w:val="24"/>
      <w:szCs w:val="20"/>
    </w:rPr>
  </w:style>
  <w:style w:type="paragraph" w:customStyle="1" w:styleId="Item">
    <w:name w:val="Item"/>
    <w:aliases w:val="i"/>
    <w:basedOn w:val="Normal"/>
    <w:next w:val="Normal"/>
    <w:rsid w:val="00983FF2"/>
    <w:pPr>
      <w:keepLines/>
      <w:spacing w:before="80" w:after="0"/>
      <w:ind w:left="709"/>
    </w:pPr>
    <w:rPr>
      <w:rFonts w:ascii="Times New Roman" w:hAnsi="Times New Roman"/>
      <w:sz w:val="22"/>
      <w:lang w:eastAsia="en-AU"/>
    </w:rPr>
  </w:style>
  <w:style w:type="character" w:styleId="Hyperlink">
    <w:name w:val="Hyperlink"/>
    <w:basedOn w:val="DefaultParagraphFont"/>
    <w:uiPriority w:val="99"/>
    <w:unhideWhenUsed/>
    <w:rsid w:val="005C3012"/>
    <w:rPr>
      <w:color w:val="0000FF" w:themeColor="hyperlink"/>
      <w:u w:val="single"/>
    </w:rPr>
  </w:style>
  <w:style w:type="character" w:styleId="UnresolvedMention">
    <w:name w:val="Unresolved Mention"/>
    <w:basedOn w:val="DefaultParagraphFont"/>
    <w:uiPriority w:val="99"/>
    <w:semiHidden/>
    <w:unhideWhenUsed/>
    <w:rsid w:val="005C3012"/>
    <w:rPr>
      <w:color w:val="605E5C"/>
      <w:shd w:val="clear" w:color="auto" w:fill="E1DFDD"/>
    </w:rPr>
  </w:style>
  <w:style w:type="character" w:customStyle="1" w:styleId="ListParagraphChar">
    <w:name w:val="List Paragraph Char"/>
    <w:aliases w:val="Bullet Point Char,Bullet point Char,Bullet points Char,Bulleted Para Char,Content descriptions Char,Dot Point Lvl 1 Char,L Char,List Bullet Cab Char,List Paragraph Number Char,List Paragraph1 Char,List Paragraph11 Char,列 Char"/>
    <w:basedOn w:val="DefaultParagraphFont"/>
    <w:link w:val="ListParagraph"/>
    <w:uiPriority w:val="34"/>
    <w:qFormat/>
    <w:locked/>
    <w:rsid w:val="00723D1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7853">
      <w:bodyDiv w:val="1"/>
      <w:marLeft w:val="0"/>
      <w:marRight w:val="0"/>
      <w:marTop w:val="0"/>
      <w:marBottom w:val="0"/>
      <w:divBdr>
        <w:top w:val="none" w:sz="0" w:space="0" w:color="auto"/>
        <w:left w:val="none" w:sz="0" w:space="0" w:color="auto"/>
        <w:bottom w:val="none" w:sz="0" w:space="0" w:color="auto"/>
        <w:right w:val="none" w:sz="0" w:space="0" w:color="auto"/>
      </w:divBdr>
    </w:div>
    <w:div w:id="121652932">
      <w:bodyDiv w:val="1"/>
      <w:marLeft w:val="0"/>
      <w:marRight w:val="0"/>
      <w:marTop w:val="0"/>
      <w:marBottom w:val="0"/>
      <w:divBdr>
        <w:top w:val="none" w:sz="0" w:space="0" w:color="auto"/>
        <w:left w:val="none" w:sz="0" w:space="0" w:color="auto"/>
        <w:bottom w:val="none" w:sz="0" w:space="0" w:color="auto"/>
        <w:right w:val="none" w:sz="0" w:space="0" w:color="auto"/>
      </w:divBdr>
    </w:div>
    <w:div w:id="316150761">
      <w:bodyDiv w:val="1"/>
      <w:marLeft w:val="0"/>
      <w:marRight w:val="0"/>
      <w:marTop w:val="0"/>
      <w:marBottom w:val="0"/>
      <w:divBdr>
        <w:top w:val="none" w:sz="0" w:space="0" w:color="auto"/>
        <w:left w:val="none" w:sz="0" w:space="0" w:color="auto"/>
        <w:bottom w:val="none" w:sz="0" w:space="0" w:color="auto"/>
        <w:right w:val="none" w:sz="0" w:space="0" w:color="auto"/>
      </w:divBdr>
    </w:div>
    <w:div w:id="377046163">
      <w:bodyDiv w:val="1"/>
      <w:marLeft w:val="0"/>
      <w:marRight w:val="0"/>
      <w:marTop w:val="0"/>
      <w:marBottom w:val="0"/>
      <w:divBdr>
        <w:top w:val="none" w:sz="0" w:space="0" w:color="auto"/>
        <w:left w:val="none" w:sz="0" w:space="0" w:color="auto"/>
        <w:bottom w:val="none" w:sz="0" w:space="0" w:color="auto"/>
        <w:right w:val="none" w:sz="0" w:space="0" w:color="auto"/>
      </w:divBdr>
    </w:div>
    <w:div w:id="991714280">
      <w:bodyDiv w:val="1"/>
      <w:marLeft w:val="0"/>
      <w:marRight w:val="0"/>
      <w:marTop w:val="0"/>
      <w:marBottom w:val="0"/>
      <w:divBdr>
        <w:top w:val="none" w:sz="0" w:space="0" w:color="auto"/>
        <w:left w:val="none" w:sz="0" w:space="0" w:color="auto"/>
        <w:bottom w:val="none" w:sz="0" w:space="0" w:color="auto"/>
        <w:right w:val="none" w:sz="0" w:space="0" w:color="auto"/>
      </w:divBdr>
    </w:div>
    <w:div w:id="1209609902">
      <w:bodyDiv w:val="1"/>
      <w:marLeft w:val="0"/>
      <w:marRight w:val="0"/>
      <w:marTop w:val="0"/>
      <w:marBottom w:val="0"/>
      <w:divBdr>
        <w:top w:val="none" w:sz="0" w:space="0" w:color="auto"/>
        <w:left w:val="none" w:sz="0" w:space="0" w:color="auto"/>
        <w:bottom w:val="none" w:sz="0" w:space="0" w:color="auto"/>
        <w:right w:val="none" w:sz="0" w:space="0" w:color="auto"/>
      </w:divBdr>
    </w:div>
    <w:div w:id="1350715968">
      <w:bodyDiv w:val="1"/>
      <w:marLeft w:val="0"/>
      <w:marRight w:val="0"/>
      <w:marTop w:val="0"/>
      <w:marBottom w:val="0"/>
      <w:divBdr>
        <w:top w:val="none" w:sz="0" w:space="0" w:color="auto"/>
        <w:left w:val="none" w:sz="0" w:space="0" w:color="auto"/>
        <w:bottom w:val="none" w:sz="0" w:space="0" w:color="auto"/>
        <w:right w:val="none" w:sz="0" w:space="0" w:color="auto"/>
      </w:divBdr>
    </w:div>
    <w:div w:id="1475753433">
      <w:bodyDiv w:val="1"/>
      <w:marLeft w:val="0"/>
      <w:marRight w:val="0"/>
      <w:marTop w:val="0"/>
      <w:marBottom w:val="0"/>
      <w:divBdr>
        <w:top w:val="none" w:sz="0" w:space="0" w:color="auto"/>
        <w:left w:val="none" w:sz="0" w:space="0" w:color="auto"/>
        <w:bottom w:val="none" w:sz="0" w:space="0" w:color="auto"/>
        <w:right w:val="none" w:sz="0" w:space="0" w:color="auto"/>
      </w:divBdr>
    </w:div>
    <w:div w:id="1565067416">
      <w:bodyDiv w:val="1"/>
      <w:marLeft w:val="0"/>
      <w:marRight w:val="0"/>
      <w:marTop w:val="0"/>
      <w:marBottom w:val="0"/>
      <w:divBdr>
        <w:top w:val="none" w:sz="0" w:space="0" w:color="auto"/>
        <w:left w:val="none" w:sz="0" w:space="0" w:color="auto"/>
        <w:bottom w:val="none" w:sz="0" w:space="0" w:color="auto"/>
        <w:right w:val="none" w:sz="0" w:space="0" w:color="auto"/>
      </w:divBdr>
    </w:div>
    <w:div w:id="1767270311">
      <w:bodyDiv w:val="1"/>
      <w:marLeft w:val="0"/>
      <w:marRight w:val="0"/>
      <w:marTop w:val="0"/>
      <w:marBottom w:val="0"/>
      <w:divBdr>
        <w:top w:val="none" w:sz="0" w:space="0" w:color="auto"/>
        <w:left w:val="none" w:sz="0" w:space="0" w:color="auto"/>
        <w:bottom w:val="none" w:sz="0" w:space="0" w:color="auto"/>
        <w:right w:val="none" w:sz="0" w:space="0" w:color="auto"/>
      </w:divBdr>
    </w:div>
    <w:div w:id="18351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DD36B2926859445A7ECB5D2E67CA672" ma:contentTypeVersion="" ma:contentTypeDescription="PDMS Document Site Content Type" ma:contentTypeScope="" ma:versionID="2974bab0dd0e9cbb7b9d48b7a9d9a591">
  <xsd:schema xmlns:xsd="http://www.w3.org/2001/XMLSchema" xmlns:xs="http://www.w3.org/2001/XMLSchema" xmlns:p="http://schemas.microsoft.com/office/2006/metadata/properties" xmlns:ns2="D9B8DC4D-FEE9-400A-A6BD-5DBAE9F050CA" targetNamespace="http://schemas.microsoft.com/office/2006/metadata/properties" ma:root="true" ma:fieldsID="bb28cf1eaa814d5baab5a6bcaa0bf6c8" ns2:_="">
    <xsd:import namespace="D9B8DC4D-FEE9-400A-A6BD-5DBAE9F050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DC4D-FEE9-400A-A6BD-5DBAE9F050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9B8DC4D-FEE9-400A-A6BD-5DBAE9F050CA" xsi:nil="true"/>
  </documentManagement>
</p:properties>
</file>

<file path=customXml/itemProps1.xml><?xml version="1.0" encoding="utf-8"?>
<ds:datastoreItem xmlns:ds="http://schemas.openxmlformats.org/officeDocument/2006/customXml" ds:itemID="{6A8BD115-32AB-410D-9313-FF030B05A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8DC4D-FEE9-400A-A6BD-5DBAE9F0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CEA0-5A91-454F-8669-5BB9AAB1B056}">
  <ds:schemaRefs>
    <ds:schemaRef ds:uri="http://schemas.microsoft.com/sharepoint/v3/contenttype/forms"/>
  </ds:schemaRefs>
</ds:datastoreItem>
</file>

<file path=customXml/itemProps3.xml><?xml version="1.0" encoding="utf-8"?>
<ds:datastoreItem xmlns:ds="http://schemas.openxmlformats.org/officeDocument/2006/customXml" ds:itemID="{B9BD8354-702C-479E-B4C1-B2885C30DEDB}">
  <ds:schemaRefs>
    <ds:schemaRef ds:uri="http://schemas.openxmlformats.org/officeDocument/2006/bibliography"/>
  </ds:schemaRefs>
</ds:datastoreItem>
</file>

<file path=customXml/itemProps4.xml><?xml version="1.0" encoding="utf-8"?>
<ds:datastoreItem xmlns:ds="http://schemas.openxmlformats.org/officeDocument/2006/customXml" ds:itemID="{03979E7F-14A1-41A0-A461-220C023C32FE}">
  <ds:schemaRefs>
    <ds:schemaRef ds:uri="D9B8DC4D-FEE9-400A-A6BD-5DBAE9F050C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3822</Words>
  <Characters>21398</Characters>
  <Application>Microsoft Office Word</Application>
  <DocSecurity>4</DocSecurity>
  <Lines>408</Lines>
  <Paragraphs>159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MCEWIN,Natalia</dc:creator>
  <cp:keywords>[SEC=OFFICIAL:Sensitive]</cp:keywords>
  <dc:description/>
  <cp:lastModifiedBy>MARTIN, Grace</cp:lastModifiedBy>
  <cp:revision>2</cp:revision>
  <cp:lastPrinted>2018-06-28T04:06:00Z</cp:lastPrinted>
  <dcterms:created xsi:type="dcterms:W3CDTF">2025-03-11T05:04:00Z</dcterms:created>
  <dcterms:modified xsi:type="dcterms:W3CDTF">2025-03-11T05:04:00Z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0x010100266966F133664895A6EE3632470D45F5001DD36B2926859445A7ECB5D2E67CA672</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v=2022.1;a=SHA256;h=01794FB4338410C1F8819B3583CD1D042E027DA0865FB85003DB18BDF5678AF2</vt:lpwstr>
  </property>
  <property fmtid="{D5CDD505-2E9C-101B-9397-08002B2CF9AE}" pid="8" name="PM_Qualifier">
    <vt:lpwstr/>
  </property>
  <property fmtid="{D5CDD505-2E9C-101B-9397-08002B2CF9AE}" pid="9" name="PM_SecurityClassification">
    <vt:lpwstr>OFFICIAL:Sensitive</vt:lpwstr>
  </property>
  <property fmtid="{D5CDD505-2E9C-101B-9397-08002B2CF9AE}" pid="10" name="PM_ProtectiveMarkingValue_Header">
    <vt:lpwstr>OFFICIAL: Sensitive</vt:lpwstr>
  </property>
  <property fmtid="{D5CDD505-2E9C-101B-9397-08002B2CF9AE}" pid="11" name="PM_OriginationTimeStamp">
    <vt:lpwstr>2024-08-29T03:48:34Z</vt:lpwstr>
  </property>
  <property fmtid="{D5CDD505-2E9C-101B-9397-08002B2CF9AE}" pid="12" name="MSIP_Label_d7a0bb3f-afec-4815-b70d-2a788d74835f_Name">
    <vt:lpwstr>OFFICIAL:Sensitive</vt:lpwstr>
  </property>
  <property fmtid="{D5CDD505-2E9C-101B-9397-08002B2CF9AE}" pid="13" name="PM_Markers">
    <vt:lpwstr/>
  </property>
  <property fmtid="{D5CDD505-2E9C-101B-9397-08002B2CF9AE}" pid="14" name="MSIP_Label_d7a0bb3f-afec-4815-b70d-2a788d74835f_SiteId">
    <vt:lpwstr>61e36dd1-ca6e-4d61-aa0a-2b4eb88317a3</vt:lpwstr>
  </property>
  <property fmtid="{D5CDD505-2E9C-101B-9397-08002B2CF9AE}" pid="15" name="PM_Originating_FileId">
    <vt:lpwstr>6193628FDF124D6AAAA0EB87E341B16E</vt:lpwstr>
  </property>
  <property fmtid="{D5CDD505-2E9C-101B-9397-08002B2CF9AE}" pid="16" name="PM_ProtectiveMarkingValue_Footer">
    <vt:lpwstr>OFFICIAL: Sensitive</vt:lpwstr>
  </property>
  <property fmtid="{D5CDD505-2E9C-101B-9397-08002B2CF9AE}" pid="17" name="MSIP_Label_d7a0bb3f-afec-4815-b70d-2a788d74835f_Enabled">
    <vt:lpwstr>true</vt:lpwstr>
  </property>
  <property fmtid="{D5CDD505-2E9C-101B-9397-08002B2CF9AE}" pid="18" name="MSIP_Label_d7a0bb3f-afec-4815-b70d-2a788d74835f_SetDate">
    <vt:lpwstr>2024-08-29T03:48:34Z</vt:lpwstr>
  </property>
  <property fmtid="{D5CDD505-2E9C-101B-9397-08002B2CF9AE}" pid="19" name="PM_OriginatorUserAccountName_SHA256">
    <vt:lpwstr>16F3C359B604D740CF1599E6486A970CEC9E3D95C163131557DCEEA41E3DF4BD</vt:lpwstr>
  </property>
  <property fmtid="{D5CDD505-2E9C-101B-9397-08002B2CF9AE}" pid="20" name="MSIP_Label_d7a0bb3f-afec-4815-b70d-2a788d74835f_Method">
    <vt:lpwstr>Privileged</vt:lpwstr>
  </property>
  <property fmtid="{D5CDD505-2E9C-101B-9397-08002B2CF9AE}" pid="21" name="MSIP_Label_d7a0bb3f-afec-4815-b70d-2a788d74835f_ContentBits">
    <vt:lpwstr>0</vt:lpwstr>
  </property>
  <property fmtid="{D5CDD505-2E9C-101B-9397-08002B2CF9AE}" pid="22" name="MSIP_Label_d7a0bb3f-afec-4815-b70d-2a788d74835f_ActionId">
    <vt:lpwstr>083e2ea3b7814f4fafbf79dec5ade00d</vt:lpwstr>
  </property>
  <property fmtid="{D5CDD505-2E9C-101B-9397-08002B2CF9AE}" pid="23" name="PM_InsertionValue">
    <vt:lpwstr>OFFICIAL: Sensitive</vt:lpwstr>
  </property>
  <property fmtid="{D5CDD505-2E9C-101B-9397-08002B2CF9AE}" pid="24" name="PM_Originator_Hash_SHA1">
    <vt:lpwstr>3F657069075C61DD59D67AE005C6C4E2E9E025E3</vt:lpwstr>
  </property>
  <property fmtid="{D5CDD505-2E9C-101B-9397-08002B2CF9AE}" pid="25" name="PM_DisplayValueSecClassificationWithQualifier">
    <vt:lpwstr>OFFICIAL: Sensitive</vt:lpwstr>
  </property>
  <property fmtid="{D5CDD505-2E9C-101B-9397-08002B2CF9AE}" pid="26" name="PM_ProtectiveMarkingImage_Header">
    <vt:lpwstr>C:\Program Files (x86)\Common Files\janusNET Shared\janusSEAL\Images\DocumentSlashBlue.png</vt:lpwstr>
  </property>
  <property fmtid="{D5CDD505-2E9C-101B-9397-08002B2CF9AE}" pid="27" name="PM_ProtectiveMarkingImage_Footer">
    <vt:lpwstr>C:\Program Files (x86)\Common Files\janusNET Shared\janusSEAL\Images\DocumentSlashBlue.png</vt:lpwstr>
  </property>
  <property fmtid="{D5CDD505-2E9C-101B-9397-08002B2CF9AE}" pid="28" name="PM_Display">
    <vt:lpwstr>OFFICIAL: Sensitive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v=2022.2;d=gov.au;g=ABA70C08-925C-5FA3-8765-3178156983AC</vt:lpwstr>
  </property>
  <property fmtid="{D5CDD505-2E9C-101B-9397-08002B2CF9AE}" pid="31" name="PM_Hash_Version">
    <vt:lpwstr>2022.1</vt:lpwstr>
  </property>
  <property fmtid="{D5CDD505-2E9C-101B-9397-08002B2CF9AE}" pid="32" name="PM_Hash_Salt_Prev">
    <vt:lpwstr>4C0CF2C6AB8D03C47699E095C4A9C1C7</vt:lpwstr>
  </property>
  <property fmtid="{D5CDD505-2E9C-101B-9397-08002B2CF9AE}" pid="33" name="PM_Hash_Salt">
    <vt:lpwstr>F2BBB586981D7EC2F57AE7BD5B30F52B</vt:lpwstr>
  </property>
  <property fmtid="{D5CDD505-2E9C-101B-9397-08002B2CF9AE}" pid="34" name="PM_Hash_SHA1">
    <vt:lpwstr>76A18A5FB3F4E93978CF206745812413E025844B</vt:lpwstr>
  </property>
  <property fmtid="{D5CDD505-2E9C-101B-9397-08002B2CF9AE}" pid="35" name="PM_Qualifier_Prev">
    <vt:lpwstr/>
  </property>
  <property fmtid="{D5CDD505-2E9C-101B-9397-08002B2CF9AE}" pid="36" name="PM_SecurityClassification_Prev">
    <vt:lpwstr>OFFICIAL:Sensitive</vt:lpwstr>
  </property>
</Properties>
</file>