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C700" w14:textId="2A0D3CE8" w:rsidR="003C7B82" w:rsidRDefault="0071695D" w:rsidP="004A27A8">
      <w:pPr>
        <w:pStyle w:val="Bullet"/>
        <w:numPr>
          <w:ilvl w:val="0"/>
          <w:numId w:val="0"/>
        </w:numPr>
        <w:spacing w:before="0"/>
        <w:ind w:left="567"/>
        <w:rPr>
          <w:rFonts w:ascii="Arial" w:hAnsi="Arial" w:cs="Arial"/>
          <w:color w:val="FF0000"/>
          <w:sz w:val="22"/>
          <w:szCs w:val="22"/>
        </w:rPr>
      </w:pPr>
      <w:r>
        <w:rPr>
          <w:rFonts w:ascii="Arial" w:hAnsi="Arial" w:cs="Arial"/>
          <w:color w:val="FF0000"/>
          <w:sz w:val="22"/>
          <w:szCs w:val="22"/>
        </w:rPr>
        <w:softHyphen/>
      </w:r>
    </w:p>
    <w:p w14:paraId="26654A3B" w14:textId="2F34CEAD" w:rsidR="00F109D4" w:rsidRPr="00BF3A21" w:rsidRDefault="00F109D4" w:rsidP="00BF3A21">
      <w:pPr>
        <w:pStyle w:val="Heading1"/>
        <w:jc w:val="center"/>
        <w:rPr>
          <w:b/>
        </w:rPr>
      </w:pPr>
      <w:r w:rsidRPr="00BF3A21">
        <w:rPr>
          <w:b/>
        </w:rPr>
        <w:t>EXPLANATORY STATEMENT</w:t>
      </w:r>
    </w:p>
    <w:p w14:paraId="16DD7D65" w14:textId="07DABC54" w:rsidR="007662C7" w:rsidRPr="00BF3A21" w:rsidRDefault="00F109D4" w:rsidP="00972744">
      <w:pPr>
        <w:pStyle w:val="Heading2"/>
        <w:jc w:val="center"/>
        <w:rPr>
          <w:u w:val="single"/>
        </w:rPr>
      </w:pPr>
      <w:r w:rsidRPr="00BF3A21">
        <w:rPr>
          <w:u w:val="single"/>
        </w:rPr>
        <w:t xml:space="preserve">Issued by authority of </w:t>
      </w:r>
      <w:sdt>
        <w:sdtPr>
          <w:rPr>
            <w:rStyle w:val="DefaultChar"/>
            <w:u w:val="single"/>
          </w:rPr>
          <w:id w:val="-1025254589"/>
          <w:placeholder>
            <w:docPart w:val="65B913586B7B42029E36DFB5064D112B"/>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Cs w:val="20"/>
          </w:rPr>
        </w:sdtEndPr>
        <w:sdtContent>
          <w:r w:rsidR="00E423C3" w:rsidRPr="00D83F96">
            <w:rPr>
              <w:rStyle w:val="DefaultChar"/>
              <w:u w:val="single"/>
            </w:rPr>
            <w:t>the Minister for Housing and Minister for Homelessness</w:t>
          </w:r>
        </w:sdtContent>
      </w:sdt>
    </w:p>
    <w:p w14:paraId="4A205BDD" w14:textId="3629AE41" w:rsidR="00F109D4" w:rsidRPr="003C5719" w:rsidRDefault="00E423C3" w:rsidP="004A27A8">
      <w:pPr>
        <w:spacing w:before="240" w:after="240"/>
        <w:jc w:val="center"/>
        <w:rPr>
          <w:i/>
        </w:rPr>
      </w:pPr>
      <w:r>
        <w:rPr>
          <w:i/>
        </w:rPr>
        <w:t>Housing Australia Act 2018</w:t>
      </w:r>
    </w:p>
    <w:p w14:paraId="567114C3" w14:textId="45409377" w:rsidR="00F109D4" w:rsidRPr="003C5719" w:rsidRDefault="00E423C3" w:rsidP="004A27A8">
      <w:pPr>
        <w:tabs>
          <w:tab w:val="left" w:pos="1418"/>
        </w:tabs>
        <w:spacing w:before="0" w:after="240"/>
        <w:jc w:val="center"/>
        <w:rPr>
          <w:i/>
        </w:rPr>
      </w:pPr>
      <w:r>
        <w:rPr>
          <w:i/>
        </w:rPr>
        <w:t xml:space="preserve">Housing Australia Investment Mandate Amendment (2025 Measures No. </w:t>
      </w:r>
      <w:r w:rsidR="00A91BE9">
        <w:rPr>
          <w:i/>
        </w:rPr>
        <w:t>2</w:t>
      </w:r>
      <w:r>
        <w:rPr>
          <w:i/>
        </w:rPr>
        <w:t>) Direction 2025</w:t>
      </w:r>
    </w:p>
    <w:p w14:paraId="4B3650C2" w14:textId="77111C3E" w:rsidR="00892D3B" w:rsidRDefault="00391919" w:rsidP="004A27A8">
      <w:pPr>
        <w:spacing w:before="240"/>
      </w:pPr>
      <w:r w:rsidRPr="003C5719">
        <w:t>S</w:t>
      </w:r>
      <w:r>
        <w:t>ubs</w:t>
      </w:r>
      <w:r w:rsidRPr="003C5719">
        <w:t>ection</w:t>
      </w:r>
      <w:r w:rsidR="00CB7D6F">
        <w:t> </w:t>
      </w:r>
      <w:r>
        <w:t>12(1)</w:t>
      </w:r>
      <w:r w:rsidRPr="003C5719">
        <w:t xml:space="preserve"> of the </w:t>
      </w:r>
      <w:r w:rsidRPr="00265D6C">
        <w:rPr>
          <w:i/>
          <w:iCs/>
        </w:rPr>
        <w:t>Housing Australia Act</w:t>
      </w:r>
      <w:r w:rsidR="00CB7D6F">
        <w:rPr>
          <w:i/>
          <w:iCs/>
        </w:rPr>
        <w:t> </w:t>
      </w:r>
      <w:r w:rsidRPr="00265D6C">
        <w:rPr>
          <w:i/>
          <w:iCs/>
        </w:rPr>
        <w:t>2018</w:t>
      </w:r>
      <w:r w:rsidRPr="003C5719">
        <w:t xml:space="preserve"> (the Act) </w:t>
      </w:r>
      <w:r>
        <w:t xml:space="preserve">provides that the Minister may, by legislative instrument, give the Board of Housing Australia directions about the performance of Housing Australia’s functions. The Board is subject to the requirements of the Act and the </w:t>
      </w:r>
      <w:r w:rsidRPr="00265D6C">
        <w:rPr>
          <w:i/>
          <w:iCs/>
        </w:rPr>
        <w:t>Housing Australia Investment Mandate Direction</w:t>
      </w:r>
      <w:r w:rsidR="00CB7D6F">
        <w:rPr>
          <w:i/>
          <w:iCs/>
        </w:rPr>
        <w:t> </w:t>
      </w:r>
      <w:r w:rsidRPr="00265D6C">
        <w:rPr>
          <w:i/>
          <w:iCs/>
        </w:rPr>
        <w:t>2018</w:t>
      </w:r>
      <w:r>
        <w:t xml:space="preserve"> (the Investment Mandate)</w:t>
      </w:r>
      <w:r w:rsidR="00F109D4" w:rsidRPr="003C5719">
        <w:t>.</w:t>
      </w:r>
    </w:p>
    <w:p w14:paraId="5B3C4C8A" w14:textId="77777777" w:rsidR="00095280" w:rsidRDefault="00095280" w:rsidP="00095280">
      <w:pPr>
        <w:spacing w:before="240"/>
        <w:rPr>
          <w:color w:val="000000"/>
          <w:shd w:val="clear" w:color="auto" w:fill="FFFFFF"/>
        </w:rPr>
      </w:pPr>
      <w:r w:rsidRPr="00297E12">
        <w:t xml:space="preserve">The </w:t>
      </w:r>
      <w:r w:rsidRPr="00FC61AC">
        <w:rPr>
          <w:iCs/>
        </w:rPr>
        <w:t>Act</w:t>
      </w:r>
      <w:r>
        <w:t xml:space="preserve"> </w:t>
      </w:r>
      <w:r w:rsidRPr="00297E12">
        <w:t xml:space="preserve">established </w:t>
      </w:r>
      <w:r>
        <w:t>Housing Australia</w:t>
      </w:r>
      <w:r w:rsidRPr="00297E12">
        <w:t xml:space="preserve"> to improve housing outcomes for Australians. </w:t>
      </w:r>
      <w:r>
        <w:rPr>
          <w:color w:val="000000"/>
          <w:shd w:val="clear" w:color="auto" w:fill="FFFFFF"/>
        </w:rPr>
        <w:t>Housing Australia (previously, the National Housing Finance and Investment Corporation) commenced operation on 30</w:t>
      </w:r>
      <w:r w:rsidRPr="007F5AE7">
        <w:rPr>
          <w:iCs/>
          <w:szCs w:val="24"/>
        </w:rPr>
        <w:t> </w:t>
      </w:r>
      <w:r>
        <w:rPr>
          <w:color w:val="000000"/>
          <w:shd w:val="clear" w:color="auto" w:fill="FFFFFF"/>
        </w:rPr>
        <w:t>June</w:t>
      </w:r>
      <w:r w:rsidRPr="007F5AE7">
        <w:rPr>
          <w:iCs/>
          <w:szCs w:val="24"/>
        </w:rPr>
        <w:t> </w:t>
      </w:r>
      <w:r>
        <w:rPr>
          <w:color w:val="000000"/>
          <w:shd w:val="clear" w:color="auto" w:fill="FFFFFF"/>
        </w:rPr>
        <w:t xml:space="preserve">2018. </w:t>
      </w:r>
      <w:r>
        <w:t>It</w:t>
      </w:r>
      <w:r>
        <w:rPr>
          <w:color w:val="000000"/>
          <w:shd w:val="clear" w:color="auto" w:fill="FFFFFF"/>
        </w:rPr>
        <w:t xml:space="preserve"> is a corporate Commonwealth entity in the Treasury portfolio and is governed by an independent board. </w:t>
      </w:r>
    </w:p>
    <w:p w14:paraId="15D8673D" w14:textId="44EB9221" w:rsidR="004F0C21" w:rsidRDefault="00095280" w:rsidP="00095280">
      <w:pPr>
        <w:spacing w:before="240"/>
      </w:pPr>
      <w:r>
        <w:rPr>
          <w:color w:val="000000"/>
          <w:shd w:val="clear" w:color="auto" w:fill="FFFFFF"/>
        </w:rPr>
        <w:t xml:space="preserve">Housing Australia </w:t>
      </w:r>
      <w:r>
        <w:t>improves housing outcomes for Australians</w:t>
      </w:r>
      <w:r w:rsidRPr="00297E12">
        <w:t xml:space="preserve"> </w:t>
      </w:r>
      <w:r>
        <w:t xml:space="preserve">through its financing, guarantee and capacity building functions. </w:t>
      </w:r>
      <w:r w:rsidR="007E5A0D">
        <w:t>Housing Australia operates the Affordable Housing Bond Aggregator</w:t>
      </w:r>
      <w:r w:rsidR="007B00D6">
        <w:t xml:space="preserve"> (AHBA)</w:t>
      </w:r>
      <w:r w:rsidR="007E5A0D">
        <w:t>, the National Housing Infrastructure Facility, the Housing Australia Future Fund Facility</w:t>
      </w:r>
      <w:r w:rsidR="00A34587">
        <w:t xml:space="preserve"> and the National Housing Accord Facility as part of its financing function.</w:t>
      </w:r>
      <w:r w:rsidR="00C27D58">
        <w:t xml:space="preserve"> Housing Australia also provides support for capacity building of eligible registered community housing providers </w:t>
      </w:r>
      <w:r w:rsidR="009A2555">
        <w:t xml:space="preserve">(CHPs) </w:t>
      </w:r>
      <w:r w:rsidR="00C27D58">
        <w:t>through its capacity building function</w:t>
      </w:r>
      <w:r w:rsidR="009A2555">
        <w:t xml:space="preserve">, and administers the Home Guarantee Scheme (HGS) as part of its </w:t>
      </w:r>
      <w:proofErr w:type="gramStart"/>
      <w:r w:rsidR="009A2555">
        <w:t>guarantee</w:t>
      </w:r>
      <w:proofErr w:type="gramEnd"/>
      <w:r w:rsidR="009A2555">
        <w:t xml:space="preserve"> function.</w:t>
      </w:r>
      <w:r w:rsidR="006C31B0">
        <w:t xml:space="preserve"> Housing Australia also has </w:t>
      </w:r>
      <w:r w:rsidR="007A24A3">
        <w:t xml:space="preserve">other functions conferred by legislation, such as </w:t>
      </w:r>
      <w:r w:rsidR="006C31B0">
        <w:t xml:space="preserve">Help to Buy functions under the </w:t>
      </w:r>
      <w:r w:rsidR="006C31B0">
        <w:rPr>
          <w:i/>
          <w:iCs/>
        </w:rPr>
        <w:t>Help to Buy Act 2024</w:t>
      </w:r>
      <w:r w:rsidR="006C31B0">
        <w:t>.</w:t>
      </w:r>
    </w:p>
    <w:p w14:paraId="2C308095" w14:textId="669B1F83" w:rsidR="003168C6" w:rsidRPr="00E42DD8" w:rsidRDefault="00E42DD8" w:rsidP="00FD13C7">
      <w:pPr>
        <w:spacing w:before="240"/>
      </w:pPr>
      <w:r>
        <w:t xml:space="preserve">The HGS </w:t>
      </w:r>
      <w:r w:rsidR="005351D8">
        <w:t>supports</w:t>
      </w:r>
      <w:r w:rsidRPr="00E42DD8">
        <w:t xml:space="preserve"> first home buyers, single parents or legal guardians with dependants, and other eligible home buyers to </w:t>
      </w:r>
      <w:r w:rsidR="00F63744">
        <w:t>buy a home</w:t>
      </w:r>
      <w:r w:rsidRPr="00E42DD8">
        <w:t xml:space="preserve"> sooner</w:t>
      </w:r>
      <w:r w:rsidR="006E3BDD">
        <w:t xml:space="preserve"> </w:t>
      </w:r>
      <w:r w:rsidR="009E5C5D">
        <w:t xml:space="preserve">by lowering </w:t>
      </w:r>
      <w:r w:rsidR="00365024">
        <w:t xml:space="preserve">the minimum deposit required to avoid lenders mortgage insurance </w:t>
      </w:r>
      <w:r w:rsidR="00A2109A">
        <w:t>for</w:t>
      </w:r>
      <w:r w:rsidR="00AD6F11">
        <w:t xml:space="preserve"> home loans from lenders </w:t>
      </w:r>
      <w:r w:rsidR="003077A4">
        <w:t xml:space="preserve">participating in the </w:t>
      </w:r>
      <w:r w:rsidR="00FC7A92">
        <w:t>scheme</w:t>
      </w:r>
      <w:r w:rsidR="003077A4">
        <w:t xml:space="preserve"> due to </w:t>
      </w:r>
      <w:r w:rsidR="00AD6F11">
        <w:t>a government guarantee</w:t>
      </w:r>
      <w:r w:rsidRPr="00E42DD8">
        <w:t xml:space="preserve">. The </w:t>
      </w:r>
      <w:r w:rsidR="00AD6F11">
        <w:t>HGS</w:t>
      </w:r>
      <w:r w:rsidRPr="00E42DD8">
        <w:t xml:space="preserve"> comprises the First Home Guarantee, the Regional First Home Buyer Guarantee, the Family Home Guarantee and the New Home Guarantee. The New Home Guarantee ceased accepting new applications on 1</w:t>
      </w:r>
      <w:r w:rsidR="001D575A">
        <w:t> </w:t>
      </w:r>
      <w:r w:rsidRPr="00E42DD8">
        <w:t>July</w:t>
      </w:r>
      <w:r w:rsidR="00EB61DB">
        <w:t> </w:t>
      </w:r>
      <w:r w:rsidRPr="00E42DD8">
        <w:t>2022</w:t>
      </w:r>
      <w:r w:rsidR="00CF4CEC">
        <w:t xml:space="preserve">, and no new </w:t>
      </w:r>
      <w:r w:rsidR="00A66124">
        <w:t xml:space="preserve">guarantees can be issued under this stream </w:t>
      </w:r>
      <w:r w:rsidR="002B6219">
        <w:t>from and including the 2022</w:t>
      </w:r>
      <w:r w:rsidR="002B6219">
        <w:noBreakHyphen/>
        <w:t>23 financial year</w:t>
      </w:r>
      <w:r>
        <w:t>.</w:t>
      </w:r>
    </w:p>
    <w:p w14:paraId="5FA906F1" w14:textId="1169841F" w:rsidR="00CB107E" w:rsidRDefault="0041096F" w:rsidP="00FD13C7">
      <w:pPr>
        <w:spacing w:before="240"/>
      </w:pPr>
      <w:r w:rsidRPr="00200530">
        <w:t xml:space="preserve">The </w:t>
      </w:r>
      <w:r w:rsidRPr="00225E81">
        <w:t xml:space="preserve">purpose of the </w:t>
      </w:r>
      <w:r w:rsidRPr="00225E81">
        <w:rPr>
          <w:i/>
        </w:rPr>
        <w:t xml:space="preserve">Housing Australia Investment Mandate Amendment (2025 Measures No. </w:t>
      </w:r>
      <w:r w:rsidR="00FD13C7" w:rsidRPr="00225E81">
        <w:rPr>
          <w:i/>
        </w:rPr>
        <w:t>2</w:t>
      </w:r>
      <w:r w:rsidRPr="00225E81">
        <w:rPr>
          <w:i/>
        </w:rPr>
        <w:t xml:space="preserve">) Direction 2025 </w:t>
      </w:r>
      <w:r w:rsidRPr="00225E81">
        <w:t>(Instrument</w:t>
      </w:r>
      <w:r w:rsidR="001D575A">
        <w:t>)</w:t>
      </w:r>
      <w:r w:rsidRPr="00225E81">
        <w:t xml:space="preserve"> is to amend the Investment Mandate to </w:t>
      </w:r>
      <w:r w:rsidR="00DC51D7">
        <w:t xml:space="preserve">better </w:t>
      </w:r>
      <w:r w:rsidR="00587D25">
        <w:t xml:space="preserve">align </w:t>
      </w:r>
      <w:r w:rsidR="004055E0">
        <w:t>home loan</w:t>
      </w:r>
      <w:r w:rsidR="00B8749C">
        <w:t xml:space="preserve"> requirements</w:t>
      </w:r>
      <w:r w:rsidR="004055E0">
        <w:t xml:space="preserve"> for </w:t>
      </w:r>
      <w:r w:rsidR="00440BD7">
        <w:t>hom</w:t>
      </w:r>
      <w:r w:rsidR="00EA1B01">
        <w:t xml:space="preserve">e buyers </w:t>
      </w:r>
      <w:r w:rsidR="00CE6067">
        <w:t xml:space="preserve">who are building a new </w:t>
      </w:r>
      <w:r w:rsidR="00762D03">
        <w:t xml:space="preserve">dwelling </w:t>
      </w:r>
      <w:r w:rsidR="00C17E17">
        <w:t xml:space="preserve">on land on which </w:t>
      </w:r>
      <w:r w:rsidR="00735DA1">
        <w:t>a dwelling is not affixed</w:t>
      </w:r>
      <w:r w:rsidR="00075EE3">
        <w:t xml:space="preserve"> </w:t>
      </w:r>
      <w:r w:rsidR="003D44BD">
        <w:t>with market practice.</w:t>
      </w:r>
      <w:r w:rsidR="00CE6067" w:rsidDel="003D44BD">
        <w:t xml:space="preserve"> </w:t>
      </w:r>
      <w:r w:rsidR="00634C7D">
        <w:t>The amend</w:t>
      </w:r>
      <w:r w:rsidR="00977174">
        <w:t>ment</w:t>
      </w:r>
      <w:r w:rsidR="00CC0A59">
        <w:t xml:space="preserve">s </w:t>
      </w:r>
      <w:r w:rsidR="0054370D">
        <w:t xml:space="preserve">provide that a home loan </w:t>
      </w:r>
      <w:r w:rsidR="00705A99">
        <w:t>issued to a h</w:t>
      </w:r>
      <w:r w:rsidR="00A07554">
        <w:t xml:space="preserve">ome buyer who is building </w:t>
      </w:r>
      <w:r w:rsidR="004641B2">
        <w:t>the</w:t>
      </w:r>
      <w:r w:rsidR="00A07554">
        <w:t xml:space="preserve"> new </w:t>
      </w:r>
      <w:r w:rsidR="004641B2">
        <w:t>dwelling</w:t>
      </w:r>
      <w:r w:rsidR="00A07554">
        <w:t xml:space="preserve"> can exceed 30 years</w:t>
      </w:r>
      <w:r w:rsidR="00C81E06">
        <w:t xml:space="preserve"> </w:t>
      </w:r>
      <w:r w:rsidR="00EA04C7">
        <w:t xml:space="preserve">and encompass the period required to complete construction of the new </w:t>
      </w:r>
      <w:r w:rsidR="00E213F0">
        <w:t>dwelling</w:t>
      </w:r>
      <w:r w:rsidR="00EA04C7">
        <w:t xml:space="preserve">. </w:t>
      </w:r>
      <w:r w:rsidR="00A5069F">
        <w:t xml:space="preserve">The amendments also </w:t>
      </w:r>
      <w:r w:rsidR="00025F11">
        <w:t xml:space="preserve">include guardrails to ensure that </w:t>
      </w:r>
      <w:r w:rsidR="00262AEB">
        <w:t>these loans</w:t>
      </w:r>
      <w:r w:rsidR="00D9790F">
        <w:t xml:space="preserve"> are </w:t>
      </w:r>
      <w:r w:rsidR="006E757A">
        <w:t xml:space="preserve">only issued </w:t>
      </w:r>
      <w:r w:rsidR="006934A7">
        <w:t xml:space="preserve">where </w:t>
      </w:r>
      <w:r w:rsidR="00721F30">
        <w:t xml:space="preserve">the builder holds all the required </w:t>
      </w:r>
      <w:r w:rsidR="00BF5F78">
        <w:t>licences and regist</w:t>
      </w:r>
      <w:r w:rsidR="003E4EFA">
        <w:t xml:space="preserve">rations to perform the work, </w:t>
      </w:r>
      <w:r w:rsidR="00D61866">
        <w:t xml:space="preserve">insurances </w:t>
      </w:r>
      <w:r w:rsidR="0090194B">
        <w:t xml:space="preserve">are </w:t>
      </w:r>
      <w:r w:rsidR="006C66E2">
        <w:t xml:space="preserve">in </w:t>
      </w:r>
      <w:r w:rsidR="0090194B">
        <w:t>place in relation to the construction of the property, the building contract is entered into at arm’s-length</w:t>
      </w:r>
      <w:r w:rsidR="00765E5F">
        <w:t xml:space="preserve">, and the </w:t>
      </w:r>
      <w:r w:rsidR="002E5C74">
        <w:t>building</w:t>
      </w:r>
      <w:r w:rsidR="00765E5F">
        <w:t xml:space="preserve"> contract requires the builder to </w:t>
      </w:r>
      <w:r w:rsidR="008C51E8">
        <w:t xml:space="preserve">fully complete </w:t>
      </w:r>
      <w:r w:rsidR="00275503">
        <w:t xml:space="preserve">the </w:t>
      </w:r>
      <w:r w:rsidR="00AC4DBD">
        <w:t>construction of the dwelling</w:t>
      </w:r>
      <w:r w:rsidR="00C02D85">
        <w:t xml:space="preserve"> </w:t>
      </w:r>
      <w:r w:rsidR="00FB5591">
        <w:t>to the extent</w:t>
      </w:r>
      <w:r w:rsidR="00C02D85">
        <w:t xml:space="preserve"> that </w:t>
      </w:r>
      <w:r w:rsidR="00FB5591">
        <w:t xml:space="preserve">it is certified as fit for occupation. Further, </w:t>
      </w:r>
      <w:r w:rsidR="00C11DAF">
        <w:t xml:space="preserve">the </w:t>
      </w:r>
      <w:r w:rsidR="00FD414D">
        <w:t>I</w:t>
      </w:r>
      <w:r w:rsidR="00C11DAF">
        <w:t>nstrument requires that</w:t>
      </w:r>
      <w:r w:rsidR="00C02D85">
        <w:t xml:space="preserve"> </w:t>
      </w:r>
      <w:r w:rsidR="001C6056">
        <w:t>construction of dwellings</w:t>
      </w:r>
      <w:r w:rsidR="006934A7">
        <w:t xml:space="preserve"> </w:t>
      </w:r>
      <w:r w:rsidR="000C15F2">
        <w:t>supported by these loans</w:t>
      </w:r>
      <w:r w:rsidR="006934A7">
        <w:t xml:space="preserve"> be completed </w:t>
      </w:r>
      <w:r w:rsidR="005D685D">
        <w:t xml:space="preserve">in a timely </w:t>
      </w:r>
      <w:r w:rsidR="00FE227B">
        <w:t xml:space="preserve">manner, with Housing Australia able to adjust requirements as appropriate or necessary. </w:t>
      </w:r>
    </w:p>
    <w:p w14:paraId="1563F0EA" w14:textId="3EA12AA5" w:rsidR="00E66735" w:rsidRDefault="00E66735" w:rsidP="00E66735">
      <w:pPr>
        <w:shd w:val="clear" w:color="auto" w:fill="FFFFFF" w:themeFill="background1"/>
        <w:spacing w:before="240"/>
      </w:pPr>
      <w:r w:rsidRPr="004F59C8">
        <w:t>No public consultation was undertaken on the Instrument as the change</w:t>
      </w:r>
      <w:r>
        <w:t xml:space="preserve">s are </w:t>
      </w:r>
      <w:r w:rsidRPr="004F59C8">
        <w:t>targeted</w:t>
      </w:r>
      <w:r>
        <w:t xml:space="preserve"> and </w:t>
      </w:r>
      <w:r w:rsidRPr="004F59C8">
        <w:t xml:space="preserve">machinery </w:t>
      </w:r>
      <w:r w:rsidR="00496F0D" w:rsidRPr="004F59C8">
        <w:t>in nature</w:t>
      </w:r>
      <w:r w:rsidRPr="004F59C8">
        <w:t>.</w:t>
      </w:r>
      <w:r w:rsidR="00B636D4">
        <w:t xml:space="preserve"> </w:t>
      </w:r>
      <w:r w:rsidR="0061746A">
        <w:t>Housing Australia was consulted in the development of the Instrument</w:t>
      </w:r>
      <w:r w:rsidR="006943B6">
        <w:t>.</w:t>
      </w:r>
      <w:r w:rsidR="00017582" w:rsidRPr="00017582">
        <w:t xml:space="preserve"> </w:t>
      </w:r>
      <w:r w:rsidR="00017582">
        <w:t xml:space="preserve">Further, the amendments are modelled on provisions which have been the subject of </w:t>
      </w:r>
      <w:proofErr w:type="gramStart"/>
      <w:r w:rsidR="00017582">
        <w:t>consultation</w:t>
      </w:r>
      <w:proofErr w:type="gramEnd"/>
      <w:r w:rsidR="00017582">
        <w:t xml:space="preserve"> and which reflect existing commercial practice.</w:t>
      </w:r>
    </w:p>
    <w:p w14:paraId="361DEF50" w14:textId="77777777" w:rsidR="00E66735" w:rsidRDefault="00E66735" w:rsidP="00E66735">
      <w:pPr>
        <w:shd w:val="clear" w:color="auto" w:fill="FFFFFF" w:themeFill="background1"/>
        <w:spacing w:before="240"/>
        <w:rPr>
          <w:color w:val="000000"/>
          <w:szCs w:val="24"/>
        </w:rPr>
      </w:pPr>
      <w:r w:rsidRPr="003C5719">
        <w:t xml:space="preserve">The </w:t>
      </w:r>
      <w:r>
        <w:t>Instrument</w:t>
      </w:r>
      <w:r w:rsidRPr="003C5719">
        <w:t xml:space="preserve"> </w:t>
      </w:r>
      <w:r>
        <w:t>is</w:t>
      </w:r>
      <w:r w:rsidRPr="003C5719">
        <w:t xml:space="preserve"> a legislative instrument for the purposes of the </w:t>
      </w:r>
      <w:r w:rsidRPr="003C5719">
        <w:rPr>
          <w:i/>
          <w:iCs/>
        </w:rPr>
        <w:t>Legislation Act 2003</w:t>
      </w:r>
      <w:r>
        <w:rPr>
          <w:i/>
          <w:iCs/>
        </w:rPr>
        <w:t xml:space="preserve"> </w:t>
      </w:r>
      <w:r>
        <w:t>(the Legislation Act)</w:t>
      </w:r>
      <w:r w:rsidRPr="003C5719">
        <w:t>.</w:t>
      </w:r>
      <w:r>
        <w:t xml:space="preserve"> </w:t>
      </w:r>
      <w:r>
        <w:rPr>
          <w:color w:val="000000"/>
          <w:szCs w:val="24"/>
        </w:rPr>
        <w:t>However, t</w:t>
      </w:r>
      <w:r w:rsidRPr="00567544">
        <w:rPr>
          <w:color w:val="000000"/>
          <w:szCs w:val="24"/>
        </w:rPr>
        <w:t>he Instrument is exempt from the sunsetting regime set out in Part</w:t>
      </w:r>
      <w:r>
        <w:rPr>
          <w:color w:val="000000"/>
          <w:szCs w:val="24"/>
        </w:rPr>
        <w:t> </w:t>
      </w:r>
      <w:r w:rsidRPr="00567544">
        <w:rPr>
          <w:color w:val="000000"/>
          <w:szCs w:val="24"/>
        </w:rPr>
        <w:t>4 of Chapter</w:t>
      </w:r>
      <w:r>
        <w:rPr>
          <w:color w:val="000000"/>
          <w:szCs w:val="24"/>
        </w:rPr>
        <w:t> </w:t>
      </w:r>
      <w:r w:rsidRPr="00567544">
        <w:rPr>
          <w:color w:val="000000"/>
          <w:szCs w:val="24"/>
        </w:rPr>
        <w:t>3 of th</w:t>
      </w:r>
      <w:r>
        <w:rPr>
          <w:color w:val="000000"/>
          <w:szCs w:val="24"/>
        </w:rPr>
        <w:t xml:space="preserve">at </w:t>
      </w:r>
      <w:r w:rsidRPr="001D06F4">
        <w:rPr>
          <w:color w:val="000000"/>
          <w:szCs w:val="24"/>
        </w:rPr>
        <w:t>Act</w:t>
      </w:r>
      <w:r>
        <w:rPr>
          <w:i/>
          <w:color w:val="000000"/>
          <w:szCs w:val="24"/>
        </w:rPr>
        <w:t xml:space="preserve"> </w:t>
      </w:r>
      <w:r>
        <w:rPr>
          <w:color w:val="000000"/>
          <w:szCs w:val="24"/>
        </w:rPr>
        <w:t>by</w:t>
      </w:r>
      <w:r w:rsidRPr="00567544">
        <w:rPr>
          <w:color w:val="000000"/>
          <w:szCs w:val="24"/>
        </w:rPr>
        <w:t xml:space="preserve"> </w:t>
      </w:r>
      <w:r>
        <w:rPr>
          <w:color w:val="000000"/>
          <w:szCs w:val="24"/>
        </w:rPr>
        <w:t xml:space="preserve">regulations made under </w:t>
      </w:r>
      <w:r w:rsidRPr="00567544">
        <w:rPr>
          <w:color w:val="000000"/>
          <w:szCs w:val="24"/>
        </w:rPr>
        <w:t>paragraph</w:t>
      </w:r>
      <w:r w:rsidRPr="007F5AE7">
        <w:rPr>
          <w:iCs/>
          <w:szCs w:val="24"/>
        </w:rPr>
        <w:t> </w:t>
      </w:r>
      <w:r w:rsidRPr="00567544">
        <w:rPr>
          <w:color w:val="000000"/>
          <w:szCs w:val="24"/>
        </w:rPr>
        <w:t>54(2)(b) of th</w:t>
      </w:r>
      <w:r>
        <w:rPr>
          <w:color w:val="000000"/>
          <w:szCs w:val="24"/>
        </w:rPr>
        <w:t>at</w:t>
      </w:r>
      <w:r w:rsidRPr="00567544">
        <w:rPr>
          <w:color w:val="000000"/>
          <w:szCs w:val="24"/>
        </w:rPr>
        <w:t xml:space="preserve"> Act. Item</w:t>
      </w:r>
      <w:r>
        <w:rPr>
          <w:color w:val="000000"/>
          <w:szCs w:val="24"/>
        </w:rPr>
        <w:t> </w:t>
      </w:r>
      <w:r w:rsidRPr="00567544">
        <w:rPr>
          <w:color w:val="000000"/>
          <w:szCs w:val="24"/>
        </w:rPr>
        <w:t xml:space="preserve">3 of the table </w:t>
      </w:r>
      <w:r>
        <w:rPr>
          <w:color w:val="000000"/>
          <w:szCs w:val="24"/>
        </w:rPr>
        <w:t>in</w:t>
      </w:r>
      <w:r w:rsidRPr="00567544">
        <w:rPr>
          <w:color w:val="000000"/>
          <w:szCs w:val="24"/>
        </w:rPr>
        <w:t xml:space="preserve"> section</w:t>
      </w:r>
      <w:r>
        <w:rPr>
          <w:color w:val="000000"/>
          <w:szCs w:val="24"/>
        </w:rPr>
        <w:t> </w:t>
      </w:r>
      <w:r w:rsidRPr="00567544">
        <w:rPr>
          <w:color w:val="000000"/>
          <w:szCs w:val="24"/>
        </w:rPr>
        <w:t>11 of the</w:t>
      </w:r>
      <w:r>
        <w:rPr>
          <w:color w:val="000000"/>
          <w:szCs w:val="24"/>
        </w:rPr>
        <w:t xml:space="preserve"> </w:t>
      </w:r>
      <w:r w:rsidRPr="00567544">
        <w:rPr>
          <w:i/>
          <w:iCs/>
          <w:color w:val="000000"/>
          <w:szCs w:val="24"/>
        </w:rPr>
        <w:t>Legislation (Exemptions and Other Matters) Regulation</w:t>
      </w:r>
      <w:r>
        <w:rPr>
          <w:i/>
          <w:iCs/>
          <w:color w:val="000000"/>
          <w:szCs w:val="24"/>
        </w:rPr>
        <w:t> </w:t>
      </w:r>
      <w:r w:rsidRPr="00567544">
        <w:rPr>
          <w:i/>
          <w:iCs/>
          <w:color w:val="000000"/>
          <w:szCs w:val="24"/>
        </w:rPr>
        <w:t>2015</w:t>
      </w:r>
      <w:r>
        <w:rPr>
          <w:i/>
          <w:iCs/>
          <w:color w:val="000000"/>
          <w:szCs w:val="24"/>
        </w:rPr>
        <w:t xml:space="preserve"> </w:t>
      </w:r>
      <w:r>
        <w:rPr>
          <w:color w:val="000000"/>
          <w:szCs w:val="24"/>
        </w:rPr>
        <w:t>(the Legislation Exemptions Regulation)</w:t>
      </w:r>
      <w:r w:rsidRPr="00567544">
        <w:rPr>
          <w:color w:val="000000"/>
          <w:szCs w:val="24"/>
        </w:rPr>
        <w:t xml:space="preserve"> exempts from sunsetting instrument</w:t>
      </w:r>
      <w:r>
        <w:rPr>
          <w:color w:val="000000"/>
          <w:szCs w:val="24"/>
        </w:rPr>
        <w:t>s that are</w:t>
      </w:r>
      <w:r w:rsidRPr="00567544">
        <w:rPr>
          <w:color w:val="000000"/>
          <w:szCs w:val="24"/>
        </w:rPr>
        <w:t xml:space="preserve"> direction</w:t>
      </w:r>
      <w:r>
        <w:rPr>
          <w:color w:val="000000"/>
          <w:szCs w:val="24"/>
        </w:rPr>
        <w:t>s</w:t>
      </w:r>
      <w:r w:rsidRPr="00567544">
        <w:rPr>
          <w:color w:val="000000"/>
          <w:szCs w:val="24"/>
        </w:rPr>
        <w:t xml:space="preserve"> by </w:t>
      </w:r>
      <w:r>
        <w:rPr>
          <w:color w:val="000000"/>
          <w:szCs w:val="24"/>
        </w:rPr>
        <w:t>a</w:t>
      </w:r>
      <w:r w:rsidRPr="00567544">
        <w:rPr>
          <w:color w:val="000000"/>
          <w:szCs w:val="24"/>
        </w:rPr>
        <w:t xml:space="preserve"> Minister to any person or body.</w:t>
      </w:r>
      <w:r>
        <w:rPr>
          <w:color w:val="000000"/>
          <w:szCs w:val="24"/>
        </w:rPr>
        <w:t xml:space="preserve"> As such a direction, t</w:t>
      </w:r>
      <w:r w:rsidRPr="00567544">
        <w:rPr>
          <w:color w:val="000000"/>
          <w:szCs w:val="24"/>
        </w:rPr>
        <w:t>he Instrument is</w:t>
      </w:r>
      <w:r>
        <w:rPr>
          <w:color w:val="000000"/>
          <w:szCs w:val="24"/>
        </w:rPr>
        <w:t xml:space="preserve"> also</w:t>
      </w:r>
      <w:r w:rsidRPr="00567544">
        <w:rPr>
          <w:color w:val="000000"/>
          <w:szCs w:val="24"/>
        </w:rPr>
        <w:t xml:space="preserve"> exempt from disallowance under section</w:t>
      </w:r>
      <w:r>
        <w:rPr>
          <w:color w:val="000000"/>
          <w:szCs w:val="24"/>
        </w:rPr>
        <w:t> </w:t>
      </w:r>
      <w:r w:rsidRPr="00567544">
        <w:rPr>
          <w:color w:val="000000"/>
          <w:szCs w:val="24"/>
        </w:rPr>
        <w:t>42 of the</w:t>
      </w:r>
      <w:r>
        <w:rPr>
          <w:color w:val="000000"/>
          <w:szCs w:val="24"/>
        </w:rPr>
        <w:t xml:space="preserve"> </w:t>
      </w:r>
      <w:r w:rsidRPr="001D06F4">
        <w:rPr>
          <w:color w:val="000000"/>
          <w:szCs w:val="24"/>
        </w:rPr>
        <w:t>Legislation Act</w:t>
      </w:r>
      <w:r>
        <w:rPr>
          <w:i/>
          <w:iCs/>
          <w:color w:val="000000"/>
          <w:szCs w:val="24"/>
        </w:rPr>
        <w:t xml:space="preserve"> </w:t>
      </w:r>
      <w:r>
        <w:rPr>
          <w:color w:val="000000"/>
          <w:szCs w:val="24"/>
        </w:rPr>
        <w:t>by</w:t>
      </w:r>
      <w:r w:rsidRPr="00567544">
        <w:rPr>
          <w:color w:val="000000"/>
          <w:szCs w:val="24"/>
        </w:rPr>
        <w:t xml:space="preserve"> </w:t>
      </w:r>
      <w:r>
        <w:rPr>
          <w:color w:val="000000"/>
          <w:szCs w:val="24"/>
        </w:rPr>
        <w:t>i</w:t>
      </w:r>
      <w:r w:rsidRPr="00567544">
        <w:rPr>
          <w:color w:val="000000"/>
          <w:szCs w:val="24"/>
        </w:rPr>
        <w:t>tem</w:t>
      </w:r>
      <w:r>
        <w:rPr>
          <w:color w:val="000000"/>
          <w:szCs w:val="24"/>
        </w:rPr>
        <w:t> </w:t>
      </w:r>
      <w:r w:rsidRPr="00567544">
        <w:rPr>
          <w:color w:val="000000"/>
          <w:szCs w:val="24"/>
        </w:rPr>
        <w:t xml:space="preserve">2 of </w:t>
      </w:r>
      <w:r>
        <w:rPr>
          <w:color w:val="000000"/>
          <w:szCs w:val="24"/>
        </w:rPr>
        <w:t xml:space="preserve">the table in </w:t>
      </w:r>
      <w:r w:rsidRPr="00567544">
        <w:rPr>
          <w:color w:val="000000"/>
          <w:szCs w:val="24"/>
        </w:rPr>
        <w:t>section</w:t>
      </w:r>
      <w:r>
        <w:rPr>
          <w:color w:val="000000"/>
          <w:szCs w:val="24"/>
        </w:rPr>
        <w:t> </w:t>
      </w:r>
      <w:r w:rsidRPr="00567544">
        <w:rPr>
          <w:color w:val="000000"/>
          <w:szCs w:val="24"/>
        </w:rPr>
        <w:t>9 of the</w:t>
      </w:r>
      <w:r>
        <w:rPr>
          <w:color w:val="000000"/>
          <w:szCs w:val="24"/>
        </w:rPr>
        <w:t xml:space="preserve"> </w:t>
      </w:r>
      <w:r w:rsidRPr="001D06F4">
        <w:rPr>
          <w:color w:val="000000"/>
          <w:szCs w:val="24"/>
        </w:rPr>
        <w:t>Legislation Exemptions Regulation</w:t>
      </w:r>
      <w:r>
        <w:rPr>
          <w:rStyle w:val="ui-provider"/>
          <w:i/>
          <w:iCs/>
        </w:rPr>
        <w:t xml:space="preserve">. </w:t>
      </w:r>
      <w:r>
        <w:rPr>
          <w:rStyle w:val="ui-provider"/>
        </w:rPr>
        <w:t xml:space="preserve">Accordingly, no statement of compatibility with human rights is required under subsection 9(1) of the </w:t>
      </w:r>
      <w:r>
        <w:rPr>
          <w:rStyle w:val="ui-provider"/>
          <w:i/>
          <w:iCs/>
        </w:rPr>
        <w:t>Human Rights (Parliamentary Scrutiny) Act 2011</w:t>
      </w:r>
      <w:r>
        <w:rPr>
          <w:rStyle w:val="ui-provider"/>
        </w:rPr>
        <w:t>.</w:t>
      </w:r>
      <w:r w:rsidRPr="00567544" w:rsidDel="006F6770">
        <w:rPr>
          <w:color w:val="000000"/>
          <w:szCs w:val="24"/>
        </w:rPr>
        <w:t xml:space="preserve"> </w:t>
      </w:r>
    </w:p>
    <w:p w14:paraId="3572B3A5" w14:textId="02F70C5D" w:rsidR="00E66735" w:rsidRPr="00F05EF6" w:rsidRDefault="00E66735" w:rsidP="00E66735">
      <w:pPr>
        <w:shd w:val="clear" w:color="auto" w:fill="FFFFFF" w:themeFill="background1"/>
        <w:spacing w:before="240"/>
        <w:rPr>
          <w:color w:val="000000"/>
        </w:rPr>
      </w:pPr>
      <w:r w:rsidRPr="3260E1C8">
        <w:rPr>
          <w:color w:val="000000" w:themeColor="text1"/>
        </w:rPr>
        <w:t xml:space="preserve">The Instrument is subject to the </w:t>
      </w:r>
      <w:r w:rsidRPr="3260E1C8" w:rsidDel="00FC2583">
        <w:rPr>
          <w:color w:val="000000" w:themeColor="text1"/>
        </w:rPr>
        <w:t>automatic repeal</w:t>
      </w:r>
      <w:r w:rsidRPr="3260E1C8">
        <w:rPr>
          <w:color w:val="000000" w:themeColor="text1"/>
        </w:rPr>
        <w:t xml:space="preserve"> process under section 48A of the</w:t>
      </w:r>
      <w:r w:rsidRPr="3260E1C8" w:rsidDel="00E11B64">
        <w:rPr>
          <w:color w:val="000000" w:themeColor="text1"/>
        </w:rPr>
        <w:t> </w:t>
      </w:r>
      <w:r w:rsidRPr="00787BD9" w:rsidDel="00E11B64">
        <w:rPr>
          <w:color w:val="000000" w:themeColor="text1"/>
        </w:rPr>
        <w:t>Legislation Act</w:t>
      </w:r>
      <w:r w:rsidRPr="3260E1C8">
        <w:rPr>
          <w:color w:val="000000" w:themeColor="text1"/>
        </w:rPr>
        <w:t>. This section</w:t>
      </w:r>
      <w:r w:rsidRPr="3260E1C8">
        <w:rPr>
          <w:i/>
          <w:color w:val="000000" w:themeColor="text1"/>
        </w:rPr>
        <w:t> </w:t>
      </w:r>
      <w:r w:rsidRPr="3260E1C8">
        <w:rPr>
          <w:color w:val="000000" w:themeColor="text1"/>
        </w:rP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rsidRPr="3260E1C8">
        <w:rPr>
          <w:color w:val="000000" w:themeColor="text1"/>
        </w:rPr>
        <w:t>i</w:t>
      </w:r>
      <w:proofErr w:type="spellEnd"/>
      <w:r w:rsidRPr="3260E1C8">
        <w:rPr>
          <w:color w:val="000000" w:themeColor="text1"/>
        </w:rPr>
        <w:t xml:space="preserve">), the Instrument </w:t>
      </w:r>
      <w:r w:rsidR="002F2490">
        <w:rPr>
          <w:color w:val="000000" w:themeColor="text1"/>
        </w:rPr>
        <w:t xml:space="preserve">is </w:t>
      </w:r>
      <w:r w:rsidRPr="3260E1C8">
        <w:rPr>
          <w:color w:val="000000" w:themeColor="text1"/>
        </w:rPr>
        <w:t>automatically repeal</w:t>
      </w:r>
      <w:r w:rsidR="002F2490">
        <w:rPr>
          <w:color w:val="000000" w:themeColor="text1"/>
        </w:rPr>
        <w:t>ed</w:t>
      </w:r>
      <w:r w:rsidRPr="3260E1C8">
        <w:rPr>
          <w:color w:val="000000" w:themeColor="text1"/>
        </w:rPr>
        <w:t xml:space="preserve"> on the day after the commencement of the Instrument which results in the amendment of the Investment Mandate. Once repealed, the sunsetting regime set out in Part 4 of Chapter 3 of the </w:t>
      </w:r>
      <w:r w:rsidRPr="001D06F4">
        <w:rPr>
          <w:color w:val="000000" w:themeColor="text1"/>
        </w:rPr>
        <w:t>Legislation Act</w:t>
      </w:r>
      <w:r>
        <w:rPr>
          <w:i/>
          <w:color w:val="000000" w:themeColor="text1"/>
        </w:rPr>
        <w:t xml:space="preserve"> </w:t>
      </w:r>
      <w:r w:rsidRPr="3260E1C8">
        <w:rPr>
          <w:color w:val="000000" w:themeColor="text1"/>
        </w:rPr>
        <w:t>is no longer relevant to the Instrument.</w:t>
      </w:r>
    </w:p>
    <w:p w14:paraId="0C6283C8" w14:textId="77777777" w:rsidR="00E66735" w:rsidRDefault="00E66735" w:rsidP="00E66735">
      <w:pPr>
        <w:shd w:val="clear" w:color="auto" w:fill="FFFFFF"/>
        <w:spacing w:before="240"/>
      </w:pPr>
      <w:r w:rsidRPr="003C5719">
        <w:t xml:space="preserve">The </w:t>
      </w:r>
      <w:r>
        <w:t>Instrument</w:t>
      </w:r>
      <w:r w:rsidRPr="003C5719">
        <w:t xml:space="preserve"> commenced on </w:t>
      </w:r>
      <w:r>
        <w:t>the day after registration</w:t>
      </w:r>
      <w:r w:rsidRPr="003C5719">
        <w:t xml:space="preserve">. </w:t>
      </w:r>
    </w:p>
    <w:p w14:paraId="3A664408" w14:textId="77777777" w:rsidR="00E66735" w:rsidRPr="003C5719" w:rsidRDefault="00E66735" w:rsidP="00E66735">
      <w:pPr>
        <w:spacing w:before="240"/>
      </w:pPr>
      <w:r w:rsidRPr="003C5719">
        <w:t xml:space="preserve">Details of the </w:t>
      </w:r>
      <w:r>
        <w:t>Instrument</w:t>
      </w:r>
      <w:r w:rsidRPr="003C5719">
        <w:t xml:space="preserve"> are set out in </w:t>
      </w:r>
      <w:r w:rsidRPr="003C5719">
        <w:rPr>
          <w:u w:val="single"/>
        </w:rPr>
        <w:t xml:space="preserve">Attachment </w:t>
      </w:r>
      <w:r>
        <w:rPr>
          <w:u w:val="single"/>
        </w:rPr>
        <w:t>A</w:t>
      </w:r>
      <w:r w:rsidRPr="003C5719">
        <w:t xml:space="preserve">. </w:t>
      </w:r>
    </w:p>
    <w:p w14:paraId="1165183F" w14:textId="07446671" w:rsidR="007D3553" w:rsidRDefault="00E66735" w:rsidP="00E66735">
      <w:pPr>
        <w:spacing w:before="240"/>
      </w:pPr>
      <w:r w:rsidRPr="00CD098A">
        <w:t xml:space="preserve">The Office of Impact Analysis </w:t>
      </w:r>
      <w:r w:rsidRPr="0004412C">
        <w:t>has been (OIA) has been consulted (OIA ref:</w:t>
      </w:r>
      <w:r w:rsidR="0004412C" w:rsidRPr="0004412C">
        <w:t xml:space="preserve"> </w:t>
      </w:r>
      <w:r w:rsidR="0004412C" w:rsidRPr="004E558B">
        <w:t>OIA24-08163</w:t>
      </w:r>
      <w:r w:rsidRPr="004E558B">
        <w:t>)</w:t>
      </w:r>
      <w:r w:rsidRPr="0004412C">
        <w:t xml:space="preserve"> </w:t>
      </w:r>
      <w:r w:rsidR="007D3553" w:rsidRPr="0004412C">
        <w:t>and</w:t>
      </w:r>
      <w:r w:rsidR="007D3553">
        <w:t xml:space="preserve"> agreed </w:t>
      </w:r>
      <w:r w:rsidR="00566F9A" w:rsidRPr="003C5719">
        <w:t xml:space="preserve">that </w:t>
      </w:r>
      <w:r w:rsidR="004431E8">
        <w:t>an Impact Analysis is not required</w:t>
      </w:r>
      <w:r w:rsidR="004431E8" w:rsidDel="00E6404C">
        <w:t>.</w:t>
      </w:r>
      <w:r w:rsidR="00566F9A" w:rsidRPr="003C5719">
        <w:t xml:space="preserve"> </w:t>
      </w:r>
    </w:p>
    <w:p w14:paraId="4770220D" w14:textId="49DCAB98" w:rsidR="00EB2AEF" w:rsidRPr="00F004E1" w:rsidRDefault="00A17D3D" w:rsidP="004A27A8">
      <w:pPr>
        <w:spacing w:before="240"/>
        <w:rPr>
          <w:highlight w:val="yellow"/>
        </w:rPr>
      </w:pPr>
      <w:r>
        <w:t>The measure is estimated to have a low impact on compliance costs</w:t>
      </w:r>
      <w:r w:rsidR="00566F9A" w:rsidRPr="003C5719">
        <w:t>.</w:t>
      </w:r>
    </w:p>
    <w:p w14:paraId="33D7382C" w14:textId="37CDFB45" w:rsidR="00EA4DD8" w:rsidRPr="003C5719" w:rsidRDefault="00EA4DD8" w:rsidP="00307033">
      <w:pPr>
        <w:keepNext/>
        <w:keepLines/>
        <w:pageBreakBefore/>
        <w:spacing w:before="240"/>
        <w:jc w:val="right"/>
        <w:rPr>
          <w:b/>
          <w:u w:val="single"/>
        </w:rPr>
      </w:pPr>
      <w:r w:rsidRPr="003C5719">
        <w:rPr>
          <w:b/>
          <w:u w:val="single"/>
        </w:rPr>
        <w:t xml:space="preserve">ATTACHMENT </w:t>
      </w:r>
      <w:r w:rsidR="00F11BBE">
        <w:rPr>
          <w:b/>
          <w:u w:val="single"/>
        </w:rPr>
        <w:t>A</w:t>
      </w:r>
    </w:p>
    <w:p w14:paraId="6292B597" w14:textId="3F97286D" w:rsidR="00EA4DD8" w:rsidRPr="003C5719" w:rsidRDefault="00EA4DD8" w:rsidP="004A27A8">
      <w:pPr>
        <w:spacing w:before="240"/>
        <w:rPr>
          <w:b/>
          <w:bCs/>
          <w:szCs w:val="24"/>
          <w:u w:val="single"/>
        </w:rPr>
      </w:pPr>
      <w:r w:rsidRPr="003C5719">
        <w:rPr>
          <w:b/>
          <w:bCs/>
          <w:u w:val="single"/>
        </w:rPr>
        <w:t xml:space="preserve">Details of the </w:t>
      </w:r>
      <w:r w:rsidR="009245ED">
        <w:rPr>
          <w:b/>
          <w:i/>
          <w:u w:val="single"/>
        </w:rPr>
        <w:t>Housing Australia Investment Mandate Amendment (2025 Measures No.</w:t>
      </w:r>
      <w:r w:rsidR="007B5413" w:rsidRPr="004E6A0F">
        <w:rPr>
          <w:b/>
          <w:bCs/>
          <w:i/>
          <w:szCs w:val="24"/>
          <w:u w:val="single"/>
        </w:rPr>
        <w:t> </w:t>
      </w:r>
      <w:r w:rsidR="00FD13C7">
        <w:rPr>
          <w:b/>
          <w:i/>
          <w:u w:val="single"/>
        </w:rPr>
        <w:t>2</w:t>
      </w:r>
      <w:r w:rsidR="009245ED">
        <w:rPr>
          <w:b/>
          <w:i/>
          <w:u w:val="single"/>
        </w:rPr>
        <w:t>) Direction 2025</w:t>
      </w:r>
      <w:r w:rsidRPr="003C5719">
        <w:rPr>
          <w:b/>
          <w:bCs/>
          <w:u w:val="single"/>
        </w:rPr>
        <w:t xml:space="preserve"> </w:t>
      </w:r>
    </w:p>
    <w:p w14:paraId="314D583E" w14:textId="491EC0A7" w:rsidR="00EA4DD8" w:rsidRPr="003C5719" w:rsidRDefault="00EA4DD8" w:rsidP="00307033">
      <w:pPr>
        <w:pStyle w:val="Heading1"/>
        <w:rPr>
          <w:rFonts w:ascii="Calibri" w:hAnsi="Calibri"/>
          <w:sz w:val="22"/>
          <w:szCs w:val="22"/>
          <w:lang w:eastAsia="en-US"/>
        </w:rPr>
      </w:pPr>
      <w:r w:rsidRPr="00B51855">
        <w:t>Section</w:t>
      </w:r>
      <w:r w:rsidR="00920DBD">
        <w:t> </w:t>
      </w:r>
      <w:r w:rsidRPr="003C5719">
        <w:t xml:space="preserve">1 – Name </w:t>
      </w:r>
    </w:p>
    <w:p w14:paraId="7F3F1C0F" w14:textId="1DCF8A57" w:rsidR="00EA4DD8" w:rsidRPr="003C5719" w:rsidRDefault="00EA4DD8" w:rsidP="004A27A8">
      <w:pPr>
        <w:spacing w:before="240"/>
      </w:pPr>
      <w:r w:rsidRPr="003C5719">
        <w:t xml:space="preserve">This section provides that the name of the </w:t>
      </w:r>
      <w:r w:rsidR="00082317">
        <w:t>instrument</w:t>
      </w:r>
      <w:r w:rsidR="00082317" w:rsidRPr="003C5719">
        <w:t xml:space="preserve"> </w:t>
      </w:r>
      <w:r w:rsidRPr="003C5719">
        <w:t xml:space="preserve">is the </w:t>
      </w:r>
      <w:r w:rsidR="009245ED">
        <w:rPr>
          <w:i/>
        </w:rPr>
        <w:t xml:space="preserve">Housing Australia Investment Mandate Amendment (2025 Measures No. </w:t>
      </w:r>
      <w:r w:rsidR="00FD13C7">
        <w:rPr>
          <w:i/>
        </w:rPr>
        <w:t>2</w:t>
      </w:r>
      <w:r w:rsidR="009245ED">
        <w:rPr>
          <w:i/>
        </w:rPr>
        <w:t xml:space="preserve">) Direction 2025 </w:t>
      </w:r>
      <w:r w:rsidRPr="003C5719">
        <w:t>(the </w:t>
      </w:r>
      <w:r w:rsidR="00082317">
        <w:t>Instrument</w:t>
      </w:r>
      <w:r w:rsidRPr="003C5719">
        <w:t>).</w:t>
      </w:r>
    </w:p>
    <w:p w14:paraId="33246DFA" w14:textId="3BD1ACB9" w:rsidR="00EA4DD8" w:rsidRPr="003C5719" w:rsidRDefault="00EA4DD8" w:rsidP="00307033">
      <w:pPr>
        <w:pStyle w:val="Heading1"/>
      </w:pPr>
      <w:r w:rsidRPr="00B51855">
        <w:t>Section</w:t>
      </w:r>
      <w:r w:rsidR="00920DBD">
        <w:t> </w:t>
      </w:r>
      <w:r w:rsidRPr="003C5719">
        <w:t>2 – Commencement</w:t>
      </w:r>
    </w:p>
    <w:p w14:paraId="179BD37C" w14:textId="3DFAEC0B" w:rsidR="00EA4DD8" w:rsidRPr="003C5719" w:rsidRDefault="00082317" w:rsidP="004A27A8">
      <w:pPr>
        <w:spacing w:before="240"/>
      </w:pPr>
      <w:r>
        <w:t>This section provides that the Instrument</w:t>
      </w:r>
      <w:r w:rsidR="00EA4DD8" w:rsidRPr="003C5719">
        <w:t xml:space="preserve"> commence</w:t>
      </w:r>
      <w:r w:rsidR="003037F8">
        <w:t>d</w:t>
      </w:r>
      <w:r w:rsidR="00EA4DD8" w:rsidRPr="003C5719">
        <w:t xml:space="preserve"> on </w:t>
      </w:r>
      <w:r w:rsidR="00EA4DD8" w:rsidRPr="006F683C">
        <w:t xml:space="preserve">the day after the instrument is registered </w:t>
      </w:r>
      <w:r w:rsidR="00EA4DD8" w:rsidRPr="003C5719">
        <w:t>on the Federal Register of Legislation.</w:t>
      </w:r>
      <w:r w:rsidR="005858FB">
        <w:t xml:space="preserve"> </w:t>
      </w:r>
    </w:p>
    <w:p w14:paraId="500CF059" w14:textId="75DBF7D1" w:rsidR="00EA4DD8" w:rsidRPr="003C5719" w:rsidRDefault="00EA4DD8" w:rsidP="00307033">
      <w:pPr>
        <w:pStyle w:val="Heading1"/>
      </w:pPr>
      <w:r w:rsidRPr="003C5719">
        <w:t>Section</w:t>
      </w:r>
      <w:r w:rsidR="00920DBD">
        <w:t> </w:t>
      </w:r>
      <w:r w:rsidRPr="003C5719">
        <w:t>3 – Authority</w:t>
      </w:r>
    </w:p>
    <w:p w14:paraId="1B6D57EE" w14:textId="12BEF920" w:rsidR="00EA4DD8" w:rsidRPr="003C5719" w:rsidRDefault="00EA4DD8" w:rsidP="004A27A8">
      <w:pPr>
        <w:spacing w:before="240"/>
      </w:pPr>
      <w:r w:rsidRPr="003C5719">
        <w:t>Th</w:t>
      </w:r>
      <w:r w:rsidR="00082317">
        <w:t>is section provides that the Instrument is</w:t>
      </w:r>
      <w:r w:rsidRPr="003C5719">
        <w:t xml:space="preserve"> made under the </w:t>
      </w:r>
      <w:r w:rsidR="00FE16B8">
        <w:rPr>
          <w:i/>
        </w:rPr>
        <w:t>Housing Australia Act</w:t>
      </w:r>
      <w:r w:rsidR="00920DBD">
        <w:rPr>
          <w:i/>
        </w:rPr>
        <w:t> </w:t>
      </w:r>
      <w:r w:rsidR="00FE16B8">
        <w:rPr>
          <w:i/>
        </w:rPr>
        <w:t xml:space="preserve">2018 </w:t>
      </w:r>
      <w:r w:rsidRPr="003C5719">
        <w:t>(the Act).</w:t>
      </w:r>
    </w:p>
    <w:p w14:paraId="4CD317E2" w14:textId="15C0C473" w:rsidR="00EA4DD8" w:rsidRPr="003C5719" w:rsidRDefault="00EA4DD8" w:rsidP="00307033">
      <w:pPr>
        <w:pStyle w:val="Heading1"/>
      </w:pPr>
      <w:r w:rsidRPr="003C5719">
        <w:t>Section 4 – Schedule</w:t>
      </w:r>
    </w:p>
    <w:p w14:paraId="59480B72" w14:textId="5CD11E42" w:rsidR="00EA4DD8" w:rsidRDefault="00EA4DD8" w:rsidP="00466DD5">
      <w:pPr>
        <w:spacing w:before="240" w:after="200"/>
      </w:pPr>
      <w:r w:rsidRPr="003C5719">
        <w:t xml:space="preserve">This section provides that each instrument that is specified in the Schedule to this instrument </w:t>
      </w:r>
      <w:r w:rsidR="005D7E35">
        <w:t xml:space="preserve">are </w:t>
      </w:r>
      <w:r w:rsidRPr="003C5719">
        <w:t>amended or repealed as set out in the applicable items in the Schedule, and any other item in the Schedule to this instrument has effect according to its terms.</w:t>
      </w:r>
    </w:p>
    <w:p w14:paraId="5EFD844C" w14:textId="77777777" w:rsidR="008679AA" w:rsidRPr="00AF0568" w:rsidRDefault="008679AA" w:rsidP="00307033">
      <w:pPr>
        <w:pStyle w:val="Heading1"/>
      </w:pPr>
      <w:r w:rsidRPr="00AF0568">
        <w:t>Schedule 1 – Amendments</w:t>
      </w:r>
    </w:p>
    <w:p w14:paraId="4EC6764B" w14:textId="52CB5EB7" w:rsidR="008679AA" w:rsidRPr="00FD13C7" w:rsidRDefault="008679AA" w:rsidP="00466DD5">
      <w:pPr>
        <w:spacing w:before="240" w:after="200"/>
      </w:pPr>
      <w:r w:rsidRPr="00FD13C7">
        <w:t xml:space="preserve">Legislative references in this attachment are to the </w:t>
      </w:r>
      <w:r w:rsidRPr="00FD13C7">
        <w:rPr>
          <w:i/>
          <w:iCs/>
        </w:rPr>
        <w:t>Housing Australia Investment Mandate Direction 2018</w:t>
      </w:r>
      <w:r w:rsidRPr="00FD13C7">
        <w:t xml:space="preserve"> (the Investment Mandate) unless otherwise stated.</w:t>
      </w:r>
    </w:p>
    <w:p w14:paraId="2A089B5C" w14:textId="4F10BFE6" w:rsidR="00A11167" w:rsidRPr="00A91BE9" w:rsidRDefault="00A853DE" w:rsidP="00307033">
      <w:pPr>
        <w:pStyle w:val="Heading2"/>
      </w:pPr>
      <w:r>
        <w:t>En</w:t>
      </w:r>
      <w:r w:rsidRPr="000E36D5">
        <w:t xml:space="preserve">hancing </w:t>
      </w:r>
      <w:r w:rsidR="00BA706C" w:rsidRPr="000E36D5">
        <w:t>requirements</w:t>
      </w:r>
      <w:r w:rsidR="007A6F5E" w:rsidRPr="000E36D5">
        <w:t xml:space="preserve"> relating to construction of new dwellings </w:t>
      </w:r>
      <w:r w:rsidR="00CC51E6" w:rsidRPr="000E36D5">
        <w:t xml:space="preserve">for eligible loans </w:t>
      </w:r>
      <w:r w:rsidR="007A6F5E" w:rsidRPr="000E36D5">
        <w:t xml:space="preserve">under </w:t>
      </w:r>
      <w:r w:rsidRPr="000E36D5">
        <w:t>the Home Guarantee Scheme (</w:t>
      </w:r>
      <w:r w:rsidR="00BA706C" w:rsidRPr="000E36D5">
        <w:t>HGS)</w:t>
      </w:r>
    </w:p>
    <w:p w14:paraId="70B75865" w14:textId="6233B31F" w:rsidR="00E37FF7" w:rsidRDefault="00E93F50" w:rsidP="003B6A71">
      <w:pPr>
        <w:spacing w:before="240" w:after="200"/>
      </w:pPr>
      <w:r>
        <w:t>The amendments to the Investment Mandate</w:t>
      </w:r>
      <w:r w:rsidR="006B75A9" w:rsidRPr="008056DA">
        <w:t xml:space="preserve"> </w:t>
      </w:r>
      <w:r w:rsidR="006B75A9">
        <w:t xml:space="preserve">support </w:t>
      </w:r>
      <w:r w:rsidR="00A6748A">
        <w:t>the operation of the HGS</w:t>
      </w:r>
      <w:r w:rsidR="00A44585">
        <w:t xml:space="preserve"> </w:t>
      </w:r>
      <w:r w:rsidR="00ED1BFB">
        <w:t xml:space="preserve">by </w:t>
      </w:r>
      <w:r w:rsidR="00F01D32">
        <w:t>adjusting</w:t>
      </w:r>
      <w:r w:rsidR="008D77BA">
        <w:t xml:space="preserve"> the requirements </w:t>
      </w:r>
      <w:r w:rsidR="00917C7D">
        <w:t>to issue</w:t>
      </w:r>
      <w:r w:rsidR="004418E2">
        <w:t xml:space="preserve"> guarantees for the purchase </w:t>
      </w:r>
      <w:r w:rsidR="0051549B">
        <w:t xml:space="preserve">of </w:t>
      </w:r>
      <w:r w:rsidR="004418E2">
        <w:t xml:space="preserve">an interest in land on which </w:t>
      </w:r>
      <w:r w:rsidR="00735DA1">
        <w:t>a dwelling is not affixed</w:t>
      </w:r>
      <w:r w:rsidR="004418E2">
        <w:t xml:space="preserve"> and the construction of a dwelling on that land.</w:t>
      </w:r>
      <w:r w:rsidR="00F200FE">
        <w:t xml:space="preserve"> </w:t>
      </w:r>
      <w:r w:rsidR="0009001D">
        <w:t xml:space="preserve">Specifically, the </w:t>
      </w:r>
      <w:r w:rsidR="00DA1EDB">
        <w:t>amendments</w:t>
      </w:r>
      <w:r w:rsidR="00577634">
        <w:t>:</w:t>
      </w:r>
    </w:p>
    <w:p w14:paraId="5D8F6D9C" w14:textId="45D73C88" w:rsidR="00203242" w:rsidRDefault="00203242" w:rsidP="0044655C">
      <w:pPr>
        <w:pStyle w:val="Bullet"/>
        <w:rPr>
          <w:shd w:val="clear" w:color="auto" w:fill="FFFFFF"/>
        </w:rPr>
      </w:pPr>
      <w:r w:rsidRPr="00203242">
        <w:rPr>
          <w:shd w:val="clear" w:color="auto" w:fill="FFFFFF"/>
        </w:rPr>
        <w:t>better facilitate loan agreements to allow interest-only payments in the construction period by extending the maximum loan term to accommodate this period</w:t>
      </w:r>
      <w:r>
        <w:rPr>
          <w:shd w:val="clear" w:color="auto" w:fill="FFFFFF"/>
        </w:rPr>
        <w:t>;</w:t>
      </w:r>
    </w:p>
    <w:p w14:paraId="68419BDF" w14:textId="6535A0BE" w:rsidR="005C1343" w:rsidRPr="00A93167" w:rsidRDefault="00A93167" w:rsidP="00A93167">
      <w:pPr>
        <w:pStyle w:val="Bullet"/>
        <w:rPr>
          <w:shd w:val="clear" w:color="auto" w:fill="FFFFFF"/>
        </w:rPr>
      </w:pPr>
      <w:r w:rsidRPr="00A93167">
        <w:rPr>
          <w:shd w:val="clear" w:color="auto" w:fill="FFFFFF"/>
        </w:rPr>
        <w:t xml:space="preserve">allow the </w:t>
      </w:r>
      <w:r w:rsidR="00575F24" w:rsidRPr="00A93167">
        <w:rPr>
          <w:shd w:val="clear" w:color="auto" w:fill="FFFFFF"/>
        </w:rPr>
        <w:t>loan agreement to exceed 30</w:t>
      </w:r>
      <w:r w:rsidR="00920DBD" w:rsidRPr="00A93167">
        <w:rPr>
          <w:shd w:val="clear" w:color="auto" w:fill="FFFFFF"/>
        </w:rPr>
        <w:t> </w:t>
      </w:r>
      <w:r w:rsidR="00575F24" w:rsidRPr="00A93167">
        <w:rPr>
          <w:shd w:val="clear" w:color="auto" w:fill="FFFFFF"/>
        </w:rPr>
        <w:t>years, but only if the period of the loan agreement after the completion of the construction of the new dwelling is not more than 30 years</w:t>
      </w:r>
      <w:r w:rsidR="0044655C" w:rsidRPr="00A93167">
        <w:rPr>
          <w:shd w:val="clear" w:color="auto" w:fill="FFFFFF"/>
        </w:rPr>
        <w:t xml:space="preserve">; </w:t>
      </w:r>
    </w:p>
    <w:p w14:paraId="6C95AA38" w14:textId="68E9B800" w:rsidR="00357489" w:rsidRDefault="00F71134" w:rsidP="0044655C">
      <w:pPr>
        <w:pStyle w:val="Bullet"/>
        <w:rPr>
          <w:shd w:val="clear" w:color="auto" w:fill="FFFFFF"/>
        </w:rPr>
      </w:pPr>
      <w:r>
        <w:rPr>
          <w:shd w:val="clear" w:color="auto" w:fill="FFFFFF"/>
        </w:rPr>
        <w:t>set</w:t>
      </w:r>
      <w:r w:rsidR="001B4F0A">
        <w:rPr>
          <w:shd w:val="clear" w:color="auto" w:fill="FFFFFF"/>
        </w:rPr>
        <w:t xml:space="preserve"> new </w:t>
      </w:r>
      <w:r w:rsidR="00214B3B">
        <w:rPr>
          <w:shd w:val="clear" w:color="auto" w:fill="FFFFFF"/>
        </w:rPr>
        <w:t>dwelling contract</w:t>
      </w:r>
      <w:r w:rsidR="001B4F0A">
        <w:rPr>
          <w:shd w:val="clear" w:color="auto" w:fill="FFFFFF"/>
        </w:rPr>
        <w:t xml:space="preserve"> requirements</w:t>
      </w:r>
      <w:r w:rsidR="00A423C3">
        <w:rPr>
          <w:shd w:val="clear" w:color="auto" w:fill="FFFFFF"/>
        </w:rPr>
        <w:t xml:space="preserve"> that must be satisfied to support the integrity of the scheme</w:t>
      </w:r>
      <w:r w:rsidR="005C1343">
        <w:rPr>
          <w:shd w:val="clear" w:color="auto" w:fill="FFFFFF"/>
        </w:rPr>
        <w:t xml:space="preserve">; </w:t>
      </w:r>
      <w:r w:rsidR="0044655C">
        <w:rPr>
          <w:shd w:val="clear" w:color="auto" w:fill="FFFFFF"/>
        </w:rPr>
        <w:t>and</w:t>
      </w:r>
    </w:p>
    <w:p w14:paraId="021596E1" w14:textId="556445DD" w:rsidR="00A57A08" w:rsidRDefault="00CE297A" w:rsidP="00CB75C1">
      <w:pPr>
        <w:pStyle w:val="Bullet"/>
      </w:pPr>
      <w:r>
        <w:rPr>
          <w:shd w:val="clear" w:color="auto" w:fill="FFFFFF"/>
        </w:rPr>
        <w:t>establish</w:t>
      </w:r>
      <w:r w:rsidRPr="00A57A08">
        <w:rPr>
          <w:shd w:val="clear" w:color="auto" w:fill="FFFFFF"/>
        </w:rPr>
        <w:t xml:space="preserve"> </w:t>
      </w:r>
      <w:r w:rsidR="00046705">
        <w:rPr>
          <w:shd w:val="clear" w:color="auto" w:fill="FFFFFF"/>
        </w:rPr>
        <w:t>timeframe</w:t>
      </w:r>
      <w:r w:rsidR="006834CB">
        <w:rPr>
          <w:shd w:val="clear" w:color="auto" w:fill="FFFFFF"/>
        </w:rPr>
        <w:t>s</w:t>
      </w:r>
      <w:r w:rsidRPr="00A57A08">
        <w:rPr>
          <w:shd w:val="clear" w:color="auto" w:fill="FFFFFF"/>
        </w:rPr>
        <w:t xml:space="preserve"> </w:t>
      </w:r>
      <w:r w:rsidR="0065600D">
        <w:rPr>
          <w:shd w:val="clear" w:color="auto" w:fill="FFFFFF"/>
        </w:rPr>
        <w:t>for</w:t>
      </w:r>
      <w:r w:rsidR="0058147B" w:rsidRPr="00A57A08">
        <w:rPr>
          <w:shd w:val="clear" w:color="auto" w:fill="FFFFFF"/>
        </w:rPr>
        <w:t xml:space="preserve"> construction of a</w:t>
      </w:r>
      <w:r w:rsidR="002A6EA9" w:rsidRPr="00A57A08">
        <w:rPr>
          <w:shd w:val="clear" w:color="auto" w:fill="FFFFFF"/>
        </w:rPr>
        <w:t xml:space="preserve"> new</w:t>
      </w:r>
      <w:r w:rsidR="0058147B" w:rsidRPr="00A57A08">
        <w:rPr>
          <w:shd w:val="clear" w:color="auto" w:fill="FFFFFF"/>
        </w:rPr>
        <w:t xml:space="preserve"> dwelling </w:t>
      </w:r>
      <w:r w:rsidR="005C596E">
        <w:rPr>
          <w:shd w:val="clear" w:color="auto" w:fill="FFFFFF"/>
        </w:rPr>
        <w:t xml:space="preserve">which </w:t>
      </w:r>
      <w:r w:rsidR="00B14F29">
        <w:rPr>
          <w:shd w:val="clear" w:color="auto" w:fill="FFFFFF"/>
        </w:rPr>
        <w:t>loan agreements</w:t>
      </w:r>
      <w:r w:rsidR="005C596E">
        <w:rPr>
          <w:shd w:val="clear" w:color="auto" w:fill="FFFFFF"/>
        </w:rPr>
        <w:t xml:space="preserve"> must satisfy, to </w:t>
      </w:r>
      <w:r w:rsidR="00D172A0" w:rsidRPr="00A57A08">
        <w:rPr>
          <w:shd w:val="clear" w:color="auto" w:fill="FFFFFF"/>
        </w:rPr>
        <w:t>support the integrity of the scheme</w:t>
      </w:r>
      <w:r w:rsidR="0044655C">
        <w:rPr>
          <w:shd w:val="clear" w:color="auto" w:fill="FFFFFF"/>
        </w:rPr>
        <w:t>.</w:t>
      </w:r>
      <w:r w:rsidR="00A57A08" w:rsidRPr="00A57A08">
        <w:rPr>
          <w:shd w:val="clear" w:color="auto" w:fill="FFFFFF"/>
        </w:rPr>
        <w:t xml:space="preserve"> </w:t>
      </w:r>
      <w:r w:rsidR="00236865">
        <w:t>Housing</w:t>
      </w:r>
      <w:r w:rsidR="00E8764A">
        <w:t xml:space="preserve"> Australia may adjust timeframes in individual cases where </w:t>
      </w:r>
      <w:r w:rsidR="00236865">
        <w:t xml:space="preserve">satisfied </w:t>
      </w:r>
      <w:r w:rsidR="00FF53BE">
        <w:t>it</w:t>
      </w:r>
      <w:r w:rsidR="00E8764A">
        <w:t xml:space="preserve"> is necessary or appropriate</w:t>
      </w:r>
      <w:r w:rsidR="00236865">
        <w:t xml:space="preserve">, and the </w:t>
      </w:r>
      <w:r w:rsidR="000345F1">
        <w:t xml:space="preserve">loan agreement </w:t>
      </w:r>
      <w:r w:rsidR="00236865">
        <w:t>allows</w:t>
      </w:r>
      <w:r w:rsidR="00C32A13">
        <w:t>.</w:t>
      </w:r>
    </w:p>
    <w:p w14:paraId="155555F1" w14:textId="31229B89" w:rsidR="009A03CF" w:rsidRPr="00A37517" w:rsidRDefault="00654FDF" w:rsidP="00FE1A67">
      <w:pPr>
        <w:pStyle w:val="Heading2"/>
        <w:rPr>
          <w:b w:val="0"/>
          <w:i/>
        </w:rPr>
      </w:pPr>
      <w:r w:rsidRPr="00A37517">
        <w:rPr>
          <w:b w:val="0"/>
          <w:i/>
        </w:rPr>
        <w:t>Definition</w:t>
      </w:r>
      <w:r w:rsidR="00A040EB" w:rsidRPr="00A37517">
        <w:rPr>
          <w:b w:val="0"/>
          <w:i/>
        </w:rPr>
        <w:t>s</w:t>
      </w:r>
    </w:p>
    <w:p w14:paraId="73F92947" w14:textId="6BA9A175" w:rsidR="001303E2" w:rsidRDefault="001303E2" w:rsidP="009A03CF">
      <w:pPr>
        <w:spacing w:before="240" w:after="200"/>
      </w:pPr>
      <w:r>
        <w:t>Item 1 of the Instrument</w:t>
      </w:r>
      <w:r w:rsidR="00E87C66">
        <w:t xml:space="preserve"> inserts two new definitions into the definitions section. They are:</w:t>
      </w:r>
    </w:p>
    <w:p w14:paraId="3B6C27E4" w14:textId="7BD16604" w:rsidR="00C74739" w:rsidRDefault="00C421EB" w:rsidP="00C74739">
      <w:pPr>
        <w:pStyle w:val="Bullet"/>
        <w:rPr>
          <w:shd w:val="clear" w:color="auto" w:fill="FFFFFF"/>
        </w:rPr>
      </w:pPr>
      <w:r>
        <w:rPr>
          <w:shd w:val="clear" w:color="auto" w:fill="FFFFFF"/>
        </w:rPr>
        <w:t>n</w:t>
      </w:r>
      <w:r w:rsidR="00C74739">
        <w:rPr>
          <w:shd w:val="clear" w:color="auto" w:fill="FFFFFF"/>
        </w:rPr>
        <w:t>ew</w:t>
      </w:r>
      <w:r w:rsidR="00C74739" w:rsidDel="00B67669">
        <w:rPr>
          <w:shd w:val="clear" w:color="auto" w:fill="FFFFFF"/>
        </w:rPr>
        <w:t xml:space="preserve"> </w:t>
      </w:r>
      <w:r w:rsidR="00B67669">
        <w:rPr>
          <w:shd w:val="clear" w:color="auto" w:fill="FFFFFF"/>
        </w:rPr>
        <w:t xml:space="preserve">dwelling </w:t>
      </w:r>
      <w:r w:rsidR="00C74739">
        <w:rPr>
          <w:shd w:val="clear" w:color="auto" w:fill="FFFFFF"/>
        </w:rPr>
        <w:t>contract requirements –</w:t>
      </w:r>
      <w:r w:rsidR="00C74739" w:rsidRPr="00AF228A">
        <w:rPr>
          <w:shd w:val="clear" w:color="auto" w:fill="FFFFFF"/>
        </w:rPr>
        <w:t xml:space="preserve"> </w:t>
      </w:r>
      <w:r w:rsidR="00C74739">
        <w:rPr>
          <w:shd w:val="clear" w:color="auto" w:fill="FFFFFF"/>
        </w:rPr>
        <w:t xml:space="preserve">the amendment inserts a signpost to the definition of new </w:t>
      </w:r>
      <w:r w:rsidR="00B67669">
        <w:rPr>
          <w:shd w:val="clear" w:color="auto" w:fill="FFFFFF"/>
        </w:rPr>
        <w:t xml:space="preserve">dwelling </w:t>
      </w:r>
      <w:r>
        <w:rPr>
          <w:shd w:val="clear" w:color="auto" w:fill="FFFFFF"/>
        </w:rPr>
        <w:t>contract requirements</w:t>
      </w:r>
      <w:r w:rsidR="00C74739">
        <w:rPr>
          <w:shd w:val="clear" w:color="auto" w:fill="FFFFFF"/>
        </w:rPr>
        <w:t xml:space="preserve"> under section 29</w:t>
      </w:r>
      <w:r>
        <w:rPr>
          <w:shd w:val="clear" w:color="auto" w:fill="FFFFFF"/>
        </w:rPr>
        <w:t>CA</w:t>
      </w:r>
      <w:r w:rsidR="00C74739" w:rsidRPr="00AF228A">
        <w:rPr>
          <w:shd w:val="clear" w:color="auto" w:fill="FFFFFF"/>
        </w:rPr>
        <w:t>;</w:t>
      </w:r>
      <w:r w:rsidR="0081320C">
        <w:rPr>
          <w:shd w:val="clear" w:color="auto" w:fill="FFFFFF"/>
        </w:rPr>
        <w:t xml:space="preserve"> and</w:t>
      </w:r>
    </w:p>
    <w:p w14:paraId="3F433A3B" w14:textId="6D2B90F7" w:rsidR="00C74739" w:rsidRPr="002C1CE8" w:rsidRDefault="00852994" w:rsidP="00C74739">
      <w:pPr>
        <w:pStyle w:val="Bullet"/>
        <w:rPr>
          <w:shd w:val="clear" w:color="auto" w:fill="FFFFFF"/>
        </w:rPr>
      </w:pPr>
      <w:r>
        <w:rPr>
          <w:shd w:val="clear" w:color="auto" w:fill="FFFFFF"/>
        </w:rPr>
        <w:t>timeframe requirements</w:t>
      </w:r>
      <w:r w:rsidR="00C74739">
        <w:rPr>
          <w:shd w:val="clear" w:color="auto" w:fill="FFFFFF"/>
        </w:rPr>
        <w:t xml:space="preserve"> – </w:t>
      </w:r>
      <w:r w:rsidR="00C74739" w:rsidRPr="005175E7">
        <w:rPr>
          <w:shd w:val="clear" w:color="auto" w:fill="FFFFFF"/>
        </w:rPr>
        <w:t xml:space="preserve">the amendment inserts a signpost to </w:t>
      </w:r>
      <w:r>
        <w:rPr>
          <w:shd w:val="clear" w:color="auto" w:fill="FFFFFF"/>
        </w:rPr>
        <w:t xml:space="preserve">timeframe requirements </w:t>
      </w:r>
      <w:r w:rsidR="00C74739" w:rsidRPr="005175E7">
        <w:rPr>
          <w:shd w:val="clear" w:color="auto" w:fill="FFFFFF"/>
        </w:rPr>
        <w:t>under section 29</w:t>
      </w:r>
      <w:r>
        <w:rPr>
          <w:shd w:val="clear" w:color="auto" w:fill="FFFFFF"/>
        </w:rPr>
        <w:t>CB</w:t>
      </w:r>
      <w:r w:rsidR="0081320C">
        <w:rPr>
          <w:shd w:val="clear" w:color="auto" w:fill="FFFFFF"/>
        </w:rPr>
        <w:t>.</w:t>
      </w:r>
    </w:p>
    <w:p w14:paraId="47FDB431" w14:textId="30A70ECF" w:rsidR="008061A8" w:rsidRPr="00A37517" w:rsidRDefault="00486438" w:rsidP="00FE1A67">
      <w:pPr>
        <w:pStyle w:val="Heading3"/>
      </w:pPr>
      <w:r w:rsidRPr="00A37517">
        <w:t>Eligible loan</w:t>
      </w:r>
    </w:p>
    <w:p w14:paraId="749DAADC" w14:textId="449DEFA8" w:rsidR="00372C84" w:rsidRDefault="00372C84" w:rsidP="00372C84">
      <w:pPr>
        <w:spacing w:before="240" w:after="200"/>
        <w:rPr>
          <w:color w:val="000000"/>
          <w:shd w:val="clear" w:color="auto" w:fill="FFFFFF"/>
        </w:rPr>
      </w:pPr>
      <w:r>
        <w:rPr>
          <w:color w:val="000000"/>
          <w:shd w:val="clear" w:color="auto" w:fill="FFFFFF"/>
        </w:rPr>
        <w:t>Subsection</w:t>
      </w:r>
      <w:r w:rsidR="00920DBD">
        <w:rPr>
          <w:color w:val="000000"/>
          <w:shd w:val="clear" w:color="auto" w:fill="FFFFFF"/>
        </w:rPr>
        <w:t> </w:t>
      </w:r>
      <w:r>
        <w:rPr>
          <w:color w:val="000000"/>
          <w:shd w:val="clear" w:color="auto" w:fill="FFFFFF"/>
        </w:rPr>
        <w:t>29</w:t>
      </w:r>
      <w:proofErr w:type="gramStart"/>
      <w:r>
        <w:rPr>
          <w:color w:val="000000"/>
          <w:shd w:val="clear" w:color="auto" w:fill="FFFFFF"/>
        </w:rPr>
        <w:t>C(</w:t>
      </w:r>
      <w:proofErr w:type="gramEnd"/>
      <w:r>
        <w:rPr>
          <w:color w:val="000000"/>
          <w:shd w:val="clear" w:color="auto" w:fill="FFFFFF"/>
        </w:rPr>
        <w:t xml:space="preserve">2) of the Investment Mandate provides that an eligible loan must have particular features at the time it is entered into. </w:t>
      </w:r>
    </w:p>
    <w:p w14:paraId="05CEB04F" w14:textId="3F66610E" w:rsidR="009A03CF" w:rsidRDefault="009D7A42" w:rsidP="009A03CF">
      <w:pPr>
        <w:spacing w:before="240" w:after="200"/>
      </w:pPr>
      <w:r>
        <w:t>Item</w:t>
      </w:r>
      <w:r w:rsidR="00920DBD">
        <w:t> </w:t>
      </w:r>
      <w:r>
        <w:t xml:space="preserve">2 </w:t>
      </w:r>
      <w:r w:rsidR="0085519B">
        <w:t xml:space="preserve">of the Instrument </w:t>
      </w:r>
      <w:r>
        <w:t xml:space="preserve">repeals </w:t>
      </w:r>
      <w:r w:rsidR="00AF3A4F">
        <w:t xml:space="preserve">and substitutes </w:t>
      </w:r>
      <w:r>
        <w:t>paragraph</w:t>
      </w:r>
      <w:r w:rsidR="00920DBD">
        <w:t> </w:t>
      </w:r>
      <w:r>
        <w:t xml:space="preserve">29C(2)(f) </w:t>
      </w:r>
      <w:r w:rsidR="00E52FD3">
        <w:t>to clari</w:t>
      </w:r>
      <w:r w:rsidR="00FA1DD8">
        <w:t xml:space="preserve">fy </w:t>
      </w:r>
      <w:r w:rsidR="00AD6EF2">
        <w:t xml:space="preserve">the scope of </w:t>
      </w:r>
      <w:r w:rsidR="00055D6F">
        <w:t>a</w:t>
      </w:r>
      <w:r w:rsidR="00AD6EF2">
        <w:t xml:space="preserve"> loan where it relates to the purchase of an interest in land</w:t>
      </w:r>
      <w:r w:rsidR="00D2778A">
        <w:t xml:space="preserve"> on which </w:t>
      </w:r>
      <w:r w:rsidR="00735DA1">
        <w:t>a dwelling is not affixed</w:t>
      </w:r>
      <w:r w:rsidR="00AD6EF2">
        <w:t xml:space="preserve"> and </w:t>
      </w:r>
      <w:r w:rsidR="00BA7E82">
        <w:t xml:space="preserve">the </w:t>
      </w:r>
      <w:r w:rsidR="00AD6EF2">
        <w:t>construction of a dwelling on that land. The amendment makes clear that the loan relates to the construction of the dwelling</w:t>
      </w:r>
      <w:r w:rsidR="006514CA">
        <w:t xml:space="preserve"> in addition to the purchase of the </w:t>
      </w:r>
      <w:r w:rsidR="007D4BC6">
        <w:t>land interest.</w:t>
      </w:r>
      <w:r w:rsidR="00495807">
        <w:t xml:space="preserve"> In circumstances where </w:t>
      </w:r>
      <w:r w:rsidR="0086797D">
        <w:t>the lender requires separate loans for the purchase of land and that construction of a dwelling on that land, Housing Aus</w:t>
      </w:r>
      <w:r w:rsidR="00B719BF">
        <w:t>tralia issues only one guarantee in respect</w:t>
      </w:r>
      <w:r w:rsidR="00901957">
        <w:t xml:space="preserve"> of a combined land and construction arrangement with the eligible lender.</w:t>
      </w:r>
    </w:p>
    <w:p w14:paraId="7C023779" w14:textId="0A71485B" w:rsidR="000D38DE" w:rsidRDefault="00CE3B11" w:rsidP="009A03CF">
      <w:pPr>
        <w:spacing w:before="240" w:after="200"/>
      </w:pPr>
      <w:r>
        <w:t>Item</w:t>
      </w:r>
      <w:r w:rsidR="00920DBD">
        <w:t> </w:t>
      </w:r>
      <w:r w:rsidR="0085519B">
        <w:t>4 of the Instrument</w:t>
      </w:r>
      <w:r w:rsidR="00776DB2">
        <w:t xml:space="preserve"> inserts a new paragraph</w:t>
      </w:r>
      <w:r w:rsidR="00920DBD">
        <w:t> </w:t>
      </w:r>
      <w:r w:rsidR="00776DB2">
        <w:t>2</w:t>
      </w:r>
      <w:r w:rsidR="000C4E5F">
        <w:t>9C(2)(m) to prescribe requirements that must be met</w:t>
      </w:r>
      <w:r w:rsidR="00AD5EF8">
        <w:t xml:space="preserve"> where the loan relates to the purchase of a land interest on which a dwelling is not affixed</w:t>
      </w:r>
      <w:r w:rsidR="00F34D47">
        <w:t xml:space="preserve"> and the loan also relates to the construction of a dwelling on that land </w:t>
      </w:r>
      <w:r w:rsidR="00471C5B">
        <w:t xml:space="preserve">– for </w:t>
      </w:r>
      <w:r w:rsidR="00F34D47">
        <w:t xml:space="preserve">example, </w:t>
      </w:r>
      <w:r w:rsidR="00550F93">
        <w:t xml:space="preserve">a </w:t>
      </w:r>
      <w:r w:rsidR="00901D7F">
        <w:t xml:space="preserve">loan for a </w:t>
      </w:r>
      <w:r w:rsidR="00F34D47">
        <w:t>house and land package</w:t>
      </w:r>
      <w:r w:rsidR="00901D7F">
        <w:t xml:space="preserve">, or </w:t>
      </w:r>
      <w:r w:rsidR="00550F93">
        <w:t xml:space="preserve">a </w:t>
      </w:r>
      <w:r w:rsidR="00901D7F">
        <w:t>loan</w:t>
      </w:r>
      <w:r w:rsidR="00B47191">
        <w:t xml:space="preserve"> for separate purchase of vacant land and construction of a dwelling on that land</w:t>
      </w:r>
      <w:r w:rsidR="009333C6">
        <w:t xml:space="preserve">. The </w:t>
      </w:r>
      <w:r w:rsidR="00570497">
        <w:t>loan</w:t>
      </w:r>
      <w:r w:rsidR="009333C6">
        <w:t xml:space="preserve"> </w:t>
      </w:r>
      <w:r w:rsidR="00C66D84">
        <w:t>agreement</w:t>
      </w:r>
      <w:r w:rsidR="009333C6">
        <w:t xml:space="preserve"> for the construction of the dwelling must meet:</w:t>
      </w:r>
    </w:p>
    <w:p w14:paraId="60C8AACE" w14:textId="5AD01B1F" w:rsidR="009333C6" w:rsidRDefault="009333C6" w:rsidP="009333C6">
      <w:pPr>
        <w:pStyle w:val="Bullet"/>
        <w:rPr>
          <w:shd w:val="clear" w:color="auto" w:fill="FFFFFF"/>
        </w:rPr>
      </w:pPr>
      <w:r>
        <w:rPr>
          <w:shd w:val="clear" w:color="auto" w:fill="FFFFFF"/>
        </w:rPr>
        <w:t>new</w:t>
      </w:r>
      <w:r w:rsidDel="00761C33">
        <w:rPr>
          <w:shd w:val="clear" w:color="auto" w:fill="FFFFFF"/>
        </w:rPr>
        <w:t xml:space="preserve"> </w:t>
      </w:r>
      <w:r w:rsidR="00761C33">
        <w:rPr>
          <w:shd w:val="clear" w:color="auto" w:fill="FFFFFF"/>
        </w:rPr>
        <w:t xml:space="preserve">dwelling </w:t>
      </w:r>
      <w:r>
        <w:rPr>
          <w:shd w:val="clear" w:color="auto" w:fill="FFFFFF"/>
        </w:rPr>
        <w:t>contract requirements in section</w:t>
      </w:r>
      <w:r w:rsidR="00920DBD">
        <w:rPr>
          <w:shd w:val="clear" w:color="auto" w:fill="FFFFFF"/>
        </w:rPr>
        <w:t> </w:t>
      </w:r>
      <w:r>
        <w:rPr>
          <w:shd w:val="clear" w:color="auto" w:fill="FFFFFF"/>
        </w:rPr>
        <w:t>29CA</w:t>
      </w:r>
      <w:r w:rsidRPr="00AF228A">
        <w:rPr>
          <w:shd w:val="clear" w:color="auto" w:fill="FFFFFF"/>
        </w:rPr>
        <w:t>;</w:t>
      </w:r>
      <w:r>
        <w:rPr>
          <w:shd w:val="clear" w:color="auto" w:fill="FFFFFF"/>
        </w:rPr>
        <w:t xml:space="preserve"> and</w:t>
      </w:r>
    </w:p>
    <w:p w14:paraId="0A0F7D63" w14:textId="7CAD646D" w:rsidR="00BB7701" w:rsidRPr="00EB7931" w:rsidRDefault="009333C6" w:rsidP="00EB7931">
      <w:pPr>
        <w:pStyle w:val="Bullet"/>
        <w:rPr>
          <w:shd w:val="clear" w:color="auto" w:fill="FFFFFF"/>
        </w:rPr>
      </w:pPr>
      <w:r>
        <w:rPr>
          <w:shd w:val="clear" w:color="auto" w:fill="FFFFFF"/>
        </w:rPr>
        <w:t xml:space="preserve">timeframe requirements in </w:t>
      </w:r>
      <w:r w:rsidRPr="005175E7">
        <w:rPr>
          <w:shd w:val="clear" w:color="auto" w:fill="FFFFFF"/>
        </w:rPr>
        <w:t>section</w:t>
      </w:r>
      <w:r w:rsidR="00920DBD">
        <w:rPr>
          <w:shd w:val="clear" w:color="auto" w:fill="FFFFFF"/>
        </w:rPr>
        <w:t> </w:t>
      </w:r>
      <w:r w:rsidRPr="005175E7">
        <w:rPr>
          <w:shd w:val="clear" w:color="auto" w:fill="FFFFFF"/>
        </w:rPr>
        <w:t>29</w:t>
      </w:r>
      <w:r>
        <w:rPr>
          <w:shd w:val="clear" w:color="auto" w:fill="FFFFFF"/>
        </w:rPr>
        <w:t>CB.</w:t>
      </w:r>
    </w:p>
    <w:p w14:paraId="29225A01" w14:textId="0713557C" w:rsidR="00D677F3" w:rsidRDefault="00373F5E" w:rsidP="00373F5E">
      <w:pPr>
        <w:spacing w:before="240" w:after="200"/>
      </w:pPr>
      <w:r>
        <w:t>Item</w:t>
      </w:r>
      <w:r w:rsidR="00920DBD">
        <w:t> </w:t>
      </w:r>
      <w:r>
        <w:t xml:space="preserve">5 of the Instrument </w:t>
      </w:r>
      <w:r w:rsidR="00835337">
        <w:t>repeals and substitutes subsection</w:t>
      </w:r>
      <w:r w:rsidR="00920DBD">
        <w:t> </w:t>
      </w:r>
      <w:r w:rsidR="00835337">
        <w:t>29</w:t>
      </w:r>
      <w:proofErr w:type="gramStart"/>
      <w:r w:rsidR="00835337">
        <w:t>C(</w:t>
      </w:r>
      <w:proofErr w:type="gramEnd"/>
      <w:r w:rsidR="00835337">
        <w:t>3)</w:t>
      </w:r>
      <w:r w:rsidR="00D677F3">
        <w:t xml:space="preserve"> so that the following requirements concerning eligible loans in paragraphs 29C(2)(j) and (k)</w:t>
      </w:r>
      <w:r w:rsidR="00E02C23">
        <w:t xml:space="preserve"> are subject to subsection</w:t>
      </w:r>
      <w:r w:rsidR="00920DBD">
        <w:t> </w:t>
      </w:r>
      <w:r w:rsidR="00E02C23">
        <w:t>29C(3) concerning purchase of land on which a dwelling is not affixed and construction of a dwelling on that land:</w:t>
      </w:r>
    </w:p>
    <w:p w14:paraId="4C3472A9" w14:textId="6582369B" w:rsidR="00E02C23" w:rsidRDefault="00E02C23" w:rsidP="00E02C23">
      <w:pPr>
        <w:pStyle w:val="Bullet"/>
        <w:rPr>
          <w:shd w:val="clear" w:color="auto" w:fill="FFFFFF"/>
        </w:rPr>
      </w:pPr>
      <w:r>
        <w:t xml:space="preserve">the loan </w:t>
      </w:r>
      <w:r w:rsidR="00BA3DA3">
        <w:t xml:space="preserve">agreement </w:t>
      </w:r>
      <w:r>
        <w:t>require</w:t>
      </w:r>
      <w:r w:rsidR="00BC265D">
        <w:t>s</w:t>
      </w:r>
      <w:r>
        <w:t xml:space="preserve"> payments of principal for the full period of the loan</w:t>
      </w:r>
      <w:r w:rsidRPr="00AF228A">
        <w:rPr>
          <w:shd w:val="clear" w:color="auto" w:fill="FFFFFF"/>
        </w:rPr>
        <w:t>;</w:t>
      </w:r>
      <w:r>
        <w:rPr>
          <w:shd w:val="clear" w:color="auto" w:fill="FFFFFF"/>
        </w:rPr>
        <w:t xml:space="preserve"> and</w:t>
      </w:r>
    </w:p>
    <w:p w14:paraId="131F8A6D" w14:textId="512EE914" w:rsidR="00E02C23" w:rsidRPr="00EB7931" w:rsidRDefault="00524A7B" w:rsidP="00E02C23">
      <w:pPr>
        <w:pStyle w:val="Bullet"/>
        <w:rPr>
          <w:shd w:val="clear" w:color="auto" w:fill="FFFFFF"/>
        </w:rPr>
      </w:pPr>
      <w:r>
        <w:rPr>
          <w:shd w:val="clear" w:color="auto" w:fill="FFFFFF"/>
        </w:rPr>
        <w:t xml:space="preserve">the loan </w:t>
      </w:r>
      <w:r w:rsidR="00BA3DA3">
        <w:rPr>
          <w:shd w:val="clear" w:color="auto" w:fill="FFFFFF"/>
        </w:rPr>
        <w:t xml:space="preserve">agreement </w:t>
      </w:r>
      <w:r>
        <w:rPr>
          <w:shd w:val="clear" w:color="auto" w:fill="FFFFFF"/>
        </w:rPr>
        <w:t>has a term of</w:t>
      </w:r>
      <w:r w:rsidR="0056101F">
        <w:rPr>
          <w:shd w:val="clear" w:color="auto" w:fill="FFFFFF"/>
        </w:rPr>
        <w:t xml:space="preserve"> up to </w:t>
      </w:r>
      <w:r w:rsidR="006E79FA">
        <w:rPr>
          <w:shd w:val="clear" w:color="auto" w:fill="FFFFFF"/>
        </w:rPr>
        <w:t>30</w:t>
      </w:r>
      <w:r w:rsidR="00920DBD">
        <w:rPr>
          <w:shd w:val="clear" w:color="auto" w:fill="FFFFFF"/>
        </w:rPr>
        <w:t> </w:t>
      </w:r>
      <w:r w:rsidR="006E79FA">
        <w:rPr>
          <w:shd w:val="clear" w:color="auto" w:fill="FFFFFF"/>
        </w:rPr>
        <w:t>years</w:t>
      </w:r>
      <w:r w:rsidR="00E02C23">
        <w:rPr>
          <w:shd w:val="clear" w:color="auto" w:fill="FFFFFF"/>
        </w:rPr>
        <w:t>.</w:t>
      </w:r>
    </w:p>
    <w:p w14:paraId="2230CF4F" w14:textId="71671D69" w:rsidR="00E02C23" w:rsidRDefault="00675B78" w:rsidP="00373F5E">
      <w:pPr>
        <w:spacing w:before="240" w:after="200"/>
      </w:pPr>
      <w:r>
        <w:t>T</w:t>
      </w:r>
      <w:r w:rsidR="00402F7C">
        <w:t>he new paragraph</w:t>
      </w:r>
      <w:r w:rsidR="00920DBD">
        <w:t> </w:t>
      </w:r>
      <w:r w:rsidR="00402F7C">
        <w:t>29C(3)(a) provides that</w:t>
      </w:r>
      <w:r w:rsidR="005B1604">
        <w:t xml:space="preserve"> w</w:t>
      </w:r>
      <w:r w:rsidR="00445C40">
        <w:t>here the loan relat</w:t>
      </w:r>
      <w:r w:rsidR="005B1604">
        <w:t xml:space="preserve">es to the purchase on an interest in land on which </w:t>
      </w:r>
      <w:r w:rsidR="00735DA1">
        <w:t>a dwelling is not affixed</w:t>
      </w:r>
      <w:r w:rsidR="005B1604">
        <w:t xml:space="preserve"> and a </w:t>
      </w:r>
      <w:r w:rsidR="000244D1">
        <w:t>dwelling</w:t>
      </w:r>
      <w:r w:rsidR="005B1604">
        <w:t xml:space="preserve"> is to be built, the loan may be an eligible loan where</w:t>
      </w:r>
      <w:r w:rsidR="00226348">
        <w:t xml:space="preserve"> it allows</w:t>
      </w:r>
      <w:r w:rsidR="00ED6C13">
        <w:t xml:space="preserve"> interest</w:t>
      </w:r>
      <w:r w:rsidR="00831931">
        <w:t>-only payments to be made while the dwelling is being built.</w:t>
      </w:r>
      <w:r w:rsidR="00AE62D2">
        <w:t xml:space="preserve"> At the conclusion of the construction period, the loan agreement</w:t>
      </w:r>
      <w:r w:rsidR="003418A6">
        <w:t xml:space="preserve"> </w:t>
      </w:r>
      <w:r w:rsidR="00EE10A6">
        <w:t xml:space="preserve">must require repayments of the </w:t>
      </w:r>
      <w:r w:rsidR="00785B1D">
        <w:t>principal of the loan for the remaining period of the loan agreement.</w:t>
      </w:r>
    </w:p>
    <w:p w14:paraId="62299586" w14:textId="24A3193B" w:rsidR="00835337" w:rsidRDefault="00426F2C" w:rsidP="00373F5E">
      <w:pPr>
        <w:spacing w:before="240" w:after="200"/>
      </w:pPr>
      <w:r>
        <w:t>The new paragraph</w:t>
      </w:r>
      <w:r w:rsidR="00920DBD">
        <w:t> </w:t>
      </w:r>
      <w:r>
        <w:t>29C(</w:t>
      </w:r>
      <w:r w:rsidR="00D91DE1">
        <w:t>3)(b)</w:t>
      </w:r>
      <w:r w:rsidR="000E1C0B">
        <w:t xml:space="preserve"> provides that where the loan relates to the purchase on an interest in land on which </w:t>
      </w:r>
      <w:r w:rsidR="00735DA1">
        <w:t>a dwelling is not affixed</w:t>
      </w:r>
      <w:r w:rsidR="000E1C0B">
        <w:t xml:space="preserve"> and a dwelling is to be built, the </w:t>
      </w:r>
      <w:r w:rsidR="002E7FBF">
        <w:t xml:space="preserve">term of the </w:t>
      </w:r>
      <w:r w:rsidR="000E1C0B">
        <w:t>loan</w:t>
      </w:r>
      <w:r w:rsidR="002E7FBF">
        <w:t xml:space="preserve"> agreement can exceed 30</w:t>
      </w:r>
      <w:r w:rsidR="00920DBD">
        <w:t> </w:t>
      </w:r>
      <w:r w:rsidR="002E7FBF">
        <w:t>years, but only if the period of the loan agreement after the dwelling’s construction i</w:t>
      </w:r>
      <w:r w:rsidR="00F976F0">
        <w:t>s</w:t>
      </w:r>
      <w:r w:rsidR="007C7B5A">
        <w:t xml:space="preserve"> completed does not exceed 30</w:t>
      </w:r>
      <w:r w:rsidR="00920DBD">
        <w:t> </w:t>
      </w:r>
      <w:r w:rsidR="007C7B5A">
        <w:t>years.</w:t>
      </w:r>
      <w:r w:rsidR="001205AB">
        <w:t xml:space="preserve"> This extended term applies to a new </w:t>
      </w:r>
      <w:r w:rsidR="000F0F4E">
        <w:t xml:space="preserve">dwelling </w:t>
      </w:r>
      <w:r w:rsidR="001205AB">
        <w:t>being constructed under a house and land package</w:t>
      </w:r>
      <w:r w:rsidR="007E4F1D">
        <w:t>,</w:t>
      </w:r>
      <w:r w:rsidR="001205AB">
        <w:t xml:space="preserve"> or a </w:t>
      </w:r>
      <w:r w:rsidR="001205AB" w:rsidRPr="00541631">
        <w:t xml:space="preserve">separate purchase of land </w:t>
      </w:r>
      <w:r w:rsidR="00FF45D6">
        <w:t xml:space="preserve">with no dwelling affixed </w:t>
      </w:r>
      <w:r w:rsidR="001205AB" w:rsidRPr="00541631">
        <w:t xml:space="preserve">and construction of </w:t>
      </w:r>
      <w:r w:rsidR="001205AB">
        <w:t xml:space="preserve">a </w:t>
      </w:r>
      <w:r w:rsidR="001205AB" w:rsidRPr="00541631">
        <w:t>dwelling</w:t>
      </w:r>
      <w:r w:rsidR="001205AB">
        <w:t xml:space="preserve"> on that land.</w:t>
      </w:r>
    </w:p>
    <w:p w14:paraId="1AF78CB6" w14:textId="333BEB78" w:rsidR="00373F5E" w:rsidRDefault="00EB7931" w:rsidP="009A03CF">
      <w:pPr>
        <w:spacing w:before="240" w:after="200"/>
      </w:pPr>
      <w:r>
        <w:t>Item 3 of the Instrument makes a minor referencing amendment in paragraph</w:t>
      </w:r>
      <w:r w:rsidR="00920DBD">
        <w:t> </w:t>
      </w:r>
      <w:r>
        <w:t>29C(2)(k) to reflect the amendments to subsection</w:t>
      </w:r>
      <w:r w:rsidR="00920DBD">
        <w:t> </w:t>
      </w:r>
      <w:r>
        <w:t>29</w:t>
      </w:r>
      <w:proofErr w:type="gramStart"/>
      <w:r>
        <w:t>C(</w:t>
      </w:r>
      <w:proofErr w:type="gramEnd"/>
      <w:r>
        <w:t>3).</w:t>
      </w:r>
    </w:p>
    <w:p w14:paraId="13AAAFA1" w14:textId="1E9456AC" w:rsidR="000917D9" w:rsidRPr="00E17BED" w:rsidRDefault="00486438" w:rsidP="00A67AD4">
      <w:pPr>
        <w:pStyle w:val="Heading3"/>
      </w:pPr>
      <w:r w:rsidRPr="00E17BED">
        <w:t xml:space="preserve">New </w:t>
      </w:r>
      <w:r w:rsidR="000F0F4E">
        <w:t>dwelling</w:t>
      </w:r>
      <w:r w:rsidR="000F0F4E" w:rsidRPr="00E17BED">
        <w:t xml:space="preserve"> </w:t>
      </w:r>
      <w:r w:rsidRPr="00E17BED">
        <w:t xml:space="preserve">contract </w:t>
      </w:r>
      <w:r w:rsidRPr="00B51855">
        <w:t>requirements</w:t>
      </w:r>
    </w:p>
    <w:p w14:paraId="302EEF9A" w14:textId="5B4760A7" w:rsidR="000917D9" w:rsidRDefault="00EB7931" w:rsidP="009A03CF">
      <w:pPr>
        <w:spacing w:before="240" w:after="200"/>
      </w:pPr>
      <w:r>
        <w:t>Item</w:t>
      </w:r>
      <w:r w:rsidR="00920DBD">
        <w:t> </w:t>
      </w:r>
      <w:r>
        <w:t>6</w:t>
      </w:r>
      <w:r w:rsidR="00482DA4">
        <w:t xml:space="preserve"> of the Instrument </w:t>
      </w:r>
      <w:r w:rsidR="000835C1">
        <w:t>inserts section</w:t>
      </w:r>
      <w:r w:rsidR="00920DBD">
        <w:t> </w:t>
      </w:r>
      <w:r w:rsidR="000835C1">
        <w:t xml:space="preserve">29CA. The new section </w:t>
      </w:r>
      <w:r w:rsidR="002C008C">
        <w:t xml:space="preserve">outlines </w:t>
      </w:r>
      <w:r w:rsidR="00765063">
        <w:t xml:space="preserve">additional requirements in </w:t>
      </w:r>
      <w:r w:rsidR="00DF20D8">
        <w:t>relation</w:t>
      </w:r>
      <w:r w:rsidR="00265663">
        <w:t xml:space="preserve"> to a </w:t>
      </w:r>
      <w:r w:rsidR="007C2077">
        <w:t xml:space="preserve">loan </w:t>
      </w:r>
      <w:r w:rsidR="00C66D84">
        <w:t xml:space="preserve">agreement </w:t>
      </w:r>
      <w:r w:rsidR="00265663">
        <w:t xml:space="preserve">for the construction of </w:t>
      </w:r>
      <w:r w:rsidR="00A60041">
        <w:t xml:space="preserve">a new </w:t>
      </w:r>
      <w:r w:rsidR="00265663">
        <w:t>dwe</w:t>
      </w:r>
      <w:r w:rsidR="00537A75">
        <w:t>lling</w:t>
      </w:r>
      <w:r w:rsidR="00AD0ADA">
        <w:t>.</w:t>
      </w:r>
      <w:r w:rsidR="00A60041">
        <w:t xml:space="preserve"> </w:t>
      </w:r>
      <w:r w:rsidR="00AD0ADA">
        <w:t>This is</w:t>
      </w:r>
      <w:r w:rsidR="00A60041">
        <w:t xml:space="preserve"> to support </w:t>
      </w:r>
      <w:r w:rsidR="00B5762B">
        <w:t xml:space="preserve">the </w:t>
      </w:r>
      <w:r w:rsidR="00A60041">
        <w:t>integrity of the HGS</w:t>
      </w:r>
      <w:r w:rsidR="00537A75">
        <w:t xml:space="preserve">. </w:t>
      </w:r>
      <w:r w:rsidR="00CC35C1">
        <w:t>All borrowers under the loan</w:t>
      </w:r>
      <w:r w:rsidR="00C33629">
        <w:t xml:space="preserve"> </w:t>
      </w:r>
      <w:r w:rsidR="00F0670A">
        <w:t>agreement must have</w:t>
      </w:r>
      <w:r w:rsidR="00C33629">
        <w:t xml:space="preserve"> </w:t>
      </w:r>
      <w:proofErr w:type="gramStart"/>
      <w:r w:rsidR="0023770F">
        <w:t>entered</w:t>
      </w:r>
      <w:r w:rsidR="00C33629">
        <w:t xml:space="preserve"> </w:t>
      </w:r>
      <w:r w:rsidR="00827261">
        <w:t>into</w:t>
      </w:r>
      <w:proofErr w:type="gramEnd"/>
      <w:r w:rsidR="00827261">
        <w:t xml:space="preserve"> </w:t>
      </w:r>
      <w:r w:rsidR="00F0670A">
        <w:t xml:space="preserve">a </w:t>
      </w:r>
      <w:r w:rsidR="00C838EF">
        <w:t>building</w:t>
      </w:r>
      <w:r w:rsidR="00F0670A">
        <w:t xml:space="preserve"> </w:t>
      </w:r>
      <w:r w:rsidR="00B2054D">
        <w:t>contract</w:t>
      </w:r>
      <w:r w:rsidR="00C33629">
        <w:t xml:space="preserve"> </w:t>
      </w:r>
      <w:r w:rsidR="00F0670A">
        <w:t xml:space="preserve">that </w:t>
      </w:r>
      <w:r w:rsidR="00DF20D8">
        <w:t>meet</w:t>
      </w:r>
      <w:r w:rsidR="00F0670A">
        <w:t>s</w:t>
      </w:r>
      <w:r w:rsidR="00DF20D8">
        <w:t xml:space="preserve"> these requirements</w:t>
      </w:r>
      <w:r w:rsidR="003277CD">
        <w:t>:</w:t>
      </w:r>
      <w:r w:rsidR="00DF20D8">
        <w:t xml:space="preserve"> </w:t>
      </w:r>
    </w:p>
    <w:p w14:paraId="43C91938" w14:textId="6DF1CBF9" w:rsidR="003277CD" w:rsidRDefault="0076052E" w:rsidP="003277CD">
      <w:pPr>
        <w:pStyle w:val="Bullet"/>
        <w:rPr>
          <w:shd w:val="clear" w:color="auto" w:fill="FFFFFF"/>
        </w:rPr>
      </w:pPr>
      <w:r>
        <w:t xml:space="preserve">the </w:t>
      </w:r>
      <w:r w:rsidR="006551C8">
        <w:t>building</w:t>
      </w:r>
      <w:r>
        <w:t xml:space="preserve"> contract is with a builder that holds all necessary licences and registrations to perform the work</w:t>
      </w:r>
      <w:r w:rsidR="009F65E3">
        <w:t xml:space="preserve"> required under the contract</w:t>
      </w:r>
      <w:r w:rsidR="003F5E28">
        <w:t xml:space="preserve"> in the relevant jurisdiction</w:t>
      </w:r>
      <w:r w:rsidR="00211DE0">
        <w:t>;</w:t>
      </w:r>
    </w:p>
    <w:p w14:paraId="7497E6B1" w14:textId="34F33B8B" w:rsidR="00315390" w:rsidRDefault="00E82C25" w:rsidP="003277CD">
      <w:pPr>
        <w:pStyle w:val="Bullet"/>
        <w:rPr>
          <w:shd w:val="clear" w:color="auto" w:fill="FFFFFF"/>
        </w:rPr>
      </w:pPr>
      <w:r>
        <w:rPr>
          <w:shd w:val="clear" w:color="auto" w:fill="FFFFFF"/>
        </w:rPr>
        <w:t xml:space="preserve">insurance policies are in place </w:t>
      </w:r>
      <w:r w:rsidR="00490D9F">
        <w:rPr>
          <w:shd w:val="clear" w:color="auto" w:fill="FFFFFF"/>
        </w:rPr>
        <w:t>for</w:t>
      </w:r>
      <w:r>
        <w:rPr>
          <w:shd w:val="clear" w:color="auto" w:fill="FFFFFF"/>
        </w:rPr>
        <w:t xml:space="preserve"> the construction of the dwelling (as</w:t>
      </w:r>
      <w:r w:rsidR="005144DF">
        <w:rPr>
          <w:shd w:val="clear" w:color="auto" w:fill="FFFFFF"/>
        </w:rPr>
        <w:t xml:space="preserve"> </w:t>
      </w:r>
      <w:r w:rsidR="00E54461">
        <w:rPr>
          <w:shd w:val="clear" w:color="auto" w:fill="FFFFFF"/>
        </w:rPr>
        <w:t>required by law)</w:t>
      </w:r>
      <w:r>
        <w:rPr>
          <w:shd w:val="clear" w:color="auto" w:fill="FFFFFF"/>
        </w:rPr>
        <w:t>;</w:t>
      </w:r>
    </w:p>
    <w:p w14:paraId="28F94229" w14:textId="4FE396F7" w:rsidR="003277CD" w:rsidRDefault="00315390" w:rsidP="003277CD">
      <w:pPr>
        <w:pStyle w:val="Bullet"/>
        <w:rPr>
          <w:shd w:val="clear" w:color="auto" w:fill="FFFFFF"/>
        </w:rPr>
      </w:pPr>
      <w:r>
        <w:t xml:space="preserve">the </w:t>
      </w:r>
      <w:r w:rsidR="006551C8">
        <w:t>building</w:t>
      </w:r>
      <w:r w:rsidR="005241FC">
        <w:t xml:space="preserve"> </w:t>
      </w:r>
      <w:r>
        <w:t>contract must be entered at arm’s-length</w:t>
      </w:r>
      <w:r w:rsidR="003277CD" w:rsidRPr="00AF228A">
        <w:rPr>
          <w:shd w:val="clear" w:color="auto" w:fill="FFFFFF"/>
        </w:rPr>
        <w:t>;</w:t>
      </w:r>
      <w:r w:rsidR="003277CD">
        <w:rPr>
          <w:shd w:val="clear" w:color="auto" w:fill="FFFFFF"/>
        </w:rPr>
        <w:t xml:space="preserve"> and</w:t>
      </w:r>
    </w:p>
    <w:p w14:paraId="67258E55" w14:textId="4E44CDE1" w:rsidR="003277CD" w:rsidRDefault="007E0E7F" w:rsidP="003277CD">
      <w:pPr>
        <w:pStyle w:val="Bullet"/>
        <w:rPr>
          <w:shd w:val="clear" w:color="auto" w:fill="FFFFFF"/>
        </w:rPr>
      </w:pPr>
      <w:r>
        <w:t xml:space="preserve">the </w:t>
      </w:r>
      <w:r w:rsidR="006551C8">
        <w:t>building</w:t>
      </w:r>
      <w:r>
        <w:t xml:space="preserve"> contract must require the builder to fully complete the </w:t>
      </w:r>
      <w:r w:rsidR="006829B9">
        <w:t>dwelling,</w:t>
      </w:r>
      <w:r w:rsidR="0023770F">
        <w:t xml:space="preserve"> </w:t>
      </w:r>
      <w:r>
        <w:t>and the dwelling must be certified as fit for occupation</w:t>
      </w:r>
      <w:r w:rsidR="003277CD">
        <w:rPr>
          <w:shd w:val="clear" w:color="auto" w:fill="FFFFFF"/>
        </w:rPr>
        <w:t>.</w:t>
      </w:r>
    </w:p>
    <w:p w14:paraId="4A6D7BDA" w14:textId="4B8E6657" w:rsidR="006829B9" w:rsidRPr="006829B9" w:rsidRDefault="006829B9" w:rsidP="006829B9">
      <w:pPr>
        <w:pStyle w:val="Bullet"/>
        <w:numPr>
          <w:ilvl w:val="0"/>
          <w:numId w:val="0"/>
        </w:numPr>
        <w:rPr>
          <w:shd w:val="clear" w:color="auto" w:fill="FFFFFF"/>
        </w:rPr>
      </w:pPr>
      <w:r>
        <w:t xml:space="preserve">To avoid doubt, it is intended that ‘arm’s-length’ takes its ordinary meaning. This requires that the parties involved in the </w:t>
      </w:r>
      <w:r w:rsidR="00BD0A35">
        <w:t>building</w:t>
      </w:r>
      <w:r>
        <w:t xml:space="preserve"> contract are unaffiliated and acting in their own interests</w:t>
      </w:r>
      <w:r w:rsidR="005135B2">
        <w:t>.</w:t>
      </w:r>
      <w:r w:rsidR="00A33390">
        <w:t xml:space="preserve"> </w:t>
      </w:r>
      <w:r w:rsidR="005135B2">
        <w:t>It</w:t>
      </w:r>
      <w:r w:rsidR="00A33390">
        <w:t xml:space="preserve"> specifically excludes owner-builder constructions</w:t>
      </w:r>
      <w:r>
        <w:t>.</w:t>
      </w:r>
    </w:p>
    <w:p w14:paraId="0A7D0F9A" w14:textId="3A12F750" w:rsidR="000917D9" w:rsidRPr="00CD1FB7" w:rsidRDefault="00486438" w:rsidP="0053735B">
      <w:pPr>
        <w:pStyle w:val="Heading3"/>
      </w:pPr>
      <w:r w:rsidRPr="00CD1FB7">
        <w:t>Timeframe requirements</w:t>
      </w:r>
    </w:p>
    <w:p w14:paraId="6F6508F5" w14:textId="5F429BFF" w:rsidR="001621BF" w:rsidRDefault="00EB7931" w:rsidP="00EB20E4">
      <w:pPr>
        <w:spacing w:before="0" w:after="0"/>
      </w:pPr>
      <w:r>
        <w:t>Item</w:t>
      </w:r>
      <w:r w:rsidR="00920DBD">
        <w:t> </w:t>
      </w:r>
      <w:r w:rsidR="00EF230E">
        <w:t>6</w:t>
      </w:r>
      <w:r w:rsidR="007A3BB2">
        <w:t xml:space="preserve"> of the Instrument</w:t>
      </w:r>
      <w:r w:rsidR="000835C1">
        <w:t xml:space="preserve"> </w:t>
      </w:r>
      <w:r w:rsidR="00881170">
        <w:t>also</w:t>
      </w:r>
      <w:r w:rsidR="000835C1">
        <w:t xml:space="preserve"> inserts section</w:t>
      </w:r>
      <w:r w:rsidR="00920DBD">
        <w:t> </w:t>
      </w:r>
      <w:r w:rsidR="000835C1">
        <w:t>29CB. The new section</w:t>
      </w:r>
      <w:r w:rsidR="007F554C">
        <w:t xml:space="preserve"> establishes the timeframes</w:t>
      </w:r>
      <w:r w:rsidR="00EB20E4">
        <w:t xml:space="preserve"> in which the construction of a </w:t>
      </w:r>
      <w:r w:rsidR="00071F3D">
        <w:t xml:space="preserve">new </w:t>
      </w:r>
      <w:r w:rsidR="00EB20E4">
        <w:t xml:space="preserve">dwelling must occur. </w:t>
      </w:r>
      <w:r w:rsidR="001621BF">
        <w:t xml:space="preserve">These requirements seek to ensure that guarantees under the HGS are not </w:t>
      </w:r>
      <w:r w:rsidR="003F6B23">
        <w:t>issued</w:t>
      </w:r>
      <w:r w:rsidR="001621BF">
        <w:t xml:space="preserve"> to an applicant or applicants where construction of the </w:t>
      </w:r>
      <w:r w:rsidR="006C566E">
        <w:t xml:space="preserve">new </w:t>
      </w:r>
      <w:r w:rsidR="001621BF">
        <w:t>dwelling will not be completed in a timely manner</w:t>
      </w:r>
      <w:r w:rsidR="00477575">
        <w:t>, supporting integrity of the scheme</w:t>
      </w:r>
      <w:r w:rsidR="001621BF">
        <w:t>.</w:t>
      </w:r>
    </w:p>
    <w:p w14:paraId="17904936" w14:textId="15221A06" w:rsidR="009A03CF" w:rsidRDefault="00D34A22" w:rsidP="003B6A71">
      <w:pPr>
        <w:spacing w:before="240" w:after="200"/>
      </w:pPr>
      <w:r>
        <w:t>T</w:t>
      </w:r>
      <w:r w:rsidR="00EB20E4">
        <w:t>he construction of the dwelling must commence within 12</w:t>
      </w:r>
      <w:r w:rsidR="00920DBD">
        <w:t> </w:t>
      </w:r>
      <w:r w:rsidR="00EB20E4">
        <w:t>months of the day on which the applicant becomes the registered owner of the relevant property. This is referred to as the ‘transfer date’. Further, the construction must be completed within 36</w:t>
      </w:r>
      <w:r w:rsidR="00920DBD">
        <w:t> </w:t>
      </w:r>
      <w:r w:rsidR="00EB20E4">
        <w:t>months of the transfer date.</w:t>
      </w:r>
    </w:p>
    <w:p w14:paraId="7CB483E9" w14:textId="1DF6956F" w:rsidR="005220C4" w:rsidRDefault="00A771B7" w:rsidP="0053735B">
      <w:pPr>
        <w:spacing w:before="0" w:after="0"/>
      </w:pPr>
      <w:r>
        <w:t>T</w:t>
      </w:r>
      <w:r w:rsidR="006D78E4">
        <w:t xml:space="preserve">he timeframe may be adjusted if Housing Australia is satisfied that it is necessary or appropriate to do so given the circumstances of the </w:t>
      </w:r>
      <w:proofErr w:type="gramStart"/>
      <w:r w:rsidR="006D78E4">
        <w:t>particular case</w:t>
      </w:r>
      <w:proofErr w:type="gramEnd"/>
      <w:r w:rsidR="006D78E4">
        <w:t xml:space="preserve">. In this </w:t>
      </w:r>
      <w:r w:rsidR="0054155B">
        <w:t>situation</w:t>
      </w:r>
      <w:r w:rsidR="006D78E4">
        <w:t>, subsection 29</w:t>
      </w:r>
      <w:proofErr w:type="gramStart"/>
      <w:r w:rsidR="006D78E4">
        <w:t>CB(</w:t>
      </w:r>
      <w:proofErr w:type="gramEnd"/>
      <w:r w:rsidR="006D78E4">
        <w:t>2) provides the timeframe requirements are specified by Housing Australia by written notice given to the eligible lender</w:t>
      </w:r>
      <w:r w:rsidR="0091358C">
        <w:t>.</w:t>
      </w:r>
      <w:r w:rsidR="005220C4">
        <w:t xml:space="preserve"> </w:t>
      </w:r>
      <w:r w:rsidR="00344F00">
        <w:t xml:space="preserve">While not </w:t>
      </w:r>
      <w:r w:rsidR="00A2306D">
        <w:t>e</w:t>
      </w:r>
      <w:r w:rsidR="00680BA2">
        <w:t>xhaustive of the</w:t>
      </w:r>
      <w:r w:rsidR="00344F00">
        <w:t xml:space="preserve"> </w:t>
      </w:r>
      <w:r w:rsidR="0096256D">
        <w:t xml:space="preserve">situations in which an extension of time could be granted, </w:t>
      </w:r>
      <w:r w:rsidR="00892938">
        <w:t>a</w:t>
      </w:r>
      <w:r w:rsidR="005220C4">
        <w:t xml:space="preserve"> circumstance that </w:t>
      </w:r>
      <w:r w:rsidR="0096256D">
        <w:t xml:space="preserve">could </w:t>
      </w:r>
      <w:r w:rsidR="005220C4">
        <w:t>give rise to an adjusted timeframe is unavoidable construction delays outside of the control of the purchase</w:t>
      </w:r>
      <w:r w:rsidR="00B11D35">
        <w:t>r</w:t>
      </w:r>
      <w:r w:rsidR="0022718F">
        <w:t>, where Housing Australia is satisfied</w:t>
      </w:r>
      <w:r w:rsidR="006F2BD0">
        <w:t>, based on information available from the lender and or applicant</w:t>
      </w:r>
      <w:r w:rsidR="0089759E">
        <w:t xml:space="preserve"> (for example)</w:t>
      </w:r>
      <w:r w:rsidR="006F2BD0">
        <w:t xml:space="preserve">, that adjustment </w:t>
      </w:r>
      <w:r w:rsidR="00DA1B51">
        <w:t xml:space="preserve">of the timeframe </w:t>
      </w:r>
      <w:r w:rsidR="006F2BD0">
        <w:t>is appropriate</w:t>
      </w:r>
      <w:r w:rsidR="005220C4">
        <w:t>.</w:t>
      </w:r>
    </w:p>
    <w:p w14:paraId="3079C315" w14:textId="77777777" w:rsidR="003D204B" w:rsidRDefault="003D204B" w:rsidP="00453F4F">
      <w:pPr>
        <w:spacing w:before="0" w:after="0"/>
      </w:pPr>
    </w:p>
    <w:p w14:paraId="653901C2" w14:textId="5262AB99" w:rsidR="005220C4" w:rsidRPr="00A91BE9" w:rsidRDefault="005220C4" w:rsidP="0053735B">
      <w:pPr>
        <w:spacing w:before="0" w:after="0"/>
      </w:pPr>
    </w:p>
    <w:sectPr w:rsidR="005220C4" w:rsidRPr="00A91BE9"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6D59" w14:textId="77777777" w:rsidR="00CC6055" w:rsidRDefault="00CC6055" w:rsidP="00954679">
      <w:pPr>
        <w:spacing w:before="0" w:after="0"/>
      </w:pPr>
      <w:r>
        <w:separator/>
      </w:r>
    </w:p>
  </w:endnote>
  <w:endnote w:type="continuationSeparator" w:id="0">
    <w:p w14:paraId="4ED802E3" w14:textId="77777777" w:rsidR="00CC6055" w:rsidRDefault="00CC6055" w:rsidP="00954679">
      <w:pPr>
        <w:spacing w:before="0" w:after="0"/>
      </w:pPr>
      <w:r>
        <w:continuationSeparator/>
      </w:r>
    </w:p>
  </w:endnote>
  <w:endnote w:type="continuationNotice" w:id="1">
    <w:p w14:paraId="50600BE9" w14:textId="77777777" w:rsidR="00CC6055" w:rsidRDefault="00CC60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22CE579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3983" w14:textId="77777777" w:rsidR="00CC6055" w:rsidRDefault="00CC6055" w:rsidP="00954679">
      <w:pPr>
        <w:spacing w:before="0" w:after="0"/>
      </w:pPr>
      <w:r>
        <w:separator/>
      </w:r>
    </w:p>
  </w:footnote>
  <w:footnote w:type="continuationSeparator" w:id="0">
    <w:p w14:paraId="35772D8A" w14:textId="77777777" w:rsidR="00CC6055" w:rsidRDefault="00CC6055" w:rsidP="00954679">
      <w:pPr>
        <w:spacing w:before="0" w:after="0"/>
      </w:pPr>
      <w:r>
        <w:continuationSeparator/>
      </w:r>
    </w:p>
  </w:footnote>
  <w:footnote w:type="continuationNotice" w:id="1">
    <w:p w14:paraId="7B5D94CE" w14:textId="77777777" w:rsidR="00CC6055" w:rsidRDefault="00CC605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C3"/>
    <w:rsid w:val="000019FB"/>
    <w:rsid w:val="00001A14"/>
    <w:rsid w:val="00002313"/>
    <w:rsid w:val="00002612"/>
    <w:rsid w:val="000026BE"/>
    <w:rsid w:val="00003189"/>
    <w:rsid w:val="00005B51"/>
    <w:rsid w:val="00005EB2"/>
    <w:rsid w:val="0000628C"/>
    <w:rsid w:val="000066C3"/>
    <w:rsid w:val="00006A1B"/>
    <w:rsid w:val="00007DA5"/>
    <w:rsid w:val="00007E5A"/>
    <w:rsid w:val="00010796"/>
    <w:rsid w:val="00010BCC"/>
    <w:rsid w:val="00010F1B"/>
    <w:rsid w:val="00011648"/>
    <w:rsid w:val="0001179A"/>
    <w:rsid w:val="000124F6"/>
    <w:rsid w:val="00013390"/>
    <w:rsid w:val="00013ACD"/>
    <w:rsid w:val="00014D6D"/>
    <w:rsid w:val="00016359"/>
    <w:rsid w:val="00016EA2"/>
    <w:rsid w:val="00017582"/>
    <w:rsid w:val="00017C4F"/>
    <w:rsid w:val="000216B7"/>
    <w:rsid w:val="000216D9"/>
    <w:rsid w:val="00022FD1"/>
    <w:rsid w:val="00022FEC"/>
    <w:rsid w:val="00023F06"/>
    <w:rsid w:val="000244D1"/>
    <w:rsid w:val="0002546A"/>
    <w:rsid w:val="00025594"/>
    <w:rsid w:val="00025F11"/>
    <w:rsid w:val="00026103"/>
    <w:rsid w:val="00026A33"/>
    <w:rsid w:val="000278CF"/>
    <w:rsid w:val="00027A4E"/>
    <w:rsid w:val="00030C79"/>
    <w:rsid w:val="00031AE1"/>
    <w:rsid w:val="00033ABA"/>
    <w:rsid w:val="000345F1"/>
    <w:rsid w:val="00035001"/>
    <w:rsid w:val="00041313"/>
    <w:rsid w:val="00041C87"/>
    <w:rsid w:val="0004412C"/>
    <w:rsid w:val="00044F9B"/>
    <w:rsid w:val="000455BA"/>
    <w:rsid w:val="00046070"/>
    <w:rsid w:val="00046705"/>
    <w:rsid w:val="00051365"/>
    <w:rsid w:val="00051648"/>
    <w:rsid w:val="000524A9"/>
    <w:rsid w:val="0005316A"/>
    <w:rsid w:val="0005375C"/>
    <w:rsid w:val="000547DB"/>
    <w:rsid w:val="00055D6F"/>
    <w:rsid w:val="00056E93"/>
    <w:rsid w:val="00060184"/>
    <w:rsid w:val="000604F6"/>
    <w:rsid w:val="00060B87"/>
    <w:rsid w:val="00063684"/>
    <w:rsid w:val="00064484"/>
    <w:rsid w:val="000663C1"/>
    <w:rsid w:val="00066751"/>
    <w:rsid w:val="00067331"/>
    <w:rsid w:val="00067D8E"/>
    <w:rsid w:val="000709B5"/>
    <w:rsid w:val="00071F3D"/>
    <w:rsid w:val="000721A4"/>
    <w:rsid w:val="00072393"/>
    <w:rsid w:val="00073469"/>
    <w:rsid w:val="00074DF7"/>
    <w:rsid w:val="00075A77"/>
    <w:rsid w:val="00075EE3"/>
    <w:rsid w:val="00076178"/>
    <w:rsid w:val="00076E15"/>
    <w:rsid w:val="00076FF9"/>
    <w:rsid w:val="00077D94"/>
    <w:rsid w:val="0008044E"/>
    <w:rsid w:val="00080673"/>
    <w:rsid w:val="00082317"/>
    <w:rsid w:val="000835C1"/>
    <w:rsid w:val="00083A39"/>
    <w:rsid w:val="00084C5A"/>
    <w:rsid w:val="000854E0"/>
    <w:rsid w:val="00086CD8"/>
    <w:rsid w:val="0008741E"/>
    <w:rsid w:val="0009001D"/>
    <w:rsid w:val="000917D9"/>
    <w:rsid w:val="000925DB"/>
    <w:rsid w:val="00095211"/>
    <w:rsid w:val="00095280"/>
    <w:rsid w:val="000966AD"/>
    <w:rsid w:val="000A2A8D"/>
    <w:rsid w:val="000A51C4"/>
    <w:rsid w:val="000A562A"/>
    <w:rsid w:val="000A5CA9"/>
    <w:rsid w:val="000A66E2"/>
    <w:rsid w:val="000A69C5"/>
    <w:rsid w:val="000A70FF"/>
    <w:rsid w:val="000A7390"/>
    <w:rsid w:val="000A7D16"/>
    <w:rsid w:val="000B0ACD"/>
    <w:rsid w:val="000B39A1"/>
    <w:rsid w:val="000B41CB"/>
    <w:rsid w:val="000B4560"/>
    <w:rsid w:val="000B5D4B"/>
    <w:rsid w:val="000C001A"/>
    <w:rsid w:val="000C0487"/>
    <w:rsid w:val="000C057F"/>
    <w:rsid w:val="000C0627"/>
    <w:rsid w:val="000C10DF"/>
    <w:rsid w:val="000C13C3"/>
    <w:rsid w:val="000C15F2"/>
    <w:rsid w:val="000C2E12"/>
    <w:rsid w:val="000C3ECC"/>
    <w:rsid w:val="000C4B61"/>
    <w:rsid w:val="000C4E5F"/>
    <w:rsid w:val="000C5C40"/>
    <w:rsid w:val="000C6935"/>
    <w:rsid w:val="000C6FEF"/>
    <w:rsid w:val="000D0DD5"/>
    <w:rsid w:val="000D11E5"/>
    <w:rsid w:val="000D1E8F"/>
    <w:rsid w:val="000D206D"/>
    <w:rsid w:val="000D2234"/>
    <w:rsid w:val="000D37E5"/>
    <w:rsid w:val="000D38DE"/>
    <w:rsid w:val="000D4DAF"/>
    <w:rsid w:val="000D5827"/>
    <w:rsid w:val="000D59B4"/>
    <w:rsid w:val="000D6493"/>
    <w:rsid w:val="000D719E"/>
    <w:rsid w:val="000D71D7"/>
    <w:rsid w:val="000E0190"/>
    <w:rsid w:val="000E0F2A"/>
    <w:rsid w:val="000E1C0B"/>
    <w:rsid w:val="000E32E3"/>
    <w:rsid w:val="000E36D5"/>
    <w:rsid w:val="000E3958"/>
    <w:rsid w:val="000E6343"/>
    <w:rsid w:val="000E6E06"/>
    <w:rsid w:val="000E7C0E"/>
    <w:rsid w:val="000E7E8D"/>
    <w:rsid w:val="000F0F4E"/>
    <w:rsid w:val="000F1BD2"/>
    <w:rsid w:val="000F1F12"/>
    <w:rsid w:val="000F373B"/>
    <w:rsid w:val="000F3A05"/>
    <w:rsid w:val="000F53D9"/>
    <w:rsid w:val="000F583D"/>
    <w:rsid w:val="000F5EC9"/>
    <w:rsid w:val="001002CB"/>
    <w:rsid w:val="001006C0"/>
    <w:rsid w:val="0010090F"/>
    <w:rsid w:val="00100E08"/>
    <w:rsid w:val="00100F2B"/>
    <w:rsid w:val="001012C2"/>
    <w:rsid w:val="001017E6"/>
    <w:rsid w:val="00103AD4"/>
    <w:rsid w:val="00104511"/>
    <w:rsid w:val="001047EC"/>
    <w:rsid w:val="00107BD4"/>
    <w:rsid w:val="00110B06"/>
    <w:rsid w:val="00112022"/>
    <w:rsid w:val="0011235D"/>
    <w:rsid w:val="001139EE"/>
    <w:rsid w:val="00113B45"/>
    <w:rsid w:val="00114003"/>
    <w:rsid w:val="0011527C"/>
    <w:rsid w:val="0011677A"/>
    <w:rsid w:val="00117B1D"/>
    <w:rsid w:val="00117C02"/>
    <w:rsid w:val="001205AB"/>
    <w:rsid w:val="001218D5"/>
    <w:rsid w:val="0012457C"/>
    <w:rsid w:val="0012642E"/>
    <w:rsid w:val="001274B0"/>
    <w:rsid w:val="001276B4"/>
    <w:rsid w:val="001303E2"/>
    <w:rsid w:val="001319C8"/>
    <w:rsid w:val="0013228E"/>
    <w:rsid w:val="001331B7"/>
    <w:rsid w:val="00133D7A"/>
    <w:rsid w:val="00134CED"/>
    <w:rsid w:val="00136792"/>
    <w:rsid w:val="0013762E"/>
    <w:rsid w:val="0013773F"/>
    <w:rsid w:val="00137D46"/>
    <w:rsid w:val="00140E75"/>
    <w:rsid w:val="00141293"/>
    <w:rsid w:val="001419C2"/>
    <w:rsid w:val="00141F33"/>
    <w:rsid w:val="00142354"/>
    <w:rsid w:val="00142BCF"/>
    <w:rsid w:val="0014425A"/>
    <w:rsid w:val="001443AE"/>
    <w:rsid w:val="00144C08"/>
    <w:rsid w:val="00145934"/>
    <w:rsid w:val="0014608E"/>
    <w:rsid w:val="001503F5"/>
    <w:rsid w:val="00150AB9"/>
    <w:rsid w:val="001544D8"/>
    <w:rsid w:val="00154BFE"/>
    <w:rsid w:val="0015573D"/>
    <w:rsid w:val="00155AE3"/>
    <w:rsid w:val="00155E45"/>
    <w:rsid w:val="00156FB1"/>
    <w:rsid w:val="00157215"/>
    <w:rsid w:val="001576E1"/>
    <w:rsid w:val="00160C94"/>
    <w:rsid w:val="001621BF"/>
    <w:rsid w:val="0016639D"/>
    <w:rsid w:val="00167BEE"/>
    <w:rsid w:val="001709E3"/>
    <w:rsid w:val="00172B5A"/>
    <w:rsid w:val="0017363C"/>
    <w:rsid w:val="00174FD2"/>
    <w:rsid w:val="0017639A"/>
    <w:rsid w:val="00176F2D"/>
    <w:rsid w:val="001770A3"/>
    <w:rsid w:val="00177D69"/>
    <w:rsid w:val="00177E8F"/>
    <w:rsid w:val="001806BD"/>
    <w:rsid w:val="00181F37"/>
    <w:rsid w:val="001824DA"/>
    <w:rsid w:val="001832B5"/>
    <w:rsid w:val="0018543B"/>
    <w:rsid w:val="00187228"/>
    <w:rsid w:val="00187556"/>
    <w:rsid w:val="001877FA"/>
    <w:rsid w:val="00187857"/>
    <w:rsid w:val="001925F1"/>
    <w:rsid w:val="001926BE"/>
    <w:rsid w:val="00192C0E"/>
    <w:rsid w:val="00193299"/>
    <w:rsid w:val="001937DB"/>
    <w:rsid w:val="00195A29"/>
    <w:rsid w:val="001970F1"/>
    <w:rsid w:val="001A17F2"/>
    <w:rsid w:val="001A3485"/>
    <w:rsid w:val="001A3F11"/>
    <w:rsid w:val="001A4847"/>
    <w:rsid w:val="001A5BB9"/>
    <w:rsid w:val="001A6274"/>
    <w:rsid w:val="001B22B4"/>
    <w:rsid w:val="001B4919"/>
    <w:rsid w:val="001B4F0A"/>
    <w:rsid w:val="001B6075"/>
    <w:rsid w:val="001B6C8A"/>
    <w:rsid w:val="001B7535"/>
    <w:rsid w:val="001B7EC2"/>
    <w:rsid w:val="001C00AE"/>
    <w:rsid w:val="001C0477"/>
    <w:rsid w:val="001C1AE4"/>
    <w:rsid w:val="001C4436"/>
    <w:rsid w:val="001C6056"/>
    <w:rsid w:val="001C6EEE"/>
    <w:rsid w:val="001C7521"/>
    <w:rsid w:val="001D041B"/>
    <w:rsid w:val="001D1DE2"/>
    <w:rsid w:val="001D2256"/>
    <w:rsid w:val="001D256E"/>
    <w:rsid w:val="001D2C9B"/>
    <w:rsid w:val="001D3249"/>
    <w:rsid w:val="001D419E"/>
    <w:rsid w:val="001D478F"/>
    <w:rsid w:val="001D575A"/>
    <w:rsid w:val="001E03C4"/>
    <w:rsid w:val="001E118B"/>
    <w:rsid w:val="001E2295"/>
    <w:rsid w:val="001E25CB"/>
    <w:rsid w:val="001E37C1"/>
    <w:rsid w:val="001E42EA"/>
    <w:rsid w:val="001E4BBC"/>
    <w:rsid w:val="001E4CDC"/>
    <w:rsid w:val="001E4EE2"/>
    <w:rsid w:val="001E577B"/>
    <w:rsid w:val="001E58A1"/>
    <w:rsid w:val="001E5C9E"/>
    <w:rsid w:val="001E61D4"/>
    <w:rsid w:val="001E6733"/>
    <w:rsid w:val="001E69FA"/>
    <w:rsid w:val="001E6A74"/>
    <w:rsid w:val="001E6F9B"/>
    <w:rsid w:val="001F0044"/>
    <w:rsid w:val="001F12CD"/>
    <w:rsid w:val="001F24F4"/>
    <w:rsid w:val="001F336D"/>
    <w:rsid w:val="001F41D0"/>
    <w:rsid w:val="001F462C"/>
    <w:rsid w:val="001F4B94"/>
    <w:rsid w:val="001F4D79"/>
    <w:rsid w:val="001F52BB"/>
    <w:rsid w:val="001F7D2B"/>
    <w:rsid w:val="00200530"/>
    <w:rsid w:val="00202607"/>
    <w:rsid w:val="00202630"/>
    <w:rsid w:val="0020267D"/>
    <w:rsid w:val="00203242"/>
    <w:rsid w:val="00203CE1"/>
    <w:rsid w:val="00204D2D"/>
    <w:rsid w:val="0020565B"/>
    <w:rsid w:val="00207546"/>
    <w:rsid w:val="00207792"/>
    <w:rsid w:val="00211DE0"/>
    <w:rsid w:val="002135E5"/>
    <w:rsid w:val="00214B3B"/>
    <w:rsid w:val="0021644A"/>
    <w:rsid w:val="00216A0D"/>
    <w:rsid w:val="00220CF9"/>
    <w:rsid w:val="00220F16"/>
    <w:rsid w:val="00221082"/>
    <w:rsid w:val="0022155E"/>
    <w:rsid w:val="002223ED"/>
    <w:rsid w:val="00222420"/>
    <w:rsid w:val="00224652"/>
    <w:rsid w:val="002254B8"/>
    <w:rsid w:val="0022550C"/>
    <w:rsid w:val="00225E81"/>
    <w:rsid w:val="00225F5F"/>
    <w:rsid w:val="00226348"/>
    <w:rsid w:val="00226D8A"/>
    <w:rsid w:val="0022718F"/>
    <w:rsid w:val="002271A0"/>
    <w:rsid w:val="00230127"/>
    <w:rsid w:val="0023158F"/>
    <w:rsid w:val="00231837"/>
    <w:rsid w:val="002319EA"/>
    <w:rsid w:val="00232996"/>
    <w:rsid w:val="002349A0"/>
    <w:rsid w:val="002349F0"/>
    <w:rsid w:val="00235726"/>
    <w:rsid w:val="00236865"/>
    <w:rsid w:val="0023770F"/>
    <w:rsid w:val="00240D31"/>
    <w:rsid w:val="00241934"/>
    <w:rsid w:val="00241C5D"/>
    <w:rsid w:val="002423E9"/>
    <w:rsid w:val="0024245F"/>
    <w:rsid w:val="00242522"/>
    <w:rsid w:val="0024283C"/>
    <w:rsid w:val="002439CC"/>
    <w:rsid w:val="00244D31"/>
    <w:rsid w:val="002452B3"/>
    <w:rsid w:val="002464CE"/>
    <w:rsid w:val="002467B9"/>
    <w:rsid w:val="00246A02"/>
    <w:rsid w:val="00247781"/>
    <w:rsid w:val="00251F08"/>
    <w:rsid w:val="0025361A"/>
    <w:rsid w:val="00254C5B"/>
    <w:rsid w:val="00255289"/>
    <w:rsid w:val="00255EC2"/>
    <w:rsid w:val="00256E80"/>
    <w:rsid w:val="00256EE2"/>
    <w:rsid w:val="002609DE"/>
    <w:rsid w:val="00262AEB"/>
    <w:rsid w:val="0026321E"/>
    <w:rsid w:val="0026327B"/>
    <w:rsid w:val="00265663"/>
    <w:rsid w:val="00266B54"/>
    <w:rsid w:val="0027118E"/>
    <w:rsid w:val="002718EA"/>
    <w:rsid w:val="002725F4"/>
    <w:rsid w:val="00272F55"/>
    <w:rsid w:val="00275503"/>
    <w:rsid w:val="0027558B"/>
    <w:rsid w:val="00275737"/>
    <w:rsid w:val="00275FB8"/>
    <w:rsid w:val="00276C55"/>
    <w:rsid w:val="002771E5"/>
    <w:rsid w:val="00277840"/>
    <w:rsid w:val="002778FA"/>
    <w:rsid w:val="00280D38"/>
    <w:rsid w:val="00283469"/>
    <w:rsid w:val="00283E1C"/>
    <w:rsid w:val="00284175"/>
    <w:rsid w:val="002848A0"/>
    <w:rsid w:val="002860A0"/>
    <w:rsid w:val="00286C6F"/>
    <w:rsid w:val="00287A3C"/>
    <w:rsid w:val="00287C5A"/>
    <w:rsid w:val="00293839"/>
    <w:rsid w:val="002940F1"/>
    <w:rsid w:val="00295C24"/>
    <w:rsid w:val="0029600B"/>
    <w:rsid w:val="00297122"/>
    <w:rsid w:val="00297915"/>
    <w:rsid w:val="002A1236"/>
    <w:rsid w:val="002A31DE"/>
    <w:rsid w:val="002A35A1"/>
    <w:rsid w:val="002A3A3E"/>
    <w:rsid w:val="002A3C80"/>
    <w:rsid w:val="002A4A55"/>
    <w:rsid w:val="002A4E1F"/>
    <w:rsid w:val="002A511D"/>
    <w:rsid w:val="002A5F39"/>
    <w:rsid w:val="002A6DA4"/>
    <w:rsid w:val="002A6EA9"/>
    <w:rsid w:val="002A7854"/>
    <w:rsid w:val="002A7B74"/>
    <w:rsid w:val="002A7E1F"/>
    <w:rsid w:val="002B1169"/>
    <w:rsid w:val="002B4AB1"/>
    <w:rsid w:val="002B53F9"/>
    <w:rsid w:val="002B5723"/>
    <w:rsid w:val="002B6219"/>
    <w:rsid w:val="002B78DA"/>
    <w:rsid w:val="002C008C"/>
    <w:rsid w:val="002C0792"/>
    <w:rsid w:val="002C0A5A"/>
    <w:rsid w:val="002C1431"/>
    <w:rsid w:val="002C1F6C"/>
    <w:rsid w:val="002C226C"/>
    <w:rsid w:val="002C31A2"/>
    <w:rsid w:val="002C3EE2"/>
    <w:rsid w:val="002C547F"/>
    <w:rsid w:val="002C5DDC"/>
    <w:rsid w:val="002C689C"/>
    <w:rsid w:val="002C6A96"/>
    <w:rsid w:val="002C782A"/>
    <w:rsid w:val="002C7A8B"/>
    <w:rsid w:val="002D0574"/>
    <w:rsid w:val="002D34A9"/>
    <w:rsid w:val="002D4B55"/>
    <w:rsid w:val="002D5689"/>
    <w:rsid w:val="002D67B1"/>
    <w:rsid w:val="002D7657"/>
    <w:rsid w:val="002D7708"/>
    <w:rsid w:val="002E169F"/>
    <w:rsid w:val="002E5C74"/>
    <w:rsid w:val="002E73BB"/>
    <w:rsid w:val="002E7FBF"/>
    <w:rsid w:val="002F016E"/>
    <w:rsid w:val="002F022D"/>
    <w:rsid w:val="002F068C"/>
    <w:rsid w:val="002F2490"/>
    <w:rsid w:val="002F2B7F"/>
    <w:rsid w:val="002F378A"/>
    <w:rsid w:val="002F48E3"/>
    <w:rsid w:val="002F536D"/>
    <w:rsid w:val="002F5895"/>
    <w:rsid w:val="002F6BB1"/>
    <w:rsid w:val="002F6EDF"/>
    <w:rsid w:val="002F73ED"/>
    <w:rsid w:val="002F7BC2"/>
    <w:rsid w:val="003014B6"/>
    <w:rsid w:val="00301A69"/>
    <w:rsid w:val="00301D54"/>
    <w:rsid w:val="00302AF2"/>
    <w:rsid w:val="003037F8"/>
    <w:rsid w:val="003041DD"/>
    <w:rsid w:val="003041FA"/>
    <w:rsid w:val="003045ED"/>
    <w:rsid w:val="00304C4B"/>
    <w:rsid w:val="003053F7"/>
    <w:rsid w:val="00305585"/>
    <w:rsid w:val="00305712"/>
    <w:rsid w:val="00305CEA"/>
    <w:rsid w:val="00307033"/>
    <w:rsid w:val="003077A4"/>
    <w:rsid w:val="00307BCE"/>
    <w:rsid w:val="003108AE"/>
    <w:rsid w:val="00312A68"/>
    <w:rsid w:val="00314A63"/>
    <w:rsid w:val="00315390"/>
    <w:rsid w:val="003168C6"/>
    <w:rsid w:val="0031775C"/>
    <w:rsid w:val="00321685"/>
    <w:rsid w:val="00321DB8"/>
    <w:rsid w:val="00321E88"/>
    <w:rsid w:val="00322535"/>
    <w:rsid w:val="0032310C"/>
    <w:rsid w:val="00323968"/>
    <w:rsid w:val="00323AAC"/>
    <w:rsid w:val="003245DB"/>
    <w:rsid w:val="00324A6D"/>
    <w:rsid w:val="003251DB"/>
    <w:rsid w:val="003270B2"/>
    <w:rsid w:val="003277CD"/>
    <w:rsid w:val="00327E2E"/>
    <w:rsid w:val="003303FB"/>
    <w:rsid w:val="00332DD2"/>
    <w:rsid w:val="003334E9"/>
    <w:rsid w:val="00333D58"/>
    <w:rsid w:val="00334096"/>
    <w:rsid w:val="003342CD"/>
    <w:rsid w:val="0033477F"/>
    <w:rsid w:val="00335042"/>
    <w:rsid w:val="0033504F"/>
    <w:rsid w:val="00336541"/>
    <w:rsid w:val="0033689B"/>
    <w:rsid w:val="0034063E"/>
    <w:rsid w:val="00340AA4"/>
    <w:rsid w:val="00341642"/>
    <w:rsid w:val="003418A6"/>
    <w:rsid w:val="003423BC"/>
    <w:rsid w:val="00342CE6"/>
    <w:rsid w:val="0034416B"/>
    <w:rsid w:val="00344321"/>
    <w:rsid w:val="00344EFB"/>
    <w:rsid w:val="00344F00"/>
    <w:rsid w:val="003468A4"/>
    <w:rsid w:val="00352999"/>
    <w:rsid w:val="00354C98"/>
    <w:rsid w:val="00354D69"/>
    <w:rsid w:val="00354F73"/>
    <w:rsid w:val="00355872"/>
    <w:rsid w:val="003558DB"/>
    <w:rsid w:val="00357489"/>
    <w:rsid w:val="00357733"/>
    <w:rsid w:val="0035777A"/>
    <w:rsid w:val="00360C0A"/>
    <w:rsid w:val="003617B9"/>
    <w:rsid w:val="00362B70"/>
    <w:rsid w:val="00363C55"/>
    <w:rsid w:val="0036463C"/>
    <w:rsid w:val="00364DEE"/>
    <w:rsid w:val="00365024"/>
    <w:rsid w:val="00366372"/>
    <w:rsid w:val="00366BD1"/>
    <w:rsid w:val="00370249"/>
    <w:rsid w:val="00370395"/>
    <w:rsid w:val="00370E9E"/>
    <w:rsid w:val="0037180D"/>
    <w:rsid w:val="003728A2"/>
    <w:rsid w:val="00372C84"/>
    <w:rsid w:val="00373803"/>
    <w:rsid w:val="00373853"/>
    <w:rsid w:val="003738D1"/>
    <w:rsid w:val="00373F5E"/>
    <w:rsid w:val="00375AE3"/>
    <w:rsid w:val="00376603"/>
    <w:rsid w:val="003769CE"/>
    <w:rsid w:val="00377BDB"/>
    <w:rsid w:val="00377DEF"/>
    <w:rsid w:val="00381586"/>
    <w:rsid w:val="003826A4"/>
    <w:rsid w:val="003855E4"/>
    <w:rsid w:val="00385F58"/>
    <w:rsid w:val="00386F12"/>
    <w:rsid w:val="00390DD3"/>
    <w:rsid w:val="003916E4"/>
    <w:rsid w:val="00391919"/>
    <w:rsid w:val="003928BE"/>
    <w:rsid w:val="00392B28"/>
    <w:rsid w:val="00392BBA"/>
    <w:rsid w:val="00392C0C"/>
    <w:rsid w:val="00394294"/>
    <w:rsid w:val="003954FD"/>
    <w:rsid w:val="00396EAA"/>
    <w:rsid w:val="003A0E8B"/>
    <w:rsid w:val="003A0EA3"/>
    <w:rsid w:val="003A0FF3"/>
    <w:rsid w:val="003A1AA7"/>
    <w:rsid w:val="003A336A"/>
    <w:rsid w:val="003A3663"/>
    <w:rsid w:val="003A444F"/>
    <w:rsid w:val="003A472C"/>
    <w:rsid w:val="003A5B85"/>
    <w:rsid w:val="003A6751"/>
    <w:rsid w:val="003A7857"/>
    <w:rsid w:val="003B163A"/>
    <w:rsid w:val="003B19DD"/>
    <w:rsid w:val="003B31F4"/>
    <w:rsid w:val="003B4356"/>
    <w:rsid w:val="003B4EC4"/>
    <w:rsid w:val="003B52CF"/>
    <w:rsid w:val="003B539A"/>
    <w:rsid w:val="003B5ED9"/>
    <w:rsid w:val="003B6A71"/>
    <w:rsid w:val="003B6CFD"/>
    <w:rsid w:val="003C037B"/>
    <w:rsid w:val="003C05D0"/>
    <w:rsid w:val="003C0ABB"/>
    <w:rsid w:val="003C0D8A"/>
    <w:rsid w:val="003C1092"/>
    <w:rsid w:val="003C18B3"/>
    <w:rsid w:val="003C445C"/>
    <w:rsid w:val="003C5719"/>
    <w:rsid w:val="003C627F"/>
    <w:rsid w:val="003C7458"/>
    <w:rsid w:val="003C7907"/>
    <w:rsid w:val="003C7B82"/>
    <w:rsid w:val="003D0B99"/>
    <w:rsid w:val="003D204B"/>
    <w:rsid w:val="003D2D5B"/>
    <w:rsid w:val="003D392B"/>
    <w:rsid w:val="003D39F1"/>
    <w:rsid w:val="003D44BD"/>
    <w:rsid w:val="003D515D"/>
    <w:rsid w:val="003D53FB"/>
    <w:rsid w:val="003D5D4A"/>
    <w:rsid w:val="003D5DBB"/>
    <w:rsid w:val="003D60D7"/>
    <w:rsid w:val="003D68FE"/>
    <w:rsid w:val="003D7C7E"/>
    <w:rsid w:val="003E0411"/>
    <w:rsid w:val="003E096E"/>
    <w:rsid w:val="003E0A9E"/>
    <w:rsid w:val="003E10F0"/>
    <w:rsid w:val="003E1224"/>
    <w:rsid w:val="003E13FD"/>
    <w:rsid w:val="003E1887"/>
    <w:rsid w:val="003E1AF8"/>
    <w:rsid w:val="003E1C2F"/>
    <w:rsid w:val="003E1C8F"/>
    <w:rsid w:val="003E1CE3"/>
    <w:rsid w:val="003E2553"/>
    <w:rsid w:val="003E4321"/>
    <w:rsid w:val="003E4EFA"/>
    <w:rsid w:val="003E73E4"/>
    <w:rsid w:val="003E745A"/>
    <w:rsid w:val="003E777F"/>
    <w:rsid w:val="003E77BC"/>
    <w:rsid w:val="003E7A3A"/>
    <w:rsid w:val="003F0E53"/>
    <w:rsid w:val="003F17A4"/>
    <w:rsid w:val="003F1CF5"/>
    <w:rsid w:val="003F33D4"/>
    <w:rsid w:val="003F34E6"/>
    <w:rsid w:val="003F36F3"/>
    <w:rsid w:val="003F3B86"/>
    <w:rsid w:val="003F5E28"/>
    <w:rsid w:val="003F61F5"/>
    <w:rsid w:val="003F6A37"/>
    <w:rsid w:val="003F6B23"/>
    <w:rsid w:val="003F734E"/>
    <w:rsid w:val="004000AE"/>
    <w:rsid w:val="00400851"/>
    <w:rsid w:val="004011E5"/>
    <w:rsid w:val="00401907"/>
    <w:rsid w:val="00402A24"/>
    <w:rsid w:val="00402F7C"/>
    <w:rsid w:val="004035A0"/>
    <w:rsid w:val="00403EA8"/>
    <w:rsid w:val="00403F8C"/>
    <w:rsid w:val="004049A9"/>
    <w:rsid w:val="004055E0"/>
    <w:rsid w:val="004060F1"/>
    <w:rsid w:val="004107DA"/>
    <w:rsid w:val="0041096F"/>
    <w:rsid w:val="004112D0"/>
    <w:rsid w:val="00412BB6"/>
    <w:rsid w:val="00413478"/>
    <w:rsid w:val="00414F86"/>
    <w:rsid w:val="00416EA3"/>
    <w:rsid w:val="004202DE"/>
    <w:rsid w:val="00420A25"/>
    <w:rsid w:val="004215AE"/>
    <w:rsid w:val="00421FC7"/>
    <w:rsid w:val="004225A8"/>
    <w:rsid w:val="00424084"/>
    <w:rsid w:val="00424A13"/>
    <w:rsid w:val="00426676"/>
    <w:rsid w:val="00426F2C"/>
    <w:rsid w:val="0042717A"/>
    <w:rsid w:val="00427F94"/>
    <w:rsid w:val="0043331A"/>
    <w:rsid w:val="00434191"/>
    <w:rsid w:val="004349E0"/>
    <w:rsid w:val="0043565C"/>
    <w:rsid w:val="00436952"/>
    <w:rsid w:val="00436A03"/>
    <w:rsid w:val="00436F30"/>
    <w:rsid w:val="004370B2"/>
    <w:rsid w:val="0044074A"/>
    <w:rsid w:val="004409BE"/>
    <w:rsid w:val="00440BD7"/>
    <w:rsid w:val="00441243"/>
    <w:rsid w:val="004412D6"/>
    <w:rsid w:val="004418E2"/>
    <w:rsid w:val="00441962"/>
    <w:rsid w:val="00442BF9"/>
    <w:rsid w:val="004431E8"/>
    <w:rsid w:val="00443D48"/>
    <w:rsid w:val="00444308"/>
    <w:rsid w:val="00445745"/>
    <w:rsid w:val="00445C40"/>
    <w:rsid w:val="0044655C"/>
    <w:rsid w:val="00446847"/>
    <w:rsid w:val="00446A4E"/>
    <w:rsid w:val="00447A6F"/>
    <w:rsid w:val="00450361"/>
    <w:rsid w:val="00450D96"/>
    <w:rsid w:val="00451E15"/>
    <w:rsid w:val="00453466"/>
    <w:rsid w:val="00453F4F"/>
    <w:rsid w:val="00454E2D"/>
    <w:rsid w:val="004556D2"/>
    <w:rsid w:val="004577E7"/>
    <w:rsid w:val="00457D9C"/>
    <w:rsid w:val="00461BE4"/>
    <w:rsid w:val="00462095"/>
    <w:rsid w:val="00463077"/>
    <w:rsid w:val="00463630"/>
    <w:rsid w:val="00463CC8"/>
    <w:rsid w:val="004641B2"/>
    <w:rsid w:val="00464356"/>
    <w:rsid w:val="00466731"/>
    <w:rsid w:val="00466DD5"/>
    <w:rsid w:val="00467E83"/>
    <w:rsid w:val="004706C8"/>
    <w:rsid w:val="004708E2"/>
    <w:rsid w:val="00470ADA"/>
    <w:rsid w:val="00470BC4"/>
    <w:rsid w:val="00471C5B"/>
    <w:rsid w:val="0047265F"/>
    <w:rsid w:val="004729C7"/>
    <w:rsid w:val="004739E2"/>
    <w:rsid w:val="00473A56"/>
    <w:rsid w:val="00473B71"/>
    <w:rsid w:val="00473E23"/>
    <w:rsid w:val="004746B0"/>
    <w:rsid w:val="004755FE"/>
    <w:rsid w:val="00476B26"/>
    <w:rsid w:val="00477575"/>
    <w:rsid w:val="00477857"/>
    <w:rsid w:val="00480999"/>
    <w:rsid w:val="0048114F"/>
    <w:rsid w:val="004816F6"/>
    <w:rsid w:val="00482B81"/>
    <w:rsid w:val="00482D4C"/>
    <w:rsid w:val="00482DA4"/>
    <w:rsid w:val="00482EB2"/>
    <w:rsid w:val="00483475"/>
    <w:rsid w:val="004838E4"/>
    <w:rsid w:val="0048463A"/>
    <w:rsid w:val="0048553C"/>
    <w:rsid w:val="00486438"/>
    <w:rsid w:val="004866DF"/>
    <w:rsid w:val="00486C3A"/>
    <w:rsid w:val="00490D9F"/>
    <w:rsid w:val="004918F9"/>
    <w:rsid w:val="00492BF6"/>
    <w:rsid w:val="00493183"/>
    <w:rsid w:val="00493A4D"/>
    <w:rsid w:val="00493AEB"/>
    <w:rsid w:val="0049494F"/>
    <w:rsid w:val="004949F4"/>
    <w:rsid w:val="00494E1D"/>
    <w:rsid w:val="00495807"/>
    <w:rsid w:val="00496F0D"/>
    <w:rsid w:val="00497BE8"/>
    <w:rsid w:val="004A079E"/>
    <w:rsid w:val="004A07D5"/>
    <w:rsid w:val="004A10CE"/>
    <w:rsid w:val="004A1638"/>
    <w:rsid w:val="004A257E"/>
    <w:rsid w:val="004A279E"/>
    <w:rsid w:val="004A27A8"/>
    <w:rsid w:val="004A3018"/>
    <w:rsid w:val="004A358F"/>
    <w:rsid w:val="004A4499"/>
    <w:rsid w:val="004A58A9"/>
    <w:rsid w:val="004A597F"/>
    <w:rsid w:val="004A5C78"/>
    <w:rsid w:val="004A6596"/>
    <w:rsid w:val="004A679F"/>
    <w:rsid w:val="004A763D"/>
    <w:rsid w:val="004A781C"/>
    <w:rsid w:val="004B3C0F"/>
    <w:rsid w:val="004B48B7"/>
    <w:rsid w:val="004B4A3C"/>
    <w:rsid w:val="004B4ACB"/>
    <w:rsid w:val="004B525B"/>
    <w:rsid w:val="004B589C"/>
    <w:rsid w:val="004B68C6"/>
    <w:rsid w:val="004B7628"/>
    <w:rsid w:val="004C05E4"/>
    <w:rsid w:val="004C107C"/>
    <w:rsid w:val="004C12A6"/>
    <w:rsid w:val="004C28DF"/>
    <w:rsid w:val="004C34D6"/>
    <w:rsid w:val="004C5E48"/>
    <w:rsid w:val="004C5E95"/>
    <w:rsid w:val="004D4AE5"/>
    <w:rsid w:val="004D59B6"/>
    <w:rsid w:val="004E1293"/>
    <w:rsid w:val="004E1D3E"/>
    <w:rsid w:val="004E2ABB"/>
    <w:rsid w:val="004E2DF7"/>
    <w:rsid w:val="004E2EE7"/>
    <w:rsid w:val="004E3590"/>
    <w:rsid w:val="004E39E1"/>
    <w:rsid w:val="004E51EA"/>
    <w:rsid w:val="004E558B"/>
    <w:rsid w:val="004E5DEB"/>
    <w:rsid w:val="004E711A"/>
    <w:rsid w:val="004E75FD"/>
    <w:rsid w:val="004F00BA"/>
    <w:rsid w:val="004F011F"/>
    <w:rsid w:val="004F03F4"/>
    <w:rsid w:val="004F0C21"/>
    <w:rsid w:val="004F1E67"/>
    <w:rsid w:val="004F2721"/>
    <w:rsid w:val="004F4BA2"/>
    <w:rsid w:val="004F4C00"/>
    <w:rsid w:val="004F56D0"/>
    <w:rsid w:val="004F5EC8"/>
    <w:rsid w:val="004F7F02"/>
    <w:rsid w:val="00500BCE"/>
    <w:rsid w:val="005019A7"/>
    <w:rsid w:val="0050235E"/>
    <w:rsid w:val="00502BA9"/>
    <w:rsid w:val="00503A99"/>
    <w:rsid w:val="00503E44"/>
    <w:rsid w:val="00506404"/>
    <w:rsid w:val="00506E3C"/>
    <w:rsid w:val="0050777E"/>
    <w:rsid w:val="00507E01"/>
    <w:rsid w:val="00511129"/>
    <w:rsid w:val="005112A1"/>
    <w:rsid w:val="00511AB7"/>
    <w:rsid w:val="0051271E"/>
    <w:rsid w:val="00513146"/>
    <w:rsid w:val="005135B2"/>
    <w:rsid w:val="00513B37"/>
    <w:rsid w:val="00513FE8"/>
    <w:rsid w:val="0051429B"/>
    <w:rsid w:val="005144DF"/>
    <w:rsid w:val="005149F9"/>
    <w:rsid w:val="00515283"/>
    <w:rsid w:val="0051549B"/>
    <w:rsid w:val="00520305"/>
    <w:rsid w:val="0052095C"/>
    <w:rsid w:val="0052119C"/>
    <w:rsid w:val="00521A7E"/>
    <w:rsid w:val="005220C4"/>
    <w:rsid w:val="00522294"/>
    <w:rsid w:val="005227CE"/>
    <w:rsid w:val="00522968"/>
    <w:rsid w:val="005231C5"/>
    <w:rsid w:val="00523484"/>
    <w:rsid w:val="00523B63"/>
    <w:rsid w:val="005241FC"/>
    <w:rsid w:val="0052491F"/>
    <w:rsid w:val="00524A7B"/>
    <w:rsid w:val="0052539F"/>
    <w:rsid w:val="00526B51"/>
    <w:rsid w:val="00527BD7"/>
    <w:rsid w:val="00527DC3"/>
    <w:rsid w:val="005303F9"/>
    <w:rsid w:val="005312F4"/>
    <w:rsid w:val="00532051"/>
    <w:rsid w:val="00533926"/>
    <w:rsid w:val="005343E5"/>
    <w:rsid w:val="005351D8"/>
    <w:rsid w:val="00537091"/>
    <w:rsid w:val="0053735B"/>
    <w:rsid w:val="00537A75"/>
    <w:rsid w:val="00537FB7"/>
    <w:rsid w:val="00540E17"/>
    <w:rsid w:val="005411D1"/>
    <w:rsid w:val="00541427"/>
    <w:rsid w:val="0054155B"/>
    <w:rsid w:val="005418E0"/>
    <w:rsid w:val="00541F17"/>
    <w:rsid w:val="00542873"/>
    <w:rsid w:val="0054370D"/>
    <w:rsid w:val="0054378D"/>
    <w:rsid w:val="00543EB6"/>
    <w:rsid w:val="00544124"/>
    <w:rsid w:val="005464FE"/>
    <w:rsid w:val="00550F93"/>
    <w:rsid w:val="005512EA"/>
    <w:rsid w:val="00551A86"/>
    <w:rsid w:val="00553213"/>
    <w:rsid w:val="00553A33"/>
    <w:rsid w:val="00553A74"/>
    <w:rsid w:val="00553FA4"/>
    <w:rsid w:val="00555DFB"/>
    <w:rsid w:val="005565A7"/>
    <w:rsid w:val="0055675D"/>
    <w:rsid w:val="005573C4"/>
    <w:rsid w:val="0056101F"/>
    <w:rsid w:val="00561FFC"/>
    <w:rsid w:val="0056287F"/>
    <w:rsid w:val="00563663"/>
    <w:rsid w:val="00563955"/>
    <w:rsid w:val="00563EBD"/>
    <w:rsid w:val="00563F07"/>
    <w:rsid w:val="0056417D"/>
    <w:rsid w:val="005643BD"/>
    <w:rsid w:val="00566814"/>
    <w:rsid w:val="00566E8F"/>
    <w:rsid w:val="00566F9A"/>
    <w:rsid w:val="00567734"/>
    <w:rsid w:val="00570497"/>
    <w:rsid w:val="005709DE"/>
    <w:rsid w:val="0057106E"/>
    <w:rsid w:val="0057197C"/>
    <w:rsid w:val="00571C3A"/>
    <w:rsid w:val="00572320"/>
    <w:rsid w:val="005726BA"/>
    <w:rsid w:val="00573FFC"/>
    <w:rsid w:val="0057422E"/>
    <w:rsid w:val="00575F24"/>
    <w:rsid w:val="00576525"/>
    <w:rsid w:val="00577634"/>
    <w:rsid w:val="0058147B"/>
    <w:rsid w:val="0058237D"/>
    <w:rsid w:val="005833BE"/>
    <w:rsid w:val="005844D3"/>
    <w:rsid w:val="005858FB"/>
    <w:rsid w:val="00585F0F"/>
    <w:rsid w:val="00587D25"/>
    <w:rsid w:val="00590E2D"/>
    <w:rsid w:val="0059302A"/>
    <w:rsid w:val="005933AB"/>
    <w:rsid w:val="005946A5"/>
    <w:rsid w:val="00596453"/>
    <w:rsid w:val="00596EF6"/>
    <w:rsid w:val="00597604"/>
    <w:rsid w:val="00597917"/>
    <w:rsid w:val="005A0792"/>
    <w:rsid w:val="005A094B"/>
    <w:rsid w:val="005A204C"/>
    <w:rsid w:val="005A2572"/>
    <w:rsid w:val="005A31BB"/>
    <w:rsid w:val="005A36F0"/>
    <w:rsid w:val="005A425C"/>
    <w:rsid w:val="005A6805"/>
    <w:rsid w:val="005A752D"/>
    <w:rsid w:val="005A7DA9"/>
    <w:rsid w:val="005B1604"/>
    <w:rsid w:val="005B185B"/>
    <w:rsid w:val="005B218F"/>
    <w:rsid w:val="005B3763"/>
    <w:rsid w:val="005B3AF1"/>
    <w:rsid w:val="005B4A3A"/>
    <w:rsid w:val="005B5056"/>
    <w:rsid w:val="005B69F5"/>
    <w:rsid w:val="005B6FCD"/>
    <w:rsid w:val="005B7D0A"/>
    <w:rsid w:val="005C008B"/>
    <w:rsid w:val="005C032C"/>
    <w:rsid w:val="005C0B76"/>
    <w:rsid w:val="005C1343"/>
    <w:rsid w:val="005C284B"/>
    <w:rsid w:val="005C3629"/>
    <w:rsid w:val="005C4656"/>
    <w:rsid w:val="005C5947"/>
    <w:rsid w:val="005C596E"/>
    <w:rsid w:val="005C73D6"/>
    <w:rsid w:val="005C79D3"/>
    <w:rsid w:val="005D0181"/>
    <w:rsid w:val="005D0C18"/>
    <w:rsid w:val="005D2168"/>
    <w:rsid w:val="005D41A8"/>
    <w:rsid w:val="005D685D"/>
    <w:rsid w:val="005D68FA"/>
    <w:rsid w:val="005D7D5A"/>
    <w:rsid w:val="005D7E35"/>
    <w:rsid w:val="005E0EDB"/>
    <w:rsid w:val="005E1B8F"/>
    <w:rsid w:val="005E1D1F"/>
    <w:rsid w:val="005E1E56"/>
    <w:rsid w:val="005E3658"/>
    <w:rsid w:val="005E379D"/>
    <w:rsid w:val="005E4792"/>
    <w:rsid w:val="005E4BAC"/>
    <w:rsid w:val="005E580A"/>
    <w:rsid w:val="005E5FE9"/>
    <w:rsid w:val="005E6667"/>
    <w:rsid w:val="005E6C1E"/>
    <w:rsid w:val="005F02CD"/>
    <w:rsid w:val="005F0ABE"/>
    <w:rsid w:val="005F0AF6"/>
    <w:rsid w:val="005F0F69"/>
    <w:rsid w:val="005F1001"/>
    <w:rsid w:val="005F1BC2"/>
    <w:rsid w:val="005F267C"/>
    <w:rsid w:val="005F33AF"/>
    <w:rsid w:val="005F371E"/>
    <w:rsid w:val="005F4F27"/>
    <w:rsid w:val="005F64C4"/>
    <w:rsid w:val="005F736E"/>
    <w:rsid w:val="00600D85"/>
    <w:rsid w:val="00601153"/>
    <w:rsid w:val="0060130D"/>
    <w:rsid w:val="00602066"/>
    <w:rsid w:val="00602C78"/>
    <w:rsid w:val="0060381D"/>
    <w:rsid w:val="006054A0"/>
    <w:rsid w:val="00606510"/>
    <w:rsid w:val="00606671"/>
    <w:rsid w:val="006068A4"/>
    <w:rsid w:val="006100E5"/>
    <w:rsid w:val="00612329"/>
    <w:rsid w:val="0061311C"/>
    <w:rsid w:val="006137A6"/>
    <w:rsid w:val="00613B16"/>
    <w:rsid w:val="006144FC"/>
    <w:rsid w:val="00615574"/>
    <w:rsid w:val="0061568B"/>
    <w:rsid w:val="0061626B"/>
    <w:rsid w:val="0061652B"/>
    <w:rsid w:val="0061682E"/>
    <w:rsid w:val="0061746A"/>
    <w:rsid w:val="00617C4B"/>
    <w:rsid w:val="00617C80"/>
    <w:rsid w:val="006202B6"/>
    <w:rsid w:val="006235A8"/>
    <w:rsid w:val="00623F9C"/>
    <w:rsid w:val="006243C6"/>
    <w:rsid w:val="0062574C"/>
    <w:rsid w:val="006264AA"/>
    <w:rsid w:val="006302F3"/>
    <w:rsid w:val="00630893"/>
    <w:rsid w:val="00632EFB"/>
    <w:rsid w:val="00634648"/>
    <w:rsid w:val="00634C7D"/>
    <w:rsid w:val="006358EE"/>
    <w:rsid w:val="0064091A"/>
    <w:rsid w:val="0064093C"/>
    <w:rsid w:val="00640C74"/>
    <w:rsid w:val="00641191"/>
    <w:rsid w:val="0064129F"/>
    <w:rsid w:val="0064178E"/>
    <w:rsid w:val="0064309D"/>
    <w:rsid w:val="00643135"/>
    <w:rsid w:val="0064344D"/>
    <w:rsid w:val="00643E09"/>
    <w:rsid w:val="00645E31"/>
    <w:rsid w:val="00647323"/>
    <w:rsid w:val="006473A9"/>
    <w:rsid w:val="00647BB7"/>
    <w:rsid w:val="0065023B"/>
    <w:rsid w:val="006514CA"/>
    <w:rsid w:val="00651F8C"/>
    <w:rsid w:val="00653681"/>
    <w:rsid w:val="00654FDF"/>
    <w:rsid w:val="006551C8"/>
    <w:rsid w:val="006553B5"/>
    <w:rsid w:val="0065572D"/>
    <w:rsid w:val="006557E5"/>
    <w:rsid w:val="00655CEE"/>
    <w:rsid w:val="0065600D"/>
    <w:rsid w:val="006567AF"/>
    <w:rsid w:val="00660F56"/>
    <w:rsid w:val="00661031"/>
    <w:rsid w:val="00662F6D"/>
    <w:rsid w:val="006705EC"/>
    <w:rsid w:val="006707DB"/>
    <w:rsid w:val="006711DF"/>
    <w:rsid w:val="00673D33"/>
    <w:rsid w:val="00674084"/>
    <w:rsid w:val="006740A2"/>
    <w:rsid w:val="00675B78"/>
    <w:rsid w:val="00675D15"/>
    <w:rsid w:val="00676D89"/>
    <w:rsid w:val="00677787"/>
    <w:rsid w:val="0067782C"/>
    <w:rsid w:val="00677EA9"/>
    <w:rsid w:val="006801C6"/>
    <w:rsid w:val="00680297"/>
    <w:rsid w:val="006803BF"/>
    <w:rsid w:val="0068046D"/>
    <w:rsid w:val="00680871"/>
    <w:rsid w:val="00680BA2"/>
    <w:rsid w:val="0068139A"/>
    <w:rsid w:val="006821A5"/>
    <w:rsid w:val="006829B9"/>
    <w:rsid w:val="006834CB"/>
    <w:rsid w:val="00683956"/>
    <w:rsid w:val="00685573"/>
    <w:rsid w:val="006873CE"/>
    <w:rsid w:val="00690256"/>
    <w:rsid w:val="0069031C"/>
    <w:rsid w:val="0069205F"/>
    <w:rsid w:val="00692134"/>
    <w:rsid w:val="006934A7"/>
    <w:rsid w:val="006943B6"/>
    <w:rsid w:val="00694A8E"/>
    <w:rsid w:val="00695665"/>
    <w:rsid w:val="00695C7C"/>
    <w:rsid w:val="006978DF"/>
    <w:rsid w:val="00697C57"/>
    <w:rsid w:val="006A0334"/>
    <w:rsid w:val="006A0786"/>
    <w:rsid w:val="006A11D6"/>
    <w:rsid w:val="006A11EE"/>
    <w:rsid w:val="006A137B"/>
    <w:rsid w:val="006A4113"/>
    <w:rsid w:val="006A5717"/>
    <w:rsid w:val="006A6161"/>
    <w:rsid w:val="006A6EE9"/>
    <w:rsid w:val="006B1C78"/>
    <w:rsid w:val="006B1CC6"/>
    <w:rsid w:val="006B313A"/>
    <w:rsid w:val="006B34EB"/>
    <w:rsid w:val="006B3AA9"/>
    <w:rsid w:val="006B520A"/>
    <w:rsid w:val="006B523A"/>
    <w:rsid w:val="006B6E39"/>
    <w:rsid w:val="006B75A9"/>
    <w:rsid w:val="006C170A"/>
    <w:rsid w:val="006C31B0"/>
    <w:rsid w:val="006C4772"/>
    <w:rsid w:val="006C5093"/>
    <w:rsid w:val="006C53CE"/>
    <w:rsid w:val="006C5639"/>
    <w:rsid w:val="006C566E"/>
    <w:rsid w:val="006C66E2"/>
    <w:rsid w:val="006C69ED"/>
    <w:rsid w:val="006C755D"/>
    <w:rsid w:val="006C770E"/>
    <w:rsid w:val="006C79CA"/>
    <w:rsid w:val="006C7FE8"/>
    <w:rsid w:val="006D10EC"/>
    <w:rsid w:val="006D3F63"/>
    <w:rsid w:val="006D41F9"/>
    <w:rsid w:val="006D4420"/>
    <w:rsid w:val="006D478B"/>
    <w:rsid w:val="006D4820"/>
    <w:rsid w:val="006D4DAA"/>
    <w:rsid w:val="006D60D0"/>
    <w:rsid w:val="006D6402"/>
    <w:rsid w:val="006D672B"/>
    <w:rsid w:val="006D78E4"/>
    <w:rsid w:val="006D7A1E"/>
    <w:rsid w:val="006D7C87"/>
    <w:rsid w:val="006D7CE8"/>
    <w:rsid w:val="006E04DB"/>
    <w:rsid w:val="006E06B5"/>
    <w:rsid w:val="006E0852"/>
    <w:rsid w:val="006E0C8A"/>
    <w:rsid w:val="006E0CBA"/>
    <w:rsid w:val="006E1D8E"/>
    <w:rsid w:val="006E2BC6"/>
    <w:rsid w:val="006E2DB1"/>
    <w:rsid w:val="006E3597"/>
    <w:rsid w:val="006E39EF"/>
    <w:rsid w:val="006E3AB4"/>
    <w:rsid w:val="006E3BDD"/>
    <w:rsid w:val="006E55FB"/>
    <w:rsid w:val="006E6321"/>
    <w:rsid w:val="006E7201"/>
    <w:rsid w:val="006E757A"/>
    <w:rsid w:val="006E79FA"/>
    <w:rsid w:val="006E7A9A"/>
    <w:rsid w:val="006E7DC5"/>
    <w:rsid w:val="006F06C1"/>
    <w:rsid w:val="006F2BD0"/>
    <w:rsid w:val="006F5B6E"/>
    <w:rsid w:val="006F683C"/>
    <w:rsid w:val="006F6C2A"/>
    <w:rsid w:val="006F74AB"/>
    <w:rsid w:val="006F7EB0"/>
    <w:rsid w:val="0070169C"/>
    <w:rsid w:val="00701D21"/>
    <w:rsid w:val="00701F57"/>
    <w:rsid w:val="00702388"/>
    <w:rsid w:val="00704CCA"/>
    <w:rsid w:val="00705171"/>
    <w:rsid w:val="007053B0"/>
    <w:rsid w:val="00705A99"/>
    <w:rsid w:val="007062B9"/>
    <w:rsid w:val="0070714C"/>
    <w:rsid w:val="007073A2"/>
    <w:rsid w:val="007078D2"/>
    <w:rsid w:val="0071033A"/>
    <w:rsid w:val="00710E94"/>
    <w:rsid w:val="00711C61"/>
    <w:rsid w:val="00711CB4"/>
    <w:rsid w:val="00713782"/>
    <w:rsid w:val="00713E5C"/>
    <w:rsid w:val="007149FA"/>
    <w:rsid w:val="00715911"/>
    <w:rsid w:val="0071695D"/>
    <w:rsid w:val="007175B1"/>
    <w:rsid w:val="00717C17"/>
    <w:rsid w:val="00717E58"/>
    <w:rsid w:val="00720EB9"/>
    <w:rsid w:val="00721C4F"/>
    <w:rsid w:val="00721F30"/>
    <w:rsid w:val="007223EA"/>
    <w:rsid w:val="00723395"/>
    <w:rsid w:val="00723AA5"/>
    <w:rsid w:val="00723C11"/>
    <w:rsid w:val="00724347"/>
    <w:rsid w:val="007245CD"/>
    <w:rsid w:val="0072609D"/>
    <w:rsid w:val="00727D8A"/>
    <w:rsid w:val="00730DA8"/>
    <w:rsid w:val="00731096"/>
    <w:rsid w:val="00731FEA"/>
    <w:rsid w:val="007323F4"/>
    <w:rsid w:val="00733D71"/>
    <w:rsid w:val="00735921"/>
    <w:rsid w:val="0073599B"/>
    <w:rsid w:val="00735DA1"/>
    <w:rsid w:val="00736F61"/>
    <w:rsid w:val="007376A3"/>
    <w:rsid w:val="007378EC"/>
    <w:rsid w:val="007402DD"/>
    <w:rsid w:val="00740C9A"/>
    <w:rsid w:val="0074185E"/>
    <w:rsid w:val="00742253"/>
    <w:rsid w:val="00742979"/>
    <w:rsid w:val="007436F0"/>
    <w:rsid w:val="0074422A"/>
    <w:rsid w:val="00746987"/>
    <w:rsid w:val="00746D6A"/>
    <w:rsid w:val="0074728E"/>
    <w:rsid w:val="00747504"/>
    <w:rsid w:val="00747D3D"/>
    <w:rsid w:val="00750D7B"/>
    <w:rsid w:val="00752995"/>
    <w:rsid w:val="007538AF"/>
    <w:rsid w:val="00754633"/>
    <w:rsid w:val="007546E7"/>
    <w:rsid w:val="007577D0"/>
    <w:rsid w:val="00757B95"/>
    <w:rsid w:val="0076052E"/>
    <w:rsid w:val="00760908"/>
    <w:rsid w:val="007613C9"/>
    <w:rsid w:val="00761C33"/>
    <w:rsid w:val="007626E1"/>
    <w:rsid w:val="00762D03"/>
    <w:rsid w:val="00763B53"/>
    <w:rsid w:val="00765063"/>
    <w:rsid w:val="00765E5F"/>
    <w:rsid w:val="007662C7"/>
    <w:rsid w:val="00766563"/>
    <w:rsid w:val="007666B3"/>
    <w:rsid w:val="007669DD"/>
    <w:rsid w:val="007676DD"/>
    <w:rsid w:val="0077233C"/>
    <w:rsid w:val="00772B30"/>
    <w:rsid w:val="00772FAF"/>
    <w:rsid w:val="00773C54"/>
    <w:rsid w:val="00773D50"/>
    <w:rsid w:val="00774DBC"/>
    <w:rsid w:val="0077541F"/>
    <w:rsid w:val="007757B2"/>
    <w:rsid w:val="00776306"/>
    <w:rsid w:val="00776BE4"/>
    <w:rsid w:val="00776DB2"/>
    <w:rsid w:val="00776FC9"/>
    <w:rsid w:val="00777DB6"/>
    <w:rsid w:val="00777FF0"/>
    <w:rsid w:val="007816E2"/>
    <w:rsid w:val="00782AFD"/>
    <w:rsid w:val="007837C1"/>
    <w:rsid w:val="00785B1D"/>
    <w:rsid w:val="00785E04"/>
    <w:rsid w:val="00791692"/>
    <w:rsid w:val="00792743"/>
    <w:rsid w:val="00792B9D"/>
    <w:rsid w:val="0079355C"/>
    <w:rsid w:val="00793A46"/>
    <w:rsid w:val="00797347"/>
    <w:rsid w:val="007A1075"/>
    <w:rsid w:val="007A14B9"/>
    <w:rsid w:val="007A1887"/>
    <w:rsid w:val="007A24A3"/>
    <w:rsid w:val="007A33F8"/>
    <w:rsid w:val="007A3BB2"/>
    <w:rsid w:val="007A4703"/>
    <w:rsid w:val="007A5028"/>
    <w:rsid w:val="007A55A7"/>
    <w:rsid w:val="007A57BC"/>
    <w:rsid w:val="007A5BBF"/>
    <w:rsid w:val="007A6F5E"/>
    <w:rsid w:val="007A7EA4"/>
    <w:rsid w:val="007B00D6"/>
    <w:rsid w:val="007B0954"/>
    <w:rsid w:val="007B0CAC"/>
    <w:rsid w:val="007B14EC"/>
    <w:rsid w:val="007B1871"/>
    <w:rsid w:val="007B1F10"/>
    <w:rsid w:val="007B2143"/>
    <w:rsid w:val="007B2503"/>
    <w:rsid w:val="007B254D"/>
    <w:rsid w:val="007B2927"/>
    <w:rsid w:val="007B335E"/>
    <w:rsid w:val="007B3508"/>
    <w:rsid w:val="007B42F2"/>
    <w:rsid w:val="007B4A9D"/>
    <w:rsid w:val="007B5413"/>
    <w:rsid w:val="007B6DCB"/>
    <w:rsid w:val="007B709C"/>
    <w:rsid w:val="007B7714"/>
    <w:rsid w:val="007C137D"/>
    <w:rsid w:val="007C1B2A"/>
    <w:rsid w:val="007C2077"/>
    <w:rsid w:val="007C329D"/>
    <w:rsid w:val="007C710E"/>
    <w:rsid w:val="007C7B5A"/>
    <w:rsid w:val="007C7D64"/>
    <w:rsid w:val="007C7E0C"/>
    <w:rsid w:val="007D0861"/>
    <w:rsid w:val="007D13F6"/>
    <w:rsid w:val="007D23AA"/>
    <w:rsid w:val="007D2632"/>
    <w:rsid w:val="007D326B"/>
    <w:rsid w:val="007D32DF"/>
    <w:rsid w:val="007D3553"/>
    <w:rsid w:val="007D4083"/>
    <w:rsid w:val="007D4BC6"/>
    <w:rsid w:val="007D63C5"/>
    <w:rsid w:val="007D6771"/>
    <w:rsid w:val="007D703C"/>
    <w:rsid w:val="007D7397"/>
    <w:rsid w:val="007E018D"/>
    <w:rsid w:val="007E0E7F"/>
    <w:rsid w:val="007E1DB3"/>
    <w:rsid w:val="007E24C6"/>
    <w:rsid w:val="007E3208"/>
    <w:rsid w:val="007E3285"/>
    <w:rsid w:val="007E341D"/>
    <w:rsid w:val="007E382E"/>
    <w:rsid w:val="007E412C"/>
    <w:rsid w:val="007E4F1D"/>
    <w:rsid w:val="007E5A0D"/>
    <w:rsid w:val="007E6A45"/>
    <w:rsid w:val="007F007B"/>
    <w:rsid w:val="007F19D0"/>
    <w:rsid w:val="007F1B71"/>
    <w:rsid w:val="007F26B9"/>
    <w:rsid w:val="007F554C"/>
    <w:rsid w:val="007F695D"/>
    <w:rsid w:val="007F77AD"/>
    <w:rsid w:val="007F78F5"/>
    <w:rsid w:val="00800B12"/>
    <w:rsid w:val="00801D4C"/>
    <w:rsid w:val="00801E54"/>
    <w:rsid w:val="00802195"/>
    <w:rsid w:val="00802C2E"/>
    <w:rsid w:val="0080320B"/>
    <w:rsid w:val="008061A8"/>
    <w:rsid w:val="008062A0"/>
    <w:rsid w:val="0080663C"/>
    <w:rsid w:val="00807124"/>
    <w:rsid w:val="0080762D"/>
    <w:rsid w:val="00807E7D"/>
    <w:rsid w:val="00811C6A"/>
    <w:rsid w:val="00811DFD"/>
    <w:rsid w:val="008121EA"/>
    <w:rsid w:val="0081320C"/>
    <w:rsid w:val="008145B9"/>
    <w:rsid w:val="008145BA"/>
    <w:rsid w:val="00815284"/>
    <w:rsid w:val="00815A1C"/>
    <w:rsid w:val="008160C7"/>
    <w:rsid w:val="008163DF"/>
    <w:rsid w:val="00820128"/>
    <w:rsid w:val="00822699"/>
    <w:rsid w:val="00823D64"/>
    <w:rsid w:val="008249BE"/>
    <w:rsid w:val="0082583C"/>
    <w:rsid w:val="00826288"/>
    <w:rsid w:val="00827261"/>
    <w:rsid w:val="00827677"/>
    <w:rsid w:val="008277BC"/>
    <w:rsid w:val="008301B5"/>
    <w:rsid w:val="00830EA4"/>
    <w:rsid w:val="00830F7C"/>
    <w:rsid w:val="00831675"/>
    <w:rsid w:val="00831931"/>
    <w:rsid w:val="00833505"/>
    <w:rsid w:val="008335C4"/>
    <w:rsid w:val="00833654"/>
    <w:rsid w:val="00835337"/>
    <w:rsid w:val="00837320"/>
    <w:rsid w:val="00837B7A"/>
    <w:rsid w:val="008404AD"/>
    <w:rsid w:val="00840DDF"/>
    <w:rsid w:val="00841F6B"/>
    <w:rsid w:val="00843923"/>
    <w:rsid w:val="0084398C"/>
    <w:rsid w:val="00844849"/>
    <w:rsid w:val="0084532A"/>
    <w:rsid w:val="00845785"/>
    <w:rsid w:val="00845A80"/>
    <w:rsid w:val="0084672B"/>
    <w:rsid w:val="008514F4"/>
    <w:rsid w:val="00852994"/>
    <w:rsid w:val="00852D33"/>
    <w:rsid w:val="0085373F"/>
    <w:rsid w:val="00853C11"/>
    <w:rsid w:val="0085519B"/>
    <w:rsid w:val="0085528B"/>
    <w:rsid w:val="008552D6"/>
    <w:rsid w:val="00855DA3"/>
    <w:rsid w:val="008565DF"/>
    <w:rsid w:val="008575A0"/>
    <w:rsid w:val="008575DC"/>
    <w:rsid w:val="0086031D"/>
    <w:rsid w:val="008606F8"/>
    <w:rsid w:val="00860BB5"/>
    <w:rsid w:val="0086130F"/>
    <w:rsid w:val="00861350"/>
    <w:rsid w:val="008615AB"/>
    <w:rsid w:val="00861E86"/>
    <w:rsid w:val="00861FC1"/>
    <w:rsid w:val="00862443"/>
    <w:rsid w:val="00862DD4"/>
    <w:rsid w:val="00862FEF"/>
    <w:rsid w:val="0086772D"/>
    <w:rsid w:val="0086797D"/>
    <w:rsid w:val="008679AA"/>
    <w:rsid w:val="00867B59"/>
    <w:rsid w:val="0087025E"/>
    <w:rsid w:val="0087125E"/>
    <w:rsid w:val="0087311C"/>
    <w:rsid w:val="00875DB4"/>
    <w:rsid w:val="00876275"/>
    <w:rsid w:val="00876287"/>
    <w:rsid w:val="008764AC"/>
    <w:rsid w:val="00876D4F"/>
    <w:rsid w:val="00876F44"/>
    <w:rsid w:val="00877071"/>
    <w:rsid w:val="008779B4"/>
    <w:rsid w:val="00877A2F"/>
    <w:rsid w:val="008804FC"/>
    <w:rsid w:val="008806C5"/>
    <w:rsid w:val="00880F5B"/>
    <w:rsid w:val="00880FBF"/>
    <w:rsid w:val="00881170"/>
    <w:rsid w:val="0088138D"/>
    <w:rsid w:val="0088165F"/>
    <w:rsid w:val="00883289"/>
    <w:rsid w:val="0088375F"/>
    <w:rsid w:val="00883863"/>
    <w:rsid w:val="0088467C"/>
    <w:rsid w:val="00884824"/>
    <w:rsid w:val="008853B9"/>
    <w:rsid w:val="008858FA"/>
    <w:rsid w:val="00885AA3"/>
    <w:rsid w:val="00886817"/>
    <w:rsid w:val="00886B31"/>
    <w:rsid w:val="00886D0D"/>
    <w:rsid w:val="00887E78"/>
    <w:rsid w:val="00890260"/>
    <w:rsid w:val="00890D66"/>
    <w:rsid w:val="00890F40"/>
    <w:rsid w:val="00891F21"/>
    <w:rsid w:val="00891F8D"/>
    <w:rsid w:val="00891FC1"/>
    <w:rsid w:val="00892016"/>
    <w:rsid w:val="008921E0"/>
    <w:rsid w:val="00892938"/>
    <w:rsid w:val="00892BAF"/>
    <w:rsid w:val="00892D3B"/>
    <w:rsid w:val="008930E7"/>
    <w:rsid w:val="00894579"/>
    <w:rsid w:val="00895008"/>
    <w:rsid w:val="00895936"/>
    <w:rsid w:val="00895B4D"/>
    <w:rsid w:val="00896C86"/>
    <w:rsid w:val="0089702A"/>
    <w:rsid w:val="0089759E"/>
    <w:rsid w:val="00897673"/>
    <w:rsid w:val="00897A92"/>
    <w:rsid w:val="008A010A"/>
    <w:rsid w:val="008A2B06"/>
    <w:rsid w:val="008A2BDB"/>
    <w:rsid w:val="008A4822"/>
    <w:rsid w:val="008A4D0B"/>
    <w:rsid w:val="008A513A"/>
    <w:rsid w:val="008A5201"/>
    <w:rsid w:val="008A569A"/>
    <w:rsid w:val="008A5712"/>
    <w:rsid w:val="008A5B67"/>
    <w:rsid w:val="008A5CCD"/>
    <w:rsid w:val="008A624B"/>
    <w:rsid w:val="008A6A6D"/>
    <w:rsid w:val="008A6B99"/>
    <w:rsid w:val="008A7A80"/>
    <w:rsid w:val="008B03F0"/>
    <w:rsid w:val="008B0E4E"/>
    <w:rsid w:val="008B1F1A"/>
    <w:rsid w:val="008B2409"/>
    <w:rsid w:val="008B29E7"/>
    <w:rsid w:val="008B2C4E"/>
    <w:rsid w:val="008B33BE"/>
    <w:rsid w:val="008B33DF"/>
    <w:rsid w:val="008B4101"/>
    <w:rsid w:val="008B4782"/>
    <w:rsid w:val="008B4D9B"/>
    <w:rsid w:val="008B5C0B"/>
    <w:rsid w:val="008C0E97"/>
    <w:rsid w:val="008C15FE"/>
    <w:rsid w:val="008C2216"/>
    <w:rsid w:val="008C2E67"/>
    <w:rsid w:val="008C31B8"/>
    <w:rsid w:val="008C3444"/>
    <w:rsid w:val="008C51E8"/>
    <w:rsid w:val="008C56A3"/>
    <w:rsid w:val="008C659A"/>
    <w:rsid w:val="008C6A1E"/>
    <w:rsid w:val="008C79C3"/>
    <w:rsid w:val="008D07E2"/>
    <w:rsid w:val="008D16F7"/>
    <w:rsid w:val="008D1E5C"/>
    <w:rsid w:val="008D40FA"/>
    <w:rsid w:val="008D4835"/>
    <w:rsid w:val="008D6BE7"/>
    <w:rsid w:val="008D7065"/>
    <w:rsid w:val="008D77BA"/>
    <w:rsid w:val="008E0CAD"/>
    <w:rsid w:val="008E1427"/>
    <w:rsid w:val="008E1547"/>
    <w:rsid w:val="008E162B"/>
    <w:rsid w:val="008E195A"/>
    <w:rsid w:val="008E52C7"/>
    <w:rsid w:val="008E5A1D"/>
    <w:rsid w:val="008E6F74"/>
    <w:rsid w:val="008E713F"/>
    <w:rsid w:val="008F0C50"/>
    <w:rsid w:val="008F14D4"/>
    <w:rsid w:val="008F1B59"/>
    <w:rsid w:val="008F2529"/>
    <w:rsid w:val="008F4D1D"/>
    <w:rsid w:val="008F4E6A"/>
    <w:rsid w:val="008F6532"/>
    <w:rsid w:val="008F778A"/>
    <w:rsid w:val="0090056E"/>
    <w:rsid w:val="00900E81"/>
    <w:rsid w:val="0090194B"/>
    <w:rsid w:val="00901957"/>
    <w:rsid w:val="00901D7F"/>
    <w:rsid w:val="00902ED6"/>
    <w:rsid w:val="0090320B"/>
    <w:rsid w:val="00903403"/>
    <w:rsid w:val="00905464"/>
    <w:rsid w:val="009055C2"/>
    <w:rsid w:val="00906037"/>
    <w:rsid w:val="00906C51"/>
    <w:rsid w:val="00911612"/>
    <w:rsid w:val="00911814"/>
    <w:rsid w:val="00911823"/>
    <w:rsid w:val="00912031"/>
    <w:rsid w:val="00912329"/>
    <w:rsid w:val="0091280A"/>
    <w:rsid w:val="0091358C"/>
    <w:rsid w:val="00913635"/>
    <w:rsid w:val="009143A0"/>
    <w:rsid w:val="00915132"/>
    <w:rsid w:val="00917C7D"/>
    <w:rsid w:val="009201F8"/>
    <w:rsid w:val="00920635"/>
    <w:rsid w:val="00920DBD"/>
    <w:rsid w:val="00921B5A"/>
    <w:rsid w:val="00923434"/>
    <w:rsid w:val="009245ED"/>
    <w:rsid w:val="009248FB"/>
    <w:rsid w:val="00925124"/>
    <w:rsid w:val="00925635"/>
    <w:rsid w:val="00925F88"/>
    <w:rsid w:val="00927C59"/>
    <w:rsid w:val="00930C1A"/>
    <w:rsid w:val="00931881"/>
    <w:rsid w:val="00931E1F"/>
    <w:rsid w:val="009333C6"/>
    <w:rsid w:val="00933522"/>
    <w:rsid w:val="009338EE"/>
    <w:rsid w:val="0093421F"/>
    <w:rsid w:val="0093623F"/>
    <w:rsid w:val="00936902"/>
    <w:rsid w:val="00936D70"/>
    <w:rsid w:val="009408F3"/>
    <w:rsid w:val="00942170"/>
    <w:rsid w:val="00942911"/>
    <w:rsid w:val="00942E8D"/>
    <w:rsid w:val="00942F6F"/>
    <w:rsid w:val="00943935"/>
    <w:rsid w:val="009439CB"/>
    <w:rsid w:val="0094486D"/>
    <w:rsid w:val="00944990"/>
    <w:rsid w:val="00946223"/>
    <w:rsid w:val="009469AB"/>
    <w:rsid w:val="00950E58"/>
    <w:rsid w:val="00951442"/>
    <w:rsid w:val="009516AC"/>
    <w:rsid w:val="009517D2"/>
    <w:rsid w:val="00952DF0"/>
    <w:rsid w:val="00954679"/>
    <w:rsid w:val="009552FE"/>
    <w:rsid w:val="00955673"/>
    <w:rsid w:val="00955A60"/>
    <w:rsid w:val="009562E9"/>
    <w:rsid w:val="0095645C"/>
    <w:rsid w:val="0095664D"/>
    <w:rsid w:val="00956808"/>
    <w:rsid w:val="009573D8"/>
    <w:rsid w:val="00960642"/>
    <w:rsid w:val="00961C93"/>
    <w:rsid w:val="0096256D"/>
    <w:rsid w:val="0096352F"/>
    <w:rsid w:val="00964471"/>
    <w:rsid w:val="009655DA"/>
    <w:rsid w:val="00965908"/>
    <w:rsid w:val="00965BBC"/>
    <w:rsid w:val="00966098"/>
    <w:rsid w:val="00966855"/>
    <w:rsid w:val="00966DBF"/>
    <w:rsid w:val="00966FA1"/>
    <w:rsid w:val="009673D0"/>
    <w:rsid w:val="00970372"/>
    <w:rsid w:val="00971756"/>
    <w:rsid w:val="00972744"/>
    <w:rsid w:val="00972823"/>
    <w:rsid w:val="00973B85"/>
    <w:rsid w:val="009746A2"/>
    <w:rsid w:val="00974996"/>
    <w:rsid w:val="00977174"/>
    <w:rsid w:val="009779C4"/>
    <w:rsid w:val="009779E4"/>
    <w:rsid w:val="0098139C"/>
    <w:rsid w:val="0098418D"/>
    <w:rsid w:val="00984C22"/>
    <w:rsid w:val="009863D5"/>
    <w:rsid w:val="0098737D"/>
    <w:rsid w:val="00987B95"/>
    <w:rsid w:val="00990451"/>
    <w:rsid w:val="00990AE0"/>
    <w:rsid w:val="00990BE6"/>
    <w:rsid w:val="0099249E"/>
    <w:rsid w:val="009929C8"/>
    <w:rsid w:val="00992EE0"/>
    <w:rsid w:val="009931CA"/>
    <w:rsid w:val="00996171"/>
    <w:rsid w:val="009A00CA"/>
    <w:rsid w:val="009A03CF"/>
    <w:rsid w:val="009A0E73"/>
    <w:rsid w:val="009A2167"/>
    <w:rsid w:val="009A2555"/>
    <w:rsid w:val="009A279A"/>
    <w:rsid w:val="009A2880"/>
    <w:rsid w:val="009A45DD"/>
    <w:rsid w:val="009A49F0"/>
    <w:rsid w:val="009A4B25"/>
    <w:rsid w:val="009A5307"/>
    <w:rsid w:val="009A5E90"/>
    <w:rsid w:val="009A5FC4"/>
    <w:rsid w:val="009A6A37"/>
    <w:rsid w:val="009A6D32"/>
    <w:rsid w:val="009A7AB4"/>
    <w:rsid w:val="009B2A20"/>
    <w:rsid w:val="009B3D08"/>
    <w:rsid w:val="009B5AD3"/>
    <w:rsid w:val="009B5BB6"/>
    <w:rsid w:val="009B7011"/>
    <w:rsid w:val="009B7A38"/>
    <w:rsid w:val="009B7A99"/>
    <w:rsid w:val="009C0051"/>
    <w:rsid w:val="009C0BB3"/>
    <w:rsid w:val="009C0CAF"/>
    <w:rsid w:val="009C192F"/>
    <w:rsid w:val="009C1988"/>
    <w:rsid w:val="009C20CE"/>
    <w:rsid w:val="009C249A"/>
    <w:rsid w:val="009C475C"/>
    <w:rsid w:val="009C5BF8"/>
    <w:rsid w:val="009C6387"/>
    <w:rsid w:val="009C6A1E"/>
    <w:rsid w:val="009C6E9F"/>
    <w:rsid w:val="009D0F62"/>
    <w:rsid w:val="009D1FEE"/>
    <w:rsid w:val="009D2B39"/>
    <w:rsid w:val="009D2F0C"/>
    <w:rsid w:val="009D477C"/>
    <w:rsid w:val="009D4DB0"/>
    <w:rsid w:val="009D5EF9"/>
    <w:rsid w:val="009D648D"/>
    <w:rsid w:val="009D7776"/>
    <w:rsid w:val="009D7A42"/>
    <w:rsid w:val="009E1AB1"/>
    <w:rsid w:val="009E27A5"/>
    <w:rsid w:val="009E2F86"/>
    <w:rsid w:val="009E37E7"/>
    <w:rsid w:val="009E3835"/>
    <w:rsid w:val="009E39FD"/>
    <w:rsid w:val="009E3E68"/>
    <w:rsid w:val="009E4E2C"/>
    <w:rsid w:val="009E5B2F"/>
    <w:rsid w:val="009E5C5D"/>
    <w:rsid w:val="009E663F"/>
    <w:rsid w:val="009F00E0"/>
    <w:rsid w:val="009F1902"/>
    <w:rsid w:val="009F1E10"/>
    <w:rsid w:val="009F3877"/>
    <w:rsid w:val="009F3954"/>
    <w:rsid w:val="009F5C16"/>
    <w:rsid w:val="009F5C20"/>
    <w:rsid w:val="009F5D50"/>
    <w:rsid w:val="009F65E3"/>
    <w:rsid w:val="009F72D8"/>
    <w:rsid w:val="009F7DDD"/>
    <w:rsid w:val="00A02C18"/>
    <w:rsid w:val="00A02EEA"/>
    <w:rsid w:val="00A040EB"/>
    <w:rsid w:val="00A05CF2"/>
    <w:rsid w:val="00A0670B"/>
    <w:rsid w:val="00A06AD0"/>
    <w:rsid w:val="00A07554"/>
    <w:rsid w:val="00A07883"/>
    <w:rsid w:val="00A11167"/>
    <w:rsid w:val="00A11FB8"/>
    <w:rsid w:val="00A12209"/>
    <w:rsid w:val="00A12333"/>
    <w:rsid w:val="00A128AA"/>
    <w:rsid w:val="00A13EF5"/>
    <w:rsid w:val="00A156DD"/>
    <w:rsid w:val="00A15AEC"/>
    <w:rsid w:val="00A1671E"/>
    <w:rsid w:val="00A16919"/>
    <w:rsid w:val="00A16F38"/>
    <w:rsid w:val="00A17D3D"/>
    <w:rsid w:val="00A2109A"/>
    <w:rsid w:val="00A221D4"/>
    <w:rsid w:val="00A22859"/>
    <w:rsid w:val="00A2306D"/>
    <w:rsid w:val="00A23CEC"/>
    <w:rsid w:val="00A24C74"/>
    <w:rsid w:val="00A251F9"/>
    <w:rsid w:val="00A255CE"/>
    <w:rsid w:val="00A31484"/>
    <w:rsid w:val="00A31681"/>
    <w:rsid w:val="00A32944"/>
    <w:rsid w:val="00A32D18"/>
    <w:rsid w:val="00A33390"/>
    <w:rsid w:val="00A333CD"/>
    <w:rsid w:val="00A33632"/>
    <w:rsid w:val="00A34587"/>
    <w:rsid w:val="00A34826"/>
    <w:rsid w:val="00A34CA4"/>
    <w:rsid w:val="00A3507D"/>
    <w:rsid w:val="00A36A35"/>
    <w:rsid w:val="00A36DF3"/>
    <w:rsid w:val="00A36E8B"/>
    <w:rsid w:val="00A37517"/>
    <w:rsid w:val="00A37605"/>
    <w:rsid w:val="00A37608"/>
    <w:rsid w:val="00A40902"/>
    <w:rsid w:val="00A41B04"/>
    <w:rsid w:val="00A423C3"/>
    <w:rsid w:val="00A42DE2"/>
    <w:rsid w:val="00A42FF5"/>
    <w:rsid w:val="00A4441D"/>
    <w:rsid w:val="00A44585"/>
    <w:rsid w:val="00A44B4B"/>
    <w:rsid w:val="00A452C9"/>
    <w:rsid w:val="00A466E5"/>
    <w:rsid w:val="00A474F4"/>
    <w:rsid w:val="00A504AB"/>
    <w:rsid w:val="00A5069F"/>
    <w:rsid w:val="00A532DD"/>
    <w:rsid w:val="00A5522E"/>
    <w:rsid w:val="00A55A08"/>
    <w:rsid w:val="00A55CAE"/>
    <w:rsid w:val="00A569F9"/>
    <w:rsid w:val="00A57679"/>
    <w:rsid w:val="00A57A08"/>
    <w:rsid w:val="00A57C4F"/>
    <w:rsid w:val="00A60041"/>
    <w:rsid w:val="00A60454"/>
    <w:rsid w:val="00A6137F"/>
    <w:rsid w:val="00A61D91"/>
    <w:rsid w:val="00A649B6"/>
    <w:rsid w:val="00A652C6"/>
    <w:rsid w:val="00A66124"/>
    <w:rsid w:val="00A66509"/>
    <w:rsid w:val="00A6748A"/>
    <w:rsid w:val="00A67AD4"/>
    <w:rsid w:val="00A704EC"/>
    <w:rsid w:val="00A70888"/>
    <w:rsid w:val="00A71F5C"/>
    <w:rsid w:val="00A72B12"/>
    <w:rsid w:val="00A73455"/>
    <w:rsid w:val="00A74126"/>
    <w:rsid w:val="00A74B90"/>
    <w:rsid w:val="00A760F0"/>
    <w:rsid w:val="00A771B7"/>
    <w:rsid w:val="00A778E7"/>
    <w:rsid w:val="00A809A9"/>
    <w:rsid w:val="00A80BCF"/>
    <w:rsid w:val="00A8249A"/>
    <w:rsid w:val="00A825D1"/>
    <w:rsid w:val="00A82F1E"/>
    <w:rsid w:val="00A8369C"/>
    <w:rsid w:val="00A83AEF"/>
    <w:rsid w:val="00A83DB2"/>
    <w:rsid w:val="00A8497D"/>
    <w:rsid w:val="00A853DE"/>
    <w:rsid w:val="00A85B17"/>
    <w:rsid w:val="00A85B23"/>
    <w:rsid w:val="00A86579"/>
    <w:rsid w:val="00A86B53"/>
    <w:rsid w:val="00A87583"/>
    <w:rsid w:val="00A8798A"/>
    <w:rsid w:val="00A87BAC"/>
    <w:rsid w:val="00A90212"/>
    <w:rsid w:val="00A90CC4"/>
    <w:rsid w:val="00A91BE9"/>
    <w:rsid w:val="00A91CC2"/>
    <w:rsid w:val="00A93167"/>
    <w:rsid w:val="00A9401D"/>
    <w:rsid w:val="00A94D8E"/>
    <w:rsid w:val="00A9762C"/>
    <w:rsid w:val="00A97F81"/>
    <w:rsid w:val="00AA02DE"/>
    <w:rsid w:val="00AA096E"/>
    <w:rsid w:val="00AA1689"/>
    <w:rsid w:val="00AA2D73"/>
    <w:rsid w:val="00AA2D9B"/>
    <w:rsid w:val="00AA496F"/>
    <w:rsid w:val="00AA5770"/>
    <w:rsid w:val="00AA68E2"/>
    <w:rsid w:val="00AA70DB"/>
    <w:rsid w:val="00AB0305"/>
    <w:rsid w:val="00AB151F"/>
    <w:rsid w:val="00AB21F9"/>
    <w:rsid w:val="00AB2E70"/>
    <w:rsid w:val="00AB33C1"/>
    <w:rsid w:val="00AB38F8"/>
    <w:rsid w:val="00AB3E03"/>
    <w:rsid w:val="00AB40B6"/>
    <w:rsid w:val="00AB44AC"/>
    <w:rsid w:val="00AB5EB9"/>
    <w:rsid w:val="00AB6C2D"/>
    <w:rsid w:val="00AB71A6"/>
    <w:rsid w:val="00AC0C35"/>
    <w:rsid w:val="00AC1D15"/>
    <w:rsid w:val="00AC2EEF"/>
    <w:rsid w:val="00AC350D"/>
    <w:rsid w:val="00AC4DBD"/>
    <w:rsid w:val="00AC54AC"/>
    <w:rsid w:val="00AC62BD"/>
    <w:rsid w:val="00AC65D9"/>
    <w:rsid w:val="00AC6663"/>
    <w:rsid w:val="00AC6B05"/>
    <w:rsid w:val="00AD0ADA"/>
    <w:rsid w:val="00AD1AB4"/>
    <w:rsid w:val="00AD251B"/>
    <w:rsid w:val="00AD296F"/>
    <w:rsid w:val="00AD2F9C"/>
    <w:rsid w:val="00AD39D1"/>
    <w:rsid w:val="00AD44C6"/>
    <w:rsid w:val="00AD512A"/>
    <w:rsid w:val="00AD5EF8"/>
    <w:rsid w:val="00AD5FA7"/>
    <w:rsid w:val="00AD605D"/>
    <w:rsid w:val="00AD6EF2"/>
    <w:rsid w:val="00AD6F11"/>
    <w:rsid w:val="00AD741C"/>
    <w:rsid w:val="00AD7813"/>
    <w:rsid w:val="00AE0D46"/>
    <w:rsid w:val="00AE1C91"/>
    <w:rsid w:val="00AE2CAB"/>
    <w:rsid w:val="00AE460D"/>
    <w:rsid w:val="00AE49B1"/>
    <w:rsid w:val="00AE5D4B"/>
    <w:rsid w:val="00AE62D2"/>
    <w:rsid w:val="00AE7F82"/>
    <w:rsid w:val="00AF04B3"/>
    <w:rsid w:val="00AF0568"/>
    <w:rsid w:val="00AF0F96"/>
    <w:rsid w:val="00AF1331"/>
    <w:rsid w:val="00AF1C34"/>
    <w:rsid w:val="00AF2877"/>
    <w:rsid w:val="00AF2BE9"/>
    <w:rsid w:val="00AF35E9"/>
    <w:rsid w:val="00AF3A4F"/>
    <w:rsid w:val="00AF3F69"/>
    <w:rsid w:val="00AF44ED"/>
    <w:rsid w:val="00AF4AD4"/>
    <w:rsid w:val="00AF69ED"/>
    <w:rsid w:val="00AF6AB9"/>
    <w:rsid w:val="00AF7997"/>
    <w:rsid w:val="00AF7AEF"/>
    <w:rsid w:val="00B0000E"/>
    <w:rsid w:val="00B003FC"/>
    <w:rsid w:val="00B01B6E"/>
    <w:rsid w:val="00B026D1"/>
    <w:rsid w:val="00B03774"/>
    <w:rsid w:val="00B03E1F"/>
    <w:rsid w:val="00B0514B"/>
    <w:rsid w:val="00B07B0C"/>
    <w:rsid w:val="00B10373"/>
    <w:rsid w:val="00B10819"/>
    <w:rsid w:val="00B11D35"/>
    <w:rsid w:val="00B120F9"/>
    <w:rsid w:val="00B1243B"/>
    <w:rsid w:val="00B143C7"/>
    <w:rsid w:val="00B14CA6"/>
    <w:rsid w:val="00B14F29"/>
    <w:rsid w:val="00B15DD7"/>
    <w:rsid w:val="00B17291"/>
    <w:rsid w:val="00B17509"/>
    <w:rsid w:val="00B2054D"/>
    <w:rsid w:val="00B2149A"/>
    <w:rsid w:val="00B22765"/>
    <w:rsid w:val="00B22B41"/>
    <w:rsid w:val="00B23460"/>
    <w:rsid w:val="00B23ABC"/>
    <w:rsid w:val="00B23CDB"/>
    <w:rsid w:val="00B25563"/>
    <w:rsid w:val="00B25C7D"/>
    <w:rsid w:val="00B26259"/>
    <w:rsid w:val="00B268AD"/>
    <w:rsid w:val="00B26D48"/>
    <w:rsid w:val="00B26FA0"/>
    <w:rsid w:val="00B2789F"/>
    <w:rsid w:val="00B27DD9"/>
    <w:rsid w:val="00B3015C"/>
    <w:rsid w:val="00B3043B"/>
    <w:rsid w:val="00B30F6D"/>
    <w:rsid w:val="00B33505"/>
    <w:rsid w:val="00B33610"/>
    <w:rsid w:val="00B35D96"/>
    <w:rsid w:val="00B35E90"/>
    <w:rsid w:val="00B3623E"/>
    <w:rsid w:val="00B375CE"/>
    <w:rsid w:val="00B3798C"/>
    <w:rsid w:val="00B40949"/>
    <w:rsid w:val="00B40D80"/>
    <w:rsid w:val="00B415FF"/>
    <w:rsid w:val="00B41F7B"/>
    <w:rsid w:val="00B42EE1"/>
    <w:rsid w:val="00B4331D"/>
    <w:rsid w:val="00B4332D"/>
    <w:rsid w:val="00B4377A"/>
    <w:rsid w:val="00B45BA2"/>
    <w:rsid w:val="00B46146"/>
    <w:rsid w:val="00B4647D"/>
    <w:rsid w:val="00B46688"/>
    <w:rsid w:val="00B46B2B"/>
    <w:rsid w:val="00B47191"/>
    <w:rsid w:val="00B4797C"/>
    <w:rsid w:val="00B47A59"/>
    <w:rsid w:val="00B51855"/>
    <w:rsid w:val="00B51E30"/>
    <w:rsid w:val="00B5321B"/>
    <w:rsid w:val="00B5349B"/>
    <w:rsid w:val="00B536FC"/>
    <w:rsid w:val="00B53A1F"/>
    <w:rsid w:val="00B55BFD"/>
    <w:rsid w:val="00B5649C"/>
    <w:rsid w:val="00B56EA6"/>
    <w:rsid w:val="00B5762B"/>
    <w:rsid w:val="00B57929"/>
    <w:rsid w:val="00B57F1F"/>
    <w:rsid w:val="00B6015D"/>
    <w:rsid w:val="00B60F95"/>
    <w:rsid w:val="00B61D87"/>
    <w:rsid w:val="00B6263E"/>
    <w:rsid w:val="00B62F89"/>
    <w:rsid w:val="00B63386"/>
    <w:rsid w:val="00B636D4"/>
    <w:rsid w:val="00B651C0"/>
    <w:rsid w:val="00B65C49"/>
    <w:rsid w:val="00B675ED"/>
    <w:rsid w:val="00B67669"/>
    <w:rsid w:val="00B71346"/>
    <w:rsid w:val="00B7138A"/>
    <w:rsid w:val="00B719BF"/>
    <w:rsid w:val="00B72682"/>
    <w:rsid w:val="00B72A3F"/>
    <w:rsid w:val="00B72A79"/>
    <w:rsid w:val="00B7427B"/>
    <w:rsid w:val="00B804A7"/>
    <w:rsid w:val="00B80C29"/>
    <w:rsid w:val="00B82559"/>
    <w:rsid w:val="00B8293D"/>
    <w:rsid w:val="00B8449C"/>
    <w:rsid w:val="00B86A64"/>
    <w:rsid w:val="00B8749C"/>
    <w:rsid w:val="00B87A49"/>
    <w:rsid w:val="00B91EA3"/>
    <w:rsid w:val="00B91ECE"/>
    <w:rsid w:val="00B92478"/>
    <w:rsid w:val="00B92557"/>
    <w:rsid w:val="00B943FB"/>
    <w:rsid w:val="00B94C6D"/>
    <w:rsid w:val="00B9686C"/>
    <w:rsid w:val="00B97463"/>
    <w:rsid w:val="00BA13A1"/>
    <w:rsid w:val="00BA25B4"/>
    <w:rsid w:val="00BA3DA3"/>
    <w:rsid w:val="00BA3E18"/>
    <w:rsid w:val="00BA6188"/>
    <w:rsid w:val="00BA6B54"/>
    <w:rsid w:val="00BA706C"/>
    <w:rsid w:val="00BA7B7F"/>
    <w:rsid w:val="00BA7E82"/>
    <w:rsid w:val="00BB0022"/>
    <w:rsid w:val="00BB0595"/>
    <w:rsid w:val="00BB113F"/>
    <w:rsid w:val="00BB4D02"/>
    <w:rsid w:val="00BB608E"/>
    <w:rsid w:val="00BB6754"/>
    <w:rsid w:val="00BB6943"/>
    <w:rsid w:val="00BB7246"/>
    <w:rsid w:val="00BB745D"/>
    <w:rsid w:val="00BB7567"/>
    <w:rsid w:val="00BB7701"/>
    <w:rsid w:val="00BB7FEB"/>
    <w:rsid w:val="00BC087C"/>
    <w:rsid w:val="00BC0E83"/>
    <w:rsid w:val="00BC15D1"/>
    <w:rsid w:val="00BC265D"/>
    <w:rsid w:val="00BC361A"/>
    <w:rsid w:val="00BC3C3F"/>
    <w:rsid w:val="00BC4812"/>
    <w:rsid w:val="00BC5802"/>
    <w:rsid w:val="00BC5AC2"/>
    <w:rsid w:val="00BC6307"/>
    <w:rsid w:val="00BC68C2"/>
    <w:rsid w:val="00BC6CBA"/>
    <w:rsid w:val="00BC7051"/>
    <w:rsid w:val="00BD0728"/>
    <w:rsid w:val="00BD0A35"/>
    <w:rsid w:val="00BD0E6B"/>
    <w:rsid w:val="00BD1874"/>
    <w:rsid w:val="00BD195C"/>
    <w:rsid w:val="00BD2045"/>
    <w:rsid w:val="00BD3450"/>
    <w:rsid w:val="00BD39D3"/>
    <w:rsid w:val="00BD3D5A"/>
    <w:rsid w:val="00BD3D7D"/>
    <w:rsid w:val="00BD3E72"/>
    <w:rsid w:val="00BD445E"/>
    <w:rsid w:val="00BD49F7"/>
    <w:rsid w:val="00BD4A06"/>
    <w:rsid w:val="00BD61A2"/>
    <w:rsid w:val="00BE0052"/>
    <w:rsid w:val="00BE0BAD"/>
    <w:rsid w:val="00BE0F55"/>
    <w:rsid w:val="00BE1705"/>
    <w:rsid w:val="00BE1EAB"/>
    <w:rsid w:val="00BE3454"/>
    <w:rsid w:val="00BE484D"/>
    <w:rsid w:val="00BE54FD"/>
    <w:rsid w:val="00BE5588"/>
    <w:rsid w:val="00BE665C"/>
    <w:rsid w:val="00BE74C6"/>
    <w:rsid w:val="00BF0D71"/>
    <w:rsid w:val="00BF1CA1"/>
    <w:rsid w:val="00BF215A"/>
    <w:rsid w:val="00BF2596"/>
    <w:rsid w:val="00BF3A21"/>
    <w:rsid w:val="00BF414A"/>
    <w:rsid w:val="00BF5F78"/>
    <w:rsid w:val="00BF73EF"/>
    <w:rsid w:val="00BF7497"/>
    <w:rsid w:val="00BF775F"/>
    <w:rsid w:val="00C00655"/>
    <w:rsid w:val="00C00B11"/>
    <w:rsid w:val="00C00BAC"/>
    <w:rsid w:val="00C021FC"/>
    <w:rsid w:val="00C026BD"/>
    <w:rsid w:val="00C028F4"/>
    <w:rsid w:val="00C02D85"/>
    <w:rsid w:val="00C035CF"/>
    <w:rsid w:val="00C04507"/>
    <w:rsid w:val="00C06FFB"/>
    <w:rsid w:val="00C1087E"/>
    <w:rsid w:val="00C1162C"/>
    <w:rsid w:val="00C11DAF"/>
    <w:rsid w:val="00C13F37"/>
    <w:rsid w:val="00C17A32"/>
    <w:rsid w:val="00C17E17"/>
    <w:rsid w:val="00C17EF2"/>
    <w:rsid w:val="00C208F9"/>
    <w:rsid w:val="00C210AE"/>
    <w:rsid w:val="00C216DF"/>
    <w:rsid w:val="00C24547"/>
    <w:rsid w:val="00C245AB"/>
    <w:rsid w:val="00C24EDE"/>
    <w:rsid w:val="00C27D58"/>
    <w:rsid w:val="00C3286F"/>
    <w:rsid w:val="00C32A13"/>
    <w:rsid w:val="00C334E4"/>
    <w:rsid w:val="00C33629"/>
    <w:rsid w:val="00C34312"/>
    <w:rsid w:val="00C34755"/>
    <w:rsid w:val="00C34B7A"/>
    <w:rsid w:val="00C37E05"/>
    <w:rsid w:val="00C37F5F"/>
    <w:rsid w:val="00C41C74"/>
    <w:rsid w:val="00C421EB"/>
    <w:rsid w:val="00C42364"/>
    <w:rsid w:val="00C4270A"/>
    <w:rsid w:val="00C428EE"/>
    <w:rsid w:val="00C45E1B"/>
    <w:rsid w:val="00C47789"/>
    <w:rsid w:val="00C47CC0"/>
    <w:rsid w:val="00C505BA"/>
    <w:rsid w:val="00C52172"/>
    <w:rsid w:val="00C52E5D"/>
    <w:rsid w:val="00C530F2"/>
    <w:rsid w:val="00C538EF"/>
    <w:rsid w:val="00C53C89"/>
    <w:rsid w:val="00C53CD0"/>
    <w:rsid w:val="00C540AB"/>
    <w:rsid w:val="00C54663"/>
    <w:rsid w:val="00C55C1B"/>
    <w:rsid w:val="00C55D29"/>
    <w:rsid w:val="00C56F2E"/>
    <w:rsid w:val="00C604CB"/>
    <w:rsid w:val="00C6123E"/>
    <w:rsid w:val="00C62B3A"/>
    <w:rsid w:val="00C66D84"/>
    <w:rsid w:val="00C67952"/>
    <w:rsid w:val="00C67A5D"/>
    <w:rsid w:val="00C7195F"/>
    <w:rsid w:val="00C72D38"/>
    <w:rsid w:val="00C733B7"/>
    <w:rsid w:val="00C73937"/>
    <w:rsid w:val="00C73D77"/>
    <w:rsid w:val="00C74710"/>
    <w:rsid w:val="00C74739"/>
    <w:rsid w:val="00C74EDE"/>
    <w:rsid w:val="00C75386"/>
    <w:rsid w:val="00C75C87"/>
    <w:rsid w:val="00C81AD1"/>
    <w:rsid w:val="00C81E06"/>
    <w:rsid w:val="00C81E1D"/>
    <w:rsid w:val="00C820EF"/>
    <w:rsid w:val="00C824C0"/>
    <w:rsid w:val="00C826B3"/>
    <w:rsid w:val="00C830B6"/>
    <w:rsid w:val="00C838EF"/>
    <w:rsid w:val="00C83DB6"/>
    <w:rsid w:val="00C846AE"/>
    <w:rsid w:val="00C84FA0"/>
    <w:rsid w:val="00C85A34"/>
    <w:rsid w:val="00C864B4"/>
    <w:rsid w:val="00C86747"/>
    <w:rsid w:val="00C86F6D"/>
    <w:rsid w:val="00C87113"/>
    <w:rsid w:val="00C875B4"/>
    <w:rsid w:val="00C87BD0"/>
    <w:rsid w:val="00C87CA1"/>
    <w:rsid w:val="00C925F9"/>
    <w:rsid w:val="00C928FC"/>
    <w:rsid w:val="00C948D8"/>
    <w:rsid w:val="00C953C4"/>
    <w:rsid w:val="00C95F0A"/>
    <w:rsid w:val="00C96855"/>
    <w:rsid w:val="00CA0237"/>
    <w:rsid w:val="00CA0BE9"/>
    <w:rsid w:val="00CA138D"/>
    <w:rsid w:val="00CA22EB"/>
    <w:rsid w:val="00CA57D9"/>
    <w:rsid w:val="00CA58BA"/>
    <w:rsid w:val="00CA5D67"/>
    <w:rsid w:val="00CA6769"/>
    <w:rsid w:val="00CA6A43"/>
    <w:rsid w:val="00CA727B"/>
    <w:rsid w:val="00CA76D6"/>
    <w:rsid w:val="00CB06D8"/>
    <w:rsid w:val="00CB0845"/>
    <w:rsid w:val="00CB107E"/>
    <w:rsid w:val="00CB2555"/>
    <w:rsid w:val="00CB25F5"/>
    <w:rsid w:val="00CB5D29"/>
    <w:rsid w:val="00CB6542"/>
    <w:rsid w:val="00CB684F"/>
    <w:rsid w:val="00CB689A"/>
    <w:rsid w:val="00CB75C1"/>
    <w:rsid w:val="00CB7D6F"/>
    <w:rsid w:val="00CC0A59"/>
    <w:rsid w:val="00CC15E5"/>
    <w:rsid w:val="00CC220F"/>
    <w:rsid w:val="00CC2A95"/>
    <w:rsid w:val="00CC2AFE"/>
    <w:rsid w:val="00CC35C1"/>
    <w:rsid w:val="00CC51E6"/>
    <w:rsid w:val="00CC54DE"/>
    <w:rsid w:val="00CC57B8"/>
    <w:rsid w:val="00CC5DF9"/>
    <w:rsid w:val="00CC6055"/>
    <w:rsid w:val="00CC7641"/>
    <w:rsid w:val="00CC76D1"/>
    <w:rsid w:val="00CC7A08"/>
    <w:rsid w:val="00CD098A"/>
    <w:rsid w:val="00CD19D0"/>
    <w:rsid w:val="00CD1E14"/>
    <w:rsid w:val="00CD1FB7"/>
    <w:rsid w:val="00CD2A9D"/>
    <w:rsid w:val="00CD4D29"/>
    <w:rsid w:val="00CD4D98"/>
    <w:rsid w:val="00CD580A"/>
    <w:rsid w:val="00CD6DD4"/>
    <w:rsid w:val="00CD70C9"/>
    <w:rsid w:val="00CD7870"/>
    <w:rsid w:val="00CE0B46"/>
    <w:rsid w:val="00CE22BD"/>
    <w:rsid w:val="00CE250F"/>
    <w:rsid w:val="00CE297A"/>
    <w:rsid w:val="00CE2A8A"/>
    <w:rsid w:val="00CE3B11"/>
    <w:rsid w:val="00CE4B1C"/>
    <w:rsid w:val="00CE4EFB"/>
    <w:rsid w:val="00CE511F"/>
    <w:rsid w:val="00CE5338"/>
    <w:rsid w:val="00CE5B4B"/>
    <w:rsid w:val="00CE6067"/>
    <w:rsid w:val="00CE7D19"/>
    <w:rsid w:val="00CF011E"/>
    <w:rsid w:val="00CF0346"/>
    <w:rsid w:val="00CF0681"/>
    <w:rsid w:val="00CF127F"/>
    <w:rsid w:val="00CF2515"/>
    <w:rsid w:val="00CF2679"/>
    <w:rsid w:val="00CF2EFC"/>
    <w:rsid w:val="00CF34BE"/>
    <w:rsid w:val="00CF3E79"/>
    <w:rsid w:val="00CF4CEC"/>
    <w:rsid w:val="00CF5442"/>
    <w:rsid w:val="00CF672A"/>
    <w:rsid w:val="00CF6769"/>
    <w:rsid w:val="00CF76A3"/>
    <w:rsid w:val="00D01BC3"/>
    <w:rsid w:val="00D01D14"/>
    <w:rsid w:val="00D02415"/>
    <w:rsid w:val="00D05B71"/>
    <w:rsid w:val="00D074A2"/>
    <w:rsid w:val="00D10FCC"/>
    <w:rsid w:val="00D11BEE"/>
    <w:rsid w:val="00D13794"/>
    <w:rsid w:val="00D14479"/>
    <w:rsid w:val="00D161F9"/>
    <w:rsid w:val="00D172A0"/>
    <w:rsid w:val="00D178D8"/>
    <w:rsid w:val="00D21315"/>
    <w:rsid w:val="00D218E7"/>
    <w:rsid w:val="00D24052"/>
    <w:rsid w:val="00D24386"/>
    <w:rsid w:val="00D270ED"/>
    <w:rsid w:val="00D2778A"/>
    <w:rsid w:val="00D31575"/>
    <w:rsid w:val="00D31A89"/>
    <w:rsid w:val="00D31F74"/>
    <w:rsid w:val="00D321E4"/>
    <w:rsid w:val="00D32989"/>
    <w:rsid w:val="00D3329D"/>
    <w:rsid w:val="00D34040"/>
    <w:rsid w:val="00D34626"/>
    <w:rsid w:val="00D34A22"/>
    <w:rsid w:val="00D34B27"/>
    <w:rsid w:val="00D34FB4"/>
    <w:rsid w:val="00D35320"/>
    <w:rsid w:val="00D359BA"/>
    <w:rsid w:val="00D37642"/>
    <w:rsid w:val="00D406CA"/>
    <w:rsid w:val="00D40A26"/>
    <w:rsid w:val="00D4257A"/>
    <w:rsid w:val="00D43B48"/>
    <w:rsid w:val="00D44144"/>
    <w:rsid w:val="00D456A9"/>
    <w:rsid w:val="00D4618E"/>
    <w:rsid w:val="00D46941"/>
    <w:rsid w:val="00D50E3F"/>
    <w:rsid w:val="00D526D3"/>
    <w:rsid w:val="00D52798"/>
    <w:rsid w:val="00D52B8B"/>
    <w:rsid w:val="00D531BA"/>
    <w:rsid w:val="00D53285"/>
    <w:rsid w:val="00D53FC5"/>
    <w:rsid w:val="00D5468A"/>
    <w:rsid w:val="00D61217"/>
    <w:rsid w:val="00D61745"/>
    <w:rsid w:val="00D61866"/>
    <w:rsid w:val="00D62665"/>
    <w:rsid w:val="00D62901"/>
    <w:rsid w:val="00D633B1"/>
    <w:rsid w:val="00D64355"/>
    <w:rsid w:val="00D645AC"/>
    <w:rsid w:val="00D66C71"/>
    <w:rsid w:val="00D66D7C"/>
    <w:rsid w:val="00D677F3"/>
    <w:rsid w:val="00D70205"/>
    <w:rsid w:val="00D70821"/>
    <w:rsid w:val="00D71210"/>
    <w:rsid w:val="00D735EF"/>
    <w:rsid w:val="00D74BB3"/>
    <w:rsid w:val="00D75DE6"/>
    <w:rsid w:val="00D7609F"/>
    <w:rsid w:val="00D766C5"/>
    <w:rsid w:val="00D7744C"/>
    <w:rsid w:val="00D77E42"/>
    <w:rsid w:val="00D81039"/>
    <w:rsid w:val="00D81AA7"/>
    <w:rsid w:val="00D81BB3"/>
    <w:rsid w:val="00D82762"/>
    <w:rsid w:val="00D82E47"/>
    <w:rsid w:val="00D831ED"/>
    <w:rsid w:val="00D83D4B"/>
    <w:rsid w:val="00D83F96"/>
    <w:rsid w:val="00D841C6"/>
    <w:rsid w:val="00D84A01"/>
    <w:rsid w:val="00D856FC"/>
    <w:rsid w:val="00D85A24"/>
    <w:rsid w:val="00D860F1"/>
    <w:rsid w:val="00D863D6"/>
    <w:rsid w:val="00D872C2"/>
    <w:rsid w:val="00D87CE2"/>
    <w:rsid w:val="00D9114B"/>
    <w:rsid w:val="00D91DE1"/>
    <w:rsid w:val="00D92305"/>
    <w:rsid w:val="00D92442"/>
    <w:rsid w:val="00D927D0"/>
    <w:rsid w:val="00D93E55"/>
    <w:rsid w:val="00D9424A"/>
    <w:rsid w:val="00D94308"/>
    <w:rsid w:val="00D9484B"/>
    <w:rsid w:val="00D94EE2"/>
    <w:rsid w:val="00D96075"/>
    <w:rsid w:val="00D9750E"/>
    <w:rsid w:val="00D977EA"/>
    <w:rsid w:val="00D9790F"/>
    <w:rsid w:val="00DA10FA"/>
    <w:rsid w:val="00DA1732"/>
    <w:rsid w:val="00DA1B42"/>
    <w:rsid w:val="00DA1B51"/>
    <w:rsid w:val="00DA1DDE"/>
    <w:rsid w:val="00DA1EDB"/>
    <w:rsid w:val="00DA37E0"/>
    <w:rsid w:val="00DA49AA"/>
    <w:rsid w:val="00DA6449"/>
    <w:rsid w:val="00DB0C93"/>
    <w:rsid w:val="00DB0D76"/>
    <w:rsid w:val="00DB1482"/>
    <w:rsid w:val="00DB148C"/>
    <w:rsid w:val="00DB19A1"/>
    <w:rsid w:val="00DB1A31"/>
    <w:rsid w:val="00DB202E"/>
    <w:rsid w:val="00DB32EB"/>
    <w:rsid w:val="00DB45AD"/>
    <w:rsid w:val="00DB4AD3"/>
    <w:rsid w:val="00DB4F78"/>
    <w:rsid w:val="00DB65A5"/>
    <w:rsid w:val="00DB7B05"/>
    <w:rsid w:val="00DC027B"/>
    <w:rsid w:val="00DC0892"/>
    <w:rsid w:val="00DC0CDE"/>
    <w:rsid w:val="00DC12CD"/>
    <w:rsid w:val="00DC1A85"/>
    <w:rsid w:val="00DC28AB"/>
    <w:rsid w:val="00DC2E83"/>
    <w:rsid w:val="00DC361C"/>
    <w:rsid w:val="00DC498E"/>
    <w:rsid w:val="00DC4D72"/>
    <w:rsid w:val="00DC4E78"/>
    <w:rsid w:val="00DC511D"/>
    <w:rsid w:val="00DC51D7"/>
    <w:rsid w:val="00DC5C3E"/>
    <w:rsid w:val="00DC6525"/>
    <w:rsid w:val="00DC7018"/>
    <w:rsid w:val="00DD12B0"/>
    <w:rsid w:val="00DD1D01"/>
    <w:rsid w:val="00DD2703"/>
    <w:rsid w:val="00DD41C3"/>
    <w:rsid w:val="00DD41E6"/>
    <w:rsid w:val="00DD55EA"/>
    <w:rsid w:val="00DD5610"/>
    <w:rsid w:val="00DD6A31"/>
    <w:rsid w:val="00DD718B"/>
    <w:rsid w:val="00DE0059"/>
    <w:rsid w:val="00DE13D3"/>
    <w:rsid w:val="00DE1A1F"/>
    <w:rsid w:val="00DE1A7A"/>
    <w:rsid w:val="00DE2543"/>
    <w:rsid w:val="00DE362B"/>
    <w:rsid w:val="00DE3855"/>
    <w:rsid w:val="00DE40B3"/>
    <w:rsid w:val="00DE41ED"/>
    <w:rsid w:val="00DE48F3"/>
    <w:rsid w:val="00DE5ADF"/>
    <w:rsid w:val="00DE700A"/>
    <w:rsid w:val="00DF0CB3"/>
    <w:rsid w:val="00DF20D8"/>
    <w:rsid w:val="00DF296E"/>
    <w:rsid w:val="00DF29F3"/>
    <w:rsid w:val="00DF2A4E"/>
    <w:rsid w:val="00DF3229"/>
    <w:rsid w:val="00DF35D7"/>
    <w:rsid w:val="00DF4304"/>
    <w:rsid w:val="00DF494C"/>
    <w:rsid w:val="00DF5274"/>
    <w:rsid w:val="00DF5E9C"/>
    <w:rsid w:val="00DF5F7E"/>
    <w:rsid w:val="00DF6B40"/>
    <w:rsid w:val="00DF6D0B"/>
    <w:rsid w:val="00DF7E0D"/>
    <w:rsid w:val="00E00261"/>
    <w:rsid w:val="00E005C3"/>
    <w:rsid w:val="00E01BC8"/>
    <w:rsid w:val="00E020D1"/>
    <w:rsid w:val="00E0230B"/>
    <w:rsid w:val="00E02821"/>
    <w:rsid w:val="00E02B26"/>
    <w:rsid w:val="00E02C23"/>
    <w:rsid w:val="00E02ED9"/>
    <w:rsid w:val="00E02F4E"/>
    <w:rsid w:val="00E039AE"/>
    <w:rsid w:val="00E03D00"/>
    <w:rsid w:val="00E043C7"/>
    <w:rsid w:val="00E050D8"/>
    <w:rsid w:val="00E0624D"/>
    <w:rsid w:val="00E063C0"/>
    <w:rsid w:val="00E064BD"/>
    <w:rsid w:val="00E128D7"/>
    <w:rsid w:val="00E12939"/>
    <w:rsid w:val="00E13F09"/>
    <w:rsid w:val="00E15244"/>
    <w:rsid w:val="00E179D4"/>
    <w:rsid w:val="00E17BED"/>
    <w:rsid w:val="00E17E00"/>
    <w:rsid w:val="00E20023"/>
    <w:rsid w:val="00E20BAA"/>
    <w:rsid w:val="00E213F0"/>
    <w:rsid w:val="00E214E0"/>
    <w:rsid w:val="00E23465"/>
    <w:rsid w:val="00E2351F"/>
    <w:rsid w:val="00E26973"/>
    <w:rsid w:val="00E31C10"/>
    <w:rsid w:val="00E323EE"/>
    <w:rsid w:val="00E33CF8"/>
    <w:rsid w:val="00E348B1"/>
    <w:rsid w:val="00E353A3"/>
    <w:rsid w:val="00E353A5"/>
    <w:rsid w:val="00E35C9D"/>
    <w:rsid w:val="00E36EDC"/>
    <w:rsid w:val="00E37E0A"/>
    <w:rsid w:val="00E37FF7"/>
    <w:rsid w:val="00E4149E"/>
    <w:rsid w:val="00E42126"/>
    <w:rsid w:val="00E423C3"/>
    <w:rsid w:val="00E42DD8"/>
    <w:rsid w:val="00E4438C"/>
    <w:rsid w:val="00E455D5"/>
    <w:rsid w:val="00E457F3"/>
    <w:rsid w:val="00E45E3C"/>
    <w:rsid w:val="00E46514"/>
    <w:rsid w:val="00E50435"/>
    <w:rsid w:val="00E5043D"/>
    <w:rsid w:val="00E50663"/>
    <w:rsid w:val="00E5094B"/>
    <w:rsid w:val="00E51771"/>
    <w:rsid w:val="00E5239A"/>
    <w:rsid w:val="00E52524"/>
    <w:rsid w:val="00E52FD3"/>
    <w:rsid w:val="00E5368F"/>
    <w:rsid w:val="00E54461"/>
    <w:rsid w:val="00E5468E"/>
    <w:rsid w:val="00E553D2"/>
    <w:rsid w:val="00E55DCD"/>
    <w:rsid w:val="00E55F9B"/>
    <w:rsid w:val="00E576F5"/>
    <w:rsid w:val="00E57A6A"/>
    <w:rsid w:val="00E57C1C"/>
    <w:rsid w:val="00E608D7"/>
    <w:rsid w:val="00E62011"/>
    <w:rsid w:val="00E62342"/>
    <w:rsid w:val="00E6404C"/>
    <w:rsid w:val="00E64BEB"/>
    <w:rsid w:val="00E65A24"/>
    <w:rsid w:val="00E66735"/>
    <w:rsid w:val="00E715A2"/>
    <w:rsid w:val="00E71736"/>
    <w:rsid w:val="00E73473"/>
    <w:rsid w:val="00E73A57"/>
    <w:rsid w:val="00E73CC1"/>
    <w:rsid w:val="00E74600"/>
    <w:rsid w:val="00E74A82"/>
    <w:rsid w:val="00E75E1C"/>
    <w:rsid w:val="00E761A5"/>
    <w:rsid w:val="00E76CC9"/>
    <w:rsid w:val="00E770EE"/>
    <w:rsid w:val="00E804A4"/>
    <w:rsid w:val="00E80F8F"/>
    <w:rsid w:val="00E816AD"/>
    <w:rsid w:val="00E82C25"/>
    <w:rsid w:val="00E8317E"/>
    <w:rsid w:val="00E8535D"/>
    <w:rsid w:val="00E86042"/>
    <w:rsid w:val="00E8632B"/>
    <w:rsid w:val="00E86357"/>
    <w:rsid w:val="00E86D0A"/>
    <w:rsid w:val="00E87284"/>
    <w:rsid w:val="00E8764A"/>
    <w:rsid w:val="00E87C66"/>
    <w:rsid w:val="00E90B9F"/>
    <w:rsid w:val="00E91E6C"/>
    <w:rsid w:val="00E93F50"/>
    <w:rsid w:val="00E94099"/>
    <w:rsid w:val="00E962CB"/>
    <w:rsid w:val="00E97097"/>
    <w:rsid w:val="00E97664"/>
    <w:rsid w:val="00EA04C7"/>
    <w:rsid w:val="00EA0B27"/>
    <w:rsid w:val="00EA1B01"/>
    <w:rsid w:val="00EA1E52"/>
    <w:rsid w:val="00EA2987"/>
    <w:rsid w:val="00EA4DD8"/>
    <w:rsid w:val="00EA525B"/>
    <w:rsid w:val="00EA5562"/>
    <w:rsid w:val="00EA5D09"/>
    <w:rsid w:val="00EA7062"/>
    <w:rsid w:val="00EA721C"/>
    <w:rsid w:val="00EA7959"/>
    <w:rsid w:val="00EB193B"/>
    <w:rsid w:val="00EB20E4"/>
    <w:rsid w:val="00EB255A"/>
    <w:rsid w:val="00EB2AEF"/>
    <w:rsid w:val="00EB2B63"/>
    <w:rsid w:val="00EB2BED"/>
    <w:rsid w:val="00EB2D69"/>
    <w:rsid w:val="00EB44CF"/>
    <w:rsid w:val="00EB4B7C"/>
    <w:rsid w:val="00EB61DB"/>
    <w:rsid w:val="00EB7931"/>
    <w:rsid w:val="00EB79AD"/>
    <w:rsid w:val="00EB7E71"/>
    <w:rsid w:val="00EC1472"/>
    <w:rsid w:val="00EC1664"/>
    <w:rsid w:val="00EC3772"/>
    <w:rsid w:val="00EC4430"/>
    <w:rsid w:val="00EC4AE5"/>
    <w:rsid w:val="00EC542D"/>
    <w:rsid w:val="00EC58AA"/>
    <w:rsid w:val="00EC69EB"/>
    <w:rsid w:val="00ED123E"/>
    <w:rsid w:val="00ED14B8"/>
    <w:rsid w:val="00ED1637"/>
    <w:rsid w:val="00ED1BFB"/>
    <w:rsid w:val="00ED1F15"/>
    <w:rsid w:val="00ED216B"/>
    <w:rsid w:val="00ED2BD2"/>
    <w:rsid w:val="00ED656D"/>
    <w:rsid w:val="00ED6C13"/>
    <w:rsid w:val="00ED74C9"/>
    <w:rsid w:val="00ED75C7"/>
    <w:rsid w:val="00ED7F8D"/>
    <w:rsid w:val="00EE10A6"/>
    <w:rsid w:val="00EE2335"/>
    <w:rsid w:val="00EE23CE"/>
    <w:rsid w:val="00EE2460"/>
    <w:rsid w:val="00EE334C"/>
    <w:rsid w:val="00EE407F"/>
    <w:rsid w:val="00EE4C18"/>
    <w:rsid w:val="00EE6E3B"/>
    <w:rsid w:val="00EF0BE7"/>
    <w:rsid w:val="00EF230E"/>
    <w:rsid w:val="00EF2788"/>
    <w:rsid w:val="00EF2966"/>
    <w:rsid w:val="00EF29E1"/>
    <w:rsid w:val="00EF30DF"/>
    <w:rsid w:val="00EF3103"/>
    <w:rsid w:val="00EF38A6"/>
    <w:rsid w:val="00EF6E9B"/>
    <w:rsid w:val="00EF7714"/>
    <w:rsid w:val="00F004E1"/>
    <w:rsid w:val="00F00C60"/>
    <w:rsid w:val="00F01D32"/>
    <w:rsid w:val="00F02346"/>
    <w:rsid w:val="00F023CA"/>
    <w:rsid w:val="00F023DB"/>
    <w:rsid w:val="00F041DF"/>
    <w:rsid w:val="00F04493"/>
    <w:rsid w:val="00F04C89"/>
    <w:rsid w:val="00F060D0"/>
    <w:rsid w:val="00F0670A"/>
    <w:rsid w:val="00F07373"/>
    <w:rsid w:val="00F108E9"/>
    <w:rsid w:val="00F109D4"/>
    <w:rsid w:val="00F10A6F"/>
    <w:rsid w:val="00F1105D"/>
    <w:rsid w:val="00F11BBE"/>
    <w:rsid w:val="00F124B4"/>
    <w:rsid w:val="00F141E4"/>
    <w:rsid w:val="00F14975"/>
    <w:rsid w:val="00F15EE9"/>
    <w:rsid w:val="00F1769D"/>
    <w:rsid w:val="00F17907"/>
    <w:rsid w:val="00F200FE"/>
    <w:rsid w:val="00F20C66"/>
    <w:rsid w:val="00F217A5"/>
    <w:rsid w:val="00F221FB"/>
    <w:rsid w:val="00F22E27"/>
    <w:rsid w:val="00F2343C"/>
    <w:rsid w:val="00F24736"/>
    <w:rsid w:val="00F24F29"/>
    <w:rsid w:val="00F2527A"/>
    <w:rsid w:val="00F2565C"/>
    <w:rsid w:val="00F2567D"/>
    <w:rsid w:val="00F25E34"/>
    <w:rsid w:val="00F25E3A"/>
    <w:rsid w:val="00F27344"/>
    <w:rsid w:val="00F3147C"/>
    <w:rsid w:val="00F32135"/>
    <w:rsid w:val="00F3251D"/>
    <w:rsid w:val="00F32B42"/>
    <w:rsid w:val="00F32D2E"/>
    <w:rsid w:val="00F3338A"/>
    <w:rsid w:val="00F339E4"/>
    <w:rsid w:val="00F33DBF"/>
    <w:rsid w:val="00F343AA"/>
    <w:rsid w:val="00F34D47"/>
    <w:rsid w:val="00F3551C"/>
    <w:rsid w:val="00F3572B"/>
    <w:rsid w:val="00F36CCF"/>
    <w:rsid w:val="00F37171"/>
    <w:rsid w:val="00F4241B"/>
    <w:rsid w:val="00F42EC9"/>
    <w:rsid w:val="00F42F5F"/>
    <w:rsid w:val="00F4396E"/>
    <w:rsid w:val="00F450E1"/>
    <w:rsid w:val="00F45DC8"/>
    <w:rsid w:val="00F46704"/>
    <w:rsid w:val="00F4686C"/>
    <w:rsid w:val="00F46C17"/>
    <w:rsid w:val="00F47585"/>
    <w:rsid w:val="00F512FD"/>
    <w:rsid w:val="00F52D73"/>
    <w:rsid w:val="00F55E5F"/>
    <w:rsid w:val="00F5639D"/>
    <w:rsid w:val="00F576C3"/>
    <w:rsid w:val="00F57ABE"/>
    <w:rsid w:val="00F6194F"/>
    <w:rsid w:val="00F61FAF"/>
    <w:rsid w:val="00F6249C"/>
    <w:rsid w:val="00F63744"/>
    <w:rsid w:val="00F6626E"/>
    <w:rsid w:val="00F66FDF"/>
    <w:rsid w:val="00F678B8"/>
    <w:rsid w:val="00F7078E"/>
    <w:rsid w:val="00F71134"/>
    <w:rsid w:val="00F71267"/>
    <w:rsid w:val="00F7216E"/>
    <w:rsid w:val="00F72883"/>
    <w:rsid w:val="00F75534"/>
    <w:rsid w:val="00F75BDB"/>
    <w:rsid w:val="00F773C8"/>
    <w:rsid w:val="00F77548"/>
    <w:rsid w:val="00F775BE"/>
    <w:rsid w:val="00F77D7A"/>
    <w:rsid w:val="00F77F94"/>
    <w:rsid w:val="00F801B5"/>
    <w:rsid w:val="00F80444"/>
    <w:rsid w:val="00F80BA6"/>
    <w:rsid w:val="00F8110B"/>
    <w:rsid w:val="00F811DD"/>
    <w:rsid w:val="00F81232"/>
    <w:rsid w:val="00F81BAF"/>
    <w:rsid w:val="00F81E2C"/>
    <w:rsid w:val="00F8291C"/>
    <w:rsid w:val="00F833C4"/>
    <w:rsid w:val="00F83566"/>
    <w:rsid w:val="00F83C12"/>
    <w:rsid w:val="00F85E6F"/>
    <w:rsid w:val="00F85F58"/>
    <w:rsid w:val="00F862B0"/>
    <w:rsid w:val="00F9111E"/>
    <w:rsid w:val="00F922C3"/>
    <w:rsid w:val="00F931AD"/>
    <w:rsid w:val="00F93877"/>
    <w:rsid w:val="00F9460C"/>
    <w:rsid w:val="00F94C2D"/>
    <w:rsid w:val="00F953BD"/>
    <w:rsid w:val="00F95449"/>
    <w:rsid w:val="00F95FDE"/>
    <w:rsid w:val="00F961AE"/>
    <w:rsid w:val="00F96333"/>
    <w:rsid w:val="00F976F0"/>
    <w:rsid w:val="00FA11B0"/>
    <w:rsid w:val="00FA15E3"/>
    <w:rsid w:val="00FA1942"/>
    <w:rsid w:val="00FA1DD8"/>
    <w:rsid w:val="00FA22A4"/>
    <w:rsid w:val="00FA375A"/>
    <w:rsid w:val="00FA380A"/>
    <w:rsid w:val="00FA3C8A"/>
    <w:rsid w:val="00FA465D"/>
    <w:rsid w:val="00FA5029"/>
    <w:rsid w:val="00FA5C80"/>
    <w:rsid w:val="00FA7897"/>
    <w:rsid w:val="00FB008E"/>
    <w:rsid w:val="00FB0123"/>
    <w:rsid w:val="00FB0455"/>
    <w:rsid w:val="00FB09F6"/>
    <w:rsid w:val="00FB1051"/>
    <w:rsid w:val="00FB165F"/>
    <w:rsid w:val="00FB24C0"/>
    <w:rsid w:val="00FB2A85"/>
    <w:rsid w:val="00FB2E2B"/>
    <w:rsid w:val="00FB33D1"/>
    <w:rsid w:val="00FB397B"/>
    <w:rsid w:val="00FB492B"/>
    <w:rsid w:val="00FB5591"/>
    <w:rsid w:val="00FC0529"/>
    <w:rsid w:val="00FC1E3D"/>
    <w:rsid w:val="00FC247A"/>
    <w:rsid w:val="00FC2C01"/>
    <w:rsid w:val="00FC2CB5"/>
    <w:rsid w:val="00FC38D9"/>
    <w:rsid w:val="00FC3A8F"/>
    <w:rsid w:val="00FC595E"/>
    <w:rsid w:val="00FC5F7F"/>
    <w:rsid w:val="00FC7A92"/>
    <w:rsid w:val="00FD0D0D"/>
    <w:rsid w:val="00FD13C7"/>
    <w:rsid w:val="00FD19F7"/>
    <w:rsid w:val="00FD1C83"/>
    <w:rsid w:val="00FD22A5"/>
    <w:rsid w:val="00FD2B88"/>
    <w:rsid w:val="00FD3AFC"/>
    <w:rsid w:val="00FD3DA2"/>
    <w:rsid w:val="00FD414D"/>
    <w:rsid w:val="00FD7402"/>
    <w:rsid w:val="00FE0007"/>
    <w:rsid w:val="00FE04E4"/>
    <w:rsid w:val="00FE130C"/>
    <w:rsid w:val="00FE14AE"/>
    <w:rsid w:val="00FE163A"/>
    <w:rsid w:val="00FE16B8"/>
    <w:rsid w:val="00FE1A67"/>
    <w:rsid w:val="00FE227B"/>
    <w:rsid w:val="00FE2770"/>
    <w:rsid w:val="00FE2DD7"/>
    <w:rsid w:val="00FE73F9"/>
    <w:rsid w:val="00FE7432"/>
    <w:rsid w:val="00FE7FA5"/>
    <w:rsid w:val="00FF0861"/>
    <w:rsid w:val="00FF1057"/>
    <w:rsid w:val="00FF28D8"/>
    <w:rsid w:val="00FF3E25"/>
    <w:rsid w:val="00FF45D6"/>
    <w:rsid w:val="00FF4E3A"/>
    <w:rsid w:val="00FF53BE"/>
    <w:rsid w:val="00FF58E2"/>
    <w:rsid w:val="00FF5CB3"/>
    <w:rsid w:val="00FF5FD8"/>
    <w:rsid w:val="00FF75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3A73"/>
  <w15:docId w15:val="{A1648A37-ED52-4123-97BC-828B5D01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B51855"/>
    <w:pPr>
      <w:keepNext/>
      <w:keepLines/>
      <w:spacing w:before="240"/>
      <w:outlineLvl w:val="0"/>
    </w:pPr>
    <w:rPr>
      <w:u w:val="single"/>
    </w:rPr>
  </w:style>
  <w:style w:type="paragraph" w:styleId="Heading2">
    <w:name w:val="heading 2"/>
    <w:basedOn w:val="Normal"/>
    <w:next w:val="Normal"/>
    <w:qFormat/>
    <w:rsid w:val="00B51855"/>
    <w:pPr>
      <w:keepNext/>
      <w:keepLines/>
      <w:spacing w:before="240" w:after="200"/>
      <w:outlineLvl w:val="1"/>
    </w:pPr>
    <w:rPr>
      <w:b/>
      <w:bCs/>
    </w:rPr>
  </w:style>
  <w:style w:type="paragraph" w:styleId="Heading3">
    <w:name w:val="heading 3"/>
    <w:basedOn w:val="Normal"/>
    <w:next w:val="base-text-paragraph"/>
    <w:link w:val="Heading3Char"/>
    <w:qFormat/>
    <w:rsid w:val="00B51855"/>
    <w:pPr>
      <w:keepNext/>
      <w:keepLines/>
      <w:spacing w:before="240" w:after="200"/>
      <w:outlineLvl w:val="2"/>
    </w:pPr>
    <w:rPr>
      <w:i/>
      <w:iCs/>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i/>
      <w:iCs/>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nhideWhenUsed/>
    <w:rsid w:val="005E4BAC"/>
    <w:rPr>
      <w:sz w:val="20"/>
    </w:rPr>
  </w:style>
  <w:style w:type="character" w:customStyle="1" w:styleId="CommentTextChar">
    <w:name w:val="Comment Text Char"/>
    <w:basedOn w:val="DefaultParagraphFont"/>
    <w:link w:val="CommentText"/>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B532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913586B7B42029E36DFB5064D112B"/>
        <w:category>
          <w:name w:val="General"/>
          <w:gallery w:val="placeholder"/>
        </w:category>
        <w:types>
          <w:type w:val="bbPlcHdr"/>
        </w:types>
        <w:behaviors>
          <w:behavior w:val="content"/>
        </w:behaviors>
        <w:guid w:val="{69953844-945B-4B9B-B2BA-D6BCA40B5C2A}"/>
      </w:docPartPr>
      <w:docPartBody>
        <w:p w:rsidR="00237B73" w:rsidRDefault="002504E5">
          <w:pPr>
            <w:pStyle w:val="65B913586B7B42029E36DFB5064D112B"/>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35"/>
    <w:rsid w:val="0009698D"/>
    <w:rsid w:val="0017639A"/>
    <w:rsid w:val="001B32E2"/>
    <w:rsid w:val="00237B73"/>
    <w:rsid w:val="002504E5"/>
    <w:rsid w:val="00285A3E"/>
    <w:rsid w:val="00307A5E"/>
    <w:rsid w:val="00314A63"/>
    <w:rsid w:val="00342679"/>
    <w:rsid w:val="00544124"/>
    <w:rsid w:val="00553291"/>
    <w:rsid w:val="005B0A70"/>
    <w:rsid w:val="005B4A86"/>
    <w:rsid w:val="00603F35"/>
    <w:rsid w:val="0064178E"/>
    <w:rsid w:val="008A0B12"/>
    <w:rsid w:val="008A4822"/>
    <w:rsid w:val="00B536FC"/>
    <w:rsid w:val="00CB33E1"/>
    <w:rsid w:val="00D02415"/>
    <w:rsid w:val="00D10FCC"/>
    <w:rsid w:val="00F631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A5E"/>
    <w:rPr>
      <w:color w:val="808080"/>
    </w:rPr>
  </w:style>
  <w:style w:type="paragraph" w:customStyle="1" w:styleId="65B913586B7B42029E36DFB5064D112B">
    <w:name w:val="65B913586B7B42029E36DFB5064D112B"/>
  </w:style>
  <w:style w:type="paragraph" w:customStyle="1" w:styleId="98D77B2851DC4A5AB10FE8BDB21D7C77">
    <w:name w:val="98D77B2851DC4A5AB10FE8BDB21D7C77"/>
    <w:rsid w:val="00603F35"/>
  </w:style>
  <w:style w:type="paragraph" w:customStyle="1" w:styleId="6ADAA50D302E4348B11B4605D616CB30">
    <w:name w:val="6ADAA50D302E4348B11B4605D616CB30"/>
    <w:rsid w:val="00307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S574FYTY5PW6-969949929-2392</_dlc_DocId>
    <_dlc_DocIdUrl xmlns="fe39d773-a83d-4623-ae74-f25711a76616">
      <Url>https://austreasury.sharepoint.com/sites/leg-cord-function/_layouts/15/DocIdRedir.aspx?ID=S574FYTY5PW6-969949929-2392</Url>
      <Description>S574FYTY5PW6-969949929-2392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36</Value>
      <Value>35</Value>
      <Value>1</Value>
      <Value>42</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infopath/2007/PartnerControls"/>
    <ds:schemaRef ds:uri="ff38c824-6e29-4496-8487-69f397e7ed29"/>
    <ds:schemaRef ds:uri="http://schemas.microsoft.com/sharepoint/v3"/>
    <ds:schemaRef ds:uri="http://www.w3.org/XML/1998/namespace"/>
    <ds:schemaRef ds:uri="http://schemas.microsoft.com/office/2006/documentManagement/types"/>
    <ds:schemaRef ds:uri="25317aad-19f3-4503-9d4c-af878cdab291"/>
    <ds:schemaRef ds:uri="http://purl.org/dc/terms/"/>
    <ds:schemaRef ds:uri="http://purl.org/dc/elements/1.1/"/>
    <ds:schemaRef ds:uri="http://schemas.openxmlformats.org/package/2006/metadata/core-properties"/>
    <ds:schemaRef ds:uri="a289cb20-8bb9-401f-8d7b-706fb1a2988d"/>
    <ds:schemaRef ds:uri="fe39d773-a83d-4623-ae74-f25711a7661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99B6339-1F13-48F6-9328-AA8F12F4DB1B}"/>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690</TotalTime>
  <Pages>1</Pages>
  <Words>2006</Words>
  <Characters>11439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250306-ES-TSY_47_1035-HGS Construction Loans</dc:title>
  <dc:subject/>
  <dc:creator>Nakkan, Kurt</dc:creator>
  <cp:keywords/>
  <dc:description/>
  <cp:lastModifiedBy>Chandra, Sheenal</cp:lastModifiedBy>
  <cp:revision>494</cp:revision>
  <cp:lastPrinted>2019-02-18T18:23:00Z</cp:lastPrinted>
  <dcterms:created xsi:type="dcterms:W3CDTF">2025-02-28T18:15:00Z</dcterms:created>
  <dcterms:modified xsi:type="dcterms:W3CDTF">2025-03-05T22:01:00Z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TSYStatus">
    <vt:lpwstr/>
  </property>
  <property fmtid="{D5CDD505-2E9C-101B-9397-08002B2CF9AE}" pid="7" name="MediaServiceImageTags">
    <vt:lpwstr/>
  </property>
  <property fmtid="{D5CDD505-2E9C-101B-9397-08002B2CF9AE}" pid="8" name="TSYOffice">
    <vt:lpwstr/>
  </property>
  <property fmtid="{D5CDD505-2E9C-101B-9397-08002B2CF9AE}" pid="9" name="MSIP_Label_4f932d64-9ab1-4d9b-81d2-a3a8b82dd47d_Enabled">
    <vt:lpwstr>true</vt:lpwstr>
  </property>
  <property fmtid="{D5CDD505-2E9C-101B-9397-08002B2CF9AE}" pid="10" name="MSIP_Label_4f932d64-9ab1-4d9b-81d2-a3a8b82dd47d_SetDate">
    <vt:lpwstr>2024-08-27T04:29:20Z</vt:lpwstr>
  </property>
  <property fmtid="{D5CDD505-2E9C-101B-9397-08002B2CF9AE}" pid="11" name="MSIP_Label_4f932d64-9ab1-4d9b-81d2-a3a8b82dd47d_Method">
    <vt:lpwstr>Privileged</vt:lpwstr>
  </property>
  <property fmtid="{D5CDD505-2E9C-101B-9397-08002B2CF9AE}" pid="12" name="MSIP_Label_4f932d64-9ab1-4d9b-81d2-a3a8b82dd47d_Name">
    <vt:lpwstr>OFFICIAL No Visual Marking</vt:lpwstr>
  </property>
  <property fmtid="{D5CDD505-2E9C-101B-9397-08002B2CF9AE}" pid="13" name="MSIP_Label_4f932d64-9ab1-4d9b-81d2-a3a8b82dd47d_SiteId">
    <vt:lpwstr>214f1646-2021-47cc-8397-e3d3a7ba7d9d</vt:lpwstr>
  </property>
  <property fmtid="{D5CDD505-2E9C-101B-9397-08002B2CF9AE}" pid="14" name="MSIP_Label_4f932d64-9ab1-4d9b-81d2-a3a8b82dd47d_ActionId">
    <vt:lpwstr>52709621-0d49-48a8-89fe-0a6f3807d1b5</vt:lpwstr>
  </property>
  <property fmtid="{D5CDD505-2E9C-101B-9397-08002B2CF9AE}" pid="15" name="MSIP_Label_4f932d64-9ab1-4d9b-81d2-a3a8b82dd47d_ContentBits">
    <vt:lpwstr>0</vt:lpwstr>
  </property>
  <property fmtid="{D5CDD505-2E9C-101B-9397-08002B2CF9AE}" pid="16" name="_dlc_DocIdItemGuid">
    <vt:lpwstr>d090924a-1897-43f2-97f2-bbc415435ec9</vt:lpwstr>
  </property>
  <property fmtid="{D5CDD505-2E9C-101B-9397-08002B2CF9AE}" pid="17" name="eTheme">
    <vt:lpwstr>1;#Law Design|318dd2d2-18da-4b8e-a458-14db2c1af95f</vt:lpwstr>
  </property>
  <property fmtid="{D5CDD505-2E9C-101B-9397-08002B2CF9AE}" pid="18" name="eDocumentType">
    <vt:lpwstr>153;#Explanatory Materials|ac61e78e-992e-40fd-ae93-2c9522960b05</vt:lpwstr>
  </property>
  <property fmtid="{D5CDD505-2E9C-101B-9397-08002B2CF9AE}" pid="19" name="eTopic">
    <vt:lpwstr>36;#Legislation Coordination|58c6712e-e847-48f4-81ab-b25e2bbd3986</vt:lpwstr>
  </property>
  <property fmtid="{D5CDD505-2E9C-101B-9397-08002B2CF9AE}" pid="20" name="LMDivision">
    <vt:lpwstr/>
  </property>
  <property fmtid="{D5CDD505-2E9C-101B-9397-08002B2CF9AE}" pid="21" name="eActivity">
    <vt:lpwstr>35;#Legislation management|cb630f2f-9155-496b-ad0f-d960eb1bf90c</vt:lpwstr>
  </property>
  <property fmtid="{D5CDD505-2E9C-101B-9397-08002B2CF9AE}" pid="22" name="Topic">
    <vt:lpwstr>36;#Legislation Coordination|58c6712e-e847-48f4-81ab-b25e2bbd3986</vt:lpwstr>
  </property>
  <property fmtid="{D5CDD505-2E9C-101B-9397-08002B2CF9AE}" pid="23" name="Activity">
    <vt:lpwstr>35;#Legislation management|cb630f2f-9155-496b-ad0f-d960eb1bf90c</vt:lpwstr>
  </property>
  <property fmtid="{D5CDD505-2E9C-101B-9397-08002B2CF9AE}" pid="24" name="Document_x0020_Type">
    <vt:lpwstr>42;#Legislation|25c35cca-98fe-4d3e-a63c-3dda1c39f3ec</vt:lpwstr>
  </property>
  <property fmtid="{D5CDD505-2E9C-101B-9397-08002B2CF9AE}" pid="25" name="Document Type">
    <vt:lpwstr>42;#Legislation|25c35cca-98fe-4d3e-a63c-3dda1c39f3ec</vt:lpwstr>
  </property>
</Properties>
</file>