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92307" w14:textId="77777777" w:rsidR="001E51F5" w:rsidRPr="00E9726E" w:rsidRDefault="001E51F5" w:rsidP="000B31F9">
      <w:pPr>
        <w:spacing w:after="0" w:line="240" w:lineRule="auto"/>
        <w:jc w:val="center"/>
        <w:rPr>
          <w:rFonts w:eastAsia="Times New Roman"/>
          <w:b/>
          <w:sz w:val="22"/>
          <w:szCs w:val="22"/>
          <w:u w:val="single"/>
          <w:lang w:eastAsia="en-AU"/>
        </w:rPr>
      </w:pPr>
      <w:r w:rsidRPr="00E9726E">
        <w:rPr>
          <w:rFonts w:eastAsia="Times New Roman"/>
          <w:b/>
          <w:sz w:val="22"/>
          <w:szCs w:val="22"/>
          <w:u w:val="single"/>
          <w:lang w:eastAsia="en-AU"/>
        </w:rPr>
        <w:t>EXPLANATORY STATEMENT</w:t>
      </w:r>
    </w:p>
    <w:p w14:paraId="7549D6D7" w14:textId="77777777" w:rsidR="00837EB9" w:rsidRPr="00E9726E" w:rsidRDefault="00837EB9" w:rsidP="000B31F9">
      <w:pPr>
        <w:spacing w:after="0" w:line="240" w:lineRule="auto"/>
        <w:jc w:val="center"/>
        <w:rPr>
          <w:rFonts w:eastAsia="Times New Roman"/>
          <w:iCs/>
          <w:sz w:val="22"/>
          <w:szCs w:val="22"/>
          <w:lang w:eastAsia="en-AU"/>
        </w:rPr>
      </w:pPr>
    </w:p>
    <w:p w14:paraId="65F796CD" w14:textId="60DC0F75" w:rsidR="001E51F5" w:rsidRPr="00E9726E" w:rsidRDefault="001E51F5" w:rsidP="000B31F9">
      <w:pPr>
        <w:spacing w:after="0" w:line="240" w:lineRule="auto"/>
        <w:jc w:val="center"/>
        <w:rPr>
          <w:rFonts w:eastAsia="Times New Roman"/>
          <w:sz w:val="22"/>
          <w:szCs w:val="22"/>
          <w:u w:val="single"/>
          <w:lang w:eastAsia="en-AU"/>
        </w:rPr>
      </w:pPr>
      <w:r w:rsidRPr="00E9726E">
        <w:rPr>
          <w:rFonts w:eastAsia="Times New Roman"/>
          <w:i/>
          <w:sz w:val="22"/>
          <w:szCs w:val="22"/>
          <w:lang w:eastAsia="en-AU"/>
        </w:rPr>
        <w:t>Therapeutic Goods Act 1989</w:t>
      </w:r>
    </w:p>
    <w:p w14:paraId="7C443CC3" w14:textId="77777777" w:rsidR="00837EB9" w:rsidRPr="00E9726E" w:rsidRDefault="00837EB9" w:rsidP="000B31F9">
      <w:pPr>
        <w:spacing w:after="0" w:line="240" w:lineRule="auto"/>
        <w:jc w:val="center"/>
        <w:rPr>
          <w:rFonts w:eastAsia="Times New Roman"/>
          <w:iCs/>
          <w:sz w:val="22"/>
          <w:szCs w:val="22"/>
          <w:lang w:eastAsia="en-AU"/>
        </w:rPr>
      </w:pPr>
    </w:p>
    <w:p w14:paraId="36148F37" w14:textId="66159D47" w:rsidR="001E51F5" w:rsidRPr="00E9726E" w:rsidRDefault="001E51F5" w:rsidP="000B31F9">
      <w:pPr>
        <w:spacing w:after="0" w:line="240" w:lineRule="auto"/>
        <w:jc w:val="center"/>
        <w:rPr>
          <w:rFonts w:eastAsia="Times New Roman"/>
          <w:i/>
          <w:sz w:val="22"/>
          <w:szCs w:val="22"/>
          <w:lang w:eastAsia="en-AU"/>
        </w:rPr>
      </w:pPr>
      <w:r w:rsidRPr="00E9726E">
        <w:rPr>
          <w:rFonts w:eastAsia="Times New Roman"/>
          <w:i/>
          <w:sz w:val="22"/>
          <w:szCs w:val="22"/>
          <w:lang w:eastAsia="en-AU"/>
        </w:rPr>
        <w:t>Therapeutic Goods (</w:t>
      </w:r>
      <w:r w:rsidR="008244E6">
        <w:rPr>
          <w:rFonts w:eastAsia="Times New Roman"/>
          <w:i/>
          <w:sz w:val="22"/>
          <w:szCs w:val="22"/>
          <w:lang w:eastAsia="en-AU"/>
        </w:rPr>
        <w:t>Prescription Medicines—Information Accompanying Applications for Registration</w:t>
      </w:r>
      <w:r w:rsidRPr="00E9726E">
        <w:rPr>
          <w:rFonts w:eastAsia="Times New Roman"/>
          <w:i/>
          <w:sz w:val="22"/>
          <w:szCs w:val="22"/>
          <w:lang w:eastAsia="en-AU"/>
        </w:rPr>
        <w:t xml:space="preserve">) Amendment </w:t>
      </w:r>
      <w:r w:rsidR="00EE08CB" w:rsidRPr="00E9726E">
        <w:rPr>
          <w:rFonts w:eastAsia="Times New Roman"/>
          <w:i/>
          <w:sz w:val="22"/>
          <w:szCs w:val="22"/>
          <w:lang w:eastAsia="en-AU"/>
        </w:rPr>
        <w:t>Determination</w:t>
      </w:r>
      <w:r w:rsidRPr="00E9726E">
        <w:rPr>
          <w:rFonts w:eastAsia="Times New Roman"/>
          <w:i/>
          <w:sz w:val="22"/>
          <w:szCs w:val="22"/>
          <w:lang w:eastAsia="en-AU"/>
        </w:rPr>
        <w:t xml:space="preserve"> 202</w:t>
      </w:r>
      <w:r w:rsidR="008244E6">
        <w:rPr>
          <w:rFonts w:eastAsia="Times New Roman"/>
          <w:i/>
          <w:sz w:val="22"/>
          <w:szCs w:val="22"/>
          <w:lang w:eastAsia="en-AU"/>
        </w:rPr>
        <w:t>5</w:t>
      </w:r>
    </w:p>
    <w:p w14:paraId="71411FAD" w14:textId="77777777" w:rsidR="00837EB9" w:rsidRPr="00E9726E" w:rsidRDefault="00837EB9" w:rsidP="000B31F9">
      <w:pPr>
        <w:autoSpaceDE w:val="0"/>
        <w:autoSpaceDN w:val="0"/>
        <w:adjustRightInd w:val="0"/>
        <w:spacing w:after="0" w:line="240" w:lineRule="auto"/>
        <w:rPr>
          <w:rFonts w:eastAsia="Times New Roman"/>
          <w:sz w:val="22"/>
          <w:szCs w:val="22"/>
          <w:lang w:eastAsia="en-AU"/>
        </w:rPr>
      </w:pPr>
    </w:p>
    <w:p w14:paraId="1C0775F0" w14:textId="2CF6449F" w:rsidR="00837EB9" w:rsidRPr="008244E6" w:rsidRDefault="00837EB9" w:rsidP="000B31F9">
      <w:pPr>
        <w:autoSpaceDE w:val="0"/>
        <w:autoSpaceDN w:val="0"/>
        <w:adjustRightInd w:val="0"/>
        <w:spacing w:after="0" w:line="240" w:lineRule="auto"/>
        <w:rPr>
          <w:rFonts w:eastAsia="Times New Roman"/>
          <w:sz w:val="22"/>
          <w:szCs w:val="22"/>
          <w:lang w:eastAsia="en-AU"/>
        </w:rPr>
      </w:pPr>
      <w:bookmarkStart w:id="0" w:name="_Hlk184916580"/>
      <w:r w:rsidRPr="008244E6">
        <w:rPr>
          <w:rFonts w:eastAsia="Times New Roman"/>
          <w:sz w:val="22"/>
          <w:szCs w:val="22"/>
          <w:lang w:eastAsia="en-AU"/>
        </w:rPr>
        <w:t xml:space="preserve">The </w:t>
      </w:r>
      <w:bookmarkStart w:id="1" w:name="_Hlk168468061"/>
      <w:r w:rsidRPr="008244E6">
        <w:rPr>
          <w:rFonts w:eastAsia="Times New Roman"/>
          <w:i/>
          <w:sz w:val="22"/>
          <w:szCs w:val="22"/>
          <w:lang w:eastAsia="en-AU"/>
        </w:rPr>
        <w:t>Therapeutic Goods Act 1989</w:t>
      </w:r>
      <w:r w:rsidRPr="008244E6">
        <w:rPr>
          <w:rFonts w:eastAsia="Times New Roman"/>
          <w:sz w:val="22"/>
          <w:szCs w:val="22"/>
          <w:lang w:eastAsia="en-AU"/>
        </w:rPr>
        <w:t xml:space="preserve"> (</w:t>
      </w:r>
      <w:r w:rsidR="008244E6">
        <w:rPr>
          <w:rFonts w:eastAsia="Times New Roman"/>
          <w:sz w:val="22"/>
          <w:szCs w:val="22"/>
          <w:lang w:eastAsia="en-AU"/>
        </w:rPr>
        <w:t>“</w:t>
      </w:r>
      <w:r w:rsidRPr="008244E6">
        <w:rPr>
          <w:rFonts w:eastAsia="Times New Roman"/>
          <w:sz w:val="22"/>
          <w:szCs w:val="22"/>
          <w:lang w:eastAsia="en-AU"/>
        </w:rPr>
        <w:t>the Act</w:t>
      </w:r>
      <w:r w:rsidR="008244E6">
        <w:rPr>
          <w:rFonts w:eastAsia="Times New Roman"/>
          <w:sz w:val="22"/>
          <w:szCs w:val="22"/>
          <w:lang w:eastAsia="en-AU"/>
        </w:rPr>
        <w:t>”</w:t>
      </w:r>
      <w:r w:rsidRPr="008244E6">
        <w:rPr>
          <w:rFonts w:eastAsia="Times New Roman"/>
          <w:sz w:val="22"/>
          <w:szCs w:val="22"/>
          <w:lang w:eastAsia="en-AU"/>
        </w:rPr>
        <w:t xml:space="preserve">) </w:t>
      </w:r>
      <w:bookmarkEnd w:id="1"/>
      <w:r w:rsidRPr="008244E6">
        <w:rPr>
          <w:rFonts w:eastAsia="Times New Roman"/>
          <w:sz w:val="22"/>
          <w:szCs w:val="22"/>
          <w:lang w:eastAsia="en-AU"/>
        </w:rPr>
        <w:t>provides for the establishment and maintenance of a national system of controls for the quality, safety, efficacy or performance, and timely availability of therapeutic goods that are used in, or exported from, Australia. The Act is administered by the Therapeutic Goods Administration (</w:t>
      </w:r>
      <w:r w:rsidR="008244E6">
        <w:rPr>
          <w:rFonts w:eastAsia="Times New Roman"/>
          <w:sz w:val="22"/>
          <w:szCs w:val="22"/>
          <w:lang w:eastAsia="en-AU"/>
        </w:rPr>
        <w:t>“</w:t>
      </w:r>
      <w:r w:rsidRPr="008244E6">
        <w:rPr>
          <w:rFonts w:eastAsia="Times New Roman"/>
          <w:sz w:val="22"/>
          <w:szCs w:val="22"/>
          <w:lang w:eastAsia="en-AU"/>
        </w:rPr>
        <w:t>the TGA</w:t>
      </w:r>
      <w:r w:rsidR="008244E6">
        <w:rPr>
          <w:rFonts w:eastAsia="Times New Roman"/>
          <w:sz w:val="22"/>
          <w:szCs w:val="22"/>
          <w:lang w:eastAsia="en-AU"/>
        </w:rPr>
        <w:t>”</w:t>
      </w:r>
      <w:r w:rsidRPr="008244E6">
        <w:rPr>
          <w:rFonts w:eastAsia="Times New Roman"/>
          <w:sz w:val="22"/>
          <w:szCs w:val="22"/>
          <w:lang w:eastAsia="en-AU"/>
        </w:rPr>
        <w:t>) within the Australian Government Department of Health and Aged Care (</w:t>
      </w:r>
      <w:r w:rsidR="00F1567F">
        <w:rPr>
          <w:rFonts w:eastAsia="Times New Roman"/>
          <w:sz w:val="22"/>
          <w:szCs w:val="22"/>
          <w:lang w:eastAsia="en-AU"/>
        </w:rPr>
        <w:t>“</w:t>
      </w:r>
      <w:r w:rsidRPr="008244E6">
        <w:rPr>
          <w:rFonts w:eastAsia="Times New Roman"/>
          <w:sz w:val="22"/>
          <w:szCs w:val="22"/>
          <w:lang w:eastAsia="en-AU"/>
        </w:rPr>
        <w:t>the Department</w:t>
      </w:r>
      <w:r w:rsidR="00F1567F">
        <w:rPr>
          <w:rFonts w:eastAsia="Times New Roman"/>
          <w:sz w:val="22"/>
          <w:szCs w:val="22"/>
          <w:lang w:eastAsia="en-AU"/>
        </w:rPr>
        <w:t>”</w:t>
      </w:r>
      <w:r w:rsidRPr="008244E6">
        <w:rPr>
          <w:rFonts w:eastAsia="Times New Roman"/>
          <w:sz w:val="22"/>
          <w:szCs w:val="22"/>
          <w:lang w:eastAsia="en-AU"/>
        </w:rPr>
        <w:t>).</w:t>
      </w:r>
    </w:p>
    <w:p w14:paraId="61034D6E" w14:textId="77777777" w:rsidR="00837EB9" w:rsidRDefault="00837EB9" w:rsidP="000B31F9">
      <w:pPr>
        <w:autoSpaceDE w:val="0"/>
        <w:autoSpaceDN w:val="0"/>
        <w:adjustRightInd w:val="0"/>
        <w:spacing w:after="0" w:line="240" w:lineRule="auto"/>
        <w:rPr>
          <w:rFonts w:eastAsia="Times New Roman"/>
          <w:i/>
          <w:sz w:val="22"/>
          <w:szCs w:val="22"/>
          <w:lang w:eastAsia="en-AU"/>
        </w:rPr>
      </w:pPr>
    </w:p>
    <w:p w14:paraId="5C9B58C5" w14:textId="6354F74E" w:rsidR="008244E6" w:rsidRDefault="008244E6" w:rsidP="000B31F9">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 xml:space="preserve">The </w:t>
      </w:r>
      <w:r w:rsidR="00F1567F" w:rsidRPr="00D72161">
        <w:rPr>
          <w:rFonts w:eastAsia="Times New Roman"/>
          <w:iCs/>
          <w:sz w:val="22"/>
          <w:szCs w:val="22"/>
          <w:lang w:eastAsia="en-AU"/>
        </w:rPr>
        <w:t>Act provides</w:t>
      </w:r>
      <w:r w:rsidR="00F1567F">
        <w:rPr>
          <w:rFonts w:eastAsia="Times New Roman"/>
          <w:iCs/>
          <w:sz w:val="22"/>
          <w:szCs w:val="22"/>
          <w:lang w:eastAsia="en-AU"/>
        </w:rPr>
        <w:t xml:space="preserve"> for</w:t>
      </w:r>
      <w:r>
        <w:rPr>
          <w:rFonts w:eastAsia="Times New Roman"/>
          <w:iCs/>
          <w:sz w:val="22"/>
          <w:szCs w:val="22"/>
          <w:lang w:eastAsia="en-AU"/>
        </w:rPr>
        <w:t xml:space="preserve"> the preliminary assessment of applications for the inclusion of therapeutic goods in the Australian Register of Therapeutic Goods (“the Register”). In particular, the </w:t>
      </w:r>
      <w:r w:rsidR="00F1567F">
        <w:rPr>
          <w:rFonts w:eastAsia="Times New Roman"/>
          <w:iCs/>
          <w:sz w:val="22"/>
          <w:szCs w:val="22"/>
          <w:lang w:eastAsia="en-AU"/>
        </w:rPr>
        <w:t>Act</w:t>
      </w:r>
      <w:r>
        <w:rPr>
          <w:rFonts w:eastAsia="Times New Roman"/>
          <w:iCs/>
          <w:sz w:val="22"/>
          <w:szCs w:val="22"/>
          <w:lang w:eastAsia="en-AU"/>
        </w:rPr>
        <w:t xml:space="preserve"> require</w:t>
      </w:r>
      <w:r w:rsidR="00F1567F">
        <w:rPr>
          <w:rFonts w:eastAsia="Times New Roman"/>
          <w:iCs/>
          <w:sz w:val="22"/>
          <w:szCs w:val="22"/>
          <w:lang w:eastAsia="en-AU"/>
        </w:rPr>
        <w:t>s</w:t>
      </w:r>
      <w:r>
        <w:rPr>
          <w:rFonts w:eastAsia="Times New Roman"/>
          <w:iCs/>
          <w:sz w:val="22"/>
          <w:szCs w:val="22"/>
          <w:lang w:eastAsia="en-AU"/>
        </w:rPr>
        <w:t xml:space="preserve"> an application for the inclusion of a medicine, biological or medical device in the Register to meet certain preliminary requirements before the Secretary may proceed to evaluation. The Secretary </w:t>
      </w:r>
      <w:r w:rsidR="00F1567F">
        <w:rPr>
          <w:rFonts w:eastAsia="Times New Roman"/>
          <w:iCs/>
          <w:sz w:val="22"/>
          <w:szCs w:val="22"/>
          <w:lang w:eastAsia="en-AU"/>
        </w:rPr>
        <w:t>may</w:t>
      </w:r>
      <w:r>
        <w:rPr>
          <w:rFonts w:eastAsia="Times New Roman"/>
          <w:iCs/>
          <w:sz w:val="22"/>
          <w:szCs w:val="22"/>
          <w:lang w:eastAsia="en-AU"/>
        </w:rPr>
        <w:t xml:space="preserve"> refuse an application prior to evaluation if the application does not meet those requirements.</w:t>
      </w:r>
    </w:p>
    <w:p w14:paraId="7468557C" w14:textId="77777777" w:rsidR="008244E6" w:rsidRDefault="008244E6" w:rsidP="000B31F9">
      <w:pPr>
        <w:autoSpaceDE w:val="0"/>
        <w:autoSpaceDN w:val="0"/>
        <w:adjustRightInd w:val="0"/>
        <w:spacing w:after="0" w:line="240" w:lineRule="auto"/>
        <w:rPr>
          <w:rFonts w:eastAsia="Times New Roman"/>
          <w:iCs/>
          <w:sz w:val="22"/>
          <w:szCs w:val="22"/>
          <w:lang w:eastAsia="en-AU"/>
        </w:rPr>
      </w:pPr>
    </w:p>
    <w:p w14:paraId="582F0C52" w14:textId="52F7559E" w:rsidR="008244E6" w:rsidRDefault="008244E6" w:rsidP="000B31F9">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 xml:space="preserve">Section 23B </w:t>
      </w:r>
      <w:r w:rsidR="00376432">
        <w:rPr>
          <w:rFonts w:eastAsia="Times New Roman"/>
          <w:iCs/>
          <w:sz w:val="22"/>
          <w:szCs w:val="22"/>
          <w:lang w:eastAsia="en-AU"/>
        </w:rPr>
        <w:t xml:space="preserve">of the Act </w:t>
      </w:r>
      <w:r>
        <w:rPr>
          <w:rFonts w:eastAsia="Times New Roman"/>
          <w:iCs/>
          <w:sz w:val="22"/>
          <w:szCs w:val="22"/>
          <w:lang w:eastAsia="en-AU"/>
        </w:rPr>
        <w:t>sets out the preliminary assessment requirements relati</w:t>
      </w:r>
      <w:r w:rsidR="00376432">
        <w:rPr>
          <w:rFonts w:eastAsia="Times New Roman"/>
          <w:iCs/>
          <w:sz w:val="22"/>
          <w:szCs w:val="22"/>
          <w:lang w:eastAsia="en-AU"/>
        </w:rPr>
        <w:t>ng</w:t>
      </w:r>
      <w:r>
        <w:rPr>
          <w:rFonts w:eastAsia="Times New Roman"/>
          <w:iCs/>
          <w:sz w:val="22"/>
          <w:szCs w:val="22"/>
          <w:lang w:eastAsia="en-AU"/>
        </w:rPr>
        <w:t xml:space="preserve"> to applications for the registration of therapeutic goods, and the listing of medicines under section 26AE of the Act. These requirements include a requirement that the application be accompanied by information that is of a kind determined under subsection 23</w:t>
      </w:r>
      <w:proofErr w:type="gramStart"/>
      <w:r>
        <w:rPr>
          <w:rFonts w:eastAsia="Times New Roman"/>
          <w:iCs/>
          <w:sz w:val="22"/>
          <w:szCs w:val="22"/>
          <w:lang w:eastAsia="en-AU"/>
        </w:rPr>
        <w:t>B(</w:t>
      </w:r>
      <w:proofErr w:type="gramEnd"/>
      <w:r>
        <w:rPr>
          <w:rFonts w:eastAsia="Times New Roman"/>
          <w:iCs/>
          <w:sz w:val="22"/>
          <w:szCs w:val="22"/>
          <w:lang w:eastAsia="en-AU"/>
        </w:rPr>
        <w:t xml:space="preserve">9) </w:t>
      </w:r>
      <w:r w:rsidR="00376432">
        <w:rPr>
          <w:rFonts w:eastAsia="Times New Roman"/>
          <w:iCs/>
          <w:sz w:val="22"/>
          <w:szCs w:val="22"/>
          <w:lang w:eastAsia="en-AU"/>
        </w:rPr>
        <w:t xml:space="preserve">for a class of therapeutic goods, </w:t>
      </w:r>
      <w:r>
        <w:rPr>
          <w:rFonts w:eastAsia="Times New Roman"/>
          <w:iCs/>
          <w:sz w:val="22"/>
          <w:szCs w:val="22"/>
          <w:lang w:eastAsia="en-AU"/>
        </w:rPr>
        <w:t>and that the information is in a form determined under subsection 23B(10)</w:t>
      </w:r>
      <w:r w:rsidR="00376432">
        <w:rPr>
          <w:rFonts w:eastAsia="Times New Roman"/>
          <w:iCs/>
          <w:sz w:val="22"/>
          <w:szCs w:val="22"/>
          <w:lang w:eastAsia="en-AU"/>
        </w:rPr>
        <w:t xml:space="preserve"> for the class of therapeutic goods</w:t>
      </w:r>
      <w:r>
        <w:rPr>
          <w:rFonts w:eastAsia="Times New Roman"/>
          <w:iCs/>
          <w:sz w:val="22"/>
          <w:szCs w:val="22"/>
          <w:lang w:eastAsia="en-AU"/>
        </w:rPr>
        <w:t>.</w:t>
      </w:r>
      <w:r w:rsidR="00376432">
        <w:rPr>
          <w:rFonts w:eastAsia="Times New Roman"/>
          <w:iCs/>
          <w:sz w:val="22"/>
          <w:szCs w:val="22"/>
          <w:lang w:eastAsia="en-AU"/>
        </w:rPr>
        <w:t xml:space="preserve"> </w:t>
      </w:r>
    </w:p>
    <w:p w14:paraId="18AAA5B2" w14:textId="7F44005F" w:rsidR="008244E6" w:rsidRDefault="00376432" w:rsidP="000B31F9">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Relevantly, s</w:t>
      </w:r>
      <w:r w:rsidR="008244E6">
        <w:rPr>
          <w:rFonts w:eastAsia="Times New Roman"/>
          <w:iCs/>
          <w:sz w:val="22"/>
          <w:szCs w:val="22"/>
          <w:lang w:eastAsia="en-AU"/>
        </w:rPr>
        <w:t xml:space="preserve">ubsection 23B(10) of the Act relevant provides that the Secretary may, by legislative instrument, determine a form of information for the purposes of </w:t>
      </w:r>
      <w:r w:rsidR="0034636B">
        <w:rPr>
          <w:rFonts w:eastAsia="Times New Roman"/>
          <w:iCs/>
          <w:sz w:val="22"/>
          <w:szCs w:val="22"/>
          <w:lang w:eastAsia="en-AU"/>
        </w:rPr>
        <w:t xml:space="preserve">such </w:t>
      </w:r>
      <w:r w:rsidR="008244E6">
        <w:rPr>
          <w:rFonts w:eastAsia="Times New Roman"/>
          <w:iCs/>
          <w:sz w:val="22"/>
          <w:szCs w:val="22"/>
          <w:lang w:eastAsia="en-AU"/>
        </w:rPr>
        <w:t>application</w:t>
      </w:r>
      <w:r w:rsidR="0034636B">
        <w:rPr>
          <w:rFonts w:eastAsia="Times New Roman"/>
          <w:iCs/>
          <w:sz w:val="22"/>
          <w:szCs w:val="22"/>
          <w:lang w:eastAsia="en-AU"/>
        </w:rPr>
        <w:t>s</w:t>
      </w:r>
      <w:r w:rsidR="008244E6">
        <w:rPr>
          <w:rFonts w:eastAsia="Times New Roman"/>
          <w:iCs/>
          <w:sz w:val="22"/>
          <w:szCs w:val="22"/>
          <w:lang w:eastAsia="en-AU"/>
        </w:rPr>
        <w:t>.</w:t>
      </w:r>
    </w:p>
    <w:p w14:paraId="05C1A2A7" w14:textId="77777777" w:rsidR="000829FF" w:rsidRDefault="000829FF" w:rsidP="000B31F9">
      <w:pPr>
        <w:autoSpaceDE w:val="0"/>
        <w:autoSpaceDN w:val="0"/>
        <w:adjustRightInd w:val="0"/>
        <w:spacing w:after="0" w:line="240" w:lineRule="auto"/>
        <w:rPr>
          <w:rFonts w:eastAsia="Times New Roman"/>
          <w:iCs/>
          <w:sz w:val="22"/>
          <w:szCs w:val="22"/>
          <w:lang w:eastAsia="en-AU"/>
        </w:rPr>
      </w:pPr>
    </w:p>
    <w:p w14:paraId="462A39AF" w14:textId="704DCD5D" w:rsidR="000829FF" w:rsidRDefault="000829FF" w:rsidP="000B31F9">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 xml:space="preserve">The </w:t>
      </w:r>
      <w:bookmarkStart w:id="2" w:name="_Toc182484817"/>
      <w:r w:rsidRPr="00D72161">
        <w:rPr>
          <w:rFonts w:eastAsia="Times New Roman"/>
          <w:i/>
          <w:sz w:val="22"/>
          <w:szCs w:val="22"/>
          <w:lang w:eastAsia="en-AU"/>
        </w:rPr>
        <w:t>Therapeutic Goods (Prescription Medicines—Information Accompanying Applications for Registration) Determination 2021</w:t>
      </w:r>
      <w:bookmarkEnd w:id="2"/>
      <w:r>
        <w:rPr>
          <w:rFonts w:eastAsia="Times New Roman"/>
          <w:iCs/>
          <w:sz w:val="22"/>
          <w:szCs w:val="22"/>
          <w:lang w:eastAsia="en-AU"/>
        </w:rPr>
        <w:t xml:space="preserve"> (“the Principal Determination”) was made under subsection 23B(10) of the Act. It specifies the form requirements for information </w:t>
      </w:r>
      <w:r w:rsidR="00664600">
        <w:rPr>
          <w:rFonts w:eastAsia="Times New Roman"/>
          <w:iCs/>
          <w:sz w:val="22"/>
          <w:szCs w:val="22"/>
          <w:lang w:eastAsia="en-AU"/>
        </w:rPr>
        <w:t xml:space="preserve">that </w:t>
      </w:r>
      <w:r>
        <w:rPr>
          <w:rFonts w:eastAsia="Times New Roman"/>
          <w:iCs/>
          <w:sz w:val="22"/>
          <w:szCs w:val="22"/>
          <w:lang w:eastAsia="en-AU"/>
        </w:rPr>
        <w:t>accompanies an application for registration of a prescription medicine.</w:t>
      </w:r>
    </w:p>
    <w:p w14:paraId="42161C2C" w14:textId="77777777" w:rsidR="000829FF" w:rsidRDefault="000829FF" w:rsidP="000B31F9">
      <w:pPr>
        <w:autoSpaceDE w:val="0"/>
        <w:autoSpaceDN w:val="0"/>
        <w:adjustRightInd w:val="0"/>
        <w:spacing w:after="0" w:line="240" w:lineRule="auto"/>
        <w:rPr>
          <w:rFonts w:eastAsia="Times New Roman"/>
          <w:iCs/>
          <w:sz w:val="22"/>
          <w:szCs w:val="22"/>
          <w:lang w:eastAsia="en-AU"/>
        </w:rPr>
      </w:pPr>
    </w:p>
    <w:p w14:paraId="274856F3" w14:textId="658E50F9" w:rsidR="000829FF" w:rsidRPr="000829FF" w:rsidRDefault="000829FF" w:rsidP="000B31F9">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 xml:space="preserve">The </w:t>
      </w:r>
      <w:r w:rsidRPr="00D72161">
        <w:rPr>
          <w:rFonts w:eastAsia="Times New Roman"/>
          <w:i/>
          <w:sz w:val="22"/>
          <w:szCs w:val="22"/>
          <w:lang w:eastAsia="en-AU"/>
        </w:rPr>
        <w:t>Therapeutic Goods (Prescription Medicines—Information Accompanying Applications for Registration) Amendment Determination 2025</w:t>
      </w:r>
      <w:r w:rsidRPr="00D72161">
        <w:rPr>
          <w:rFonts w:eastAsia="Times New Roman"/>
          <w:iCs/>
          <w:sz w:val="22"/>
          <w:szCs w:val="22"/>
          <w:lang w:eastAsia="en-AU"/>
        </w:rPr>
        <w:t xml:space="preserve"> (“</w:t>
      </w:r>
      <w:r>
        <w:rPr>
          <w:rFonts w:eastAsia="Times New Roman"/>
          <w:iCs/>
          <w:sz w:val="22"/>
          <w:szCs w:val="22"/>
          <w:lang w:eastAsia="en-AU"/>
        </w:rPr>
        <w:t xml:space="preserve">the </w:t>
      </w:r>
      <w:r w:rsidRPr="00D72161">
        <w:rPr>
          <w:rFonts w:eastAsia="Times New Roman"/>
          <w:iCs/>
          <w:sz w:val="22"/>
          <w:szCs w:val="22"/>
          <w:lang w:eastAsia="en-AU"/>
        </w:rPr>
        <w:t xml:space="preserve">Amendment Determination”) amends the </w:t>
      </w:r>
      <w:r w:rsidRPr="000829FF">
        <w:rPr>
          <w:rFonts w:eastAsia="Times New Roman"/>
          <w:iCs/>
          <w:sz w:val="22"/>
          <w:szCs w:val="22"/>
          <w:lang w:eastAsia="en-AU"/>
        </w:rPr>
        <w:t>Principal</w:t>
      </w:r>
      <w:r w:rsidRPr="00D72161">
        <w:rPr>
          <w:rFonts w:eastAsia="Times New Roman"/>
          <w:iCs/>
          <w:sz w:val="22"/>
          <w:szCs w:val="22"/>
          <w:lang w:eastAsia="en-AU"/>
        </w:rPr>
        <w:t xml:space="preserve"> Determination to </w:t>
      </w:r>
      <w:r w:rsidR="0034636B">
        <w:rPr>
          <w:rFonts w:eastAsia="Times New Roman"/>
          <w:iCs/>
          <w:sz w:val="22"/>
          <w:szCs w:val="22"/>
          <w:lang w:eastAsia="en-AU"/>
        </w:rPr>
        <w:t xml:space="preserve">specify </w:t>
      </w:r>
      <w:r w:rsidRPr="00D72161">
        <w:rPr>
          <w:rFonts w:eastAsia="Times New Roman"/>
          <w:iCs/>
          <w:sz w:val="22"/>
          <w:szCs w:val="22"/>
          <w:lang w:eastAsia="en-AU"/>
        </w:rPr>
        <w:t>update</w:t>
      </w:r>
      <w:r w:rsidR="0034636B">
        <w:rPr>
          <w:rFonts w:eastAsia="Times New Roman"/>
          <w:iCs/>
          <w:sz w:val="22"/>
          <w:szCs w:val="22"/>
          <w:lang w:eastAsia="en-AU"/>
        </w:rPr>
        <w:t>d</w:t>
      </w:r>
      <w:r w:rsidRPr="00D72161">
        <w:rPr>
          <w:rFonts w:eastAsia="Times New Roman"/>
          <w:iCs/>
          <w:sz w:val="22"/>
          <w:szCs w:val="22"/>
          <w:lang w:eastAsia="en-AU"/>
        </w:rPr>
        <w:t xml:space="preserve"> reference</w:t>
      </w:r>
      <w:r w:rsidR="0034636B">
        <w:rPr>
          <w:rFonts w:eastAsia="Times New Roman"/>
          <w:iCs/>
          <w:sz w:val="22"/>
          <w:szCs w:val="22"/>
          <w:lang w:eastAsia="en-AU"/>
        </w:rPr>
        <w:t>s</w:t>
      </w:r>
      <w:r w:rsidRPr="00D72161">
        <w:rPr>
          <w:rFonts w:eastAsia="Times New Roman"/>
          <w:iCs/>
          <w:sz w:val="22"/>
          <w:szCs w:val="22"/>
          <w:lang w:eastAsia="en-AU"/>
        </w:rPr>
        <w:t xml:space="preserve"> to the version</w:t>
      </w:r>
      <w:r w:rsidR="0034636B">
        <w:rPr>
          <w:rFonts w:eastAsia="Times New Roman"/>
          <w:iCs/>
          <w:sz w:val="22"/>
          <w:szCs w:val="22"/>
          <w:lang w:eastAsia="en-AU"/>
        </w:rPr>
        <w:t>s</w:t>
      </w:r>
      <w:r w:rsidRPr="00D72161">
        <w:rPr>
          <w:rFonts w:eastAsia="Times New Roman"/>
          <w:iCs/>
          <w:sz w:val="22"/>
          <w:szCs w:val="22"/>
          <w:lang w:eastAsia="en-AU"/>
        </w:rPr>
        <w:t xml:space="preserve"> of the electronic Common </w:t>
      </w:r>
      <w:r w:rsidRPr="000829FF">
        <w:rPr>
          <w:rFonts w:eastAsia="Times New Roman"/>
          <w:iCs/>
          <w:sz w:val="22"/>
          <w:szCs w:val="22"/>
          <w:lang w:eastAsia="en-AU"/>
        </w:rPr>
        <w:t>Technical</w:t>
      </w:r>
      <w:r w:rsidRPr="00D72161">
        <w:rPr>
          <w:rFonts w:eastAsia="Times New Roman"/>
          <w:iCs/>
          <w:sz w:val="22"/>
          <w:szCs w:val="22"/>
          <w:lang w:eastAsia="en-AU"/>
        </w:rPr>
        <w:t xml:space="preserve"> Document</w:t>
      </w:r>
      <w:r>
        <w:rPr>
          <w:rFonts w:eastAsia="Times New Roman"/>
          <w:iCs/>
          <w:sz w:val="22"/>
          <w:szCs w:val="22"/>
          <w:lang w:eastAsia="en-AU"/>
        </w:rPr>
        <w:t xml:space="preserve"> that must be used when submitting an application for registration of a prescription medicine to the TGA.</w:t>
      </w:r>
    </w:p>
    <w:p w14:paraId="498C436F" w14:textId="2503DD95" w:rsidR="00837EB9" w:rsidRPr="00173CDD" w:rsidRDefault="00837EB9" w:rsidP="000B31F9">
      <w:pPr>
        <w:autoSpaceDE w:val="0"/>
        <w:autoSpaceDN w:val="0"/>
        <w:adjustRightInd w:val="0"/>
        <w:spacing w:after="0" w:line="240" w:lineRule="auto"/>
        <w:rPr>
          <w:rFonts w:eastAsia="Times New Roman"/>
          <w:sz w:val="22"/>
          <w:szCs w:val="22"/>
          <w:highlight w:val="yellow"/>
          <w:lang w:eastAsia="en-AU"/>
        </w:rPr>
      </w:pPr>
      <w:bookmarkStart w:id="3" w:name="_Hlk153349896"/>
    </w:p>
    <w:p w14:paraId="1464BF06" w14:textId="77777777" w:rsidR="00C07687" w:rsidRPr="008244E6" w:rsidRDefault="00C07687" w:rsidP="00BF604E">
      <w:pPr>
        <w:keepNext/>
        <w:autoSpaceDE w:val="0"/>
        <w:autoSpaceDN w:val="0"/>
        <w:adjustRightInd w:val="0"/>
        <w:spacing w:after="0" w:line="240" w:lineRule="auto"/>
        <w:rPr>
          <w:rFonts w:eastAsia="Times New Roman"/>
          <w:b/>
          <w:sz w:val="22"/>
          <w:szCs w:val="22"/>
          <w:lang w:eastAsia="en-AU"/>
        </w:rPr>
      </w:pPr>
      <w:r w:rsidRPr="008244E6">
        <w:rPr>
          <w:rFonts w:eastAsia="Times New Roman"/>
          <w:b/>
          <w:sz w:val="22"/>
          <w:szCs w:val="22"/>
          <w:lang w:eastAsia="en-AU"/>
        </w:rPr>
        <w:t>Background</w:t>
      </w:r>
    </w:p>
    <w:p w14:paraId="3B97E316" w14:textId="77777777" w:rsidR="00E33BC1" w:rsidRDefault="00E33BC1" w:rsidP="00BF604E">
      <w:pPr>
        <w:keepNext/>
        <w:autoSpaceDE w:val="0"/>
        <w:autoSpaceDN w:val="0"/>
        <w:adjustRightInd w:val="0"/>
        <w:spacing w:after="0" w:line="240" w:lineRule="auto"/>
        <w:rPr>
          <w:rFonts w:eastAsia="Times New Roman"/>
          <w:b/>
          <w:sz w:val="22"/>
          <w:szCs w:val="22"/>
          <w:highlight w:val="yellow"/>
          <w:lang w:eastAsia="en-AU"/>
        </w:rPr>
      </w:pPr>
    </w:p>
    <w:p w14:paraId="42AA9113" w14:textId="1FC54157" w:rsidR="002E37C2" w:rsidRDefault="002E37C2" w:rsidP="002E37C2">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The Act requires an application for the inclusion of a therapeutic good in the Register to meet certain preliminary requirements before the Secretary may proceed to evaluation. These requirements include that an application has been made in accordance with the appropriate approved form for the relevant class of therapeutic goods, and that it is accompanied by the necessary kind of information needed to evaluate the application.</w:t>
      </w:r>
    </w:p>
    <w:p w14:paraId="1338B9E1" w14:textId="77777777" w:rsidR="002E37C2" w:rsidRDefault="002E37C2" w:rsidP="002E37C2">
      <w:pPr>
        <w:autoSpaceDE w:val="0"/>
        <w:autoSpaceDN w:val="0"/>
        <w:adjustRightInd w:val="0"/>
        <w:spacing w:after="0" w:line="240" w:lineRule="auto"/>
        <w:rPr>
          <w:rFonts w:eastAsia="Times New Roman"/>
          <w:iCs/>
          <w:sz w:val="22"/>
          <w:szCs w:val="22"/>
          <w:lang w:eastAsia="en-AU"/>
        </w:rPr>
      </w:pPr>
    </w:p>
    <w:p w14:paraId="5951FCE3" w14:textId="14C2E0DA" w:rsidR="002E37C2" w:rsidRDefault="002E37C2" w:rsidP="00D72161">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The requirements are designed to enable the effective management of resources by the Department in the evaluation of therapeutic goods. A full evaluation process represents a considerable investment in, and use of, Commonwealth resources. Consequently, there are considerable efficiencies to be gained in mandating content and form requirements for applications to provide clarity regarding application requirements, to streamline application and evaluation processes, and to prevent delays in evaluating applications.</w:t>
      </w:r>
    </w:p>
    <w:p w14:paraId="00E61E2C" w14:textId="77777777" w:rsidR="002E37C2" w:rsidRDefault="002E37C2" w:rsidP="002E37C2">
      <w:pPr>
        <w:keepNext/>
        <w:autoSpaceDE w:val="0"/>
        <w:autoSpaceDN w:val="0"/>
        <w:adjustRightInd w:val="0"/>
        <w:spacing w:after="0" w:line="240" w:lineRule="auto"/>
        <w:rPr>
          <w:rFonts w:eastAsia="Times New Roman"/>
          <w:iCs/>
          <w:sz w:val="22"/>
          <w:szCs w:val="22"/>
          <w:lang w:eastAsia="en-AU"/>
        </w:rPr>
      </w:pPr>
    </w:p>
    <w:p w14:paraId="37FB906A" w14:textId="49D7C2F4" w:rsidR="002E37C2" w:rsidRDefault="00D80A34" w:rsidP="002E37C2">
      <w:pPr>
        <w:keepNext/>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Relevantly, p</w:t>
      </w:r>
      <w:r w:rsidR="002E37C2">
        <w:rPr>
          <w:rFonts w:eastAsia="Times New Roman"/>
          <w:iCs/>
          <w:sz w:val="22"/>
          <w:szCs w:val="22"/>
          <w:lang w:eastAsia="en-AU"/>
        </w:rPr>
        <w:t>aragraph 23B(2)(d) of the Act provides that an application under section 23 for registration of therapeutic good</w:t>
      </w:r>
      <w:r>
        <w:rPr>
          <w:rFonts w:eastAsia="Times New Roman"/>
          <w:iCs/>
          <w:sz w:val="22"/>
          <w:szCs w:val="22"/>
          <w:lang w:eastAsia="en-AU"/>
        </w:rPr>
        <w:t>s</w:t>
      </w:r>
      <w:r w:rsidR="002E37C2">
        <w:rPr>
          <w:rFonts w:eastAsia="Times New Roman"/>
          <w:iCs/>
          <w:sz w:val="22"/>
          <w:szCs w:val="22"/>
          <w:lang w:eastAsia="en-AU"/>
        </w:rPr>
        <w:t xml:space="preserve"> must</w:t>
      </w:r>
      <w:r>
        <w:rPr>
          <w:rFonts w:eastAsia="Times New Roman"/>
          <w:iCs/>
          <w:sz w:val="22"/>
          <w:szCs w:val="22"/>
          <w:lang w:eastAsia="en-AU"/>
        </w:rPr>
        <w:t xml:space="preserve"> </w:t>
      </w:r>
      <w:r w:rsidR="002E37C2">
        <w:rPr>
          <w:rFonts w:eastAsia="Times New Roman"/>
          <w:iCs/>
          <w:sz w:val="22"/>
          <w:szCs w:val="22"/>
          <w:lang w:eastAsia="en-AU"/>
        </w:rPr>
        <w:t xml:space="preserve">be accompanied by information that is of a kind determined </w:t>
      </w:r>
      <w:r w:rsidR="002E37C2">
        <w:rPr>
          <w:rFonts w:eastAsia="Times New Roman"/>
          <w:iCs/>
          <w:sz w:val="22"/>
          <w:szCs w:val="22"/>
          <w:lang w:eastAsia="en-AU"/>
        </w:rPr>
        <w:lastRenderedPageBreak/>
        <w:t>under subsection (9) for that class of therapeutic goods, and in a form determined under subsection</w:t>
      </w:r>
      <w:r>
        <w:rPr>
          <w:rFonts w:eastAsia="Times New Roman"/>
          <w:iCs/>
          <w:sz w:val="22"/>
          <w:szCs w:val="22"/>
          <w:lang w:eastAsia="en-AU"/>
        </w:rPr>
        <w:t> </w:t>
      </w:r>
      <w:r w:rsidR="002E37C2">
        <w:rPr>
          <w:rFonts w:eastAsia="Times New Roman"/>
          <w:iCs/>
          <w:sz w:val="22"/>
          <w:szCs w:val="22"/>
          <w:lang w:eastAsia="en-AU"/>
        </w:rPr>
        <w:t>(10) for that class of therapeutic goods.</w:t>
      </w:r>
    </w:p>
    <w:p w14:paraId="5605ADFA" w14:textId="77777777" w:rsidR="002E37C2" w:rsidRPr="00D72161" w:rsidRDefault="002E37C2" w:rsidP="002E37C2">
      <w:pPr>
        <w:keepNext/>
        <w:autoSpaceDE w:val="0"/>
        <w:autoSpaceDN w:val="0"/>
        <w:adjustRightInd w:val="0"/>
        <w:spacing w:after="0" w:line="240" w:lineRule="auto"/>
        <w:rPr>
          <w:rFonts w:eastAsia="Times New Roman"/>
          <w:iCs/>
          <w:sz w:val="22"/>
          <w:szCs w:val="22"/>
          <w:lang w:eastAsia="en-AU"/>
        </w:rPr>
      </w:pPr>
    </w:p>
    <w:p w14:paraId="04458CED" w14:textId="05333221" w:rsidR="00497811" w:rsidRPr="008244E6" w:rsidRDefault="008244E6" w:rsidP="00B95BEE">
      <w:pPr>
        <w:widowControl w:val="0"/>
        <w:autoSpaceDE w:val="0"/>
        <w:autoSpaceDN w:val="0"/>
        <w:adjustRightInd w:val="0"/>
        <w:spacing w:after="0" w:line="240" w:lineRule="auto"/>
        <w:rPr>
          <w:rFonts w:eastAsia="Times New Roman"/>
          <w:sz w:val="22"/>
          <w:szCs w:val="22"/>
          <w:lang w:eastAsia="en-AU"/>
        </w:rPr>
      </w:pPr>
      <w:bookmarkStart w:id="4" w:name="_Hlk168468320"/>
      <w:r w:rsidRPr="008244E6">
        <w:rPr>
          <w:rFonts w:eastAsia="Times New Roman"/>
          <w:sz w:val="22"/>
          <w:szCs w:val="22"/>
          <w:lang w:eastAsia="en-AU"/>
        </w:rPr>
        <w:t xml:space="preserve">Classes of therapeutic goods are specified in the </w:t>
      </w:r>
      <w:r w:rsidRPr="008244E6">
        <w:rPr>
          <w:rFonts w:eastAsia="Times New Roman"/>
          <w:i/>
          <w:iCs/>
          <w:sz w:val="22"/>
          <w:szCs w:val="22"/>
          <w:lang w:eastAsia="en-AU"/>
        </w:rPr>
        <w:t xml:space="preserve">Therapeutic Goods (Classes of Therapeutic Goods) Instrument 2018 </w:t>
      </w:r>
      <w:r w:rsidRPr="008244E6">
        <w:rPr>
          <w:rFonts w:eastAsia="Times New Roman"/>
          <w:sz w:val="22"/>
          <w:szCs w:val="22"/>
          <w:lang w:eastAsia="en-AU"/>
        </w:rPr>
        <w:t>(</w:t>
      </w:r>
      <w:r>
        <w:rPr>
          <w:rFonts w:eastAsia="Times New Roman"/>
          <w:sz w:val="22"/>
          <w:szCs w:val="22"/>
          <w:lang w:eastAsia="en-AU"/>
        </w:rPr>
        <w:t>“</w:t>
      </w:r>
      <w:r w:rsidRPr="008244E6">
        <w:rPr>
          <w:rFonts w:eastAsia="Times New Roman"/>
          <w:sz w:val="22"/>
          <w:szCs w:val="22"/>
          <w:lang w:eastAsia="en-AU"/>
        </w:rPr>
        <w:t>the Classes Instrument</w:t>
      </w:r>
      <w:r>
        <w:rPr>
          <w:rFonts w:eastAsia="Times New Roman"/>
          <w:sz w:val="22"/>
          <w:szCs w:val="22"/>
          <w:lang w:eastAsia="en-AU"/>
        </w:rPr>
        <w:t>”</w:t>
      </w:r>
      <w:r w:rsidRPr="008244E6">
        <w:rPr>
          <w:rFonts w:eastAsia="Times New Roman"/>
          <w:sz w:val="22"/>
          <w:szCs w:val="22"/>
          <w:lang w:eastAsia="en-AU"/>
        </w:rPr>
        <w:t xml:space="preserve">), which is made under section 23A of the Act. The Classes Instrument includes the class ‘prescription and other medicines’, </w:t>
      </w:r>
      <w:r w:rsidR="002E37C2">
        <w:rPr>
          <w:rFonts w:eastAsia="Times New Roman"/>
          <w:sz w:val="22"/>
          <w:szCs w:val="22"/>
          <w:lang w:eastAsia="en-AU"/>
        </w:rPr>
        <w:t xml:space="preserve">which is the class of therapeutic goods </w:t>
      </w:r>
      <w:r w:rsidRPr="008244E6">
        <w:rPr>
          <w:rFonts w:eastAsia="Times New Roman"/>
          <w:sz w:val="22"/>
          <w:szCs w:val="22"/>
          <w:lang w:eastAsia="en-AU"/>
        </w:rPr>
        <w:t>to which the Principal Determination applies. Section 4 of the Classes Instrument specifie</w:t>
      </w:r>
      <w:r w:rsidR="00D80A34">
        <w:rPr>
          <w:rFonts w:eastAsia="Times New Roman"/>
          <w:sz w:val="22"/>
          <w:szCs w:val="22"/>
          <w:lang w:eastAsia="en-AU"/>
        </w:rPr>
        <w:t>s</w:t>
      </w:r>
      <w:r w:rsidRPr="008244E6">
        <w:rPr>
          <w:rFonts w:eastAsia="Times New Roman"/>
          <w:sz w:val="22"/>
          <w:szCs w:val="22"/>
          <w:lang w:eastAsia="en-AU"/>
        </w:rPr>
        <w:t xml:space="preserve"> the following kinds of medicines as ‘prescription and other medicines’:</w:t>
      </w:r>
    </w:p>
    <w:p w14:paraId="4A468061" w14:textId="618B67BF" w:rsidR="008244E6" w:rsidRPr="008244E6" w:rsidRDefault="008244E6" w:rsidP="008244E6">
      <w:pPr>
        <w:pStyle w:val="ListParagraph"/>
        <w:widowControl w:val="0"/>
        <w:numPr>
          <w:ilvl w:val="0"/>
          <w:numId w:val="27"/>
        </w:numPr>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prescription and other medicines specified in items 1</w:t>
      </w:r>
      <w:r>
        <w:rPr>
          <w:rFonts w:eastAsia="Times New Roman"/>
          <w:sz w:val="22"/>
          <w:szCs w:val="22"/>
          <w:lang w:eastAsia="en-AU"/>
        </w:rPr>
        <w:t xml:space="preserve"> </w:t>
      </w:r>
      <w:r w:rsidRPr="008244E6">
        <w:rPr>
          <w:rFonts w:eastAsia="Times New Roman"/>
          <w:sz w:val="22"/>
          <w:szCs w:val="22"/>
          <w:lang w:eastAsia="en-AU"/>
        </w:rPr>
        <w:t xml:space="preserve">to 13 of Part 1 of Schedule 10 to the </w:t>
      </w:r>
      <w:r w:rsidRPr="008244E6">
        <w:rPr>
          <w:rFonts w:eastAsia="Times New Roman"/>
          <w:i/>
          <w:iCs/>
          <w:sz w:val="22"/>
          <w:szCs w:val="22"/>
          <w:lang w:eastAsia="en-AU"/>
        </w:rPr>
        <w:t>Therapeutic Goods Regulations 1990</w:t>
      </w:r>
      <w:r w:rsidRPr="008244E6">
        <w:rPr>
          <w:rFonts w:eastAsia="Times New Roman"/>
          <w:sz w:val="22"/>
          <w:szCs w:val="22"/>
          <w:lang w:eastAsia="en-AU"/>
        </w:rPr>
        <w:t>;</w:t>
      </w:r>
    </w:p>
    <w:p w14:paraId="78BFE1A7" w14:textId="771CEE61" w:rsidR="008244E6" w:rsidRPr="008244E6" w:rsidRDefault="008244E6" w:rsidP="008244E6">
      <w:pPr>
        <w:pStyle w:val="ListParagraph"/>
        <w:widowControl w:val="0"/>
        <w:numPr>
          <w:ilvl w:val="0"/>
          <w:numId w:val="27"/>
        </w:numPr>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medicines containing oral nitrates for the treatment of heart disease;</w:t>
      </w:r>
    </w:p>
    <w:p w14:paraId="789B1A93" w14:textId="52BF667A" w:rsidR="008244E6" w:rsidRPr="008244E6" w:rsidRDefault="008244E6" w:rsidP="008244E6">
      <w:pPr>
        <w:pStyle w:val="ListParagraph"/>
        <w:widowControl w:val="0"/>
        <w:numPr>
          <w:ilvl w:val="0"/>
          <w:numId w:val="27"/>
        </w:numPr>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nasal corticosteroids;</w:t>
      </w:r>
    </w:p>
    <w:p w14:paraId="593DE98D" w14:textId="10795EE3" w:rsidR="008244E6" w:rsidRPr="008244E6" w:rsidRDefault="008244E6" w:rsidP="008244E6">
      <w:pPr>
        <w:pStyle w:val="ListParagraph"/>
        <w:widowControl w:val="0"/>
        <w:numPr>
          <w:ilvl w:val="0"/>
          <w:numId w:val="27"/>
        </w:numPr>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metered-dose asthma inhalers; and</w:t>
      </w:r>
    </w:p>
    <w:p w14:paraId="5F9F26B3" w14:textId="79645C48" w:rsidR="008244E6" w:rsidRPr="008244E6" w:rsidRDefault="008244E6" w:rsidP="008244E6">
      <w:pPr>
        <w:pStyle w:val="ListParagraph"/>
        <w:widowControl w:val="0"/>
        <w:numPr>
          <w:ilvl w:val="0"/>
          <w:numId w:val="27"/>
        </w:numPr>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transdermal nicotine patches.</w:t>
      </w:r>
    </w:p>
    <w:p w14:paraId="4D297EDD" w14:textId="77777777" w:rsidR="008244E6" w:rsidRPr="008244E6" w:rsidRDefault="008244E6" w:rsidP="008244E6">
      <w:pPr>
        <w:widowControl w:val="0"/>
        <w:autoSpaceDE w:val="0"/>
        <w:autoSpaceDN w:val="0"/>
        <w:adjustRightInd w:val="0"/>
        <w:spacing w:after="0" w:line="240" w:lineRule="auto"/>
        <w:rPr>
          <w:rFonts w:eastAsia="Times New Roman"/>
          <w:sz w:val="22"/>
          <w:szCs w:val="22"/>
          <w:lang w:eastAsia="en-AU"/>
        </w:rPr>
      </w:pPr>
    </w:p>
    <w:p w14:paraId="365BBC6E" w14:textId="1A352C65" w:rsidR="0049689B" w:rsidRDefault="008244E6" w:rsidP="000B31F9">
      <w:pPr>
        <w:autoSpaceDE w:val="0"/>
        <w:autoSpaceDN w:val="0"/>
        <w:adjustRightInd w:val="0"/>
        <w:spacing w:after="0" w:line="240" w:lineRule="auto"/>
        <w:rPr>
          <w:rFonts w:eastAsia="Times New Roman"/>
          <w:iCs/>
          <w:sz w:val="22"/>
          <w:szCs w:val="22"/>
          <w:lang w:eastAsia="en-AU"/>
        </w:rPr>
      </w:pPr>
      <w:r w:rsidRPr="008244E6">
        <w:rPr>
          <w:rFonts w:eastAsia="Times New Roman"/>
          <w:iCs/>
          <w:sz w:val="22"/>
          <w:szCs w:val="22"/>
          <w:lang w:eastAsia="en-AU"/>
        </w:rPr>
        <w:t xml:space="preserve">The Principal Determination has the effect of determining that the information in an application dossier that accompanies an application for the registration of a medicine </w:t>
      </w:r>
      <w:r w:rsidR="00E8068A">
        <w:rPr>
          <w:rFonts w:eastAsia="Times New Roman"/>
          <w:iCs/>
          <w:sz w:val="22"/>
          <w:szCs w:val="22"/>
          <w:lang w:eastAsia="en-AU"/>
        </w:rPr>
        <w:t xml:space="preserve">specified in Schedule 1 to the Principal </w:t>
      </w:r>
      <w:r w:rsidR="0049689B">
        <w:rPr>
          <w:rFonts w:eastAsia="Times New Roman"/>
          <w:iCs/>
          <w:sz w:val="22"/>
          <w:szCs w:val="22"/>
          <w:lang w:eastAsia="en-AU"/>
        </w:rPr>
        <w:t>Determination</w:t>
      </w:r>
      <w:r w:rsidR="0049689B" w:rsidRPr="008244E6">
        <w:rPr>
          <w:rFonts w:eastAsia="Times New Roman"/>
          <w:iCs/>
          <w:sz w:val="22"/>
          <w:szCs w:val="22"/>
          <w:lang w:eastAsia="en-AU"/>
        </w:rPr>
        <w:t xml:space="preserve"> </w:t>
      </w:r>
      <w:r w:rsidRPr="008244E6">
        <w:rPr>
          <w:rFonts w:eastAsia="Times New Roman"/>
          <w:iCs/>
          <w:sz w:val="22"/>
          <w:szCs w:val="22"/>
          <w:lang w:eastAsia="en-AU"/>
        </w:rPr>
        <w:t>must be in the e</w:t>
      </w:r>
      <w:r w:rsidR="00E8068A">
        <w:rPr>
          <w:rFonts w:eastAsia="Times New Roman"/>
          <w:iCs/>
          <w:sz w:val="22"/>
          <w:szCs w:val="22"/>
          <w:lang w:eastAsia="en-AU"/>
        </w:rPr>
        <w:t xml:space="preserve">lectronic </w:t>
      </w:r>
      <w:r w:rsidRPr="008244E6">
        <w:rPr>
          <w:rFonts w:eastAsia="Times New Roman"/>
          <w:iCs/>
          <w:sz w:val="22"/>
          <w:szCs w:val="22"/>
          <w:lang w:eastAsia="en-AU"/>
        </w:rPr>
        <w:t>C</w:t>
      </w:r>
      <w:r w:rsidR="00E8068A">
        <w:rPr>
          <w:rFonts w:eastAsia="Times New Roman"/>
          <w:iCs/>
          <w:sz w:val="22"/>
          <w:szCs w:val="22"/>
          <w:lang w:eastAsia="en-AU"/>
        </w:rPr>
        <w:t xml:space="preserve">ommon </w:t>
      </w:r>
      <w:r w:rsidRPr="008244E6">
        <w:rPr>
          <w:rFonts w:eastAsia="Times New Roman"/>
          <w:iCs/>
          <w:sz w:val="22"/>
          <w:szCs w:val="22"/>
          <w:lang w:eastAsia="en-AU"/>
        </w:rPr>
        <w:t>T</w:t>
      </w:r>
      <w:r w:rsidR="00E8068A">
        <w:rPr>
          <w:rFonts w:eastAsia="Times New Roman"/>
          <w:iCs/>
          <w:sz w:val="22"/>
          <w:szCs w:val="22"/>
          <w:lang w:eastAsia="en-AU"/>
        </w:rPr>
        <w:t xml:space="preserve">echnical </w:t>
      </w:r>
      <w:r w:rsidRPr="008244E6">
        <w:rPr>
          <w:rFonts w:eastAsia="Times New Roman"/>
          <w:iCs/>
          <w:sz w:val="22"/>
          <w:szCs w:val="22"/>
          <w:lang w:eastAsia="en-AU"/>
        </w:rPr>
        <w:t>D</w:t>
      </w:r>
      <w:r w:rsidR="00E8068A">
        <w:rPr>
          <w:rFonts w:eastAsia="Times New Roman"/>
          <w:iCs/>
          <w:sz w:val="22"/>
          <w:szCs w:val="22"/>
          <w:lang w:eastAsia="en-AU"/>
        </w:rPr>
        <w:t>ocument (eCTD)</w:t>
      </w:r>
      <w:r w:rsidRPr="008244E6">
        <w:rPr>
          <w:rFonts w:eastAsia="Times New Roman"/>
          <w:iCs/>
          <w:sz w:val="22"/>
          <w:szCs w:val="22"/>
          <w:lang w:eastAsia="en-AU"/>
        </w:rPr>
        <w:t xml:space="preserve"> format or, in exceptional circumstances, another format with the prior written agreement of the TGA.</w:t>
      </w:r>
    </w:p>
    <w:p w14:paraId="74585467" w14:textId="77777777" w:rsidR="0049689B" w:rsidRDefault="0049689B" w:rsidP="000B31F9">
      <w:pPr>
        <w:autoSpaceDE w:val="0"/>
        <w:autoSpaceDN w:val="0"/>
        <w:adjustRightInd w:val="0"/>
        <w:spacing w:after="0" w:line="240" w:lineRule="auto"/>
        <w:rPr>
          <w:rFonts w:eastAsia="Times New Roman"/>
          <w:iCs/>
          <w:sz w:val="22"/>
          <w:szCs w:val="22"/>
          <w:lang w:eastAsia="en-AU"/>
        </w:rPr>
      </w:pPr>
    </w:p>
    <w:p w14:paraId="67D28865" w14:textId="04F4EA73" w:rsidR="008244E6" w:rsidRPr="008244E6" w:rsidRDefault="00E8068A" w:rsidP="000B31F9">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 xml:space="preserve">The </w:t>
      </w:r>
      <w:r w:rsidR="008244E6" w:rsidRPr="008244E6">
        <w:rPr>
          <w:rFonts w:eastAsia="Times New Roman"/>
          <w:iCs/>
          <w:sz w:val="22"/>
          <w:szCs w:val="22"/>
          <w:lang w:eastAsia="en-AU"/>
        </w:rPr>
        <w:t>eCTD</w:t>
      </w:r>
      <w:r>
        <w:rPr>
          <w:rFonts w:eastAsia="Times New Roman"/>
          <w:iCs/>
          <w:sz w:val="22"/>
          <w:szCs w:val="22"/>
          <w:lang w:eastAsia="en-AU"/>
        </w:rPr>
        <w:t xml:space="preserve"> format</w:t>
      </w:r>
      <w:r w:rsidR="008244E6" w:rsidRPr="008244E6">
        <w:rPr>
          <w:rFonts w:eastAsia="Times New Roman"/>
          <w:iCs/>
          <w:sz w:val="22"/>
          <w:szCs w:val="22"/>
          <w:lang w:eastAsia="en-AU"/>
        </w:rPr>
        <w:t xml:space="preserve"> is an international standard formatting style published by the Internation</w:t>
      </w:r>
      <w:r>
        <w:rPr>
          <w:rFonts w:eastAsia="Times New Roman"/>
          <w:iCs/>
          <w:sz w:val="22"/>
          <w:szCs w:val="22"/>
          <w:lang w:eastAsia="en-AU"/>
        </w:rPr>
        <w:t>al</w:t>
      </w:r>
      <w:r w:rsidR="008244E6" w:rsidRPr="008244E6">
        <w:rPr>
          <w:rFonts w:eastAsia="Times New Roman"/>
          <w:iCs/>
          <w:sz w:val="22"/>
          <w:szCs w:val="22"/>
          <w:lang w:eastAsia="en-AU"/>
        </w:rPr>
        <w:t xml:space="preserve"> Council for Harmonisation of Technical Requirements for Pharmaceuticals for Human Use. </w:t>
      </w:r>
      <w:r>
        <w:rPr>
          <w:rFonts w:eastAsia="Times New Roman"/>
          <w:iCs/>
          <w:sz w:val="22"/>
          <w:szCs w:val="22"/>
          <w:lang w:eastAsia="en-AU"/>
        </w:rPr>
        <w:t>It</w:t>
      </w:r>
      <w:r w:rsidRPr="008244E6">
        <w:rPr>
          <w:rFonts w:eastAsia="Times New Roman"/>
          <w:iCs/>
          <w:sz w:val="22"/>
          <w:szCs w:val="22"/>
          <w:lang w:eastAsia="en-AU"/>
        </w:rPr>
        <w:t xml:space="preserve"> </w:t>
      </w:r>
      <w:r w:rsidR="008244E6" w:rsidRPr="008244E6">
        <w:rPr>
          <w:rFonts w:eastAsia="Times New Roman"/>
          <w:iCs/>
          <w:sz w:val="22"/>
          <w:szCs w:val="22"/>
          <w:lang w:eastAsia="en-AU"/>
        </w:rPr>
        <w:t>is used by many comparable overseas regulators and provides the means for sponsors of medicines to transfer information to regulators as required</w:t>
      </w:r>
      <w:r>
        <w:rPr>
          <w:rFonts w:eastAsia="Times New Roman"/>
          <w:iCs/>
          <w:sz w:val="22"/>
          <w:szCs w:val="22"/>
          <w:lang w:eastAsia="en-AU"/>
        </w:rPr>
        <w:t xml:space="preserve"> in an efficient manner, without having to prepare a completely different application for different national regulators</w:t>
      </w:r>
      <w:r w:rsidR="008244E6" w:rsidRPr="008244E6">
        <w:rPr>
          <w:rFonts w:eastAsia="Times New Roman"/>
          <w:iCs/>
          <w:sz w:val="22"/>
          <w:szCs w:val="22"/>
          <w:lang w:eastAsia="en-AU"/>
        </w:rPr>
        <w:t>.</w:t>
      </w:r>
      <w:bookmarkEnd w:id="4"/>
      <w:r>
        <w:rPr>
          <w:rFonts w:eastAsia="Times New Roman"/>
          <w:iCs/>
          <w:sz w:val="22"/>
          <w:szCs w:val="22"/>
          <w:lang w:eastAsia="en-AU"/>
        </w:rPr>
        <w:t xml:space="preserve"> Only </w:t>
      </w:r>
      <w:r w:rsidR="0049689B">
        <w:rPr>
          <w:rFonts w:eastAsia="Times New Roman"/>
          <w:iCs/>
          <w:sz w:val="22"/>
          <w:szCs w:val="22"/>
          <w:lang w:eastAsia="en-AU"/>
        </w:rPr>
        <w:t>m</w:t>
      </w:r>
      <w:r>
        <w:rPr>
          <w:rFonts w:eastAsia="Times New Roman"/>
          <w:iCs/>
          <w:sz w:val="22"/>
          <w:szCs w:val="22"/>
          <w:lang w:eastAsia="en-AU"/>
        </w:rPr>
        <w:t xml:space="preserve">odule 1 of an application dossier that is in the eCTD format needs to be specific to Australian requirements as set out in the </w:t>
      </w:r>
      <w:r>
        <w:rPr>
          <w:rFonts w:eastAsia="Times New Roman"/>
          <w:i/>
          <w:sz w:val="22"/>
          <w:szCs w:val="22"/>
          <w:lang w:eastAsia="en-AU"/>
        </w:rPr>
        <w:t>eCTD AU Module</w:t>
      </w:r>
      <w:r w:rsidR="009C5C62">
        <w:rPr>
          <w:rFonts w:eastAsia="Times New Roman"/>
          <w:i/>
          <w:sz w:val="22"/>
          <w:szCs w:val="22"/>
          <w:lang w:eastAsia="en-AU"/>
        </w:rPr>
        <w:t> </w:t>
      </w:r>
      <w:r>
        <w:rPr>
          <w:rFonts w:eastAsia="Times New Roman"/>
          <w:i/>
          <w:sz w:val="22"/>
          <w:szCs w:val="22"/>
          <w:lang w:eastAsia="en-AU"/>
        </w:rPr>
        <w:t>1 and regional information</w:t>
      </w:r>
      <w:r>
        <w:rPr>
          <w:rFonts w:eastAsia="Times New Roman"/>
          <w:iCs/>
          <w:sz w:val="22"/>
          <w:szCs w:val="22"/>
          <w:lang w:eastAsia="en-AU"/>
        </w:rPr>
        <w:t>.</w:t>
      </w:r>
    </w:p>
    <w:p w14:paraId="0A6AB8EA" w14:textId="77777777" w:rsidR="008244E6" w:rsidRPr="008244E6" w:rsidRDefault="008244E6" w:rsidP="000B31F9">
      <w:pPr>
        <w:autoSpaceDE w:val="0"/>
        <w:autoSpaceDN w:val="0"/>
        <w:adjustRightInd w:val="0"/>
        <w:spacing w:after="0" w:line="240" w:lineRule="auto"/>
        <w:rPr>
          <w:rFonts w:eastAsia="Times New Roman"/>
          <w:bCs/>
          <w:sz w:val="22"/>
          <w:szCs w:val="22"/>
          <w:lang w:eastAsia="en-AU"/>
        </w:rPr>
      </w:pPr>
    </w:p>
    <w:p w14:paraId="5B4842BD" w14:textId="60FF77D0" w:rsidR="00E21CA7" w:rsidRPr="008244E6" w:rsidRDefault="00EE08CB" w:rsidP="00BF604E">
      <w:pPr>
        <w:keepNext/>
        <w:autoSpaceDE w:val="0"/>
        <w:autoSpaceDN w:val="0"/>
        <w:adjustRightInd w:val="0"/>
        <w:spacing w:after="0" w:line="240" w:lineRule="auto"/>
        <w:rPr>
          <w:rFonts w:eastAsia="Times New Roman"/>
          <w:b/>
          <w:sz w:val="22"/>
          <w:szCs w:val="22"/>
          <w:lang w:eastAsia="en-AU"/>
        </w:rPr>
      </w:pPr>
      <w:r w:rsidRPr="008244E6">
        <w:rPr>
          <w:rFonts w:eastAsia="Times New Roman"/>
          <w:b/>
          <w:sz w:val="22"/>
          <w:szCs w:val="22"/>
          <w:lang w:eastAsia="en-AU"/>
        </w:rPr>
        <w:t>P</w:t>
      </w:r>
      <w:r w:rsidR="00E21CA7" w:rsidRPr="008244E6">
        <w:rPr>
          <w:rFonts w:eastAsia="Times New Roman"/>
          <w:b/>
          <w:sz w:val="22"/>
          <w:szCs w:val="22"/>
          <w:lang w:eastAsia="en-AU"/>
        </w:rPr>
        <w:t>urpose</w:t>
      </w:r>
    </w:p>
    <w:p w14:paraId="139FABB8" w14:textId="77777777" w:rsidR="008244E6" w:rsidRPr="008244E6" w:rsidRDefault="008244E6" w:rsidP="00DC0323">
      <w:pPr>
        <w:autoSpaceDE w:val="0"/>
        <w:autoSpaceDN w:val="0"/>
        <w:adjustRightInd w:val="0"/>
        <w:spacing w:after="0" w:line="240" w:lineRule="auto"/>
        <w:rPr>
          <w:rFonts w:eastAsia="Times New Roman"/>
          <w:sz w:val="22"/>
          <w:szCs w:val="22"/>
          <w:lang w:eastAsia="en-AU"/>
        </w:rPr>
      </w:pPr>
      <w:bookmarkStart w:id="5" w:name="_Hlk168468979"/>
    </w:p>
    <w:p w14:paraId="79FF8032" w14:textId="42D2E364" w:rsidR="008244E6" w:rsidRPr="000626DD" w:rsidRDefault="00E8068A" w:rsidP="008244E6">
      <w:pPr>
        <w:widowControl w:val="0"/>
        <w:autoSpaceDE w:val="0"/>
        <w:autoSpaceDN w:val="0"/>
        <w:adjustRightInd w:val="0"/>
        <w:spacing w:after="0" w:line="240" w:lineRule="auto"/>
        <w:rPr>
          <w:rFonts w:eastAsia="Times New Roman"/>
          <w:iCs/>
          <w:sz w:val="22"/>
          <w:szCs w:val="22"/>
          <w:lang w:eastAsia="en-AU"/>
        </w:rPr>
      </w:pPr>
      <w:r>
        <w:rPr>
          <w:rFonts w:eastAsia="Times New Roman"/>
          <w:sz w:val="22"/>
          <w:szCs w:val="22"/>
          <w:lang w:eastAsia="en-AU"/>
        </w:rPr>
        <w:t xml:space="preserve">The </w:t>
      </w:r>
      <w:r w:rsidRPr="008244E6">
        <w:rPr>
          <w:rFonts w:eastAsia="Times New Roman"/>
          <w:iCs/>
          <w:sz w:val="22"/>
          <w:szCs w:val="22"/>
          <w:lang w:eastAsia="en-AU"/>
        </w:rPr>
        <w:t>Internation</w:t>
      </w:r>
      <w:r>
        <w:rPr>
          <w:rFonts w:eastAsia="Times New Roman"/>
          <w:iCs/>
          <w:sz w:val="22"/>
          <w:szCs w:val="22"/>
          <w:lang w:eastAsia="en-AU"/>
        </w:rPr>
        <w:t>al</w:t>
      </w:r>
      <w:r w:rsidRPr="008244E6">
        <w:rPr>
          <w:rFonts w:eastAsia="Times New Roman"/>
          <w:iCs/>
          <w:sz w:val="22"/>
          <w:szCs w:val="22"/>
          <w:lang w:eastAsia="en-AU"/>
        </w:rPr>
        <w:t xml:space="preserve"> Council for Harmonisation of Technical Requirements for Pharmaceuticals for Human Use</w:t>
      </w:r>
      <w:r w:rsidR="000626DD">
        <w:rPr>
          <w:rFonts w:eastAsia="Times New Roman"/>
          <w:iCs/>
          <w:sz w:val="22"/>
          <w:szCs w:val="22"/>
          <w:lang w:eastAsia="en-AU"/>
        </w:rPr>
        <w:t xml:space="preserve"> has published an updated version of the eCTD format – version 3.2.2. Further, the most recent version of the </w:t>
      </w:r>
      <w:r w:rsidR="000626DD">
        <w:rPr>
          <w:rFonts w:eastAsia="Times New Roman"/>
          <w:i/>
          <w:sz w:val="22"/>
          <w:szCs w:val="22"/>
          <w:lang w:eastAsia="en-AU"/>
        </w:rPr>
        <w:t xml:space="preserve">eCTD AU </w:t>
      </w:r>
      <w:r w:rsidR="0049689B">
        <w:rPr>
          <w:rFonts w:eastAsia="Times New Roman"/>
          <w:i/>
          <w:sz w:val="22"/>
          <w:szCs w:val="22"/>
          <w:lang w:eastAsia="en-AU"/>
        </w:rPr>
        <w:t>m</w:t>
      </w:r>
      <w:r w:rsidR="000626DD">
        <w:rPr>
          <w:rFonts w:eastAsia="Times New Roman"/>
          <w:i/>
          <w:sz w:val="22"/>
          <w:szCs w:val="22"/>
          <w:lang w:eastAsia="en-AU"/>
        </w:rPr>
        <w:t>odule 1 and regional information</w:t>
      </w:r>
      <w:r w:rsidR="000626DD">
        <w:rPr>
          <w:rFonts w:eastAsia="Times New Roman"/>
          <w:iCs/>
          <w:sz w:val="22"/>
          <w:szCs w:val="22"/>
          <w:lang w:eastAsia="en-AU"/>
        </w:rPr>
        <w:t xml:space="preserve"> that the TGA has published is version 3.2.</w:t>
      </w:r>
    </w:p>
    <w:p w14:paraId="59E60688" w14:textId="77777777" w:rsidR="008244E6" w:rsidRPr="008244E6" w:rsidRDefault="008244E6" w:rsidP="008244E6">
      <w:pPr>
        <w:widowControl w:val="0"/>
        <w:autoSpaceDE w:val="0"/>
        <w:autoSpaceDN w:val="0"/>
        <w:adjustRightInd w:val="0"/>
        <w:spacing w:after="0" w:line="240" w:lineRule="auto"/>
        <w:rPr>
          <w:rFonts w:eastAsia="Times New Roman"/>
          <w:sz w:val="22"/>
          <w:szCs w:val="22"/>
          <w:lang w:eastAsia="en-AU"/>
        </w:rPr>
      </w:pPr>
    </w:p>
    <w:p w14:paraId="5469CD8D" w14:textId="2F6A5436" w:rsidR="008244E6" w:rsidRPr="008244E6" w:rsidRDefault="008244E6" w:rsidP="008244E6">
      <w:pPr>
        <w:widowControl w:val="0"/>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The Amendment Determination</w:t>
      </w:r>
      <w:r w:rsidRPr="008244E6">
        <w:rPr>
          <w:rFonts w:eastAsia="Times New Roman"/>
          <w:i/>
          <w:iCs/>
          <w:sz w:val="22"/>
          <w:szCs w:val="22"/>
          <w:lang w:eastAsia="en-AU"/>
        </w:rPr>
        <w:t xml:space="preserve">, </w:t>
      </w:r>
      <w:r w:rsidRPr="008244E6">
        <w:rPr>
          <w:rFonts w:eastAsia="Times New Roman"/>
          <w:sz w:val="22"/>
          <w:szCs w:val="22"/>
          <w:lang w:eastAsia="en-AU"/>
        </w:rPr>
        <w:t xml:space="preserve">which commences on 1 April 2025, </w:t>
      </w:r>
      <w:r w:rsidR="000626DD">
        <w:rPr>
          <w:rFonts w:eastAsia="Times New Roman"/>
          <w:sz w:val="22"/>
          <w:szCs w:val="22"/>
          <w:lang w:eastAsia="en-AU"/>
        </w:rPr>
        <w:t>replaces</w:t>
      </w:r>
      <w:r w:rsidRPr="008244E6">
        <w:rPr>
          <w:rFonts w:eastAsia="Times New Roman"/>
          <w:sz w:val="22"/>
          <w:szCs w:val="22"/>
          <w:lang w:eastAsia="en-AU"/>
        </w:rPr>
        <w:t xml:space="preserve"> the definition of eCTD </w:t>
      </w:r>
      <w:r w:rsidR="000626DD">
        <w:rPr>
          <w:rFonts w:eastAsia="Times New Roman"/>
          <w:sz w:val="22"/>
          <w:szCs w:val="22"/>
          <w:lang w:eastAsia="en-AU"/>
        </w:rPr>
        <w:t>in</w:t>
      </w:r>
      <w:r w:rsidR="000626DD" w:rsidRPr="008244E6">
        <w:rPr>
          <w:rFonts w:eastAsia="Times New Roman"/>
          <w:sz w:val="22"/>
          <w:szCs w:val="22"/>
          <w:lang w:eastAsia="en-AU"/>
        </w:rPr>
        <w:t xml:space="preserve"> </w:t>
      </w:r>
      <w:r w:rsidRPr="008244E6">
        <w:rPr>
          <w:rFonts w:eastAsia="Times New Roman"/>
          <w:sz w:val="22"/>
          <w:szCs w:val="22"/>
          <w:lang w:eastAsia="en-AU"/>
        </w:rPr>
        <w:t xml:space="preserve">section 4 of the Principal Determination to </w:t>
      </w:r>
      <w:r w:rsidR="0049689B">
        <w:rPr>
          <w:rFonts w:eastAsia="Times New Roman"/>
          <w:sz w:val="22"/>
          <w:szCs w:val="22"/>
          <w:lang w:eastAsia="en-AU"/>
        </w:rPr>
        <w:t xml:space="preserve">specify </w:t>
      </w:r>
      <w:r w:rsidR="000626DD">
        <w:rPr>
          <w:rFonts w:eastAsia="Times New Roman"/>
          <w:sz w:val="22"/>
          <w:szCs w:val="22"/>
          <w:lang w:eastAsia="en-AU"/>
        </w:rPr>
        <w:t xml:space="preserve">updated version numbers </w:t>
      </w:r>
      <w:r w:rsidR="0049689B">
        <w:rPr>
          <w:rFonts w:eastAsia="Times New Roman"/>
          <w:sz w:val="22"/>
          <w:szCs w:val="22"/>
          <w:lang w:eastAsia="en-AU"/>
        </w:rPr>
        <w:t xml:space="preserve">of the eCTD format </w:t>
      </w:r>
      <w:r w:rsidR="000626DD">
        <w:rPr>
          <w:rFonts w:eastAsia="Times New Roman"/>
          <w:sz w:val="22"/>
          <w:szCs w:val="22"/>
          <w:lang w:eastAsia="en-AU"/>
        </w:rPr>
        <w:t xml:space="preserve">that applicants are required to comply with for all modules of an application dossier. The effect of this is that applicants will need to comply with version 3.2. of the </w:t>
      </w:r>
      <w:r w:rsidR="000626DD" w:rsidRPr="00357063">
        <w:rPr>
          <w:i/>
          <w:iCs/>
        </w:rPr>
        <w:t xml:space="preserve">eCTD AU </w:t>
      </w:r>
      <w:r w:rsidR="0049689B">
        <w:rPr>
          <w:i/>
          <w:iCs/>
        </w:rPr>
        <w:t>m</w:t>
      </w:r>
      <w:r w:rsidR="0049689B" w:rsidRPr="00357063">
        <w:rPr>
          <w:i/>
          <w:iCs/>
        </w:rPr>
        <w:t xml:space="preserve">odule </w:t>
      </w:r>
      <w:r w:rsidR="000626DD" w:rsidRPr="00357063">
        <w:rPr>
          <w:i/>
          <w:iCs/>
        </w:rPr>
        <w:t>1 and regional information</w:t>
      </w:r>
      <w:r w:rsidR="000626DD">
        <w:rPr>
          <w:rFonts w:eastAsia="Times New Roman"/>
          <w:sz w:val="22"/>
          <w:szCs w:val="22"/>
          <w:lang w:eastAsia="en-AU"/>
        </w:rPr>
        <w:t xml:space="preserve"> for Module 1, and version 3.2.2 of the ICH </w:t>
      </w:r>
      <w:r w:rsidR="000626DD" w:rsidRPr="00565D57">
        <w:rPr>
          <w:rFonts w:eastAsia="Times New Roman"/>
          <w:i/>
          <w:iCs/>
          <w:sz w:val="22"/>
          <w:szCs w:val="22"/>
          <w:lang w:eastAsia="en-AU"/>
        </w:rPr>
        <w:t xml:space="preserve">eCTD </w:t>
      </w:r>
      <w:r w:rsidR="00AA20CE" w:rsidRPr="00565D57">
        <w:rPr>
          <w:rFonts w:eastAsia="Times New Roman"/>
          <w:i/>
          <w:iCs/>
          <w:sz w:val="22"/>
          <w:szCs w:val="22"/>
          <w:lang w:eastAsia="en-AU"/>
        </w:rPr>
        <w:t>Specification</w:t>
      </w:r>
      <w:r w:rsidR="00AA20CE">
        <w:rPr>
          <w:rFonts w:eastAsia="Times New Roman"/>
          <w:sz w:val="22"/>
          <w:szCs w:val="22"/>
          <w:lang w:eastAsia="en-AU"/>
        </w:rPr>
        <w:t xml:space="preserve"> </w:t>
      </w:r>
      <w:r w:rsidR="000626DD">
        <w:rPr>
          <w:rFonts w:eastAsia="Times New Roman"/>
          <w:sz w:val="22"/>
          <w:szCs w:val="22"/>
          <w:lang w:eastAsia="en-AU"/>
        </w:rPr>
        <w:t xml:space="preserve">for the rest of their application dossier. The purpose of this is to create international harmonisation and align Australian requirements with </w:t>
      </w:r>
      <w:r w:rsidR="0049689B">
        <w:rPr>
          <w:rFonts w:eastAsia="Times New Roman"/>
          <w:sz w:val="22"/>
          <w:szCs w:val="22"/>
          <w:lang w:eastAsia="en-AU"/>
        </w:rPr>
        <w:t xml:space="preserve">more </w:t>
      </w:r>
      <w:r w:rsidR="000626DD">
        <w:rPr>
          <w:rFonts w:eastAsia="Times New Roman"/>
          <w:sz w:val="22"/>
          <w:szCs w:val="22"/>
          <w:lang w:eastAsia="en-AU"/>
        </w:rPr>
        <w:t>recent international requirements, to reduce the regulatory burden on applicants.</w:t>
      </w:r>
    </w:p>
    <w:p w14:paraId="57614DBD" w14:textId="77777777" w:rsidR="008244E6" w:rsidRPr="008244E6" w:rsidRDefault="008244E6" w:rsidP="008244E6">
      <w:pPr>
        <w:widowControl w:val="0"/>
        <w:autoSpaceDE w:val="0"/>
        <w:autoSpaceDN w:val="0"/>
        <w:adjustRightInd w:val="0"/>
        <w:spacing w:after="0" w:line="240" w:lineRule="auto"/>
        <w:rPr>
          <w:rFonts w:eastAsia="Times New Roman"/>
          <w:sz w:val="22"/>
          <w:szCs w:val="22"/>
          <w:lang w:eastAsia="en-AU"/>
        </w:rPr>
      </w:pPr>
    </w:p>
    <w:p w14:paraId="390065A1" w14:textId="1D2D7024" w:rsidR="00A46536" w:rsidRPr="008244E6" w:rsidRDefault="008244E6" w:rsidP="008244E6">
      <w:pPr>
        <w:widowControl w:val="0"/>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 xml:space="preserve">The Amendment Determination also includes </w:t>
      </w:r>
      <w:r w:rsidR="000626DD">
        <w:rPr>
          <w:rFonts w:eastAsia="Times New Roman"/>
          <w:sz w:val="22"/>
          <w:szCs w:val="22"/>
          <w:lang w:eastAsia="en-AU"/>
        </w:rPr>
        <w:t>a</w:t>
      </w:r>
      <w:r w:rsidRPr="008244E6">
        <w:rPr>
          <w:rFonts w:eastAsia="Times New Roman"/>
          <w:sz w:val="22"/>
          <w:szCs w:val="22"/>
          <w:lang w:eastAsia="en-AU"/>
        </w:rPr>
        <w:t xml:space="preserve"> transitional arrangement</w:t>
      </w:r>
      <w:r w:rsidR="000626DD">
        <w:rPr>
          <w:rFonts w:eastAsia="Times New Roman"/>
          <w:sz w:val="22"/>
          <w:szCs w:val="22"/>
          <w:lang w:eastAsia="en-AU"/>
        </w:rPr>
        <w:t xml:space="preserve"> allowing for a 6</w:t>
      </w:r>
      <w:r w:rsidR="00657A58">
        <w:rPr>
          <w:rFonts w:eastAsia="Times New Roman"/>
          <w:sz w:val="22"/>
          <w:szCs w:val="22"/>
          <w:lang w:eastAsia="en-AU"/>
        </w:rPr>
        <w:t>-</w:t>
      </w:r>
      <w:r w:rsidR="000626DD">
        <w:rPr>
          <w:rFonts w:eastAsia="Times New Roman"/>
          <w:sz w:val="22"/>
          <w:szCs w:val="22"/>
          <w:lang w:eastAsia="en-AU"/>
        </w:rPr>
        <w:t>month transition period to comply with the updated eCTD requirements. U</w:t>
      </w:r>
      <w:r w:rsidRPr="008244E6">
        <w:rPr>
          <w:rFonts w:eastAsia="Times New Roman"/>
          <w:sz w:val="22"/>
          <w:szCs w:val="22"/>
          <w:lang w:eastAsia="en-AU"/>
        </w:rPr>
        <w:t xml:space="preserve">nder </w:t>
      </w:r>
      <w:r w:rsidR="000626DD">
        <w:rPr>
          <w:rFonts w:eastAsia="Times New Roman"/>
          <w:sz w:val="22"/>
          <w:szCs w:val="22"/>
          <w:lang w:eastAsia="en-AU"/>
        </w:rPr>
        <w:t xml:space="preserve">new </w:t>
      </w:r>
      <w:r w:rsidRPr="008244E6">
        <w:rPr>
          <w:rFonts w:eastAsia="Times New Roman"/>
          <w:sz w:val="22"/>
          <w:szCs w:val="22"/>
          <w:lang w:eastAsia="en-AU"/>
        </w:rPr>
        <w:t>section 7</w:t>
      </w:r>
      <w:r w:rsidR="000626DD">
        <w:rPr>
          <w:rFonts w:eastAsia="Times New Roman"/>
          <w:sz w:val="22"/>
          <w:szCs w:val="22"/>
          <w:lang w:eastAsia="en-AU"/>
        </w:rPr>
        <w:t>,</w:t>
      </w:r>
      <w:r w:rsidRPr="008244E6">
        <w:rPr>
          <w:rFonts w:eastAsia="Times New Roman"/>
          <w:sz w:val="22"/>
          <w:szCs w:val="22"/>
          <w:lang w:eastAsia="en-AU"/>
        </w:rPr>
        <w:t xml:space="preserve"> </w:t>
      </w:r>
      <w:r w:rsidR="000626DD">
        <w:rPr>
          <w:rFonts w:eastAsia="Times New Roman"/>
          <w:sz w:val="22"/>
          <w:szCs w:val="22"/>
          <w:lang w:eastAsia="en-AU"/>
        </w:rPr>
        <w:t xml:space="preserve">applications made before 1 October 2025 can continue to comply with the previous version of </w:t>
      </w:r>
      <w:r w:rsidR="0049689B">
        <w:rPr>
          <w:rFonts w:eastAsia="Times New Roman"/>
          <w:sz w:val="22"/>
          <w:szCs w:val="22"/>
          <w:lang w:eastAsia="en-AU"/>
        </w:rPr>
        <w:t xml:space="preserve">the </w:t>
      </w:r>
      <w:r w:rsidR="000626DD">
        <w:rPr>
          <w:rFonts w:eastAsia="Times New Roman"/>
          <w:sz w:val="22"/>
          <w:szCs w:val="22"/>
          <w:lang w:eastAsia="en-AU"/>
        </w:rPr>
        <w:t>eCTD. However, all applications made from 1 October 2025 will need to comply with the updated versions.</w:t>
      </w:r>
    </w:p>
    <w:bookmarkEnd w:id="0"/>
    <w:bookmarkEnd w:id="3"/>
    <w:bookmarkEnd w:id="5"/>
    <w:p w14:paraId="60B8A841" w14:textId="77777777" w:rsidR="00D818D9" w:rsidRDefault="00D818D9" w:rsidP="009C5C62">
      <w:pPr>
        <w:autoSpaceDE w:val="0"/>
        <w:autoSpaceDN w:val="0"/>
        <w:adjustRightInd w:val="0"/>
        <w:spacing w:after="0" w:line="240" w:lineRule="auto"/>
        <w:rPr>
          <w:rFonts w:eastAsia="Times New Roman"/>
          <w:bCs/>
          <w:sz w:val="22"/>
          <w:szCs w:val="22"/>
          <w:lang w:eastAsia="en-AU"/>
        </w:rPr>
      </w:pPr>
    </w:p>
    <w:p w14:paraId="4434455D" w14:textId="77777777" w:rsidR="009C5C62" w:rsidRPr="007C6AAF" w:rsidRDefault="009C5C62" w:rsidP="00827A5C">
      <w:pPr>
        <w:keepNext/>
        <w:spacing w:after="0" w:line="240" w:lineRule="auto"/>
        <w:rPr>
          <w:b/>
          <w:bCs/>
          <w:sz w:val="22"/>
          <w:szCs w:val="22"/>
        </w:rPr>
      </w:pPr>
      <w:r w:rsidRPr="007C6AAF">
        <w:rPr>
          <w:b/>
          <w:bCs/>
          <w:sz w:val="22"/>
          <w:szCs w:val="22"/>
        </w:rPr>
        <w:t>Incorporation by reference</w:t>
      </w:r>
    </w:p>
    <w:p w14:paraId="2455D0A9" w14:textId="77777777" w:rsidR="009C5C62" w:rsidRPr="007C6AAF" w:rsidRDefault="009C5C62" w:rsidP="00827A5C">
      <w:pPr>
        <w:keepNext/>
        <w:spacing w:after="0" w:line="240" w:lineRule="auto"/>
        <w:rPr>
          <w:b/>
          <w:sz w:val="22"/>
          <w:szCs w:val="22"/>
        </w:rPr>
      </w:pPr>
    </w:p>
    <w:p w14:paraId="38C0EA0B" w14:textId="77777777" w:rsidR="009C5C62" w:rsidRPr="009C5C62" w:rsidRDefault="009C5C62" w:rsidP="009C5C62">
      <w:pPr>
        <w:spacing w:after="0" w:line="240" w:lineRule="auto"/>
        <w:rPr>
          <w:bCs/>
          <w:iCs/>
          <w:sz w:val="22"/>
          <w:szCs w:val="22"/>
        </w:rPr>
      </w:pPr>
      <w:r w:rsidRPr="009C5C62">
        <w:rPr>
          <w:bCs/>
          <w:iCs/>
          <w:sz w:val="22"/>
          <w:szCs w:val="22"/>
        </w:rPr>
        <w:t>The Amendment Determination incorporates by reference the:</w:t>
      </w:r>
    </w:p>
    <w:p w14:paraId="7F477B8F" w14:textId="7DE6E712" w:rsidR="009C5C62" w:rsidRPr="00827A5C" w:rsidRDefault="009C5C62" w:rsidP="009C5C62">
      <w:pPr>
        <w:pStyle w:val="ListParagraph"/>
        <w:numPr>
          <w:ilvl w:val="0"/>
          <w:numId w:val="29"/>
        </w:numPr>
        <w:spacing w:after="0" w:line="240" w:lineRule="auto"/>
        <w:rPr>
          <w:bCs/>
          <w:sz w:val="22"/>
          <w:szCs w:val="22"/>
        </w:rPr>
      </w:pPr>
      <w:r w:rsidRPr="00827A5C">
        <w:rPr>
          <w:i/>
          <w:iCs/>
          <w:sz w:val="22"/>
          <w:szCs w:val="22"/>
        </w:rPr>
        <w:t xml:space="preserve">eCTD AU </w:t>
      </w:r>
      <w:r w:rsidR="0049689B">
        <w:rPr>
          <w:i/>
          <w:iCs/>
          <w:sz w:val="22"/>
          <w:szCs w:val="22"/>
        </w:rPr>
        <w:t>m</w:t>
      </w:r>
      <w:r w:rsidRPr="00827A5C">
        <w:rPr>
          <w:i/>
          <w:iCs/>
          <w:sz w:val="22"/>
          <w:szCs w:val="22"/>
        </w:rPr>
        <w:t>odule 1 and regional information</w:t>
      </w:r>
      <w:r w:rsidRPr="00827A5C">
        <w:rPr>
          <w:sz w:val="22"/>
          <w:szCs w:val="22"/>
        </w:rPr>
        <w:t xml:space="preserve"> v3.2</w:t>
      </w:r>
      <w:r w:rsidRPr="00827A5C">
        <w:rPr>
          <w:iCs/>
          <w:sz w:val="22"/>
          <w:szCs w:val="22"/>
        </w:rPr>
        <w:t xml:space="preserve">, which </w:t>
      </w:r>
      <w:r w:rsidRPr="009C5C62">
        <w:rPr>
          <w:iCs/>
          <w:sz w:val="22"/>
          <w:szCs w:val="22"/>
        </w:rPr>
        <w:t>is</w:t>
      </w:r>
      <w:r w:rsidRPr="00827A5C">
        <w:rPr>
          <w:iCs/>
          <w:sz w:val="22"/>
          <w:szCs w:val="22"/>
        </w:rPr>
        <w:t xml:space="preserve"> published by the </w:t>
      </w:r>
      <w:r w:rsidRPr="009C5C62">
        <w:rPr>
          <w:color w:val="000000"/>
          <w:sz w:val="22"/>
          <w:szCs w:val="22"/>
        </w:rPr>
        <w:t>TGA and available for free on the TGA website (</w:t>
      </w:r>
      <w:r w:rsidRPr="00827A5C">
        <w:rPr>
          <w:sz w:val="22"/>
          <w:szCs w:val="22"/>
        </w:rPr>
        <w:t>at www.tga.gov.au)</w:t>
      </w:r>
      <w:r w:rsidRPr="009C5C62">
        <w:rPr>
          <w:color w:val="000000"/>
          <w:sz w:val="22"/>
          <w:szCs w:val="22"/>
        </w:rPr>
        <w:t>; and</w:t>
      </w:r>
    </w:p>
    <w:p w14:paraId="2C438681" w14:textId="7333C45B" w:rsidR="009C5C62" w:rsidRPr="00827A5C" w:rsidRDefault="009C5C62" w:rsidP="009C5C62">
      <w:pPr>
        <w:pStyle w:val="ListParagraph"/>
        <w:numPr>
          <w:ilvl w:val="0"/>
          <w:numId w:val="29"/>
        </w:numPr>
        <w:spacing w:after="0" w:line="240" w:lineRule="auto"/>
        <w:rPr>
          <w:bCs/>
          <w:sz w:val="22"/>
          <w:szCs w:val="22"/>
        </w:rPr>
      </w:pPr>
      <w:r w:rsidRPr="00827A5C">
        <w:rPr>
          <w:sz w:val="22"/>
          <w:szCs w:val="22"/>
        </w:rPr>
        <w:lastRenderedPageBreak/>
        <w:t xml:space="preserve">ICH </w:t>
      </w:r>
      <w:r w:rsidRPr="00565D57">
        <w:rPr>
          <w:i/>
          <w:iCs/>
          <w:sz w:val="22"/>
          <w:szCs w:val="22"/>
        </w:rPr>
        <w:t xml:space="preserve">eCTD </w:t>
      </w:r>
      <w:r w:rsidR="00AA20CE" w:rsidRPr="00565D57">
        <w:rPr>
          <w:i/>
          <w:iCs/>
          <w:sz w:val="22"/>
          <w:szCs w:val="22"/>
        </w:rPr>
        <w:t>Specification</w:t>
      </w:r>
      <w:r w:rsidR="00AA20CE">
        <w:rPr>
          <w:sz w:val="22"/>
          <w:szCs w:val="22"/>
        </w:rPr>
        <w:t xml:space="preserve"> </w:t>
      </w:r>
      <w:r w:rsidRPr="00827A5C">
        <w:rPr>
          <w:sz w:val="22"/>
          <w:szCs w:val="22"/>
        </w:rPr>
        <w:t>v3.2.2, which is published by the International Council for Harmonisation of Technical Requirements for Pharmaceuticals for Human Use and available for free on the ICH website (www.ich.org)</w:t>
      </w:r>
      <w:r w:rsidRPr="00827A5C">
        <w:rPr>
          <w:color w:val="000000"/>
          <w:sz w:val="22"/>
          <w:szCs w:val="22"/>
        </w:rPr>
        <w:t>.</w:t>
      </w:r>
    </w:p>
    <w:p w14:paraId="175FA05D" w14:textId="77777777" w:rsidR="006B74AC" w:rsidRDefault="006B74AC" w:rsidP="00827A5C">
      <w:pPr>
        <w:spacing w:after="0" w:line="240" w:lineRule="auto"/>
        <w:rPr>
          <w:iCs/>
          <w:sz w:val="22"/>
          <w:szCs w:val="22"/>
        </w:rPr>
      </w:pPr>
    </w:p>
    <w:p w14:paraId="0B32AF00" w14:textId="7952A433" w:rsidR="009C5C62" w:rsidRPr="00827A5C" w:rsidRDefault="009C5C62" w:rsidP="00827A5C">
      <w:pPr>
        <w:spacing w:after="0" w:line="240" w:lineRule="auto"/>
        <w:rPr>
          <w:bCs/>
          <w:sz w:val="22"/>
          <w:szCs w:val="22"/>
        </w:rPr>
      </w:pPr>
      <w:r w:rsidRPr="009C5C62">
        <w:rPr>
          <w:iCs/>
          <w:sz w:val="22"/>
          <w:szCs w:val="22"/>
        </w:rPr>
        <w:t xml:space="preserve">These documents are </w:t>
      </w:r>
      <w:r w:rsidRPr="00827A5C">
        <w:rPr>
          <w:bCs/>
          <w:sz w:val="22"/>
          <w:szCs w:val="22"/>
        </w:rPr>
        <w:t xml:space="preserve">incorporated as in force or existing </w:t>
      </w:r>
      <w:r w:rsidRPr="009C5C62">
        <w:rPr>
          <w:bCs/>
          <w:sz w:val="22"/>
          <w:szCs w:val="22"/>
        </w:rPr>
        <w:t>on 1 April 2025</w:t>
      </w:r>
      <w:r w:rsidRPr="00827A5C">
        <w:rPr>
          <w:bCs/>
          <w:sz w:val="22"/>
          <w:szCs w:val="22"/>
        </w:rPr>
        <w:t xml:space="preserve">, being the </w:t>
      </w:r>
      <w:r w:rsidRPr="009C5C62">
        <w:rPr>
          <w:bCs/>
          <w:sz w:val="22"/>
          <w:szCs w:val="22"/>
        </w:rPr>
        <w:t>day</w:t>
      </w:r>
      <w:r w:rsidRPr="00827A5C">
        <w:rPr>
          <w:bCs/>
          <w:sz w:val="22"/>
          <w:szCs w:val="22"/>
        </w:rPr>
        <w:t xml:space="preserve"> that the Amendment Determination commences, in accordance with paragraph 14(1)(b) of the </w:t>
      </w:r>
      <w:r w:rsidRPr="00827A5C">
        <w:rPr>
          <w:bCs/>
          <w:i/>
          <w:sz w:val="22"/>
          <w:szCs w:val="22"/>
        </w:rPr>
        <w:t>Legislation Act 2003</w:t>
      </w:r>
      <w:r w:rsidRPr="00827A5C">
        <w:rPr>
          <w:bCs/>
          <w:iCs/>
          <w:sz w:val="22"/>
          <w:szCs w:val="22"/>
        </w:rPr>
        <w:t xml:space="preserve"> (“the Legislation Act”)</w:t>
      </w:r>
      <w:r w:rsidRPr="00827A5C">
        <w:rPr>
          <w:bCs/>
          <w:sz w:val="22"/>
          <w:szCs w:val="22"/>
        </w:rPr>
        <w:t>.</w:t>
      </w:r>
    </w:p>
    <w:p w14:paraId="3EAA04D5" w14:textId="77777777" w:rsidR="009C5C62" w:rsidRPr="008244E6" w:rsidRDefault="009C5C62" w:rsidP="009C5C62">
      <w:pPr>
        <w:autoSpaceDE w:val="0"/>
        <w:autoSpaceDN w:val="0"/>
        <w:adjustRightInd w:val="0"/>
        <w:spacing w:after="0" w:line="240" w:lineRule="auto"/>
        <w:rPr>
          <w:rFonts w:eastAsia="Times New Roman"/>
          <w:bCs/>
          <w:sz w:val="22"/>
          <w:szCs w:val="22"/>
          <w:lang w:eastAsia="en-AU"/>
        </w:rPr>
      </w:pPr>
    </w:p>
    <w:p w14:paraId="7A1B0BE3" w14:textId="78B93556" w:rsidR="00E14D05" w:rsidRPr="008244E6" w:rsidRDefault="00DC5A0D" w:rsidP="00BF604E">
      <w:pPr>
        <w:keepNext/>
        <w:autoSpaceDE w:val="0"/>
        <w:autoSpaceDN w:val="0"/>
        <w:adjustRightInd w:val="0"/>
        <w:spacing w:after="0" w:line="240" w:lineRule="auto"/>
        <w:rPr>
          <w:rFonts w:eastAsia="Times New Roman"/>
          <w:b/>
          <w:sz w:val="22"/>
          <w:szCs w:val="22"/>
          <w:lang w:eastAsia="en-AU"/>
        </w:rPr>
      </w:pPr>
      <w:r w:rsidRPr="008244E6">
        <w:rPr>
          <w:rFonts w:eastAsia="Times New Roman"/>
          <w:b/>
          <w:sz w:val="22"/>
          <w:szCs w:val="22"/>
          <w:lang w:eastAsia="en-AU"/>
        </w:rPr>
        <w:t>Consultation</w:t>
      </w:r>
    </w:p>
    <w:p w14:paraId="44CBEB7E" w14:textId="77777777" w:rsidR="00837EB9" w:rsidRPr="008244E6" w:rsidRDefault="00837EB9" w:rsidP="00BF604E">
      <w:pPr>
        <w:keepNext/>
        <w:autoSpaceDE w:val="0"/>
        <w:autoSpaceDN w:val="0"/>
        <w:adjustRightInd w:val="0"/>
        <w:spacing w:after="0" w:line="240" w:lineRule="auto"/>
        <w:rPr>
          <w:rFonts w:eastAsia="Times New Roman"/>
          <w:bCs/>
          <w:sz w:val="22"/>
          <w:szCs w:val="22"/>
          <w:lang w:eastAsia="en-AU"/>
        </w:rPr>
      </w:pPr>
      <w:bookmarkStart w:id="6" w:name="_Hlk135994503"/>
    </w:p>
    <w:p w14:paraId="2A6FAFDB" w14:textId="5774C95F" w:rsidR="008244E6" w:rsidRPr="008244E6" w:rsidRDefault="00657A58" w:rsidP="000B31F9">
      <w:pPr>
        <w:autoSpaceDE w:val="0"/>
        <w:autoSpaceDN w:val="0"/>
        <w:adjustRightInd w:val="0"/>
        <w:spacing w:after="0" w:line="240" w:lineRule="auto"/>
        <w:rPr>
          <w:rFonts w:eastAsia="Times New Roman"/>
          <w:bCs/>
          <w:sz w:val="22"/>
          <w:szCs w:val="22"/>
          <w:lang w:eastAsia="en-AU"/>
        </w:rPr>
      </w:pPr>
      <w:bookmarkStart w:id="7" w:name="_Hlk135995230"/>
      <w:bookmarkEnd w:id="6"/>
      <w:r>
        <w:rPr>
          <w:rFonts w:eastAsia="Times New Roman"/>
          <w:bCs/>
          <w:sz w:val="22"/>
          <w:szCs w:val="22"/>
          <w:lang w:eastAsia="en-AU"/>
        </w:rPr>
        <w:t xml:space="preserve">On </w:t>
      </w:r>
      <w:r w:rsidR="00AA20CE">
        <w:rPr>
          <w:rFonts w:eastAsia="Times New Roman"/>
          <w:bCs/>
          <w:sz w:val="22"/>
          <w:szCs w:val="22"/>
          <w:lang w:eastAsia="en-AU"/>
        </w:rPr>
        <w:t>13 September 2023</w:t>
      </w:r>
      <w:r>
        <w:rPr>
          <w:rFonts w:eastAsia="Times New Roman"/>
          <w:bCs/>
          <w:sz w:val="22"/>
          <w:szCs w:val="22"/>
          <w:lang w:eastAsia="en-AU"/>
        </w:rPr>
        <w:t>, t</w:t>
      </w:r>
      <w:r w:rsidR="008244E6" w:rsidRPr="008244E6">
        <w:rPr>
          <w:rFonts w:eastAsia="Times New Roman"/>
          <w:bCs/>
          <w:sz w:val="22"/>
          <w:szCs w:val="22"/>
          <w:lang w:eastAsia="en-AU"/>
        </w:rPr>
        <w:t xml:space="preserve">he TGA </w:t>
      </w:r>
      <w:r>
        <w:rPr>
          <w:rFonts w:eastAsia="Times New Roman"/>
          <w:bCs/>
          <w:sz w:val="22"/>
          <w:szCs w:val="22"/>
          <w:lang w:eastAsia="en-AU"/>
        </w:rPr>
        <w:t xml:space="preserve">sent out a request </w:t>
      </w:r>
      <w:r w:rsidR="00AA20CE">
        <w:rPr>
          <w:rFonts w:eastAsia="Times New Roman"/>
          <w:bCs/>
          <w:sz w:val="22"/>
          <w:szCs w:val="22"/>
          <w:lang w:eastAsia="en-AU"/>
        </w:rPr>
        <w:t>to Medicine Australia</w:t>
      </w:r>
      <w:r w:rsidR="006B74AC">
        <w:rPr>
          <w:rFonts w:eastAsia="Times New Roman"/>
          <w:bCs/>
          <w:sz w:val="22"/>
          <w:szCs w:val="22"/>
          <w:lang w:eastAsia="en-AU"/>
        </w:rPr>
        <w:t>,</w:t>
      </w:r>
      <w:r w:rsidR="00AA20CE">
        <w:rPr>
          <w:rFonts w:eastAsia="Times New Roman"/>
          <w:bCs/>
          <w:sz w:val="22"/>
          <w:szCs w:val="22"/>
          <w:lang w:eastAsia="en-AU"/>
        </w:rPr>
        <w:t xml:space="preserve"> and Generic and Biosimilar Medicines Association</w:t>
      </w:r>
      <w:r>
        <w:rPr>
          <w:rFonts w:eastAsia="Times New Roman"/>
          <w:bCs/>
          <w:sz w:val="22"/>
          <w:szCs w:val="22"/>
          <w:lang w:eastAsia="en-AU"/>
        </w:rPr>
        <w:t xml:space="preserve"> for</w:t>
      </w:r>
      <w:r w:rsidR="008244E6" w:rsidRPr="008244E6">
        <w:rPr>
          <w:rFonts w:eastAsia="Times New Roman"/>
          <w:bCs/>
          <w:sz w:val="22"/>
          <w:szCs w:val="22"/>
          <w:lang w:eastAsia="en-AU"/>
        </w:rPr>
        <w:t xml:space="preserve"> industry</w:t>
      </w:r>
      <w:r>
        <w:rPr>
          <w:rFonts w:eastAsia="Times New Roman"/>
          <w:bCs/>
          <w:sz w:val="22"/>
          <w:szCs w:val="22"/>
          <w:lang w:eastAsia="en-AU"/>
        </w:rPr>
        <w:t xml:space="preserve"> participants</w:t>
      </w:r>
      <w:r w:rsidR="006B74AC">
        <w:rPr>
          <w:rFonts w:eastAsia="Times New Roman"/>
          <w:bCs/>
          <w:sz w:val="22"/>
          <w:szCs w:val="22"/>
          <w:lang w:eastAsia="en-AU"/>
        </w:rPr>
        <w:t>,</w:t>
      </w:r>
      <w:r w:rsidR="008244E6" w:rsidRPr="008244E6">
        <w:rPr>
          <w:rFonts w:eastAsia="Times New Roman"/>
          <w:bCs/>
          <w:sz w:val="22"/>
          <w:szCs w:val="22"/>
          <w:lang w:eastAsia="en-AU"/>
        </w:rPr>
        <w:t xml:space="preserve"> </w:t>
      </w:r>
      <w:r w:rsidR="008244E6">
        <w:rPr>
          <w:rFonts w:eastAsia="Times New Roman"/>
          <w:bCs/>
          <w:sz w:val="22"/>
          <w:szCs w:val="22"/>
          <w:lang w:eastAsia="en-AU"/>
        </w:rPr>
        <w:t>for</w:t>
      </w:r>
      <w:r w:rsidR="008244E6" w:rsidRPr="008244E6">
        <w:rPr>
          <w:rFonts w:eastAsia="Times New Roman"/>
          <w:bCs/>
          <w:sz w:val="22"/>
          <w:szCs w:val="22"/>
          <w:lang w:eastAsia="en-AU"/>
        </w:rPr>
        <w:t xml:space="preserve"> a working group relating to </w:t>
      </w:r>
      <w:r>
        <w:rPr>
          <w:rFonts w:eastAsia="Times New Roman"/>
          <w:bCs/>
          <w:sz w:val="22"/>
          <w:szCs w:val="22"/>
          <w:lang w:eastAsia="en-AU"/>
        </w:rPr>
        <w:t xml:space="preserve">the adoption of </w:t>
      </w:r>
      <w:r w:rsidRPr="00357063">
        <w:t xml:space="preserve">the </w:t>
      </w:r>
      <w:r w:rsidRPr="00357063">
        <w:rPr>
          <w:i/>
          <w:iCs/>
        </w:rPr>
        <w:t xml:space="preserve">eCTD AU </w:t>
      </w:r>
      <w:r w:rsidRPr="00CA2B46">
        <w:rPr>
          <w:i/>
          <w:iCs/>
        </w:rPr>
        <w:t>M</w:t>
      </w:r>
      <w:r w:rsidRPr="00357063">
        <w:rPr>
          <w:i/>
          <w:iCs/>
        </w:rPr>
        <w:t>odule 1 and regional information</w:t>
      </w:r>
      <w:r w:rsidRPr="00CA2B46">
        <w:t xml:space="preserve"> v3.2</w:t>
      </w:r>
      <w:r>
        <w:t xml:space="preserve"> and </w:t>
      </w:r>
      <w:r w:rsidRPr="00357063">
        <w:t xml:space="preserve">ICH </w:t>
      </w:r>
      <w:r w:rsidRPr="00587D90">
        <w:rPr>
          <w:i/>
          <w:iCs/>
        </w:rPr>
        <w:t xml:space="preserve">eCTD </w:t>
      </w:r>
      <w:r w:rsidR="00AA20CE" w:rsidRPr="00587D90">
        <w:rPr>
          <w:i/>
          <w:iCs/>
        </w:rPr>
        <w:t>Specification</w:t>
      </w:r>
      <w:r w:rsidR="00AA20CE">
        <w:t xml:space="preserve"> </w:t>
      </w:r>
      <w:r w:rsidRPr="00357063">
        <w:t>v3.2.2</w:t>
      </w:r>
      <w:r>
        <w:t xml:space="preserve">. </w:t>
      </w:r>
      <w:r w:rsidR="008244E6" w:rsidRPr="008244E6">
        <w:rPr>
          <w:rFonts w:eastAsia="Times New Roman"/>
          <w:bCs/>
          <w:sz w:val="22"/>
          <w:szCs w:val="22"/>
          <w:lang w:eastAsia="en-AU"/>
        </w:rPr>
        <w:t xml:space="preserve">The working group comprised of </w:t>
      </w:r>
      <w:r w:rsidR="00AA20CE">
        <w:rPr>
          <w:rFonts w:eastAsia="Times New Roman"/>
          <w:bCs/>
          <w:sz w:val="22"/>
          <w:szCs w:val="22"/>
          <w:lang w:eastAsia="en-AU"/>
        </w:rPr>
        <w:t>16 industry stakeholders with expertise in regulatory affairs and dossier management.</w:t>
      </w:r>
      <w:r>
        <w:rPr>
          <w:rFonts w:eastAsia="Times New Roman"/>
          <w:bCs/>
          <w:sz w:val="22"/>
          <w:szCs w:val="22"/>
          <w:lang w:eastAsia="en-AU"/>
        </w:rPr>
        <w:t xml:space="preserve"> Meetings of this working group were held on </w:t>
      </w:r>
      <w:r w:rsidR="00AA20CE">
        <w:rPr>
          <w:rFonts w:eastAsia="Times New Roman"/>
          <w:bCs/>
          <w:sz w:val="22"/>
          <w:szCs w:val="22"/>
          <w:lang w:eastAsia="en-AU"/>
        </w:rPr>
        <w:t>12 October, 20 October, 24 October and 1</w:t>
      </w:r>
      <w:r w:rsidR="006B74AC">
        <w:rPr>
          <w:rFonts w:eastAsia="Times New Roman"/>
          <w:bCs/>
          <w:sz w:val="22"/>
          <w:szCs w:val="22"/>
          <w:lang w:eastAsia="en-AU"/>
        </w:rPr>
        <w:t> </w:t>
      </w:r>
      <w:r w:rsidR="00AA20CE">
        <w:rPr>
          <w:rFonts w:eastAsia="Times New Roman"/>
          <w:bCs/>
          <w:sz w:val="22"/>
          <w:szCs w:val="22"/>
          <w:lang w:eastAsia="en-AU"/>
        </w:rPr>
        <w:t>November 2023</w:t>
      </w:r>
      <w:r>
        <w:rPr>
          <w:rFonts w:eastAsia="Times New Roman"/>
          <w:bCs/>
          <w:sz w:val="22"/>
          <w:szCs w:val="22"/>
          <w:lang w:eastAsia="en-AU"/>
        </w:rPr>
        <w:t xml:space="preserve">. </w:t>
      </w:r>
      <w:r w:rsidR="008244E6" w:rsidRPr="008244E6">
        <w:rPr>
          <w:rFonts w:eastAsia="Times New Roman"/>
          <w:bCs/>
          <w:sz w:val="22"/>
          <w:szCs w:val="22"/>
          <w:lang w:eastAsia="en-AU"/>
        </w:rPr>
        <w:t>Fee</w:t>
      </w:r>
      <w:r w:rsidR="008244E6">
        <w:rPr>
          <w:rFonts w:eastAsia="Times New Roman"/>
          <w:bCs/>
          <w:sz w:val="22"/>
          <w:szCs w:val="22"/>
          <w:lang w:eastAsia="en-AU"/>
        </w:rPr>
        <w:t>d</w:t>
      </w:r>
      <w:r w:rsidR="008244E6" w:rsidRPr="008244E6">
        <w:rPr>
          <w:rFonts w:eastAsia="Times New Roman"/>
          <w:bCs/>
          <w:sz w:val="22"/>
          <w:szCs w:val="22"/>
          <w:lang w:eastAsia="en-AU"/>
        </w:rPr>
        <w:t xml:space="preserve">back </w:t>
      </w:r>
      <w:r>
        <w:rPr>
          <w:rFonts w:eastAsia="Times New Roman"/>
          <w:bCs/>
          <w:sz w:val="22"/>
          <w:szCs w:val="22"/>
          <w:lang w:eastAsia="en-AU"/>
        </w:rPr>
        <w:t xml:space="preserve">from participants in the working group regarding the proposed transitional timeframe was incorporated into the amendments and the </w:t>
      </w:r>
      <w:r w:rsidR="008244E6" w:rsidRPr="008244E6">
        <w:rPr>
          <w:rFonts w:eastAsia="Times New Roman"/>
          <w:bCs/>
          <w:sz w:val="22"/>
          <w:szCs w:val="22"/>
          <w:lang w:eastAsia="en-AU"/>
        </w:rPr>
        <w:t xml:space="preserve">working group </w:t>
      </w:r>
      <w:r>
        <w:rPr>
          <w:rFonts w:eastAsia="Times New Roman"/>
          <w:bCs/>
          <w:sz w:val="22"/>
          <w:szCs w:val="22"/>
          <w:lang w:eastAsia="en-AU"/>
        </w:rPr>
        <w:t xml:space="preserve">participants were otherwise </w:t>
      </w:r>
      <w:r w:rsidR="008244E6" w:rsidRPr="008244E6">
        <w:rPr>
          <w:rFonts w:eastAsia="Times New Roman"/>
          <w:bCs/>
          <w:sz w:val="22"/>
          <w:szCs w:val="22"/>
          <w:lang w:eastAsia="en-AU"/>
        </w:rPr>
        <w:t xml:space="preserve">supportive of the </w:t>
      </w:r>
      <w:r>
        <w:rPr>
          <w:rFonts w:eastAsia="Times New Roman"/>
          <w:bCs/>
          <w:sz w:val="22"/>
          <w:szCs w:val="22"/>
          <w:lang w:eastAsia="en-AU"/>
        </w:rPr>
        <w:t>proposal</w:t>
      </w:r>
      <w:r w:rsidR="008244E6" w:rsidRPr="008244E6">
        <w:rPr>
          <w:rFonts w:eastAsia="Times New Roman"/>
          <w:bCs/>
          <w:sz w:val="22"/>
          <w:szCs w:val="22"/>
          <w:lang w:eastAsia="en-AU"/>
        </w:rPr>
        <w:t>.</w:t>
      </w:r>
    </w:p>
    <w:p w14:paraId="1E113C0D" w14:textId="6F7F4B85" w:rsidR="005C4A76" w:rsidRPr="00E9726E" w:rsidRDefault="005C4A76" w:rsidP="00BF604E">
      <w:pPr>
        <w:keepNext/>
        <w:autoSpaceDE w:val="0"/>
        <w:autoSpaceDN w:val="0"/>
        <w:adjustRightInd w:val="0"/>
        <w:spacing w:after="0" w:line="240" w:lineRule="auto"/>
        <w:rPr>
          <w:rFonts w:eastAsia="Times New Roman"/>
          <w:b/>
          <w:sz w:val="22"/>
          <w:szCs w:val="22"/>
          <w:lang w:eastAsia="en-AU"/>
        </w:rPr>
      </w:pPr>
    </w:p>
    <w:p w14:paraId="11D6D35B" w14:textId="612F918A" w:rsidR="00DC5A0D" w:rsidRPr="00E9726E" w:rsidRDefault="00DC5A0D" w:rsidP="00BF604E">
      <w:pPr>
        <w:keepNext/>
        <w:autoSpaceDE w:val="0"/>
        <w:autoSpaceDN w:val="0"/>
        <w:adjustRightInd w:val="0"/>
        <w:spacing w:after="0" w:line="240" w:lineRule="auto"/>
        <w:rPr>
          <w:rFonts w:eastAsia="Times New Roman"/>
          <w:b/>
          <w:sz w:val="22"/>
          <w:szCs w:val="22"/>
          <w:lang w:eastAsia="en-AU"/>
        </w:rPr>
      </w:pPr>
      <w:r w:rsidRPr="00E9726E">
        <w:rPr>
          <w:rFonts w:eastAsia="Times New Roman"/>
          <w:b/>
          <w:sz w:val="22"/>
          <w:szCs w:val="22"/>
          <w:lang w:eastAsia="en-AU"/>
        </w:rPr>
        <w:t>Other details</w:t>
      </w:r>
      <w:bookmarkEnd w:id="7"/>
    </w:p>
    <w:p w14:paraId="6986F734" w14:textId="77777777" w:rsidR="00837EB9" w:rsidRPr="00E9726E" w:rsidRDefault="00837EB9" w:rsidP="00BF604E">
      <w:pPr>
        <w:keepNext/>
        <w:autoSpaceDE w:val="0"/>
        <w:autoSpaceDN w:val="0"/>
        <w:adjustRightInd w:val="0"/>
        <w:spacing w:after="0" w:line="240" w:lineRule="auto"/>
        <w:rPr>
          <w:rFonts w:eastAsia="Times New Roman"/>
          <w:sz w:val="22"/>
          <w:szCs w:val="22"/>
          <w:lang w:eastAsia="en-AU"/>
        </w:rPr>
      </w:pPr>
    </w:p>
    <w:p w14:paraId="44ECCAE3" w14:textId="530E66D7" w:rsidR="00173CDD" w:rsidRPr="00020BB0" w:rsidRDefault="00173CDD" w:rsidP="00173CDD">
      <w:pPr>
        <w:spacing w:after="0" w:line="240" w:lineRule="auto"/>
        <w:rPr>
          <w:rFonts w:eastAsia="Times New Roman"/>
          <w:sz w:val="22"/>
          <w:szCs w:val="22"/>
          <w:lang w:eastAsia="en-AU"/>
        </w:rPr>
      </w:pPr>
      <w:r>
        <w:rPr>
          <w:rFonts w:eastAsia="Times New Roman"/>
          <w:sz w:val="22"/>
          <w:szCs w:val="22"/>
          <w:lang w:eastAsia="en-AU"/>
        </w:rPr>
        <w:t>The Office of Impact Analysis (</w:t>
      </w:r>
      <w:r w:rsidR="008244E6">
        <w:rPr>
          <w:rFonts w:eastAsia="Times New Roman"/>
          <w:sz w:val="22"/>
          <w:szCs w:val="22"/>
          <w:lang w:eastAsia="en-AU"/>
        </w:rPr>
        <w:t>“</w:t>
      </w:r>
      <w:r>
        <w:rPr>
          <w:rFonts w:eastAsia="Times New Roman"/>
          <w:sz w:val="22"/>
          <w:szCs w:val="22"/>
          <w:lang w:eastAsia="en-AU"/>
        </w:rPr>
        <w:t>OIA</w:t>
      </w:r>
      <w:r w:rsidR="008244E6">
        <w:rPr>
          <w:rFonts w:eastAsia="Times New Roman"/>
          <w:sz w:val="22"/>
          <w:szCs w:val="22"/>
          <w:lang w:eastAsia="en-AU"/>
        </w:rPr>
        <w:t>”</w:t>
      </w:r>
      <w:r>
        <w:rPr>
          <w:rFonts w:eastAsia="Times New Roman"/>
          <w:sz w:val="22"/>
          <w:szCs w:val="22"/>
          <w:lang w:eastAsia="en-AU"/>
        </w:rPr>
        <w:t xml:space="preserve">) determined </w:t>
      </w:r>
      <w:r w:rsidR="006F4B73">
        <w:rPr>
          <w:rFonts w:eastAsia="Times New Roman"/>
          <w:sz w:val="22"/>
          <w:szCs w:val="22"/>
          <w:lang w:eastAsia="en-AU"/>
        </w:rPr>
        <w:t xml:space="preserve">that an Impact Analysis was not required on the basis </w:t>
      </w:r>
      <w:r>
        <w:rPr>
          <w:rFonts w:eastAsia="Times New Roman"/>
          <w:sz w:val="22"/>
          <w:szCs w:val="22"/>
          <w:lang w:eastAsia="en-AU"/>
        </w:rPr>
        <w:t xml:space="preserve">that the proposed amendments </w:t>
      </w:r>
      <w:r w:rsidR="006F4B73">
        <w:rPr>
          <w:rFonts w:eastAsia="Times New Roman"/>
          <w:sz w:val="22"/>
          <w:szCs w:val="22"/>
          <w:lang w:eastAsia="en-AU"/>
        </w:rPr>
        <w:t>to</w:t>
      </w:r>
      <w:r>
        <w:rPr>
          <w:rFonts w:eastAsia="Times New Roman"/>
          <w:sz w:val="22"/>
          <w:szCs w:val="22"/>
          <w:lang w:eastAsia="en-AU"/>
        </w:rPr>
        <w:t xml:space="preserve"> the </w:t>
      </w:r>
      <w:r w:rsidR="006F4B73">
        <w:rPr>
          <w:rFonts w:eastAsia="Times New Roman"/>
          <w:sz w:val="22"/>
          <w:szCs w:val="22"/>
          <w:lang w:eastAsia="en-AU"/>
        </w:rPr>
        <w:t xml:space="preserve">Principal </w:t>
      </w:r>
      <w:r>
        <w:rPr>
          <w:rFonts w:eastAsia="Times New Roman"/>
          <w:sz w:val="22"/>
          <w:szCs w:val="22"/>
          <w:lang w:eastAsia="en-AU"/>
        </w:rPr>
        <w:t>Determination will improve alignment with current business processes</w:t>
      </w:r>
      <w:r w:rsidR="006F4B73">
        <w:rPr>
          <w:rFonts w:eastAsia="Times New Roman"/>
          <w:sz w:val="22"/>
          <w:szCs w:val="22"/>
          <w:lang w:eastAsia="en-AU"/>
        </w:rPr>
        <w:t>,</w:t>
      </w:r>
      <w:r>
        <w:rPr>
          <w:rFonts w:eastAsia="Times New Roman"/>
          <w:sz w:val="22"/>
          <w:szCs w:val="22"/>
          <w:lang w:eastAsia="en-AU"/>
        </w:rPr>
        <w:t xml:space="preserve"> and be better suited towards industry needs (OIA24-07055).</w:t>
      </w:r>
    </w:p>
    <w:p w14:paraId="59C064ED" w14:textId="77777777" w:rsidR="00173CDD" w:rsidRDefault="00173CDD" w:rsidP="000B31F9">
      <w:pPr>
        <w:autoSpaceDE w:val="0"/>
        <w:autoSpaceDN w:val="0"/>
        <w:adjustRightInd w:val="0"/>
        <w:spacing w:after="0" w:line="240" w:lineRule="auto"/>
        <w:rPr>
          <w:rFonts w:eastAsia="Times New Roman"/>
          <w:sz w:val="22"/>
          <w:szCs w:val="22"/>
          <w:lang w:eastAsia="en-AU"/>
        </w:rPr>
      </w:pPr>
    </w:p>
    <w:p w14:paraId="79770489" w14:textId="17A616AB" w:rsidR="0093285E" w:rsidRPr="00E9726E" w:rsidRDefault="006A361A" w:rsidP="000B31F9">
      <w:pPr>
        <w:autoSpaceDE w:val="0"/>
        <w:autoSpaceDN w:val="0"/>
        <w:adjustRightInd w:val="0"/>
        <w:spacing w:after="0" w:line="240" w:lineRule="auto"/>
        <w:rPr>
          <w:rFonts w:eastAsia="Times New Roman"/>
          <w:sz w:val="22"/>
          <w:szCs w:val="22"/>
          <w:lang w:eastAsia="en-AU"/>
        </w:rPr>
      </w:pPr>
      <w:r w:rsidRPr="00E9726E">
        <w:rPr>
          <w:rFonts w:eastAsia="Times New Roman"/>
          <w:sz w:val="22"/>
          <w:szCs w:val="22"/>
          <w:lang w:eastAsia="en-AU"/>
        </w:rPr>
        <w:t xml:space="preserve">Details of the Amendment Determination are set out in </w:t>
      </w:r>
      <w:r w:rsidRPr="00E9726E">
        <w:rPr>
          <w:rFonts w:eastAsia="Times New Roman"/>
          <w:b/>
          <w:sz w:val="22"/>
          <w:szCs w:val="22"/>
          <w:lang w:eastAsia="en-AU"/>
        </w:rPr>
        <w:t>Attachment A</w:t>
      </w:r>
      <w:r w:rsidRPr="00E9726E">
        <w:rPr>
          <w:rFonts w:eastAsia="Times New Roman"/>
          <w:sz w:val="22"/>
          <w:szCs w:val="22"/>
          <w:lang w:eastAsia="en-AU"/>
        </w:rPr>
        <w:t>.</w:t>
      </w:r>
    </w:p>
    <w:p w14:paraId="5A856D5E" w14:textId="4FBCC388" w:rsidR="00C45580" w:rsidRPr="00E9726E" w:rsidRDefault="00C45580" w:rsidP="000B31F9">
      <w:pPr>
        <w:spacing w:after="0" w:line="240" w:lineRule="auto"/>
        <w:rPr>
          <w:rFonts w:eastAsia="Times New Roman"/>
          <w:sz w:val="22"/>
          <w:szCs w:val="22"/>
          <w:lang w:eastAsia="en-AU"/>
        </w:rPr>
      </w:pPr>
    </w:p>
    <w:p w14:paraId="2A5E6F42" w14:textId="0E228FA0" w:rsidR="006A361A" w:rsidRPr="00E9726E" w:rsidRDefault="006A361A" w:rsidP="000B31F9">
      <w:pPr>
        <w:spacing w:after="0" w:line="240" w:lineRule="auto"/>
        <w:rPr>
          <w:rFonts w:eastAsia="Times New Roman"/>
          <w:sz w:val="22"/>
          <w:szCs w:val="22"/>
          <w:lang w:eastAsia="en-AU"/>
        </w:rPr>
      </w:pPr>
      <w:r w:rsidRPr="00E9726E">
        <w:rPr>
          <w:rFonts w:eastAsia="Times New Roman"/>
          <w:sz w:val="22"/>
          <w:szCs w:val="22"/>
          <w:lang w:eastAsia="en-AU"/>
        </w:rPr>
        <w:t xml:space="preserve">The Amendment Determination is compatible with human rights and freedoms recognised or declared under section 3 of the </w:t>
      </w:r>
      <w:r w:rsidRPr="00E9726E">
        <w:rPr>
          <w:rFonts w:eastAsia="Times New Roman"/>
          <w:i/>
          <w:sz w:val="22"/>
          <w:szCs w:val="22"/>
          <w:lang w:eastAsia="en-AU"/>
        </w:rPr>
        <w:t>Human Rights (Parliamentary Scrutiny) Act 2011</w:t>
      </w:r>
      <w:r w:rsidRPr="00E9726E">
        <w:rPr>
          <w:rFonts w:eastAsia="Times New Roman"/>
          <w:sz w:val="22"/>
          <w:szCs w:val="22"/>
          <w:lang w:eastAsia="en-AU"/>
        </w:rPr>
        <w:t xml:space="preserve">. A full statement of compatibility is set out in </w:t>
      </w:r>
      <w:r w:rsidRPr="00E9726E">
        <w:rPr>
          <w:rFonts w:eastAsia="Times New Roman"/>
          <w:b/>
          <w:sz w:val="22"/>
          <w:szCs w:val="22"/>
          <w:lang w:eastAsia="en-AU"/>
        </w:rPr>
        <w:t>Attachment B</w:t>
      </w:r>
      <w:r w:rsidRPr="00E9726E">
        <w:rPr>
          <w:rFonts w:eastAsia="Times New Roman"/>
          <w:bCs/>
          <w:sz w:val="22"/>
          <w:szCs w:val="22"/>
          <w:lang w:eastAsia="en-AU"/>
        </w:rPr>
        <w:t>.</w:t>
      </w:r>
    </w:p>
    <w:p w14:paraId="50DDEAA3" w14:textId="77777777" w:rsidR="00837EB9" w:rsidRPr="00E9726E" w:rsidRDefault="00837EB9" w:rsidP="000B31F9">
      <w:pPr>
        <w:spacing w:after="0" w:line="240" w:lineRule="auto"/>
        <w:rPr>
          <w:rFonts w:eastAsia="Times New Roman"/>
          <w:sz w:val="22"/>
          <w:szCs w:val="22"/>
          <w:lang w:eastAsia="en-AU"/>
        </w:rPr>
      </w:pPr>
    </w:p>
    <w:p w14:paraId="6C027A28" w14:textId="6C3B4EA4" w:rsidR="00837EB9" w:rsidRPr="00E9726E" w:rsidRDefault="006A361A" w:rsidP="000B31F9">
      <w:pPr>
        <w:spacing w:after="0" w:line="240" w:lineRule="auto"/>
        <w:rPr>
          <w:rFonts w:eastAsia="Times New Roman"/>
          <w:sz w:val="22"/>
          <w:szCs w:val="22"/>
          <w:lang w:eastAsia="en-AU"/>
        </w:rPr>
      </w:pPr>
      <w:r w:rsidRPr="00E9726E">
        <w:rPr>
          <w:rFonts w:eastAsia="Times New Roman"/>
          <w:sz w:val="22"/>
          <w:szCs w:val="22"/>
          <w:lang w:eastAsia="en-AU"/>
        </w:rPr>
        <w:t>The Amendment Determination is a disallowable legislative instrument</w:t>
      </w:r>
      <w:r w:rsidRPr="00E9726E">
        <w:rPr>
          <w:rFonts w:eastAsia="Times New Roman"/>
          <w:i/>
          <w:sz w:val="22"/>
          <w:szCs w:val="22"/>
          <w:lang w:eastAsia="en-AU"/>
        </w:rPr>
        <w:t xml:space="preserve"> </w:t>
      </w:r>
      <w:r w:rsidRPr="00E9726E">
        <w:rPr>
          <w:rFonts w:eastAsia="Times New Roman"/>
          <w:sz w:val="22"/>
          <w:szCs w:val="22"/>
          <w:lang w:eastAsia="en-AU"/>
        </w:rPr>
        <w:t xml:space="preserve">for the purposes of the </w:t>
      </w:r>
      <w:r w:rsidRPr="00E9726E">
        <w:rPr>
          <w:rFonts w:eastAsia="Times New Roman"/>
          <w:i/>
          <w:sz w:val="22"/>
          <w:szCs w:val="22"/>
          <w:lang w:eastAsia="en-AU"/>
        </w:rPr>
        <w:t>Legislation Act 2003</w:t>
      </w:r>
      <w:r w:rsidR="006F4B73">
        <w:rPr>
          <w:rFonts w:eastAsia="Times New Roman"/>
          <w:sz w:val="22"/>
          <w:szCs w:val="22"/>
          <w:lang w:eastAsia="en-AU"/>
        </w:rPr>
        <w:t>, and commences on 1 April 2025</w:t>
      </w:r>
      <w:r w:rsidR="002D0A2B" w:rsidRPr="00020BB0">
        <w:rPr>
          <w:rFonts w:eastAsia="Times New Roman"/>
          <w:sz w:val="22"/>
          <w:szCs w:val="22"/>
          <w:lang w:eastAsia="en-AU"/>
        </w:rPr>
        <w:t>.</w:t>
      </w:r>
    </w:p>
    <w:p w14:paraId="1AFD487F" w14:textId="6C7F5591" w:rsidR="001E51F5" w:rsidRPr="00E9726E" w:rsidRDefault="001E51F5" w:rsidP="000B31F9">
      <w:pPr>
        <w:spacing w:after="0" w:line="240" w:lineRule="auto"/>
        <w:rPr>
          <w:rFonts w:eastAsia="Times New Roman"/>
          <w:sz w:val="22"/>
          <w:szCs w:val="22"/>
          <w:lang w:eastAsia="en-AU"/>
        </w:rPr>
      </w:pPr>
      <w:r w:rsidRPr="00E9726E">
        <w:rPr>
          <w:rFonts w:eastAsia="Times New Roman"/>
          <w:b/>
          <w:bCs/>
          <w:sz w:val="22"/>
          <w:szCs w:val="22"/>
          <w:lang w:eastAsia="en-AU"/>
        </w:rPr>
        <w:br w:type="page"/>
      </w:r>
    </w:p>
    <w:p w14:paraId="01D2E0B2" w14:textId="77777777" w:rsidR="001E51F5" w:rsidRPr="00E9726E" w:rsidRDefault="001E51F5" w:rsidP="000B31F9">
      <w:pPr>
        <w:spacing w:after="0" w:line="240" w:lineRule="auto"/>
        <w:jc w:val="right"/>
        <w:rPr>
          <w:rFonts w:eastAsia="Times New Roman"/>
          <w:b/>
          <w:bCs/>
          <w:sz w:val="22"/>
          <w:szCs w:val="22"/>
          <w:lang w:eastAsia="en-AU"/>
        </w:rPr>
      </w:pPr>
      <w:r w:rsidRPr="00E9726E">
        <w:rPr>
          <w:rFonts w:eastAsia="Times New Roman"/>
          <w:b/>
          <w:bCs/>
          <w:sz w:val="22"/>
          <w:szCs w:val="22"/>
          <w:lang w:eastAsia="en-AU"/>
        </w:rPr>
        <w:lastRenderedPageBreak/>
        <w:t>Attachment A</w:t>
      </w:r>
    </w:p>
    <w:p w14:paraId="6B11CAAE" w14:textId="77777777" w:rsidR="00837EB9" w:rsidRPr="00E9726E" w:rsidRDefault="00837EB9" w:rsidP="000B31F9">
      <w:pPr>
        <w:spacing w:after="0" w:line="240" w:lineRule="auto"/>
        <w:rPr>
          <w:rFonts w:eastAsia="Times New Roman"/>
          <w:sz w:val="22"/>
          <w:szCs w:val="22"/>
          <w:lang w:eastAsia="en-AU"/>
        </w:rPr>
      </w:pPr>
    </w:p>
    <w:p w14:paraId="0CDD0A6A" w14:textId="7C11A389" w:rsidR="001E51F5" w:rsidRPr="00E9726E" w:rsidRDefault="001E51F5" w:rsidP="000B31F9">
      <w:pPr>
        <w:spacing w:after="0" w:line="240" w:lineRule="auto"/>
        <w:rPr>
          <w:rFonts w:eastAsia="Times New Roman"/>
          <w:b/>
          <w:bCs/>
          <w:i/>
          <w:sz w:val="22"/>
          <w:szCs w:val="22"/>
          <w:lang w:eastAsia="en-AU"/>
        </w:rPr>
      </w:pPr>
      <w:r w:rsidRPr="00E9726E">
        <w:rPr>
          <w:rFonts w:eastAsia="Times New Roman"/>
          <w:b/>
          <w:bCs/>
          <w:sz w:val="22"/>
          <w:szCs w:val="22"/>
          <w:lang w:eastAsia="en-AU"/>
        </w:rPr>
        <w:t xml:space="preserve">Details of the </w:t>
      </w:r>
      <w:r w:rsidR="00D2737D" w:rsidRPr="00E9726E">
        <w:rPr>
          <w:rFonts w:eastAsia="Times New Roman"/>
          <w:b/>
          <w:bCs/>
          <w:i/>
          <w:sz w:val="22"/>
          <w:szCs w:val="22"/>
          <w:lang w:eastAsia="en-AU"/>
        </w:rPr>
        <w:t>Therapeutic Goods (</w:t>
      </w:r>
      <w:r w:rsidR="00A46536">
        <w:rPr>
          <w:rFonts w:eastAsia="Times New Roman"/>
          <w:b/>
          <w:bCs/>
          <w:i/>
          <w:sz w:val="22"/>
          <w:szCs w:val="22"/>
          <w:lang w:eastAsia="en-AU"/>
        </w:rPr>
        <w:t>Prescription Medicines—Information Accompanying Applications for Registration</w:t>
      </w:r>
      <w:r w:rsidR="00D2737D" w:rsidRPr="00E9726E">
        <w:rPr>
          <w:rFonts w:eastAsia="Times New Roman"/>
          <w:b/>
          <w:bCs/>
          <w:i/>
          <w:sz w:val="22"/>
          <w:szCs w:val="22"/>
          <w:lang w:eastAsia="en-AU"/>
        </w:rPr>
        <w:t>) Amendment Determination</w:t>
      </w:r>
      <w:r w:rsidR="00246EDA" w:rsidRPr="00E9726E">
        <w:rPr>
          <w:rFonts w:eastAsia="Times New Roman"/>
          <w:b/>
          <w:bCs/>
          <w:i/>
          <w:sz w:val="22"/>
          <w:szCs w:val="22"/>
          <w:lang w:eastAsia="en-AU"/>
        </w:rPr>
        <w:t> </w:t>
      </w:r>
      <w:r w:rsidR="00D2737D" w:rsidRPr="00E9726E">
        <w:rPr>
          <w:rFonts w:eastAsia="Times New Roman"/>
          <w:b/>
          <w:bCs/>
          <w:i/>
          <w:sz w:val="22"/>
          <w:szCs w:val="22"/>
          <w:lang w:eastAsia="en-AU"/>
        </w:rPr>
        <w:t>202</w:t>
      </w:r>
      <w:r w:rsidR="008244E6">
        <w:rPr>
          <w:rFonts w:eastAsia="Times New Roman"/>
          <w:b/>
          <w:bCs/>
          <w:i/>
          <w:sz w:val="22"/>
          <w:szCs w:val="22"/>
          <w:lang w:eastAsia="en-AU"/>
        </w:rPr>
        <w:t>5</w:t>
      </w:r>
    </w:p>
    <w:p w14:paraId="41FBDF11" w14:textId="77777777" w:rsidR="008244E6" w:rsidRPr="00E9726E" w:rsidRDefault="008244E6" w:rsidP="000B31F9">
      <w:pPr>
        <w:spacing w:after="0" w:line="240" w:lineRule="auto"/>
        <w:rPr>
          <w:rFonts w:eastAsia="Times New Roman"/>
          <w:sz w:val="22"/>
          <w:szCs w:val="22"/>
          <w:lang w:eastAsia="en-AU"/>
        </w:rPr>
      </w:pPr>
    </w:p>
    <w:p w14:paraId="7225F5C7" w14:textId="24995D83" w:rsidR="001E51F5" w:rsidRPr="00E9726E" w:rsidRDefault="001E51F5" w:rsidP="00BF604E">
      <w:pPr>
        <w:keepNext/>
        <w:spacing w:after="0" w:line="240" w:lineRule="auto"/>
        <w:rPr>
          <w:rFonts w:eastAsia="Times New Roman"/>
          <w:b/>
          <w:bCs/>
          <w:sz w:val="22"/>
          <w:szCs w:val="22"/>
          <w:lang w:eastAsia="en-AU"/>
        </w:rPr>
      </w:pPr>
      <w:r w:rsidRPr="00E9726E">
        <w:rPr>
          <w:rFonts w:eastAsia="Times New Roman"/>
          <w:b/>
          <w:bCs/>
          <w:sz w:val="22"/>
          <w:szCs w:val="22"/>
          <w:lang w:eastAsia="en-AU"/>
        </w:rPr>
        <w:t>Section 1 – Name</w:t>
      </w:r>
    </w:p>
    <w:p w14:paraId="132D65FE" w14:textId="77777777" w:rsidR="00837EB9" w:rsidRPr="00E9726E" w:rsidRDefault="00837EB9" w:rsidP="00BF604E">
      <w:pPr>
        <w:keepNext/>
        <w:spacing w:after="0" w:line="240" w:lineRule="auto"/>
        <w:rPr>
          <w:rFonts w:eastAsia="Times New Roman"/>
          <w:sz w:val="22"/>
          <w:szCs w:val="22"/>
          <w:lang w:eastAsia="en-AU"/>
        </w:rPr>
      </w:pPr>
    </w:p>
    <w:p w14:paraId="4346BAF4" w14:textId="6A8C26E9" w:rsidR="001E51F5" w:rsidRPr="00E9726E" w:rsidRDefault="001E51F5" w:rsidP="000B31F9">
      <w:pPr>
        <w:spacing w:after="0" w:line="240" w:lineRule="auto"/>
        <w:rPr>
          <w:rFonts w:eastAsia="Times New Roman"/>
          <w:sz w:val="22"/>
          <w:szCs w:val="22"/>
          <w:lang w:eastAsia="en-AU"/>
        </w:rPr>
      </w:pPr>
      <w:r w:rsidRPr="00E9726E">
        <w:rPr>
          <w:rFonts w:eastAsia="Times New Roman"/>
          <w:sz w:val="22"/>
          <w:szCs w:val="22"/>
          <w:lang w:eastAsia="en-AU"/>
        </w:rPr>
        <w:t xml:space="preserve">This section provides that the name of the instrument is the </w:t>
      </w:r>
      <w:r w:rsidR="00D2737D" w:rsidRPr="00E9726E">
        <w:rPr>
          <w:rFonts w:eastAsia="Times New Roman"/>
          <w:i/>
          <w:sz w:val="22"/>
          <w:szCs w:val="22"/>
          <w:lang w:eastAsia="en-AU"/>
        </w:rPr>
        <w:t>Therapeutic Goods (</w:t>
      </w:r>
      <w:r w:rsidR="006A0D6F">
        <w:rPr>
          <w:rFonts w:eastAsia="Times New Roman"/>
          <w:i/>
          <w:sz w:val="22"/>
          <w:szCs w:val="22"/>
          <w:lang w:eastAsia="en-AU"/>
        </w:rPr>
        <w:t>Prescription Medicines—Information Accompanying Applications for Registration</w:t>
      </w:r>
      <w:r w:rsidR="00D2737D" w:rsidRPr="00E9726E">
        <w:rPr>
          <w:rFonts w:eastAsia="Times New Roman"/>
          <w:i/>
          <w:sz w:val="22"/>
          <w:szCs w:val="22"/>
          <w:lang w:eastAsia="en-AU"/>
        </w:rPr>
        <w:t>) Amendment</w:t>
      </w:r>
      <w:r w:rsidR="006A0D6F">
        <w:rPr>
          <w:rFonts w:eastAsia="Times New Roman"/>
          <w:i/>
          <w:sz w:val="22"/>
          <w:szCs w:val="22"/>
          <w:lang w:eastAsia="en-AU"/>
        </w:rPr>
        <w:t xml:space="preserve"> </w:t>
      </w:r>
      <w:r w:rsidR="00D2737D" w:rsidRPr="00E9726E">
        <w:rPr>
          <w:rFonts w:eastAsia="Times New Roman"/>
          <w:i/>
          <w:sz w:val="22"/>
          <w:szCs w:val="22"/>
          <w:lang w:eastAsia="en-AU"/>
        </w:rPr>
        <w:t>Determination</w:t>
      </w:r>
      <w:r w:rsidR="00A00307">
        <w:rPr>
          <w:rFonts w:eastAsia="Times New Roman"/>
          <w:i/>
          <w:sz w:val="22"/>
          <w:szCs w:val="22"/>
          <w:lang w:eastAsia="en-AU"/>
        </w:rPr>
        <w:t> </w:t>
      </w:r>
      <w:r w:rsidR="00D2737D" w:rsidRPr="00E9726E">
        <w:rPr>
          <w:rFonts w:eastAsia="Times New Roman"/>
          <w:i/>
          <w:sz w:val="22"/>
          <w:szCs w:val="22"/>
          <w:lang w:eastAsia="en-AU"/>
        </w:rPr>
        <w:t>202</w:t>
      </w:r>
      <w:r w:rsidR="008244E6">
        <w:rPr>
          <w:rFonts w:eastAsia="Times New Roman"/>
          <w:i/>
          <w:sz w:val="22"/>
          <w:szCs w:val="22"/>
          <w:lang w:eastAsia="en-AU"/>
        </w:rPr>
        <w:t xml:space="preserve">5 </w:t>
      </w:r>
      <w:r w:rsidR="00BB2758" w:rsidRPr="00E9726E">
        <w:rPr>
          <w:rFonts w:eastAsia="Times New Roman"/>
          <w:sz w:val="22"/>
          <w:szCs w:val="22"/>
          <w:lang w:eastAsia="en-AU"/>
        </w:rPr>
        <w:t xml:space="preserve">(“the Amendment </w:t>
      </w:r>
      <w:r w:rsidR="00BA2EE9" w:rsidRPr="00E9726E">
        <w:rPr>
          <w:rFonts w:eastAsia="Times New Roman"/>
          <w:sz w:val="22"/>
          <w:szCs w:val="22"/>
          <w:lang w:eastAsia="en-AU"/>
        </w:rPr>
        <w:t>Determination</w:t>
      </w:r>
      <w:r w:rsidRPr="00E9726E">
        <w:rPr>
          <w:rFonts w:eastAsia="Times New Roman"/>
          <w:sz w:val="22"/>
          <w:szCs w:val="22"/>
          <w:lang w:eastAsia="en-AU"/>
        </w:rPr>
        <w:t>”).</w:t>
      </w:r>
    </w:p>
    <w:p w14:paraId="724620FB" w14:textId="77777777" w:rsidR="00837EB9" w:rsidRPr="00E9726E" w:rsidRDefault="00837EB9" w:rsidP="000B31F9">
      <w:pPr>
        <w:spacing w:after="0" w:line="240" w:lineRule="auto"/>
        <w:rPr>
          <w:rFonts w:eastAsia="Times New Roman"/>
          <w:sz w:val="22"/>
          <w:szCs w:val="22"/>
          <w:lang w:eastAsia="en-AU"/>
        </w:rPr>
      </w:pPr>
    </w:p>
    <w:p w14:paraId="2155701C" w14:textId="076C2E54" w:rsidR="001E51F5" w:rsidRPr="00E9726E" w:rsidRDefault="001E51F5" w:rsidP="00BF604E">
      <w:pPr>
        <w:keepNext/>
        <w:spacing w:after="0" w:line="240" w:lineRule="auto"/>
        <w:rPr>
          <w:rFonts w:eastAsia="Times New Roman"/>
          <w:b/>
          <w:bCs/>
          <w:sz w:val="22"/>
          <w:szCs w:val="22"/>
          <w:lang w:eastAsia="en-AU"/>
        </w:rPr>
      </w:pPr>
      <w:r w:rsidRPr="00E9726E">
        <w:rPr>
          <w:rFonts w:eastAsia="Times New Roman"/>
          <w:b/>
          <w:bCs/>
          <w:sz w:val="22"/>
          <w:szCs w:val="22"/>
          <w:lang w:eastAsia="en-AU"/>
        </w:rPr>
        <w:t>Section 2 – Commencement</w:t>
      </w:r>
    </w:p>
    <w:p w14:paraId="0D7AA190" w14:textId="77777777" w:rsidR="00837EB9" w:rsidRPr="00E9726E" w:rsidRDefault="00837EB9" w:rsidP="00BF604E">
      <w:pPr>
        <w:keepNext/>
        <w:spacing w:after="0" w:line="240" w:lineRule="auto"/>
        <w:rPr>
          <w:rFonts w:eastAsia="Times New Roman"/>
          <w:bCs/>
          <w:sz w:val="22"/>
          <w:szCs w:val="22"/>
          <w:lang w:eastAsia="en-AU"/>
        </w:rPr>
      </w:pPr>
    </w:p>
    <w:p w14:paraId="42A42C1F" w14:textId="68E17BF1" w:rsidR="001E51F5" w:rsidRPr="00E9726E" w:rsidRDefault="001E51F5" w:rsidP="000B31F9">
      <w:pPr>
        <w:spacing w:after="0" w:line="240" w:lineRule="auto"/>
        <w:rPr>
          <w:rFonts w:eastAsia="Times New Roman"/>
          <w:bCs/>
          <w:sz w:val="22"/>
          <w:szCs w:val="22"/>
          <w:lang w:eastAsia="en-AU"/>
        </w:rPr>
      </w:pPr>
      <w:r w:rsidRPr="00020BB0">
        <w:rPr>
          <w:rFonts w:eastAsia="Times New Roman"/>
          <w:bCs/>
          <w:sz w:val="22"/>
          <w:szCs w:val="22"/>
          <w:lang w:eastAsia="en-AU"/>
        </w:rPr>
        <w:t xml:space="preserve">This section provides that the Amendment </w:t>
      </w:r>
      <w:r w:rsidR="00BA2EE9" w:rsidRPr="00020BB0">
        <w:rPr>
          <w:rFonts w:eastAsia="Times New Roman"/>
          <w:bCs/>
          <w:sz w:val="22"/>
          <w:szCs w:val="22"/>
          <w:lang w:eastAsia="en-AU"/>
        </w:rPr>
        <w:t xml:space="preserve">Determination </w:t>
      </w:r>
      <w:r w:rsidRPr="00020BB0">
        <w:rPr>
          <w:rFonts w:eastAsia="Times New Roman"/>
          <w:bCs/>
          <w:sz w:val="22"/>
          <w:szCs w:val="22"/>
          <w:lang w:eastAsia="en-AU"/>
        </w:rPr>
        <w:t xml:space="preserve">commences </w:t>
      </w:r>
      <w:r w:rsidR="00C421C0" w:rsidRPr="00020BB0">
        <w:rPr>
          <w:rFonts w:eastAsia="Times New Roman"/>
          <w:sz w:val="22"/>
          <w:szCs w:val="22"/>
          <w:lang w:eastAsia="en-AU"/>
        </w:rPr>
        <w:t xml:space="preserve">on 1 </w:t>
      </w:r>
      <w:r w:rsidR="008244E6">
        <w:rPr>
          <w:rFonts w:eastAsia="Times New Roman"/>
          <w:sz w:val="22"/>
          <w:szCs w:val="22"/>
          <w:lang w:eastAsia="en-AU"/>
        </w:rPr>
        <w:t>April</w:t>
      </w:r>
      <w:r w:rsidR="00C421C0" w:rsidRPr="00020BB0">
        <w:rPr>
          <w:rFonts w:eastAsia="Times New Roman"/>
          <w:sz w:val="22"/>
          <w:szCs w:val="22"/>
          <w:lang w:eastAsia="en-AU"/>
        </w:rPr>
        <w:t xml:space="preserve"> 202</w:t>
      </w:r>
      <w:r w:rsidR="006A0D6F">
        <w:rPr>
          <w:rFonts w:eastAsia="Times New Roman"/>
          <w:sz w:val="22"/>
          <w:szCs w:val="22"/>
          <w:lang w:eastAsia="en-AU"/>
        </w:rPr>
        <w:t>5</w:t>
      </w:r>
      <w:r w:rsidR="002D0A2B" w:rsidRPr="00020BB0">
        <w:rPr>
          <w:rFonts w:eastAsia="Times New Roman"/>
          <w:sz w:val="22"/>
          <w:szCs w:val="22"/>
          <w:lang w:eastAsia="en-AU"/>
        </w:rPr>
        <w:t>.</w:t>
      </w:r>
    </w:p>
    <w:p w14:paraId="4AE6A433" w14:textId="77777777" w:rsidR="00837EB9" w:rsidRPr="00E9726E" w:rsidRDefault="00837EB9" w:rsidP="000B31F9">
      <w:pPr>
        <w:spacing w:after="0" w:line="240" w:lineRule="auto"/>
        <w:rPr>
          <w:rFonts w:eastAsia="Times New Roman"/>
          <w:sz w:val="22"/>
          <w:szCs w:val="22"/>
          <w:lang w:eastAsia="en-AU"/>
        </w:rPr>
      </w:pPr>
    </w:p>
    <w:p w14:paraId="665A7296" w14:textId="3494C8C3" w:rsidR="001E51F5" w:rsidRPr="00E9726E" w:rsidRDefault="001E51F5" w:rsidP="00BF604E">
      <w:pPr>
        <w:keepNext/>
        <w:spacing w:after="0" w:line="240" w:lineRule="auto"/>
        <w:rPr>
          <w:rFonts w:eastAsia="Times New Roman"/>
          <w:b/>
          <w:bCs/>
          <w:sz w:val="22"/>
          <w:szCs w:val="22"/>
          <w:lang w:eastAsia="en-AU"/>
        </w:rPr>
      </w:pPr>
      <w:r w:rsidRPr="00E9726E">
        <w:rPr>
          <w:rFonts w:eastAsia="Times New Roman"/>
          <w:b/>
          <w:bCs/>
          <w:sz w:val="22"/>
          <w:szCs w:val="22"/>
          <w:lang w:eastAsia="en-AU"/>
        </w:rPr>
        <w:t>Section 3 – Authority</w:t>
      </w:r>
    </w:p>
    <w:p w14:paraId="701D7E4A" w14:textId="77777777" w:rsidR="00837EB9" w:rsidRPr="00E9726E" w:rsidRDefault="00837EB9" w:rsidP="00BF604E">
      <w:pPr>
        <w:keepNext/>
        <w:spacing w:after="0" w:line="240" w:lineRule="auto"/>
        <w:rPr>
          <w:rFonts w:eastAsia="Times New Roman"/>
          <w:bCs/>
          <w:sz w:val="22"/>
          <w:szCs w:val="22"/>
          <w:lang w:eastAsia="en-AU"/>
        </w:rPr>
      </w:pPr>
    </w:p>
    <w:p w14:paraId="6AFE41B9" w14:textId="3E3D1C38" w:rsidR="001E51F5" w:rsidRPr="00E9726E" w:rsidRDefault="001E51F5" w:rsidP="000B31F9">
      <w:pPr>
        <w:spacing w:after="0" w:line="240" w:lineRule="auto"/>
        <w:rPr>
          <w:rFonts w:eastAsia="Times New Roman"/>
          <w:bCs/>
          <w:i/>
          <w:sz w:val="22"/>
          <w:szCs w:val="22"/>
          <w:lang w:eastAsia="en-AU"/>
        </w:rPr>
      </w:pPr>
      <w:r w:rsidRPr="00E9726E">
        <w:rPr>
          <w:rFonts w:eastAsia="Times New Roman"/>
          <w:bCs/>
          <w:sz w:val="22"/>
          <w:szCs w:val="22"/>
          <w:lang w:eastAsia="en-AU"/>
        </w:rPr>
        <w:t xml:space="preserve">This section provides that the legislative authority for making the Amendment </w:t>
      </w:r>
      <w:r w:rsidR="00BA2EE9" w:rsidRPr="00E9726E">
        <w:rPr>
          <w:rFonts w:eastAsia="Times New Roman"/>
          <w:bCs/>
          <w:sz w:val="22"/>
          <w:szCs w:val="22"/>
          <w:lang w:eastAsia="en-AU"/>
        </w:rPr>
        <w:t xml:space="preserve">Determination </w:t>
      </w:r>
      <w:r w:rsidRPr="00E9726E">
        <w:rPr>
          <w:rFonts w:eastAsia="Times New Roman"/>
          <w:bCs/>
          <w:sz w:val="22"/>
          <w:szCs w:val="22"/>
          <w:lang w:eastAsia="en-AU"/>
        </w:rPr>
        <w:t xml:space="preserve">is section </w:t>
      </w:r>
      <w:r w:rsidR="00A46536">
        <w:rPr>
          <w:rFonts w:eastAsia="Times New Roman"/>
          <w:bCs/>
          <w:sz w:val="22"/>
          <w:szCs w:val="22"/>
          <w:lang w:eastAsia="en-AU"/>
        </w:rPr>
        <w:t>23</w:t>
      </w:r>
      <w:r w:rsidR="006A0D6F">
        <w:rPr>
          <w:rFonts w:eastAsia="Times New Roman"/>
          <w:bCs/>
          <w:sz w:val="22"/>
          <w:szCs w:val="22"/>
          <w:lang w:eastAsia="en-AU"/>
        </w:rPr>
        <w:t>B</w:t>
      </w:r>
      <w:r w:rsidR="00A46536">
        <w:rPr>
          <w:rFonts w:eastAsia="Times New Roman"/>
          <w:bCs/>
          <w:sz w:val="22"/>
          <w:szCs w:val="22"/>
          <w:lang w:eastAsia="en-AU"/>
        </w:rPr>
        <w:t>(10)</w:t>
      </w:r>
      <w:r w:rsidRPr="00E9726E">
        <w:rPr>
          <w:rFonts w:eastAsia="Times New Roman"/>
          <w:bCs/>
          <w:sz w:val="22"/>
          <w:szCs w:val="22"/>
          <w:lang w:eastAsia="en-AU"/>
        </w:rPr>
        <w:t xml:space="preserve"> of the </w:t>
      </w:r>
      <w:r w:rsidRPr="00E9726E">
        <w:rPr>
          <w:rFonts w:eastAsia="Times New Roman"/>
          <w:bCs/>
          <w:i/>
          <w:sz w:val="22"/>
          <w:szCs w:val="22"/>
          <w:lang w:eastAsia="en-AU"/>
        </w:rPr>
        <w:t xml:space="preserve">Therapeutic Goods Act 1989 </w:t>
      </w:r>
      <w:r w:rsidRPr="00E9726E">
        <w:rPr>
          <w:rFonts w:eastAsia="Times New Roman"/>
          <w:bCs/>
          <w:sz w:val="22"/>
          <w:szCs w:val="22"/>
          <w:lang w:eastAsia="en-AU"/>
        </w:rPr>
        <w:t>(“the Act”)</w:t>
      </w:r>
      <w:r w:rsidRPr="00E9726E">
        <w:rPr>
          <w:rFonts w:eastAsia="Times New Roman"/>
          <w:bCs/>
          <w:i/>
          <w:sz w:val="22"/>
          <w:szCs w:val="22"/>
          <w:lang w:eastAsia="en-AU"/>
        </w:rPr>
        <w:t>.</w:t>
      </w:r>
    </w:p>
    <w:p w14:paraId="5412560E" w14:textId="77777777" w:rsidR="00837EB9" w:rsidRPr="00E9726E" w:rsidRDefault="00837EB9" w:rsidP="000B31F9">
      <w:pPr>
        <w:spacing w:after="0" w:line="240" w:lineRule="auto"/>
        <w:rPr>
          <w:rFonts w:eastAsia="Times New Roman"/>
          <w:bCs/>
          <w:sz w:val="22"/>
          <w:szCs w:val="22"/>
          <w:lang w:eastAsia="en-AU"/>
        </w:rPr>
      </w:pPr>
    </w:p>
    <w:p w14:paraId="39AB7B19" w14:textId="7460E8B1" w:rsidR="001E51F5" w:rsidRPr="00E9726E" w:rsidRDefault="001E51F5" w:rsidP="000B31F9">
      <w:pPr>
        <w:spacing w:after="0" w:line="240" w:lineRule="auto"/>
        <w:rPr>
          <w:rFonts w:eastAsia="Times New Roman"/>
          <w:bCs/>
          <w:sz w:val="22"/>
          <w:szCs w:val="22"/>
          <w:lang w:eastAsia="en-AU"/>
        </w:rPr>
      </w:pPr>
      <w:r w:rsidRPr="00E9726E">
        <w:rPr>
          <w:rFonts w:eastAsia="Times New Roman"/>
          <w:bCs/>
          <w:sz w:val="22"/>
          <w:szCs w:val="22"/>
          <w:lang w:eastAsia="en-AU"/>
        </w:rPr>
        <w:t xml:space="preserve">Subsection 33(3) of the </w:t>
      </w:r>
      <w:r w:rsidRPr="00E9726E">
        <w:rPr>
          <w:rFonts w:eastAsia="Times New Roman"/>
          <w:bCs/>
          <w:i/>
          <w:sz w:val="22"/>
          <w:szCs w:val="22"/>
          <w:lang w:eastAsia="en-AU"/>
        </w:rPr>
        <w:t>Acts Interpretation Act 1901</w:t>
      </w:r>
      <w:r w:rsidRPr="00E9726E">
        <w:rPr>
          <w:rFonts w:eastAsia="Times New Roman"/>
          <w:bCs/>
          <w:sz w:val="22"/>
          <w:szCs w:val="22"/>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w:t>
      </w:r>
      <w:r w:rsidR="00BA2EE9" w:rsidRPr="00E9726E">
        <w:rPr>
          <w:rFonts w:eastAsia="Times New Roman"/>
          <w:bCs/>
          <w:sz w:val="22"/>
          <w:szCs w:val="22"/>
          <w:lang w:eastAsia="en-AU"/>
        </w:rPr>
        <w:t xml:space="preserve">The </w:t>
      </w:r>
      <w:r w:rsidR="008D1E44" w:rsidRPr="00E9726E">
        <w:rPr>
          <w:rFonts w:eastAsia="Times New Roman"/>
          <w:bCs/>
          <w:sz w:val="22"/>
          <w:szCs w:val="22"/>
          <w:lang w:eastAsia="en-AU"/>
        </w:rPr>
        <w:t xml:space="preserve">Amendment </w:t>
      </w:r>
      <w:r w:rsidR="00BA2EE9" w:rsidRPr="00E9726E">
        <w:rPr>
          <w:rFonts w:eastAsia="Times New Roman"/>
          <w:bCs/>
          <w:sz w:val="22"/>
          <w:szCs w:val="22"/>
          <w:lang w:eastAsia="en-AU"/>
        </w:rPr>
        <w:t xml:space="preserve">Determination </w:t>
      </w:r>
      <w:r w:rsidRPr="00E9726E">
        <w:rPr>
          <w:rFonts w:eastAsia="Times New Roman"/>
          <w:bCs/>
          <w:sz w:val="22"/>
          <w:szCs w:val="22"/>
          <w:lang w:eastAsia="en-AU"/>
        </w:rPr>
        <w:t>is made in accordance with that provision.</w:t>
      </w:r>
    </w:p>
    <w:p w14:paraId="5C1D74E6" w14:textId="77777777" w:rsidR="00837EB9" w:rsidRPr="00E9726E" w:rsidRDefault="00837EB9" w:rsidP="000B31F9">
      <w:pPr>
        <w:spacing w:after="0" w:line="240" w:lineRule="auto"/>
        <w:rPr>
          <w:rFonts w:eastAsia="Times New Roman"/>
          <w:sz w:val="22"/>
          <w:szCs w:val="22"/>
          <w:lang w:eastAsia="en-AU"/>
        </w:rPr>
      </w:pPr>
    </w:p>
    <w:p w14:paraId="0CC41FB6" w14:textId="5E7C2828" w:rsidR="001E51F5" w:rsidRPr="00E9726E" w:rsidRDefault="001E51F5" w:rsidP="000F0D2A">
      <w:pPr>
        <w:keepNext/>
        <w:spacing w:after="0" w:line="240" w:lineRule="auto"/>
        <w:rPr>
          <w:rFonts w:eastAsia="Times New Roman"/>
          <w:b/>
          <w:bCs/>
          <w:sz w:val="22"/>
          <w:szCs w:val="22"/>
          <w:lang w:eastAsia="en-AU"/>
        </w:rPr>
      </w:pPr>
      <w:r w:rsidRPr="00E9726E">
        <w:rPr>
          <w:rFonts w:eastAsia="Times New Roman"/>
          <w:b/>
          <w:bCs/>
          <w:sz w:val="22"/>
          <w:szCs w:val="22"/>
          <w:lang w:eastAsia="en-AU"/>
        </w:rPr>
        <w:t>Section 4 – Schedules</w:t>
      </w:r>
    </w:p>
    <w:p w14:paraId="2249B082" w14:textId="77777777" w:rsidR="00837EB9" w:rsidRPr="00E9726E" w:rsidRDefault="00837EB9" w:rsidP="000F0D2A">
      <w:pPr>
        <w:keepNext/>
        <w:spacing w:after="0" w:line="240" w:lineRule="auto"/>
        <w:rPr>
          <w:rFonts w:eastAsia="Times New Roman"/>
          <w:bCs/>
          <w:sz w:val="22"/>
          <w:szCs w:val="22"/>
          <w:lang w:eastAsia="en-AU"/>
        </w:rPr>
      </w:pPr>
    </w:p>
    <w:p w14:paraId="5BC041E3" w14:textId="09401140" w:rsidR="001E51F5" w:rsidRPr="00E9726E" w:rsidRDefault="001E51F5" w:rsidP="000B31F9">
      <w:pPr>
        <w:spacing w:after="0" w:line="240" w:lineRule="auto"/>
        <w:rPr>
          <w:rFonts w:eastAsia="Times New Roman"/>
          <w:bCs/>
          <w:sz w:val="22"/>
          <w:szCs w:val="22"/>
          <w:lang w:eastAsia="en-AU"/>
        </w:rPr>
      </w:pPr>
      <w:r w:rsidRPr="00E9726E">
        <w:rPr>
          <w:rFonts w:eastAsia="Times New Roman"/>
          <w:bCs/>
          <w:sz w:val="22"/>
          <w:szCs w:val="22"/>
          <w:lang w:eastAsia="en-AU"/>
        </w:rPr>
        <w:t>This section provides that each instrument that is specified in a</w:t>
      </w:r>
      <w:r w:rsidR="00BB2758" w:rsidRPr="00E9726E">
        <w:rPr>
          <w:rFonts w:eastAsia="Times New Roman"/>
          <w:bCs/>
          <w:sz w:val="22"/>
          <w:szCs w:val="22"/>
          <w:lang w:eastAsia="en-AU"/>
        </w:rPr>
        <w:t xml:space="preserve"> Schedule to the Amendment </w:t>
      </w:r>
      <w:r w:rsidR="00BA2EE9" w:rsidRPr="00E9726E">
        <w:rPr>
          <w:rFonts w:eastAsia="Times New Roman"/>
          <w:bCs/>
          <w:sz w:val="22"/>
          <w:szCs w:val="22"/>
          <w:lang w:eastAsia="en-AU"/>
        </w:rPr>
        <w:t xml:space="preserve">Determination </w:t>
      </w:r>
      <w:r w:rsidRPr="00E9726E">
        <w:rPr>
          <w:rFonts w:eastAsia="Times New Roman"/>
          <w:bCs/>
          <w:sz w:val="22"/>
          <w:szCs w:val="22"/>
          <w:lang w:eastAsia="en-AU"/>
        </w:rPr>
        <w:t>is amended as set out in the applicable items in the Schedule concerned, and that any other item in a</w:t>
      </w:r>
      <w:r w:rsidR="00BB2758" w:rsidRPr="00E9726E">
        <w:rPr>
          <w:rFonts w:eastAsia="Times New Roman"/>
          <w:bCs/>
          <w:sz w:val="22"/>
          <w:szCs w:val="22"/>
          <w:lang w:eastAsia="en-AU"/>
        </w:rPr>
        <w:t xml:space="preserve"> Schedule to the Amendment </w:t>
      </w:r>
      <w:r w:rsidR="00BA2EE9" w:rsidRPr="00E9726E">
        <w:rPr>
          <w:rFonts w:eastAsia="Times New Roman"/>
          <w:bCs/>
          <w:sz w:val="22"/>
          <w:szCs w:val="22"/>
          <w:lang w:eastAsia="en-AU"/>
        </w:rPr>
        <w:t xml:space="preserve">Determination </w:t>
      </w:r>
      <w:r w:rsidRPr="00E9726E">
        <w:rPr>
          <w:rFonts w:eastAsia="Times New Roman"/>
          <w:bCs/>
          <w:sz w:val="22"/>
          <w:szCs w:val="22"/>
          <w:lang w:eastAsia="en-AU"/>
        </w:rPr>
        <w:t>has effect according to its terms.</w:t>
      </w:r>
    </w:p>
    <w:p w14:paraId="619F983B" w14:textId="77777777" w:rsidR="00837EB9" w:rsidRPr="00E9726E" w:rsidRDefault="00837EB9" w:rsidP="000B31F9">
      <w:pPr>
        <w:spacing w:after="0" w:line="240" w:lineRule="auto"/>
        <w:rPr>
          <w:rFonts w:eastAsia="Times New Roman"/>
          <w:sz w:val="22"/>
          <w:szCs w:val="22"/>
          <w:lang w:eastAsia="en-AU"/>
        </w:rPr>
      </w:pPr>
    </w:p>
    <w:p w14:paraId="7EC9FF24" w14:textId="77777777" w:rsidR="00EF6D34" w:rsidRPr="008244E6" w:rsidRDefault="00EF6D34" w:rsidP="000F0D2A">
      <w:pPr>
        <w:keepNext/>
        <w:spacing w:after="0" w:line="240" w:lineRule="auto"/>
        <w:rPr>
          <w:rFonts w:eastAsia="Times New Roman"/>
          <w:b/>
          <w:bCs/>
          <w:sz w:val="22"/>
          <w:szCs w:val="22"/>
          <w:lang w:eastAsia="en-AU"/>
        </w:rPr>
      </w:pPr>
      <w:r w:rsidRPr="008244E6">
        <w:rPr>
          <w:rFonts w:eastAsia="Times New Roman"/>
          <w:b/>
          <w:bCs/>
          <w:sz w:val="22"/>
          <w:szCs w:val="22"/>
          <w:lang w:eastAsia="en-AU"/>
        </w:rPr>
        <w:t>Schedule 1 – Amendments</w:t>
      </w:r>
    </w:p>
    <w:p w14:paraId="264DF434" w14:textId="77777777" w:rsidR="00EF6D34" w:rsidRPr="008244E6" w:rsidRDefault="00EF6D34" w:rsidP="000F0D2A">
      <w:pPr>
        <w:keepNext/>
        <w:spacing w:after="0" w:line="240" w:lineRule="auto"/>
        <w:rPr>
          <w:rFonts w:eastAsia="Times New Roman"/>
          <w:bCs/>
          <w:sz w:val="22"/>
          <w:szCs w:val="22"/>
          <w:lang w:eastAsia="en-AU"/>
        </w:rPr>
      </w:pPr>
    </w:p>
    <w:p w14:paraId="2319A2CF" w14:textId="52260645" w:rsidR="008244E6" w:rsidRPr="00857B81" w:rsidRDefault="00EF6D34" w:rsidP="000B31F9">
      <w:pPr>
        <w:spacing w:after="0" w:line="240" w:lineRule="auto"/>
        <w:rPr>
          <w:rFonts w:eastAsia="Times New Roman"/>
          <w:bCs/>
          <w:sz w:val="22"/>
          <w:szCs w:val="22"/>
          <w:lang w:eastAsia="en-AU"/>
        </w:rPr>
      </w:pPr>
      <w:r w:rsidRPr="008244E6">
        <w:rPr>
          <w:rFonts w:eastAsia="Times New Roman"/>
          <w:bCs/>
          <w:sz w:val="22"/>
          <w:szCs w:val="22"/>
          <w:lang w:eastAsia="en-AU"/>
        </w:rPr>
        <w:t xml:space="preserve">This Schedule amends the </w:t>
      </w:r>
      <w:r w:rsidRPr="008244E6">
        <w:rPr>
          <w:rFonts w:eastAsia="Times New Roman"/>
          <w:bCs/>
          <w:i/>
          <w:sz w:val="22"/>
          <w:szCs w:val="22"/>
          <w:lang w:eastAsia="en-AU"/>
        </w:rPr>
        <w:t xml:space="preserve">Therapeutic Goods </w:t>
      </w:r>
      <w:r w:rsidR="00857B81" w:rsidRPr="008244E6">
        <w:rPr>
          <w:rFonts w:eastAsia="Times New Roman"/>
          <w:bCs/>
          <w:i/>
          <w:sz w:val="22"/>
          <w:szCs w:val="22"/>
          <w:lang w:eastAsia="en-AU"/>
        </w:rPr>
        <w:t>(Prescription Medicines—Information Accompanying Applications for Registration) Determination 2021</w:t>
      </w:r>
      <w:r w:rsidRPr="008244E6">
        <w:rPr>
          <w:rFonts w:eastAsia="Times New Roman"/>
          <w:bCs/>
          <w:sz w:val="22"/>
          <w:szCs w:val="22"/>
          <w:lang w:eastAsia="en-AU"/>
        </w:rPr>
        <w:t xml:space="preserve"> (“the Principal Determination”).</w:t>
      </w:r>
    </w:p>
    <w:p w14:paraId="6C4170C9" w14:textId="77777777" w:rsidR="00EF6D34" w:rsidRPr="00857B81" w:rsidRDefault="00EF6D34" w:rsidP="000B31F9">
      <w:pPr>
        <w:spacing w:after="0" w:line="240" w:lineRule="auto"/>
        <w:rPr>
          <w:rFonts w:eastAsia="Times New Roman"/>
          <w:bCs/>
          <w:sz w:val="22"/>
          <w:szCs w:val="22"/>
          <w:highlight w:val="yellow"/>
          <w:lang w:eastAsia="en-AU"/>
        </w:rPr>
      </w:pPr>
    </w:p>
    <w:p w14:paraId="01B6EC6B" w14:textId="329D9D6F" w:rsidR="00E17537" w:rsidRPr="008244E6" w:rsidRDefault="00E17537" w:rsidP="00E17537">
      <w:pPr>
        <w:keepNext/>
        <w:spacing w:after="0" w:line="240" w:lineRule="auto"/>
        <w:rPr>
          <w:rFonts w:eastAsia="Times New Roman"/>
          <w:bCs/>
          <w:sz w:val="22"/>
          <w:szCs w:val="22"/>
          <w:lang w:eastAsia="en-AU"/>
        </w:rPr>
      </w:pPr>
      <w:r w:rsidRPr="008244E6">
        <w:rPr>
          <w:rFonts w:eastAsia="Times New Roman"/>
          <w:b/>
          <w:sz w:val="22"/>
          <w:szCs w:val="22"/>
          <w:lang w:eastAsia="en-AU"/>
        </w:rPr>
        <w:t xml:space="preserve">Item 1– </w:t>
      </w:r>
      <w:r w:rsidR="00B95BEE" w:rsidRPr="008244E6">
        <w:rPr>
          <w:rFonts w:eastAsia="Times New Roman"/>
          <w:b/>
          <w:sz w:val="22"/>
          <w:szCs w:val="22"/>
          <w:lang w:eastAsia="en-AU"/>
        </w:rPr>
        <w:t>S</w:t>
      </w:r>
      <w:r w:rsidR="008244E6" w:rsidRPr="008244E6">
        <w:rPr>
          <w:rFonts w:eastAsia="Times New Roman"/>
          <w:b/>
          <w:sz w:val="22"/>
          <w:szCs w:val="22"/>
          <w:lang w:eastAsia="en-AU"/>
        </w:rPr>
        <w:t xml:space="preserve">ection 4 (definition of </w:t>
      </w:r>
      <w:r w:rsidR="008244E6" w:rsidRPr="008244E6">
        <w:rPr>
          <w:rFonts w:eastAsia="Times New Roman"/>
          <w:b/>
          <w:i/>
          <w:iCs/>
          <w:sz w:val="22"/>
          <w:szCs w:val="22"/>
          <w:lang w:eastAsia="en-AU"/>
        </w:rPr>
        <w:t>eCTD</w:t>
      </w:r>
      <w:r w:rsidR="008244E6" w:rsidRPr="008244E6">
        <w:rPr>
          <w:rFonts w:eastAsia="Times New Roman"/>
          <w:b/>
          <w:sz w:val="22"/>
          <w:szCs w:val="22"/>
          <w:lang w:eastAsia="en-AU"/>
        </w:rPr>
        <w:t>)</w:t>
      </w:r>
    </w:p>
    <w:p w14:paraId="24DEE087" w14:textId="50D91EEB" w:rsidR="008244E6" w:rsidRPr="008244E6" w:rsidRDefault="00E17537" w:rsidP="00E17537">
      <w:pPr>
        <w:spacing w:after="0" w:line="240" w:lineRule="auto"/>
        <w:rPr>
          <w:rFonts w:eastAsia="Times New Roman"/>
          <w:bCs/>
          <w:sz w:val="22"/>
          <w:szCs w:val="22"/>
          <w:lang w:eastAsia="en-AU"/>
        </w:rPr>
      </w:pPr>
      <w:bookmarkStart w:id="8" w:name="_Hlk160610592"/>
      <w:r w:rsidRPr="008244E6">
        <w:rPr>
          <w:rFonts w:eastAsia="Times New Roman"/>
          <w:bCs/>
          <w:sz w:val="22"/>
          <w:szCs w:val="22"/>
          <w:lang w:eastAsia="en-AU"/>
        </w:rPr>
        <w:t xml:space="preserve">This item </w:t>
      </w:r>
      <w:r w:rsidR="008244E6" w:rsidRPr="008244E6">
        <w:rPr>
          <w:rFonts w:eastAsia="Times New Roman"/>
          <w:bCs/>
          <w:sz w:val="22"/>
          <w:szCs w:val="22"/>
          <w:lang w:eastAsia="en-AU"/>
        </w:rPr>
        <w:t xml:space="preserve">repeals </w:t>
      </w:r>
      <w:r w:rsidR="00A00307">
        <w:rPr>
          <w:rFonts w:eastAsia="Times New Roman"/>
          <w:bCs/>
          <w:sz w:val="22"/>
          <w:szCs w:val="22"/>
          <w:lang w:eastAsia="en-AU"/>
        </w:rPr>
        <w:t xml:space="preserve">and replaces </w:t>
      </w:r>
      <w:r w:rsidR="008244E6" w:rsidRPr="008244E6">
        <w:rPr>
          <w:rFonts w:eastAsia="Times New Roman"/>
          <w:bCs/>
          <w:sz w:val="22"/>
          <w:szCs w:val="22"/>
          <w:lang w:eastAsia="en-AU"/>
        </w:rPr>
        <w:t xml:space="preserve">the definition of </w:t>
      </w:r>
      <w:r w:rsidR="008244E6" w:rsidRPr="00D72161">
        <w:rPr>
          <w:rFonts w:eastAsia="Times New Roman"/>
          <w:bCs/>
          <w:i/>
          <w:iCs/>
          <w:sz w:val="22"/>
          <w:szCs w:val="22"/>
          <w:lang w:eastAsia="en-AU"/>
        </w:rPr>
        <w:t>eCTD</w:t>
      </w:r>
      <w:r w:rsidR="00A00307">
        <w:rPr>
          <w:rFonts w:eastAsia="Times New Roman"/>
          <w:bCs/>
          <w:sz w:val="22"/>
          <w:szCs w:val="22"/>
          <w:lang w:eastAsia="en-AU"/>
        </w:rPr>
        <w:t xml:space="preserve"> in the Principal Determination</w:t>
      </w:r>
      <w:r w:rsidR="008244E6" w:rsidRPr="008244E6">
        <w:rPr>
          <w:rFonts w:eastAsia="Times New Roman"/>
          <w:bCs/>
          <w:sz w:val="22"/>
          <w:szCs w:val="22"/>
          <w:lang w:eastAsia="en-AU"/>
        </w:rPr>
        <w:t xml:space="preserve">, to </w:t>
      </w:r>
      <w:r w:rsidR="00A00307">
        <w:rPr>
          <w:rFonts w:eastAsia="Times New Roman"/>
          <w:bCs/>
          <w:sz w:val="22"/>
          <w:szCs w:val="22"/>
          <w:lang w:eastAsia="en-AU"/>
        </w:rPr>
        <w:t>adopt</w:t>
      </w:r>
      <w:r w:rsidR="00A00307" w:rsidRPr="008244E6">
        <w:rPr>
          <w:rFonts w:eastAsia="Times New Roman"/>
          <w:bCs/>
          <w:sz w:val="22"/>
          <w:szCs w:val="22"/>
          <w:lang w:eastAsia="en-AU"/>
        </w:rPr>
        <w:t xml:space="preserve"> </w:t>
      </w:r>
      <w:r w:rsidR="008244E6" w:rsidRPr="008244E6">
        <w:rPr>
          <w:rFonts w:eastAsia="Times New Roman"/>
          <w:bCs/>
          <w:sz w:val="22"/>
          <w:szCs w:val="22"/>
          <w:lang w:eastAsia="en-AU"/>
        </w:rPr>
        <w:t>version</w:t>
      </w:r>
      <w:r w:rsidR="0049689B">
        <w:rPr>
          <w:rFonts w:eastAsia="Times New Roman"/>
          <w:bCs/>
          <w:sz w:val="22"/>
          <w:szCs w:val="22"/>
          <w:lang w:eastAsia="en-AU"/>
        </w:rPr>
        <w:t> </w:t>
      </w:r>
      <w:r w:rsidR="008244E6" w:rsidRPr="008244E6">
        <w:rPr>
          <w:rFonts w:eastAsia="Times New Roman"/>
          <w:bCs/>
          <w:sz w:val="22"/>
          <w:szCs w:val="22"/>
          <w:lang w:eastAsia="en-AU"/>
        </w:rPr>
        <w:t xml:space="preserve">3.2 of the </w:t>
      </w:r>
      <w:r w:rsidR="008244E6" w:rsidRPr="00D72161">
        <w:rPr>
          <w:rFonts w:eastAsia="Times New Roman"/>
          <w:bCs/>
          <w:i/>
          <w:iCs/>
          <w:sz w:val="22"/>
          <w:szCs w:val="22"/>
          <w:lang w:eastAsia="en-AU"/>
        </w:rPr>
        <w:t xml:space="preserve">eCTD AU </w:t>
      </w:r>
      <w:r w:rsidR="0049689B">
        <w:rPr>
          <w:rFonts w:eastAsia="Times New Roman"/>
          <w:bCs/>
          <w:i/>
          <w:iCs/>
          <w:sz w:val="22"/>
          <w:szCs w:val="22"/>
          <w:lang w:eastAsia="en-AU"/>
        </w:rPr>
        <w:t>m</w:t>
      </w:r>
      <w:r w:rsidR="008244E6" w:rsidRPr="00D72161">
        <w:rPr>
          <w:rFonts w:eastAsia="Times New Roman"/>
          <w:bCs/>
          <w:i/>
          <w:iCs/>
          <w:sz w:val="22"/>
          <w:szCs w:val="22"/>
          <w:lang w:eastAsia="en-AU"/>
        </w:rPr>
        <w:t>odule 1 and regional information</w:t>
      </w:r>
      <w:r w:rsidR="008244E6" w:rsidRPr="008244E6">
        <w:rPr>
          <w:rFonts w:eastAsia="Times New Roman"/>
          <w:bCs/>
          <w:sz w:val="22"/>
          <w:szCs w:val="22"/>
          <w:lang w:eastAsia="en-AU"/>
        </w:rPr>
        <w:t xml:space="preserve">, </w:t>
      </w:r>
      <w:r w:rsidR="00A00307">
        <w:rPr>
          <w:rFonts w:eastAsia="Times New Roman"/>
          <w:bCs/>
          <w:sz w:val="22"/>
          <w:szCs w:val="22"/>
          <w:lang w:eastAsia="en-AU"/>
        </w:rPr>
        <w:t>and</w:t>
      </w:r>
      <w:r w:rsidR="008244E6" w:rsidRPr="008244E6">
        <w:rPr>
          <w:rFonts w:eastAsia="Times New Roman"/>
          <w:bCs/>
          <w:sz w:val="22"/>
          <w:szCs w:val="22"/>
          <w:lang w:eastAsia="en-AU"/>
        </w:rPr>
        <w:t xml:space="preserve"> the</w:t>
      </w:r>
      <w:r w:rsidR="00A00307">
        <w:rPr>
          <w:rFonts w:eastAsia="Times New Roman"/>
          <w:bCs/>
          <w:sz w:val="22"/>
          <w:szCs w:val="22"/>
          <w:lang w:eastAsia="en-AU"/>
        </w:rPr>
        <w:t xml:space="preserve"> ICH </w:t>
      </w:r>
      <w:r w:rsidR="00A00307" w:rsidRPr="00565D57">
        <w:rPr>
          <w:rFonts w:eastAsia="Times New Roman"/>
          <w:bCs/>
          <w:i/>
          <w:iCs/>
          <w:sz w:val="22"/>
          <w:szCs w:val="22"/>
          <w:lang w:eastAsia="en-AU"/>
        </w:rPr>
        <w:t xml:space="preserve">eCTD </w:t>
      </w:r>
      <w:r w:rsidR="00AA20CE" w:rsidRPr="00565D57">
        <w:rPr>
          <w:rFonts w:eastAsia="Times New Roman"/>
          <w:bCs/>
          <w:i/>
          <w:iCs/>
          <w:sz w:val="22"/>
          <w:szCs w:val="22"/>
          <w:lang w:eastAsia="en-AU"/>
        </w:rPr>
        <w:t>Specification</w:t>
      </w:r>
      <w:r w:rsidR="0049689B">
        <w:rPr>
          <w:rFonts w:eastAsia="Times New Roman"/>
          <w:bCs/>
          <w:sz w:val="22"/>
          <w:szCs w:val="22"/>
          <w:lang w:eastAsia="en-AU"/>
        </w:rPr>
        <w:t> </w:t>
      </w:r>
      <w:r w:rsidR="00A00307">
        <w:rPr>
          <w:rFonts w:eastAsia="Times New Roman"/>
          <w:bCs/>
          <w:sz w:val="22"/>
          <w:szCs w:val="22"/>
          <w:lang w:eastAsia="en-AU"/>
        </w:rPr>
        <w:t>v3.2.2. Both documents referred to in the new definition are incorporated as</w:t>
      </w:r>
      <w:r w:rsidR="008244E6" w:rsidRPr="008244E6">
        <w:rPr>
          <w:rFonts w:eastAsia="Times New Roman"/>
          <w:bCs/>
          <w:sz w:val="22"/>
          <w:szCs w:val="22"/>
          <w:lang w:eastAsia="en-AU"/>
        </w:rPr>
        <w:t xml:space="preserve"> in force or existing on 1 April 2025. </w:t>
      </w:r>
      <w:r w:rsidR="00A00307">
        <w:rPr>
          <w:rFonts w:eastAsia="Times New Roman"/>
          <w:bCs/>
          <w:sz w:val="22"/>
          <w:szCs w:val="22"/>
          <w:lang w:eastAsia="en-AU"/>
        </w:rPr>
        <w:t xml:space="preserve">The note to the new definition of </w:t>
      </w:r>
      <w:r w:rsidR="00A00307" w:rsidRPr="00D72161">
        <w:rPr>
          <w:rFonts w:eastAsia="Times New Roman"/>
          <w:bCs/>
          <w:i/>
          <w:iCs/>
          <w:sz w:val="22"/>
          <w:szCs w:val="22"/>
          <w:lang w:eastAsia="en-AU"/>
        </w:rPr>
        <w:t>eCTD</w:t>
      </w:r>
      <w:r w:rsidR="00A00307">
        <w:rPr>
          <w:rFonts w:eastAsia="Times New Roman"/>
          <w:bCs/>
          <w:sz w:val="22"/>
          <w:szCs w:val="22"/>
          <w:lang w:eastAsia="en-AU"/>
        </w:rPr>
        <w:t xml:space="preserve"> provides details of where these documents are published and how they may be accessed.</w:t>
      </w:r>
    </w:p>
    <w:p w14:paraId="108240C2" w14:textId="77777777" w:rsidR="008244E6" w:rsidRPr="008244E6" w:rsidRDefault="008244E6" w:rsidP="00E17537">
      <w:pPr>
        <w:spacing w:after="0" w:line="240" w:lineRule="auto"/>
        <w:rPr>
          <w:rFonts w:eastAsia="Times New Roman"/>
          <w:bCs/>
          <w:sz w:val="22"/>
          <w:szCs w:val="22"/>
          <w:lang w:eastAsia="en-AU"/>
        </w:rPr>
      </w:pPr>
    </w:p>
    <w:p w14:paraId="257F6BBC" w14:textId="55371DD3" w:rsidR="008244E6" w:rsidRPr="008244E6" w:rsidRDefault="008244E6" w:rsidP="008244E6">
      <w:pPr>
        <w:keepNext/>
        <w:spacing w:after="0" w:line="240" w:lineRule="auto"/>
        <w:rPr>
          <w:rFonts w:eastAsia="Times New Roman"/>
          <w:bCs/>
          <w:sz w:val="22"/>
          <w:szCs w:val="22"/>
          <w:lang w:eastAsia="en-AU"/>
        </w:rPr>
      </w:pPr>
      <w:r w:rsidRPr="008244E6">
        <w:rPr>
          <w:rFonts w:eastAsia="Times New Roman"/>
          <w:b/>
          <w:sz w:val="22"/>
          <w:szCs w:val="22"/>
          <w:lang w:eastAsia="en-AU"/>
        </w:rPr>
        <w:t>Item 2– Section 7</w:t>
      </w:r>
    </w:p>
    <w:p w14:paraId="6CFDF138" w14:textId="6041EAAB" w:rsidR="008244E6" w:rsidRPr="008244E6" w:rsidRDefault="008244E6" w:rsidP="00E17537">
      <w:pPr>
        <w:spacing w:after="0" w:line="240" w:lineRule="auto"/>
        <w:rPr>
          <w:rFonts w:eastAsia="Times New Roman"/>
          <w:sz w:val="22"/>
          <w:szCs w:val="22"/>
          <w:lang w:eastAsia="en-AU"/>
        </w:rPr>
      </w:pPr>
      <w:r w:rsidRPr="008244E6">
        <w:rPr>
          <w:rFonts w:eastAsia="Times New Roman"/>
          <w:bCs/>
          <w:sz w:val="22"/>
          <w:szCs w:val="22"/>
          <w:lang w:eastAsia="en-AU"/>
        </w:rPr>
        <w:t xml:space="preserve">This item </w:t>
      </w:r>
      <w:r w:rsidR="00A00307">
        <w:rPr>
          <w:rFonts w:eastAsia="Times New Roman"/>
          <w:bCs/>
          <w:sz w:val="22"/>
          <w:szCs w:val="22"/>
          <w:lang w:eastAsia="en-AU"/>
        </w:rPr>
        <w:t>provides</w:t>
      </w:r>
      <w:r w:rsidR="00A00307" w:rsidRPr="008244E6">
        <w:rPr>
          <w:rFonts w:eastAsia="Times New Roman"/>
          <w:bCs/>
          <w:sz w:val="22"/>
          <w:szCs w:val="22"/>
          <w:lang w:eastAsia="en-AU"/>
        </w:rPr>
        <w:t xml:space="preserve"> </w:t>
      </w:r>
      <w:r w:rsidRPr="008244E6">
        <w:rPr>
          <w:rFonts w:eastAsia="Times New Roman"/>
          <w:bCs/>
          <w:sz w:val="22"/>
          <w:szCs w:val="22"/>
          <w:lang w:eastAsia="en-AU"/>
        </w:rPr>
        <w:t xml:space="preserve">the transitional arrangements for </w:t>
      </w:r>
      <w:r w:rsidR="00A00307">
        <w:rPr>
          <w:rFonts w:eastAsia="Times New Roman"/>
          <w:bCs/>
          <w:sz w:val="22"/>
          <w:szCs w:val="22"/>
          <w:lang w:eastAsia="en-AU"/>
        </w:rPr>
        <w:t>applications for registration that are in accordance with the eCTD format. Applicants may continue to comply with the previous version of the eCTD format for applications made before 1 October 2025. All applications made on or after 1</w:t>
      </w:r>
      <w:r w:rsidR="0049689B">
        <w:rPr>
          <w:rFonts w:eastAsia="Times New Roman"/>
          <w:bCs/>
          <w:sz w:val="22"/>
          <w:szCs w:val="22"/>
          <w:lang w:eastAsia="en-AU"/>
        </w:rPr>
        <w:t> </w:t>
      </w:r>
      <w:r w:rsidR="00A00307">
        <w:rPr>
          <w:rFonts w:eastAsia="Times New Roman"/>
          <w:bCs/>
          <w:sz w:val="22"/>
          <w:szCs w:val="22"/>
          <w:lang w:eastAsia="en-AU"/>
        </w:rPr>
        <w:t xml:space="preserve">October 2025 must comply with the versions of the eCTD format specified in the new definition of </w:t>
      </w:r>
      <w:r w:rsidR="00A00307" w:rsidRPr="00D72161">
        <w:rPr>
          <w:rFonts w:eastAsia="Times New Roman"/>
          <w:bCs/>
          <w:i/>
          <w:iCs/>
          <w:sz w:val="22"/>
          <w:szCs w:val="22"/>
          <w:lang w:eastAsia="en-AU"/>
        </w:rPr>
        <w:t>eCTD</w:t>
      </w:r>
      <w:r w:rsidR="00A00307">
        <w:rPr>
          <w:rFonts w:eastAsia="Times New Roman"/>
          <w:bCs/>
          <w:sz w:val="22"/>
          <w:szCs w:val="22"/>
          <w:lang w:eastAsia="en-AU"/>
        </w:rPr>
        <w:t>.</w:t>
      </w:r>
    </w:p>
    <w:bookmarkEnd w:id="8"/>
    <w:p w14:paraId="14A5A430" w14:textId="6A7F5AFD" w:rsidR="001E51F5" w:rsidRPr="00E9726E" w:rsidRDefault="001E51F5" w:rsidP="000B31F9">
      <w:pPr>
        <w:spacing w:after="0" w:line="240" w:lineRule="auto"/>
        <w:rPr>
          <w:rFonts w:eastAsia="Times New Roman"/>
          <w:bCs/>
          <w:sz w:val="22"/>
          <w:szCs w:val="22"/>
          <w:lang w:eastAsia="en-AU"/>
        </w:rPr>
      </w:pPr>
      <w:r w:rsidRPr="00E9726E">
        <w:rPr>
          <w:rFonts w:eastAsia="Times New Roman"/>
          <w:bCs/>
          <w:sz w:val="22"/>
          <w:szCs w:val="22"/>
          <w:lang w:eastAsia="en-AU"/>
        </w:rPr>
        <w:br w:type="page"/>
      </w:r>
    </w:p>
    <w:p w14:paraId="568BA265" w14:textId="77777777" w:rsidR="00E744B0" w:rsidRPr="00E9726E" w:rsidRDefault="00E744B0" w:rsidP="000B31F9">
      <w:pPr>
        <w:spacing w:after="0" w:line="240" w:lineRule="auto"/>
        <w:jc w:val="right"/>
        <w:rPr>
          <w:b/>
          <w:sz w:val="22"/>
          <w:szCs w:val="22"/>
        </w:rPr>
      </w:pPr>
      <w:r w:rsidRPr="00E9726E">
        <w:rPr>
          <w:b/>
          <w:sz w:val="22"/>
          <w:szCs w:val="22"/>
        </w:rPr>
        <w:lastRenderedPageBreak/>
        <w:t>Attachment B</w:t>
      </w:r>
    </w:p>
    <w:p w14:paraId="45E1E345" w14:textId="77777777" w:rsidR="00E744B0" w:rsidRPr="00E9726E" w:rsidRDefault="00E744B0" w:rsidP="000B31F9">
      <w:pPr>
        <w:spacing w:after="0" w:line="240" w:lineRule="auto"/>
        <w:jc w:val="center"/>
        <w:rPr>
          <w:bCs/>
          <w:sz w:val="22"/>
          <w:szCs w:val="22"/>
        </w:rPr>
      </w:pPr>
    </w:p>
    <w:p w14:paraId="05D89B19" w14:textId="77777777" w:rsidR="00E744B0" w:rsidRPr="00E9726E" w:rsidRDefault="00E744B0" w:rsidP="000B31F9">
      <w:pPr>
        <w:spacing w:after="0" w:line="240" w:lineRule="auto"/>
        <w:jc w:val="center"/>
        <w:rPr>
          <w:b/>
          <w:sz w:val="22"/>
          <w:szCs w:val="22"/>
        </w:rPr>
      </w:pPr>
      <w:r w:rsidRPr="00E9726E">
        <w:rPr>
          <w:b/>
          <w:sz w:val="22"/>
          <w:szCs w:val="22"/>
        </w:rPr>
        <w:t>Statement of Compatibility with Human Rights</w:t>
      </w:r>
    </w:p>
    <w:p w14:paraId="61C2B711" w14:textId="77777777" w:rsidR="00E744B0" w:rsidRPr="00E9726E" w:rsidRDefault="00E744B0" w:rsidP="000B31F9">
      <w:pPr>
        <w:spacing w:after="0" w:line="240" w:lineRule="auto"/>
        <w:rPr>
          <w:sz w:val="22"/>
          <w:szCs w:val="22"/>
        </w:rPr>
      </w:pPr>
    </w:p>
    <w:p w14:paraId="05F5EEBB" w14:textId="77777777" w:rsidR="00E744B0" w:rsidRPr="00E9726E" w:rsidRDefault="00E744B0" w:rsidP="000B31F9">
      <w:pPr>
        <w:spacing w:after="0" w:line="240" w:lineRule="auto"/>
        <w:jc w:val="center"/>
        <w:rPr>
          <w:sz w:val="22"/>
          <w:szCs w:val="22"/>
        </w:rPr>
      </w:pPr>
      <w:r w:rsidRPr="00E9726E">
        <w:rPr>
          <w:sz w:val="22"/>
          <w:szCs w:val="22"/>
        </w:rPr>
        <w:t xml:space="preserve">Prepared in accordance with Part 3 of the </w:t>
      </w:r>
      <w:r w:rsidRPr="00E9726E">
        <w:rPr>
          <w:i/>
          <w:sz w:val="22"/>
          <w:szCs w:val="22"/>
        </w:rPr>
        <w:t>Human Rights (Parliamentary Scrutiny) Act 2011</w:t>
      </w:r>
    </w:p>
    <w:p w14:paraId="46D43075" w14:textId="77777777" w:rsidR="00E744B0" w:rsidRPr="00E9726E" w:rsidRDefault="00E744B0" w:rsidP="000B31F9">
      <w:pPr>
        <w:spacing w:after="0" w:line="240" w:lineRule="auto"/>
        <w:jc w:val="center"/>
        <w:rPr>
          <w:bCs/>
          <w:sz w:val="22"/>
          <w:szCs w:val="22"/>
        </w:rPr>
      </w:pPr>
    </w:p>
    <w:p w14:paraId="3DAB8214" w14:textId="42BD7773" w:rsidR="001E51F5" w:rsidRPr="00E9726E" w:rsidRDefault="00DA449C" w:rsidP="000B31F9">
      <w:pPr>
        <w:spacing w:after="0" w:line="240" w:lineRule="auto"/>
        <w:jc w:val="center"/>
        <w:rPr>
          <w:rFonts w:eastAsia="Times New Roman"/>
          <w:b/>
          <w:sz w:val="22"/>
          <w:szCs w:val="22"/>
          <w:lang w:eastAsia="en-AU"/>
        </w:rPr>
      </w:pPr>
      <w:r w:rsidRPr="00E9726E">
        <w:rPr>
          <w:rFonts w:eastAsia="Times New Roman"/>
          <w:b/>
          <w:i/>
          <w:sz w:val="22"/>
          <w:szCs w:val="22"/>
          <w:lang w:eastAsia="en-AU"/>
        </w:rPr>
        <w:t>Therapeutic Goods (</w:t>
      </w:r>
      <w:r w:rsidR="003363F1">
        <w:rPr>
          <w:rFonts w:eastAsia="Times New Roman"/>
          <w:b/>
          <w:i/>
          <w:sz w:val="22"/>
          <w:szCs w:val="22"/>
          <w:lang w:eastAsia="en-AU"/>
        </w:rPr>
        <w:t>Prescription Medicines—Information Accompanying Applications for Registration</w:t>
      </w:r>
      <w:r w:rsidRPr="00E9726E">
        <w:rPr>
          <w:rFonts w:eastAsia="Times New Roman"/>
          <w:b/>
          <w:i/>
          <w:sz w:val="22"/>
          <w:szCs w:val="22"/>
          <w:lang w:eastAsia="en-AU"/>
        </w:rPr>
        <w:t>) Amendment Determination 202</w:t>
      </w:r>
      <w:r w:rsidR="008244E6">
        <w:rPr>
          <w:rFonts w:eastAsia="Times New Roman"/>
          <w:b/>
          <w:i/>
          <w:sz w:val="22"/>
          <w:szCs w:val="22"/>
          <w:lang w:eastAsia="en-AU"/>
        </w:rPr>
        <w:t>5</w:t>
      </w:r>
    </w:p>
    <w:p w14:paraId="20F0978C" w14:textId="77777777" w:rsidR="00E744B0" w:rsidRPr="00E9726E" w:rsidRDefault="00E744B0" w:rsidP="000B31F9">
      <w:pPr>
        <w:spacing w:after="0" w:line="240" w:lineRule="auto"/>
        <w:rPr>
          <w:rFonts w:eastAsia="Times New Roman"/>
          <w:sz w:val="22"/>
          <w:szCs w:val="22"/>
          <w:lang w:eastAsia="en-AU"/>
        </w:rPr>
      </w:pPr>
    </w:p>
    <w:p w14:paraId="5285A433" w14:textId="6851870B" w:rsidR="008244E6" w:rsidRPr="008244E6" w:rsidRDefault="00D767F6" w:rsidP="000B31F9">
      <w:pPr>
        <w:spacing w:after="0" w:line="240" w:lineRule="auto"/>
        <w:rPr>
          <w:rFonts w:eastAsia="Times New Roman"/>
          <w:sz w:val="22"/>
          <w:szCs w:val="22"/>
          <w:lang w:eastAsia="en-AU"/>
        </w:rPr>
      </w:pPr>
      <w:r>
        <w:rPr>
          <w:sz w:val="22"/>
          <w:szCs w:val="22"/>
        </w:rPr>
        <w:t>This</w:t>
      </w:r>
      <w:r w:rsidR="003363F1" w:rsidRPr="008244E6">
        <w:rPr>
          <w:iCs/>
          <w:sz w:val="22"/>
          <w:szCs w:val="22"/>
        </w:rPr>
        <w:t xml:space="preserve"> </w:t>
      </w:r>
      <w:r w:rsidR="001E51F5" w:rsidRPr="008244E6">
        <w:rPr>
          <w:rFonts w:eastAsia="Times New Roman"/>
          <w:sz w:val="22"/>
          <w:szCs w:val="22"/>
          <w:lang w:eastAsia="en-AU"/>
        </w:rPr>
        <w:t xml:space="preserve">disallowable legislative instrument is compatible with the human rights and freedoms recognised or declared in the international instruments listed in section 3 of the </w:t>
      </w:r>
      <w:r w:rsidR="001E51F5" w:rsidRPr="008244E6">
        <w:rPr>
          <w:rFonts w:eastAsia="Times New Roman"/>
          <w:i/>
          <w:sz w:val="22"/>
          <w:szCs w:val="22"/>
          <w:lang w:eastAsia="en-AU"/>
        </w:rPr>
        <w:t>Human Rights (Parliamentary Scrutiny) Act 2011</w:t>
      </w:r>
      <w:r w:rsidR="001E51F5" w:rsidRPr="008244E6">
        <w:rPr>
          <w:rFonts w:eastAsia="Times New Roman"/>
          <w:sz w:val="22"/>
          <w:szCs w:val="22"/>
          <w:lang w:eastAsia="en-AU"/>
        </w:rPr>
        <w:t>.</w:t>
      </w:r>
    </w:p>
    <w:p w14:paraId="4E3F6670" w14:textId="77777777" w:rsidR="008244E6" w:rsidRPr="008244E6" w:rsidRDefault="008244E6" w:rsidP="000B31F9">
      <w:pPr>
        <w:spacing w:after="0" w:line="240" w:lineRule="auto"/>
        <w:rPr>
          <w:rFonts w:eastAsia="Times New Roman"/>
          <w:bCs/>
          <w:sz w:val="22"/>
          <w:szCs w:val="22"/>
          <w:lang w:eastAsia="en-AU"/>
        </w:rPr>
      </w:pPr>
    </w:p>
    <w:p w14:paraId="3EFBDC5A" w14:textId="74EBB43D" w:rsidR="008244E6" w:rsidRPr="008244E6" w:rsidRDefault="001E51F5" w:rsidP="008244E6">
      <w:pPr>
        <w:keepNext/>
        <w:spacing w:after="0" w:line="240" w:lineRule="auto"/>
        <w:rPr>
          <w:rFonts w:eastAsia="Times New Roman"/>
          <w:b/>
          <w:sz w:val="22"/>
          <w:szCs w:val="22"/>
          <w:lang w:eastAsia="en-AU"/>
        </w:rPr>
      </w:pPr>
      <w:r w:rsidRPr="008244E6">
        <w:rPr>
          <w:rFonts w:eastAsia="Times New Roman"/>
          <w:b/>
          <w:sz w:val="22"/>
          <w:szCs w:val="22"/>
          <w:lang w:eastAsia="en-AU"/>
        </w:rPr>
        <w:t>Overview of legislative instrumen</w:t>
      </w:r>
      <w:r w:rsidR="008244E6" w:rsidRPr="008244E6">
        <w:rPr>
          <w:rFonts w:eastAsia="Times New Roman"/>
          <w:b/>
          <w:sz w:val="22"/>
          <w:szCs w:val="22"/>
          <w:lang w:eastAsia="en-AU"/>
        </w:rPr>
        <w:t>t</w:t>
      </w:r>
    </w:p>
    <w:p w14:paraId="63B109D0" w14:textId="77777777" w:rsidR="008244E6" w:rsidRPr="008244E6" w:rsidRDefault="008244E6" w:rsidP="002F2C38">
      <w:pPr>
        <w:autoSpaceDE w:val="0"/>
        <w:autoSpaceDN w:val="0"/>
        <w:adjustRightInd w:val="0"/>
        <w:spacing w:after="0" w:line="240" w:lineRule="auto"/>
        <w:rPr>
          <w:rFonts w:eastAsia="Times New Roman"/>
          <w:sz w:val="22"/>
          <w:szCs w:val="22"/>
          <w:lang w:eastAsia="en-AU"/>
        </w:rPr>
      </w:pPr>
    </w:p>
    <w:p w14:paraId="30FF1044" w14:textId="7483BF17" w:rsidR="00B16E89" w:rsidRDefault="00B16E89" w:rsidP="00B16E89">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 xml:space="preserve">The </w:t>
      </w:r>
      <w:r>
        <w:rPr>
          <w:rFonts w:eastAsia="Times New Roman"/>
          <w:i/>
          <w:sz w:val="22"/>
          <w:szCs w:val="22"/>
          <w:lang w:eastAsia="en-AU"/>
        </w:rPr>
        <w:t xml:space="preserve">Therapeutic Goods Act 1989 </w:t>
      </w:r>
      <w:r>
        <w:rPr>
          <w:rFonts w:eastAsia="Times New Roman"/>
          <w:iCs/>
          <w:sz w:val="22"/>
          <w:szCs w:val="22"/>
          <w:lang w:eastAsia="en-AU"/>
        </w:rPr>
        <w:t xml:space="preserve">(“the </w:t>
      </w:r>
      <w:r w:rsidRPr="00D72161">
        <w:rPr>
          <w:rFonts w:eastAsia="Times New Roman"/>
          <w:iCs/>
          <w:sz w:val="22"/>
          <w:szCs w:val="22"/>
          <w:lang w:eastAsia="en-AU"/>
        </w:rPr>
        <w:t>Act</w:t>
      </w:r>
      <w:r>
        <w:rPr>
          <w:rFonts w:eastAsia="Times New Roman"/>
          <w:iCs/>
          <w:sz w:val="22"/>
          <w:szCs w:val="22"/>
          <w:lang w:eastAsia="en-AU"/>
        </w:rPr>
        <w:t>”)</w:t>
      </w:r>
      <w:r w:rsidRPr="00D72161">
        <w:rPr>
          <w:rFonts w:eastAsia="Times New Roman"/>
          <w:iCs/>
          <w:sz w:val="22"/>
          <w:szCs w:val="22"/>
          <w:lang w:eastAsia="en-AU"/>
        </w:rPr>
        <w:t xml:space="preserve"> provides</w:t>
      </w:r>
      <w:r>
        <w:rPr>
          <w:rFonts w:eastAsia="Times New Roman"/>
          <w:iCs/>
          <w:sz w:val="22"/>
          <w:szCs w:val="22"/>
          <w:lang w:eastAsia="en-AU"/>
        </w:rPr>
        <w:t xml:space="preserve"> for the preliminary assessment of applications for the inclusion of therapeutic goods in the Australian Register of Therapeutic Goods (“the Register”). In particular, the Act requires an application for the inclusion of a medicine, biological or medical device in the Register to meet certain preliminary requirements before the Secretary may proceed to evaluation. The Secretary may refuse an application prior to evaluation if the application does not meet those requirements.</w:t>
      </w:r>
    </w:p>
    <w:p w14:paraId="441FDBF7" w14:textId="77777777" w:rsidR="00B16E89" w:rsidRDefault="00B16E89" w:rsidP="00B16E89">
      <w:pPr>
        <w:autoSpaceDE w:val="0"/>
        <w:autoSpaceDN w:val="0"/>
        <w:adjustRightInd w:val="0"/>
        <w:spacing w:after="0" w:line="240" w:lineRule="auto"/>
        <w:rPr>
          <w:rFonts w:eastAsia="Times New Roman"/>
          <w:iCs/>
          <w:sz w:val="22"/>
          <w:szCs w:val="22"/>
          <w:lang w:eastAsia="en-AU"/>
        </w:rPr>
      </w:pPr>
    </w:p>
    <w:p w14:paraId="154675B7" w14:textId="77777777" w:rsidR="00B16E89" w:rsidRDefault="00B16E89" w:rsidP="00B16E89">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 xml:space="preserve">Section 23B of the Act sets out the preliminary assessment requirements relating to applications for the registration of therapeutic goods, and the listing of medicines under section 26AE of the Act. These requirements include a requirement that the application be accompanied by information that is of a kind determined under subsection 23B(9) for a class of therapeutic goods, and that the information is in a form determined under subsection 23B(10) for the class of therapeutic goods. </w:t>
      </w:r>
    </w:p>
    <w:p w14:paraId="4B1E9EEF" w14:textId="77777777" w:rsidR="00B16E89" w:rsidRDefault="00B16E89" w:rsidP="00B16E89">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Relevantly, subsection 23B(10) of the Act relevant provides that the Secretary may, by legislative instrument, determine a form of information for the purposes of such applications.</w:t>
      </w:r>
    </w:p>
    <w:p w14:paraId="70C40C2A" w14:textId="77777777" w:rsidR="00B16E89" w:rsidRDefault="00B16E89" w:rsidP="00B16E89">
      <w:pPr>
        <w:autoSpaceDE w:val="0"/>
        <w:autoSpaceDN w:val="0"/>
        <w:adjustRightInd w:val="0"/>
        <w:spacing w:after="0" w:line="240" w:lineRule="auto"/>
        <w:rPr>
          <w:rFonts w:eastAsia="Times New Roman"/>
          <w:iCs/>
          <w:sz w:val="22"/>
          <w:szCs w:val="22"/>
          <w:lang w:eastAsia="en-AU"/>
        </w:rPr>
      </w:pPr>
    </w:p>
    <w:p w14:paraId="2C13A331" w14:textId="77777777" w:rsidR="00B16E89" w:rsidRDefault="00B16E89" w:rsidP="00B16E89">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 xml:space="preserve">The </w:t>
      </w:r>
      <w:r w:rsidRPr="00D72161">
        <w:rPr>
          <w:rFonts w:eastAsia="Times New Roman"/>
          <w:i/>
          <w:sz w:val="22"/>
          <w:szCs w:val="22"/>
          <w:lang w:eastAsia="en-AU"/>
        </w:rPr>
        <w:t>Therapeutic Goods (Prescription Medicines—Information Accompanying Applications for Registration) Determination 2021</w:t>
      </w:r>
      <w:r>
        <w:rPr>
          <w:rFonts w:eastAsia="Times New Roman"/>
          <w:iCs/>
          <w:sz w:val="22"/>
          <w:szCs w:val="22"/>
          <w:lang w:eastAsia="en-AU"/>
        </w:rPr>
        <w:t xml:space="preserve"> (“the Principal Determination”) was made under subsection 23B(10) of the Act. It specifies the form requirements for information that accompanies an application for registration of a prescription medicine.</w:t>
      </w:r>
    </w:p>
    <w:p w14:paraId="08685310" w14:textId="77777777" w:rsidR="00B16E89" w:rsidRDefault="00B16E89" w:rsidP="00B16E89">
      <w:pPr>
        <w:autoSpaceDE w:val="0"/>
        <w:autoSpaceDN w:val="0"/>
        <w:adjustRightInd w:val="0"/>
        <w:spacing w:after="0" w:line="240" w:lineRule="auto"/>
        <w:rPr>
          <w:rFonts w:eastAsia="Times New Roman"/>
          <w:iCs/>
          <w:sz w:val="22"/>
          <w:szCs w:val="22"/>
          <w:lang w:eastAsia="en-AU"/>
        </w:rPr>
      </w:pPr>
    </w:p>
    <w:p w14:paraId="2547527F" w14:textId="77777777" w:rsidR="00B16E89" w:rsidRPr="000829FF" w:rsidRDefault="00B16E89" w:rsidP="00B16E89">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 xml:space="preserve">The </w:t>
      </w:r>
      <w:r w:rsidRPr="00D72161">
        <w:rPr>
          <w:rFonts w:eastAsia="Times New Roman"/>
          <w:i/>
          <w:sz w:val="22"/>
          <w:szCs w:val="22"/>
          <w:lang w:eastAsia="en-AU"/>
        </w:rPr>
        <w:t>Therapeutic Goods (Prescription Medicines—Information Accompanying Applications for Registration) Amendment Determination 2025</w:t>
      </w:r>
      <w:r w:rsidRPr="00D72161">
        <w:rPr>
          <w:rFonts w:eastAsia="Times New Roman"/>
          <w:iCs/>
          <w:sz w:val="22"/>
          <w:szCs w:val="22"/>
          <w:lang w:eastAsia="en-AU"/>
        </w:rPr>
        <w:t xml:space="preserve"> (“</w:t>
      </w:r>
      <w:r>
        <w:rPr>
          <w:rFonts w:eastAsia="Times New Roman"/>
          <w:iCs/>
          <w:sz w:val="22"/>
          <w:szCs w:val="22"/>
          <w:lang w:eastAsia="en-AU"/>
        </w:rPr>
        <w:t xml:space="preserve">the </w:t>
      </w:r>
      <w:r w:rsidRPr="00D72161">
        <w:rPr>
          <w:rFonts w:eastAsia="Times New Roman"/>
          <w:iCs/>
          <w:sz w:val="22"/>
          <w:szCs w:val="22"/>
          <w:lang w:eastAsia="en-AU"/>
        </w:rPr>
        <w:t xml:space="preserve">Amendment Determination”) amends the </w:t>
      </w:r>
      <w:r w:rsidRPr="000829FF">
        <w:rPr>
          <w:rFonts w:eastAsia="Times New Roman"/>
          <w:iCs/>
          <w:sz w:val="22"/>
          <w:szCs w:val="22"/>
          <w:lang w:eastAsia="en-AU"/>
        </w:rPr>
        <w:t>Principal</w:t>
      </w:r>
      <w:r w:rsidRPr="00D72161">
        <w:rPr>
          <w:rFonts w:eastAsia="Times New Roman"/>
          <w:iCs/>
          <w:sz w:val="22"/>
          <w:szCs w:val="22"/>
          <w:lang w:eastAsia="en-AU"/>
        </w:rPr>
        <w:t xml:space="preserve"> Determination to </w:t>
      </w:r>
      <w:r>
        <w:rPr>
          <w:rFonts w:eastAsia="Times New Roman"/>
          <w:iCs/>
          <w:sz w:val="22"/>
          <w:szCs w:val="22"/>
          <w:lang w:eastAsia="en-AU"/>
        </w:rPr>
        <w:t xml:space="preserve">specify </w:t>
      </w:r>
      <w:r w:rsidRPr="00D72161">
        <w:rPr>
          <w:rFonts w:eastAsia="Times New Roman"/>
          <w:iCs/>
          <w:sz w:val="22"/>
          <w:szCs w:val="22"/>
          <w:lang w:eastAsia="en-AU"/>
        </w:rPr>
        <w:t>update</w:t>
      </w:r>
      <w:r>
        <w:rPr>
          <w:rFonts w:eastAsia="Times New Roman"/>
          <w:iCs/>
          <w:sz w:val="22"/>
          <w:szCs w:val="22"/>
          <w:lang w:eastAsia="en-AU"/>
        </w:rPr>
        <w:t>d</w:t>
      </w:r>
      <w:r w:rsidRPr="00D72161">
        <w:rPr>
          <w:rFonts w:eastAsia="Times New Roman"/>
          <w:iCs/>
          <w:sz w:val="22"/>
          <w:szCs w:val="22"/>
          <w:lang w:eastAsia="en-AU"/>
        </w:rPr>
        <w:t xml:space="preserve"> reference</w:t>
      </w:r>
      <w:r>
        <w:rPr>
          <w:rFonts w:eastAsia="Times New Roman"/>
          <w:iCs/>
          <w:sz w:val="22"/>
          <w:szCs w:val="22"/>
          <w:lang w:eastAsia="en-AU"/>
        </w:rPr>
        <w:t>s</w:t>
      </w:r>
      <w:r w:rsidRPr="00D72161">
        <w:rPr>
          <w:rFonts w:eastAsia="Times New Roman"/>
          <w:iCs/>
          <w:sz w:val="22"/>
          <w:szCs w:val="22"/>
          <w:lang w:eastAsia="en-AU"/>
        </w:rPr>
        <w:t xml:space="preserve"> to the version</w:t>
      </w:r>
      <w:r>
        <w:rPr>
          <w:rFonts w:eastAsia="Times New Roman"/>
          <w:iCs/>
          <w:sz w:val="22"/>
          <w:szCs w:val="22"/>
          <w:lang w:eastAsia="en-AU"/>
        </w:rPr>
        <w:t>s</w:t>
      </w:r>
      <w:r w:rsidRPr="00D72161">
        <w:rPr>
          <w:rFonts w:eastAsia="Times New Roman"/>
          <w:iCs/>
          <w:sz w:val="22"/>
          <w:szCs w:val="22"/>
          <w:lang w:eastAsia="en-AU"/>
        </w:rPr>
        <w:t xml:space="preserve"> of the electronic Common </w:t>
      </w:r>
      <w:r w:rsidRPr="000829FF">
        <w:rPr>
          <w:rFonts w:eastAsia="Times New Roman"/>
          <w:iCs/>
          <w:sz w:val="22"/>
          <w:szCs w:val="22"/>
          <w:lang w:eastAsia="en-AU"/>
        </w:rPr>
        <w:t>Technical</w:t>
      </w:r>
      <w:r w:rsidRPr="00D72161">
        <w:rPr>
          <w:rFonts w:eastAsia="Times New Roman"/>
          <w:iCs/>
          <w:sz w:val="22"/>
          <w:szCs w:val="22"/>
          <w:lang w:eastAsia="en-AU"/>
        </w:rPr>
        <w:t xml:space="preserve"> Document</w:t>
      </w:r>
      <w:r>
        <w:rPr>
          <w:rFonts w:eastAsia="Times New Roman"/>
          <w:iCs/>
          <w:sz w:val="22"/>
          <w:szCs w:val="22"/>
          <w:lang w:eastAsia="en-AU"/>
        </w:rPr>
        <w:t xml:space="preserve"> that must be used when submitting an application for registration of a prescription medicine to the TGA.</w:t>
      </w:r>
    </w:p>
    <w:p w14:paraId="2B935380" w14:textId="77777777" w:rsidR="0049689B" w:rsidRPr="00173CDD" w:rsidRDefault="0049689B" w:rsidP="0049689B">
      <w:pPr>
        <w:autoSpaceDE w:val="0"/>
        <w:autoSpaceDN w:val="0"/>
        <w:adjustRightInd w:val="0"/>
        <w:spacing w:after="0" w:line="240" w:lineRule="auto"/>
        <w:rPr>
          <w:rFonts w:eastAsia="Times New Roman"/>
          <w:sz w:val="22"/>
          <w:szCs w:val="22"/>
          <w:highlight w:val="yellow"/>
          <w:lang w:eastAsia="en-AU"/>
        </w:rPr>
      </w:pPr>
    </w:p>
    <w:p w14:paraId="4DF714BD" w14:textId="77777777" w:rsidR="0049689B" w:rsidRPr="00565D57" w:rsidRDefault="0049689B" w:rsidP="0049689B">
      <w:pPr>
        <w:keepNext/>
        <w:autoSpaceDE w:val="0"/>
        <w:autoSpaceDN w:val="0"/>
        <w:adjustRightInd w:val="0"/>
        <w:spacing w:after="0" w:line="240" w:lineRule="auto"/>
        <w:rPr>
          <w:rFonts w:eastAsia="Times New Roman"/>
          <w:bCs/>
          <w:i/>
          <w:iCs/>
          <w:sz w:val="22"/>
          <w:szCs w:val="22"/>
          <w:lang w:eastAsia="en-AU"/>
        </w:rPr>
      </w:pPr>
      <w:r w:rsidRPr="00565D57">
        <w:rPr>
          <w:rFonts w:eastAsia="Times New Roman"/>
          <w:bCs/>
          <w:i/>
          <w:iCs/>
          <w:sz w:val="22"/>
          <w:szCs w:val="22"/>
          <w:lang w:eastAsia="en-AU"/>
        </w:rPr>
        <w:t>Background</w:t>
      </w:r>
    </w:p>
    <w:p w14:paraId="1AE37C31" w14:textId="77777777" w:rsidR="0049689B" w:rsidRDefault="0049689B" w:rsidP="0049689B">
      <w:pPr>
        <w:keepNext/>
        <w:autoSpaceDE w:val="0"/>
        <w:autoSpaceDN w:val="0"/>
        <w:adjustRightInd w:val="0"/>
        <w:spacing w:after="0" w:line="240" w:lineRule="auto"/>
        <w:rPr>
          <w:rFonts w:eastAsia="Times New Roman"/>
          <w:b/>
          <w:sz w:val="22"/>
          <w:szCs w:val="22"/>
          <w:highlight w:val="yellow"/>
          <w:lang w:eastAsia="en-AU"/>
        </w:rPr>
      </w:pPr>
    </w:p>
    <w:p w14:paraId="732A46CF" w14:textId="77777777" w:rsidR="00B16E89" w:rsidRDefault="00B16E89" w:rsidP="00B16E89">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The Act requires an application for the inclusion of a therapeutic good in the Register to meet certain preliminary requirements before the Secretary may proceed to evaluation. These requirements include that an application has been made in accordance with the appropriate approved form for the relevant class of therapeutic goods, and that it is accompanied by the necessary kind of information needed to evaluate the application.</w:t>
      </w:r>
    </w:p>
    <w:p w14:paraId="37EB6876" w14:textId="77777777" w:rsidR="00B16E89" w:rsidRDefault="00B16E89" w:rsidP="00B16E89">
      <w:pPr>
        <w:autoSpaceDE w:val="0"/>
        <w:autoSpaceDN w:val="0"/>
        <w:adjustRightInd w:val="0"/>
        <w:spacing w:after="0" w:line="240" w:lineRule="auto"/>
        <w:rPr>
          <w:rFonts w:eastAsia="Times New Roman"/>
          <w:iCs/>
          <w:sz w:val="22"/>
          <w:szCs w:val="22"/>
          <w:lang w:eastAsia="en-AU"/>
        </w:rPr>
      </w:pPr>
    </w:p>
    <w:p w14:paraId="5D135B0B" w14:textId="77777777" w:rsidR="00B16E89" w:rsidRDefault="00B16E89" w:rsidP="00B16E89">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The requirements are designed to enable the effective management of resources by the Department in the evaluation of therapeutic goods. A full evaluation process represents a considerable investment in, and use of, Commonwealth resources. Consequently, there are considerable efficiencies to be gained in mandating content and form requirements for applications to provide clarity regarding application requirements, to streamline application and evaluation processes, and to prevent delays in evaluating applications.</w:t>
      </w:r>
    </w:p>
    <w:p w14:paraId="4A98AF94" w14:textId="77777777" w:rsidR="00B16E89" w:rsidRDefault="00B16E89" w:rsidP="00B16E89">
      <w:pPr>
        <w:keepNext/>
        <w:autoSpaceDE w:val="0"/>
        <w:autoSpaceDN w:val="0"/>
        <w:adjustRightInd w:val="0"/>
        <w:spacing w:after="0" w:line="240" w:lineRule="auto"/>
        <w:rPr>
          <w:rFonts w:eastAsia="Times New Roman"/>
          <w:iCs/>
          <w:sz w:val="22"/>
          <w:szCs w:val="22"/>
          <w:lang w:eastAsia="en-AU"/>
        </w:rPr>
      </w:pPr>
    </w:p>
    <w:p w14:paraId="5E94A0E6" w14:textId="77777777" w:rsidR="00B16E89" w:rsidRDefault="00B16E89" w:rsidP="00B16E89">
      <w:pPr>
        <w:keepNext/>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Relevantly, paragraph 23B(2)(d) of the Act provides that an application under section 23 for registration of therapeutic goods must be accompanied by information that is of a kind determined under subsection (9) for that class of therapeutic goods, and in a form determined under subsection (10) for that class of therapeutic goods.</w:t>
      </w:r>
    </w:p>
    <w:p w14:paraId="06ED731F" w14:textId="77777777" w:rsidR="00B16E89" w:rsidRPr="00D72161" w:rsidRDefault="00B16E89" w:rsidP="00B16E89">
      <w:pPr>
        <w:keepNext/>
        <w:autoSpaceDE w:val="0"/>
        <w:autoSpaceDN w:val="0"/>
        <w:adjustRightInd w:val="0"/>
        <w:spacing w:after="0" w:line="240" w:lineRule="auto"/>
        <w:rPr>
          <w:rFonts w:eastAsia="Times New Roman"/>
          <w:iCs/>
          <w:sz w:val="22"/>
          <w:szCs w:val="22"/>
          <w:lang w:eastAsia="en-AU"/>
        </w:rPr>
      </w:pPr>
    </w:p>
    <w:p w14:paraId="5E661E63" w14:textId="77777777" w:rsidR="00B16E89" w:rsidRPr="008244E6" w:rsidRDefault="00B16E89" w:rsidP="00B16E89">
      <w:pPr>
        <w:widowControl w:val="0"/>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 xml:space="preserve">Classes of therapeutic goods are specified in the </w:t>
      </w:r>
      <w:r w:rsidRPr="008244E6">
        <w:rPr>
          <w:rFonts w:eastAsia="Times New Roman"/>
          <w:i/>
          <w:iCs/>
          <w:sz w:val="22"/>
          <w:szCs w:val="22"/>
          <w:lang w:eastAsia="en-AU"/>
        </w:rPr>
        <w:t xml:space="preserve">Therapeutic Goods (Classes of Therapeutic Goods) Instrument 2018 </w:t>
      </w:r>
      <w:r w:rsidRPr="008244E6">
        <w:rPr>
          <w:rFonts w:eastAsia="Times New Roman"/>
          <w:sz w:val="22"/>
          <w:szCs w:val="22"/>
          <w:lang w:eastAsia="en-AU"/>
        </w:rPr>
        <w:t>(</w:t>
      </w:r>
      <w:r>
        <w:rPr>
          <w:rFonts w:eastAsia="Times New Roman"/>
          <w:sz w:val="22"/>
          <w:szCs w:val="22"/>
          <w:lang w:eastAsia="en-AU"/>
        </w:rPr>
        <w:t>“</w:t>
      </w:r>
      <w:r w:rsidRPr="008244E6">
        <w:rPr>
          <w:rFonts w:eastAsia="Times New Roman"/>
          <w:sz w:val="22"/>
          <w:szCs w:val="22"/>
          <w:lang w:eastAsia="en-AU"/>
        </w:rPr>
        <w:t>the Classes Instrument</w:t>
      </w:r>
      <w:r>
        <w:rPr>
          <w:rFonts w:eastAsia="Times New Roman"/>
          <w:sz w:val="22"/>
          <w:szCs w:val="22"/>
          <w:lang w:eastAsia="en-AU"/>
        </w:rPr>
        <w:t>”</w:t>
      </w:r>
      <w:r w:rsidRPr="008244E6">
        <w:rPr>
          <w:rFonts w:eastAsia="Times New Roman"/>
          <w:sz w:val="22"/>
          <w:szCs w:val="22"/>
          <w:lang w:eastAsia="en-AU"/>
        </w:rPr>
        <w:t xml:space="preserve">), which is made under section 23A of the Act. The Classes Instrument includes the class ‘prescription and other medicines’, </w:t>
      </w:r>
      <w:r>
        <w:rPr>
          <w:rFonts w:eastAsia="Times New Roman"/>
          <w:sz w:val="22"/>
          <w:szCs w:val="22"/>
          <w:lang w:eastAsia="en-AU"/>
        </w:rPr>
        <w:t xml:space="preserve">which is the class of therapeutic goods </w:t>
      </w:r>
      <w:r w:rsidRPr="008244E6">
        <w:rPr>
          <w:rFonts w:eastAsia="Times New Roman"/>
          <w:sz w:val="22"/>
          <w:szCs w:val="22"/>
          <w:lang w:eastAsia="en-AU"/>
        </w:rPr>
        <w:t>to which the Principal Determination applies. Section 4 of the Classes Instrument specifie</w:t>
      </w:r>
      <w:r>
        <w:rPr>
          <w:rFonts w:eastAsia="Times New Roman"/>
          <w:sz w:val="22"/>
          <w:szCs w:val="22"/>
          <w:lang w:eastAsia="en-AU"/>
        </w:rPr>
        <w:t>s</w:t>
      </w:r>
      <w:r w:rsidRPr="008244E6">
        <w:rPr>
          <w:rFonts w:eastAsia="Times New Roman"/>
          <w:sz w:val="22"/>
          <w:szCs w:val="22"/>
          <w:lang w:eastAsia="en-AU"/>
        </w:rPr>
        <w:t xml:space="preserve"> the following kinds of medicines as ‘prescription and other medicines’:</w:t>
      </w:r>
    </w:p>
    <w:p w14:paraId="0EA8A9AA" w14:textId="77777777" w:rsidR="00B16E89" w:rsidRPr="008244E6" w:rsidRDefault="00B16E89" w:rsidP="00B16E89">
      <w:pPr>
        <w:pStyle w:val="ListParagraph"/>
        <w:widowControl w:val="0"/>
        <w:numPr>
          <w:ilvl w:val="0"/>
          <w:numId w:val="27"/>
        </w:numPr>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prescription and other medicines specified in items 1</w:t>
      </w:r>
      <w:r>
        <w:rPr>
          <w:rFonts w:eastAsia="Times New Roman"/>
          <w:sz w:val="22"/>
          <w:szCs w:val="22"/>
          <w:lang w:eastAsia="en-AU"/>
        </w:rPr>
        <w:t xml:space="preserve"> </w:t>
      </w:r>
      <w:r w:rsidRPr="008244E6">
        <w:rPr>
          <w:rFonts w:eastAsia="Times New Roman"/>
          <w:sz w:val="22"/>
          <w:szCs w:val="22"/>
          <w:lang w:eastAsia="en-AU"/>
        </w:rPr>
        <w:t xml:space="preserve">to 13 of Part 1 of Schedule 10 to the </w:t>
      </w:r>
      <w:r w:rsidRPr="008244E6">
        <w:rPr>
          <w:rFonts w:eastAsia="Times New Roman"/>
          <w:i/>
          <w:iCs/>
          <w:sz w:val="22"/>
          <w:szCs w:val="22"/>
          <w:lang w:eastAsia="en-AU"/>
        </w:rPr>
        <w:t>Therapeutic Goods Regulations 1990</w:t>
      </w:r>
      <w:r w:rsidRPr="008244E6">
        <w:rPr>
          <w:rFonts w:eastAsia="Times New Roman"/>
          <w:sz w:val="22"/>
          <w:szCs w:val="22"/>
          <w:lang w:eastAsia="en-AU"/>
        </w:rPr>
        <w:t>;</w:t>
      </w:r>
    </w:p>
    <w:p w14:paraId="77818F3C" w14:textId="77777777" w:rsidR="00B16E89" w:rsidRPr="008244E6" w:rsidRDefault="00B16E89" w:rsidP="00B16E89">
      <w:pPr>
        <w:pStyle w:val="ListParagraph"/>
        <w:widowControl w:val="0"/>
        <w:numPr>
          <w:ilvl w:val="0"/>
          <w:numId w:val="27"/>
        </w:numPr>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medicines containing oral nitrates for the treatment of heart disease;</w:t>
      </w:r>
    </w:p>
    <w:p w14:paraId="4060DEA4" w14:textId="77777777" w:rsidR="00B16E89" w:rsidRPr="008244E6" w:rsidRDefault="00B16E89" w:rsidP="00B16E89">
      <w:pPr>
        <w:pStyle w:val="ListParagraph"/>
        <w:widowControl w:val="0"/>
        <w:numPr>
          <w:ilvl w:val="0"/>
          <w:numId w:val="27"/>
        </w:numPr>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nasal corticosteroids;</w:t>
      </w:r>
    </w:p>
    <w:p w14:paraId="5F4A1E81" w14:textId="77777777" w:rsidR="00B16E89" w:rsidRPr="008244E6" w:rsidRDefault="00B16E89" w:rsidP="00B16E89">
      <w:pPr>
        <w:pStyle w:val="ListParagraph"/>
        <w:widowControl w:val="0"/>
        <w:numPr>
          <w:ilvl w:val="0"/>
          <w:numId w:val="27"/>
        </w:numPr>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metered-dose asthma inhalers; and</w:t>
      </w:r>
    </w:p>
    <w:p w14:paraId="39812E67" w14:textId="77777777" w:rsidR="00B16E89" w:rsidRPr="008244E6" w:rsidRDefault="00B16E89" w:rsidP="00B16E89">
      <w:pPr>
        <w:pStyle w:val="ListParagraph"/>
        <w:widowControl w:val="0"/>
        <w:numPr>
          <w:ilvl w:val="0"/>
          <w:numId w:val="27"/>
        </w:numPr>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transdermal nicotine patches.</w:t>
      </w:r>
    </w:p>
    <w:p w14:paraId="2BDE02B5" w14:textId="77777777" w:rsidR="00B16E89" w:rsidRPr="008244E6" w:rsidRDefault="00B16E89" w:rsidP="00B16E89">
      <w:pPr>
        <w:widowControl w:val="0"/>
        <w:autoSpaceDE w:val="0"/>
        <w:autoSpaceDN w:val="0"/>
        <w:adjustRightInd w:val="0"/>
        <w:spacing w:after="0" w:line="240" w:lineRule="auto"/>
        <w:rPr>
          <w:rFonts w:eastAsia="Times New Roman"/>
          <w:sz w:val="22"/>
          <w:szCs w:val="22"/>
          <w:lang w:eastAsia="en-AU"/>
        </w:rPr>
      </w:pPr>
    </w:p>
    <w:p w14:paraId="7F1A92B2" w14:textId="77777777" w:rsidR="00B16E89" w:rsidRDefault="00B16E89" w:rsidP="00B16E89">
      <w:pPr>
        <w:autoSpaceDE w:val="0"/>
        <w:autoSpaceDN w:val="0"/>
        <w:adjustRightInd w:val="0"/>
        <w:spacing w:after="0" w:line="240" w:lineRule="auto"/>
        <w:rPr>
          <w:rFonts w:eastAsia="Times New Roman"/>
          <w:iCs/>
          <w:sz w:val="22"/>
          <w:szCs w:val="22"/>
          <w:lang w:eastAsia="en-AU"/>
        </w:rPr>
      </w:pPr>
      <w:r w:rsidRPr="008244E6">
        <w:rPr>
          <w:rFonts w:eastAsia="Times New Roman"/>
          <w:iCs/>
          <w:sz w:val="22"/>
          <w:szCs w:val="22"/>
          <w:lang w:eastAsia="en-AU"/>
        </w:rPr>
        <w:t xml:space="preserve">The Principal Determination has the effect of determining that the information in an application dossier that accompanies an application for the registration of a medicine </w:t>
      </w:r>
      <w:r>
        <w:rPr>
          <w:rFonts w:eastAsia="Times New Roman"/>
          <w:iCs/>
          <w:sz w:val="22"/>
          <w:szCs w:val="22"/>
          <w:lang w:eastAsia="en-AU"/>
        </w:rPr>
        <w:t>specified in Schedule 1 to the Principal Determination</w:t>
      </w:r>
      <w:r w:rsidRPr="008244E6">
        <w:rPr>
          <w:rFonts w:eastAsia="Times New Roman"/>
          <w:iCs/>
          <w:sz w:val="22"/>
          <w:szCs w:val="22"/>
          <w:lang w:eastAsia="en-AU"/>
        </w:rPr>
        <w:t xml:space="preserve"> must be in the e</w:t>
      </w:r>
      <w:r>
        <w:rPr>
          <w:rFonts w:eastAsia="Times New Roman"/>
          <w:iCs/>
          <w:sz w:val="22"/>
          <w:szCs w:val="22"/>
          <w:lang w:eastAsia="en-AU"/>
        </w:rPr>
        <w:t xml:space="preserve">lectronic </w:t>
      </w:r>
      <w:r w:rsidRPr="008244E6">
        <w:rPr>
          <w:rFonts w:eastAsia="Times New Roman"/>
          <w:iCs/>
          <w:sz w:val="22"/>
          <w:szCs w:val="22"/>
          <w:lang w:eastAsia="en-AU"/>
        </w:rPr>
        <w:t>C</w:t>
      </w:r>
      <w:r>
        <w:rPr>
          <w:rFonts w:eastAsia="Times New Roman"/>
          <w:iCs/>
          <w:sz w:val="22"/>
          <w:szCs w:val="22"/>
          <w:lang w:eastAsia="en-AU"/>
        </w:rPr>
        <w:t xml:space="preserve">ommon </w:t>
      </w:r>
      <w:r w:rsidRPr="008244E6">
        <w:rPr>
          <w:rFonts w:eastAsia="Times New Roman"/>
          <w:iCs/>
          <w:sz w:val="22"/>
          <w:szCs w:val="22"/>
          <w:lang w:eastAsia="en-AU"/>
        </w:rPr>
        <w:t>T</w:t>
      </w:r>
      <w:r>
        <w:rPr>
          <w:rFonts w:eastAsia="Times New Roman"/>
          <w:iCs/>
          <w:sz w:val="22"/>
          <w:szCs w:val="22"/>
          <w:lang w:eastAsia="en-AU"/>
        </w:rPr>
        <w:t xml:space="preserve">echnical </w:t>
      </w:r>
      <w:r w:rsidRPr="008244E6">
        <w:rPr>
          <w:rFonts w:eastAsia="Times New Roman"/>
          <w:iCs/>
          <w:sz w:val="22"/>
          <w:szCs w:val="22"/>
          <w:lang w:eastAsia="en-AU"/>
        </w:rPr>
        <w:t>D</w:t>
      </w:r>
      <w:r>
        <w:rPr>
          <w:rFonts w:eastAsia="Times New Roman"/>
          <w:iCs/>
          <w:sz w:val="22"/>
          <w:szCs w:val="22"/>
          <w:lang w:eastAsia="en-AU"/>
        </w:rPr>
        <w:t>ocument (eCTD)</w:t>
      </w:r>
      <w:r w:rsidRPr="008244E6">
        <w:rPr>
          <w:rFonts w:eastAsia="Times New Roman"/>
          <w:iCs/>
          <w:sz w:val="22"/>
          <w:szCs w:val="22"/>
          <w:lang w:eastAsia="en-AU"/>
        </w:rPr>
        <w:t xml:space="preserve"> format or, in exceptional circumstances, another format with the prior written agreement of the TGA.</w:t>
      </w:r>
    </w:p>
    <w:p w14:paraId="397AB8AA" w14:textId="77777777" w:rsidR="00B16E89" w:rsidRDefault="00B16E89" w:rsidP="00B16E89">
      <w:pPr>
        <w:autoSpaceDE w:val="0"/>
        <w:autoSpaceDN w:val="0"/>
        <w:adjustRightInd w:val="0"/>
        <w:spacing w:after="0" w:line="240" w:lineRule="auto"/>
        <w:rPr>
          <w:rFonts w:eastAsia="Times New Roman"/>
          <w:iCs/>
          <w:sz w:val="22"/>
          <w:szCs w:val="22"/>
          <w:lang w:eastAsia="en-AU"/>
        </w:rPr>
      </w:pPr>
    </w:p>
    <w:p w14:paraId="340B314B" w14:textId="77777777" w:rsidR="00B16E89" w:rsidRPr="008244E6" w:rsidRDefault="00B16E89" w:rsidP="00B16E89">
      <w:pPr>
        <w:autoSpaceDE w:val="0"/>
        <w:autoSpaceDN w:val="0"/>
        <w:adjustRightInd w:val="0"/>
        <w:spacing w:after="0" w:line="240" w:lineRule="auto"/>
        <w:rPr>
          <w:rFonts w:eastAsia="Times New Roman"/>
          <w:iCs/>
          <w:sz w:val="22"/>
          <w:szCs w:val="22"/>
          <w:lang w:eastAsia="en-AU"/>
        </w:rPr>
      </w:pPr>
      <w:r>
        <w:rPr>
          <w:rFonts w:eastAsia="Times New Roman"/>
          <w:iCs/>
          <w:sz w:val="22"/>
          <w:szCs w:val="22"/>
          <w:lang w:eastAsia="en-AU"/>
        </w:rPr>
        <w:t xml:space="preserve">The </w:t>
      </w:r>
      <w:r w:rsidRPr="008244E6">
        <w:rPr>
          <w:rFonts w:eastAsia="Times New Roman"/>
          <w:iCs/>
          <w:sz w:val="22"/>
          <w:szCs w:val="22"/>
          <w:lang w:eastAsia="en-AU"/>
        </w:rPr>
        <w:t>eCTD</w:t>
      </w:r>
      <w:r>
        <w:rPr>
          <w:rFonts w:eastAsia="Times New Roman"/>
          <w:iCs/>
          <w:sz w:val="22"/>
          <w:szCs w:val="22"/>
          <w:lang w:eastAsia="en-AU"/>
        </w:rPr>
        <w:t xml:space="preserve"> format</w:t>
      </w:r>
      <w:r w:rsidRPr="008244E6">
        <w:rPr>
          <w:rFonts w:eastAsia="Times New Roman"/>
          <w:iCs/>
          <w:sz w:val="22"/>
          <w:szCs w:val="22"/>
          <w:lang w:eastAsia="en-AU"/>
        </w:rPr>
        <w:t xml:space="preserve"> is an international standard formatting style published by the Internation</w:t>
      </w:r>
      <w:r>
        <w:rPr>
          <w:rFonts w:eastAsia="Times New Roman"/>
          <w:iCs/>
          <w:sz w:val="22"/>
          <w:szCs w:val="22"/>
          <w:lang w:eastAsia="en-AU"/>
        </w:rPr>
        <w:t>al</w:t>
      </w:r>
      <w:r w:rsidRPr="008244E6">
        <w:rPr>
          <w:rFonts w:eastAsia="Times New Roman"/>
          <w:iCs/>
          <w:sz w:val="22"/>
          <w:szCs w:val="22"/>
          <w:lang w:eastAsia="en-AU"/>
        </w:rPr>
        <w:t xml:space="preserve"> Council for Harmonisation of Technical Requirements for Pharmaceuticals for Human Use. </w:t>
      </w:r>
      <w:r>
        <w:rPr>
          <w:rFonts w:eastAsia="Times New Roman"/>
          <w:iCs/>
          <w:sz w:val="22"/>
          <w:szCs w:val="22"/>
          <w:lang w:eastAsia="en-AU"/>
        </w:rPr>
        <w:t>It</w:t>
      </w:r>
      <w:r w:rsidRPr="008244E6">
        <w:rPr>
          <w:rFonts w:eastAsia="Times New Roman"/>
          <w:iCs/>
          <w:sz w:val="22"/>
          <w:szCs w:val="22"/>
          <w:lang w:eastAsia="en-AU"/>
        </w:rPr>
        <w:t xml:space="preserve"> is used by many comparable overseas regulators and provides the means for sponsors of medicines to transfer information to regulators as required</w:t>
      </w:r>
      <w:r>
        <w:rPr>
          <w:rFonts w:eastAsia="Times New Roman"/>
          <w:iCs/>
          <w:sz w:val="22"/>
          <w:szCs w:val="22"/>
          <w:lang w:eastAsia="en-AU"/>
        </w:rPr>
        <w:t xml:space="preserve"> in an efficient manner, without having to prepare a completely different application for different national regulators</w:t>
      </w:r>
      <w:r w:rsidRPr="008244E6">
        <w:rPr>
          <w:rFonts w:eastAsia="Times New Roman"/>
          <w:iCs/>
          <w:sz w:val="22"/>
          <w:szCs w:val="22"/>
          <w:lang w:eastAsia="en-AU"/>
        </w:rPr>
        <w:t>.</w:t>
      </w:r>
      <w:r>
        <w:rPr>
          <w:rFonts w:eastAsia="Times New Roman"/>
          <w:iCs/>
          <w:sz w:val="22"/>
          <w:szCs w:val="22"/>
          <w:lang w:eastAsia="en-AU"/>
        </w:rPr>
        <w:t xml:space="preserve"> Only module 1 of an application dossier that is in the eCTD format needs to be specific to Australian requirements as set out in the </w:t>
      </w:r>
      <w:r>
        <w:rPr>
          <w:rFonts w:eastAsia="Times New Roman"/>
          <w:i/>
          <w:sz w:val="22"/>
          <w:szCs w:val="22"/>
          <w:lang w:eastAsia="en-AU"/>
        </w:rPr>
        <w:t>eCTD AU Module 1 and regional information</w:t>
      </w:r>
      <w:r>
        <w:rPr>
          <w:rFonts w:eastAsia="Times New Roman"/>
          <w:iCs/>
          <w:sz w:val="22"/>
          <w:szCs w:val="22"/>
          <w:lang w:eastAsia="en-AU"/>
        </w:rPr>
        <w:t>.</w:t>
      </w:r>
    </w:p>
    <w:p w14:paraId="51A0184F" w14:textId="77777777" w:rsidR="0049689B" w:rsidRPr="008244E6" w:rsidRDefault="0049689B" w:rsidP="0049689B">
      <w:pPr>
        <w:autoSpaceDE w:val="0"/>
        <w:autoSpaceDN w:val="0"/>
        <w:adjustRightInd w:val="0"/>
        <w:spacing w:after="0" w:line="240" w:lineRule="auto"/>
        <w:rPr>
          <w:rFonts w:eastAsia="Times New Roman"/>
          <w:bCs/>
          <w:sz w:val="22"/>
          <w:szCs w:val="22"/>
          <w:lang w:eastAsia="en-AU"/>
        </w:rPr>
      </w:pPr>
    </w:p>
    <w:p w14:paraId="05D16AF1" w14:textId="77777777" w:rsidR="0049689B" w:rsidRPr="00565D57" w:rsidRDefault="0049689B" w:rsidP="0049689B">
      <w:pPr>
        <w:keepNext/>
        <w:autoSpaceDE w:val="0"/>
        <w:autoSpaceDN w:val="0"/>
        <w:adjustRightInd w:val="0"/>
        <w:spacing w:after="0" w:line="240" w:lineRule="auto"/>
        <w:rPr>
          <w:rFonts w:eastAsia="Times New Roman"/>
          <w:bCs/>
          <w:i/>
          <w:iCs/>
          <w:sz w:val="22"/>
          <w:szCs w:val="22"/>
          <w:lang w:eastAsia="en-AU"/>
        </w:rPr>
      </w:pPr>
      <w:r w:rsidRPr="00565D57">
        <w:rPr>
          <w:rFonts w:eastAsia="Times New Roman"/>
          <w:bCs/>
          <w:i/>
          <w:iCs/>
          <w:sz w:val="22"/>
          <w:szCs w:val="22"/>
          <w:lang w:eastAsia="en-AU"/>
        </w:rPr>
        <w:t>Purpose</w:t>
      </w:r>
    </w:p>
    <w:p w14:paraId="4E0043AA" w14:textId="77777777" w:rsidR="0049689B" w:rsidRPr="008244E6" w:rsidRDefault="0049689B" w:rsidP="0049689B">
      <w:pPr>
        <w:autoSpaceDE w:val="0"/>
        <w:autoSpaceDN w:val="0"/>
        <w:adjustRightInd w:val="0"/>
        <w:spacing w:after="0" w:line="240" w:lineRule="auto"/>
        <w:rPr>
          <w:rFonts w:eastAsia="Times New Roman"/>
          <w:sz w:val="22"/>
          <w:szCs w:val="22"/>
          <w:lang w:eastAsia="en-AU"/>
        </w:rPr>
      </w:pPr>
    </w:p>
    <w:p w14:paraId="7513E4BB" w14:textId="77777777" w:rsidR="00B16E89" w:rsidRPr="000626DD" w:rsidRDefault="00B16E89" w:rsidP="00B16E89">
      <w:pPr>
        <w:widowControl w:val="0"/>
        <w:autoSpaceDE w:val="0"/>
        <w:autoSpaceDN w:val="0"/>
        <w:adjustRightInd w:val="0"/>
        <w:spacing w:after="0" w:line="240" w:lineRule="auto"/>
        <w:rPr>
          <w:rFonts w:eastAsia="Times New Roman"/>
          <w:iCs/>
          <w:sz w:val="22"/>
          <w:szCs w:val="22"/>
          <w:lang w:eastAsia="en-AU"/>
        </w:rPr>
      </w:pPr>
      <w:r>
        <w:rPr>
          <w:rFonts w:eastAsia="Times New Roman"/>
          <w:sz w:val="22"/>
          <w:szCs w:val="22"/>
          <w:lang w:eastAsia="en-AU"/>
        </w:rPr>
        <w:t xml:space="preserve">The </w:t>
      </w:r>
      <w:r w:rsidRPr="008244E6">
        <w:rPr>
          <w:rFonts w:eastAsia="Times New Roman"/>
          <w:iCs/>
          <w:sz w:val="22"/>
          <w:szCs w:val="22"/>
          <w:lang w:eastAsia="en-AU"/>
        </w:rPr>
        <w:t>Internation</w:t>
      </w:r>
      <w:r>
        <w:rPr>
          <w:rFonts w:eastAsia="Times New Roman"/>
          <w:iCs/>
          <w:sz w:val="22"/>
          <w:szCs w:val="22"/>
          <w:lang w:eastAsia="en-AU"/>
        </w:rPr>
        <w:t>al</w:t>
      </w:r>
      <w:r w:rsidRPr="008244E6">
        <w:rPr>
          <w:rFonts w:eastAsia="Times New Roman"/>
          <w:iCs/>
          <w:sz w:val="22"/>
          <w:szCs w:val="22"/>
          <w:lang w:eastAsia="en-AU"/>
        </w:rPr>
        <w:t xml:space="preserve"> Council for Harmonisation of Technical Requirements for Pharmaceuticals for Human Use</w:t>
      </w:r>
      <w:r>
        <w:rPr>
          <w:rFonts w:eastAsia="Times New Roman"/>
          <w:iCs/>
          <w:sz w:val="22"/>
          <w:szCs w:val="22"/>
          <w:lang w:eastAsia="en-AU"/>
        </w:rPr>
        <w:t xml:space="preserve"> has published an updated version of the eCTD format – version 3.2.2. Further, the most recent version of the </w:t>
      </w:r>
      <w:r>
        <w:rPr>
          <w:rFonts w:eastAsia="Times New Roman"/>
          <w:i/>
          <w:sz w:val="22"/>
          <w:szCs w:val="22"/>
          <w:lang w:eastAsia="en-AU"/>
        </w:rPr>
        <w:t>eCTD AU module 1 and regional information</w:t>
      </w:r>
      <w:r>
        <w:rPr>
          <w:rFonts w:eastAsia="Times New Roman"/>
          <w:iCs/>
          <w:sz w:val="22"/>
          <w:szCs w:val="22"/>
          <w:lang w:eastAsia="en-AU"/>
        </w:rPr>
        <w:t xml:space="preserve"> that the TGA has published is version 3.2.</w:t>
      </w:r>
    </w:p>
    <w:p w14:paraId="173AC53C" w14:textId="77777777" w:rsidR="00B16E89" w:rsidRPr="008244E6" w:rsidRDefault="00B16E89" w:rsidP="00B16E89">
      <w:pPr>
        <w:widowControl w:val="0"/>
        <w:autoSpaceDE w:val="0"/>
        <w:autoSpaceDN w:val="0"/>
        <w:adjustRightInd w:val="0"/>
        <w:spacing w:after="0" w:line="240" w:lineRule="auto"/>
        <w:rPr>
          <w:rFonts w:eastAsia="Times New Roman"/>
          <w:sz w:val="22"/>
          <w:szCs w:val="22"/>
          <w:lang w:eastAsia="en-AU"/>
        </w:rPr>
      </w:pPr>
    </w:p>
    <w:p w14:paraId="44AD4678" w14:textId="77777777" w:rsidR="00B16E89" w:rsidRPr="008244E6" w:rsidRDefault="00B16E89" w:rsidP="00B16E89">
      <w:pPr>
        <w:widowControl w:val="0"/>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The Amendment Determination</w:t>
      </w:r>
      <w:r w:rsidRPr="008244E6">
        <w:rPr>
          <w:rFonts w:eastAsia="Times New Roman"/>
          <w:i/>
          <w:iCs/>
          <w:sz w:val="22"/>
          <w:szCs w:val="22"/>
          <w:lang w:eastAsia="en-AU"/>
        </w:rPr>
        <w:t xml:space="preserve">, </w:t>
      </w:r>
      <w:r w:rsidRPr="008244E6">
        <w:rPr>
          <w:rFonts w:eastAsia="Times New Roman"/>
          <w:sz w:val="22"/>
          <w:szCs w:val="22"/>
          <w:lang w:eastAsia="en-AU"/>
        </w:rPr>
        <w:t xml:space="preserve">which commences on 1 April 2025, </w:t>
      </w:r>
      <w:r>
        <w:rPr>
          <w:rFonts w:eastAsia="Times New Roman"/>
          <w:sz w:val="22"/>
          <w:szCs w:val="22"/>
          <w:lang w:eastAsia="en-AU"/>
        </w:rPr>
        <w:t>replaces</w:t>
      </w:r>
      <w:r w:rsidRPr="008244E6">
        <w:rPr>
          <w:rFonts w:eastAsia="Times New Roman"/>
          <w:sz w:val="22"/>
          <w:szCs w:val="22"/>
          <w:lang w:eastAsia="en-AU"/>
        </w:rPr>
        <w:t xml:space="preserve"> the definition of eCTD </w:t>
      </w:r>
      <w:r>
        <w:rPr>
          <w:rFonts w:eastAsia="Times New Roman"/>
          <w:sz w:val="22"/>
          <w:szCs w:val="22"/>
          <w:lang w:eastAsia="en-AU"/>
        </w:rPr>
        <w:t>in</w:t>
      </w:r>
      <w:r w:rsidRPr="008244E6">
        <w:rPr>
          <w:rFonts w:eastAsia="Times New Roman"/>
          <w:sz w:val="22"/>
          <w:szCs w:val="22"/>
          <w:lang w:eastAsia="en-AU"/>
        </w:rPr>
        <w:t xml:space="preserve"> section 4 of the Principal Determination to </w:t>
      </w:r>
      <w:r>
        <w:rPr>
          <w:rFonts w:eastAsia="Times New Roman"/>
          <w:sz w:val="22"/>
          <w:szCs w:val="22"/>
          <w:lang w:eastAsia="en-AU"/>
        </w:rPr>
        <w:t xml:space="preserve">specify updated version numbers of the eCTD format that applicants are required to comply with for all modules of an application dossier. The effect of this is that applicants will need to comply with version 3.2. of the </w:t>
      </w:r>
      <w:r w:rsidRPr="00357063">
        <w:rPr>
          <w:i/>
          <w:iCs/>
        </w:rPr>
        <w:t xml:space="preserve">eCTD AU </w:t>
      </w:r>
      <w:r>
        <w:rPr>
          <w:i/>
          <w:iCs/>
        </w:rPr>
        <w:t>m</w:t>
      </w:r>
      <w:r w:rsidRPr="00357063">
        <w:rPr>
          <w:i/>
          <w:iCs/>
        </w:rPr>
        <w:t>odule 1 and regional information</w:t>
      </w:r>
      <w:r>
        <w:rPr>
          <w:rFonts w:eastAsia="Times New Roman"/>
          <w:sz w:val="22"/>
          <w:szCs w:val="22"/>
          <w:lang w:eastAsia="en-AU"/>
        </w:rPr>
        <w:t xml:space="preserve"> for Module 1, and version 3.2.2 of the ICH </w:t>
      </w:r>
      <w:r w:rsidRPr="00565D57">
        <w:rPr>
          <w:rFonts w:eastAsia="Times New Roman"/>
          <w:i/>
          <w:iCs/>
          <w:sz w:val="22"/>
          <w:szCs w:val="22"/>
          <w:lang w:eastAsia="en-AU"/>
        </w:rPr>
        <w:t>eCTD Specification</w:t>
      </w:r>
      <w:r>
        <w:rPr>
          <w:rFonts w:eastAsia="Times New Roman"/>
          <w:sz w:val="22"/>
          <w:szCs w:val="22"/>
          <w:lang w:eastAsia="en-AU"/>
        </w:rPr>
        <w:t xml:space="preserve"> for the rest of their application dossier. The purpose of this is to create international harmonisation and align Australian requirements with more recent international requirements, to reduce the regulatory burden on applicants.</w:t>
      </w:r>
    </w:p>
    <w:p w14:paraId="467541DC" w14:textId="77777777" w:rsidR="00B16E89" w:rsidRPr="008244E6" w:rsidRDefault="00B16E89" w:rsidP="00B16E89">
      <w:pPr>
        <w:widowControl w:val="0"/>
        <w:autoSpaceDE w:val="0"/>
        <w:autoSpaceDN w:val="0"/>
        <w:adjustRightInd w:val="0"/>
        <w:spacing w:after="0" w:line="240" w:lineRule="auto"/>
        <w:rPr>
          <w:rFonts w:eastAsia="Times New Roman"/>
          <w:sz w:val="22"/>
          <w:szCs w:val="22"/>
          <w:lang w:eastAsia="en-AU"/>
        </w:rPr>
      </w:pPr>
    </w:p>
    <w:p w14:paraId="1B6C6DB7" w14:textId="77777777" w:rsidR="00B16E89" w:rsidRPr="008244E6" w:rsidRDefault="00B16E89" w:rsidP="00B16E89">
      <w:pPr>
        <w:widowControl w:val="0"/>
        <w:autoSpaceDE w:val="0"/>
        <w:autoSpaceDN w:val="0"/>
        <w:adjustRightInd w:val="0"/>
        <w:spacing w:after="0" w:line="240" w:lineRule="auto"/>
        <w:rPr>
          <w:rFonts w:eastAsia="Times New Roman"/>
          <w:sz w:val="22"/>
          <w:szCs w:val="22"/>
          <w:lang w:eastAsia="en-AU"/>
        </w:rPr>
      </w:pPr>
      <w:r w:rsidRPr="008244E6">
        <w:rPr>
          <w:rFonts w:eastAsia="Times New Roman"/>
          <w:sz w:val="22"/>
          <w:szCs w:val="22"/>
          <w:lang w:eastAsia="en-AU"/>
        </w:rPr>
        <w:t xml:space="preserve">The Amendment Determination also includes </w:t>
      </w:r>
      <w:r>
        <w:rPr>
          <w:rFonts w:eastAsia="Times New Roman"/>
          <w:sz w:val="22"/>
          <w:szCs w:val="22"/>
          <w:lang w:eastAsia="en-AU"/>
        </w:rPr>
        <w:t>a</w:t>
      </w:r>
      <w:r w:rsidRPr="008244E6">
        <w:rPr>
          <w:rFonts w:eastAsia="Times New Roman"/>
          <w:sz w:val="22"/>
          <w:szCs w:val="22"/>
          <w:lang w:eastAsia="en-AU"/>
        </w:rPr>
        <w:t xml:space="preserve"> transitional arrangement</w:t>
      </w:r>
      <w:r>
        <w:rPr>
          <w:rFonts w:eastAsia="Times New Roman"/>
          <w:sz w:val="22"/>
          <w:szCs w:val="22"/>
          <w:lang w:eastAsia="en-AU"/>
        </w:rPr>
        <w:t xml:space="preserve"> allowing for a 6-month transition period to comply with the updated eCTD requirements. U</w:t>
      </w:r>
      <w:r w:rsidRPr="008244E6">
        <w:rPr>
          <w:rFonts w:eastAsia="Times New Roman"/>
          <w:sz w:val="22"/>
          <w:szCs w:val="22"/>
          <w:lang w:eastAsia="en-AU"/>
        </w:rPr>
        <w:t xml:space="preserve">nder </w:t>
      </w:r>
      <w:r>
        <w:rPr>
          <w:rFonts w:eastAsia="Times New Roman"/>
          <w:sz w:val="22"/>
          <w:szCs w:val="22"/>
          <w:lang w:eastAsia="en-AU"/>
        </w:rPr>
        <w:t xml:space="preserve">new </w:t>
      </w:r>
      <w:r w:rsidRPr="008244E6">
        <w:rPr>
          <w:rFonts w:eastAsia="Times New Roman"/>
          <w:sz w:val="22"/>
          <w:szCs w:val="22"/>
          <w:lang w:eastAsia="en-AU"/>
        </w:rPr>
        <w:t>section 7</w:t>
      </w:r>
      <w:r>
        <w:rPr>
          <w:rFonts w:eastAsia="Times New Roman"/>
          <w:sz w:val="22"/>
          <w:szCs w:val="22"/>
          <w:lang w:eastAsia="en-AU"/>
        </w:rPr>
        <w:t>,</w:t>
      </w:r>
      <w:r w:rsidRPr="008244E6">
        <w:rPr>
          <w:rFonts w:eastAsia="Times New Roman"/>
          <w:sz w:val="22"/>
          <w:szCs w:val="22"/>
          <w:lang w:eastAsia="en-AU"/>
        </w:rPr>
        <w:t xml:space="preserve"> </w:t>
      </w:r>
      <w:r>
        <w:rPr>
          <w:rFonts w:eastAsia="Times New Roman"/>
          <w:sz w:val="22"/>
          <w:szCs w:val="22"/>
          <w:lang w:eastAsia="en-AU"/>
        </w:rPr>
        <w:t>applications made before 1 October 2025 can continue to comply with the previous version of the eCTD. However, all applications made from 1 October 2025 will need to comply with the updated versions.</w:t>
      </w:r>
    </w:p>
    <w:p w14:paraId="788FD88D" w14:textId="77777777" w:rsidR="00E744B0" w:rsidRPr="008244E6" w:rsidRDefault="00E744B0" w:rsidP="0072456A">
      <w:pPr>
        <w:keepNext/>
        <w:spacing w:after="0" w:line="240" w:lineRule="auto"/>
        <w:rPr>
          <w:rFonts w:eastAsia="Times New Roman"/>
          <w:b/>
          <w:sz w:val="22"/>
          <w:szCs w:val="22"/>
          <w:lang w:eastAsia="en-AU"/>
        </w:rPr>
      </w:pPr>
      <w:r w:rsidRPr="008244E6">
        <w:rPr>
          <w:rFonts w:eastAsia="Times New Roman"/>
          <w:b/>
          <w:sz w:val="22"/>
          <w:szCs w:val="22"/>
          <w:lang w:eastAsia="en-AU"/>
        </w:rPr>
        <w:lastRenderedPageBreak/>
        <w:t>Human rights implications</w:t>
      </w:r>
    </w:p>
    <w:p w14:paraId="4173A14B" w14:textId="77777777" w:rsidR="00E744B0" w:rsidRPr="008244E6" w:rsidRDefault="00E744B0" w:rsidP="0072456A">
      <w:pPr>
        <w:keepNext/>
        <w:spacing w:after="0" w:line="240" w:lineRule="auto"/>
        <w:rPr>
          <w:rFonts w:eastAsia="Times New Roman"/>
          <w:sz w:val="22"/>
          <w:szCs w:val="22"/>
          <w:lang w:eastAsia="en-AU"/>
        </w:rPr>
      </w:pPr>
    </w:p>
    <w:p w14:paraId="39A158D8" w14:textId="394CF718" w:rsidR="00D767F6" w:rsidRPr="00D72161" w:rsidRDefault="00D767F6" w:rsidP="00D72161">
      <w:pPr>
        <w:keepNext/>
        <w:spacing w:after="0" w:line="240" w:lineRule="auto"/>
        <w:rPr>
          <w:rFonts w:eastAsia="Times New Roman"/>
          <w:sz w:val="22"/>
          <w:szCs w:val="22"/>
          <w:lang w:eastAsia="en-AU"/>
        </w:rPr>
      </w:pPr>
      <w:r w:rsidRPr="00D72161">
        <w:rPr>
          <w:rFonts w:eastAsia="Times New Roman"/>
          <w:sz w:val="22"/>
          <w:szCs w:val="22"/>
          <w:lang w:eastAsia="en-AU"/>
        </w:rPr>
        <w:t xml:space="preserve">The </w:t>
      </w:r>
      <w:r w:rsidR="00DD548F">
        <w:rPr>
          <w:rFonts w:eastAsia="Times New Roman"/>
          <w:sz w:val="22"/>
          <w:szCs w:val="22"/>
          <w:lang w:eastAsia="en-AU"/>
        </w:rPr>
        <w:t>instrument</w:t>
      </w:r>
      <w:r w:rsidRPr="00D72161">
        <w:rPr>
          <w:rFonts w:eastAsia="Times New Roman"/>
          <w:sz w:val="22"/>
          <w:szCs w:val="22"/>
          <w:lang w:eastAsia="en-AU"/>
        </w:rPr>
        <w:t xml:space="preserve"> engages the right to health in Article 12 of the International Covenant on Economic, Social and Cultural rights (“the ICESCR”). Article 12 of the ICESCR promotes the right of all individuals to enjoy the highest attainable standards of physical and mental health.</w:t>
      </w:r>
    </w:p>
    <w:p w14:paraId="28B82FFF" w14:textId="77777777" w:rsidR="00D767F6" w:rsidRDefault="00D767F6" w:rsidP="00D767F6">
      <w:pPr>
        <w:keepNext/>
        <w:spacing w:after="0" w:line="240" w:lineRule="auto"/>
        <w:rPr>
          <w:rFonts w:eastAsia="Times New Roman"/>
          <w:sz w:val="22"/>
          <w:szCs w:val="22"/>
          <w:lang w:eastAsia="en-AU"/>
        </w:rPr>
      </w:pPr>
    </w:p>
    <w:p w14:paraId="7DDA2404" w14:textId="17A4CF7A" w:rsidR="00D767F6" w:rsidRPr="00D72161" w:rsidRDefault="00D767F6" w:rsidP="00D72161">
      <w:pPr>
        <w:keepNext/>
        <w:spacing w:after="0" w:line="240" w:lineRule="auto"/>
        <w:rPr>
          <w:rFonts w:eastAsia="Times New Roman"/>
          <w:sz w:val="22"/>
          <w:szCs w:val="22"/>
          <w:lang w:eastAsia="en-AU"/>
        </w:rPr>
      </w:pPr>
      <w:r w:rsidRPr="00D72161">
        <w:rPr>
          <w:rFonts w:eastAsia="Times New Roman"/>
          <w:sz w:val="22"/>
          <w:szCs w:val="22"/>
          <w:lang w:eastAsia="en-AU"/>
        </w:rPr>
        <w:t xml:space="preserve">In </w:t>
      </w:r>
      <w:r w:rsidRPr="00D72161">
        <w:rPr>
          <w:rFonts w:eastAsia="Times New Roman"/>
          <w:i/>
          <w:iCs/>
          <w:sz w:val="22"/>
          <w:szCs w:val="22"/>
          <w:lang w:eastAsia="en-AU"/>
        </w:rPr>
        <w:t>General Comment No. 14: The Right to the Highest Attainable Standard of Health (Art. 12)</w:t>
      </w:r>
      <w:r w:rsidRPr="00D72161">
        <w:rPr>
          <w:rFonts w:eastAsia="Times New Roman"/>
          <w:sz w:val="22"/>
          <w:szCs w:val="22"/>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3448E70F" w14:textId="77777777" w:rsidR="00D767F6" w:rsidRDefault="00D767F6" w:rsidP="004A5FC0">
      <w:pPr>
        <w:spacing w:after="0" w:line="240" w:lineRule="auto"/>
        <w:rPr>
          <w:rFonts w:eastAsia="Times New Roman"/>
          <w:sz w:val="22"/>
          <w:szCs w:val="22"/>
          <w:lang w:eastAsia="en-AU"/>
        </w:rPr>
      </w:pPr>
    </w:p>
    <w:p w14:paraId="77926FA0" w14:textId="16E135CE" w:rsidR="00D767F6" w:rsidRDefault="008244E6" w:rsidP="004A5FC0">
      <w:pPr>
        <w:spacing w:after="0" w:line="240" w:lineRule="auto"/>
        <w:rPr>
          <w:rFonts w:eastAsia="Times New Roman"/>
          <w:sz w:val="22"/>
          <w:szCs w:val="22"/>
          <w:lang w:eastAsia="en-AU"/>
        </w:rPr>
      </w:pPr>
      <w:r w:rsidRPr="008244E6">
        <w:rPr>
          <w:rFonts w:eastAsia="Times New Roman"/>
          <w:sz w:val="22"/>
          <w:szCs w:val="22"/>
          <w:lang w:eastAsia="en-AU"/>
        </w:rPr>
        <w:t>The</w:t>
      </w:r>
      <w:r w:rsidR="004A5FC0" w:rsidRPr="008244E6">
        <w:rPr>
          <w:rFonts w:eastAsia="Times New Roman"/>
          <w:sz w:val="22"/>
          <w:szCs w:val="22"/>
          <w:lang w:eastAsia="en-AU"/>
        </w:rPr>
        <w:t xml:space="preserve"> </w:t>
      </w:r>
      <w:r w:rsidR="00DD548F">
        <w:rPr>
          <w:rFonts w:eastAsia="Times New Roman"/>
          <w:sz w:val="22"/>
          <w:szCs w:val="22"/>
          <w:lang w:eastAsia="en-AU"/>
        </w:rPr>
        <w:t>instrument</w:t>
      </w:r>
      <w:r w:rsidRPr="008244E6">
        <w:rPr>
          <w:rFonts w:eastAsia="Times New Roman"/>
          <w:sz w:val="22"/>
          <w:szCs w:val="22"/>
          <w:lang w:eastAsia="en-AU"/>
        </w:rPr>
        <w:t xml:space="preserve"> amends the definition of </w:t>
      </w:r>
      <w:r w:rsidRPr="00D72161">
        <w:rPr>
          <w:rFonts w:eastAsia="Times New Roman"/>
          <w:i/>
          <w:iCs/>
          <w:sz w:val="22"/>
          <w:szCs w:val="22"/>
          <w:lang w:eastAsia="en-AU"/>
        </w:rPr>
        <w:t>eCTD</w:t>
      </w:r>
      <w:r w:rsidRPr="008244E6">
        <w:rPr>
          <w:rFonts w:eastAsia="Times New Roman"/>
          <w:sz w:val="22"/>
          <w:szCs w:val="22"/>
          <w:lang w:eastAsia="en-AU"/>
        </w:rPr>
        <w:t xml:space="preserve"> </w:t>
      </w:r>
      <w:r w:rsidR="00D767F6">
        <w:rPr>
          <w:rFonts w:eastAsia="Times New Roman"/>
          <w:sz w:val="22"/>
          <w:szCs w:val="22"/>
          <w:lang w:eastAsia="en-AU"/>
        </w:rPr>
        <w:t>in</w:t>
      </w:r>
      <w:r w:rsidR="00D767F6" w:rsidRPr="008244E6">
        <w:rPr>
          <w:rFonts w:eastAsia="Times New Roman"/>
          <w:sz w:val="22"/>
          <w:szCs w:val="22"/>
          <w:lang w:eastAsia="en-AU"/>
        </w:rPr>
        <w:t xml:space="preserve"> </w:t>
      </w:r>
      <w:r w:rsidRPr="008244E6">
        <w:rPr>
          <w:rFonts w:eastAsia="Times New Roman"/>
          <w:sz w:val="22"/>
          <w:szCs w:val="22"/>
          <w:lang w:eastAsia="en-AU"/>
        </w:rPr>
        <w:t>section 4 of the Principal Determination</w:t>
      </w:r>
      <w:r w:rsidR="00D767F6">
        <w:rPr>
          <w:rFonts w:eastAsia="Times New Roman"/>
          <w:sz w:val="22"/>
          <w:szCs w:val="22"/>
          <w:lang w:eastAsia="en-AU"/>
        </w:rPr>
        <w:t>, with the effect that applications for registration of a prescription medicine in the Register must comply with updated eCTD requirements.</w:t>
      </w:r>
    </w:p>
    <w:p w14:paraId="6759CF2B" w14:textId="77777777" w:rsidR="00D767F6" w:rsidRDefault="00D767F6" w:rsidP="004A5FC0">
      <w:pPr>
        <w:spacing w:after="0" w:line="240" w:lineRule="auto"/>
        <w:rPr>
          <w:rFonts w:eastAsia="Times New Roman"/>
          <w:sz w:val="22"/>
          <w:szCs w:val="22"/>
          <w:lang w:eastAsia="en-AU"/>
        </w:rPr>
      </w:pPr>
    </w:p>
    <w:p w14:paraId="56F18AAF" w14:textId="03179696" w:rsidR="00E744B0" w:rsidRDefault="00DD548F" w:rsidP="004A5FC0">
      <w:pPr>
        <w:spacing w:after="0" w:line="240" w:lineRule="auto"/>
        <w:rPr>
          <w:rFonts w:eastAsia="Times New Roman"/>
          <w:sz w:val="22"/>
          <w:szCs w:val="22"/>
          <w:lang w:eastAsia="en-AU"/>
        </w:rPr>
      </w:pPr>
      <w:r>
        <w:rPr>
          <w:rFonts w:eastAsia="Times New Roman"/>
          <w:sz w:val="22"/>
          <w:szCs w:val="22"/>
          <w:lang w:eastAsia="en-AU"/>
        </w:rPr>
        <w:t>The</w:t>
      </w:r>
      <w:r w:rsidR="008244E6" w:rsidRPr="008244E6">
        <w:rPr>
          <w:rFonts w:eastAsia="Times New Roman"/>
          <w:sz w:val="22"/>
          <w:szCs w:val="22"/>
          <w:lang w:eastAsia="en-AU"/>
        </w:rPr>
        <w:t xml:space="preserve"> purpose </w:t>
      </w:r>
      <w:r>
        <w:rPr>
          <w:rFonts w:eastAsia="Times New Roman"/>
          <w:sz w:val="22"/>
          <w:szCs w:val="22"/>
          <w:lang w:eastAsia="en-AU"/>
        </w:rPr>
        <w:t xml:space="preserve">of this </w:t>
      </w:r>
      <w:r w:rsidR="00B16E89">
        <w:rPr>
          <w:rFonts w:eastAsia="Times New Roman"/>
          <w:sz w:val="22"/>
          <w:szCs w:val="22"/>
          <w:lang w:eastAsia="en-AU"/>
        </w:rPr>
        <w:t xml:space="preserve">legislative </w:t>
      </w:r>
      <w:r>
        <w:rPr>
          <w:rFonts w:eastAsia="Times New Roman"/>
          <w:sz w:val="22"/>
          <w:szCs w:val="22"/>
          <w:lang w:eastAsia="en-AU"/>
        </w:rPr>
        <w:t xml:space="preserve">instrument </w:t>
      </w:r>
      <w:r w:rsidR="008244E6" w:rsidRPr="008244E6">
        <w:rPr>
          <w:rFonts w:eastAsia="Times New Roman"/>
          <w:sz w:val="22"/>
          <w:szCs w:val="22"/>
          <w:lang w:eastAsia="en-AU"/>
        </w:rPr>
        <w:t>is to improve</w:t>
      </w:r>
      <w:r w:rsidR="008244E6">
        <w:rPr>
          <w:rFonts w:eastAsia="Times New Roman"/>
          <w:sz w:val="22"/>
          <w:szCs w:val="22"/>
          <w:lang w:eastAsia="en-AU"/>
        </w:rPr>
        <w:t xml:space="preserve"> alignment with current business processes</w:t>
      </w:r>
      <w:r>
        <w:rPr>
          <w:rFonts w:eastAsia="Times New Roman"/>
          <w:sz w:val="22"/>
          <w:szCs w:val="22"/>
          <w:lang w:eastAsia="en-AU"/>
        </w:rPr>
        <w:t>, create international harmonisation for requirements for such applications</w:t>
      </w:r>
      <w:r w:rsidR="0049689B">
        <w:rPr>
          <w:rFonts w:eastAsia="Times New Roman"/>
          <w:sz w:val="22"/>
          <w:szCs w:val="22"/>
          <w:lang w:eastAsia="en-AU"/>
        </w:rPr>
        <w:t xml:space="preserve">, </w:t>
      </w:r>
      <w:r>
        <w:rPr>
          <w:rFonts w:eastAsia="Times New Roman"/>
          <w:sz w:val="22"/>
          <w:szCs w:val="22"/>
          <w:lang w:eastAsia="en-AU"/>
        </w:rPr>
        <w:t>ensure Australian-specific requirements are current,</w:t>
      </w:r>
      <w:r w:rsidR="008244E6">
        <w:rPr>
          <w:rFonts w:eastAsia="Times New Roman"/>
          <w:sz w:val="22"/>
          <w:szCs w:val="22"/>
          <w:lang w:eastAsia="en-AU"/>
        </w:rPr>
        <w:t xml:space="preserve"> and ensure that the </w:t>
      </w:r>
      <w:r>
        <w:rPr>
          <w:rFonts w:eastAsia="Times New Roman"/>
          <w:sz w:val="22"/>
          <w:szCs w:val="22"/>
          <w:lang w:eastAsia="en-AU"/>
        </w:rPr>
        <w:t>requirements are</w:t>
      </w:r>
      <w:r w:rsidR="008244E6">
        <w:rPr>
          <w:rFonts w:eastAsia="Times New Roman"/>
          <w:sz w:val="22"/>
          <w:szCs w:val="22"/>
          <w:lang w:eastAsia="en-AU"/>
        </w:rPr>
        <w:t xml:space="preserve"> better suited towards the needs of industry. </w:t>
      </w:r>
      <w:r>
        <w:rPr>
          <w:rFonts w:eastAsia="Times New Roman"/>
          <w:iCs/>
          <w:sz w:val="22"/>
          <w:szCs w:val="22"/>
          <w:lang w:eastAsia="en-AU"/>
        </w:rPr>
        <w:t>The amendments also support the efficient processing of applications and the evaluation of therapeutic goods. This prevents delays in the evaluation of applications, and supports more timely access to therapeutic goods for Australian patients.</w:t>
      </w:r>
    </w:p>
    <w:p w14:paraId="32FC4586" w14:textId="77777777" w:rsidR="008244E6" w:rsidRDefault="008244E6" w:rsidP="004A5FC0">
      <w:pPr>
        <w:spacing w:after="0" w:line="240" w:lineRule="auto"/>
        <w:rPr>
          <w:rFonts w:eastAsia="Times New Roman"/>
          <w:sz w:val="22"/>
          <w:szCs w:val="22"/>
          <w:lang w:eastAsia="en-AU"/>
        </w:rPr>
      </w:pPr>
    </w:p>
    <w:p w14:paraId="65A01B90" w14:textId="07154B2C" w:rsidR="001E51F5" w:rsidRPr="00E9726E" w:rsidRDefault="001E51F5" w:rsidP="000B31F9">
      <w:pPr>
        <w:keepNext/>
        <w:spacing w:after="0" w:line="240" w:lineRule="auto"/>
        <w:rPr>
          <w:rFonts w:eastAsia="Times New Roman"/>
          <w:b/>
          <w:sz w:val="22"/>
          <w:szCs w:val="22"/>
          <w:lang w:eastAsia="en-AU"/>
        </w:rPr>
      </w:pPr>
      <w:r w:rsidRPr="00E9726E">
        <w:rPr>
          <w:rFonts w:eastAsia="Times New Roman"/>
          <w:b/>
          <w:sz w:val="22"/>
          <w:szCs w:val="22"/>
          <w:lang w:eastAsia="en-AU"/>
        </w:rPr>
        <w:t>Conclusion</w:t>
      </w:r>
    </w:p>
    <w:p w14:paraId="53909F32" w14:textId="77777777" w:rsidR="00E744B0" w:rsidRPr="00E9726E" w:rsidRDefault="00E744B0" w:rsidP="000B31F9">
      <w:pPr>
        <w:keepNext/>
        <w:spacing w:after="0" w:line="240" w:lineRule="auto"/>
        <w:rPr>
          <w:rFonts w:eastAsia="Times New Roman"/>
          <w:sz w:val="22"/>
          <w:szCs w:val="22"/>
          <w:lang w:eastAsia="en-AU"/>
        </w:rPr>
      </w:pPr>
    </w:p>
    <w:p w14:paraId="488DF4C4" w14:textId="153BC839" w:rsidR="00EC29B8" w:rsidRPr="00E9726E" w:rsidRDefault="001E51F5" w:rsidP="000B31F9">
      <w:pPr>
        <w:keepNext/>
        <w:spacing w:after="0" w:line="240" w:lineRule="auto"/>
        <w:rPr>
          <w:rFonts w:eastAsia="Times New Roman"/>
          <w:b/>
          <w:bCs/>
          <w:sz w:val="22"/>
          <w:szCs w:val="22"/>
          <w:lang w:eastAsia="en-AU"/>
        </w:rPr>
      </w:pPr>
      <w:r w:rsidRPr="00E9726E">
        <w:rPr>
          <w:rFonts w:eastAsia="Times New Roman"/>
          <w:sz w:val="22"/>
          <w:szCs w:val="22"/>
          <w:lang w:eastAsia="en-AU"/>
        </w:rPr>
        <w:t>Th</w:t>
      </w:r>
      <w:r w:rsidR="00280B08" w:rsidRPr="00E9726E">
        <w:rPr>
          <w:rFonts w:eastAsia="Times New Roman"/>
          <w:sz w:val="22"/>
          <w:szCs w:val="22"/>
          <w:lang w:eastAsia="en-AU"/>
        </w:rPr>
        <w:t>e</w:t>
      </w:r>
      <w:r w:rsidRPr="00E9726E">
        <w:rPr>
          <w:rFonts w:eastAsia="Times New Roman"/>
          <w:sz w:val="22"/>
          <w:szCs w:val="22"/>
          <w:lang w:eastAsia="en-AU"/>
        </w:rPr>
        <w:t xml:space="preserve"> </w:t>
      </w:r>
      <w:r w:rsidR="00DD548F">
        <w:rPr>
          <w:rFonts w:eastAsia="Times New Roman"/>
          <w:sz w:val="22"/>
          <w:szCs w:val="22"/>
          <w:lang w:eastAsia="en-AU"/>
        </w:rPr>
        <w:t>instrument</w:t>
      </w:r>
      <w:r w:rsidR="00BA2EE9" w:rsidRPr="00E9726E">
        <w:rPr>
          <w:rFonts w:eastAsia="Times New Roman"/>
          <w:sz w:val="22"/>
          <w:szCs w:val="22"/>
          <w:lang w:eastAsia="en-AU"/>
        </w:rPr>
        <w:t xml:space="preserve"> </w:t>
      </w:r>
      <w:r w:rsidRPr="00E9726E">
        <w:rPr>
          <w:rFonts w:eastAsia="Times New Roman"/>
          <w:sz w:val="22"/>
          <w:szCs w:val="22"/>
          <w:lang w:eastAsia="en-AU"/>
        </w:rPr>
        <w:t xml:space="preserve">is compatible with human rights because it </w:t>
      </w:r>
      <w:r w:rsidR="00DD548F">
        <w:rPr>
          <w:rFonts w:eastAsia="Times New Roman"/>
          <w:sz w:val="22"/>
          <w:szCs w:val="22"/>
          <w:lang w:eastAsia="en-AU"/>
        </w:rPr>
        <w:t>supports the right to health in Article 12 of the ICESCR and does not raise any other human rights issues</w:t>
      </w:r>
      <w:r w:rsidR="004A5FC0">
        <w:rPr>
          <w:rFonts w:eastAsia="Times New Roman"/>
          <w:sz w:val="22"/>
          <w:szCs w:val="22"/>
          <w:lang w:eastAsia="en-AU"/>
        </w:rPr>
        <w:t>.</w:t>
      </w:r>
    </w:p>
    <w:sectPr w:rsidR="00EC29B8" w:rsidRPr="00E9726E" w:rsidSect="00464FC6">
      <w:headerReference w:type="even" r:id="rId8"/>
      <w:headerReference w:type="default" r:id="rId9"/>
      <w:footerReference w:type="default" r:id="rId10"/>
      <w:footerReference w:type="first" r:id="rId11"/>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78819" w14:textId="77777777" w:rsidR="004D7BF1" w:rsidRDefault="004D7BF1">
      <w:pPr>
        <w:spacing w:after="0" w:line="240" w:lineRule="auto"/>
      </w:pPr>
      <w:r>
        <w:separator/>
      </w:r>
    </w:p>
  </w:endnote>
  <w:endnote w:type="continuationSeparator" w:id="0">
    <w:p w14:paraId="1546875A" w14:textId="77777777" w:rsidR="004D7BF1" w:rsidRDefault="004D7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972775"/>
      <w:docPartObj>
        <w:docPartGallery w:val="Page Numbers (Bottom of Page)"/>
        <w:docPartUnique/>
      </w:docPartObj>
    </w:sdtPr>
    <w:sdtEndPr>
      <w:rPr>
        <w:noProof/>
        <w:sz w:val="22"/>
        <w:szCs w:val="22"/>
      </w:rPr>
    </w:sdtEndPr>
    <w:sdtContent>
      <w:p w14:paraId="789DE8DC" w14:textId="3B4819D6" w:rsidR="00120D81" w:rsidRPr="00BF658A" w:rsidRDefault="00120D81">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sidR="00DE1408">
          <w:rPr>
            <w:noProof/>
            <w:sz w:val="22"/>
            <w:szCs w:val="22"/>
          </w:rPr>
          <w:t>6</w:t>
        </w:r>
        <w:r w:rsidRPr="00BF658A">
          <w:rPr>
            <w:noProof/>
            <w:sz w:val="22"/>
            <w:szCs w:val="22"/>
          </w:rPr>
          <w:fldChar w:fldCharType="end"/>
        </w:r>
      </w:p>
    </w:sdtContent>
  </w:sdt>
  <w:p w14:paraId="5CFB26B9" w14:textId="77777777" w:rsidR="00120D81" w:rsidRPr="00877529" w:rsidRDefault="00120D81"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4D10" w14:textId="77777777" w:rsidR="00120D81" w:rsidRDefault="00120D81"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8D88" w14:textId="77777777" w:rsidR="004D7BF1" w:rsidRDefault="004D7BF1">
      <w:pPr>
        <w:spacing w:after="0" w:line="240" w:lineRule="auto"/>
      </w:pPr>
      <w:r>
        <w:separator/>
      </w:r>
    </w:p>
  </w:footnote>
  <w:footnote w:type="continuationSeparator" w:id="0">
    <w:p w14:paraId="60222E76" w14:textId="77777777" w:rsidR="004D7BF1" w:rsidRDefault="004D7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408B" w14:textId="77777777" w:rsidR="00120D81" w:rsidRDefault="00120D81"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0DCC9E" w14:textId="77777777" w:rsidR="00120D81" w:rsidRDefault="00120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099A" w14:textId="77777777" w:rsidR="00120D81" w:rsidRDefault="00120D81"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095"/>
    <w:multiLevelType w:val="hybridMultilevel"/>
    <w:tmpl w:val="56521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6008F"/>
    <w:multiLevelType w:val="hybridMultilevel"/>
    <w:tmpl w:val="1CBA6BF0"/>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D056E8"/>
    <w:multiLevelType w:val="hybridMultilevel"/>
    <w:tmpl w:val="ABA8D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1E100C"/>
    <w:multiLevelType w:val="hybridMultilevel"/>
    <w:tmpl w:val="1CBA6B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36764B"/>
    <w:multiLevelType w:val="hybridMultilevel"/>
    <w:tmpl w:val="F354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621A11"/>
    <w:multiLevelType w:val="hybridMultilevel"/>
    <w:tmpl w:val="477E2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D7DA7"/>
    <w:multiLevelType w:val="hybridMultilevel"/>
    <w:tmpl w:val="10C24886"/>
    <w:lvl w:ilvl="0" w:tplc="996C35D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807493"/>
    <w:multiLevelType w:val="hybridMultilevel"/>
    <w:tmpl w:val="E6BC5E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F21A37"/>
    <w:multiLevelType w:val="hybridMultilevel"/>
    <w:tmpl w:val="6FCA31C4"/>
    <w:lvl w:ilvl="0" w:tplc="05E6A55E">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7A4AA1"/>
    <w:multiLevelType w:val="hybridMultilevel"/>
    <w:tmpl w:val="6DB40AD6"/>
    <w:lvl w:ilvl="0" w:tplc="F95CF9BC">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8F6646C"/>
    <w:multiLevelType w:val="multilevel"/>
    <w:tmpl w:val="A7DE7C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E359CD"/>
    <w:multiLevelType w:val="hybridMultilevel"/>
    <w:tmpl w:val="B16CF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363BC3"/>
    <w:multiLevelType w:val="hybridMultilevel"/>
    <w:tmpl w:val="AFFCD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F221DA"/>
    <w:multiLevelType w:val="hybridMultilevel"/>
    <w:tmpl w:val="DEE8F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90700"/>
    <w:multiLevelType w:val="hybridMultilevel"/>
    <w:tmpl w:val="72466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102CF0"/>
    <w:multiLevelType w:val="hybridMultilevel"/>
    <w:tmpl w:val="AC943720"/>
    <w:lvl w:ilvl="0" w:tplc="E806F1AA">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FF6383"/>
    <w:multiLevelType w:val="hybridMultilevel"/>
    <w:tmpl w:val="AB1E3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0054EC"/>
    <w:multiLevelType w:val="hybridMultilevel"/>
    <w:tmpl w:val="2C924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EF0DF2"/>
    <w:multiLevelType w:val="hybridMultilevel"/>
    <w:tmpl w:val="40A8B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B74D0F"/>
    <w:multiLevelType w:val="hybridMultilevel"/>
    <w:tmpl w:val="01D8F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1A535FA"/>
    <w:multiLevelType w:val="hybridMultilevel"/>
    <w:tmpl w:val="CA3CD3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2420C8"/>
    <w:multiLevelType w:val="hybridMultilevel"/>
    <w:tmpl w:val="C39CD6BA"/>
    <w:lvl w:ilvl="0" w:tplc="35F42E8C">
      <w:start w:val="1"/>
      <w:numFmt w:val="bullet"/>
      <w:lvlText w:val=""/>
      <w:lvlJc w:val="left"/>
      <w:pPr>
        <w:ind w:left="720" w:hanging="360"/>
      </w:pPr>
      <w:rPr>
        <w:rFonts w:ascii="Symbol" w:hAnsi="Symbol"/>
      </w:rPr>
    </w:lvl>
    <w:lvl w:ilvl="1" w:tplc="314EE6F6">
      <w:start w:val="1"/>
      <w:numFmt w:val="bullet"/>
      <w:lvlText w:val=""/>
      <w:lvlJc w:val="left"/>
      <w:pPr>
        <w:ind w:left="720" w:hanging="360"/>
      </w:pPr>
      <w:rPr>
        <w:rFonts w:ascii="Symbol" w:hAnsi="Symbol"/>
      </w:rPr>
    </w:lvl>
    <w:lvl w:ilvl="2" w:tplc="01EC3DDA">
      <w:start w:val="1"/>
      <w:numFmt w:val="bullet"/>
      <w:lvlText w:val=""/>
      <w:lvlJc w:val="left"/>
      <w:pPr>
        <w:ind w:left="720" w:hanging="360"/>
      </w:pPr>
      <w:rPr>
        <w:rFonts w:ascii="Symbol" w:hAnsi="Symbol"/>
      </w:rPr>
    </w:lvl>
    <w:lvl w:ilvl="3" w:tplc="4CDC2A32">
      <w:start w:val="1"/>
      <w:numFmt w:val="bullet"/>
      <w:lvlText w:val=""/>
      <w:lvlJc w:val="left"/>
      <w:pPr>
        <w:ind w:left="720" w:hanging="360"/>
      </w:pPr>
      <w:rPr>
        <w:rFonts w:ascii="Symbol" w:hAnsi="Symbol"/>
      </w:rPr>
    </w:lvl>
    <w:lvl w:ilvl="4" w:tplc="274E3D26">
      <w:start w:val="1"/>
      <w:numFmt w:val="bullet"/>
      <w:lvlText w:val=""/>
      <w:lvlJc w:val="left"/>
      <w:pPr>
        <w:ind w:left="720" w:hanging="360"/>
      </w:pPr>
      <w:rPr>
        <w:rFonts w:ascii="Symbol" w:hAnsi="Symbol"/>
      </w:rPr>
    </w:lvl>
    <w:lvl w:ilvl="5" w:tplc="5D30919E">
      <w:start w:val="1"/>
      <w:numFmt w:val="bullet"/>
      <w:lvlText w:val=""/>
      <w:lvlJc w:val="left"/>
      <w:pPr>
        <w:ind w:left="720" w:hanging="360"/>
      </w:pPr>
      <w:rPr>
        <w:rFonts w:ascii="Symbol" w:hAnsi="Symbol"/>
      </w:rPr>
    </w:lvl>
    <w:lvl w:ilvl="6" w:tplc="03703252">
      <w:start w:val="1"/>
      <w:numFmt w:val="bullet"/>
      <w:lvlText w:val=""/>
      <w:lvlJc w:val="left"/>
      <w:pPr>
        <w:ind w:left="720" w:hanging="360"/>
      </w:pPr>
      <w:rPr>
        <w:rFonts w:ascii="Symbol" w:hAnsi="Symbol"/>
      </w:rPr>
    </w:lvl>
    <w:lvl w:ilvl="7" w:tplc="FB9A0444">
      <w:start w:val="1"/>
      <w:numFmt w:val="bullet"/>
      <w:lvlText w:val=""/>
      <w:lvlJc w:val="left"/>
      <w:pPr>
        <w:ind w:left="720" w:hanging="360"/>
      </w:pPr>
      <w:rPr>
        <w:rFonts w:ascii="Symbol" w:hAnsi="Symbol"/>
      </w:rPr>
    </w:lvl>
    <w:lvl w:ilvl="8" w:tplc="1EC4A928">
      <w:start w:val="1"/>
      <w:numFmt w:val="bullet"/>
      <w:lvlText w:val=""/>
      <w:lvlJc w:val="left"/>
      <w:pPr>
        <w:ind w:left="720" w:hanging="360"/>
      </w:pPr>
      <w:rPr>
        <w:rFonts w:ascii="Symbol" w:hAnsi="Symbol"/>
      </w:rPr>
    </w:lvl>
  </w:abstractNum>
  <w:abstractNum w:abstractNumId="25"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2420AB"/>
    <w:multiLevelType w:val="hybridMultilevel"/>
    <w:tmpl w:val="1CBA6B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A22C77"/>
    <w:multiLevelType w:val="hybridMultilevel"/>
    <w:tmpl w:val="18888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910A88"/>
    <w:multiLevelType w:val="hybridMultilevel"/>
    <w:tmpl w:val="A77832AC"/>
    <w:lvl w:ilvl="0" w:tplc="A3B045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31287243">
    <w:abstractNumId w:val="25"/>
  </w:num>
  <w:num w:numId="2" w16cid:durableId="1384329846">
    <w:abstractNumId w:val="8"/>
  </w:num>
  <w:num w:numId="3" w16cid:durableId="1370913671">
    <w:abstractNumId w:val="23"/>
  </w:num>
  <w:num w:numId="4" w16cid:durableId="1182477246">
    <w:abstractNumId w:val="22"/>
  </w:num>
  <w:num w:numId="5" w16cid:durableId="1298997752">
    <w:abstractNumId w:val="27"/>
  </w:num>
  <w:num w:numId="6" w16cid:durableId="788936879">
    <w:abstractNumId w:val="28"/>
  </w:num>
  <w:num w:numId="7" w16cid:durableId="1595820935">
    <w:abstractNumId w:val="9"/>
  </w:num>
  <w:num w:numId="8" w16cid:durableId="1832598272">
    <w:abstractNumId w:val="7"/>
  </w:num>
  <w:num w:numId="9" w16cid:durableId="867790743">
    <w:abstractNumId w:val="24"/>
  </w:num>
  <w:num w:numId="10" w16cid:durableId="1463571993">
    <w:abstractNumId w:val="12"/>
  </w:num>
  <w:num w:numId="11" w16cid:durableId="1847939877">
    <w:abstractNumId w:val="0"/>
  </w:num>
  <w:num w:numId="12" w16cid:durableId="2138065251">
    <w:abstractNumId w:val="4"/>
  </w:num>
  <w:num w:numId="13" w16cid:durableId="1705515838">
    <w:abstractNumId w:val="17"/>
  </w:num>
  <w:num w:numId="14" w16cid:durableId="1979988770">
    <w:abstractNumId w:val="15"/>
  </w:num>
  <w:num w:numId="15" w16cid:durableId="1893157128">
    <w:abstractNumId w:val="2"/>
  </w:num>
  <w:num w:numId="16" w16cid:durableId="1845899309">
    <w:abstractNumId w:val="10"/>
  </w:num>
  <w:num w:numId="17" w16cid:durableId="626929508">
    <w:abstractNumId w:val="20"/>
  </w:num>
  <w:num w:numId="18" w16cid:durableId="231543370">
    <w:abstractNumId w:val="13"/>
  </w:num>
  <w:num w:numId="19" w16cid:durableId="553933768">
    <w:abstractNumId w:val="6"/>
  </w:num>
  <w:num w:numId="20" w16cid:durableId="300773799">
    <w:abstractNumId w:val="18"/>
  </w:num>
  <w:num w:numId="21" w16cid:durableId="1524901943">
    <w:abstractNumId w:val="1"/>
  </w:num>
  <w:num w:numId="22" w16cid:durableId="1904756862">
    <w:abstractNumId w:val="26"/>
  </w:num>
  <w:num w:numId="23" w16cid:durableId="1402481344">
    <w:abstractNumId w:val="3"/>
  </w:num>
  <w:num w:numId="24" w16cid:durableId="1714765476">
    <w:abstractNumId w:val="19"/>
  </w:num>
  <w:num w:numId="25" w16cid:durableId="948317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1743709">
    <w:abstractNumId w:val="5"/>
  </w:num>
  <w:num w:numId="27" w16cid:durableId="1729183889">
    <w:abstractNumId w:val="14"/>
  </w:num>
  <w:num w:numId="28" w16cid:durableId="588000524">
    <w:abstractNumId w:val="21"/>
  </w:num>
  <w:num w:numId="29" w16cid:durableId="1213888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5"/>
    <w:rsid w:val="00001411"/>
    <w:rsid w:val="0000423B"/>
    <w:rsid w:val="000063F9"/>
    <w:rsid w:val="00011664"/>
    <w:rsid w:val="00020BB0"/>
    <w:rsid w:val="00020DD6"/>
    <w:rsid w:val="00020EB1"/>
    <w:rsid w:val="0002431C"/>
    <w:rsid w:val="000257D0"/>
    <w:rsid w:val="00027463"/>
    <w:rsid w:val="00032E35"/>
    <w:rsid w:val="0003431C"/>
    <w:rsid w:val="00050390"/>
    <w:rsid w:val="00050B02"/>
    <w:rsid w:val="00056D63"/>
    <w:rsid w:val="0005743D"/>
    <w:rsid w:val="000622CE"/>
    <w:rsid w:val="000626DD"/>
    <w:rsid w:val="000722DC"/>
    <w:rsid w:val="00080EC3"/>
    <w:rsid w:val="000829FF"/>
    <w:rsid w:val="00085A4F"/>
    <w:rsid w:val="0009127A"/>
    <w:rsid w:val="000931F3"/>
    <w:rsid w:val="00093426"/>
    <w:rsid w:val="000A2B56"/>
    <w:rsid w:val="000A6D16"/>
    <w:rsid w:val="000B31F9"/>
    <w:rsid w:val="000C7237"/>
    <w:rsid w:val="000C7A6F"/>
    <w:rsid w:val="000D53DB"/>
    <w:rsid w:val="000E2F6C"/>
    <w:rsid w:val="000F0D2A"/>
    <w:rsid w:val="000F17F7"/>
    <w:rsid w:val="000F3FB2"/>
    <w:rsid w:val="000F4182"/>
    <w:rsid w:val="000F55D8"/>
    <w:rsid w:val="000F7B6D"/>
    <w:rsid w:val="000F7D58"/>
    <w:rsid w:val="00102733"/>
    <w:rsid w:val="00112086"/>
    <w:rsid w:val="0011256D"/>
    <w:rsid w:val="00114AC9"/>
    <w:rsid w:val="0011565A"/>
    <w:rsid w:val="00120D81"/>
    <w:rsid w:val="001314F9"/>
    <w:rsid w:val="0013189C"/>
    <w:rsid w:val="00133D92"/>
    <w:rsid w:val="00144306"/>
    <w:rsid w:val="001530BF"/>
    <w:rsid w:val="0015368D"/>
    <w:rsid w:val="00165932"/>
    <w:rsid w:val="00165C2C"/>
    <w:rsid w:val="00173CDD"/>
    <w:rsid w:val="00175F98"/>
    <w:rsid w:val="0019320B"/>
    <w:rsid w:val="0019728B"/>
    <w:rsid w:val="001A4FC4"/>
    <w:rsid w:val="001A7EA5"/>
    <w:rsid w:val="001C24DC"/>
    <w:rsid w:val="001C5896"/>
    <w:rsid w:val="001C5975"/>
    <w:rsid w:val="001D54EB"/>
    <w:rsid w:val="001D7D3D"/>
    <w:rsid w:val="001E130F"/>
    <w:rsid w:val="001E4877"/>
    <w:rsid w:val="001E51F5"/>
    <w:rsid w:val="001E6A2B"/>
    <w:rsid w:val="002032B3"/>
    <w:rsid w:val="0020413F"/>
    <w:rsid w:val="0020619D"/>
    <w:rsid w:val="002071D2"/>
    <w:rsid w:val="0021726B"/>
    <w:rsid w:val="002254D0"/>
    <w:rsid w:val="00225970"/>
    <w:rsid w:val="00230649"/>
    <w:rsid w:val="00232242"/>
    <w:rsid w:val="0023634F"/>
    <w:rsid w:val="00240B55"/>
    <w:rsid w:val="00241CAB"/>
    <w:rsid w:val="00242B74"/>
    <w:rsid w:val="00243199"/>
    <w:rsid w:val="00243641"/>
    <w:rsid w:val="002442FB"/>
    <w:rsid w:val="00246EDA"/>
    <w:rsid w:val="0024775A"/>
    <w:rsid w:val="0025561F"/>
    <w:rsid w:val="00256D94"/>
    <w:rsid w:val="002646DB"/>
    <w:rsid w:val="002715D3"/>
    <w:rsid w:val="00272FBA"/>
    <w:rsid w:val="00274E3F"/>
    <w:rsid w:val="00276A32"/>
    <w:rsid w:val="00280050"/>
    <w:rsid w:val="00280B08"/>
    <w:rsid w:val="00284B64"/>
    <w:rsid w:val="002A255E"/>
    <w:rsid w:val="002B1D91"/>
    <w:rsid w:val="002B3442"/>
    <w:rsid w:val="002B650B"/>
    <w:rsid w:val="002B66B7"/>
    <w:rsid w:val="002C1ED5"/>
    <w:rsid w:val="002D0A2B"/>
    <w:rsid w:val="002D0B48"/>
    <w:rsid w:val="002D71E2"/>
    <w:rsid w:val="002D777A"/>
    <w:rsid w:val="002E08F4"/>
    <w:rsid w:val="002E1F0C"/>
    <w:rsid w:val="002E31BF"/>
    <w:rsid w:val="002E37C2"/>
    <w:rsid w:val="002E71B1"/>
    <w:rsid w:val="002F2C38"/>
    <w:rsid w:val="002F4604"/>
    <w:rsid w:val="00310965"/>
    <w:rsid w:val="0031361F"/>
    <w:rsid w:val="0031610E"/>
    <w:rsid w:val="00321921"/>
    <w:rsid w:val="00324960"/>
    <w:rsid w:val="00326D58"/>
    <w:rsid w:val="0033172F"/>
    <w:rsid w:val="00333F79"/>
    <w:rsid w:val="003363F1"/>
    <w:rsid w:val="00340454"/>
    <w:rsid w:val="00342B6B"/>
    <w:rsid w:val="0034636B"/>
    <w:rsid w:val="00352AD7"/>
    <w:rsid w:val="0035413B"/>
    <w:rsid w:val="00355D1E"/>
    <w:rsid w:val="0036022E"/>
    <w:rsid w:val="003635E6"/>
    <w:rsid w:val="0036457F"/>
    <w:rsid w:val="00364C69"/>
    <w:rsid w:val="00367B06"/>
    <w:rsid w:val="00371DC3"/>
    <w:rsid w:val="00374344"/>
    <w:rsid w:val="00375F1F"/>
    <w:rsid w:val="00376432"/>
    <w:rsid w:val="00385C20"/>
    <w:rsid w:val="00390636"/>
    <w:rsid w:val="0039238C"/>
    <w:rsid w:val="0039728D"/>
    <w:rsid w:val="003973AB"/>
    <w:rsid w:val="00397BD5"/>
    <w:rsid w:val="003B117C"/>
    <w:rsid w:val="003B386A"/>
    <w:rsid w:val="003B5E8C"/>
    <w:rsid w:val="003B753E"/>
    <w:rsid w:val="003C0D65"/>
    <w:rsid w:val="003C1833"/>
    <w:rsid w:val="003C36B4"/>
    <w:rsid w:val="003C3B95"/>
    <w:rsid w:val="003C5AC6"/>
    <w:rsid w:val="003C64B4"/>
    <w:rsid w:val="003C7E03"/>
    <w:rsid w:val="003D07BD"/>
    <w:rsid w:val="003D58C6"/>
    <w:rsid w:val="003D7CF8"/>
    <w:rsid w:val="003E5DDE"/>
    <w:rsid w:val="003F16D2"/>
    <w:rsid w:val="00414C13"/>
    <w:rsid w:val="00417368"/>
    <w:rsid w:val="00417565"/>
    <w:rsid w:val="00420ACC"/>
    <w:rsid w:val="00425B11"/>
    <w:rsid w:val="00433AB8"/>
    <w:rsid w:val="0043454D"/>
    <w:rsid w:val="004376CB"/>
    <w:rsid w:val="0044225A"/>
    <w:rsid w:val="004477DD"/>
    <w:rsid w:val="004521BA"/>
    <w:rsid w:val="00452C85"/>
    <w:rsid w:val="00454166"/>
    <w:rsid w:val="00456485"/>
    <w:rsid w:val="00464FC6"/>
    <w:rsid w:val="00465712"/>
    <w:rsid w:val="00466D79"/>
    <w:rsid w:val="00476A05"/>
    <w:rsid w:val="00481AA9"/>
    <w:rsid w:val="00482417"/>
    <w:rsid w:val="00484117"/>
    <w:rsid w:val="00485580"/>
    <w:rsid w:val="00487728"/>
    <w:rsid w:val="00494DA3"/>
    <w:rsid w:val="0049689B"/>
    <w:rsid w:val="00497811"/>
    <w:rsid w:val="00497BCB"/>
    <w:rsid w:val="004A16BD"/>
    <w:rsid w:val="004A5FC0"/>
    <w:rsid w:val="004A67CB"/>
    <w:rsid w:val="004B06B5"/>
    <w:rsid w:val="004C445B"/>
    <w:rsid w:val="004D3359"/>
    <w:rsid w:val="004D3A2B"/>
    <w:rsid w:val="004D7384"/>
    <w:rsid w:val="004D7BF1"/>
    <w:rsid w:val="004E5A4A"/>
    <w:rsid w:val="00505E4C"/>
    <w:rsid w:val="0051143F"/>
    <w:rsid w:val="00512B80"/>
    <w:rsid w:val="00514D55"/>
    <w:rsid w:val="005209CC"/>
    <w:rsid w:val="00520EF8"/>
    <w:rsid w:val="00523B93"/>
    <w:rsid w:val="00527948"/>
    <w:rsid w:val="00527B2C"/>
    <w:rsid w:val="00531F1C"/>
    <w:rsid w:val="00532E5D"/>
    <w:rsid w:val="00532FD3"/>
    <w:rsid w:val="00533A07"/>
    <w:rsid w:val="00540BA1"/>
    <w:rsid w:val="0054490E"/>
    <w:rsid w:val="00545D74"/>
    <w:rsid w:val="00550BB2"/>
    <w:rsid w:val="00563890"/>
    <w:rsid w:val="00563F78"/>
    <w:rsid w:val="00565D57"/>
    <w:rsid w:val="00567579"/>
    <w:rsid w:val="0057264C"/>
    <w:rsid w:val="005750E1"/>
    <w:rsid w:val="005755BA"/>
    <w:rsid w:val="005769BE"/>
    <w:rsid w:val="00583143"/>
    <w:rsid w:val="00583A90"/>
    <w:rsid w:val="00585D8F"/>
    <w:rsid w:val="00587D90"/>
    <w:rsid w:val="00590E0C"/>
    <w:rsid w:val="00591901"/>
    <w:rsid w:val="00594701"/>
    <w:rsid w:val="005A18C1"/>
    <w:rsid w:val="005A1D07"/>
    <w:rsid w:val="005A24B8"/>
    <w:rsid w:val="005A5220"/>
    <w:rsid w:val="005B5FF4"/>
    <w:rsid w:val="005C01B8"/>
    <w:rsid w:val="005C4474"/>
    <w:rsid w:val="005C494A"/>
    <w:rsid w:val="005C4A76"/>
    <w:rsid w:val="005C6E1B"/>
    <w:rsid w:val="005C773C"/>
    <w:rsid w:val="005D43FE"/>
    <w:rsid w:val="005D7EB7"/>
    <w:rsid w:val="005E30B5"/>
    <w:rsid w:val="005E3873"/>
    <w:rsid w:val="005E3D9E"/>
    <w:rsid w:val="005E44EB"/>
    <w:rsid w:val="005F085F"/>
    <w:rsid w:val="005F0A7A"/>
    <w:rsid w:val="005F6CEF"/>
    <w:rsid w:val="006051C2"/>
    <w:rsid w:val="00611DA2"/>
    <w:rsid w:val="00616790"/>
    <w:rsid w:val="00617A83"/>
    <w:rsid w:val="006307A0"/>
    <w:rsid w:val="00635E5E"/>
    <w:rsid w:val="00636976"/>
    <w:rsid w:val="00645085"/>
    <w:rsid w:val="00650DE1"/>
    <w:rsid w:val="006563CB"/>
    <w:rsid w:val="00657A58"/>
    <w:rsid w:val="006614D1"/>
    <w:rsid w:val="00664600"/>
    <w:rsid w:val="00667781"/>
    <w:rsid w:val="00673A02"/>
    <w:rsid w:val="006752A4"/>
    <w:rsid w:val="00677B20"/>
    <w:rsid w:val="00684F36"/>
    <w:rsid w:val="0068536E"/>
    <w:rsid w:val="00685658"/>
    <w:rsid w:val="006A0D6F"/>
    <w:rsid w:val="006A1A6B"/>
    <w:rsid w:val="006A361A"/>
    <w:rsid w:val="006A5F5B"/>
    <w:rsid w:val="006B25C8"/>
    <w:rsid w:val="006B5292"/>
    <w:rsid w:val="006B74AC"/>
    <w:rsid w:val="006C33DD"/>
    <w:rsid w:val="006D15F4"/>
    <w:rsid w:val="006D4792"/>
    <w:rsid w:val="006D61CE"/>
    <w:rsid w:val="006E4EE3"/>
    <w:rsid w:val="006F1B06"/>
    <w:rsid w:val="006F2D91"/>
    <w:rsid w:val="006F3C0C"/>
    <w:rsid w:val="006F4398"/>
    <w:rsid w:val="006F4B73"/>
    <w:rsid w:val="006F7973"/>
    <w:rsid w:val="00703A47"/>
    <w:rsid w:val="00705773"/>
    <w:rsid w:val="007159F7"/>
    <w:rsid w:val="0071771A"/>
    <w:rsid w:val="00723DE6"/>
    <w:rsid w:val="0072456A"/>
    <w:rsid w:val="0073451E"/>
    <w:rsid w:val="00741D76"/>
    <w:rsid w:val="007436F9"/>
    <w:rsid w:val="00747C04"/>
    <w:rsid w:val="007528CB"/>
    <w:rsid w:val="00757BCB"/>
    <w:rsid w:val="007610BE"/>
    <w:rsid w:val="00765538"/>
    <w:rsid w:val="0077123B"/>
    <w:rsid w:val="00771DB4"/>
    <w:rsid w:val="00774D50"/>
    <w:rsid w:val="007860A7"/>
    <w:rsid w:val="0079541E"/>
    <w:rsid w:val="007954AB"/>
    <w:rsid w:val="007A066F"/>
    <w:rsid w:val="007B1C63"/>
    <w:rsid w:val="007B389A"/>
    <w:rsid w:val="007B449A"/>
    <w:rsid w:val="007B53F8"/>
    <w:rsid w:val="007B7963"/>
    <w:rsid w:val="007C65B6"/>
    <w:rsid w:val="007D3AC7"/>
    <w:rsid w:val="007E4678"/>
    <w:rsid w:val="007F539D"/>
    <w:rsid w:val="007F66F5"/>
    <w:rsid w:val="008056CA"/>
    <w:rsid w:val="0081149F"/>
    <w:rsid w:val="00811CB3"/>
    <w:rsid w:val="008121EF"/>
    <w:rsid w:val="008140C5"/>
    <w:rsid w:val="008240A6"/>
    <w:rsid w:val="008244E6"/>
    <w:rsid w:val="00825235"/>
    <w:rsid w:val="00827A5C"/>
    <w:rsid w:val="0083080B"/>
    <w:rsid w:val="00833D78"/>
    <w:rsid w:val="00834A60"/>
    <w:rsid w:val="00836203"/>
    <w:rsid w:val="008366D7"/>
    <w:rsid w:val="00837EB9"/>
    <w:rsid w:val="00840C23"/>
    <w:rsid w:val="00844D10"/>
    <w:rsid w:val="008540BD"/>
    <w:rsid w:val="00857B81"/>
    <w:rsid w:val="00867200"/>
    <w:rsid w:val="00870D80"/>
    <w:rsid w:val="008737FE"/>
    <w:rsid w:val="00876C93"/>
    <w:rsid w:val="008771CC"/>
    <w:rsid w:val="00886DC8"/>
    <w:rsid w:val="008925C6"/>
    <w:rsid w:val="008A648E"/>
    <w:rsid w:val="008B20AA"/>
    <w:rsid w:val="008C079F"/>
    <w:rsid w:val="008C4674"/>
    <w:rsid w:val="008D12B1"/>
    <w:rsid w:val="008D1E44"/>
    <w:rsid w:val="008D1E81"/>
    <w:rsid w:val="008D2C8A"/>
    <w:rsid w:val="008E5F19"/>
    <w:rsid w:val="008F6024"/>
    <w:rsid w:val="0090068C"/>
    <w:rsid w:val="0090181E"/>
    <w:rsid w:val="00911F9A"/>
    <w:rsid w:val="0091560A"/>
    <w:rsid w:val="00921CDB"/>
    <w:rsid w:val="00925310"/>
    <w:rsid w:val="00927CB9"/>
    <w:rsid w:val="00931441"/>
    <w:rsid w:val="00931B34"/>
    <w:rsid w:val="00931ED9"/>
    <w:rsid w:val="0093285E"/>
    <w:rsid w:val="009374C4"/>
    <w:rsid w:val="00937852"/>
    <w:rsid w:val="00941E85"/>
    <w:rsid w:val="0094306A"/>
    <w:rsid w:val="009459B8"/>
    <w:rsid w:val="009461F9"/>
    <w:rsid w:val="00947430"/>
    <w:rsid w:val="00953A3E"/>
    <w:rsid w:val="00955D48"/>
    <w:rsid w:val="0096011C"/>
    <w:rsid w:val="00965771"/>
    <w:rsid w:val="00974028"/>
    <w:rsid w:val="00974BA7"/>
    <w:rsid w:val="00980360"/>
    <w:rsid w:val="00981002"/>
    <w:rsid w:val="00982745"/>
    <w:rsid w:val="00990C8B"/>
    <w:rsid w:val="009917EC"/>
    <w:rsid w:val="00994090"/>
    <w:rsid w:val="009947EF"/>
    <w:rsid w:val="00995C3D"/>
    <w:rsid w:val="00996764"/>
    <w:rsid w:val="009A489D"/>
    <w:rsid w:val="009A4948"/>
    <w:rsid w:val="009A4C16"/>
    <w:rsid w:val="009B028F"/>
    <w:rsid w:val="009B3821"/>
    <w:rsid w:val="009C5C62"/>
    <w:rsid w:val="009C5D5F"/>
    <w:rsid w:val="009C70C2"/>
    <w:rsid w:val="009C70F9"/>
    <w:rsid w:val="009D336F"/>
    <w:rsid w:val="009D5EF8"/>
    <w:rsid w:val="009D67CF"/>
    <w:rsid w:val="009E0859"/>
    <w:rsid w:val="009E113A"/>
    <w:rsid w:val="009F4578"/>
    <w:rsid w:val="009F5874"/>
    <w:rsid w:val="00A00307"/>
    <w:rsid w:val="00A0756E"/>
    <w:rsid w:val="00A077A5"/>
    <w:rsid w:val="00A10ED3"/>
    <w:rsid w:val="00A120E1"/>
    <w:rsid w:val="00A210B8"/>
    <w:rsid w:val="00A245ED"/>
    <w:rsid w:val="00A24DED"/>
    <w:rsid w:val="00A25093"/>
    <w:rsid w:val="00A41163"/>
    <w:rsid w:val="00A44402"/>
    <w:rsid w:val="00A4469B"/>
    <w:rsid w:val="00A46536"/>
    <w:rsid w:val="00A47DEF"/>
    <w:rsid w:val="00A54375"/>
    <w:rsid w:val="00A57D63"/>
    <w:rsid w:val="00A6475A"/>
    <w:rsid w:val="00A65627"/>
    <w:rsid w:val="00A71E00"/>
    <w:rsid w:val="00A75FD5"/>
    <w:rsid w:val="00A774CA"/>
    <w:rsid w:val="00A93745"/>
    <w:rsid w:val="00A95E0E"/>
    <w:rsid w:val="00A95FD5"/>
    <w:rsid w:val="00A96074"/>
    <w:rsid w:val="00A9742C"/>
    <w:rsid w:val="00AA0C9E"/>
    <w:rsid w:val="00AA18F9"/>
    <w:rsid w:val="00AA19A8"/>
    <w:rsid w:val="00AA20CE"/>
    <w:rsid w:val="00AA44A1"/>
    <w:rsid w:val="00AA7D89"/>
    <w:rsid w:val="00AB0218"/>
    <w:rsid w:val="00AB29FD"/>
    <w:rsid w:val="00AB4485"/>
    <w:rsid w:val="00AC076F"/>
    <w:rsid w:val="00AC1D82"/>
    <w:rsid w:val="00AC3530"/>
    <w:rsid w:val="00AC3637"/>
    <w:rsid w:val="00AC5365"/>
    <w:rsid w:val="00AC6839"/>
    <w:rsid w:val="00AC7602"/>
    <w:rsid w:val="00AD2DFD"/>
    <w:rsid w:val="00AD7255"/>
    <w:rsid w:val="00AE733C"/>
    <w:rsid w:val="00AF4905"/>
    <w:rsid w:val="00AF5663"/>
    <w:rsid w:val="00AF66D2"/>
    <w:rsid w:val="00B06A3A"/>
    <w:rsid w:val="00B1493E"/>
    <w:rsid w:val="00B16E89"/>
    <w:rsid w:val="00B23780"/>
    <w:rsid w:val="00B256BB"/>
    <w:rsid w:val="00B262E4"/>
    <w:rsid w:val="00B27626"/>
    <w:rsid w:val="00B308C4"/>
    <w:rsid w:val="00B3118D"/>
    <w:rsid w:val="00B3418B"/>
    <w:rsid w:val="00B341AE"/>
    <w:rsid w:val="00B41065"/>
    <w:rsid w:val="00B5474B"/>
    <w:rsid w:val="00B5698C"/>
    <w:rsid w:val="00B6399A"/>
    <w:rsid w:val="00B71F60"/>
    <w:rsid w:val="00B7656E"/>
    <w:rsid w:val="00B7711B"/>
    <w:rsid w:val="00B77FB4"/>
    <w:rsid w:val="00B8620C"/>
    <w:rsid w:val="00B9281E"/>
    <w:rsid w:val="00B93391"/>
    <w:rsid w:val="00B95BEE"/>
    <w:rsid w:val="00B962F4"/>
    <w:rsid w:val="00BA1774"/>
    <w:rsid w:val="00BA2EE9"/>
    <w:rsid w:val="00BB0FEF"/>
    <w:rsid w:val="00BB1171"/>
    <w:rsid w:val="00BB2758"/>
    <w:rsid w:val="00BB4C8D"/>
    <w:rsid w:val="00BC4736"/>
    <w:rsid w:val="00BC6B4B"/>
    <w:rsid w:val="00BD0EC1"/>
    <w:rsid w:val="00BD3108"/>
    <w:rsid w:val="00BD5520"/>
    <w:rsid w:val="00BD71B2"/>
    <w:rsid w:val="00BE1CEE"/>
    <w:rsid w:val="00BF5FA2"/>
    <w:rsid w:val="00BF604E"/>
    <w:rsid w:val="00BF6162"/>
    <w:rsid w:val="00BF7606"/>
    <w:rsid w:val="00C004B2"/>
    <w:rsid w:val="00C03EAE"/>
    <w:rsid w:val="00C06495"/>
    <w:rsid w:val="00C070E7"/>
    <w:rsid w:val="00C07687"/>
    <w:rsid w:val="00C23326"/>
    <w:rsid w:val="00C246F9"/>
    <w:rsid w:val="00C24838"/>
    <w:rsid w:val="00C24CBA"/>
    <w:rsid w:val="00C30D81"/>
    <w:rsid w:val="00C35BD9"/>
    <w:rsid w:val="00C40982"/>
    <w:rsid w:val="00C421C0"/>
    <w:rsid w:val="00C45580"/>
    <w:rsid w:val="00C455A7"/>
    <w:rsid w:val="00C47049"/>
    <w:rsid w:val="00C53E08"/>
    <w:rsid w:val="00C55033"/>
    <w:rsid w:val="00C5584D"/>
    <w:rsid w:val="00C57631"/>
    <w:rsid w:val="00C6119E"/>
    <w:rsid w:val="00C622DD"/>
    <w:rsid w:val="00C629A9"/>
    <w:rsid w:val="00C630D5"/>
    <w:rsid w:val="00C6651D"/>
    <w:rsid w:val="00C72299"/>
    <w:rsid w:val="00C72E13"/>
    <w:rsid w:val="00C75C51"/>
    <w:rsid w:val="00C7772D"/>
    <w:rsid w:val="00C800AC"/>
    <w:rsid w:val="00C909E6"/>
    <w:rsid w:val="00C97C4F"/>
    <w:rsid w:val="00CB09DA"/>
    <w:rsid w:val="00CB50B1"/>
    <w:rsid w:val="00CC2A82"/>
    <w:rsid w:val="00CC44D1"/>
    <w:rsid w:val="00CC56CB"/>
    <w:rsid w:val="00CC7C84"/>
    <w:rsid w:val="00CD1B43"/>
    <w:rsid w:val="00CD214D"/>
    <w:rsid w:val="00CD6B35"/>
    <w:rsid w:val="00CE03A6"/>
    <w:rsid w:val="00CE497B"/>
    <w:rsid w:val="00CF0434"/>
    <w:rsid w:val="00CF0B2C"/>
    <w:rsid w:val="00CF11D4"/>
    <w:rsid w:val="00CF27A1"/>
    <w:rsid w:val="00CF4D5D"/>
    <w:rsid w:val="00CF50F4"/>
    <w:rsid w:val="00CF54EC"/>
    <w:rsid w:val="00CF6A06"/>
    <w:rsid w:val="00CF73AD"/>
    <w:rsid w:val="00D00A89"/>
    <w:rsid w:val="00D022BE"/>
    <w:rsid w:val="00D026A9"/>
    <w:rsid w:val="00D21835"/>
    <w:rsid w:val="00D24A91"/>
    <w:rsid w:val="00D2737D"/>
    <w:rsid w:val="00D305E4"/>
    <w:rsid w:val="00D409F3"/>
    <w:rsid w:val="00D40D96"/>
    <w:rsid w:val="00D41EEC"/>
    <w:rsid w:val="00D42450"/>
    <w:rsid w:val="00D438C2"/>
    <w:rsid w:val="00D43DC4"/>
    <w:rsid w:val="00D52E0B"/>
    <w:rsid w:val="00D55750"/>
    <w:rsid w:val="00D55AFD"/>
    <w:rsid w:val="00D60D48"/>
    <w:rsid w:val="00D61C2D"/>
    <w:rsid w:val="00D675EA"/>
    <w:rsid w:val="00D708C2"/>
    <w:rsid w:val="00D72161"/>
    <w:rsid w:val="00D7253D"/>
    <w:rsid w:val="00D75879"/>
    <w:rsid w:val="00D767F6"/>
    <w:rsid w:val="00D80A34"/>
    <w:rsid w:val="00D818D9"/>
    <w:rsid w:val="00D862F6"/>
    <w:rsid w:val="00D923C9"/>
    <w:rsid w:val="00DA449C"/>
    <w:rsid w:val="00DB1930"/>
    <w:rsid w:val="00DB6C1D"/>
    <w:rsid w:val="00DC0323"/>
    <w:rsid w:val="00DC061B"/>
    <w:rsid w:val="00DC10A4"/>
    <w:rsid w:val="00DC4722"/>
    <w:rsid w:val="00DC577F"/>
    <w:rsid w:val="00DC5A0D"/>
    <w:rsid w:val="00DC62EB"/>
    <w:rsid w:val="00DD4F53"/>
    <w:rsid w:val="00DD548F"/>
    <w:rsid w:val="00DD5785"/>
    <w:rsid w:val="00DD65E0"/>
    <w:rsid w:val="00DD71DA"/>
    <w:rsid w:val="00DE1408"/>
    <w:rsid w:val="00DE485E"/>
    <w:rsid w:val="00DF100A"/>
    <w:rsid w:val="00DF691F"/>
    <w:rsid w:val="00E04487"/>
    <w:rsid w:val="00E04ABC"/>
    <w:rsid w:val="00E04DE6"/>
    <w:rsid w:val="00E0725D"/>
    <w:rsid w:val="00E14489"/>
    <w:rsid w:val="00E14D05"/>
    <w:rsid w:val="00E17537"/>
    <w:rsid w:val="00E21CA7"/>
    <w:rsid w:val="00E30434"/>
    <w:rsid w:val="00E30743"/>
    <w:rsid w:val="00E30B91"/>
    <w:rsid w:val="00E33BC1"/>
    <w:rsid w:val="00E3451E"/>
    <w:rsid w:val="00E34EBE"/>
    <w:rsid w:val="00E4049A"/>
    <w:rsid w:val="00E4655A"/>
    <w:rsid w:val="00E53F2C"/>
    <w:rsid w:val="00E5662E"/>
    <w:rsid w:val="00E669B7"/>
    <w:rsid w:val="00E67DF5"/>
    <w:rsid w:val="00E744B0"/>
    <w:rsid w:val="00E77EED"/>
    <w:rsid w:val="00E8068A"/>
    <w:rsid w:val="00E8231A"/>
    <w:rsid w:val="00E832E4"/>
    <w:rsid w:val="00E94939"/>
    <w:rsid w:val="00E94CE5"/>
    <w:rsid w:val="00E965B3"/>
    <w:rsid w:val="00E9726E"/>
    <w:rsid w:val="00EA05D7"/>
    <w:rsid w:val="00EA5FD6"/>
    <w:rsid w:val="00EB0B5C"/>
    <w:rsid w:val="00EB3677"/>
    <w:rsid w:val="00EB3FA6"/>
    <w:rsid w:val="00EB6E25"/>
    <w:rsid w:val="00EB7D89"/>
    <w:rsid w:val="00EC06BB"/>
    <w:rsid w:val="00EC0FCD"/>
    <w:rsid w:val="00EC2217"/>
    <w:rsid w:val="00EC29B8"/>
    <w:rsid w:val="00EC5B0A"/>
    <w:rsid w:val="00EC764B"/>
    <w:rsid w:val="00ED4E36"/>
    <w:rsid w:val="00EE08CB"/>
    <w:rsid w:val="00EE11D1"/>
    <w:rsid w:val="00EE2423"/>
    <w:rsid w:val="00EE326F"/>
    <w:rsid w:val="00EE5C56"/>
    <w:rsid w:val="00EF4A9A"/>
    <w:rsid w:val="00EF6D34"/>
    <w:rsid w:val="00F01C81"/>
    <w:rsid w:val="00F022FB"/>
    <w:rsid w:val="00F0458B"/>
    <w:rsid w:val="00F06C42"/>
    <w:rsid w:val="00F14D6C"/>
    <w:rsid w:val="00F1567F"/>
    <w:rsid w:val="00F166A0"/>
    <w:rsid w:val="00F16E19"/>
    <w:rsid w:val="00F249CF"/>
    <w:rsid w:val="00F2783E"/>
    <w:rsid w:val="00F3162B"/>
    <w:rsid w:val="00F34602"/>
    <w:rsid w:val="00F45F09"/>
    <w:rsid w:val="00F46F0B"/>
    <w:rsid w:val="00F52B56"/>
    <w:rsid w:val="00F53529"/>
    <w:rsid w:val="00F562F8"/>
    <w:rsid w:val="00F5674C"/>
    <w:rsid w:val="00F6037B"/>
    <w:rsid w:val="00F61EF1"/>
    <w:rsid w:val="00F70A23"/>
    <w:rsid w:val="00F763FD"/>
    <w:rsid w:val="00F9168E"/>
    <w:rsid w:val="00F92EF0"/>
    <w:rsid w:val="00F94E64"/>
    <w:rsid w:val="00F97B56"/>
    <w:rsid w:val="00FA1B7C"/>
    <w:rsid w:val="00FA6117"/>
    <w:rsid w:val="00FA791D"/>
    <w:rsid w:val="00FA7E63"/>
    <w:rsid w:val="00FB2164"/>
    <w:rsid w:val="00FB3E66"/>
    <w:rsid w:val="00FB4960"/>
    <w:rsid w:val="00FB5326"/>
    <w:rsid w:val="00FB653D"/>
    <w:rsid w:val="00FC0835"/>
    <w:rsid w:val="00FC139A"/>
    <w:rsid w:val="00FC1A9B"/>
    <w:rsid w:val="00FC4035"/>
    <w:rsid w:val="00FC6A0B"/>
    <w:rsid w:val="00FD162D"/>
    <w:rsid w:val="00FD273B"/>
    <w:rsid w:val="00FE249B"/>
    <w:rsid w:val="00FE5A45"/>
    <w:rsid w:val="00FF0550"/>
    <w:rsid w:val="00FF05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9FB8"/>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unhideWhenUsed/>
    <w:rsid w:val="004A67CB"/>
    <w:rPr>
      <w:sz w:val="16"/>
      <w:szCs w:val="16"/>
    </w:rPr>
  </w:style>
  <w:style w:type="paragraph" w:styleId="CommentText">
    <w:name w:val="annotation text"/>
    <w:basedOn w:val="Normal"/>
    <w:link w:val="CommentTextChar"/>
    <w:uiPriority w:val="99"/>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085A4F"/>
    <w:pPr>
      <w:ind w:left="720"/>
      <w:contextualSpacing/>
    </w:pPr>
  </w:style>
  <w:style w:type="character" w:styleId="Hyperlink">
    <w:name w:val="Hyperlink"/>
    <w:basedOn w:val="DefaultParagraphFont"/>
    <w:uiPriority w:val="99"/>
    <w:unhideWhenUsed/>
    <w:rsid w:val="00C07687"/>
    <w:rPr>
      <w:rFonts w:ascii="Arial" w:hAnsi="Arial"/>
      <w:color w:val="0000FF"/>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locked/>
    <w:rsid w:val="00C07687"/>
  </w:style>
  <w:style w:type="character" w:customStyle="1" w:styleId="Hyperlink1">
    <w:name w:val="Hyperlink1"/>
    <w:basedOn w:val="DefaultParagraphFont"/>
    <w:rsid w:val="005C4A76"/>
  </w:style>
  <w:style w:type="character" w:styleId="UnresolvedMention">
    <w:name w:val="Unresolved Mention"/>
    <w:basedOn w:val="DefaultParagraphFont"/>
    <w:uiPriority w:val="99"/>
    <w:semiHidden/>
    <w:unhideWhenUsed/>
    <w:rsid w:val="005C4A76"/>
    <w:rPr>
      <w:color w:val="605E5C"/>
      <w:shd w:val="clear" w:color="auto" w:fill="E1DFDD"/>
    </w:rPr>
  </w:style>
  <w:style w:type="character" w:customStyle="1" w:styleId="Hyperlink2">
    <w:name w:val="Hyperlink2"/>
    <w:basedOn w:val="DefaultParagraphFont"/>
    <w:rsid w:val="00494DA3"/>
  </w:style>
  <w:style w:type="paragraph" w:customStyle="1" w:styleId="ActHead5">
    <w:name w:val="ActHead 5"/>
    <w:aliases w:val="s"/>
    <w:basedOn w:val="Normal"/>
    <w:next w:val="subsection"/>
    <w:link w:val="ActHead5Char"/>
    <w:qFormat/>
    <w:rsid w:val="008244E6"/>
    <w:pPr>
      <w:keepNext/>
      <w:keepLines/>
      <w:spacing w:before="280" w:after="0" w:line="240" w:lineRule="auto"/>
      <w:ind w:left="1134" w:hanging="1134"/>
      <w:outlineLvl w:val="4"/>
    </w:pPr>
    <w:rPr>
      <w:rFonts w:eastAsia="Times New Roman"/>
      <w:b/>
      <w:kern w:val="28"/>
      <w:szCs w:val="20"/>
      <w:lang w:eastAsia="en-AU"/>
    </w:rPr>
  </w:style>
  <w:style w:type="paragraph" w:customStyle="1" w:styleId="subsection">
    <w:name w:val="subsection"/>
    <w:aliases w:val="ss,Subsection"/>
    <w:basedOn w:val="Normal"/>
    <w:link w:val="subsectionChar"/>
    <w:rsid w:val="008244E6"/>
    <w:pPr>
      <w:tabs>
        <w:tab w:val="right" w:pos="1021"/>
      </w:tabs>
      <w:spacing w:before="180" w:after="0" w:line="240" w:lineRule="auto"/>
      <w:ind w:left="1134" w:hanging="1134"/>
    </w:pPr>
    <w:rPr>
      <w:rFonts w:eastAsia="Times New Roman"/>
      <w:sz w:val="22"/>
      <w:szCs w:val="20"/>
      <w:lang w:eastAsia="en-AU"/>
    </w:rPr>
  </w:style>
  <w:style w:type="paragraph" w:customStyle="1" w:styleId="Item">
    <w:name w:val="Item"/>
    <w:aliases w:val="i"/>
    <w:basedOn w:val="Normal"/>
    <w:next w:val="ItemHead"/>
    <w:rsid w:val="008244E6"/>
    <w:pPr>
      <w:keepLines/>
      <w:spacing w:before="80" w:after="0" w:line="240" w:lineRule="auto"/>
      <w:ind w:left="709"/>
    </w:pPr>
    <w:rPr>
      <w:rFonts w:eastAsia="Times New Roman"/>
      <w:sz w:val="22"/>
      <w:szCs w:val="20"/>
      <w:lang w:eastAsia="en-AU"/>
    </w:rPr>
  </w:style>
  <w:style w:type="paragraph" w:customStyle="1" w:styleId="ItemHead">
    <w:name w:val="ItemHead"/>
    <w:aliases w:val="ih"/>
    <w:basedOn w:val="Normal"/>
    <w:next w:val="Item"/>
    <w:rsid w:val="008244E6"/>
    <w:pPr>
      <w:keepNext/>
      <w:keepLines/>
      <w:spacing w:before="220" w:after="0" w:line="240" w:lineRule="auto"/>
      <w:ind w:left="709" w:hanging="709"/>
    </w:pPr>
    <w:rPr>
      <w:rFonts w:ascii="Arial" w:eastAsia="Times New Roman" w:hAnsi="Arial"/>
      <w:b/>
      <w:kern w:val="28"/>
      <w:szCs w:val="20"/>
      <w:lang w:eastAsia="en-AU"/>
    </w:rPr>
  </w:style>
  <w:style w:type="paragraph" w:customStyle="1" w:styleId="notetext">
    <w:name w:val="note(text)"/>
    <w:aliases w:val="n"/>
    <w:basedOn w:val="Normal"/>
    <w:link w:val="notetextChar"/>
    <w:rsid w:val="008244E6"/>
    <w:pPr>
      <w:spacing w:before="122" w:after="0" w:line="198" w:lineRule="exact"/>
      <w:ind w:left="1985" w:hanging="851"/>
    </w:pPr>
    <w:rPr>
      <w:rFonts w:eastAsia="Times New Roman"/>
      <w:sz w:val="18"/>
      <w:szCs w:val="20"/>
      <w:lang w:eastAsia="en-AU"/>
    </w:rPr>
  </w:style>
  <w:style w:type="paragraph" w:customStyle="1" w:styleId="paragraphsub">
    <w:name w:val="paragraph(sub)"/>
    <w:aliases w:val="aa"/>
    <w:basedOn w:val="Normal"/>
    <w:rsid w:val="008244E6"/>
    <w:pPr>
      <w:tabs>
        <w:tab w:val="right" w:pos="1985"/>
      </w:tabs>
      <w:spacing w:before="40" w:after="0" w:line="240" w:lineRule="auto"/>
      <w:ind w:left="2098" w:hanging="2098"/>
    </w:pPr>
    <w:rPr>
      <w:rFonts w:eastAsia="Times New Roman"/>
      <w:sz w:val="22"/>
      <w:szCs w:val="20"/>
      <w:lang w:eastAsia="en-AU"/>
    </w:rPr>
  </w:style>
  <w:style w:type="character" w:customStyle="1" w:styleId="subsectionChar">
    <w:name w:val="subsection Char"/>
    <w:aliases w:val="ss Char"/>
    <w:basedOn w:val="DefaultParagraphFont"/>
    <w:link w:val="subsection"/>
    <w:locked/>
    <w:rsid w:val="008244E6"/>
    <w:rPr>
      <w:rFonts w:eastAsia="Times New Roman"/>
      <w:sz w:val="22"/>
      <w:szCs w:val="20"/>
      <w:lang w:eastAsia="en-AU"/>
    </w:rPr>
  </w:style>
  <w:style w:type="character" w:customStyle="1" w:styleId="notetextChar">
    <w:name w:val="note(text) Char"/>
    <w:aliases w:val="n Char"/>
    <w:basedOn w:val="DefaultParagraphFont"/>
    <w:link w:val="notetext"/>
    <w:rsid w:val="008244E6"/>
    <w:rPr>
      <w:rFonts w:eastAsia="Times New Roman"/>
      <w:sz w:val="18"/>
      <w:szCs w:val="20"/>
      <w:lang w:eastAsia="en-AU"/>
    </w:rPr>
  </w:style>
  <w:style w:type="character" w:customStyle="1" w:styleId="ActHead5Char">
    <w:name w:val="ActHead 5 Char"/>
    <w:aliases w:val="s Char"/>
    <w:link w:val="ActHead5"/>
    <w:rsid w:val="008244E6"/>
    <w:rPr>
      <w:rFonts w:eastAsia="Times New Roman"/>
      <w:b/>
      <w:kern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14566">
      <w:bodyDiv w:val="1"/>
      <w:marLeft w:val="0"/>
      <w:marRight w:val="0"/>
      <w:marTop w:val="0"/>
      <w:marBottom w:val="0"/>
      <w:divBdr>
        <w:top w:val="none" w:sz="0" w:space="0" w:color="auto"/>
        <w:left w:val="none" w:sz="0" w:space="0" w:color="auto"/>
        <w:bottom w:val="none" w:sz="0" w:space="0" w:color="auto"/>
        <w:right w:val="none" w:sz="0" w:space="0" w:color="auto"/>
      </w:divBdr>
    </w:div>
    <w:div w:id="697047105">
      <w:bodyDiv w:val="1"/>
      <w:marLeft w:val="0"/>
      <w:marRight w:val="0"/>
      <w:marTop w:val="0"/>
      <w:marBottom w:val="0"/>
      <w:divBdr>
        <w:top w:val="none" w:sz="0" w:space="0" w:color="auto"/>
        <w:left w:val="none" w:sz="0" w:space="0" w:color="auto"/>
        <w:bottom w:val="none" w:sz="0" w:space="0" w:color="auto"/>
        <w:right w:val="none" w:sz="0" w:space="0" w:color="auto"/>
      </w:divBdr>
      <w:divsChild>
        <w:div w:id="158080920">
          <w:marLeft w:val="0"/>
          <w:marRight w:val="0"/>
          <w:marTop w:val="0"/>
          <w:marBottom w:val="0"/>
          <w:divBdr>
            <w:top w:val="none" w:sz="0" w:space="0" w:color="auto"/>
            <w:left w:val="none" w:sz="0" w:space="0" w:color="auto"/>
            <w:bottom w:val="none" w:sz="0" w:space="0" w:color="auto"/>
            <w:right w:val="none" w:sz="0" w:space="0" w:color="auto"/>
          </w:divBdr>
          <w:divsChild>
            <w:div w:id="559368771">
              <w:marLeft w:val="0"/>
              <w:marRight w:val="0"/>
              <w:marTop w:val="0"/>
              <w:marBottom w:val="0"/>
              <w:divBdr>
                <w:top w:val="none" w:sz="0" w:space="0" w:color="auto"/>
                <w:left w:val="none" w:sz="0" w:space="0" w:color="auto"/>
                <w:bottom w:val="none" w:sz="0" w:space="0" w:color="auto"/>
                <w:right w:val="none" w:sz="0" w:space="0" w:color="auto"/>
              </w:divBdr>
              <w:divsChild>
                <w:div w:id="1470244524">
                  <w:marLeft w:val="0"/>
                  <w:marRight w:val="0"/>
                  <w:marTop w:val="0"/>
                  <w:marBottom w:val="0"/>
                  <w:divBdr>
                    <w:top w:val="none" w:sz="0" w:space="0" w:color="auto"/>
                    <w:left w:val="none" w:sz="0" w:space="0" w:color="auto"/>
                    <w:bottom w:val="none" w:sz="0" w:space="0" w:color="auto"/>
                    <w:right w:val="none" w:sz="0" w:space="0" w:color="auto"/>
                  </w:divBdr>
                  <w:divsChild>
                    <w:div w:id="1634090594">
                      <w:marLeft w:val="0"/>
                      <w:marRight w:val="0"/>
                      <w:marTop w:val="0"/>
                      <w:marBottom w:val="0"/>
                      <w:divBdr>
                        <w:top w:val="none" w:sz="0" w:space="0" w:color="auto"/>
                        <w:left w:val="none" w:sz="0" w:space="0" w:color="auto"/>
                        <w:bottom w:val="none" w:sz="0" w:space="0" w:color="auto"/>
                        <w:right w:val="none" w:sz="0" w:space="0" w:color="auto"/>
                      </w:divBdr>
                      <w:divsChild>
                        <w:div w:id="2095474621">
                          <w:marLeft w:val="0"/>
                          <w:marRight w:val="0"/>
                          <w:marTop w:val="0"/>
                          <w:marBottom w:val="0"/>
                          <w:divBdr>
                            <w:top w:val="none" w:sz="0" w:space="0" w:color="auto"/>
                            <w:left w:val="none" w:sz="0" w:space="0" w:color="auto"/>
                            <w:bottom w:val="none" w:sz="0" w:space="0" w:color="auto"/>
                            <w:right w:val="none" w:sz="0" w:space="0" w:color="auto"/>
                          </w:divBdr>
                          <w:divsChild>
                            <w:div w:id="1806699861">
                              <w:marLeft w:val="0"/>
                              <w:marRight w:val="0"/>
                              <w:marTop w:val="0"/>
                              <w:marBottom w:val="0"/>
                              <w:divBdr>
                                <w:top w:val="none" w:sz="0" w:space="0" w:color="auto"/>
                                <w:left w:val="none" w:sz="0" w:space="0" w:color="auto"/>
                                <w:bottom w:val="none" w:sz="0" w:space="0" w:color="auto"/>
                                <w:right w:val="none" w:sz="0" w:space="0" w:color="auto"/>
                              </w:divBdr>
                              <w:divsChild>
                                <w:div w:id="644554043">
                                  <w:marLeft w:val="0"/>
                                  <w:marRight w:val="0"/>
                                  <w:marTop w:val="0"/>
                                  <w:marBottom w:val="0"/>
                                  <w:divBdr>
                                    <w:top w:val="none" w:sz="0" w:space="0" w:color="auto"/>
                                    <w:left w:val="none" w:sz="0" w:space="0" w:color="auto"/>
                                    <w:bottom w:val="none" w:sz="0" w:space="0" w:color="auto"/>
                                    <w:right w:val="none" w:sz="0" w:space="0" w:color="auto"/>
                                  </w:divBdr>
                                  <w:divsChild>
                                    <w:div w:id="1584609819">
                                      <w:marLeft w:val="0"/>
                                      <w:marRight w:val="0"/>
                                      <w:marTop w:val="0"/>
                                      <w:marBottom w:val="0"/>
                                      <w:divBdr>
                                        <w:top w:val="none" w:sz="0" w:space="0" w:color="auto"/>
                                        <w:left w:val="none" w:sz="0" w:space="0" w:color="auto"/>
                                        <w:bottom w:val="none" w:sz="0" w:space="0" w:color="auto"/>
                                        <w:right w:val="none" w:sz="0" w:space="0" w:color="auto"/>
                                      </w:divBdr>
                                      <w:divsChild>
                                        <w:div w:id="648755610">
                                          <w:marLeft w:val="0"/>
                                          <w:marRight w:val="0"/>
                                          <w:marTop w:val="0"/>
                                          <w:marBottom w:val="0"/>
                                          <w:divBdr>
                                            <w:top w:val="none" w:sz="0" w:space="0" w:color="auto"/>
                                            <w:left w:val="none" w:sz="0" w:space="0" w:color="auto"/>
                                            <w:bottom w:val="none" w:sz="0" w:space="0" w:color="auto"/>
                                            <w:right w:val="none" w:sz="0" w:space="0" w:color="auto"/>
                                          </w:divBdr>
                                          <w:divsChild>
                                            <w:div w:id="1901476319">
                                              <w:marLeft w:val="0"/>
                                              <w:marRight w:val="0"/>
                                              <w:marTop w:val="0"/>
                                              <w:marBottom w:val="0"/>
                                              <w:divBdr>
                                                <w:top w:val="none" w:sz="0" w:space="0" w:color="auto"/>
                                                <w:left w:val="none" w:sz="0" w:space="0" w:color="auto"/>
                                                <w:bottom w:val="none" w:sz="0" w:space="0" w:color="auto"/>
                                                <w:right w:val="none" w:sz="0" w:space="0" w:color="auto"/>
                                              </w:divBdr>
                                              <w:divsChild>
                                                <w:div w:id="1250232093">
                                                  <w:marLeft w:val="0"/>
                                                  <w:marRight w:val="0"/>
                                                  <w:marTop w:val="0"/>
                                                  <w:marBottom w:val="0"/>
                                                  <w:divBdr>
                                                    <w:top w:val="none" w:sz="0" w:space="0" w:color="auto"/>
                                                    <w:left w:val="none" w:sz="0" w:space="0" w:color="auto"/>
                                                    <w:bottom w:val="none" w:sz="0" w:space="0" w:color="auto"/>
                                                    <w:right w:val="none" w:sz="0" w:space="0" w:color="auto"/>
                                                  </w:divBdr>
                                                  <w:divsChild>
                                                    <w:div w:id="1477263623">
                                                      <w:marLeft w:val="0"/>
                                                      <w:marRight w:val="0"/>
                                                      <w:marTop w:val="0"/>
                                                      <w:marBottom w:val="0"/>
                                                      <w:divBdr>
                                                        <w:top w:val="none" w:sz="0" w:space="0" w:color="auto"/>
                                                        <w:left w:val="none" w:sz="0" w:space="0" w:color="auto"/>
                                                        <w:bottom w:val="none" w:sz="0" w:space="0" w:color="auto"/>
                                                        <w:right w:val="none" w:sz="0" w:space="0" w:color="auto"/>
                                                      </w:divBdr>
                                                      <w:divsChild>
                                                        <w:div w:id="386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428213">
      <w:bodyDiv w:val="1"/>
      <w:marLeft w:val="0"/>
      <w:marRight w:val="0"/>
      <w:marTop w:val="0"/>
      <w:marBottom w:val="0"/>
      <w:divBdr>
        <w:top w:val="none" w:sz="0" w:space="0" w:color="auto"/>
        <w:left w:val="none" w:sz="0" w:space="0" w:color="auto"/>
        <w:bottom w:val="none" w:sz="0" w:space="0" w:color="auto"/>
        <w:right w:val="none" w:sz="0" w:space="0" w:color="auto"/>
      </w:divBdr>
    </w:div>
    <w:div w:id="978344052">
      <w:bodyDiv w:val="1"/>
      <w:marLeft w:val="0"/>
      <w:marRight w:val="0"/>
      <w:marTop w:val="0"/>
      <w:marBottom w:val="0"/>
      <w:divBdr>
        <w:top w:val="none" w:sz="0" w:space="0" w:color="auto"/>
        <w:left w:val="none" w:sz="0" w:space="0" w:color="auto"/>
        <w:bottom w:val="none" w:sz="0" w:space="0" w:color="auto"/>
        <w:right w:val="none" w:sz="0" w:space="0" w:color="auto"/>
      </w:divBdr>
    </w:div>
    <w:div w:id="1281185332">
      <w:bodyDiv w:val="1"/>
      <w:marLeft w:val="0"/>
      <w:marRight w:val="0"/>
      <w:marTop w:val="0"/>
      <w:marBottom w:val="0"/>
      <w:divBdr>
        <w:top w:val="none" w:sz="0" w:space="0" w:color="auto"/>
        <w:left w:val="none" w:sz="0" w:space="0" w:color="auto"/>
        <w:bottom w:val="none" w:sz="0" w:space="0" w:color="auto"/>
        <w:right w:val="none" w:sz="0" w:space="0" w:color="auto"/>
      </w:divBdr>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 w:id="192298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7B577-E2CC-42DD-AF0D-25504512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3030</Words>
  <Characters>17273</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Edlington, Mandy</dc:creator>
  <cp:keywords/>
  <dc:description/>
  <cp:lastModifiedBy>NEWMAN, Trent</cp:lastModifiedBy>
  <cp:revision>2</cp:revision>
  <cp:lastPrinted>2024-06-04T03:01:00Z</cp:lastPrinted>
  <dcterms:created xsi:type="dcterms:W3CDTF">2025-03-06T22:57:00Z</dcterms:created>
  <dcterms:modified xsi:type="dcterms:W3CDTF">2025-03-06T22:57:00Z</dcterms:modified>
</cp:coreProperties>
</file>