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DDA9" w14:textId="4E0D61DA" w:rsidR="00B1560F" w:rsidRPr="00FA76D4" w:rsidRDefault="00B1560F" w:rsidP="00B1560F">
      <w:pPr>
        <w:ind w:right="91"/>
        <w:jc w:val="center"/>
        <w:rPr>
          <w:sz w:val="22"/>
          <w:szCs w:val="22"/>
        </w:rPr>
      </w:pPr>
      <w:r w:rsidRPr="00FA76D4">
        <w:rPr>
          <w:b/>
          <w:sz w:val="22"/>
          <w:szCs w:val="22"/>
        </w:rPr>
        <w:t>EXPLANATORY STATEMENT</w:t>
      </w:r>
    </w:p>
    <w:p w14:paraId="25F464B4" w14:textId="77777777" w:rsidR="00B1560F" w:rsidRPr="00FA76D4" w:rsidRDefault="00B1560F" w:rsidP="00B1560F">
      <w:pPr>
        <w:ind w:right="-2"/>
        <w:jc w:val="center"/>
        <w:rPr>
          <w:sz w:val="22"/>
          <w:szCs w:val="22"/>
        </w:rPr>
      </w:pPr>
    </w:p>
    <w:p w14:paraId="2BC80BBC" w14:textId="77777777" w:rsidR="00B1560F" w:rsidRPr="00FA76D4" w:rsidRDefault="00B1560F" w:rsidP="00B1560F">
      <w:pPr>
        <w:jc w:val="center"/>
        <w:rPr>
          <w:sz w:val="22"/>
          <w:szCs w:val="22"/>
        </w:rPr>
      </w:pPr>
      <w:r w:rsidRPr="00FA76D4">
        <w:rPr>
          <w:sz w:val="22"/>
          <w:szCs w:val="22"/>
        </w:rPr>
        <w:t>Issued by the authority of the Minister for Employment and Workplace Relations</w:t>
      </w:r>
    </w:p>
    <w:p w14:paraId="3476E392" w14:textId="77777777" w:rsidR="00B1560F" w:rsidRPr="00FA76D4" w:rsidRDefault="00B1560F" w:rsidP="00B1560F">
      <w:pPr>
        <w:tabs>
          <w:tab w:val="left" w:pos="993"/>
        </w:tabs>
        <w:spacing w:after="240"/>
        <w:ind w:right="91"/>
        <w:jc w:val="center"/>
        <w:rPr>
          <w:i/>
          <w:sz w:val="22"/>
          <w:szCs w:val="22"/>
        </w:rPr>
      </w:pPr>
      <w:r w:rsidRPr="00FA76D4">
        <w:rPr>
          <w:i/>
          <w:sz w:val="22"/>
          <w:szCs w:val="22"/>
        </w:rPr>
        <w:t>Work Health and Safety Act 2011</w:t>
      </w:r>
    </w:p>
    <w:p w14:paraId="50051B53" w14:textId="77777777" w:rsidR="00B1560F" w:rsidRPr="00FA76D4" w:rsidRDefault="00B1560F" w:rsidP="00B1560F">
      <w:pPr>
        <w:jc w:val="center"/>
        <w:rPr>
          <w:b/>
          <w:sz w:val="22"/>
          <w:szCs w:val="22"/>
        </w:rPr>
      </w:pPr>
      <w:r w:rsidRPr="00FA76D4">
        <w:rPr>
          <w:b/>
          <w:sz w:val="22"/>
          <w:szCs w:val="22"/>
        </w:rPr>
        <w:t xml:space="preserve">Notice of a Disallowable Instrument </w:t>
      </w:r>
    </w:p>
    <w:p w14:paraId="6EF61D56" w14:textId="77777777" w:rsidR="00B1560F" w:rsidRPr="00FA76D4" w:rsidRDefault="00B1560F" w:rsidP="00B1560F">
      <w:pPr>
        <w:jc w:val="center"/>
        <w:rPr>
          <w:b/>
          <w:sz w:val="22"/>
          <w:szCs w:val="22"/>
        </w:rPr>
      </w:pPr>
    </w:p>
    <w:p w14:paraId="72D05271" w14:textId="1BAD75D1" w:rsidR="00B1560F" w:rsidRPr="00FA76D4" w:rsidRDefault="00B1560F" w:rsidP="00B1560F">
      <w:pPr>
        <w:jc w:val="center"/>
        <w:rPr>
          <w:b/>
          <w:i/>
          <w:sz w:val="22"/>
          <w:szCs w:val="22"/>
        </w:rPr>
      </w:pPr>
      <w:bookmarkStart w:id="0" w:name="_Hlk124778360"/>
      <w:r w:rsidRPr="00FA76D4">
        <w:rPr>
          <w:b/>
          <w:i/>
          <w:sz w:val="22"/>
          <w:szCs w:val="22"/>
        </w:rPr>
        <w:t>Work Health and Safety (</w:t>
      </w:r>
      <w:r w:rsidR="00506A67">
        <w:rPr>
          <w:b/>
          <w:i/>
          <w:sz w:val="22"/>
          <w:szCs w:val="22"/>
        </w:rPr>
        <w:t>Sexual and Gender</w:t>
      </w:r>
      <w:r w:rsidR="009B5439">
        <w:rPr>
          <w:b/>
          <w:i/>
          <w:sz w:val="22"/>
          <w:szCs w:val="22"/>
        </w:rPr>
        <w:t>-</w:t>
      </w:r>
      <w:r w:rsidR="00DF4EDA">
        <w:rPr>
          <w:b/>
          <w:i/>
          <w:sz w:val="22"/>
          <w:szCs w:val="22"/>
        </w:rPr>
        <w:t>B</w:t>
      </w:r>
      <w:r w:rsidR="00506A67">
        <w:rPr>
          <w:b/>
          <w:i/>
          <w:sz w:val="22"/>
          <w:szCs w:val="22"/>
        </w:rPr>
        <w:t>ased Harassment</w:t>
      </w:r>
      <w:r w:rsidRPr="00FA76D4">
        <w:rPr>
          <w:b/>
          <w:i/>
          <w:sz w:val="22"/>
          <w:szCs w:val="22"/>
        </w:rPr>
        <w:t>) Code of Practice 202</w:t>
      </w:r>
      <w:r w:rsidR="00506A67">
        <w:rPr>
          <w:b/>
          <w:i/>
          <w:sz w:val="22"/>
          <w:szCs w:val="22"/>
        </w:rPr>
        <w:t>5</w:t>
      </w:r>
    </w:p>
    <w:bookmarkEnd w:id="0"/>
    <w:p w14:paraId="3CF7AFF6" w14:textId="77777777" w:rsidR="00B1560F" w:rsidRPr="00FA76D4" w:rsidRDefault="00B1560F" w:rsidP="00B1560F">
      <w:pPr>
        <w:jc w:val="center"/>
        <w:rPr>
          <w:b/>
          <w:sz w:val="22"/>
          <w:szCs w:val="22"/>
        </w:rPr>
      </w:pPr>
    </w:p>
    <w:p w14:paraId="22775436" w14:textId="1864462F" w:rsidR="00AE548B" w:rsidRDefault="00AE548B" w:rsidP="4AC5E4C8">
      <w:pPr>
        <w:rPr>
          <w:sz w:val="22"/>
          <w:szCs w:val="22"/>
        </w:rPr>
      </w:pPr>
      <w:r w:rsidRPr="00FA76D4">
        <w:rPr>
          <w:sz w:val="22"/>
          <w:szCs w:val="22"/>
        </w:rPr>
        <w:t xml:space="preserve">The purpose of this instrument is to approve the </w:t>
      </w:r>
      <w:r w:rsidRPr="7BABC16C">
        <w:rPr>
          <w:i/>
          <w:iCs/>
          <w:sz w:val="22"/>
          <w:szCs w:val="22"/>
        </w:rPr>
        <w:t>Work Health and Safety (Sexual and</w:t>
      </w:r>
      <w:r w:rsidR="00DF4F6E" w:rsidRPr="7BABC16C">
        <w:rPr>
          <w:i/>
          <w:iCs/>
          <w:sz w:val="22"/>
          <w:szCs w:val="22"/>
        </w:rPr>
        <w:t xml:space="preserve"> </w:t>
      </w:r>
    </w:p>
    <w:p w14:paraId="727BBD1D" w14:textId="6E2DB8A5" w:rsidR="00AE548B" w:rsidRDefault="1C219519" w:rsidP="00AE548B">
      <w:pPr>
        <w:rPr>
          <w:sz w:val="22"/>
          <w:szCs w:val="22"/>
        </w:rPr>
      </w:pPr>
      <w:r w:rsidRPr="7BABC16C">
        <w:rPr>
          <w:i/>
          <w:iCs/>
          <w:sz w:val="22"/>
          <w:szCs w:val="22"/>
        </w:rPr>
        <w:t>Gende</w:t>
      </w:r>
      <w:r w:rsidR="00B40836">
        <w:rPr>
          <w:i/>
          <w:iCs/>
          <w:sz w:val="22"/>
          <w:szCs w:val="22"/>
        </w:rPr>
        <w:t>r</w:t>
      </w:r>
      <w:r w:rsidR="00B40836">
        <w:rPr>
          <w:i/>
          <w:iCs/>
          <w:sz w:val="22"/>
          <w:szCs w:val="22"/>
        </w:rPr>
        <w:noBreakHyphen/>
      </w:r>
      <w:r w:rsidR="151FE2F1" w:rsidRPr="043E0A7E">
        <w:rPr>
          <w:i/>
          <w:iCs/>
          <w:sz w:val="22"/>
          <w:szCs w:val="22"/>
        </w:rPr>
        <w:t>b</w:t>
      </w:r>
      <w:r w:rsidRPr="397D73DA">
        <w:rPr>
          <w:i/>
          <w:iCs/>
          <w:sz w:val="22"/>
          <w:szCs w:val="22"/>
        </w:rPr>
        <w:t>ased</w:t>
      </w:r>
      <w:r w:rsidR="00AE548B" w:rsidRPr="7BABC16C">
        <w:rPr>
          <w:i/>
          <w:iCs/>
          <w:sz w:val="22"/>
          <w:szCs w:val="22"/>
        </w:rPr>
        <w:t xml:space="preserve"> Harassment) Code of Practice 202</w:t>
      </w:r>
      <w:r w:rsidR="009B5439" w:rsidRPr="7BABC16C">
        <w:rPr>
          <w:i/>
          <w:iCs/>
          <w:sz w:val="22"/>
          <w:szCs w:val="22"/>
        </w:rPr>
        <w:t>5</w:t>
      </w:r>
      <w:r w:rsidR="00AE548B" w:rsidRPr="00FA76D4">
        <w:rPr>
          <w:sz w:val="22"/>
          <w:szCs w:val="22"/>
        </w:rPr>
        <w:t xml:space="preserve"> (the Code). The Code provides practical guidance to duty holders on meeting their obligation to manage </w:t>
      </w:r>
      <w:r w:rsidR="00330241">
        <w:rPr>
          <w:sz w:val="22"/>
          <w:szCs w:val="22"/>
        </w:rPr>
        <w:t xml:space="preserve">the hazards and risks arising from </w:t>
      </w:r>
      <w:r w:rsidR="00EA6038">
        <w:rPr>
          <w:sz w:val="22"/>
          <w:szCs w:val="22"/>
        </w:rPr>
        <w:t xml:space="preserve">sexual and gender-based </w:t>
      </w:r>
      <w:r w:rsidR="00330241">
        <w:rPr>
          <w:sz w:val="22"/>
          <w:szCs w:val="22"/>
        </w:rPr>
        <w:t xml:space="preserve">harassment in the workplace </w:t>
      </w:r>
      <w:r w:rsidR="00AE548B" w:rsidRPr="00FA76D4">
        <w:rPr>
          <w:sz w:val="22"/>
          <w:szCs w:val="22"/>
        </w:rPr>
        <w:t>under the </w:t>
      </w:r>
      <w:r w:rsidR="00EA6038" w:rsidRPr="7BABC16C">
        <w:rPr>
          <w:i/>
          <w:iCs/>
          <w:sz w:val="22"/>
          <w:szCs w:val="22"/>
        </w:rPr>
        <w:t xml:space="preserve">Work Health and Safety Act 2011 </w:t>
      </w:r>
      <w:r w:rsidR="00EA6038">
        <w:rPr>
          <w:sz w:val="22"/>
          <w:szCs w:val="22"/>
        </w:rPr>
        <w:t xml:space="preserve">(Cth) (the </w:t>
      </w:r>
      <w:r w:rsidR="00AE548B" w:rsidRPr="00FA76D4">
        <w:rPr>
          <w:sz w:val="22"/>
          <w:szCs w:val="22"/>
        </w:rPr>
        <w:t>Act</w:t>
      </w:r>
      <w:r w:rsidR="00EA6038">
        <w:rPr>
          <w:sz w:val="22"/>
          <w:szCs w:val="22"/>
        </w:rPr>
        <w:t>)</w:t>
      </w:r>
      <w:r w:rsidR="00AE548B" w:rsidRPr="00FA76D4">
        <w:rPr>
          <w:sz w:val="22"/>
          <w:szCs w:val="22"/>
        </w:rPr>
        <w:t xml:space="preserve"> and the </w:t>
      </w:r>
      <w:r w:rsidR="00EA6038" w:rsidRPr="7BABC16C">
        <w:rPr>
          <w:i/>
          <w:iCs/>
          <w:sz w:val="22"/>
          <w:szCs w:val="22"/>
        </w:rPr>
        <w:t xml:space="preserve">Work Health and Safety Regulations 2011 </w:t>
      </w:r>
      <w:r w:rsidR="00EA6038">
        <w:rPr>
          <w:sz w:val="22"/>
          <w:szCs w:val="22"/>
        </w:rPr>
        <w:t xml:space="preserve">(Cth) (the </w:t>
      </w:r>
      <w:r w:rsidR="00AE548B" w:rsidRPr="00FA76D4">
        <w:rPr>
          <w:sz w:val="22"/>
          <w:szCs w:val="22"/>
        </w:rPr>
        <w:t>Regulations</w:t>
      </w:r>
      <w:r w:rsidR="00EA6038">
        <w:rPr>
          <w:sz w:val="22"/>
          <w:szCs w:val="22"/>
        </w:rPr>
        <w:t>)</w:t>
      </w:r>
      <w:r w:rsidR="00AE548B" w:rsidRPr="00FA76D4">
        <w:rPr>
          <w:sz w:val="22"/>
          <w:szCs w:val="22"/>
        </w:rPr>
        <w:t xml:space="preserve">. </w:t>
      </w:r>
    </w:p>
    <w:p w14:paraId="27BBD714" w14:textId="77777777" w:rsidR="00D927F3" w:rsidRDefault="00D927F3" w:rsidP="00AE548B">
      <w:pPr>
        <w:rPr>
          <w:sz w:val="22"/>
          <w:szCs w:val="22"/>
        </w:rPr>
      </w:pPr>
    </w:p>
    <w:p w14:paraId="334EEE1D" w14:textId="4AF2D147" w:rsidR="00255FA6" w:rsidRPr="00013ABD" w:rsidRDefault="00255FA6" w:rsidP="00255FA6">
      <w:pPr>
        <w:pStyle w:val="emnumbers"/>
        <w:shd w:val="clear" w:color="auto" w:fill="FFFFFF"/>
        <w:spacing w:before="0" w:beforeAutospacing="0" w:after="120" w:afterAutospacing="0"/>
        <w:rPr>
          <w:color w:val="000000"/>
          <w:sz w:val="22"/>
          <w:szCs w:val="22"/>
          <w:highlight w:val="yellow"/>
        </w:rPr>
      </w:pPr>
      <w:r>
        <w:rPr>
          <w:sz w:val="22"/>
          <w:szCs w:val="22"/>
        </w:rPr>
        <w:t xml:space="preserve">The Code provides practical guidance to persons conducting a </w:t>
      </w:r>
      <w:r w:rsidRPr="00255FA6">
        <w:rPr>
          <w:sz w:val="22"/>
          <w:szCs w:val="22"/>
        </w:rPr>
        <w:t>business or undertaking in the Commonwealth jurisdiction on how to</w:t>
      </w:r>
      <w:r w:rsidRPr="00255FA6">
        <w:rPr>
          <w:color w:val="000000"/>
          <w:sz w:val="22"/>
          <w:szCs w:val="22"/>
        </w:rPr>
        <w:t>:</w:t>
      </w:r>
    </w:p>
    <w:p w14:paraId="7611A513" w14:textId="44ED2B4F" w:rsidR="00255FA6" w:rsidRPr="00817CE8" w:rsidRDefault="00255FA6" w:rsidP="00C77E61">
      <w:pPr>
        <w:pStyle w:val="ListParagraph"/>
        <w:numPr>
          <w:ilvl w:val="0"/>
          <w:numId w:val="13"/>
        </w:numPr>
        <w:rPr>
          <w:sz w:val="22"/>
          <w:szCs w:val="22"/>
        </w:rPr>
      </w:pPr>
      <w:r w:rsidRPr="00817CE8">
        <w:rPr>
          <w:sz w:val="22"/>
          <w:szCs w:val="22"/>
        </w:rPr>
        <w:t xml:space="preserve">identify </w:t>
      </w:r>
      <w:r w:rsidR="00AD522C" w:rsidRPr="00817CE8">
        <w:rPr>
          <w:sz w:val="22"/>
          <w:szCs w:val="22"/>
        </w:rPr>
        <w:t>sexual and gender-based harassment</w:t>
      </w:r>
    </w:p>
    <w:p w14:paraId="1DF6C23D" w14:textId="1792E867" w:rsidR="00255FA6" w:rsidRPr="00817CE8" w:rsidRDefault="00255FA6" w:rsidP="00C77E61">
      <w:pPr>
        <w:pStyle w:val="ListParagraph"/>
        <w:numPr>
          <w:ilvl w:val="0"/>
          <w:numId w:val="13"/>
        </w:numPr>
        <w:rPr>
          <w:sz w:val="22"/>
          <w:szCs w:val="22"/>
        </w:rPr>
      </w:pPr>
      <w:r w:rsidRPr="00817CE8">
        <w:rPr>
          <w:sz w:val="22"/>
          <w:szCs w:val="22"/>
        </w:rPr>
        <w:t xml:space="preserve">assess </w:t>
      </w:r>
      <w:r w:rsidR="007345FF" w:rsidRPr="00817CE8">
        <w:rPr>
          <w:sz w:val="22"/>
          <w:szCs w:val="22"/>
        </w:rPr>
        <w:t>the</w:t>
      </w:r>
      <w:r w:rsidRPr="00817CE8">
        <w:rPr>
          <w:sz w:val="22"/>
          <w:szCs w:val="22"/>
        </w:rPr>
        <w:t xml:space="preserve"> risk </w:t>
      </w:r>
      <w:r w:rsidR="007345FF" w:rsidRPr="00817CE8">
        <w:rPr>
          <w:sz w:val="22"/>
          <w:szCs w:val="22"/>
        </w:rPr>
        <w:t>of sexual and gender-based harassment</w:t>
      </w:r>
    </w:p>
    <w:p w14:paraId="1E866D36" w14:textId="71E00C46" w:rsidR="00255FA6" w:rsidRPr="00817CE8" w:rsidRDefault="00255FA6" w:rsidP="00C77E61">
      <w:pPr>
        <w:pStyle w:val="ListParagraph"/>
        <w:numPr>
          <w:ilvl w:val="0"/>
          <w:numId w:val="13"/>
        </w:numPr>
        <w:rPr>
          <w:sz w:val="22"/>
          <w:szCs w:val="22"/>
        </w:rPr>
      </w:pPr>
      <w:r w:rsidRPr="00817CE8">
        <w:rPr>
          <w:sz w:val="22"/>
          <w:szCs w:val="22"/>
        </w:rPr>
        <w:t xml:space="preserve">implement appropriate control measures for </w:t>
      </w:r>
      <w:r w:rsidR="00FD31F3" w:rsidRPr="00817CE8">
        <w:rPr>
          <w:sz w:val="22"/>
          <w:szCs w:val="22"/>
        </w:rPr>
        <w:t>sexual and gender-based harassment</w:t>
      </w:r>
    </w:p>
    <w:p w14:paraId="26187C4C" w14:textId="65B65E3C" w:rsidR="00255FA6" w:rsidRPr="00817CE8" w:rsidRDefault="00255FA6" w:rsidP="00C77E61">
      <w:pPr>
        <w:pStyle w:val="ListParagraph"/>
        <w:numPr>
          <w:ilvl w:val="0"/>
          <w:numId w:val="13"/>
        </w:numPr>
        <w:rPr>
          <w:sz w:val="22"/>
          <w:szCs w:val="22"/>
        </w:rPr>
      </w:pPr>
      <w:r w:rsidRPr="00817CE8">
        <w:rPr>
          <w:sz w:val="22"/>
          <w:szCs w:val="22"/>
        </w:rPr>
        <w:t xml:space="preserve">maintain and review control measures for </w:t>
      </w:r>
      <w:r w:rsidR="00817CE8" w:rsidRPr="00817CE8">
        <w:rPr>
          <w:sz w:val="22"/>
          <w:szCs w:val="22"/>
        </w:rPr>
        <w:t>sexual and gender-based harassment</w:t>
      </w:r>
    </w:p>
    <w:p w14:paraId="1465349F" w14:textId="6A5089B7" w:rsidR="00255FA6" w:rsidRPr="00817CE8" w:rsidRDefault="00255FA6" w:rsidP="00C77E61">
      <w:pPr>
        <w:pStyle w:val="ListParagraph"/>
        <w:numPr>
          <w:ilvl w:val="0"/>
          <w:numId w:val="13"/>
        </w:numPr>
        <w:rPr>
          <w:sz w:val="22"/>
          <w:szCs w:val="22"/>
        </w:rPr>
      </w:pPr>
      <w:r w:rsidRPr="00817CE8">
        <w:rPr>
          <w:sz w:val="22"/>
          <w:szCs w:val="22"/>
        </w:rPr>
        <w:t xml:space="preserve">respond to reports, complaints, or incidents regarding </w:t>
      </w:r>
      <w:r w:rsidR="00FD31F3" w:rsidRPr="00817CE8">
        <w:rPr>
          <w:sz w:val="22"/>
          <w:szCs w:val="22"/>
        </w:rPr>
        <w:t>sexual or gender-based harassment</w:t>
      </w:r>
      <w:r w:rsidRPr="00817CE8">
        <w:rPr>
          <w:sz w:val="22"/>
          <w:szCs w:val="22"/>
        </w:rPr>
        <w:t>, and</w:t>
      </w:r>
    </w:p>
    <w:p w14:paraId="09A07668" w14:textId="25D1A1B1" w:rsidR="00255FA6" w:rsidRPr="00817CE8" w:rsidRDefault="00255FA6" w:rsidP="00C77E61">
      <w:pPr>
        <w:pStyle w:val="ListParagraph"/>
        <w:numPr>
          <w:ilvl w:val="0"/>
          <w:numId w:val="13"/>
        </w:numPr>
        <w:rPr>
          <w:sz w:val="22"/>
          <w:szCs w:val="22"/>
        </w:rPr>
      </w:pPr>
      <w:r w:rsidRPr="00817CE8">
        <w:rPr>
          <w:sz w:val="22"/>
          <w:szCs w:val="22"/>
        </w:rPr>
        <w:t xml:space="preserve">conduct investigations into reports of incidents involving </w:t>
      </w:r>
      <w:r w:rsidR="00817CE8" w:rsidRPr="00817CE8">
        <w:rPr>
          <w:sz w:val="22"/>
          <w:szCs w:val="22"/>
        </w:rPr>
        <w:t>sexual or gender-based harassment</w:t>
      </w:r>
      <w:r w:rsidRPr="00817CE8">
        <w:rPr>
          <w:sz w:val="22"/>
          <w:szCs w:val="22"/>
        </w:rPr>
        <w:t xml:space="preserve">. </w:t>
      </w:r>
    </w:p>
    <w:p w14:paraId="12C6C6EA" w14:textId="6BEB218F" w:rsidR="00D927F3" w:rsidRPr="00A3365D" w:rsidRDefault="007315A8" w:rsidP="00AE548B">
      <w:pPr>
        <w:rPr>
          <w:sz w:val="22"/>
          <w:szCs w:val="22"/>
        </w:rPr>
      </w:pPr>
      <w:r>
        <w:rPr>
          <w:sz w:val="22"/>
          <w:szCs w:val="22"/>
        </w:rPr>
        <w:t xml:space="preserve"> </w:t>
      </w:r>
    </w:p>
    <w:p w14:paraId="05265466" w14:textId="36C3EF8A" w:rsidR="00B1560F" w:rsidRPr="00FA76D4" w:rsidRDefault="00B1560F" w:rsidP="00B1560F">
      <w:pPr>
        <w:rPr>
          <w:sz w:val="22"/>
          <w:szCs w:val="22"/>
        </w:rPr>
      </w:pPr>
      <w:r w:rsidRPr="00FA76D4">
        <w:rPr>
          <w:sz w:val="22"/>
          <w:szCs w:val="22"/>
        </w:rPr>
        <w:t xml:space="preserve">The Act and Regulations provide the primary work health and safety </w:t>
      </w:r>
      <w:r w:rsidR="008871DC">
        <w:rPr>
          <w:sz w:val="22"/>
          <w:szCs w:val="22"/>
        </w:rPr>
        <w:t xml:space="preserve">(WHS) </w:t>
      </w:r>
      <w:r w:rsidRPr="00FA76D4">
        <w:rPr>
          <w:sz w:val="22"/>
          <w:szCs w:val="22"/>
        </w:rPr>
        <w:t>legislation for the Commonwealth jurisdiction</w:t>
      </w:r>
      <w:r w:rsidR="000417F7">
        <w:rPr>
          <w:sz w:val="22"/>
          <w:szCs w:val="22"/>
        </w:rPr>
        <w:t>. They</w:t>
      </w:r>
      <w:r w:rsidR="007946DE">
        <w:rPr>
          <w:sz w:val="22"/>
          <w:szCs w:val="22"/>
        </w:rPr>
        <w:t xml:space="preserve"> </w:t>
      </w:r>
      <w:r w:rsidRPr="00FA76D4">
        <w:rPr>
          <w:sz w:val="22"/>
          <w:szCs w:val="22"/>
        </w:rPr>
        <w:t>are based on</w:t>
      </w:r>
      <w:r w:rsidR="00921D13">
        <w:rPr>
          <w:sz w:val="22"/>
          <w:szCs w:val="22"/>
        </w:rPr>
        <w:t xml:space="preserve"> the model</w:t>
      </w:r>
      <w:r w:rsidRPr="00FA76D4">
        <w:rPr>
          <w:sz w:val="22"/>
          <w:szCs w:val="22"/>
        </w:rPr>
        <w:t xml:space="preserve"> </w:t>
      </w:r>
      <w:r w:rsidR="007946DE">
        <w:rPr>
          <w:sz w:val="22"/>
          <w:szCs w:val="22"/>
        </w:rPr>
        <w:t xml:space="preserve">WHS </w:t>
      </w:r>
      <w:r w:rsidR="000865CA" w:rsidRPr="000865CA">
        <w:rPr>
          <w:sz w:val="22"/>
          <w:szCs w:val="22"/>
        </w:rPr>
        <w:t>laws (model laws) developed by Safe</w:t>
      </w:r>
      <w:r w:rsidR="00331951">
        <w:rPr>
          <w:sz w:val="22"/>
          <w:szCs w:val="22"/>
        </w:rPr>
        <w:t> </w:t>
      </w:r>
      <w:r w:rsidR="000865CA" w:rsidRPr="000865CA">
        <w:rPr>
          <w:sz w:val="22"/>
          <w:szCs w:val="22"/>
        </w:rPr>
        <w:t>Work Australia</w:t>
      </w:r>
      <w:r w:rsidR="000865CA">
        <w:rPr>
          <w:sz w:val="22"/>
          <w:szCs w:val="22"/>
        </w:rPr>
        <w:t xml:space="preserve"> </w:t>
      </w:r>
      <w:r w:rsidR="002430E0">
        <w:rPr>
          <w:sz w:val="22"/>
          <w:szCs w:val="22"/>
        </w:rPr>
        <w:t xml:space="preserve">(SWA) </w:t>
      </w:r>
      <w:r w:rsidRPr="00FA76D4">
        <w:rPr>
          <w:sz w:val="22"/>
          <w:szCs w:val="22"/>
        </w:rPr>
        <w:t xml:space="preserve">under the </w:t>
      </w:r>
      <w:r w:rsidRPr="00FA76D4">
        <w:rPr>
          <w:i/>
          <w:sz w:val="22"/>
          <w:szCs w:val="22"/>
        </w:rPr>
        <w:t>Intergovernmental Agreement for Regulatory and Operational Reform in Occupational Health and Safety</w:t>
      </w:r>
      <w:r w:rsidR="001265A3">
        <w:rPr>
          <w:i/>
          <w:sz w:val="22"/>
          <w:szCs w:val="22"/>
        </w:rPr>
        <w:t xml:space="preserve"> </w:t>
      </w:r>
      <w:r w:rsidR="001265A3">
        <w:rPr>
          <w:iCs/>
          <w:sz w:val="22"/>
          <w:szCs w:val="22"/>
        </w:rPr>
        <w:t>(</w:t>
      </w:r>
      <w:r w:rsidR="00331951">
        <w:rPr>
          <w:iCs/>
          <w:sz w:val="22"/>
          <w:szCs w:val="22"/>
        </w:rPr>
        <w:t xml:space="preserve">the </w:t>
      </w:r>
      <w:r w:rsidR="001265A3">
        <w:rPr>
          <w:iCs/>
          <w:sz w:val="22"/>
          <w:szCs w:val="22"/>
        </w:rPr>
        <w:t>Intergovernmental Agreement)</w:t>
      </w:r>
      <w:r w:rsidRPr="00FA76D4">
        <w:rPr>
          <w:sz w:val="22"/>
          <w:szCs w:val="22"/>
        </w:rPr>
        <w:t xml:space="preserve">. </w:t>
      </w:r>
      <w:r w:rsidR="002430E0">
        <w:rPr>
          <w:sz w:val="22"/>
          <w:szCs w:val="22"/>
        </w:rPr>
        <w:t xml:space="preserve">The model laws provide for a balanced and nationally consistent framework to secure the health and safety of workers and workplaces, in part by protecting workers </w:t>
      </w:r>
      <w:r w:rsidR="00BA7DFE" w:rsidRPr="00BA7DFE">
        <w:rPr>
          <w:sz w:val="22"/>
          <w:szCs w:val="22"/>
        </w:rPr>
        <w:t>and other persons against harm to their health, safety and welfare through the elimination or minimisation of risks arising from work. The model laws have been implemented in all jurisdictions across Australia, except for Victoria which has laws that are similar.</w:t>
      </w:r>
    </w:p>
    <w:p w14:paraId="2A809357" w14:textId="77777777" w:rsidR="00B1560F" w:rsidRPr="00FA76D4" w:rsidRDefault="00B1560F" w:rsidP="00B1560F">
      <w:pPr>
        <w:rPr>
          <w:sz w:val="22"/>
          <w:szCs w:val="22"/>
        </w:rPr>
      </w:pPr>
    </w:p>
    <w:p w14:paraId="2AAFF5CC" w14:textId="77777777" w:rsidR="000417F7" w:rsidRDefault="00B1560F" w:rsidP="00B1560F">
      <w:pPr>
        <w:rPr>
          <w:sz w:val="22"/>
          <w:szCs w:val="22"/>
        </w:rPr>
      </w:pPr>
      <w:r w:rsidRPr="7BABC16C">
        <w:rPr>
          <w:sz w:val="22"/>
          <w:szCs w:val="22"/>
        </w:rPr>
        <w:t>S</w:t>
      </w:r>
      <w:r w:rsidR="002067A8" w:rsidRPr="7BABC16C">
        <w:rPr>
          <w:sz w:val="22"/>
          <w:szCs w:val="22"/>
        </w:rPr>
        <w:t>ubs</w:t>
      </w:r>
      <w:r w:rsidRPr="7BABC16C">
        <w:rPr>
          <w:sz w:val="22"/>
          <w:szCs w:val="22"/>
        </w:rPr>
        <w:t>ection 274</w:t>
      </w:r>
      <w:r w:rsidR="002067A8" w:rsidRPr="7BABC16C">
        <w:rPr>
          <w:sz w:val="22"/>
          <w:szCs w:val="22"/>
        </w:rPr>
        <w:t>(1)</w:t>
      </w:r>
      <w:r w:rsidRPr="7BABC16C">
        <w:rPr>
          <w:sz w:val="22"/>
          <w:szCs w:val="22"/>
        </w:rPr>
        <w:t xml:space="preserve"> of the Act provides that the Minister may approve codes of practice for the purposes of the Act. Section 275 of the Act provides that an approved code of practice is admissible in proceedings under the Act as evidence of whether a duty or obligation under the Act has been complied with. A court may</w:t>
      </w:r>
      <w:r w:rsidR="000417F7">
        <w:rPr>
          <w:sz w:val="22"/>
          <w:szCs w:val="22"/>
        </w:rPr>
        <w:t>:</w:t>
      </w:r>
      <w:r w:rsidRPr="7BABC16C">
        <w:rPr>
          <w:sz w:val="22"/>
          <w:szCs w:val="22"/>
        </w:rPr>
        <w:t xml:space="preserve"> </w:t>
      </w:r>
    </w:p>
    <w:p w14:paraId="2242EDD4" w14:textId="77777777" w:rsidR="000417F7" w:rsidRDefault="00B1560F" w:rsidP="000417F7">
      <w:pPr>
        <w:pStyle w:val="ListParagraph"/>
        <w:numPr>
          <w:ilvl w:val="0"/>
          <w:numId w:val="16"/>
        </w:numPr>
        <w:rPr>
          <w:sz w:val="22"/>
          <w:szCs w:val="22"/>
        </w:rPr>
      </w:pPr>
      <w:r w:rsidRPr="000417F7">
        <w:rPr>
          <w:sz w:val="22"/>
          <w:szCs w:val="22"/>
        </w:rPr>
        <w:t xml:space="preserve">have regard to the code of practice as evidence of what is known about a hazard or risk, risk assessment or risk control to which the code of practice </w:t>
      </w:r>
      <w:r w:rsidR="668C8041" w:rsidRPr="000417F7">
        <w:rPr>
          <w:sz w:val="22"/>
          <w:szCs w:val="22"/>
        </w:rPr>
        <w:t>relates</w:t>
      </w:r>
      <w:r w:rsidR="000417F7">
        <w:rPr>
          <w:sz w:val="22"/>
          <w:szCs w:val="22"/>
        </w:rPr>
        <w:t>;</w:t>
      </w:r>
      <w:r w:rsidR="668C8041" w:rsidRPr="000417F7">
        <w:rPr>
          <w:sz w:val="22"/>
          <w:szCs w:val="22"/>
        </w:rPr>
        <w:t xml:space="preserve"> and</w:t>
      </w:r>
      <w:r w:rsidRPr="000417F7">
        <w:rPr>
          <w:sz w:val="22"/>
          <w:szCs w:val="22"/>
        </w:rPr>
        <w:t xml:space="preserve"> </w:t>
      </w:r>
    </w:p>
    <w:p w14:paraId="21A1329F" w14:textId="2FBA89BD" w:rsidR="00B1560F" w:rsidRPr="000417F7" w:rsidRDefault="00B1560F" w:rsidP="000417F7">
      <w:pPr>
        <w:pStyle w:val="ListParagraph"/>
        <w:numPr>
          <w:ilvl w:val="0"/>
          <w:numId w:val="16"/>
        </w:numPr>
        <w:rPr>
          <w:sz w:val="22"/>
          <w:szCs w:val="22"/>
        </w:rPr>
      </w:pPr>
      <w:r w:rsidRPr="000417F7">
        <w:rPr>
          <w:sz w:val="22"/>
          <w:szCs w:val="22"/>
        </w:rPr>
        <w:t xml:space="preserve">rely on the code of practice in determining what is reasonably practicable in the circumstances to which the code of practice relates. </w:t>
      </w:r>
    </w:p>
    <w:p w14:paraId="401FB236" w14:textId="77777777" w:rsidR="00B1560F" w:rsidRPr="00FA76D4" w:rsidRDefault="00B1560F" w:rsidP="00B1560F">
      <w:pPr>
        <w:rPr>
          <w:sz w:val="22"/>
          <w:szCs w:val="22"/>
        </w:rPr>
      </w:pPr>
    </w:p>
    <w:p w14:paraId="4DC0E12D" w14:textId="1A96AD33" w:rsidR="00E548D1" w:rsidRDefault="00E53AD9" w:rsidP="00AD000B">
      <w:pPr>
        <w:rPr>
          <w:sz w:val="22"/>
          <w:szCs w:val="22"/>
        </w:rPr>
      </w:pPr>
      <w:r w:rsidRPr="7BABC16C">
        <w:rPr>
          <w:sz w:val="22"/>
          <w:szCs w:val="22"/>
        </w:rPr>
        <w:t>Approving this code of practice in the Commonwealth jurisdiction gives effect to a</w:t>
      </w:r>
      <w:r w:rsidR="00C00C66">
        <w:rPr>
          <w:sz w:val="22"/>
          <w:szCs w:val="22"/>
        </w:rPr>
        <w:t>n</w:t>
      </w:r>
      <w:r w:rsidRPr="7BABC16C">
        <w:rPr>
          <w:sz w:val="22"/>
          <w:szCs w:val="22"/>
        </w:rPr>
        <w:t xml:space="preserve"> agreement </w:t>
      </w:r>
      <w:r w:rsidR="005B4135">
        <w:rPr>
          <w:sz w:val="22"/>
          <w:szCs w:val="22"/>
        </w:rPr>
        <w:t xml:space="preserve">in September 2023 </w:t>
      </w:r>
      <w:r w:rsidRPr="7BABC16C">
        <w:rPr>
          <w:sz w:val="22"/>
          <w:szCs w:val="22"/>
        </w:rPr>
        <w:t xml:space="preserve">between </w:t>
      </w:r>
      <w:r w:rsidR="00DF4EDA">
        <w:rPr>
          <w:sz w:val="22"/>
          <w:szCs w:val="22"/>
        </w:rPr>
        <w:t xml:space="preserve">SWA Members </w:t>
      </w:r>
      <w:r w:rsidR="00B100A8" w:rsidRPr="7BABC16C">
        <w:rPr>
          <w:sz w:val="22"/>
          <w:szCs w:val="22"/>
        </w:rPr>
        <w:t xml:space="preserve">to approve and publish the model </w:t>
      </w:r>
      <w:r w:rsidR="00B100A8" w:rsidRPr="7BABC16C">
        <w:rPr>
          <w:i/>
          <w:iCs/>
          <w:sz w:val="22"/>
          <w:szCs w:val="22"/>
        </w:rPr>
        <w:t>Code of Practice: Sexual and Gender</w:t>
      </w:r>
      <w:r w:rsidR="00DF4EDA">
        <w:rPr>
          <w:i/>
          <w:iCs/>
          <w:sz w:val="22"/>
          <w:szCs w:val="22"/>
        </w:rPr>
        <w:noBreakHyphen/>
      </w:r>
      <w:r w:rsidR="00B100A8" w:rsidRPr="7BABC16C">
        <w:rPr>
          <w:i/>
          <w:iCs/>
          <w:sz w:val="22"/>
          <w:szCs w:val="22"/>
        </w:rPr>
        <w:t xml:space="preserve">based Harassment </w:t>
      </w:r>
      <w:r w:rsidR="005B4135">
        <w:rPr>
          <w:sz w:val="22"/>
          <w:szCs w:val="22"/>
        </w:rPr>
        <w:t xml:space="preserve">(the model Code) </w:t>
      </w:r>
      <w:r w:rsidR="00B100A8" w:rsidRPr="7BABC16C">
        <w:rPr>
          <w:sz w:val="22"/>
          <w:szCs w:val="22"/>
        </w:rPr>
        <w:t>developed by SWA</w:t>
      </w:r>
      <w:r w:rsidR="005B4135">
        <w:rPr>
          <w:sz w:val="22"/>
          <w:szCs w:val="22"/>
        </w:rPr>
        <w:t xml:space="preserve">, </w:t>
      </w:r>
      <w:r w:rsidR="005B4135">
        <w:rPr>
          <w:color w:val="000000"/>
          <w:sz w:val="22"/>
          <w:szCs w:val="22"/>
          <w:shd w:val="clear" w:color="auto" w:fill="FFFFFF"/>
        </w:rPr>
        <w:t>published on the SWA website</w:t>
      </w:r>
      <w:r w:rsidR="005B4135">
        <w:rPr>
          <w:sz w:val="22"/>
          <w:szCs w:val="22"/>
        </w:rPr>
        <w:t xml:space="preserve"> in December 2023</w:t>
      </w:r>
      <w:r w:rsidR="00B100A8" w:rsidRPr="7BABC16C">
        <w:rPr>
          <w:sz w:val="22"/>
          <w:szCs w:val="22"/>
        </w:rPr>
        <w:t xml:space="preserve">. </w:t>
      </w:r>
      <w:r w:rsidR="008D1BA4" w:rsidRPr="7BABC16C">
        <w:rPr>
          <w:sz w:val="22"/>
          <w:szCs w:val="22"/>
        </w:rPr>
        <w:t>It also supports implementation of r</w:t>
      </w:r>
      <w:r w:rsidR="00AD000B" w:rsidRPr="7BABC16C">
        <w:rPr>
          <w:sz w:val="22"/>
          <w:szCs w:val="22"/>
        </w:rPr>
        <w:t xml:space="preserve">ecommendation 35 of the Australian Human Rights Commission’s </w:t>
      </w:r>
      <w:r w:rsidR="00AD000B" w:rsidRPr="7BABC16C">
        <w:rPr>
          <w:i/>
          <w:iCs/>
          <w:sz w:val="22"/>
          <w:szCs w:val="22"/>
        </w:rPr>
        <w:t>Respect@Work: Sexual Harassment National Inquiry Report</w:t>
      </w:r>
      <w:r w:rsidR="008D1BA4" w:rsidRPr="7BABC16C">
        <w:rPr>
          <w:i/>
          <w:iCs/>
          <w:sz w:val="22"/>
          <w:szCs w:val="22"/>
        </w:rPr>
        <w:t xml:space="preserve">. </w:t>
      </w:r>
      <w:r w:rsidR="00BA48C8">
        <w:rPr>
          <w:sz w:val="22"/>
          <w:szCs w:val="22"/>
        </w:rPr>
        <w:t>Under</w:t>
      </w:r>
      <w:r w:rsidR="008D1BA4" w:rsidRPr="7BABC16C">
        <w:rPr>
          <w:sz w:val="22"/>
          <w:szCs w:val="22"/>
        </w:rPr>
        <w:t xml:space="preserve"> this recommendation, </w:t>
      </w:r>
      <w:r w:rsidR="00AD000B" w:rsidRPr="7BABC16C">
        <w:rPr>
          <w:sz w:val="22"/>
          <w:szCs w:val="22"/>
        </w:rPr>
        <w:t xml:space="preserve">WHS Ministers </w:t>
      </w:r>
      <w:r w:rsidR="008D1BA4" w:rsidRPr="7BABC16C">
        <w:rPr>
          <w:sz w:val="22"/>
          <w:szCs w:val="22"/>
        </w:rPr>
        <w:t xml:space="preserve">were </w:t>
      </w:r>
      <w:r w:rsidR="00C4298B" w:rsidRPr="7BABC16C">
        <w:rPr>
          <w:sz w:val="22"/>
          <w:szCs w:val="22"/>
        </w:rPr>
        <w:t xml:space="preserve">to </w:t>
      </w:r>
      <w:r w:rsidR="00AD000B" w:rsidRPr="7BABC16C">
        <w:rPr>
          <w:sz w:val="22"/>
          <w:szCs w:val="22"/>
        </w:rPr>
        <w:t>agree to amend the model WHS Regulations to deal with psychological health, as recommended by the review of the model WHS laws by Ms</w:t>
      </w:r>
      <w:r w:rsidR="00C4298B" w:rsidRPr="7BABC16C">
        <w:rPr>
          <w:sz w:val="22"/>
          <w:szCs w:val="22"/>
        </w:rPr>
        <w:t> </w:t>
      </w:r>
      <w:r w:rsidR="00AD000B" w:rsidRPr="7BABC16C">
        <w:rPr>
          <w:sz w:val="22"/>
          <w:szCs w:val="22"/>
        </w:rPr>
        <w:t xml:space="preserve">Marie Boland, and to develop guidelines on sexual harassment with a view to informing the development of a code of practice on sexual harassment. </w:t>
      </w:r>
    </w:p>
    <w:p w14:paraId="2ED97260" w14:textId="77777777" w:rsidR="00E548D1" w:rsidRDefault="00E548D1" w:rsidP="00AD000B">
      <w:pPr>
        <w:rPr>
          <w:sz w:val="22"/>
          <w:szCs w:val="22"/>
        </w:rPr>
      </w:pPr>
    </w:p>
    <w:p w14:paraId="68859695" w14:textId="7B8B6CCA" w:rsidR="007E00C0" w:rsidRDefault="313CE7A2" w:rsidP="00AD000B">
      <w:pPr>
        <w:rPr>
          <w:sz w:val="22"/>
          <w:szCs w:val="22"/>
        </w:rPr>
      </w:pPr>
      <w:r w:rsidRPr="7078C25B">
        <w:rPr>
          <w:sz w:val="22"/>
          <w:szCs w:val="22"/>
        </w:rPr>
        <w:lastRenderedPageBreak/>
        <w:t xml:space="preserve">This Code is intended to be read and applied in conjunction with the </w:t>
      </w:r>
      <w:r w:rsidRPr="7078C25B">
        <w:rPr>
          <w:i/>
          <w:iCs/>
          <w:sz w:val="22"/>
          <w:szCs w:val="22"/>
        </w:rPr>
        <w:t xml:space="preserve">Work Health and Safety (Managing Psychosocial Hazards at Work) Code of Practice 2024 </w:t>
      </w:r>
      <w:r w:rsidRPr="7078C25B">
        <w:rPr>
          <w:sz w:val="22"/>
          <w:szCs w:val="22"/>
        </w:rPr>
        <w:t xml:space="preserve">(Cth). Sexual and gender-based harassment often occurs in conjunction with other psychosocial hazards and </w:t>
      </w:r>
      <w:r w:rsidR="5605471D" w:rsidRPr="7078C25B">
        <w:rPr>
          <w:sz w:val="22"/>
          <w:szCs w:val="22"/>
        </w:rPr>
        <w:t>duty holders</w:t>
      </w:r>
      <w:r w:rsidRPr="7078C25B">
        <w:rPr>
          <w:sz w:val="22"/>
          <w:szCs w:val="22"/>
        </w:rPr>
        <w:t xml:space="preserve"> must consider the interaction between these hazards when managing risks to the health and safety of workers and others. </w:t>
      </w:r>
    </w:p>
    <w:p w14:paraId="4CC35E2F" w14:textId="77777777" w:rsidR="007E00C0" w:rsidRDefault="007E00C0" w:rsidP="007E182F">
      <w:pPr>
        <w:rPr>
          <w:sz w:val="22"/>
          <w:szCs w:val="22"/>
        </w:rPr>
      </w:pPr>
    </w:p>
    <w:p w14:paraId="756A6C6D" w14:textId="0C44A84B" w:rsidR="00B1560F" w:rsidRDefault="00B1560F" w:rsidP="00B1560F">
      <w:pPr>
        <w:rPr>
          <w:b/>
          <w:sz w:val="22"/>
          <w:szCs w:val="22"/>
        </w:rPr>
      </w:pPr>
      <w:r w:rsidRPr="00FA76D4">
        <w:rPr>
          <w:sz w:val="22"/>
          <w:szCs w:val="22"/>
        </w:rPr>
        <w:t xml:space="preserve">In accordance with paragraph 273B(1)(d) of the Act, this instrument is a legislative instrument within the meaning of the </w:t>
      </w:r>
      <w:r w:rsidRPr="00FA76D4">
        <w:rPr>
          <w:i/>
          <w:sz w:val="22"/>
          <w:szCs w:val="22"/>
        </w:rPr>
        <w:t xml:space="preserve">Legislation Act 2003 </w:t>
      </w:r>
      <w:r w:rsidR="00943688">
        <w:rPr>
          <w:iCs/>
          <w:sz w:val="22"/>
          <w:szCs w:val="22"/>
        </w:rPr>
        <w:t xml:space="preserve">(Cth) </w:t>
      </w:r>
      <w:r w:rsidRPr="00FA76D4">
        <w:rPr>
          <w:sz w:val="22"/>
          <w:szCs w:val="22"/>
        </w:rPr>
        <w:t>(</w:t>
      </w:r>
      <w:r w:rsidR="00943688">
        <w:rPr>
          <w:sz w:val="22"/>
          <w:szCs w:val="22"/>
        </w:rPr>
        <w:t xml:space="preserve">the </w:t>
      </w:r>
      <w:r w:rsidRPr="00FA76D4">
        <w:rPr>
          <w:sz w:val="22"/>
          <w:szCs w:val="22"/>
        </w:rPr>
        <w:t>Legislation Act).</w:t>
      </w:r>
      <w:r w:rsidRPr="00FA76D4">
        <w:rPr>
          <w:b/>
          <w:sz w:val="22"/>
          <w:szCs w:val="22"/>
        </w:rPr>
        <w:t xml:space="preserve"> </w:t>
      </w:r>
    </w:p>
    <w:p w14:paraId="0ECE7C4D" w14:textId="77777777" w:rsidR="00B1560F" w:rsidRPr="00FA76D4" w:rsidRDefault="00B1560F" w:rsidP="00B1560F">
      <w:pPr>
        <w:rPr>
          <w:sz w:val="22"/>
          <w:szCs w:val="22"/>
        </w:rPr>
      </w:pPr>
    </w:p>
    <w:p w14:paraId="22833C43" w14:textId="77777777" w:rsidR="00B1560F" w:rsidRPr="00FA76D4" w:rsidRDefault="00B1560F" w:rsidP="00DA25DE">
      <w:pPr>
        <w:keepNext/>
        <w:keepLines/>
        <w:rPr>
          <w:b/>
          <w:sz w:val="22"/>
          <w:szCs w:val="22"/>
        </w:rPr>
      </w:pPr>
      <w:r w:rsidRPr="00FA76D4">
        <w:rPr>
          <w:b/>
          <w:sz w:val="22"/>
          <w:szCs w:val="22"/>
        </w:rPr>
        <w:t xml:space="preserve">Consultation </w:t>
      </w:r>
    </w:p>
    <w:p w14:paraId="5A0D2C7B" w14:textId="149C85DC" w:rsidR="00043E81" w:rsidRDefault="00DF4EDA" w:rsidP="00DA25DE">
      <w:pPr>
        <w:keepNext/>
        <w:keepLines/>
        <w:rPr>
          <w:color w:val="000000"/>
          <w:sz w:val="22"/>
          <w:szCs w:val="22"/>
          <w:shd w:val="clear" w:color="auto" w:fill="FFFFFF"/>
        </w:rPr>
      </w:pPr>
      <w:r>
        <w:rPr>
          <w:color w:val="000000"/>
          <w:sz w:val="22"/>
          <w:szCs w:val="22"/>
          <w:shd w:val="clear" w:color="auto" w:fill="FFFFFF"/>
        </w:rPr>
        <w:t>Subsection 274(2) of the Act provides that p</w:t>
      </w:r>
      <w:r w:rsidR="00B1560F" w:rsidRPr="00F723D2">
        <w:rPr>
          <w:color w:val="000000"/>
          <w:sz w:val="22"/>
          <w:szCs w:val="22"/>
          <w:shd w:val="clear" w:color="auto" w:fill="FFFFFF"/>
        </w:rPr>
        <w:t xml:space="preserve">rior to approving a code of practice, the Minister must be satisfied that the </w:t>
      </w:r>
      <w:r w:rsidR="2C56EAFA" w:rsidRPr="00F723D2">
        <w:rPr>
          <w:color w:val="000000"/>
          <w:sz w:val="22"/>
          <w:szCs w:val="22"/>
          <w:shd w:val="clear" w:color="auto" w:fill="FFFFFF"/>
        </w:rPr>
        <w:t>c</w:t>
      </w:r>
      <w:r w:rsidR="00B1560F" w:rsidRPr="00F723D2">
        <w:rPr>
          <w:color w:val="000000"/>
          <w:sz w:val="22"/>
          <w:szCs w:val="22"/>
          <w:shd w:val="clear" w:color="auto" w:fill="FFFFFF"/>
        </w:rPr>
        <w:t xml:space="preserve">ode has been developed </w:t>
      </w:r>
      <w:r w:rsidR="00A94BE4">
        <w:rPr>
          <w:color w:val="000000"/>
          <w:sz w:val="22"/>
          <w:szCs w:val="22"/>
          <w:shd w:val="clear" w:color="auto" w:fill="FFFFFF"/>
        </w:rPr>
        <w:t xml:space="preserve">by a process that involved </w:t>
      </w:r>
      <w:r w:rsidR="00B1560F" w:rsidRPr="00F723D2">
        <w:rPr>
          <w:color w:val="000000"/>
          <w:sz w:val="22"/>
          <w:szCs w:val="22"/>
          <w:shd w:val="clear" w:color="auto" w:fill="FFFFFF"/>
        </w:rPr>
        <w:t>consultat</w:t>
      </w:r>
      <w:r w:rsidR="00B1560F" w:rsidRPr="000865CA">
        <w:rPr>
          <w:color w:val="000000"/>
          <w:sz w:val="22"/>
          <w:szCs w:val="22"/>
          <w:shd w:val="clear" w:color="auto" w:fill="FFFFFF"/>
        </w:rPr>
        <w:t xml:space="preserve">ion </w:t>
      </w:r>
      <w:r w:rsidR="005F2730">
        <w:rPr>
          <w:color w:val="000000"/>
          <w:sz w:val="22"/>
          <w:szCs w:val="22"/>
          <w:shd w:val="clear" w:color="auto" w:fill="FFFFFF"/>
        </w:rPr>
        <w:t>between</w:t>
      </w:r>
      <w:r w:rsidR="005F2730" w:rsidRPr="000865CA">
        <w:rPr>
          <w:color w:val="000000"/>
          <w:sz w:val="22"/>
          <w:szCs w:val="22"/>
          <w:shd w:val="clear" w:color="auto" w:fill="FFFFFF"/>
        </w:rPr>
        <w:t xml:space="preserve"> </w:t>
      </w:r>
      <w:r w:rsidR="00B1560F" w:rsidRPr="000865CA">
        <w:rPr>
          <w:color w:val="000000"/>
          <w:sz w:val="22"/>
          <w:szCs w:val="22"/>
          <w:shd w:val="clear" w:color="auto" w:fill="FFFFFF"/>
        </w:rPr>
        <w:t xml:space="preserve">the </w:t>
      </w:r>
      <w:r w:rsidR="00453EF5" w:rsidRPr="000865CA">
        <w:rPr>
          <w:color w:val="000000"/>
          <w:sz w:val="22"/>
          <w:szCs w:val="22"/>
          <w:shd w:val="clear" w:color="auto" w:fill="FFFFFF"/>
        </w:rPr>
        <w:t>governments</w:t>
      </w:r>
      <w:r w:rsidR="00453EF5" w:rsidRPr="00F723D2">
        <w:rPr>
          <w:color w:val="000000"/>
          <w:sz w:val="22"/>
          <w:szCs w:val="22"/>
          <w:shd w:val="clear" w:color="auto" w:fill="FFFFFF"/>
        </w:rPr>
        <w:t xml:space="preserve"> </w:t>
      </w:r>
      <w:r>
        <w:rPr>
          <w:color w:val="000000"/>
          <w:sz w:val="22"/>
          <w:szCs w:val="22"/>
          <w:shd w:val="clear" w:color="auto" w:fill="FFFFFF"/>
        </w:rPr>
        <w:t>o</w:t>
      </w:r>
      <w:r w:rsidR="00453EF5">
        <w:rPr>
          <w:color w:val="000000"/>
          <w:sz w:val="22"/>
          <w:szCs w:val="22"/>
          <w:shd w:val="clear" w:color="auto" w:fill="FFFFFF"/>
        </w:rPr>
        <w:t xml:space="preserve">f the </w:t>
      </w:r>
      <w:r w:rsidR="00B1560F" w:rsidRPr="000865CA">
        <w:rPr>
          <w:color w:val="000000"/>
          <w:sz w:val="22"/>
          <w:szCs w:val="22"/>
          <w:shd w:val="clear" w:color="auto" w:fill="FFFFFF"/>
        </w:rPr>
        <w:t>Commonwealth</w:t>
      </w:r>
      <w:r w:rsidR="005F2730">
        <w:rPr>
          <w:color w:val="000000"/>
          <w:sz w:val="22"/>
          <w:szCs w:val="22"/>
          <w:shd w:val="clear" w:color="auto" w:fill="FFFFFF"/>
        </w:rPr>
        <w:t xml:space="preserve"> and each</w:t>
      </w:r>
      <w:r w:rsidR="00B1560F" w:rsidRPr="000865CA">
        <w:rPr>
          <w:color w:val="000000"/>
          <w:sz w:val="22"/>
          <w:szCs w:val="22"/>
          <w:shd w:val="clear" w:color="auto" w:fill="FFFFFF"/>
        </w:rPr>
        <w:t xml:space="preserve"> </w:t>
      </w:r>
      <w:r w:rsidR="006027AF">
        <w:rPr>
          <w:color w:val="000000"/>
          <w:sz w:val="22"/>
          <w:szCs w:val="22"/>
          <w:shd w:val="clear" w:color="auto" w:fill="FFFFFF"/>
        </w:rPr>
        <w:t>s</w:t>
      </w:r>
      <w:r w:rsidR="006027AF" w:rsidRPr="000865CA">
        <w:rPr>
          <w:color w:val="000000"/>
          <w:sz w:val="22"/>
          <w:szCs w:val="22"/>
          <w:shd w:val="clear" w:color="auto" w:fill="FFFFFF"/>
        </w:rPr>
        <w:t xml:space="preserve">tate </w:t>
      </w:r>
      <w:r w:rsidR="00B1560F" w:rsidRPr="000865CA">
        <w:rPr>
          <w:color w:val="000000"/>
          <w:sz w:val="22"/>
          <w:szCs w:val="22"/>
          <w:shd w:val="clear" w:color="auto" w:fill="FFFFFF"/>
        </w:rPr>
        <w:t xml:space="preserve">and </w:t>
      </w:r>
      <w:r w:rsidR="006027AF">
        <w:rPr>
          <w:color w:val="000000"/>
          <w:sz w:val="22"/>
          <w:szCs w:val="22"/>
          <w:shd w:val="clear" w:color="auto" w:fill="FFFFFF"/>
        </w:rPr>
        <w:t>t</w:t>
      </w:r>
      <w:r w:rsidR="00B1560F" w:rsidRPr="000865CA">
        <w:rPr>
          <w:color w:val="000000"/>
          <w:sz w:val="22"/>
          <w:szCs w:val="22"/>
          <w:shd w:val="clear" w:color="auto" w:fill="FFFFFF"/>
        </w:rPr>
        <w:t xml:space="preserve">erritory, </w:t>
      </w:r>
      <w:r w:rsidR="00453EF5">
        <w:rPr>
          <w:color w:val="000000"/>
          <w:sz w:val="22"/>
          <w:szCs w:val="22"/>
          <w:shd w:val="clear" w:color="auto" w:fill="FFFFFF"/>
        </w:rPr>
        <w:t xml:space="preserve">and with </w:t>
      </w:r>
      <w:r w:rsidR="00811A0A" w:rsidRPr="000865CA">
        <w:rPr>
          <w:color w:val="000000"/>
          <w:sz w:val="22"/>
          <w:szCs w:val="22"/>
          <w:shd w:val="clear" w:color="auto" w:fill="FFFFFF"/>
        </w:rPr>
        <w:t>unions</w:t>
      </w:r>
      <w:r w:rsidR="00453EF5">
        <w:rPr>
          <w:color w:val="000000"/>
          <w:sz w:val="22"/>
          <w:szCs w:val="22"/>
          <w:shd w:val="clear" w:color="auto" w:fill="FFFFFF"/>
        </w:rPr>
        <w:t xml:space="preserve"> </w:t>
      </w:r>
      <w:r w:rsidR="00B1560F" w:rsidRPr="000865CA">
        <w:rPr>
          <w:color w:val="000000"/>
          <w:sz w:val="22"/>
          <w:szCs w:val="22"/>
          <w:shd w:val="clear" w:color="auto" w:fill="FFFFFF"/>
        </w:rPr>
        <w:t>and employer organisations</w:t>
      </w:r>
      <w:r w:rsidR="006C696D">
        <w:rPr>
          <w:color w:val="000000"/>
          <w:sz w:val="22"/>
          <w:szCs w:val="22"/>
          <w:shd w:val="clear" w:color="auto" w:fill="FFFFFF"/>
        </w:rPr>
        <w:t xml:space="preserve">. </w:t>
      </w:r>
    </w:p>
    <w:p w14:paraId="0E23DEF5" w14:textId="77777777" w:rsidR="00331A0A" w:rsidRDefault="00331A0A" w:rsidP="0005182E">
      <w:pPr>
        <w:rPr>
          <w:color w:val="000000"/>
          <w:sz w:val="22"/>
          <w:szCs w:val="22"/>
          <w:shd w:val="clear" w:color="auto" w:fill="FFFFFF"/>
        </w:rPr>
      </w:pPr>
    </w:p>
    <w:p w14:paraId="012E9637" w14:textId="47CF8419" w:rsidR="0005182E" w:rsidRDefault="00491579" w:rsidP="007E4329">
      <w:pPr>
        <w:rPr>
          <w:color w:val="000000"/>
          <w:sz w:val="22"/>
          <w:szCs w:val="22"/>
          <w:shd w:val="clear" w:color="auto" w:fill="FFFFFF"/>
        </w:rPr>
      </w:pPr>
      <w:r w:rsidRPr="007E4329">
        <w:rPr>
          <w:color w:val="000000"/>
          <w:sz w:val="22"/>
          <w:szCs w:val="22"/>
          <w:shd w:val="clear" w:color="auto" w:fill="FFFFFF"/>
        </w:rPr>
        <w:t xml:space="preserve">The Code </w:t>
      </w:r>
      <w:r w:rsidR="009809C0" w:rsidRPr="007E4329">
        <w:rPr>
          <w:color w:val="000000"/>
          <w:sz w:val="22"/>
          <w:szCs w:val="22"/>
          <w:shd w:val="clear" w:color="auto" w:fill="FFFFFF"/>
        </w:rPr>
        <w:t>substantially</w:t>
      </w:r>
      <w:r w:rsidR="007542DB" w:rsidRPr="007E4329">
        <w:rPr>
          <w:color w:val="000000"/>
          <w:sz w:val="22"/>
          <w:szCs w:val="22"/>
          <w:shd w:val="clear" w:color="auto" w:fill="FFFFFF"/>
        </w:rPr>
        <w:t xml:space="preserve"> adopts</w:t>
      </w:r>
      <w:r w:rsidR="00310E29" w:rsidRPr="007E4329">
        <w:rPr>
          <w:color w:val="000000"/>
          <w:sz w:val="22"/>
          <w:szCs w:val="22"/>
          <w:shd w:val="clear" w:color="auto" w:fill="FFFFFF"/>
        </w:rPr>
        <w:t xml:space="preserve"> </w:t>
      </w:r>
      <w:r w:rsidR="0005182E" w:rsidRPr="007E4329">
        <w:rPr>
          <w:color w:val="000000"/>
          <w:sz w:val="22"/>
          <w:szCs w:val="22"/>
          <w:shd w:val="clear" w:color="auto" w:fill="FFFFFF"/>
        </w:rPr>
        <w:t xml:space="preserve">the </w:t>
      </w:r>
      <w:r w:rsidR="0005182E" w:rsidRPr="006B4B9D">
        <w:rPr>
          <w:color w:val="000000"/>
          <w:sz w:val="22"/>
          <w:szCs w:val="22"/>
          <w:shd w:val="clear" w:color="auto" w:fill="FFFFFF"/>
        </w:rPr>
        <w:t>model</w:t>
      </w:r>
      <w:r w:rsidR="0005182E" w:rsidRPr="7BABC16C">
        <w:rPr>
          <w:i/>
          <w:iCs/>
          <w:color w:val="000000"/>
          <w:sz w:val="22"/>
          <w:szCs w:val="22"/>
          <w:shd w:val="clear" w:color="auto" w:fill="FFFFFF"/>
        </w:rPr>
        <w:t xml:space="preserve"> </w:t>
      </w:r>
      <w:r w:rsidR="0005182E" w:rsidRPr="0004566E">
        <w:rPr>
          <w:color w:val="000000"/>
          <w:sz w:val="22"/>
          <w:szCs w:val="22"/>
          <w:shd w:val="clear" w:color="auto" w:fill="FFFFFF"/>
        </w:rPr>
        <w:t>Code</w:t>
      </w:r>
      <w:r w:rsidR="0005182E" w:rsidRPr="7BABC16C">
        <w:rPr>
          <w:i/>
          <w:iCs/>
          <w:color w:val="000000"/>
          <w:sz w:val="22"/>
          <w:szCs w:val="22"/>
          <w:shd w:val="clear" w:color="auto" w:fill="FFFFFF"/>
        </w:rPr>
        <w:t xml:space="preserve"> </w:t>
      </w:r>
      <w:r w:rsidR="00D85B70" w:rsidRPr="007E4329">
        <w:rPr>
          <w:color w:val="000000"/>
          <w:sz w:val="22"/>
          <w:szCs w:val="22"/>
          <w:shd w:val="clear" w:color="auto" w:fill="FFFFFF"/>
        </w:rPr>
        <w:t xml:space="preserve">which was </w:t>
      </w:r>
      <w:r w:rsidR="0005182E" w:rsidRPr="007E4329">
        <w:rPr>
          <w:sz w:val="22"/>
          <w:szCs w:val="22"/>
        </w:rPr>
        <w:t xml:space="preserve">developed through </w:t>
      </w:r>
      <w:r w:rsidR="001A54ED">
        <w:rPr>
          <w:sz w:val="22"/>
          <w:szCs w:val="22"/>
        </w:rPr>
        <w:t>SWA</w:t>
      </w:r>
      <w:r w:rsidR="0005182E" w:rsidRPr="007E4329">
        <w:rPr>
          <w:sz w:val="22"/>
          <w:szCs w:val="22"/>
        </w:rPr>
        <w:t>’s tripartite consultation process</w:t>
      </w:r>
      <w:r w:rsidR="00451B88">
        <w:rPr>
          <w:sz w:val="22"/>
          <w:szCs w:val="22"/>
        </w:rPr>
        <w:t xml:space="preserve"> </w:t>
      </w:r>
      <w:r w:rsidR="00B2030C">
        <w:rPr>
          <w:sz w:val="22"/>
          <w:szCs w:val="22"/>
        </w:rPr>
        <w:t>involving</w:t>
      </w:r>
      <w:r w:rsidR="00451B88">
        <w:rPr>
          <w:sz w:val="22"/>
          <w:szCs w:val="22"/>
        </w:rPr>
        <w:t xml:space="preserve"> </w:t>
      </w:r>
      <w:r w:rsidR="00B2030C" w:rsidRPr="007E4329">
        <w:rPr>
          <w:color w:val="000000"/>
          <w:sz w:val="22"/>
          <w:szCs w:val="22"/>
          <w:shd w:val="clear" w:color="auto" w:fill="FFFFFF"/>
        </w:rPr>
        <w:t xml:space="preserve">representatives from the Commonwealth, each </w:t>
      </w:r>
      <w:r w:rsidR="006027AF">
        <w:rPr>
          <w:color w:val="000000"/>
          <w:sz w:val="22"/>
          <w:szCs w:val="22"/>
          <w:shd w:val="clear" w:color="auto" w:fill="FFFFFF"/>
        </w:rPr>
        <w:t>s</w:t>
      </w:r>
      <w:r w:rsidR="00B2030C" w:rsidRPr="007E4329">
        <w:rPr>
          <w:color w:val="000000"/>
          <w:sz w:val="22"/>
          <w:szCs w:val="22"/>
          <w:shd w:val="clear" w:color="auto" w:fill="FFFFFF"/>
        </w:rPr>
        <w:t xml:space="preserve">tate and </w:t>
      </w:r>
      <w:r w:rsidR="006027AF">
        <w:rPr>
          <w:color w:val="000000"/>
          <w:sz w:val="22"/>
          <w:szCs w:val="22"/>
          <w:shd w:val="clear" w:color="auto" w:fill="FFFFFF"/>
        </w:rPr>
        <w:t>t</w:t>
      </w:r>
      <w:r w:rsidR="006027AF" w:rsidRPr="007E4329">
        <w:rPr>
          <w:color w:val="000000"/>
          <w:sz w:val="22"/>
          <w:szCs w:val="22"/>
          <w:shd w:val="clear" w:color="auto" w:fill="FFFFFF"/>
        </w:rPr>
        <w:t>erritory</w:t>
      </w:r>
      <w:r w:rsidR="00B2030C" w:rsidRPr="007E4329">
        <w:rPr>
          <w:color w:val="000000"/>
          <w:sz w:val="22"/>
          <w:szCs w:val="22"/>
          <w:shd w:val="clear" w:color="auto" w:fill="FFFFFF"/>
        </w:rPr>
        <w:t>, the Australian Council of Trade Unions, Australian Industry Group and the Australian Chamber of Commerce and Industry</w:t>
      </w:r>
      <w:r w:rsidR="00B2030C">
        <w:rPr>
          <w:color w:val="000000"/>
          <w:sz w:val="22"/>
          <w:szCs w:val="22"/>
          <w:shd w:val="clear" w:color="auto" w:fill="FFFFFF"/>
        </w:rPr>
        <w:t xml:space="preserve">. </w:t>
      </w:r>
    </w:p>
    <w:p w14:paraId="732B02DD" w14:textId="77777777" w:rsidR="00D977B6" w:rsidRDefault="00D977B6" w:rsidP="007E4329">
      <w:pPr>
        <w:rPr>
          <w:color w:val="000000"/>
          <w:sz w:val="22"/>
          <w:szCs w:val="22"/>
          <w:shd w:val="clear" w:color="auto" w:fill="FFFFFF"/>
        </w:rPr>
      </w:pPr>
    </w:p>
    <w:p w14:paraId="1FABA936" w14:textId="751F86D7" w:rsidR="00B1560F" w:rsidRPr="00E269C5" w:rsidRDefault="00120D3D" w:rsidP="00E269C5">
      <w:pPr>
        <w:rPr>
          <w:color w:val="000000"/>
          <w:sz w:val="22"/>
          <w:szCs w:val="22"/>
          <w:shd w:val="clear" w:color="auto" w:fill="FFFFFF"/>
        </w:rPr>
      </w:pPr>
      <w:bookmarkStart w:id="1" w:name="_Hlk130307409"/>
      <w:r>
        <w:rPr>
          <w:color w:val="000000"/>
          <w:sz w:val="22"/>
          <w:szCs w:val="22"/>
          <w:shd w:val="clear" w:color="auto" w:fill="FFFFFF"/>
        </w:rPr>
        <w:t xml:space="preserve">To ensure the Code </w:t>
      </w:r>
      <w:r w:rsidR="00F62E0B">
        <w:rPr>
          <w:color w:val="000000"/>
          <w:sz w:val="22"/>
          <w:szCs w:val="22"/>
          <w:shd w:val="clear" w:color="auto" w:fill="FFFFFF"/>
        </w:rPr>
        <w:t xml:space="preserve">is fit for the nature of the Commonwealth jurisdiction, including </w:t>
      </w:r>
      <w:r w:rsidR="00B8360F">
        <w:rPr>
          <w:color w:val="000000"/>
          <w:sz w:val="22"/>
          <w:szCs w:val="22"/>
          <w:shd w:val="clear" w:color="auto" w:fill="FFFFFF"/>
        </w:rPr>
        <w:t xml:space="preserve">the requirement to use the hierarchy of controls when managing </w:t>
      </w:r>
      <w:r w:rsidR="00FE64EB">
        <w:rPr>
          <w:color w:val="000000"/>
          <w:sz w:val="22"/>
          <w:szCs w:val="22"/>
          <w:shd w:val="clear" w:color="auto" w:fill="FFFFFF"/>
        </w:rPr>
        <w:t>psychosocial</w:t>
      </w:r>
      <w:r w:rsidR="00B8360F">
        <w:rPr>
          <w:color w:val="000000"/>
          <w:sz w:val="22"/>
          <w:szCs w:val="22"/>
          <w:shd w:val="clear" w:color="auto" w:fill="FFFFFF"/>
        </w:rPr>
        <w:t xml:space="preserve"> hazards, </w:t>
      </w:r>
      <w:r w:rsidR="005F2730">
        <w:rPr>
          <w:color w:val="000000"/>
          <w:sz w:val="22"/>
          <w:szCs w:val="22"/>
          <w:shd w:val="clear" w:color="auto" w:fill="FFFFFF"/>
        </w:rPr>
        <w:t xml:space="preserve">minor </w:t>
      </w:r>
      <w:r w:rsidR="00B8360F">
        <w:rPr>
          <w:color w:val="000000"/>
          <w:sz w:val="22"/>
          <w:szCs w:val="22"/>
          <w:shd w:val="clear" w:color="auto" w:fill="FFFFFF"/>
        </w:rPr>
        <w:t xml:space="preserve">targeted departures from the model Code were </w:t>
      </w:r>
      <w:r w:rsidR="00FE64EB">
        <w:rPr>
          <w:color w:val="000000"/>
          <w:sz w:val="22"/>
          <w:szCs w:val="22"/>
          <w:shd w:val="clear" w:color="auto" w:fill="FFFFFF"/>
        </w:rPr>
        <w:t>necessary</w:t>
      </w:r>
      <w:r w:rsidR="00B8360F">
        <w:rPr>
          <w:color w:val="000000"/>
          <w:sz w:val="22"/>
          <w:szCs w:val="22"/>
          <w:shd w:val="clear" w:color="auto" w:fill="FFFFFF"/>
        </w:rPr>
        <w:t xml:space="preserve">. </w:t>
      </w:r>
      <w:r w:rsidR="00F82845">
        <w:rPr>
          <w:color w:val="000000"/>
          <w:sz w:val="22"/>
          <w:szCs w:val="22"/>
          <w:shd w:val="clear" w:color="auto" w:fill="FFFFFF"/>
        </w:rPr>
        <w:t xml:space="preserve">The </w:t>
      </w:r>
      <w:r w:rsidR="00FE64EB">
        <w:rPr>
          <w:color w:val="000000"/>
          <w:sz w:val="22"/>
          <w:szCs w:val="22"/>
          <w:shd w:val="clear" w:color="auto" w:fill="FFFFFF"/>
        </w:rPr>
        <w:t>Commonwealth</w:t>
      </w:r>
      <w:r w:rsidR="00B66B51">
        <w:rPr>
          <w:color w:val="000000"/>
          <w:sz w:val="22"/>
          <w:szCs w:val="22"/>
          <w:shd w:val="clear" w:color="auto" w:fill="FFFFFF"/>
        </w:rPr>
        <w:t xml:space="preserve"> conducted </w:t>
      </w:r>
      <w:r w:rsidR="00FE64EB">
        <w:rPr>
          <w:color w:val="000000"/>
          <w:sz w:val="22"/>
          <w:szCs w:val="22"/>
          <w:shd w:val="clear" w:color="auto" w:fill="FFFFFF"/>
        </w:rPr>
        <w:t>cons</w:t>
      </w:r>
      <w:r w:rsidR="00717D8C">
        <w:rPr>
          <w:color w:val="000000"/>
          <w:sz w:val="22"/>
          <w:szCs w:val="22"/>
          <w:shd w:val="clear" w:color="auto" w:fill="FFFFFF"/>
        </w:rPr>
        <w:t>ultation</w:t>
      </w:r>
      <w:r w:rsidR="00B66B51">
        <w:rPr>
          <w:color w:val="000000"/>
          <w:sz w:val="22"/>
          <w:szCs w:val="22"/>
          <w:shd w:val="clear" w:color="auto" w:fill="FFFFFF"/>
        </w:rPr>
        <w:t xml:space="preserve"> </w:t>
      </w:r>
      <w:bookmarkEnd w:id="1"/>
      <w:r w:rsidR="00461B09" w:rsidRPr="00E269C5">
        <w:rPr>
          <w:color w:val="000000"/>
          <w:sz w:val="22"/>
          <w:szCs w:val="22"/>
          <w:shd w:val="clear" w:color="auto" w:fill="FFFFFF"/>
        </w:rPr>
        <w:t>o</w:t>
      </w:r>
      <w:r w:rsidR="00F0793E" w:rsidRPr="00E269C5">
        <w:rPr>
          <w:color w:val="000000"/>
          <w:sz w:val="22"/>
          <w:szCs w:val="22"/>
          <w:shd w:val="clear" w:color="auto" w:fill="FFFFFF"/>
        </w:rPr>
        <w:t xml:space="preserve">n </w:t>
      </w:r>
      <w:r w:rsidR="005F2730">
        <w:rPr>
          <w:color w:val="000000"/>
          <w:sz w:val="22"/>
          <w:szCs w:val="22"/>
          <w:shd w:val="clear" w:color="auto" w:fill="FFFFFF"/>
        </w:rPr>
        <w:t xml:space="preserve">minor </w:t>
      </w:r>
      <w:r w:rsidR="00F0793E" w:rsidRPr="00E269C5">
        <w:rPr>
          <w:color w:val="000000"/>
          <w:sz w:val="22"/>
          <w:szCs w:val="22"/>
          <w:shd w:val="clear" w:color="auto" w:fill="FFFFFF"/>
        </w:rPr>
        <w:t>departures from the model</w:t>
      </w:r>
      <w:r w:rsidR="00461B09" w:rsidRPr="00E269C5">
        <w:rPr>
          <w:color w:val="000000"/>
          <w:sz w:val="22"/>
          <w:szCs w:val="22"/>
          <w:shd w:val="clear" w:color="auto" w:fill="FFFFFF"/>
        </w:rPr>
        <w:t xml:space="preserve"> Code</w:t>
      </w:r>
      <w:r w:rsidR="00472CB6" w:rsidRPr="00E269C5">
        <w:rPr>
          <w:color w:val="000000"/>
          <w:sz w:val="22"/>
          <w:szCs w:val="22"/>
          <w:shd w:val="clear" w:color="auto" w:fill="FFFFFF"/>
        </w:rPr>
        <w:t xml:space="preserve"> with</w:t>
      </w:r>
      <w:r w:rsidR="00544524" w:rsidRPr="00E269C5">
        <w:rPr>
          <w:color w:val="000000"/>
          <w:sz w:val="22"/>
          <w:szCs w:val="22"/>
          <w:shd w:val="clear" w:color="auto" w:fill="FFFFFF"/>
        </w:rPr>
        <w:t xml:space="preserve"> Commonwe</w:t>
      </w:r>
      <w:r w:rsidR="00542D27" w:rsidRPr="00E269C5">
        <w:rPr>
          <w:color w:val="000000"/>
          <w:sz w:val="22"/>
          <w:szCs w:val="22"/>
          <w:shd w:val="clear" w:color="auto" w:fill="FFFFFF"/>
        </w:rPr>
        <w:t>alth</w:t>
      </w:r>
      <w:r w:rsidR="00544524" w:rsidRPr="00E269C5">
        <w:rPr>
          <w:color w:val="000000"/>
          <w:sz w:val="22"/>
          <w:szCs w:val="22"/>
          <w:shd w:val="clear" w:color="auto" w:fill="FFFFFF"/>
        </w:rPr>
        <w:t xml:space="preserve"> stakeholders including</w:t>
      </w:r>
      <w:r w:rsidR="00472CB6" w:rsidRPr="00E269C5">
        <w:rPr>
          <w:color w:val="000000"/>
          <w:sz w:val="22"/>
          <w:szCs w:val="22"/>
          <w:shd w:val="clear" w:color="auto" w:fill="FFFFFF"/>
        </w:rPr>
        <w:t xml:space="preserve"> the Australian Council of Trade Unions, Australian Industry Group</w:t>
      </w:r>
      <w:r w:rsidR="00544524" w:rsidRPr="00E269C5">
        <w:rPr>
          <w:color w:val="000000"/>
          <w:sz w:val="22"/>
          <w:szCs w:val="22"/>
          <w:shd w:val="clear" w:color="auto" w:fill="FFFFFF"/>
        </w:rPr>
        <w:t>,</w:t>
      </w:r>
      <w:r w:rsidR="00472CB6" w:rsidRPr="00E269C5">
        <w:rPr>
          <w:color w:val="000000"/>
          <w:sz w:val="22"/>
          <w:szCs w:val="22"/>
          <w:shd w:val="clear" w:color="auto" w:fill="FFFFFF"/>
        </w:rPr>
        <w:t xml:space="preserve"> the Australian Chamber of Commerce and Industry</w:t>
      </w:r>
      <w:r w:rsidR="00544524" w:rsidRPr="00E269C5">
        <w:rPr>
          <w:color w:val="000000"/>
          <w:sz w:val="22"/>
          <w:szCs w:val="22"/>
          <w:shd w:val="clear" w:color="auto" w:fill="FFFFFF"/>
        </w:rPr>
        <w:t>,</w:t>
      </w:r>
      <w:r w:rsidR="00241CE8" w:rsidRPr="00E269C5">
        <w:rPr>
          <w:color w:val="000000"/>
          <w:sz w:val="22"/>
          <w:szCs w:val="22"/>
          <w:shd w:val="clear" w:color="auto" w:fill="FFFFFF"/>
        </w:rPr>
        <w:t xml:space="preserve"> Comcare, t</w:t>
      </w:r>
      <w:r w:rsidR="00544524" w:rsidRPr="00E269C5">
        <w:rPr>
          <w:color w:val="000000"/>
          <w:sz w:val="22"/>
          <w:szCs w:val="22"/>
          <w:shd w:val="clear" w:color="auto" w:fill="FFFFFF"/>
        </w:rPr>
        <w:t xml:space="preserve">he Department of </w:t>
      </w:r>
      <w:r w:rsidR="00245EBB" w:rsidRPr="00E269C5">
        <w:rPr>
          <w:color w:val="000000"/>
          <w:sz w:val="22"/>
          <w:szCs w:val="22"/>
          <w:shd w:val="clear" w:color="auto" w:fill="FFFFFF"/>
        </w:rPr>
        <w:t xml:space="preserve">the </w:t>
      </w:r>
      <w:r w:rsidR="00544524" w:rsidRPr="00E269C5">
        <w:rPr>
          <w:color w:val="000000"/>
          <w:sz w:val="22"/>
          <w:szCs w:val="22"/>
          <w:shd w:val="clear" w:color="auto" w:fill="FFFFFF"/>
        </w:rPr>
        <w:t>Prime Minister and Cabinet</w:t>
      </w:r>
      <w:r w:rsidR="00241CE8" w:rsidRPr="00E269C5">
        <w:rPr>
          <w:color w:val="000000"/>
          <w:sz w:val="22"/>
          <w:szCs w:val="22"/>
          <w:shd w:val="clear" w:color="auto" w:fill="FFFFFF"/>
        </w:rPr>
        <w:t>, the Australian Public Service Commission, the Attorney-Generals’ Department and the</w:t>
      </w:r>
      <w:r w:rsidR="00542D27" w:rsidRPr="00E269C5">
        <w:rPr>
          <w:color w:val="000000"/>
          <w:sz w:val="22"/>
          <w:szCs w:val="22"/>
          <w:shd w:val="clear" w:color="auto" w:fill="FFFFFF"/>
        </w:rPr>
        <w:t xml:space="preserve"> National </w:t>
      </w:r>
      <w:r w:rsidR="00FE64EB" w:rsidRPr="00E269C5">
        <w:rPr>
          <w:color w:val="000000"/>
          <w:sz w:val="22"/>
          <w:szCs w:val="22"/>
          <w:shd w:val="clear" w:color="auto" w:fill="FFFFFF"/>
        </w:rPr>
        <w:t>Indigenous</w:t>
      </w:r>
      <w:r w:rsidR="00542D27" w:rsidRPr="00E269C5">
        <w:rPr>
          <w:color w:val="000000"/>
          <w:sz w:val="22"/>
          <w:szCs w:val="22"/>
          <w:shd w:val="clear" w:color="auto" w:fill="FFFFFF"/>
        </w:rPr>
        <w:t xml:space="preserve"> Australian</w:t>
      </w:r>
      <w:r w:rsidR="00877279" w:rsidRPr="00E269C5">
        <w:rPr>
          <w:color w:val="000000"/>
          <w:sz w:val="22"/>
          <w:szCs w:val="22"/>
          <w:shd w:val="clear" w:color="auto" w:fill="FFFFFF"/>
        </w:rPr>
        <w:t>s</w:t>
      </w:r>
      <w:r w:rsidR="00542D27" w:rsidRPr="00E269C5">
        <w:rPr>
          <w:color w:val="000000"/>
          <w:sz w:val="22"/>
          <w:szCs w:val="22"/>
          <w:shd w:val="clear" w:color="auto" w:fill="FFFFFF"/>
        </w:rPr>
        <w:t xml:space="preserve"> </w:t>
      </w:r>
      <w:r w:rsidR="00811A0A" w:rsidRPr="00E269C5">
        <w:rPr>
          <w:color w:val="000000"/>
          <w:sz w:val="22"/>
          <w:szCs w:val="22"/>
          <w:shd w:val="clear" w:color="auto" w:fill="FFFFFF"/>
        </w:rPr>
        <w:t>Agency</w:t>
      </w:r>
      <w:r w:rsidR="005F2730">
        <w:rPr>
          <w:color w:val="000000"/>
          <w:sz w:val="22"/>
          <w:szCs w:val="22"/>
          <w:shd w:val="clear" w:color="auto" w:fill="FFFFFF"/>
        </w:rPr>
        <w:t xml:space="preserve"> </w:t>
      </w:r>
      <w:r w:rsidR="00811A0A" w:rsidRPr="00E269C5">
        <w:rPr>
          <w:color w:val="000000"/>
          <w:sz w:val="22"/>
          <w:szCs w:val="22"/>
          <w:shd w:val="clear" w:color="auto" w:fill="FFFFFF"/>
        </w:rPr>
        <w:t>and</w:t>
      </w:r>
      <w:r w:rsidR="008B6187" w:rsidRPr="00E269C5">
        <w:rPr>
          <w:color w:val="000000"/>
          <w:sz w:val="22"/>
          <w:szCs w:val="22"/>
          <w:shd w:val="clear" w:color="auto" w:fill="FFFFFF"/>
        </w:rPr>
        <w:t xml:space="preserve"> </w:t>
      </w:r>
      <w:r w:rsidR="006027AF">
        <w:rPr>
          <w:color w:val="000000"/>
          <w:sz w:val="22"/>
          <w:szCs w:val="22"/>
          <w:shd w:val="clear" w:color="auto" w:fill="FFFFFF"/>
        </w:rPr>
        <w:t>s</w:t>
      </w:r>
      <w:r w:rsidR="005F2730">
        <w:rPr>
          <w:color w:val="000000"/>
          <w:sz w:val="22"/>
          <w:szCs w:val="22"/>
          <w:shd w:val="clear" w:color="auto" w:fill="FFFFFF"/>
        </w:rPr>
        <w:t xml:space="preserve">tate and </w:t>
      </w:r>
      <w:r w:rsidR="006027AF">
        <w:rPr>
          <w:color w:val="000000"/>
          <w:sz w:val="22"/>
          <w:szCs w:val="22"/>
          <w:shd w:val="clear" w:color="auto" w:fill="FFFFFF"/>
        </w:rPr>
        <w:t>t</w:t>
      </w:r>
      <w:r w:rsidR="005F2730">
        <w:rPr>
          <w:color w:val="000000"/>
          <w:sz w:val="22"/>
          <w:szCs w:val="22"/>
          <w:shd w:val="clear" w:color="auto" w:fill="FFFFFF"/>
        </w:rPr>
        <w:t>erritory governments,</w:t>
      </w:r>
      <w:r w:rsidR="005F2730" w:rsidRPr="00E269C5">
        <w:rPr>
          <w:color w:val="000000"/>
          <w:sz w:val="22"/>
          <w:szCs w:val="22"/>
          <w:shd w:val="clear" w:color="auto" w:fill="FFFFFF"/>
        </w:rPr>
        <w:t xml:space="preserve"> </w:t>
      </w:r>
      <w:r w:rsidR="008B6187" w:rsidRPr="00E269C5">
        <w:rPr>
          <w:color w:val="000000"/>
          <w:sz w:val="22"/>
          <w:szCs w:val="22"/>
          <w:shd w:val="clear" w:color="auto" w:fill="FFFFFF"/>
        </w:rPr>
        <w:t>incorporat</w:t>
      </w:r>
      <w:r w:rsidR="00151ECC" w:rsidRPr="00E269C5">
        <w:rPr>
          <w:color w:val="000000"/>
          <w:sz w:val="22"/>
          <w:szCs w:val="22"/>
          <w:shd w:val="clear" w:color="auto" w:fill="FFFFFF"/>
        </w:rPr>
        <w:t>ing</w:t>
      </w:r>
      <w:r w:rsidR="008B6187" w:rsidRPr="00E269C5">
        <w:rPr>
          <w:color w:val="000000"/>
          <w:sz w:val="22"/>
          <w:szCs w:val="22"/>
          <w:shd w:val="clear" w:color="auto" w:fill="FFFFFF"/>
        </w:rPr>
        <w:t xml:space="preserve"> feedback</w:t>
      </w:r>
      <w:r w:rsidR="00151ECC" w:rsidRPr="00E269C5">
        <w:rPr>
          <w:color w:val="000000"/>
          <w:sz w:val="22"/>
          <w:szCs w:val="22"/>
          <w:shd w:val="clear" w:color="auto" w:fill="FFFFFF"/>
        </w:rPr>
        <w:t xml:space="preserve"> </w:t>
      </w:r>
      <w:r w:rsidR="00B80436" w:rsidRPr="00E269C5">
        <w:rPr>
          <w:color w:val="000000"/>
          <w:sz w:val="22"/>
          <w:szCs w:val="22"/>
          <w:shd w:val="clear" w:color="auto" w:fill="FFFFFF"/>
        </w:rPr>
        <w:t>as</w:t>
      </w:r>
      <w:r w:rsidR="00151ECC" w:rsidRPr="00E269C5">
        <w:rPr>
          <w:color w:val="000000"/>
          <w:sz w:val="22"/>
          <w:szCs w:val="22"/>
          <w:shd w:val="clear" w:color="auto" w:fill="FFFFFF"/>
        </w:rPr>
        <w:t xml:space="preserve"> appropriate</w:t>
      </w:r>
      <w:r w:rsidR="009809C0" w:rsidRPr="00E269C5">
        <w:rPr>
          <w:color w:val="000000"/>
          <w:sz w:val="22"/>
          <w:szCs w:val="22"/>
          <w:shd w:val="clear" w:color="auto" w:fill="FFFFFF"/>
        </w:rPr>
        <w:t xml:space="preserve">. </w:t>
      </w:r>
    </w:p>
    <w:p w14:paraId="1787526A" w14:textId="77777777" w:rsidR="00B1560F" w:rsidRPr="0087529C" w:rsidRDefault="00B1560F" w:rsidP="00B1560F">
      <w:pPr>
        <w:rPr>
          <w:color w:val="000000"/>
          <w:sz w:val="22"/>
          <w:szCs w:val="22"/>
          <w:shd w:val="clear" w:color="auto" w:fill="FFFFFF"/>
        </w:rPr>
      </w:pPr>
    </w:p>
    <w:p w14:paraId="3D715F29" w14:textId="77777777" w:rsidR="00B1560F" w:rsidRPr="00FA76D4" w:rsidRDefault="00B1560F" w:rsidP="00B1560F">
      <w:pPr>
        <w:rPr>
          <w:b/>
          <w:sz w:val="22"/>
          <w:szCs w:val="22"/>
        </w:rPr>
      </w:pPr>
      <w:r w:rsidRPr="00FA76D4">
        <w:rPr>
          <w:b/>
          <w:sz w:val="22"/>
          <w:szCs w:val="22"/>
        </w:rPr>
        <w:t xml:space="preserve">Incorporated documents </w:t>
      </w:r>
    </w:p>
    <w:p w14:paraId="32FE502D" w14:textId="39A6E656" w:rsidR="00BB55E4" w:rsidRDefault="00B1560F" w:rsidP="00B1560F">
      <w:pPr>
        <w:rPr>
          <w:sz w:val="22"/>
          <w:szCs w:val="22"/>
        </w:rPr>
      </w:pPr>
      <w:r w:rsidRPr="7BABC16C">
        <w:rPr>
          <w:sz w:val="22"/>
          <w:szCs w:val="22"/>
        </w:rPr>
        <w:t xml:space="preserve">Subsection 274(3) of the Act provides that approved codes of practice made under the Act may apply, </w:t>
      </w:r>
      <w:r w:rsidR="00811A0A" w:rsidRPr="7BABC16C">
        <w:rPr>
          <w:sz w:val="22"/>
          <w:szCs w:val="22"/>
        </w:rPr>
        <w:t>adopt,</w:t>
      </w:r>
      <w:r w:rsidRPr="7BABC16C">
        <w:rPr>
          <w:sz w:val="22"/>
          <w:szCs w:val="22"/>
        </w:rPr>
        <w:t xml:space="preserve"> or incorporate material from other documents in force at a particular </w:t>
      </w:r>
      <w:r w:rsidR="30A84556" w:rsidRPr="7BABC16C">
        <w:rPr>
          <w:sz w:val="22"/>
          <w:szCs w:val="22"/>
        </w:rPr>
        <w:t>t</w:t>
      </w:r>
      <w:r w:rsidRPr="7BABC16C">
        <w:rPr>
          <w:sz w:val="22"/>
          <w:szCs w:val="22"/>
        </w:rPr>
        <w:t>ime or from time</w:t>
      </w:r>
      <w:r w:rsidR="00B72BF9" w:rsidRPr="7BABC16C">
        <w:rPr>
          <w:sz w:val="22"/>
          <w:szCs w:val="22"/>
        </w:rPr>
        <w:t xml:space="preserve"> </w:t>
      </w:r>
      <w:r w:rsidRPr="7BABC16C">
        <w:rPr>
          <w:sz w:val="22"/>
          <w:szCs w:val="22"/>
        </w:rPr>
        <w:t>to</w:t>
      </w:r>
      <w:r w:rsidR="00B72BF9" w:rsidRPr="7BABC16C">
        <w:rPr>
          <w:sz w:val="22"/>
          <w:szCs w:val="22"/>
        </w:rPr>
        <w:t xml:space="preserve"> </w:t>
      </w:r>
      <w:r w:rsidRPr="7BABC16C">
        <w:rPr>
          <w:sz w:val="22"/>
          <w:szCs w:val="22"/>
        </w:rPr>
        <w:t xml:space="preserve">time. This </w:t>
      </w:r>
      <w:r w:rsidR="5CE9A229" w:rsidRPr="7BABC16C">
        <w:rPr>
          <w:sz w:val="22"/>
          <w:szCs w:val="22"/>
        </w:rPr>
        <w:t xml:space="preserve">expressly </w:t>
      </w:r>
      <w:r w:rsidRPr="7BABC16C">
        <w:rPr>
          <w:sz w:val="22"/>
          <w:szCs w:val="22"/>
        </w:rPr>
        <w:t>displaces the presumption under s</w:t>
      </w:r>
      <w:r w:rsidR="00B6733D" w:rsidRPr="7BABC16C">
        <w:rPr>
          <w:sz w:val="22"/>
          <w:szCs w:val="22"/>
        </w:rPr>
        <w:t>ubs</w:t>
      </w:r>
      <w:r w:rsidR="006802A0" w:rsidRPr="7BABC16C">
        <w:rPr>
          <w:sz w:val="22"/>
          <w:szCs w:val="22"/>
        </w:rPr>
        <w:t>ection</w:t>
      </w:r>
      <w:r w:rsidRPr="7BABC16C">
        <w:rPr>
          <w:sz w:val="22"/>
          <w:szCs w:val="22"/>
        </w:rPr>
        <w:t xml:space="preserve"> 14(2) of the Legislation Act </w:t>
      </w:r>
      <w:r w:rsidR="4F67FF07" w:rsidRPr="3C675A2F">
        <w:rPr>
          <w:sz w:val="22"/>
          <w:szCs w:val="22"/>
        </w:rPr>
        <w:t>that</w:t>
      </w:r>
      <w:r w:rsidRPr="7BABC16C">
        <w:rPr>
          <w:sz w:val="22"/>
          <w:szCs w:val="22"/>
        </w:rPr>
        <w:t xml:space="preserve"> documents </w:t>
      </w:r>
      <w:r w:rsidR="4603E6D7" w:rsidRPr="4EBBD3CC">
        <w:rPr>
          <w:sz w:val="22"/>
          <w:szCs w:val="22"/>
        </w:rPr>
        <w:t xml:space="preserve">will </w:t>
      </w:r>
      <w:r w:rsidR="7B9C2E86" w:rsidRPr="4EBBD3CC">
        <w:rPr>
          <w:sz w:val="22"/>
          <w:szCs w:val="22"/>
        </w:rPr>
        <w:t xml:space="preserve">not </w:t>
      </w:r>
      <w:r w:rsidR="2785451A" w:rsidRPr="4EBBD3CC">
        <w:rPr>
          <w:sz w:val="22"/>
          <w:szCs w:val="22"/>
        </w:rPr>
        <w:t>be</w:t>
      </w:r>
      <w:r w:rsidR="7B9C2E86" w:rsidRPr="7BABC16C">
        <w:rPr>
          <w:sz w:val="22"/>
          <w:szCs w:val="22"/>
        </w:rPr>
        <w:t xml:space="preserve"> </w:t>
      </w:r>
      <w:r w:rsidRPr="7BABC16C">
        <w:rPr>
          <w:sz w:val="22"/>
          <w:szCs w:val="22"/>
        </w:rPr>
        <w:t>incorporated from time</w:t>
      </w:r>
      <w:r w:rsidR="004E57DB" w:rsidRPr="7BABC16C">
        <w:rPr>
          <w:sz w:val="22"/>
          <w:szCs w:val="22"/>
        </w:rPr>
        <w:t xml:space="preserve"> </w:t>
      </w:r>
      <w:r w:rsidRPr="7BABC16C">
        <w:rPr>
          <w:sz w:val="22"/>
          <w:szCs w:val="22"/>
        </w:rPr>
        <w:t>to</w:t>
      </w:r>
      <w:r w:rsidR="004E57DB" w:rsidRPr="7BABC16C">
        <w:rPr>
          <w:sz w:val="22"/>
          <w:szCs w:val="22"/>
        </w:rPr>
        <w:t xml:space="preserve"> </w:t>
      </w:r>
      <w:r w:rsidRPr="7BABC16C">
        <w:rPr>
          <w:sz w:val="22"/>
          <w:szCs w:val="22"/>
        </w:rPr>
        <w:t xml:space="preserve">time. </w:t>
      </w:r>
    </w:p>
    <w:p w14:paraId="542E8EBB" w14:textId="77777777" w:rsidR="00BB55E4" w:rsidRDefault="00BB55E4" w:rsidP="00B1560F">
      <w:pPr>
        <w:rPr>
          <w:sz w:val="22"/>
          <w:szCs w:val="22"/>
        </w:rPr>
      </w:pPr>
    </w:p>
    <w:p w14:paraId="415C79A4" w14:textId="5499DA5C" w:rsidR="00B1560F" w:rsidRPr="00FA76D4" w:rsidRDefault="00B1560F" w:rsidP="00B1560F">
      <w:pPr>
        <w:rPr>
          <w:sz w:val="22"/>
          <w:szCs w:val="22"/>
        </w:rPr>
      </w:pPr>
      <w:r w:rsidRPr="00FA76D4">
        <w:rPr>
          <w:sz w:val="22"/>
          <w:szCs w:val="22"/>
        </w:rPr>
        <w:t xml:space="preserve">The Code references a number of other documents to provide guidance to readers about where to find additional information on particular hazards and risks. </w:t>
      </w:r>
      <w:r w:rsidRPr="00BB55E4">
        <w:rPr>
          <w:sz w:val="22"/>
          <w:szCs w:val="22"/>
        </w:rPr>
        <w:t>These include other codes of practice</w:t>
      </w:r>
      <w:r w:rsidR="00A1488B" w:rsidRPr="00BB55E4">
        <w:rPr>
          <w:sz w:val="22"/>
          <w:szCs w:val="22"/>
        </w:rPr>
        <w:t xml:space="preserve"> approved under the Act</w:t>
      </w:r>
      <w:r w:rsidRPr="00BB55E4">
        <w:rPr>
          <w:sz w:val="22"/>
          <w:szCs w:val="22"/>
        </w:rPr>
        <w:t xml:space="preserve"> and guidance material developed by </w:t>
      </w:r>
      <w:r w:rsidR="001A54ED">
        <w:rPr>
          <w:sz w:val="22"/>
          <w:szCs w:val="22"/>
        </w:rPr>
        <w:t>SWA</w:t>
      </w:r>
      <w:r w:rsidRPr="00BB55E4">
        <w:rPr>
          <w:sz w:val="22"/>
          <w:szCs w:val="22"/>
        </w:rPr>
        <w:t>.</w:t>
      </w:r>
      <w:r w:rsidRPr="00FA76D4">
        <w:rPr>
          <w:sz w:val="22"/>
          <w:szCs w:val="22"/>
        </w:rPr>
        <w:t xml:space="preserve"> </w:t>
      </w:r>
    </w:p>
    <w:p w14:paraId="13B368F0" w14:textId="77777777" w:rsidR="00B1560F" w:rsidRPr="00FA76D4" w:rsidRDefault="00B1560F" w:rsidP="00B1560F">
      <w:pPr>
        <w:rPr>
          <w:sz w:val="22"/>
          <w:szCs w:val="22"/>
        </w:rPr>
      </w:pPr>
    </w:p>
    <w:p w14:paraId="3C18CE60" w14:textId="2A1B590C" w:rsidR="00B1560F" w:rsidRPr="00FA76D4" w:rsidRDefault="00C44ADC" w:rsidP="00B1560F">
      <w:pPr>
        <w:rPr>
          <w:sz w:val="22"/>
          <w:szCs w:val="22"/>
        </w:rPr>
      </w:pPr>
      <w:r>
        <w:rPr>
          <w:sz w:val="22"/>
          <w:szCs w:val="22"/>
        </w:rPr>
        <w:t>U</w:t>
      </w:r>
      <w:r w:rsidR="00B1560F" w:rsidRPr="00FA76D4">
        <w:rPr>
          <w:sz w:val="22"/>
          <w:szCs w:val="22"/>
        </w:rPr>
        <w:t xml:space="preserve">nder </w:t>
      </w:r>
      <w:r w:rsidR="00B6733D">
        <w:rPr>
          <w:sz w:val="22"/>
          <w:szCs w:val="22"/>
        </w:rPr>
        <w:t>par</w:t>
      </w:r>
      <w:r w:rsidR="00B22584">
        <w:rPr>
          <w:sz w:val="22"/>
          <w:szCs w:val="22"/>
        </w:rPr>
        <w:t>a</w:t>
      </w:r>
      <w:r w:rsidR="00B6733D">
        <w:rPr>
          <w:sz w:val="22"/>
          <w:szCs w:val="22"/>
        </w:rPr>
        <w:t>grap</w:t>
      </w:r>
      <w:r w:rsidR="00B22584">
        <w:rPr>
          <w:sz w:val="22"/>
          <w:szCs w:val="22"/>
        </w:rPr>
        <w:t>h</w:t>
      </w:r>
      <w:r w:rsidR="00B1560F" w:rsidRPr="00FA76D4">
        <w:rPr>
          <w:sz w:val="22"/>
          <w:szCs w:val="22"/>
        </w:rPr>
        <w:t xml:space="preserve"> 273B(1)(d) of the Act</w:t>
      </w:r>
      <w:r>
        <w:rPr>
          <w:sz w:val="22"/>
          <w:szCs w:val="22"/>
        </w:rPr>
        <w:t xml:space="preserve">, </w:t>
      </w:r>
      <w:r w:rsidR="00AA5F43">
        <w:rPr>
          <w:sz w:val="22"/>
          <w:szCs w:val="22"/>
        </w:rPr>
        <w:t xml:space="preserve">these approved codes of practice are </w:t>
      </w:r>
      <w:r w:rsidR="00B1560F" w:rsidRPr="00FA76D4">
        <w:rPr>
          <w:sz w:val="22"/>
          <w:szCs w:val="22"/>
        </w:rPr>
        <w:t>legislative instrument</w:t>
      </w:r>
      <w:r w:rsidR="00AA5F43">
        <w:rPr>
          <w:sz w:val="22"/>
          <w:szCs w:val="22"/>
        </w:rPr>
        <w:t>s</w:t>
      </w:r>
      <w:r w:rsidR="00B1560F" w:rsidRPr="00FA76D4">
        <w:rPr>
          <w:sz w:val="22"/>
          <w:szCs w:val="22"/>
        </w:rPr>
        <w:t xml:space="preserve"> and </w:t>
      </w:r>
      <w:r w:rsidR="00AA5F43">
        <w:rPr>
          <w:sz w:val="22"/>
          <w:szCs w:val="22"/>
        </w:rPr>
        <w:t xml:space="preserve">are </w:t>
      </w:r>
      <w:r w:rsidR="00B1560F" w:rsidRPr="00FA76D4">
        <w:rPr>
          <w:sz w:val="22"/>
          <w:szCs w:val="22"/>
        </w:rPr>
        <w:t>available on the Federal Register of Legislation</w:t>
      </w:r>
      <w:r w:rsidR="005E2EA1">
        <w:rPr>
          <w:sz w:val="22"/>
          <w:szCs w:val="22"/>
        </w:rPr>
        <w:t xml:space="preserve"> and on the </w:t>
      </w:r>
      <w:r w:rsidR="00787913">
        <w:rPr>
          <w:sz w:val="22"/>
          <w:szCs w:val="22"/>
        </w:rPr>
        <w:t>website of the Commonwealth WHS regulator, Comcare</w:t>
      </w:r>
      <w:r w:rsidR="0057393F">
        <w:rPr>
          <w:sz w:val="22"/>
          <w:szCs w:val="22"/>
        </w:rPr>
        <w:t xml:space="preserve"> at </w:t>
      </w:r>
      <w:r w:rsidR="001C30F5" w:rsidRPr="00E37E3D">
        <w:rPr>
          <w:sz w:val="22"/>
          <w:szCs w:val="22"/>
        </w:rPr>
        <w:t>www.comcare.gov.au/scheme-legislation/whs-act/codes-of-practice</w:t>
      </w:r>
      <w:r w:rsidR="00B1560F" w:rsidRPr="00FA76D4">
        <w:rPr>
          <w:sz w:val="22"/>
          <w:szCs w:val="22"/>
        </w:rPr>
        <w:t xml:space="preserve">. </w:t>
      </w:r>
      <w:r w:rsidR="00B1560F" w:rsidRPr="000904D9">
        <w:rPr>
          <w:sz w:val="22"/>
          <w:szCs w:val="22"/>
        </w:rPr>
        <w:t>As legislative instruments, these codes of practice are</w:t>
      </w:r>
      <w:r w:rsidR="006A17C1" w:rsidRPr="000904D9">
        <w:rPr>
          <w:sz w:val="22"/>
          <w:szCs w:val="22"/>
        </w:rPr>
        <w:t xml:space="preserve"> </w:t>
      </w:r>
      <w:r w:rsidR="00B1560F" w:rsidRPr="000904D9">
        <w:rPr>
          <w:sz w:val="22"/>
          <w:szCs w:val="22"/>
        </w:rPr>
        <w:t>incorporated</w:t>
      </w:r>
      <w:r w:rsidR="000904D9">
        <w:rPr>
          <w:sz w:val="22"/>
          <w:szCs w:val="22"/>
        </w:rPr>
        <w:t xml:space="preserve"> as in force</w:t>
      </w:r>
      <w:r w:rsidR="00B1560F" w:rsidRPr="000904D9">
        <w:rPr>
          <w:sz w:val="22"/>
          <w:szCs w:val="22"/>
        </w:rPr>
        <w:t xml:space="preserve"> from time-to-time.</w:t>
      </w:r>
    </w:p>
    <w:p w14:paraId="1EB20155" w14:textId="77777777" w:rsidR="00B1560F" w:rsidRPr="00FA76D4" w:rsidRDefault="00B1560F" w:rsidP="00B1560F">
      <w:pPr>
        <w:keepNext/>
        <w:keepLines/>
        <w:rPr>
          <w:sz w:val="22"/>
          <w:szCs w:val="22"/>
        </w:rPr>
      </w:pPr>
    </w:p>
    <w:p w14:paraId="1A0A8315" w14:textId="77777777" w:rsidR="005C3D9D" w:rsidRPr="0087529C" w:rsidRDefault="005C3D9D" w:rsidP="00E4558B">
      <w:pPr>
        <w:pStyle w:val="xmsonormal"/>
        <w:keepNext/>
        <w:keepLines/>
        <w:rPr>
          <w:rFonts w:ascii="Times New Roman" w:hAnsi="Times New Roman" w:cs="Times New Roman"/>
          <w:b/>
          <w:bCs/>
        </w:rPr>
      </w:pPr>
      <w:r w:rsidRPr="0087529C">
        <w:rPr>
          <w:rFonts w:ascii="Times New Roman" w:hAnsi="Times New Roman" w:cs="Times New Roman"/>
          <w:b/>
          <w:bCs/>
        </w:rPr>
        <w:t>Sunsetting</w:t>
      </w:r>
    </w:p>
    <w:p w14:paraId="1E60373C" w14:textId="54AACCE0" w:rsidR="005C3D9D" w:rsidRPr="0087529C" w:rsidRDefault="005C3D9D" w:rsidP="00E4558B">
      <w:pPr>
        <w:pStyle w:val="xmsonormal"/>
        <w:keepNext/>
        <w:keepLines/>
        <w:rPr>
          <w:rFonts w:ascii="Times New Roman" w:hAnsi="Times New Roman" w:cs="Times New Roman"/>
        </w:rPr>
      </w:pPr>
      <w:bookmarkStart w:id="2" w:name="_Hlk131500329"/>
      <w:r w:rsidRPr="0087529C">
        <w:rPr>
          <w:rFonts w:ascii="Times New Roman" w:hAnsi="Times New Roman" w:cs="Times New Roman"/>
        </w:rPr>
        <w:t xml:space="preserve">The </w:t>
      </w:r>
      <w:r w:rsidRPr="0087529C">
        <w:rPr>
          <w:rFonts w:ascii="Times New Roman" w:hAnsi="Times New Roman" w:cs="Times New Roman"/>
          <w:i/>
          <w:iCs/>
        </w:rPr>
        <w:t>Legislation (Exemptions and Other Matters) Regulation 2015</w:t>
      </w:r>
      <w:r w:rsidRPr="0087529C">
        <w:rPr>
          <w:rFonts w:ascii="Times New Roman" w:hAnsi="Times New Roman" w:cs="Times New Roman"/>
        </w:rPr>
        <w:t xml:space="preserve"> at </w:t>
      </w:r>
      <w:r w:rsidR="00DE7B22">
        <w:rPr>
          <w:rFonts w:ascii="Times New Roman" w:hAnsi="Times New Roman" w:cs="Times New Roman"/>
        </w:rPr>
        <w:t>section</w:t>
      </w:r>
      <w:r w:rsidRPr="0087529C">
        <w:rPr>
          <w:rFonts w:ascii="Times New Roman" w:hAnsi="Times New Roman" w:cs="Times New Roman"/>
        </w:rPr>
        <w:t xml:space="preserve"> 12</w:t>
      </w:r>
      <w:bookmarkEnd w:id="2"/>
      <w:r w:rsidRPr="0087529C">
        <w:rPr>
          <w:rFonts w:ascii="Times New Roman" w:hAnsi="Times New Roman" w:cs="Times New Roman"/>
        </w:rPr>
        <w:t xml:space="preserve">, item 68, provides that an instrument made under subsection 274(1) of the Act is a legislative instrument that is not subject to sunsetting. The </w:t>
      </w:r>
      <w:r w:rsidR="006D6C27" w:rsidRPr="00FA76D4">
        <w:rPr>
          <w:rFonts w:ascii="Times New Roman" w:hAnsi="Times New Roman" w:cs="Times New Roman"/>
        </w:rPr>
        <w:t>Code</w:t>
      </w:r>
      <w:r w:rsidRPr="0087529C">
        <w:rPr>
          <w:rFonts w:ascii="Times New Roman" w:hAnsi="Times New Roman" w:cs="Times New Roman"/>
        </w:rPr>
        <w:t xml:space="preserve"> is a legislative instrument made under s</w:t>
      </w:r>
      <w:r w:rsidR="00B22584">
        <w:rPr>
          <w:rFonts w:ascii="Times New Roman" w:hAnsi="Times New Roman" w:cs="Times New Roman"/>
        </w:rPr>
        <w:t>ubsection</w:t>
      </w:r>
      <w:r w:rsidRPr="0087529C">
        <w:rPr>
          <w:rFonts w:ascii="Times New Roman" w:hAnsi="Times New Roman" w:cs="Times New Roman"/>
        </w:rPr>
        <w:t xml:space="preserve"> 274(1) of the Act and is therefore exempt. </w:t>
      </w:r>
    </w:p>
    <w:p w14:paraId="6C33AD3F" w14:textId="0574EB4E" w:rsidR="005C3D9D" w:rsidRPr="0087529C" w:rsidRDefault="005C3D9D" w:rsidP="005C3D9D">
      <w:pPr>
        <w:pStyle w:val="xmsonormal"/>
        <w:rPr>
          <w:rFonts w:ascii="Times New Roman" w:hAnsi="Times New Roman" w:cs="Times New Roman"/>
        </w:rPr>
      </w:pPr>
    </w:p>
    <w:p w14:paraId="158A296C" w14:textId="6D4CB625" w:rsidR="005C3D9D" w:rsidRPr="0087529C" w:rsidRDefault="005C3D9D" w:rsidP="005C3D9D">
      <w:pPr>
        <w:pStyle w:val="xmsonormal"/>
        <w:rPr>
          <w:rFonts w:ascii="Times New Roman" w:hAnsi="Times New Roman" w:cs="Times New Roman"/>
        </w:rPr>
      </w:pPr>
      <w:r w:rsidRPr="0087529C">
        <w:rPr>
          <w:rFonts w:ascii="Times New Roman" w:hAnsi="Times New Roman" w:cs="Times New Roman"/>
        </w:rPr>
        <w:t xml:space="preserve">Commonwealth approved codes of practice are exempt from sunsetting because they form part of an intergovernmental scheme for a </w:t>
      </w:r>
      <w:r w:rsidR="00DE7900">
        <w:rPr>
          <w:rFonts w:ascii="Times New Roman" w:hAnsi="Times New Roman" w:cs="Times New Roman"/>
        </w:rPr>
        <w:t>national</w:t>
      </w:r>
      <w:r w:rsidR="00C55CA5">
        <w:rPr>
          <w:rFonts w:ascii="Times New Roman" w:hAnsi="Times New Roman" w:cs="Times New Roman"/>
        </w:rPr>
        <w:t>ly consistent</w:t>
      </w:r>
      <w:r w:rsidR="00DE7900">
        <w:rPr>
          <w:rFonts w:ascii="Times New Roman" w:hAnsi="Times New Roman" w:cs="Times New Roman"/>
        </w:rPr>
        <w:t xml:space="preserve"> </w:t>
      </w:r>
      <w:r w:rsidRPr="0087529C">
        <w:rPr>
          <w:rFonts w:ascii="Times New Roman" w:hAnsi="Times New Roman" w:cs="Times New Roman"/>
        </w:rPr>
        <w:t xml:space="preserve">framework to secure the health and safety of workers and workplaces. </w:t>
      </w:r>
      <w:r w:rsidR="00FC6575" w:rsidRPr="00FC6575">
        <w:rPr>
          <w:rFonts w:ascii="Times New Roman" w:hAnsi="Times New Roman" w:cs="Times New Roman"/>
        </w:rPr>
        <w:t xml:space="preserve">They are part of a system of nationally harmonised WHS laws. </w:t>
      </w:r>
      <w:r w:rsidRPr="0087529C">
        <w:rPr>
          <w:rFonts w:ascii="Times New Roman" w:hAnsi="Times New Roman" w:cs="Times New Roman"/>
        </w:rPr>
        <w:t xml:space="preserve">As such, the codes </w:t>
      </w:r>
      <w:r w:rsidR="00641234">
        <w:rPr>
          <w:rFonts w:ascii="Times New Roman" w:hAnsi="Times New Roman" w:cs="Times New Roman"/>
        </w:rPr>
        <w:t xml:space="preserve">of practice </w:t>
      </w:r>
      <w:r w:rsidRPr="0087529C">
        <w:rPr>
          <w:rFonts w:ascii="Times New Roman" w:hAnsi="Times New Roman" w:cs="Times New Roman"/>
        </w:rPr>
        <w:t xml:space="preserve">form part of an intergovernmental scheme and it is appropriate to exempt them from sunsetting. </w:t>
      </w:r>
    </w:p>
    <w:p w14:paraId="7063DE7C" w14:textId="7429D0AA" w:rsidR="005C3D9D" w:rsidRDefault="005C3D9D" w:rsidP="005C3D9D">
      <w:pPr>
        <w:pStyle w:val="xmsonormal"/>
        <w:rPr>
          <w:rFonts w:ascii="Times New Roman" w:hAnsi="Times New Roman" w:cs="Times New Roman"/>
        </w:rPr>
      </w:pPr>
      <w:r w:rsidRPr="0087529C">
        <w:rPr>
          <w:rFonts w:ascii="Times New Roman" w:hAnsi="Times New Roman" w:cs="Times New Roman"/>
        </w:rPr>
        <w:lastRenderedPageBreak/>
        <w:t> </w:t>
      </w:r>
    </w:p>
    <w:p w14:paraId="15D5C52A" w14:textId="77777777" w:rsidR="000323AE" w:rsidRPr="0087529C" w:rsidRDefault="000323AE" w:rsidP="005C3D9D">
      <w:pPr>
        <w:pStyle w:val="xmsonormal"/>
        <w:rPr>
          <w:rFonts w:ascii="Times New Roman" w:hAnsi="Times New Roman" w:cs="Times New Roman"/>
        </w:rPr>
      </w:pPr>
    </w:p>
    <w:p w14:paraId="20AB15A2" w14:textId="7FD9C412" w:rsidR="00B1560F" w:rsidRPr="00FA76D4" w:rsidRDefault="00B1560F" w:rsidP="00B1560F">
      <w:pPr>
        <w:rPr>
          <w:b/>
          <w:sz w:val="22"/>
          <w:szCs w:val="22"/>
        </w:rPr>
      </w:pPr>
      <w:r w:rsidRPr="00FA76D4">
        <w:rPr>
          <w:b/>
          <w:sz w:val="22"/>
          <w:szCs w:val="22"/>
        </w:rPr>
        <w:t xml:space="preserve">Regulation Impact Statement and other matters </w:t>
      </w:r>
    </w:p>
    <w:p w14:paraId="5E69A46E" w14:textId="59200D29" w:rsidR="00B1560F" w:rsidRPr="00FA76D4" w:rsidRDefault="00B1560F" w:rsidP="00B1560F">
      <w:pPr>
        <w:rPr>
          <w:sz w:val="22"/>
          <w:szCs w:val="22"/>
        </w:rPr>
      </w:pPr>
      <w:r w:rsidRPr="00FA76D4">
        <w:rPr>
          <w:sz w:val="22"/>
          <w:szCs w:val="22"/>
        </w:rPr>
        <w:t xml:space="preserve">The Office of </w:t>
      </w:r>
      <w:r w:rsidR="00E41CF7" w:rsidRPr="00FA76D4">
        <w:rPr>
          <w:sz w:val="22"/>
          <w:szCs w:val="22"/>
        </w:rPr>
        <w:t>Impact Analysis</w:t>
      </w:r>
      <w:r w:rsidRPr="00FA76D4">
        <w:rPr>
          <w:sz w:val="22"/>
          <w:szCs w:val="22"/>
        </w:rPr>
        <w:t xml:space="preserve"> advised that a Regulation Impact Statement was not required to implement the Code in the Commonwealth jurisdiction (</w:t>
      </w:r>
      <w:r w:rsidR="57186104" w:rsidRPr="00F33301">
        <w:rPr>
          <w:rFonts w:eastAsia="Calibri"/>
          <w:sz w:val="22"/>
          <w:szCs w:val="22"/>
        </w:rPr>
        <w:t>OIA25-09276</w:t>
      </w:r>
      <w:r w:rsidR="5D598013" w:rsidRPr="00F33301">
        <w:rPr>
          <w:sz w:val="22"/>
          <w:szCs w:val="22"/>
        </w:rPr>
        <w:t>)</w:t>
      </w:r>
      <w:r w:rsidRPr="27CD2EC9">
        <w:rPr>
          <w:sz w:val="22"/>
          <w:szCs w:val="22"/>
        </w:rPr>
        <w:t>.</w:t>
      </w:r>
      <w:r w:rsidRPr="00FA76D4">
        <w:rPr>
          <w:sz w:val="22"/>
          <w:szCs w:val="22"/>
        </w:rPr>
        <w:t xml:space="preserve"> </w:t>
      </w:r>
    </w:p>
    <w:p w14:paraId="15D5F77A" w14:textId="77777777" w:rsidR="00B1560F" w:rsidRPr="00FA76D4" w:rsidRDefault="00B1560F" w:rsidP="00B1560F">
      <w:pPr>
        <w:rPr>
          <w:sz w:val="22"/>
          <w:szCs w:val="22"/>
        </w:rPr>
      </w:pPr>
    </w:p>
    <w:p w14:paraId="4C83C781" w14:textId="3E31CF1A" w:rsidR="00B1560F" w:rsidRPr="00FA76D4" w:rsidRDefault="00B1560F" w:rsidP="00B1560F">
      <w:pPr>
        <w:rPr>
          <w:sz w:val="22"/>
          <w:szCs w:val="22"/>
        </w:rPr>
      </w:pPr>
      <w:r w:rsidRPr="00FA76D4">
        <w:rPr>
          <w:sz w:val="22"/>
          <w:szCs w:val="22"/>
        </w:rPr>
        <w:t xml:space="preserve">A Statement of Compatibility with Human Rights has been completed for this Legislative Instrument, in accordance with the </w:t>
      </w:r>
      <w:r w:rsidRPr="00FA76D4">
        <w:rPr>
          <w:i/>
          <w:sz w:val="22"/>
          <w:szCs w:val="22"/>
        </w:rPr>
        <w:t>Human Rights (Parliamentary Scrutiny) Act 2011</w:t>
      </w:r>
      <w:r w:rsidRPr="00FA76D4">
        <w:rPr>
          <w:sz w:val="22"/>
          <w:szCs w:val="22"/>
        </w:rPr>
        <w:t xml:space="preserve">. The Statement’s assessment is that the instrument is compatible with human rights. A copy of the Statement is attached. </w:t>
      </w:r>
    </w:p>
    <w:p w14:paraId="768984F0" w14:textId="77777777" w:rsidR="00B1560F" w:rsidRPr="00FA76D4" w:rsidRDefault="00B1560F" w:rsidP="00B1560F">
      <w:pPr>
        <w:rPr>
          <w:sz w:val="22"/>
          <w:szCs w:val="22"/>
        </w:rPr>
      </w:pPr>
    </w:p>
    <w:p w14:paraId="14BDECAB" w14:textId="24C15F6F" w:rsidR="00B1560F" w:rsidRPr="00FA76D4" w:rsidRDefault="00B1560F" w:rsidP="00B1560F">
      <w:pPr>
        <w:rPr>
          <w:sz w:val="22"/>
          <w:szCs w:val="22"/>
        </w:rPr>
      </w:pPr>
      <w:r w:rsidRPr="00FA76D4">
        <w:rPr>
          <w:sz w:val="22"/>
          <w:szCs w:val="22"/>
        </w:rPr>
        <w:t xml:space="preserve">In accordance with the Act, the Minister </w:t>
      </w:r>
      <w:r w:rsidR="00864395">
        <w:rPr>
          <w:sz w:val="22"/>
          <w:szCs w:val="22"/>
        </w:rPr>
        <w:t>is required to</w:t>
      </w:r>
      <w:r w:rsidR="00B34257" w:rsidRPr="00FA76D4">
        <w:rPr>
          <w:sz w:val="22"/>
          <w:szCs w:val="22"/>
        </w:rPr>
        <w:t xml:space="preserve"> </w:t>
      </w:r>
      <w:r w:rsidR="003029E9" w:rsidRPr="00FA76D4">
        <w:rPr>
          <w:sz w:val="22"/>
          <w:szCs w:val="22"/>
        </w:rPr>
        <w:t>notif</w:t>
      </w:r>
      <w:r w:rsidR="003029E9">
        <w:rPr>
          <w:sz w:val="22"/>
          <w:szCs w:val="22"/>
        </w:rPr>
        <w:t>y</w:t>
      </w:r>
      <w:r w:rsidR="003029E9" w:rsidRPr="00FA76D4">
        <w:rPr>
          <w:sz w:val="22"/>
          <w:szCs w:val="22"/>
        </w:rPr>
        <w:t xml:space="preserve"> </w:t>
      </w:r>
      <w:r w:rsidRPr="00FA76D4">
        <w:rPr>
          <w:sz w:val="22"/>
          <w:szCs w:val="22"/>
        </w:rPr>
        <w:t>the approval of the Code in newspapers</w:t>
      </w:r>
      <w:r w:rsidR="00F21DB0">
        <w:rPr>
          <w:sz w:val="22"/>
          <w:szCs w:val="22"/>
        </w:rPr>
        <w:t>.</w:t>
      </w:r>
      <w:r w:rsidRPr="00FA76D4">
        <w:rPr>
          <w:sz w:val="22"/>
          <w:szCs w:val="22"/>
        </w:rPr>
        <w:t xml:space="preserve"> </w:t>
      </w:r>
      <w:r w:rsidR="00F21DB0">
        <w:rPr>
          <w:sz w:val="22"/>
          <w:szCs w:val="22"/>
        </w:rPr>
        <w:t>C</w:t>
      </w:r>
      <w:r w:rsidRPr="00FA76D4">
        <w:rPr>
          <w:sz w:val="22"/>
          <w:szCs w:val="22"/>
        </w:rPr>
        <w:t xml:space="preserve">opies of the Code (and applied, </w:t>
      </w:r>
      <w:r w:rsidR="00811A0A" w:rsidRPr="00FA76D4">
        <w:rPr>
          <w:sz w:val="22"/>
          <w:szCs w:val="22"/>
        </w:rPr>
        <w:t>adopted,</w:t>
      </w:r>
      <w:r w:rsidRPr="00FA76D4">
        <w:rPr>
          <w:sz w:val="22"/>
          <w:szCs w:val="22"/>
        </w:rPr>
        <w:t xml:space="preserve"> and incorporated documents) are available for inspection, without charge, at Comcare offices during normal business hours. Copies are also published on the Comcare website</w:t>
      </w:r>
      <w:r w:rsidR="004E3EC6">
        <w:rPr>
          <w:sz w:val="22"/>
          <w:szCs w:val="22"/>
        </w:rPr>
        <w:t xml:space="preserve"> </w:t>
      </w:r>
      <w:r w:rsidR="004E3EC6" w:rsidRPr="00F33301">
        <w:rPr>
          <w:sz w:val="22"/>
          <w:szCs w:val="22"/>
        </w:rPr>
        <w:t>www.comcare.gov.au</w:t>
      </w:r>
      <w:r w:rsidR="0041227A">
        <w:rPr>
          <w:sz w:val="22"/>
          <w:szCs w:val="22"/>
        </w:rPr>
        <w:t>/</w:t>
      </w:r>
      <w:r w:rsidR="0041227A" w:rsidRPr="00E37E3D">
        <w:rPr>
          <w:sz w:val="22"/>
          <w:szCs w:val="22"/>
        </w:rPr>
        <w:t>scheme-legislation/whs-act/codes-of-practice</w:t>
      </w:r>
      <w:r w:rsidRPr="00F33301">
        <w:rPr>
          <w:rFonts w:asciiTheme="minorHAnsi" w:eastAsiaTheme="minorEastAsia" w:hAnsiTheme="minorHAnsi" w:cstheme="minorBidi"/>
          <w:sz w:val="22"/>
          <w:szCs w:val="22"/>
        </w:rPr>
        <w:t xml:space="preserve">.  </w:t>
      </w:r>
    </w:p>
    <w:p w14:paraId="552D0ACD" w14:textId="77777777" w:rsidR="00B1560F" w:rsidRPr="00FA76D4" w:rsidRDefault="00B1560F" w:rsidP="00B1560F">
      <w:pPr>
        <w:rPr>
          <w:sz w:val="22"/>
          <w:szCs w:val="22"/>
        </w:rPr>
      </w:pPr>
    </w:p>
    <w:p w14:paraId="3C043A88" w14:textId="7A7FF6FC" w:rsidR="00B1560F" w:rsidRPr="00FA76D4" w:rsidRDefault="00B1560F" w:rsidP="00B1560F">
      <w:pPr>
        <w:rPr>
          <w:sz w:val="22"/>
          <w:szCs w:val="22"/>
        </w:rPr>
      </w:pPr>
      <w:r w:rsidRPr="007E4329">
        <w:rPr>
          <w:sz w:val="22"/>
          <w:szCs w:val="22"/>
        </w:rPr>
        <w:t xml:space="preserve">The Code commences on </w:t>
      </w:r>
      <w:r w:rsidR="003C20CE" w:rsidRPr="007E4329">
        <w:rPr>
          <w:sz w:val="22"/>
          <w:szCs w:val="22"/>
        </w:rPr>
        <w:t>the day after registration on the Federal Register of Legislation</w:t>
      </w:r>
      <w:r w:rsidR="00472C6C" w:rsidRPr="007E4329">
        <w:rPr>
          <w:sz w:val="22"/>
          <w:szCs w:val="22"/>
        </w:rPr>
        <w:t>.</w:t>
      </w:r>
      <w:r w:rsidRPr="00FA76D4">
        <w:rPr>
          <w:sz w:val="22"/>
          <w:szCs w:val="22"/>
        </w:rPr>
        <w:t xml:space="preserve"> </w:t>
      </w:r>
    </w:p>
    <w:p w14:paraId="09464801" w14:textId="77777777" w:rsidR="00B1560F" w:rsidRPr="00FA76D4" w:rsidRDefault="00B1560F" w:rsidP="00B1560F">
      <w:pPr>
        <w:rPr>
          <w:sz w:val="22"/>
          <w:szCs w:val="22"/>
        </w:rPr>
        <w:sectPr w:rsidR="00B1560F" w:rsidRPr="00FA76D4">
          <w:headerReference w:type="default" r:id="rId7"/>
          <w:footerReference w:type="default" r:id="rId8"/>
          <w:pgSz w:w="11906" w:h="16838"/>
          <w:pgMar w:top="1440" w:right="1440" w:bottom="1440" w:left="1440" w:header="708" w:footer="708" w:gutter="0"/>
          <w:cols w:space="708"/>
          <w:docGrid w:linePitch="360"/>
        </w:sectPr>
      </w:pPr>
    </w:p>
    <w:p w14:paraId="6845049C" w14:textId="77777777" w:rsidR="00B1560F" w:rsidRPr="00FA76D4" w:rsidRDefault="00B1560F" w:rsidP="00B1560F">
      <w:pPr>
        <w:spacing w:after="120"/>
        <w:jc w:val="center"/>
        <w:rPr>
          <w:b/>
          <w:sz w:val="22"/>
          <w:szCs w:val="22"/>
        </w:rPr>
      </w:pPr>
      <w:r w:rsidRPr="00FA76D4">
        <w:rPr>
          <w:b/>
          <w:sz w:val="22"/>
          <w:szCs w:val="22"/>
        </w:rPr>
        <w:lastRenderedPageBreak/>
        <w:t xml:space="preserve">Statement of Compatibility with Human Rights </w:t>
      </w:r>
    </w:p>
    <w:p w14:paraId="3ACEC1FE" w14:textId="77777777" w:rsidR="00B1560F" w:rsidRPr="00FA76D4" w:rsidRDefault="00B1560F" w:rsidP="00B1560F">
      <w:pPr>
        <w:spacing w:after="120"/>
        <w:jc w:val="center"/>
        <w:rPr>
          <w:i/>
          <w:sz w:val="22"/>
          <w:szCs w:val="22"/>
        </w:rPr>
      </w:pPr>
      <w:r w:rsidRPr="00FA76D4">
        <w:rPr>
          <w:i/>
          <w:sz w:val="22"/>
          <w:szCs w:val="22"/>
        </w:rPr>
        <w:t>Prepared in accordance with Part 3 of the Human Rights (Parliamentary Scrutiny) Act 2011</w:t>
      </w:r>
    </w:p>
    <w:p w14:paraId="5B32D44D" w14:textId="2ADE75BA" w:rsidR="00B1560F" w:rsidRPr="00FA76D4" w:rsidRDefault="00DE4FB9" w:rsidP="00B1560F">
      <w:pPr>
        <w:jc w:val="center"/>
        <w:rPr>
          <w:sz w:val="22"/>
          <w:szCs w:val="22"/>
        </w:rPr>
      </w:pPr>
      <w:r w:rsidRPr="00FA76D4">
        <w:rPr>
          <w:b/>
          <w:i/>
          <w:sz w:val="22"/>
          <w:szCs w:val="22"/>
        </w:rPr>
        <w:t>Work Health and Safety (</w:t>
      </w:r>
      <w:r w:rsidR="00977242">
        <w:rPr>
          <w:b/>
          <w:i/>
          <w:sz w:val="22"/>
          <w:szCs w:val="22"/>
        </w:rPr>
        <w:t>Sex</w:t>
      </w:r>
      <w:r w:rsidR="00BD6810">
        <w:rPr>
          <w:b/>
          <w:i/>
          <w:sz w:val="22"/>
          <w:szCs w:val="22"/>
        </w:rPr>
        <w:t>ual</w:t>
      </w:r>
      <w:r w:rsidR="00977242">
        <w:rPr>
          <w:b/>
          <w:i/>
          <w:sz w:val="22"/>
          <w:szCs w:val="22"/>
        </w:rPr>
        <w:t xml:space="preserve"> and Gender-based Harassment</w:t>
      </w:r>
      <w:r w:rsidRPr="00FA76D4">
        <w:rPr>
          <w:b/>
          <w:i/>
          <w:sz w:val="22"/>
          <w:szCs w:val="22"/>
        </w:rPr>
        <w:t>) Code of Practice 202</w:t>
      </w:r>
      <w:r w:rsidR="00641234">
        <w:rPr>
          <w:b/>
          <w:i/>
          <w:sz w:val="22"/>
          <w:szCs w:val="22"/>
        </w:rPr>
        <w:t>5</w:t>
      </w:r>
    </w:p>
    <w:p w14:paraId="3623A984" w14:textId="77777777" w:rsidR="00422F64" w:rsidRDefault="00422F64" w:rsidP="00B1560F">
      <w:pPr>
        <w:rPr>
          <w:sz w:val="22"/>
          <w:szCs w:val="22"/>
        </w:rPr>
      </w:pPr>
    </w:p>
    <w:p w14:paraId="480770E1" w14:textId="4CE2DC21" w:rsidR="00B1560F" w:rsidRPr="00FA76D4" w:rsidRDefault="00B1560F" w:rsidP="00B1560F">
      <w:pPr>
        <w:rPr>
          <w:sz w:val="22"/>
          <w:szCs w:val="22"/>
        </w:rPr>
      </w:pPr>
      <w:r w:rsidRPr="00FA76D4">
        <w:rPr>
          <w:sz w:val="22"/>
          <w:szCs w:val="22"/>
        </w:rPr>
        <w:t xml:space="preserve">This Legislative Instrument is compatible with human rights and freedoms recognised or declared in the international instruments listed in section 3 of the </w:t>
      </w:r>
      <w:r w:rsidRPr="00FA76D4">
        <w:rPr>
          <w:i/>
          <w:sz w:val="22"/>
          <w:szCs w:val="22"/>
        </w:rPr>
        <w:t>Human Rights (Parliamentary Scrutiny) Act 2011</w:t>
      </w:r>
      <w:r w:rsidRPr="00FA76D4">
        <w:rPr>
          <w:sz w:val="22"/>
          <w:szCs w:val="22"/>
        </w:rPr>
        <w:t xml:space="preserve">. </w:t>
      </w:r>
    </w:p>
    <w:p w14:paraId="60823896" w14:textId="77777777" w:rsidR="00B1560F" w:rsidRPr="00FA76D4" w:rsidRDefault="00B1560F" w:rsidP="00B1560F">
      <w:pPr>
        <w:rPr>
          <w:sz w:val="22"/>
          <w:szCs w:val="22"/>
        </w:rPr>
      </w:pPr>
    </w:p>
    <w:p w14:paraId="7EC1ABF4" w14:textId="31506F6D" w:rsidR="00B1560F" w:rsidRPr="00FA76D4" w:rsidRDefault="00B1560F" w:rsidP="00B1560F">
      <w:pPr>
        <w:rPr>
          <w:b/>
          <w:sz w:val="22"/>
          <w:szCs w:val="22"/>
        </w:rPr>
      </w:pPr>
      <w:r w:rsidRPr="00FA76D4">
        <w:rPr>
          <w:b/>
          <w:sz w:val="22"/>
          <w:szCs w:val="22"/>
        </w:rPr>
        <w:t>Overview</w:t>
      </w:r>
      <w:r w:rsidR="00574780">
        <w:rPr>
          <w:b/>
          <w:sz w:val="22"/>
          <w:szCs w:val="22"/>
        </w:rPr>
        <w:t xml:space="preserve"> of the Legislative Instrument</w:t>
      </w:r>
      <w:r w:rsidRPr="00FA76D4">
        <w:rPr>
          <w:b/>
          <w:sz w:val="22"/>
          <w:szCs w:val="22"/>
        </w:rPr>
        <w:t xml:space="preserve"> </w:t>
      </w:r>
    </w:p>
    <w:p w14:paraId="66EEAB32" w14:textId="030B5E02" w:rsidR="00B1560F" w:rsidRDefault="00B1560F" w:rsidP="00B1560F">
      <w:pPr>
        <w:rPr>
          <w:sz w:val="22"/>
          <w:szCs w:val="22"/>
        </w:rPr>
      </w:pPr>
      <w:r w:rsidRPr="00FA76D4">
        <w:rPr>
          <w:sz w:val="22"/>
          <w:szCs w:val="22"/>
        </w:rPr>
        <w:t xml:space="preserve">The Legislative Instrument, to which this Human Rights Compatibility Statement relates, approves the </w:t>
      </w:r>
      <w:r w:rsidR="00DE4FB9" w:rsidRPr="00FA76D4">
        <w:rPr>
          <w:i/>
          <w:sz w:val="22"/>
          <w:szCs w:val="22"/>
        </w:rPr>
        <w:t>Work Health and Safety (</w:t>
      </w:r>
      <w:r w:rsidR="00977242">
        <w:rPr>
          <w:i/>
          <w:sz w:val="22"/>
          <w:szCs w:val="22"/>
        </w:rPr>
        <w:t>Sex</w:t>
      </w:r>
      <w:r w:rsidR="00BD6810">
        <w:rPr>
          <w:i/>
          <w:sz w:val="22"/>
          <w:szCs w:val="22"/>
        </w:rPr>
        <w:t>ual</w:t>
      </w:r>
      <w:r w:rsidR="00977242">
        <w:rPr>
          <w:i/>
          <w:sz w:val="22"/>
          <w:szCs w:val="22"/>
        </w:rPr>
        <w:t xml:space="preserve"> and Gender-</w:t>
      </w:r>
      <w:r w:rsidR="00DF4EDA">
        <w:rPr>
          <w:i/>
          <w:sz w:val="22"/>
          <w:szCs w:val="22"/>
        </w:rPr>
        <w:t>B</w:t>
      </w:r>
      <w:r w:rsidR="00977242">
        <w:rPr>
          <w:i/>
          <w:sz w:val="22"/>
          <w:szCs w:val="22"/>
        </w:rPr>
        <w:t>ased</w:t>
      </w:r>
      <w:r w:rsidR="0075235A">
        <w:rPr>
          <w:i/>
          <w:sz w:val="22"/>
          <w:szCs w:val="22"/>
        </w:rPr>
        <w:t xml:space="preserve"> Harassment</w:t>
      </w:r>
      <w:r w:rsidR="00DE4FB9" w:rsidRPr="00FA76D4">
        <w:rPr>
          <w:i/>
          <w:sz w:val="22"/>
          <w:szCs w:val="22"/>
        </w:rPr>
        <w:t>) Code of Practice 202</w:t>
      </w:r>
      <w:r w:rsidR="00ED0C18">
        <w:rPr>
          <w:i/>
          <w:sz w:val="22"/>
          <w:szCs w:val="22"/>
        </w:rPr>
        <w:t>5</w:t>
      </w:r>
      <w:r w:rsidR="00DE4FB9" w:rsidRPr="00FA76D4" w:rsidDel="00DE4FB9">
        <w:rPr>
          <w:i/>
          <w:sz w:val="22"/>
          <w:szCs w:val="22"/>
        </w:rPr>
        <w:t xml:space="preserve"> </w:t>
      </w:r>
      <w:r w:rsidRPr="00FA76D4">
        <w:rPr>
          <w:sz w:val="22"/>
          <w:szCs w:val="22"/>
        </w:rPr>
        <w:t>(the</w:t>
      </w:r>
      <w:r w:rsidR="003B5646">
        <w:rPr>
          <w:sz w:val="22"/>
          <w:szCs w:val="22"/>
        </w:rPr>
        <w:t> </w:t>
      </w:r>
      <w:r w:rsidRPr="00FA76D4">
        <w:rPr>
          <w:sz w:val="22"/>
          <w:szCs w:val="22"/>
        </w:rPr>
        <w:t xml:space="preserve">Code). The Code provides practical guidance to duty holders on meeting their obligations under the </w:t>
      </w:r>
      <w:r w:rsidRPr="00FA76D4">
        <w:rPr>
          <w:i/>
          <w:sz w:val="22"/>
          <w:szCs w:val="22"/>
        </w:rPr>
        <w:t>Work Health and Safety Act 2011</w:t>
      </w:r>
      <w:r w:rsidRPr="00FA76D4">
        <w:rPr>
          <w:sz w:val="22"/>
          <w:szCs w:val="22"/>
        </w:rPr>
        <w:t xml:space="preserve"> (the Act) and the </w:t>
      </w:r>
      <w:r w:rsidRPr="00FA76D4">
        <w:rPr>
          <w:i/>
          <w:sz w:val="22"/>
          <w:szCs w:val="22"/>
        </w:rPr>
        <w:t>Work Health and Safety Regulations 2011</w:t>
      </w:r>
      <w:r w:rsidRPr="00FA76D4">
        <w:rPr>
          <w:sz w:val="22"/>
          <w:szCs w:val="22"/>
        </w:rPr>
        <w:t xml:space="preserve"> (the</w:t>
      </w:r>
      <w:r w:rsidR="003B5646">
        <w:rPr>
          <w:sz w:val="22"/>
          <w:szCs w:val="22"/>
        </w:rPr>
        <w:t> </w:t>
      </w:r>
      <w:r w:rsidRPr="00FA76D4">
        <w:rPr>
          <w:sz w:val="22"/>
          <w:szCs w:val="22"/>
        </w:rPr>
        <w:t xml:space="preserve">Regulations). </w:t>
      </w:r>
    </w:p>
    <w:p w14:paraId="393CBF1C" w14:textId="77777777" w:rsidR="00EE0D3B" w:rsidRDefault="00EE0D3B" w:rsidP="00B1560F">
      <w:pPr>
        <w:rPr>
          <w:sz w:val="22"/>
          <w:szCs w:val="22"/>
        </w:rPr>
      </w:pPr>
    </w:p>
    <w:p w14:paraId="6A3536A7" w14:textId="77777777" w:rsidR="003D7A15" w:rsidRPr="00FA76D4" w:rsidRDefault="003D7A15" w:rsidP="003D7A15">
      <w:pPr>
        <w:rPr>
          <w:sz w:val="22"/>
          <w:szCs w:val="22"/>
        </w:rPr>
      </w:pPr>
      <w:r w:rsidRPr="00FA76D4">
        <w:rPr>
          <w:sz w:val="22"/>
          <w:szCs w:val="22"/>
        </w:rPr>
        <w:t xml:space="preserve">The Act and Regulations provide the primary work health and safety </w:t>
      </w:r>
      <w:r>
        <w:rPr>
          <w:sz w:val="22"/>
          <w:szCs w:val="22"/>
        </w:rPr>
        <w:t xml:space="preserve">(WHS) </w:t>
      </w:r>
      <w:r w:rsidRPr="00FA76D4">
        <w:rPr>
          <w:sz w:val="22"/>
          <w:szCs w:val="22"/>
        </w:rPr>
        <w:t>legislation for the Commonwealth jurisdiction</w:t>
      </w:r>
      <w:r>
        <w:rPr>
          <w:sz w:val="22"/>
          <w:szCs w:val="22"/>
        </w:rPr>
        <w:t xml:space="preserve"> and </w:t>
      </w:r>
      <w:r w:rsidRPr="00FA76D4">
        <w:rPr>
          <w:sz w:val="22"/>
          <w:szCs w:val="22"/>
        </w:rPr>
        <w:t>are based on</w:t>
      </w:r>
      <w:r>
        <w:rPr>
          <w:sz w:val="22"/>
          <w:szCs w:val="22"/>
        </w:rPr>
        <w:t xml:space="preserve"> the model</w:t>
      </w:r>
      <w:r w:rsidRPr="00FA76D4">
        <w:rPr>
          <w:sz w:val="22"/>
          <w:szCs w:val="22"/>
        </w:rPr>
        <w:t xml:space="preserve"> </w:t>
      </w:r>
      <w:r>
        <w:rPr>
          <w:sz w:val="22"/>
          <w:szCs w:val="22"/>
        </w:rPr>
        <w:t xml:space="preserve">WHS </w:t>
      </w:r>
      <w:r w:rsidRPr="000865CA">
        <w:rPr>
          <w:sz w:val="22"/>
          <w:szCs w:val="22"/>
        </w:rPr>
        <w:t>laws (model laws) developed by Safe</w:t>
      </w:r>
      <w:r>
        <w:rPr>
          <w:sz w:val="22"/>
          <w:szCs w:val="22"/>
        </w:rPr>
        <w:t> </w:t>
      </w:r>
      <w:r w:rsidRPr="000865CA">
        <w:rPr>
          <w:sz w:val="22"/>
          <w:szCs w:val="22"/>
        </w:rPr>
        <w:t>Work Australia</w:t>
      </w:r>
      <w:r>
        <w:rPr>
          <w:sz w:val="22"/>
          <w:szCs w:val="22"/>
        </w:rPr>
        <w:t xml:space="preserve"> (SWA) </w:t>
      </w:r>
      <w:r w:rsidRPr="00FA76D4">
        <w:rPr>
          <w:sz w:val="22"/>
          <w:szCs w:val="22"/>
        </w:rPr>
        <w:t xml:space="preserve">under the </w:t>
      </w:r>
      <w:r w:rsidRPr="00FA76D4">
        <w:rPr>
          <w:i/>
          <w:sz w:val="22"/>
          <w:szCs w:val="22"/>
        </w:rPr>
        <w:t>Intergovernmental Agreement for Regulatory and Operational Reform in Occupational Health and Safety</w:t>
      </w:r>
      <w:r>
        <w:rPr>
          <w:i/>
          <w:sz w:val="22"/>
          <w:szCs w:val="22"/>
        </w:rPr>
        <w:t xml:space="preserve"> </w:t>
      </w:r>
      <w:r>
        <w:rPr>
          <w:iCs/>
          <w:sz w:val="22"/>
          <w:szCs w:val="22"/>
        </w:rPr>
        <w:t>(the Intergovernmental Agreement)</w:t>
      </w:r>
      <w:r w:rsidRPr="00FA76D4">
        <w:rPr>
          <w:sz w:val="22"/>
          <w:szCs w:val="22"/>
        </w:rPr>
        <w:t xml:space="preserve">. </w:t>
      </w:r>
      <w:r>
        <w:rPr>
          <w:sz w:val="22"/>
          <w:szCs w:val="22"/>
        </w:rPr>
        <w:t xml:space="preserve">The model laws provide for a balanced and nationally consistent framework to secure the health and safety of workers and workplaces, in part by protecting workers </w:t>
      </w:r>
      <w:r w:rsidRPr="00BA7DFE">
        <w:rPr>
          <w:sz w:val="22"/>
          <w:szCs w:val="22"/>
        </w:rPr>
        <w:t>and other persons against harm to their health, safety and welfare through the elimination or minimisation of risks arising from work. The model laws have been implemented in all jurisdictions across Australia, except for Victoria which has laws that are similar.</w:t>
      </w:r>
    </w:p>
    <w:p w14:paraId="167E90DE" w14:textId="77777777" w:rsidR="003D7A15" w:rsidRPr="00FA76D4" w:rsidRDefault="003D7A15" w:rsidP="003D7A15">
      <w:pPr>
        <w:rPr>
          <w:sz w:val="22"/>
          <w:szCs w:val="22"/>
        </w:rPr>
      </w:pPr>
    </w:p>
    <w:p w14:paraId="58ED3228" w14:textId="77777777" w:rsidR="003D7A15" w:rsidRDefault="003D7A15" w:rsidP="003D7A15">
      <w:pPr>
        <w:rPr>
          <w:sz w:val="22"/>
          <w:szCs w:val="22"/>
        </w:rPr>
      </w:pPr>
      <w:r>
        <w:rPr>
          <w:sz w:val="22"/>
          <w:szCs w:val="22"/>
        </w:rPr>
        <w:t xml:space="preserve">This Code is intended to be read and applied in conjunction with the </w:t>
      </w:r>
      <w:r>
        <w:rPr>
          <w:i/>
          <w:iCs/>
          <w:sz w:val="22"/>
          <w:szCs w:val="22"/>
        </w:rPr>
        <w:t xml:space="preserve">Work Health and Safety (Managing Psychosocial Hazards at Work) Code of Practice 2024 </w:t>
      </w:r>
      <w:r>
        <w:rPr>
          <w:sz w:val="22"/>
          <w:szCs w:val="22"/>
        </w:rPr>
        <w:t xml:space="preserve">(Cth). </w:t>
      </w:r>
      <w:r w:rsidRPr="007E00C0">
        <w:rPr>
          <w:sz w:val="22"/>
          <w:szCs w:val="22"/>
        </w:rPr>
        <w:t xml:space="preserve">Sexual and gender-based harassment often occurs in conjunction with other psychosocial hazards and </w:t>
      </w:r>
      <w:r>
        <w:rPr>
          <w:sz w:val="22"/>
          <w:szCs w:val="22"/>
        </w:rPr>
        <w:t>duty holders</w:t>
      </w:r>
      <w:r w:rsidRPr="007E00C0">
        <w:rPr>
          <w:sz w:val="22"/>
          <w:szCs w:val="22"/>
        </w:rPr>
        <w:t xml:space="preserve"> must consider the interaction between these hazards when managing risks to the health and safety of workers and others. </w:t>
      </w:r>
    </w:p>
    <w:p w14:paraId="6D2A8B3B" w14:textId="77777777" w:rsidR="00B1560F" w:rsidRPr="00FA76D4" w:rsidRDefault="00B1560F" w:rsidP="00B1560F">
      <w:pPr>
        <w:rPr>
          <w:sz w:val="22"/>
          <w:szCs w:val="22"/>
        </w:rPr>
      </w:pPr>
    </w:p>
    <w:p w14:paraId="390C992A" w14:textId="77777777" w:rsidR="000417F7" w:rsidRDefault="00B1560F" w:rsidP="00B1560F">
      <w:pPr>
        <w:rPr>
          <w:sz w:val="22"/>
          <w:szCs w:val="22"/>
        </w:rPr>
      </w:pPr>
      <w:r w:rsidRPr="00FA76D4">
        <w:rPr>
          <w:sz w:val="22"/>
          <w:szCs w:val="22"/>
        </w:rPr>
        <w:t>Section 274 of the Act provides that the Minister may approve codes of practice for the purposes of the Act. Section 275 of the Act provides that an approved code of practice is admissible in proceedings under the Act as evidence of whether or not a duty or obligation under the Act has been complied with. A court may</w:t>
      </w:r>
      <w:r w:rsidR="000417F7">
        <w:rPr>
          <w:sz w:val="22"/>
          <w:szCs w:val="22"/>
        </w:rPr>
        <w:t>:</w:t>
      </w:r>
      <w:r w:rsidRPr="00FA76D4">
        <w:rPr>
          <w:sz w:val="22"/>
          <w:szCs w:val="22"/>
        </w:rPr>
        <w:t xml:space="preserve"> </w:t>
      </w:r>
    </w:p>
    <w:p w14:paraId="5EAB3520" w14:textId="77777777" w:rsidR="000417F7" w:rsidRDefault="00B1560F" w:rsidP="000417F7">
      <w:pPr>
        <w:pStyle w:val="ListParagraph"/>
        <w:numPr>
          <w:ilvl w:val="0"/>
          <w:numId w:val="17"/>
        </w:numPr>
        <w:rPr>
          <w:sz w:val="22"/>
          <w:szCs w:val="22"/>
        </w:rPr>
      </w:pPr>
      <w:r w:rsidRPr="000417F7">
        <w:rPr>
          <w:sz w:val="22"/>
          <w:szCs w:val="22"/>
        </w:rPr>
        <w:t xml:space="preserve">have regard to a code of practice as evidence of what is known about a hazard or risk, risk assessment or risk control to which the code of practice </w:t>
      </w:r>
      <w:r w:rsidR="00811A0A" w:rsidRPr="000417F7">
        <w:rPr>
          <w:sz w:val="22"/>
          <w:szCs w:val="22"/>
        </w:rPr>
        <w:t>relates</w:t>
      </w:r>
      <w:r w:rsidR="000417F7">
        <w:rPr>
          <w:sz w:val="22"/>
          <w:szCs w:val="22"/>
        </w:rPr>
        <w:t>;</w:t>
      </w:r>
      <w:r w:rsidR="00811A0A" w:rsidRPr="000417F7">
        <w:rPr>
          <w:sz w:val="22"/>
          <w:szCs w:val="22"/>
        </w:rPr>
        <w:t xml:space="preserve"> and</w:t>
      </w:r>
      <w:r w:rsidRPr="000417F7">
        <w:rPr>
          <w:sz w:val="22"/>
          <w:szCs w:val="22"/>
        </w:rPr>
        <w:t xml:space="preserve"> </w:t>
      </w:r>
    </w:p>
    <w:p w14:paraId="4149ED5E" w14:textId="12263425" w:rsidR="00B1560F" w:rsidRPr="000417F7" w:rsidRDefault="00B1560F" w:rsidP="000417F7">
      <w:pPr>
        <w:pStyle w:val="ListParagraph"/>
        <w:numPr>
          <w:ilvl w:val="0"/>
          <w:numId w:val="17"/>
        </w:numPr>
        <w:rPr>
          <w:sz w:val="22"/>
          <w:szCs w:val="22"/>
        </w:rPr>
      </w:pPr>
      <w:r w:rsidRPr="000417F7">
        <w:rPr>
          <w:sz w:val="22"/>
          <w:szCs w:val="22"/>
        </w:rPr>
        <w:t xml:space="preserve">rely on a code of practice in determining what is reasonably practicable in the circumstances to which the code of practice relates. </w:t>
      </w:r>
    </w:p>
    <w:p w14:paraId="5148C9FB" w14:textId="70798F5A" w:rsidR="00910C9E" w:rsidRDefault="00910C9E" w:rsidP="00B1560F">
      <w:pPr>
        <w:rPr>
          <w:sz w:val="22"/>
          <w:szCs w:val="22"/>
        </w:rPr>
      </w:pPr>
    </w:p>
    <w:p w14:paraId="1C9984AD" w14:textId="77777777" w:rsidR="00B1560F" w:rsidRPr="00FA76D4" w:rsidRDefault="00B1560F" w:rsidP="00B1560F">
      <w:pPr>
        <w:rPr>
          <w:b/>
          <w:sz w:val="22"/>
          <w:szCs w:val="22"/>
        </w:rPr>
      </w:pPr>
      <w:r w:rsidRPr="00FA76D4">
        <w:rPr>
          <w:b/>
          <w:sz w:val="22"/>
          <w:szCs w:val="22"/>
        </w:rPr>
        <w:t xml:space="preserve">Human rights implications </w:t>
      </w:r>
    </w:p>
    <w:p w14:paraId="3FF62D99" w14:textId="5145A5F2" w:rsidR="00162262" w:rsidRDefault="00D21AD0" w:rsidP="00C53F52">
      <w:pPr>
        <w:rPr>
          <w:sz w:val="22"/>
          <w:szCs w:val="22"/>
        </w:rPr>
      </w:pPr>
      <w:r w:rsidRPr="0087529C">
        <w:rPr>
          <w:color w:val="000000"/>
          <w:sz w:val="22"/>
          <w:szCs w:val="22"/>
          <w:lang w:val="en-GB"/>
        </w:rPr>
        <w:t xml:space="preserve">This </w:t>
      </w:r>
      <w:r w:rsidR="00F77142">
        <w:rPr>
          <w:color w:val="000000"/>
          <w:sz w:val="22"/>
          <w:szCs w:val="22"/>
          <w:lang w:val="en-GB"/>
        </w:rPr>
        <w:t>d</w:t>
      </w:r>
      <w:r w:rsidRPr="0087529C">
        <w:rPr>
          <w:color w:val="000000"/>
          <w:sz w:val="22"/>
          <w:szCs w:val="22"/>
          <w:lang w:val="en-GB"/>
        </w:rPr>
        <w:t xml:space="preserve">isallowable </w:t>
      </w:r>
      <w:r w:rsidR="00EC03E3">
        <w:rPr>
          <w:sz w:val="22"/>
          <w:szCs w:val="22"/>
        </w:rPr>
        <w:t>l</w:t>
      </w:r>
      <w:r w:rsidRPr="00C53F52">
        <w:rPr>
          <w:sz w:val="22"/>
          <w:szCs w:val="22"/>
        </w:rPr>
        <w:t xml:space="preserve">egislative </w:t>
      </w:r>
      <w:r w:rsidR="00EC03E3">
        <w:rPr>
          <w:sz w:val="22"/>
          <w:szCs w:val="22"/>
        </w:rPr>
        <w:t>i</w:t>
      </w:r>
      <w:r w:rsidRPr="00C53F52">
        <w:rPr>
          <w:sz w:val="22"/>
          <w:szCs w:val="22"/>
        </w:rPr>
        <w:t>nstrument engages</w:t>
      </w:r>
      <w:r w:rsidR="00B231EE" w:rsidRPr="00C53F52">
        <w:rPr>
          <w:sz w:val="22"/>
          <w:szCs w:val="22"/>
        </w:rPr>
        <w:t xml:space="preserve"> t</w:t>
      </w:r>
      <w:r w:rsidRPr="00C53F52">
        <w:rPr>
          <w:sz w:val="22"/>
          <w:szCs w:val="22"/>
        </w:rPr>
        <w:t>he</w:t>
      </w:r>
      <w:r w:rsidR="00162262">
        <w:rPr>
          <w:sz w:val="22"/>
          <w:szCs w:val="22"/>
        </w:rPr>
        <w:t xml:space="preserve"> following human rights:</w:t>
      </w:r>
    </w:p>
    <w:p w14:paraId="057BE7C2" w14:textId="62214770" w:rsidR="00A55B59" w:rsidRDefault="002D0F4F" w:rsidP="00162262">
      <w:pPr>
        <w:pStyle w:val="ListParagraph"/>
        <w:numPr>
          <w:ilvl w:val="0"/>
          <w:numId w:val="9"/>
        </w:numPr>
        <w:rPr>
          <w:sz w:val="22"/>
          <w:szCs w:val="22"/>
        </w:rPr>
      </w:pPr>
      <w:r>
        <w:rPr>
          <w:sz w:val="22"/>
          <w:szCs w:val="22"/>
        </w:rPr>
        <w:t>t</w:t>
      </w:r>
      <w:r w:rsidR="00162262">
        <w:rPr>
          <w:sz w:val="22"/>
          <w:szCs w:val="22"/>
        </w:rPr>
        <w:t xml:space="preserve">he </w:t>
      </w:r>
      <w:r w:rsidR="00D21AD0" w:rsidRPr="00162262">
        <w:rPr>
          <w:sz w:val="22"/>
          <w:szCs w:val="22"/>
        </w:rPr>
        <w:t>right to just and favourable conditions of work under Article</w:t>
      </w:r>
      <w:r w:rsidR="00A55B59">
        <w:rPr>
          <w:sz w:val="22"/>
          <w:szCs w:val="22"/>
        </w:rPr>
        <w:t>s 6 and</w:t>
      </w:r>
      <w:r w:rsidR="00D21AD0" w:rsidRPr="00162262">
        <w:rPr>
          <w:sz w:val="22"/>
          <w:szCs w:val="22"/>
        </w:rPr>
        <w:t xml:space="preserve"> 7 of the </w:t>
      </w:r>
      <w:r w:rsidR="00D21AD0" w:rsidRPr="00F1077E">
        <w:rPr>
          <w:i/>
          <w:iCs/>
          <w:sz w:val="22"/>
          <w:szCs w:val="22"/>
        </w:rPr>
        <w:t>International Covenant on Economic, Social and Cultural Rights</w:t>
      </w:r>
      <w:r w:rsidR="00D21AD0" w:rsidRPr="00162262">
        <w:rPr>
          <w:sz w:val="22"/>
          <w:szCs w:val="22"/>
        </w:rPr>
        <w:t xml:space="preserve"> (ICESCR)</w:t>
      </w:r>
    </w:p>
    <w:p w14:paraId="30C367CD" w14:textId="798B9D23" w:rsidR="005A1758" w:rsidRDefault="005A1758" w:rsidP="00162262">
      <w:pPr>
        <w:pStyle w:val="ListParagraph"/>
        <w:numPr>
          <w:ilvl w:val="0"/>
          <w:numId w:val="9"/>
        </w:numPr>
        <w:rPr>
          <w:sz w:val="22"/>
          <w:szCs w:val="22"/>
        </w:rPr>
      </w:pPr>
      <w:r>
        <w:rPr>
          <w:sz w:val="22"/>
          <w:szCs w:val="22"/>
        </w:rPr>
        <w:t xml:space="preserve">the right to the enjoyment of the highest attainable standard of physical and mental health under Article 12 of the ICESCR </w:t>
      </w:r>
    </w:p>
    <w:p w14:paraId="2A02729F" w14:textId="091B4340" w:rsidR="00CE72E3" w:rsidRDefault="00CE72E3" w:rsidP="00162262">
      <w:pPr>
        <w:pStyle w:val="ListParagraph"/>
        <w:numPr>
          <w:ilvl w:val="0"/>
          <w:numId w:val="9"/>
        </w:numPr>
        <w:rPr>
          <w:sz w:val="22"/>
          <w:szCs w:val="22"/>
        </w:rPr>
      </w:pPr>
      <w:r>
        <w:rPr>
          <w:sz w:val="22"/>
          <w:szCs w:val="22"/>
        </w:rPr>
        <w:t xml:space="preserve">the right to freedom of expression </w:t>
      </w:r>
      <w:r w:rsidR="001E526C">
        <w:rPr>
          <w:sz w:val="22"/>
          <w:szCs w:val="22"/>
        </w:rPr>
        <w:t xml:space="preserve">under Article 19(2) of the </w:t>
      </w:r>
      <w:r w:rsidR="005D51C9">
        <w:rPr>
          <w:i/>
          <w:iCs/>
          <w:sz w:val="22"/>
          <w:szCs w:val="22"/>
        </w:rPr>
        <w:t xml:space="preserve">International Covenant on Civil and Political Rights </w:t>
      </w:r>
      <w:r w:rsidR="005D51C9">
        <w:rPr>
          <w:sz w:val="22"/>
          <w:szCs w:val="22"/>
        </w:rPr>
        <w:t>(ICCPR)</w:t>
      </w:r>
    </w:p>
    <w:p w14:paraId="6E55E77B" w14:textId="52946806" w:rsidR="007A31D0" w:rsidRDefault="007A31D0" w:rsidP="00162262">
      <w:pPr>
        <w:pStyle w:val="ListParagraph"/>
        <w:numPr>
          <w:ilvl w:val="0"/>
          <w:numId w:val="9"/>
        </w:numPr>
        <w:rPr>
          <w:sz w:val="22"/>
          <w:szCs w:val="22"/>
        </w:rPr>
      </w:pPr>
      <w:r>
        <w:rPr>
          <w:sz w:val="22"/>
          <w:szCs w:val="22"/>
        </w:rPr>
        <w:t xml:space="preserve">the right of women not to be discriminated against </w:t>
      </w:r>
      <w:r w:rsidR="007D5F47">
        <w:rPr>
          <w:sz w:val="22"/>
          <w:szCs w:val="22"/>
        </w:rPr>
        <w:t xml:space="preserve">based on gender </w:t>
      </w:r>
      <w:r>
        <w:rPr>
          <w:sz w:val="22"/>
          <w:szCs w:val="22"/>
        </w:rPr>
        <w:t>under</w:t>
      </w:r>
      <w:r w:rsidR="007D5F47">
        <w:rPr>
          <w:sz w:val="22"/>
          <w:szCs w:val="22"/>
        </w:rPr>
        <w:t xml:space="preserve"> Articles 2</w:t>
      </w:r>
      <w:r w:rsidR="00A2726D">
        <w:rPr>
          <w:sz w:val="22"/>
          <w:szCs w:val="22"/>
        </w:rPr>
        <w:t xml:space="preserve"> and </w:t>
      </w:r>
      <w:r w:rsidR="007D5F47">
        <w:rPr>
          <w:sz w:val="22"/>
          <w:szCs w:val="22"/>
        </w:rPr>
        <w:t xml:space="preserve">3 of the </w:t>
      </w:r>
      <w:r w:rsidR="0075235A" w:rsidRPr="0075235A">
        <w:rPr>
          <w:i/>
          <w:iCs/>
          <w:sz w:val="22"/>
          <w:szCs w:val="22"/>
        </w:rPr>
        <w:t xml:space="preserve">Convention on the Elimination of All Forms of Discrimination </w:t>
      </w:r>
      <w:r w:rsidR="001B4C91">
        <w:rPr>
          <w:i/>
          <w:iCs/>
          <w:sz w:val="22"/>
          <w:szCs w:val="22"/>
        </w:rPr>
        <w:t>A</w:t>
      </w:r>
      <w:r w:rsidR="0075235A" w:rsidRPr="0075235A">
        <w:rPr>
          <w:i/>
          <w:iCs/>
          <w:sz w:val="22"/>
          <w:szCs w:val="22"/>
        </w:rPr>
        <w:t>gainst Women</w:t>
      </w:r>
      <w:r w:rsidR="0075235A">
        <w:rPr>
          <w:sz w:val="22"/>
          <w:szCs w:val="22"/>
        </w:rPr>
        <w:t xml:space="preserve"> (</w:t>
      </w:r>
      <w:r w:rsidR="007D5F47">
        <w:rPr>
          <w:sz w:val="22"/>
          <w:szCs w:val="22"/>
        </w:rPr>
        <w:t>CEDAW</w:t>
      </w:r>
      <w:r w:rsidR="0075235A">
        <w:rPr>
          <w:sz w:val="22"/>
          <w:szCs w:val="22"/>
        </w:rPr>
        <w:t>)</w:t>
      </w:r>
      <w:r w:rsidR="007D5F47">
        <w:rPr>
          <w:sz w:val="22"/>
          <w:szCs w:val="22"/>
        </w:rPr>
        <w:t>, and</w:t>
      </w:r>
    </w:p>
    <w:p w14:paraId="44AFD503" w14:textId="54857388" w:rsidR="002D0F4F" w:rsidRPr="007A31D0" w:rsidRDefault="27C87171" w:rsidP="002D0F4F">
      <w:pPr>
        <w:pStyle w:val="ListParagraph"/>
        <w:numPr>
          <w:ilvl w:val="0"/>
          <w:numId w:val="9"/>
        </w:numPr>
        <w:rPr>
          <w:sz w:val="22"/>
          <w:szCs w:val="22"/>
        </w:rPr>
      </w:pPr>
      <w:r w:rsidRPr="7078C25B">
        <w:rPr>
          <w:sz w:val="22"/>
          <w:szCs w:val="22"/>
        </w:rPr>
        <w:t>the right to privacy under Article 17 of the ICCPR</w:t>
      </w:r>
      <w:r w:rsidR="007A31D0">
        <w:rPr>
          <w:sz w:val="22"/>
          <w:szCs w:val="22"/>
        </w:rPr>
        <w:t>.</w:t>
      </w:r>
    </w:p>
    <w:p w14:paraId="3A384602" w14:textId="77777777" w:rsidR="0029306B" w:rsidRDefault="0029306B" w:rsidP="002D0F4F">
      <w:pPr>
        <w:rPr>
          <w:sz w:val="22"/>
          <w:szCs w:val="22"/>
        </w:rPr>
      </w:pPr>
    </w:p>
    <w:p w14:paraId="15740ECE" w14:textId="17EE14E9" w:rsidR="00162262" w:rsidRPr="009D464C" w:rsidRDefault="002D0F4F" w:rsidP="00CB668E">
      <w:pPr>
        <w:keepNext/>
        <w:keepLines/>
        <w:rPr>
          <w:i/>
          <w:iCs/>
          <w:sz w:val="22"/>
          <w:szCs w:val="22"/>
          <w:u w:val="single"/>
        </w:rPr>
      </w:pPr>
      <w:r w:rsidRPr="009D464C">
        <w:rPr>
          <w:i/>
          <w:iCs/>
          <w:sz w:val="22"/>
          <w:szCs w:val="22"/>
          <w:u w:val="single"/>
        </w:rPr>
        <w:lastRenderedPageBreak/>
        <w:t>Right to just and favourable conditions of work</w:t>
      </w:r>
      <w:r w:rsidR="005A1758" w:rsidRPr="009D464C">
        <w:rPr>
          <w:i/>
          <w:iCs/>
          <w:sz w:val="22"/>
          <w:szCs w:val="22"/>
          <w:u w:val="single"/>
        </w:rPr>
        <w:t xml:space="preserve"> and </w:t>
      </w:r>
      <w:r w:rsidR="002072A1">
        <w:rPr>
          <w:i/>
          <w:iCs/>
          <w:sz w:val="22"/>
          <w:szCs w:val="22"/>
          <w:u w:val="single"/>
        </w:rPr>
        <w:t>the r</w:t>
      </w:r>
      <w:r w:rsidR="005A1758" w:rsidRPr="009D464C">
        <w:rPr>
          <w:i/>
          <w:iCs/>
          <w:sz w:val="22"/>
          <w:szCs w:val="22"/>
          <w:u w:val="single"/>
        </w:rPr>
        <w:t xml:space="preserve">ight to enjoyment of highest attainable standards of physical and mental health </w:t>
      </w:r>
    </w:p>
    <w:p w14:paraId="3F13F2B7" w14:textId="3C635454" w:rsidR="00D21AD0" w:rsidRPr="00162262" w:rsidRDefault="00D21AD0" w:rsidP="00CB668E">
      <w:pPr>
        <w:keepNext/>
        <w:keepLines/>
        <w:rPr>
          <w:sz w:val="22"/>
          <w:szCs w:val="22"/>
        </w:rPr>
      </w:pPr>
      <w:r w:rsidRPr="00162262">
        <w:rPr>
          <w:sz w:val="22"/>
          <w:szCs w:val="22"/>
        </w:rPr>
        <w:t xml:space="preserve">Article </w:t>
      </w:r>
      <w:r w:rsidR="00BD6810">
        <w:rPr>
          <w:sz w:val="22"/>
          <w:szCs w:val="22"/>
        </w:rPr>
        <w:t xml:space="preserve">6 of the ICESCR provides that everyone has the right to work and article </w:t>
      </w:r>
      <w:r w:rsidRPr="00162262">
        <w:rPr>
          <w:sz w:val="22"/>
          <w:szCs w:val="22"/>
        </w:rPr>
        <w:t>7 of the ICESCR provides that everyone has the right to the ‘enjoyment of just and favourable conditions of work, which ensure, in particular…[s]afe and healthy working conditions</w:t>
      </w:r>
      <w:r w:rsidR="00811A0A">
        <w:rPr>
          <w:sz w:val="22"/>
          <w:szCs w:val="22"/>
        </w:rPr>
        <w:t>.</w:t>
      </w:r>
      <w:r w:rsidRPr="00162262">
        <w:rPr>
          <w:sz w:val="22"/>
          <w:szCs w:val="22"/>
        </w:rPr>
        <w:t>’</w:t>
      </w:r>
    </w:p>
    <w:p w14:paraId="1AE4E535" w14:textId="77777777" w:rsidR="00C53F52" w:rsidRDefault="00C53F52" w:rsidP="00C53F52">
      <w:pPr>
        <w:rPr>
          <w:sz w:val="22"/>
          <w:szCs w:val="22"/>
        </w:rPr>
      </w:pPr>
    </w:p>
    <w:p w14:paraId="24102A88" w14:textId="49730C7A" w:rsidR="000179AC" w:rsidRDefault="00D21AD0" w:rsidP="000C47B2">
      <w:pPr>
        <w:rPr>
          <w:sz w:val="22"/>
          <w:szCs w:val="22"/>
        </w:rPr>
      </w:pPr>
      <w:r w:rsidRPr="0087529C">
        <w:rPr>
          <w:color w:val="000000"/>
          <w:sz w:val="22"/>
          <w:szCs w:val="22"/>
          <w:lang w:val="en-GB"/>
        </w:rPr>
        <w:t xml:space="preserve">The prevention </w:t>
      </w:r>
      <w:r w:rsidR="00D100DD">
        <w:rPr>
          <w:color w:val="000000"/>
          <w:sz w:val="22"/>
          <w:szCs w:val="22"/>
          <w:lang w:val="en-GB"/>
        </w:rPr>
        <w:t xml:space="preserve">and management </w:t>
      </w:r>
      <w:r w:rsidRPr="0087529C">
        <w:rPr>
          <w:color w:val="000000"/>
          <w:sz w:val="22"/>
          <w:szCs w:val="22"/>
          <w:lang w:val="en-GB"/>
        </w:rPr>
        <w:t xml:space="preserve">of </w:t>
      </w:r>
      <w:r w:rsidR="000179AC">
        <w:rPr>
          <w:color w:val="000000"/>
          <w:sz w:val="22"/>
          <w:szCs w:val="22"/>
          <w:lang w:val="en-GB"/>
        </w:rPr>
        <w:t>workplace hazards and risks</w:t>
      </w:r>
      <w:r w:rsidRPr="0087529C">
        <w:rPr>
          <w:color w:val="000000"/>
          <w:sz w:val="22"/>
          <w:szCs w:val="22"/>
          <w:lang w:val="en-GB"/>
        </w:rPr>
        <w:t xml:space="preserve"> is a fundamental aspect of the right to just and favourable conditions of work. </w:t>
      </w:r>
      <w:r w:rsidRPr="000C47B2">
        <w:rPr>
          <w:sz w:val="22"/>
          <w:szCs w:val="22"/>
        </w:rPr>
        <w:t xml:space="preserve">Australia complies with its obligation under Article 7 of the ICESCR through </w:t>
      </w:r>
      <w:r w:rsidR="004720E7">
        <w:rPr>
          <w:sz w:val="22"/>
          <w:szCs w:val="22"/>
        </w:rPr>
        <w:t>its</w:t>
      </w:r>
      <w:r w:rsidRPr="000C47B2">
        <w:rPr>
          <w:sz w:val="22"/>
          <w:szCs w:val="22"/>
        </w:rPr>
        <w:t xml:space="preserve"> system of Commonwealth, state and territory </w:t>
      </w:r>
      <w:r w:rsidR="0075235A">
        <w:rPr>
          <w:sz w:val="22"/>
          <w:szCs w:val="22"/>
        </w:rPr>
        <w:t>WHS</w:t>
      </w:r>
      <w:r w:rsidRPr="000C47B2">
        <w:rPr>
          <w:sz w:val="22"/>
          <w:szCs w:val="22"/>
        </w:rPr>
        <w:t xml:space="preserve"> laws</w:t>
      </w:r>
      <w:r w:rsidR="00E94049">
        <w:rPr>
          <w:sz w:val="22"/>
          <w:szCs w:val="22"/>
        </w:rPr>
        <w:t>.</w:t>
      </w:r>
      <w:r w:rsidR="00A90960">
        <w:rPr>
          <w:sz w:val="22"/>
          <w:szCs w:val="22"/>
        </w:rPr>
        <w:t xml:space="preserve"> </w:t>
      </w:r>
      <w:r w:rsidR="000179AC">
        <w:rPr>
          <w:sz w:val="22"/>
          <w:szCs w:val="22"/>
        </w:rPr>
        <w:t>The</w:t>
      </w:r>
      <w:r w:rsidR="009A6803">
        <w:rPr>
          <w:sz w:val="22"/>
          <w:szCs w:val="22"/>
        </w:rPr>
        <w:t> </w:t>
      </w:r>
      <w:r w:rsidR="009E210A" w:rsidRPr="007E4329">
        <w:rPr>
          <w:sz w:val="22"/>
          <w:szCs w:val="22"/>
        </w:rPr>
        <w:t>Act</w:t>
      </w:r>
      <w:r w:rsidR="003D53D9" w:rsidRPr="00294188">
        <w:rPr>
          <w:sz w:val="22"/>
          <w:szCs w:val="22"/>
        </w:rPr>
        <w:t xml:space="preserve"> </w:t>
      </w:r>
      <w:r w:rsidR="009A6803">
        <w:rPr>
          <w:sz w:val="22"/>
          <w:szCs w:val="22"/>
        </w:rPr>
        <w:t xml:space="preserve">and Regulations </w:t>
      </w:r>
      <w:r w:rsidR="003D53D9" w:rsidRPr="00294188">
        <w:rPr>
          <w:sz w:val="22"/>
          <w:szCs w:val="22"/>
        </w:rPr>
        <w:t>provide</w:t>
      </w:r>
      <w:r w:rsidR="003D53D9">
        <w:rPr>
          <w:sz w:val="22"/>
          <w:szCs w:val="22"/>
        </w:rPr>
        <w:t xml:space="preserve"> the Commonwealth framework </w:t>
      </w:r>
      <w:r w:rsidR="00AF3F92">
        <w:rPr>
          <w:sz w:val="22"/>
          <w:szCs w:val="22"/>
        </w:rPr>
        <w:t xml:space="preserve">to secure the health, safety and welfare of </w:t>
      </w:r>
      <w:r w:rsidR="00765A4C">
        <w:rPr>
          <w:sz w:val="22"/>
          <w:szCs w:val="22"/>
        </w:rPr>
        <w:t xml:space="preserve">workers engaged in </w:t>
      </w:r>
      <w:r w:rsidR="001417DB" w:rsidRPr="007E4329">
        <w:rPr>
          <w:sz w:val="22"/>
          <w:szCs w:val="22"/>
        </w:rPr>
        <w:t xml:space="preserve">businesses and undertakings conducted by the Commonwealth, public </w:t>
      </w:r>
      <w:r w:rsidR="00811A0A" w:rsidRPr="007E4329">
        <w:rPr>
          <w:sz w:val="22"/>
          <w:szCs w:val="22"/>
        </w:rPr>
        <w:t>authorities,</w:t>
      </w:r>
      <w:r w:rsidR="001417DB" w:rsidRPr="007E4329">
        <w:rPr>
          <w:sz w:val="22"/>
          <w:szCs w:val="22"/>
        </w:rPr>
        <w:t xml:space="preserve"> and</w:t>
      </w:r>
      <w:r w:rsidR="001417DB">
        <w:rPr>
          <w:sz w:val="22"/>
          <w:szCs w:val="22"/>
        </w:rPr>
        <w:t xml:space="preserve"> </w:t>
      </w:r>
      <w:r w:rsidR="001417DB" w:rsidRPr="007E4329">
        <w:rPr>
          <w:sz w:val="22"/>
          <w:szCs w:val="22"/>
        </w:rPr>
        <w:t>non-Commonwealth licensees.</w:t>
      </w:r>
      <w:r w:rsidR="00E062F4">
        <w:rPr>
          <w:sz w:val="22"/>
          <w:szCs w:val="22"/>
        </w:rPr>
        <w:t xml:space="preserve"> </w:t>
      </w:r>
    </w:p>
    <w:p w14:paraId="220590A1" w14:textId="4A8A2CA8" w:rsidR="00A12582" w:rsidRDefault="00A12582" w:rsidP="000C47B2">
      <w:pPr>
        <w:rPr>
          <w:sz w:val="22"/>
          <w:szCs w:val="22"/>
        </w:rPr>
      </w:pPr>
    </w:p>
    <w:p w14:paraId="390E8F79" w14:textId="77777777" w:rsidR="0093749C" w:rsidRDefault="0093749C" w:rsidP="0093749C">
      <w:pPr>
        <w:rPr>
          <w:sz w:val="22"/>
          <w:szCs w:val="22"/>
        </w:rPr>
      </w:pPr>
      <w:r>
        <w:rPr>
          <w:sz w:val="22"/>
          <w:szCs w:val="22"/>
        </w:rPr>
        <w:t xml:space="preserve">Article 12 of the ICESCR requires that State Parties to the Covenant recognise the right of everyone to the enjoyment of the highest attainable standard of physical and mental health. The UN Committee on Economic, Social and Cultural Rights has stated that the right to health embraces a wide range of socio-economic factors that </w:t>
      </w:r>
      <w:r w:rsidRPr="005B6210">
        <w:rPr>
          <w:sz w:val="22"/>
          <w:szCs w:val="22"/>
        </w:rPr>
        <w:t>promote conditions in which people can lead a healthy life, extending to underlying determinants of health such as safe and healthy working conditions.</w:t>
      </w:r>
    </w:p>
    <w:p w14:paraId="50BA33B4" w14:textId="77777777" w:rsidR="0093749C" w:rsidRDefault="0093749C" w:rsidP="0093749C">
      <w:pPr>
        <w:rPr>
          <w:sz w:val="22"/>
          <w:szCs w:val="22"/>
        </w:rPr>
      </w:pPr>
    </w:p>
    <w:p w14:paraId="54699B5F" w14:textId="722F21A2" w:rsidR="0093749C" w:rsidRDefault="0093749C" w:rsidP="0093749C">
      <w:pPr>
        <w:rPr>
          <w:sz w:val="22"/>
          <w:szCs w:val="22"/>
        </w:rPr>
      </w:pPr>
      <w:r>
        <w:rPr>
          <w:sz w:val="22"/>
          <w:szCs w:val="22"/>
        </w:rPr>
        <w:t xml:space="preserve">The Australian Human Rights Commission </w:t>
      </w:r>
      <w:r w:rsidR="0025545C" w:rsidRPr="0025545C">
        <w:rPr>
          <w:i/>
          <w:iCs/>
          <w:sz w:val="22"/>
          <w:szCs w:val="22"/>
        </w:rPr>
        <w:t>Respect@Work: Sexual Harassment National Inquiry Report</w:t>
      </w:r>
      <w:r w:rsidR="0025545C" w:rsidRPr="0025545C">
        <w:rPr>
          <w:sz w:val="22"/>
          <w:szCs w:val="22"/>
        </w:rPr>
        <w:t xml:space="preserve"> </w:t>
      </w:r>
      <w:r>
        <w:rPr>
          <w:sz w:val="22"/>
          <w:szCs w:val="22"/>
        </w:rPr>
        <w:t xml:space="preserve">noted that sexual harassment in the workplace can have significant negative effects on an individual’s health and wellbeing. </w:t>
      </w:r>
    </w:p>
    <w:p w14:paraId="7384DBC5" w14:textId="77777777" w:rsidR="0093749C" w:rsidRPr="005B6210" w:rsidRDefault="0093749C" w:rsidP="0093749C">
      <w:pPr>
        <w:rPr>
          <w:sz w:val="22"/>
          <w:szCs w:val="22"/>
        </w:rPr>
      </w:pPr>
    </w:p>
    <w:p w14:paraId="75729400" w14:textId="7EB3542C" w:rsidR="00A73267" w:rsidRPr="00013ABD" w:rsidRDefault="00D21AD0" w:rsidP="00A73267">
      <w:pPr>
        <w:pStyle w:val="emnumbers"/>
        <w:shd w:val="clear" w:color="auto" w:fill="FFFFFF"/>
        <w:spacing w:before="0" w:beforeAutospacing="0" w:after="120" w:afterAutospacing="0"/>
        <w:rPr>
          <w:color w:val="000000"/>
          <w:sz w:val="22"/>
          <w:szCs w:val="22"/>
          <w:highlight w:val="yellow"/>
        </w:rPr>
      </w:pPr>
      <w:r w:rsidRPr="000C47B2">
        <w:rPr>
          <w:sz w:val="22"/>
          <w:szCs w:val="22"/>
        </w:rPr>
        <w:t xml:space="preserve">The </w:t>
      </w:r>
      <w:r w:rsidR="00B85874" w:rsidRPr="000C47B2">
        <w:rPr>
          <w:sz w:val="22"/>
          <w:szCs w:val="22"/>
        </w:rPr>
        <w:t>Code</w:t>
      </w:r>
      <w:r w:rsidRPr="000C47B2">
        <w:rPr>
          <w:sz w:val="22"/>
          <w:szCs w:val="22"/>
        </w:rPr>
        <w:t xml:space="preserve"> promote</w:t>
      </w:r>
      <w:r w:rsidR="00B85874" w:rsidRPr="000C47B2">
        <w:rPr>
          <w:sz w:val="22"/>
          <w:szCs w:val="22"/>
        </w:rPr>
        <w:t>s</w:t>
      </w:r>
      <w:r w:rsidRPr="000C47B2">
        <w:rPr>
          <w:sz w:val="22"/>
          <w:szCs w:val="22"/>
        </w:rPr>
        <w:t xml:space="preserve"> the right to safe and healthy working conditions</w:t>
      </w:r>
      <w:r w:rsidR="0093749C">
        <w:rPr>
          <w:sz w:val="22"/>
          <w:szCs w:val="22"/>
        </w:rPr>
        <w:t>, and the right to enjoyment of the highest attainable standard of physical and mental health</w:t>
      </w:r>
      <w:r w:rsidR="004611F6">
        <w:rPr>
          <w:sz w:val="22"/>
          <w:szCs w:val="22"/>
        </w:rPr>
        <w:t xml:space="preserve"> </w:t>
      </w:r>
      <w:r w:rsidRPr="000C47B2">
        <w:rPr>
          <w:sz w:val="22"/>
          <w:szCs w:val="22"/>
        </w:rPr>
        <w:t>by</w:t>
      </w:r>
      <w:r w:rsidR="004611F6">
        <w:rPr>
          <w:sz w:val="22"/>
          <w:szCs w:val="22"/>
        </w:rPr>
        <w:t xml:space="preserve"> </w:t>
      </w:r>
      <w:r w:rsidR="007B7DC1" w:rsidRPr="000C47B2">
        <w:rPr>
          <w:sz w:val="22"/>
          <w:szCs w:val="22"/>
        </w:rPr>
        <w:t>providing practical guidance for</w:t>
      </w:r>
      <w:r w:rsidRPr="000C47B2">
        <w:rPr>
          <w:sz w:val="22"/>
          <w:szCs w:val="22"/>
        </w:rPr>
        <w:t xml:space="preserve"> duty holders</w:t>
      </w:r>
      <w:r w:rsidR="00D66A0F">
        <w:rPr>
          <w:sz w:val="22"/>
          <w:szCs w:val="22"/>
        </w:rPr>
        <w:t xml:space="preserve"> on </w:t>
      </w:r>
      <w:r w:rsidR="005D75D3">
        <w:rPr>
          <w:sz w:val="22"/>
          <w:szCs w:val="22"/>
        </w:rPr>
        <w:t xml:space="preserve">how </w:t>
      </w:r>
      <w:r w:rsidRPr="000C47B2">
        <w:rPr>
          <w:sz w:val="22"/>
          <w:szCs w:val="22"/>
        </w:rPr>
        <w:t xml:space="preserve">to meet their obligations </w:t>
      </w:r>
      <w:r w:rsidR="00F05F7A">
        <w:rPr>
          <w:sz w:val="22"/>
          <w:szCs w:val="22"/>
        </w:rPr>
        <w:t xml:space="preserve">to manage </w:t>
      </w:r>
      <w:r w:rsidR="00013ABD">
        <w:rPr>
          <w:sz w:val="22"/>
          <w:szCs w:val="22"/>
        </w:rPr>
        <w:t>sex and gender-based harassment</w:t>
      </w:r>
      <w:r w:rsidR="00F05F7A">
        <w:rPr>
          <w:sz w:val="22"/>
          <w:szCs w:val="22"/>
        </w:rPr>
        <w:t xml:space="preserve"> </w:t>
      </w:r>
      <w:r w:rsidR="0093749C">
        <w:rPr>
          <w:sz w:val="22"/>
          <w:szCs w:val="22"/>
        </w:rPr>
        <w:t>risks</w:t>
      </w:r>
      <w:r w:rsidR="00F05F7A">
        <w:rPr>
          <w:sz w:val="22"/>
          <w:szCs w:val="22"/>
        </w:rPr>
        <w:t xml:space="preserve"> </w:t>
      </w:r>
      <w:r w:rsidRPr="00F5319D">
        <w:rPr>
          <w:sz w:val="22"/>
          <w:szCs w:val="22"/>
        </w:rPr>
        <w:t xml:space="preserve">under the </w:t>
      </w:r>
      <w:r w:rsidR="00AA35F0" w:rsidRPr="00F5319D">
        <w:rPr>
          <w:sz w:val="22"/>
          <w:szCs w:val="22"/>
        </w:rPr>
        <w:t>Act and Regulations</w:t>
      </w:r>
      <w:r w:rsidRPr="00F5319D">
        <w:rPr>
          <w:sz w:val="22"/>
          <w:szCs w:val="22"/>
        </w:rPr>
        <w:t>.</w:t>
      </w:r>
      <w:r w:rsidR="00A928CB" w:rsidRPr="00F5319D">
        <w:rPr>
          <w:sz w:val="22"/>
          <w:szCs w:val="22"/>
        </w:rPr>
        <w:t xml:space="preserve"> </w:t>
      </w:r>
      <w:r w:rsidR="00C95B29" w:rsidRPr="00F5319D">
        <w:rPr>
          <w:sz w:val="22"/>
          <w:szCs w:val="22"/>
        </w:rPr>
        <w:t xml:space="preserve">The Code </w:t>
      </w:r>
      <w:r w:rsidR="00E94049" w:rsidRPr="00F5319D">
        <w:rPr>
          <w:sz w:val="22"/>
          <w:szCs w:val="22"/>
        </w:rPr>
        <w:t xml:space="preserve">provides </w:t>
      </w:r>
      <w:r w:rsidR="004A7AB1" w:rsidRPr="00F5319D">
        <w:rPr>
          <w:sz w:val="22"/>
          <w:szCs w:val="22"/>
        </w:rPr>
        <w:t xml:space="preserve">practical </w:t>
      </w:r>
      <w:r w:rsidR="00E94049" w:rsidRPr="00F5319D">
        <w:rPr>
          <w:sz w:val="22"/>
          <w:szCs w:val="22"/>
        </w:rPr>
        <w:t xml:space="preserve">guidance </w:t>
      </w:r>
      <w:r w:rsidR="0032350B" w:rsidRPr="00F5319D">
        <w:rPr>
          <w:sz w:val="22"/>
          <w:szCs w:val="22"/>
        </w:rPr>
        <w:t>to persons conducting a business or undertaking</w:t>
      </w:r>
      <w:r w:rsidR="00853304">
        <w:rPr>
          <w:sz w:val="22"/>
          <w:szCs w:val="22"/>
        </w:rPr>
        <w:t xml:space="preserve"> (PCBU</w:t>
      </w:r>
      <w:r w:rsidR="0075235A">
        <w:rPr>
          <w:sz w:val="22"/>
          <w:szCs w:val="22"/>
        </w:rPr>
        <w:t>s</w:t>
      </w:r>
      <w:r w:rsidR="00853304">
        <w:rPr>
          <w:sz w:val="22"/>
          <w:szCs w:val="22"/>
        </w:rPr>
        <w:t>)</w:t>
      </w:r>
      <w:r w:rsidR="0032350B" w:rsidRPr="00F5319D">
        <w:rPr>
          <w:sz w:val="22"/>
          <w:szCs w:val="22"/>
        </w:rPr>
        <w:t xml:space="preserve"> in the Commonwealth jurisdiction on how to</w:t>
      </w:r>
      <w:r w:rsidR="00A73267" w:rsidRPr="00F5319D">
        <w:rPr>
          <w:color w:val="000000"/>
          <w:sz w:val="22"/>
          <w:szCs w:val="22"/>
        </w:rPr>
        <w:t>:</w:t>
      </w:r>
    </w:p>
    <w:p w14:paraId="5810246A" w14:textId="77777777" w:rsidR="00F5319D" w:rsidRPr="00817CE8" w:rsidRDefault="00F5319D" w:rsidP="00F5319D">
      <w:pPr>
        <w:pStyle w:val="ListParagraph"/>
        <w:numPr>
          <w:ilvl w:val="0"/>
          <w:numId w:val="6"/>
        </w:numPr>
        <w:rPr>
          <w:sz w:val="22"/>
          <w:szCs w:val="22"/>
        </w:rPr>
      </w:pPr>
      <w:r w:rsidRPr="00817CE8">
        <w:rPr>
          <w:sz w:val="22"/>
          <w:szCs w:val="22"/>
        </w:rPr>
        <w:t>identify sexual and gender-based harassment</w:t>
      </w:r>
    </w:p>
    <w:p w14:paraId="7E51EA0B" w14:textId="77777777" w:rsidR="00F5319D" w:rsidRPr="00817CE8" w:rsidRDefault="00F5319D" w:rsidP="00F5319D">
      <w:pPr>
        <w:pStyle w:val="ListParagraph"/>
        <w:numPr>
          <w:ilvl w:val="0"/>
          <w:numId w:val="6"/>
        </w:numPr>
        <w:rPr>
          <w:sz w:val="22"/>
          <w:szCs w:val="22"/>
        </w:rPr>
      </w:pPr>
      <w:r w:rsidRPr="00817CE8">
        <w:rPr>
          <w:sz w:val="22"/>
          <w:szCs w:val="22"/>
        </w:rPr>
        <w:t>assess the risk of sexual and gender-based harassment</w:t>
      </w:r>
    </w:p>
    <w:p w14:paraId="278CABA6" w14:textId="77777777" w:rsidR="00F5319D" w:rsidRPr="00817CE8" w:rsidRDefault="00F5319D" w:rsidP="00F5319D">
      <w:pPr>
        <w:pStyle w:val="ListParagraph"/>
        <w:numPr>
          <w:ilvl w:val="0"/>
          <w:numId w:val="6"/>
        </w:numPr>
        <w:rPr>
          <w:sz w:val="22"/>
          <w:szCs w:val="22"/>
        </w:rPr>
      </w:pPr>
      <w:r w:rsidRPr="00817CE8">
        <w:rPr>
          <w:sz w:val="22"/>
          <w:szCs w:val="22"/>
        </w:rPr>
        <w:t>implement appropriate control measures for sexual and gender-based harassment</w:t>
      </w:r>
    </w:p>
    <w:p w14:paraId="5AA1B853" w14:textId="77777777" w:rsidR="00F5319D" w:rsidRPr="00817CE8" w:rsidRDefault="00F5319D" w:rsidP="00F5319D">
      <w:pPr>
        <w:pStyle w:val="ListParagraph"/>
        <w:numPr>
          <w:ilvl w:val="0"/>
          <w:numId w:val="6"/>
        </w:numPr>
        <w:rPr>
          <w:sz w:val="22"/>
          <w:szCs w:val="22"/>
        </w:rPr>
      </w:pPr>
      <w:r w:rsidRPr="00817CE8">
        <w:rPr>
          <w:sz w:val="22"/>
          <w:szCs w:val="22"/>
        </w:rPr>
        <w:t>maintain and review control measures for sexual and gender-based harassment</w:t>
      </w:r>
    </w:p>
    <w:p w14:paraId="09292AC3" w14:textId="77777777" w:rsidR="00F5319D" w:rsidRPr="00817CE8" w:rsidRDefault="00F5319D" w:rsidP="00F5319D">
      <w:pPr>
        <w:pStyle w:val="ListParagraph"/>
        <w:numPr>
          <w:ilvl w:val="0"/>
          <w:numId w:val="6"/>
        </w:numPr>
        <w:rPr>
          <w:sz w:val="22"/>
          <w:szCs w:val="22"/>
        </w:rPr>
      </w:pPr>
      <w:r w:rsidRPr="00817CE8">
        <w:rPr>
          <w:sz w:val="22"/>
          <w:szCs w:val="22"/>
        </w:rPr>
        <w:t>respond to reports, complaints, or incidents regarding sexual or gender-based harassment, and</w:t>
      </w:r>
    </w:p>
    <w:p w14:paraId="0B5A2FD1" w14:textId="77777777" w:rsidR="00F5319D" w:rsidRPr="00817CE8" w:rsidRDefault="00F5319D" w:rsidP="00F5319D">
      <w:pPr>
        <w:pStyle w:val="ListParagraph"/>
        <w:numPr>
          <w:ilvl w:val="0"/>
          <w:numId w:val="6"/>
        </w:numPr>
        <w:rPr>
          <w:sz w:val="22"/>
          <w:szCs w:val="22"/>
        </w:rPr>
      </w:pPr>
      <w:r w:rsidRPr="00817CE8">
        <w:rPr>
          <w:sz w:val="22"/>
          <w:szCs w:val="22"/>
        </w:rPr>
        <w:t xml:space="preserve">conduct investigations into reports of incidents involving sexual or gender-based harassment. </w:t>
      </w:r>
    </w:p>
    <w:p w14:paraId="0874EED5" w14:textId="77777777" w:rsidR="000C47B2" w:rsidRPr="00A73267" w:rsidRDefault="000C47B2" w:rsidP="000C47B2">
      <w:pPr>
        <w:rPr>
          <w:sz w:val="22"/>
          <w:szCs w:val="22"/>
        </w:rPr>
      </w:pPr>
    </w:p>
    <w:p w14:paraId="0F290586" w14:textId="1E87AF5B" w:rsidR="00155B44" w:rsidRDefault="00687327" w:rsidP="000C47B2">
      <w:pPr>
        <w:rPr>
          <w:sz w:val="22"/>
          <w:szCs w:val="22"/>
        </w:rPr>
      </w:pPr>
      <w:r>
        <w:rPr>
          <w:sz w:val="22"/>
          <w:szCs w:val="22"/>
        </w:rPr>
        <w:t xml:space="preserve">The Code is intended to </w:t>
      </w:r>
      <w:r w:rsidR="0002239A">
        <w:rPr>
          <w:sz w:val="22"/>
          <w:szCs w:val="22"/>
        </w:rPr>
        <w:t>provide guidance to</w:t>
      </w:r>
      <w:r>
        <w:rPr>
          <w:sz w:val="22"/>
          <w:szCs w:val="22"/>
        </w:rPr>
        <w:t xml:space="preserve"> </w:t>
      </w:r>
      <w:r w:rsidR="00853304">
        <w:rPr>
          <w:sz w:val="22"/>
          <w:szCs w:val="22"/>
        </w:rPr>
        <w:t xml:space="preserve">PCBUs </w:t>
      </w:r>
      <w:r w:rsidR="00E3724C">
        <w:rPr>
          <w:sz w:val="22"/>
          <w:szCs w:val="22"/>
        </w:rPr>
        <w:t xml:space="preserve">on how to meet their </w:t>
      </w:r>
      <w:r w:rsidR="00A33383">
        <w:rPr>
          <w:sz w:val="22"/>
          <w:szCs w:val="22"/>
        </w:rPr>
        <w:t>WHS</w:t>
      </w:r>
      <w:r w:rsidR="00E3724C">
        <w:rPr>
          <w:sz w:val="22"/>
          <w:szCs w:val="22"/>
        </w:rPr>
        <w:t xml:space="preserve"> duties and effectively ensure a </w:t>
      </w:r>
      <w:r w:rsidR="00A33383">
        <w:rPr>
          <w:sz w:val="22"/>
          <w:szCs w:val="22"/>
        </w:rPr>
        <w:t xml:space="preserve">physically and </w:t>
      </w:r>
      <w:r w:rsidR="0029485E" w:rsidRPr="00B05118">
        <w:rPr>
          <w:sz w:val="22"/>
          <w:szCs w:val="22"/>
        </w:rPr>
        <w:t xml:space="preserve">psychologically </w:t>
      </w:r>
      <w:r w:rsidR="00E3724C" w:rsidRPr="00B05118">
        <w:rPr>
          <w:sz w:val="22"/>
          <w:szCs w:val="22"/>
        </w:rPr>
        <w:t>safe environment</w:t>
      </w:r>
      <w:r w:rsidR="00656A86" w:rsidRPr="00B05118">
        <w:rPr>
          <w:sz w:val="22"/>
          <w:szCs w:val="22"/>
        </w:rPr>
        <w:t xml:space="preserve">. </w:t>
      </w:r>
      <w:r w:rsidR="00B9372B" w:rsidRPr="00B05118">
        <w:rPr>
          <w:sz w:val="22"/>
          <w:szCs w:val="22"/>
        </w:rPr>
        <w:t>This will operate to enhance the right to safe and healthy working conditions</w:t>
      </w:r>
      <w:r w:rsidR="0075235A">
        <w:rPr>
          <w:sz w:val="22"/>
          <w:szCs w:val="22"/>
        </w:rPr>
        <w:t>,</w:t>
      </w:r>
      <w:r w:rsidR="00B9372B" w:rsidRPr="00B05118">
        <w:rPr>
          <w:sz w:val="22"/>
          <w:szCs w:val="22"/>
        </w:rPr>
        <w:t xml:space="preserve"> by ensuring that </w:t>
      </w:r>
      <w:r w:rsidR="00B8727C" w:rsidRPr="00B05118">
        <w:rPr>
          <w:sz w:val="22"/>
          <w:szCs w:val="22"/>
        </w:rPr>
        <w:t xml:space="preserve">psychological </w:t>
      </w:r>
      <w:r w:rsidR="00B9372B" w:rsidRPr="00B05118">
        <w:rPr>
          <w:sz w:val="22"/>
          <w:szCs w:val="22"/>
        </w:rPr>
        <w:t xml:space="preserve">health </w:t>
      </w:r>
      <w:r w:rsidR="00522716" w:rsidRPr="00B05118">
        <w:rPr>
          <w:sz w:val="22"/>
          <w:szCs w:val="22"/>
        </w:rPr>
        <w:t>is prioritised and managed to the same standard as physical health</w:t>
      </w:r>
      <w:r w:rsidR="00B05118" w:rsidRPr="00B05118">
        <w:rPr>
          <w:sz w:val="22"/>
          <w:szCs w:val="22"/>
        </w:rPr>
        <w:t xml:space="preserve"> and recognises the psychological and physical risk to health that sexual and gender-based harassment poses</w:t>
      </w:r>
      <w:r w:rsidR="00522716" w:rsidRPr="00B05118">
        <w:rPr>
          <w:sz w:val="22"/>
          <w:szCs w:val="22"/>
        </w:rPr>
        <w:t>.</w:t>
      </w:r>
      <w:r w:rsidR="00522716">
        <w:rPr>
          <w:sz w:val="22"/>
          <w:szCs w:val="22"/>
        </w:rPr>
        <w:t xml:space="preserve"> </w:t>
      </w:r>
    </w:p>
    <w:p w14:paraId="4A9FFDFA" w14:textId="77777777" w:rsidR="00484AD6" w:rsidRDefault="00484AD6" w:rsidP="000C47B2">
      <w:pPr>
        <w:rPr>
          <w:sz w:val="22"/>
          <w:szCs w:val="22"/>
        </w:rPr>
      </w:pPr>
    </w:p>
    <w:p w14:paraId="0F8734AA" w14:textId="77777777" w:rsidR="006D0779" w:rsidRDefault="002F54FD" w:rsidP="000C47B2">
      <w:pPr>
        <w:rPr>
          <w:sz w:val="22"/>
          <w:szCs w:val="22"/>
        </w:rPr>
      </w:pPr>
      <w:r>
        <w:rPr>
          <w:sz w:val="22"/>
          <w:szCs w:val="22"/>
        </w:rPr>
        <w:t xml:space="preserve">The Code will help PCBUs promote safer and healthier workplaces and discourage behaviours that can cause physical and psychological harm. </w:t>
      </w:r>
    </w:p>
    <w:p w14:paraId="7389A14F" w14:textId="77777777" w:rsidR="006D0779" w:rsidRDefault="006D0779" w:rsidP="000C47B2">
      <w:pPr>
        <w:rPr>
          <w:sz w:val="22"/>
          <w:szCs w:val="22"/>
        </w:rPr>
      </w:pPr>
    </w:p>
    <w:p w14:paraId="1F81AA2F" w14:textId="77576516" w:rsidR="004E7389" w:rsidRDefault="004E7389" w:rsidP="000C47B2">
      <w:pPr>
        <w:rPr>
          <w:sz w:val="22"/>
          <w:szCs w:val="22"/>
        </w:rPr>
      </w:pPr>
      <w:r>
        <w:rPr>
          <w:sz w:val="22"/>
          <w:szCs w:val="22"/>
        </w:rPr>
        <w:t xml:space="preserve">By helping PCBUs to make workplaces safer, the Code will </w:t>
      </w:r>
      <w:r w:rsidR="00B11679">
        <w:rPr>
          <w:sz w:val="22"/>
          <w:szCs w:val="22"/>
        </w:rPr>
        <w:t xml:space="preserve">help prevent </w:t>
      </w:r>
      <w:r w:rsidR="0075235A">
        <w:rPr>
          <w:sz w:val="22"/>
          <w:szCs w:val="22"/>
        </w:rPr>
        <w:t xml:space="preserve">more Australians from experiencing </w:t>
      </w:r>
      <w:r w:rsidR="00B11679">
        <w:rPr>
          <w:sz w:val="22"/>
          <w:szCs w:val="22"/>
        </w:rPr>
        <w:t xml:space="preserve">sexual and gender-based harassment. </w:t>
      </w:r>
    </w:p>
    <w:p w14:paraId="60AF3480" w14:textId="77777777" w:rsidR="002D5B57" w:rsidRDefault="002D5B57" w:rsidP="000C47B2">
      <w:pPr>
        <w:rPr>
          <w:sz w:val="22"/>
          <w:szCs w:val="22"/>
        </w:rPr>
      </w:pPr>
    </w:p>
    <w:p w14:paraId="2B45AC62" w14:textId="279CA97A" w:rsidR="002D5B57" w:rsidRDefault="009E79A6" w:rsidP="000C47B2">
      <w:pPr>
        <w:rPr>
          <w:sz w:val="22"/>
          <w:szCs w:val="22"/>
        </w:rPr>
      </w:pPr>
      <w:r>
        <w:rPr>
          <w:i/>
          <w:iCs/>
          <w:sz w:val="22"/>
          <w:szCs w:val="22"/>
          <w:u w:val="single"/>
        </w:rPr>
        <w:t xml:space="preserve">The right to freedom of expression </w:t>
      </w:r>
    </w:p>
    <w:p w14:paraId="6D0B555F" w14:textId="5AE08ACB" w:rsidR="002F45E1" w:rsidRDefault="009E79A6" w:rsidP="000C47B2">
      <w:pPr>
        <w:rPr>
          <w:sz w:val="22"/>
          <w:szCs w:val="22"/>
        </w:rPr>
      </w:pPr>
      <w:r>
        <w:rPr>
          <w:sz w:val="22"/>
          <w:szCs w:val="22"/>
        </w:rPr>
        <w:t xml:space="preserve">Article 19(2) of the ICCPR </w:t>
      </w:r>
      <w:r w:rsidR="00056EF3">
        <w:rPr>
          <w:sz w:val="22"/>
          <w:szCs w:val="22"/>
        </w:rPr>
        <w:t xml:space="preserve">protects individuals’ freedom of expression in any medium. It protects </w:t>
      </w:r>
      <w:r w:rsidR="002F45E1">
        <w:rPr>
          <w:sz w:val="22"/>
          <w:szCs w:val="22"/>
        </w:rPr>
        <w:t xml:space="preserve">both the ability to impart information and ideas and to receive them. Freedom of expression may be limited under Article 19(3) only where provided for by law and when necessary to protect the rights or reputation of others, national security, public order or public health or morals. </w:t>
      </w:r>
    </w:p>
    <w:p w14:paraId="25A2375E" w14:textId="77777777" w:rsidR="002F45E1" w:rsidRDefault="002F45E1" w:rsidP="000C47B2">
      <w:pPr>
        <w:rPr>
          <w:sz w:val="22"/>
          <w:szCs w:val="22"/>
        </w:rPr>
      </w:pPr>
    </w:p>
    <w:p w14:paraId="6BD29CFB" w14:textId="6D591AC0" w:rsidR="009E79A6" w:rsidRDefault="002F45E1" w:rsidP="000C47B2">
      <w:pPr>
        <w:rPr>
          <w:sz w:val="22"/>
          <w:szCs w:val="22"/>
        </w:rPr>
      </w:pPr>
      <w:r>
        <w:rPr>
          <w:sz w:val="22"/>
          <w:szCs w:val="22"/>
        </w:rPr>
        <w:t xml:space="preserve">The Code may limit a person’s right to freely express themselves </w:t>
      </w:r>
      <w:r w:rsidR="00CC6ECD">
        <w:rPr>
          <w:sz w:val="22"/>
          <w:szCs w:val="22"/>
        </w:rPr>
        <w:t xml:space="preserve">in a workplace. Under </w:t>
      </w:r>
      <w:r w:rsidR="002D313C">
        <w:rPr>
          <w:sz w:val="22"/>
          <w:szCs w:val="22"/>
        </w:rPr>
        <w:t xml:space="preserve">the Commonwealth’s WHS laws, a PCBU has a duty to provide, so far as is reasonably practicable, the health </w:t>
      </w:r>
      <w:r w:rsidR="00B76CEB">
        <w:rPr>
          <w:sz w:val="22"/>
          <w:szCs w:val="22"/>
        </w:rPr>
        <w:t xml:space="preserve">and safety of workers while they are at work in their business or undertaking. This includes </w:t>
      </w:r>
      <w:r w:rsidR="008E30F2">
        <w:rPr>
          <w:sz w:val="22"/>
          <w:szCs w:val="22"/>
        </w:rPr>
        <w:t xml:space="preserve">protecting a worker from sexual or gender-based harassment. In discharging their duties, a PCBU may limit a person’s expression of </w:t>
      </w:r>
      <w:r w:rsidR="002B0590">
        <w:rPr>
          <w:sz w:val="22"/>
          <w:szCs w:val="22"/>
        </w:rPr>
        <w:t xml:space="preserve">words or conduct that meet the definition of sexual or gender-based harassment. </w:t>
      </w:r>
    </w:p>
    <w:p w14:paraId="3494BD7E" w14:textId="77777777" w:rsidR="00604BDE" w:rsidRDefault="00604BDE" w:rsidP="000C47B2">
      <w:pPr>
        <w:rPr>
          <w:sz w:val="22"/>
          <w:szCs w:val="22"/>
        </w:rPr>
      </w:pPr>
    </w:p>
    <w:p w14:paraId="00E3C5D8" w14:textId="1EC5B1A5" w:rsidR="00604BDE" w:rsidRDefault="00604BDE" w:rsidP="00604BDE">
      <w:pPr>
        <w:rPr>
          <w:sz w:val="22"/>
          <w:szCs w:val="22"/>
        </w:rPr>
      </w:pPr>
      <w:r w:rsidRPr="00604BDE">
        <w:rPr>
          <w:sz w:val="22"/>
          <w:szCs w:val="22"/>
        </w:rPr>
        <w:t xml:space="preserve">This is consistent with other anti-discrimination legislation </w:t>
      </w:r>
      <w:r w:rsidR="00F77142">
        <w:rPr>
          <w:sz w:val="22"/>
          <w:szCs w:val="22"/>
        </w:rPr>
        <w:t xml:space="preserve">and criminal law </w:t>
      </w:r>
      <w:r w:rsidRPr="00604BDE">
        <w:rPr>
          <w:sz w:val="22"/>
          <w:szCs w:val="22"/>
        </w:rPr>
        <w:t xml:space="preserve">which seek to achieve the appropriate balance between protecting against discrimination </w:t>
      </w:r>
      <w:r w:rsidR="00F77142">
        <w:rPr>
          <w:sz w:val="22"/>
          <w:szCs w:val="22"/>
        </w:rPr>
        <w:t xml:space="preserve">and harassment, </w:t>
      </w:r>
      <w:r w:rsidRPr="00604BDE">
        <w:rPr>
          <w:sz w:val="22"/>
          <w:szCs w:val="22"/>
        </w:rPr>
        <w:t xml:space="preserve">and protecting the right of an individual to express themselves. </w:t>
      </w:r>
      <w:r>
        <w:rPr>
          <w:sz w:val="22"/>
          <w:szCs w:val="22"/>
        </w:rPr>
        <w:t xml:space="preserve">The </w:t>
      </w:r>
      <w:r w:rsidR="00822201">
        <w:rPr>
          <w:sz w:val="22"/>
          <w:szCs w:val="22"/>
        </w:rPr>
        <w:t xml:space="preserve">duties under the WHS Act and </w:t>
      </w:r>
      <w:r w:rsidR="00081212">
        <w:rPr>
          <w:sz w:val="22"/>
          <w:szCs w:val="22"/>
        </w:rPr>
        <w:t xml:space="preserve">the </w:t>
      </w:r>
      <w:r w:rsidR="00822201">
        <w:rPr>
          <w:sz w:val="22"/>
          <w:szCs w:val="22"/>
        </w:rPr>
        <w:t>Code do</w:t>
      </w:r>
      <w:r w:rsidRPr="00604BDE">
        <w:rPr>
          <w:sz w:val="22"/>
          <w:szCs w:val="22"/>
        </w:rPr>
        <w:t xml:space="preserve"> not limit freedom of expression beyond existing limitations on conduct amounting to sexual harassment that already exist under anti</w:t>
      </w:r>
      <w:r w:rsidR="00822201">
        <w:rPr>
          <w:sz w:val="22"/>
          <w:szCs w:val="22"/>
        </w:rPr>
        <w:noBreakHyphen/>
      </w:r>
      <w:r w:rsidRPr="00604BDE">
        <w:rPr>
          <w:sz w:val="22"/>
          <w:szCs w:val="22"/>
        </w:rPr>
        <w:t>discrimination legislation</w:t>
      </w:r>
      <w:r w:rsidR="00F77142">
        <w:rPr>
          <w:sz w:val="22"/>
          <w:szCs w:val="22"/>
        </w:rPr>
        <w:t xml:space="preserve"> or under criminal law</w:t>
      </w:r>
      <w:r w:rsidRPr="00604BDE">
        <w:rPr>
          <w:sz w:val="22"/>
          <w:szCs w:val="22"/>
        </w:rPr>
        <w:t>.</w:t>
      </w:r>
    </w:p>
    <w:p w14:paraId="0758CDB3" w14:textId="77777777" w:rsidR="00604BDE" w:rsidRPr="00604BDE" w:rsidRDefault="00604BDE" w:rsidP="00604BDE">
      <w:pPr>
        <w:rPr>
          <w:sz w:val="22"/>
          <w:szCs w:val="22"/>
        </w:rPr>
      </w:pPr>
    </w:p>
    <w:p w14:paraId="00267D8F" w14:textId="356BC2A4" w:rsidR="00604BDE" w:rsidRDefault="00604BDE" w:rsidP="00604BDE">
      <w:pPr>
        <w:rPr>
          <w:sz w:val="22"/>
          <w:szCs w:val="22"/>
        </w:rPr>
      </w:pPr>
      <w:r w:rsidRPr="00604BDE">
        <w:rPr>
          <w:sz w:val="22"/>
          <w:szCs w:val="22"/>
        </w:rPr>
        <w:t>Further, the limitation on the right of expression is necessary to achieve a legitimate objective: protecting workers</w:t>
      </w:r>
      <w:r w:rsidR="00DF4EDA">
        <w:rPr>
          <w:sz w:val="22"/>
          <w:szCs w:val="22"/>
        </w:rPr>
        <w:t xml:space="preserve"> and</w:t>
      </w:r>
      <w:r w:rsidRPr="00604BDE">
        <w:rPr>
          <w:sz w:val="22"/>
          <w:szCs w:val="22"/>
        </w:rPr>
        <w:t xml:space="preserve"> prospective workers from sex</w:t>
      </w:r>
      <w:r w:rsidR="00DF4EDA">
        <w:rPr>
          <w:sz w:val="22"/>
          <w:szCs w:val="22"/>
        </w:rPr>
        <w:t>ual</w:t>
      </w:r>
      <w:r w:rsidRPr="00604BDE">
        <w:rPr>
          <w:sz w:val="22"/>
          <w:szCs w:val="22"/>
        </w:rPr>
        <w:t xml:space="preserve"> </w:t>
      </w:r>
      <w:r w:rsidR="00FD38C2">
        <w:rPr>
          <w:sz w:val="22"/>
          <w:szCs w:val="22"/>
        </w:rPr>
        <w:t xml:space="preserve">and </w:t>
      </w:r>
      <w:r w:rsidR="00F77142">
        <w:rPr>
          <w:sz w:val="22"/>
          <w:szCs w:val="22"/>
        </w:rPr>
        <w:t xml:space="preserve">gender-based </w:t>
      </w:r>
      <w:r w:rsidR="00FD38C2">
        <w:rPr>
          <w:sz w:val="22"/>
          <w:szCs w:val="22"/>
        </w:rPr>
        <w:t>harassment</w:t>
      </w:r>
      <w:r w:rsidRPr="00604BDE">
        <w:rPr>
          <w:sz w:val="22"/>
          <w:szCs w:val="22"/>
        </w:rPr>
        <w:t xml:space="preserve">. The limitation on the right of freedom of expression is reasonable, necessary and proportionate to this objective. The extent to which the right to freedom of expression is limited is the least restrictive way of achieving the objective. The </w:t>
      </w:r>
      <w:r w:rsidR="0043208E">
        <w:rPr>
          <w:sz w:val="22"/>
          <w:szCs w:val="22"/>
        </w:rPr>
        <w:t>Code</w:t>
      </w:r>
      <w:r w:rsidR="00A72989">
        <w:rPr>
          <w:sz w:val="22"/>
          <w:szCs w:val="22"/>
        </w:rPr>
        <w:t>’s</w:t>
      </w:r>
      <w:r w:rsidRPr="00604BDE">
        <w:rPr>
          <w:sz w:val="22"/>
          <w:szCs w:val="22"/>
        </w:rPr>
        <w:t xml:space="preserve"> definition of sexual harassment </w:t>
      </w:r>
      <w:r w:rsidR="00A72989">
        <w:rPr>
          <w:sz w:val="22"/>
          <w:szCs w:val="22"/>
        </w:rPr>
        <w:t xml:space="preserve">is based on the definition contained </w:t>
      </w:r>
      <w:r w:rsidRPr="00604BDE">
        <w:rPr>
          <w:sz w:val="22"/>
          <w:szCs w:val="22"/>
        </w:rPr>
        <w:t xml:space="preserve">in the </w:t>
      </w:r>
      <w:r w:rsidR="0043208E">
        <w:rPr>
          <w:i/>
          <w:iCs/>
          <w:sz w:val="22"/>
          <w:szCs w:val="22"/>
        </w:rPr>
        <w:t>Sex</w:t>
      </w:r>
      <w:r w:rsidR="00FD38C2">
        <w:rPr>
          <w:i/>
          <w:iCs/>
          <w:sz w:val="22"/>
          <w:szCs w:val="22"/>
        </w:rPr>
        <w:t> </w:t>
      </w:r>
      <w:r w:rsidR="0043208E">
        <w:rPr>
          <w:i/>
          <w:iCs/>
          <w:sz w:val="22"/>
          <w:szCs w:val="22"/>
        </w:rPr>
        <w:t>Discrimination Act 198</w:t>
      </w:r>
      <w:r w:rsidR="0070576A">
        <w:rPr>
          <w:i/>
          <w:iCs/>
          <w:sz w:val="22"/>
          <w:szCs w:val="22"/>
        </w:rPr>
        <w:t>4</w:t>
      </w:r>
      <w:r w:rsidR="00DF4EDA">
        <w:rPr>
          <w:i/>
          <w:iCs/>
          <w:sz w:val="22"/>
          <w:szCs w:val="22"/>
        </w:rPr>
        <w:t> </w:t>
      </w:r>
      <w:r w:rsidR="0043208E">
        <w:rPr>
          <w:sz w:val="22"/>
          <w:szCs w:val="22"/>
        </w:rPr>
        <w:t>(Cth)</w:t>
      </w:r>
      <w:r w:rsidRPr="00604BDE">
        <w:rPr>
          <w:sz w:val="22"/>
          <w:szCs w:val="22"/>
        </w:rPr>
        <w:t xml:space="preserve">, which includes an objective reasonable person test and the requirement to consider any relevant circumstances. This provides an important safeguard </w:t>
      </w:r>
      <w:r w:rsidR="001B4C91">
        <w:rPr>
          <w:sz w:val="22"/>
          <w:szCs w:val="22"/>
        </w:rPr>
        <w:t xml:space="preserve">to limiting </w:t>
      </w:r>
      <w:r w:rsidRPr="00604BDE">
        <w:rPr>
          <w:sz w:val="22"/>
          <w:szCs w:val="22"/>
        </w:rPr>
        <w:t xml:space="preserve">the right to freedom of expression. </w:t>
      </w:r>
    </w:p>
    <w:p w14:paraId="62DEA0CD" w14:textId="77777777" w:rsidR="000A4B5C" w:rsidRDefault="000A4B5C" w:rsidP="00604BDE">
      <w:pPr>
        <w:rPr>
          <w:sz w:val="22"/>
          <w:szCs w:val="22"/>
        </w:rPr>
      </w:pPr>
    </w:p>
    <w:p w14:paraId="52448D8A" w14:textId="77BE9112" w:rsidR="000A4B5C" w:rsidRPr="00604BDE" w:rsidRDefault="001D4398" w:rsidP="00604BDE">
      <w:pPr>
        <w:rPr>
          <w:sz w:val="22"/>
          <w:szCs w:val="22"/>
        </w:rPr>
      </w:pPr>
      <w:r>
        <w:rPr>
          <w:i/>
          <w:iCs/>
          <w:sz w:val="22"/>
          <w:szCs w:val="22"/>
          <w:u w:val="single"/>
        </w:rPr>
        <w:t>The right of women not to be discriminated against based on gender</w:t>
      </w:r>
    </w:p>
    <w:p w14:paraId="0FFA2F74" w14:textId="25230F73" w:rsidR="00604BDE" w:rsidRDefault="001D4398" w:rsidP="000C47B2">
      <w:pPr>
        <w:rPr>
          <w:sz w:val="22"/>
          <w:szCs w:val="22"/>
        </w:rPr>
      </w:pPr>
      <w:r>
        <w:rPr>
          <w:sz w:val="22"/>
          <w:szCs w:val="22"/>
        </w:rPr>
        <w:t xml:space="preserve">The CEDAW provides that in relation to discrimination against women, State Parties must: </w:t>
      </w:r>
    </w:p>
    <w:p w14:paraId="266E16B8" w14:textId="6A6A6D19" w:rsidR="001D4398" w:rsidRDefault="001D4398" w:rsidP="001D4398">
      <w:pPr>
        <w:pStyle w:val="ListParagraph"/>
        <w:numPr>
          <w:ilvl w:val="0"/>
          <w:numId w:val="15"/>
        </w:numPr>
        <w:rPr>
          <w:sz w:val="22"/>
          <w:szCs w:val="22"/>
        </w:rPr>
      </w:pPr>
      <w:r>
        <w:rPr>
          <w:sz w:val="22"/>
          <w:szCs w:val="22"/>
        </w:rPr>
        <w:t>ensure the effective protection of women against acts of discrimination (Article 2(c))</w:t>
      </w:r>
    </w:p>
    <w:p w14:paraId="312B6F62" w14:textId="49C8CAAF" w:rsidR="001D4398" w:rsidRDefault="001D4398" w:rsidP="00BD1F69">
      <w:pPr>
        <w:pStyle w:val="ListParagraph"/>
        <w:numPr>
          <w:ilvl w:val="0"/>
          <w:numId w:val="15"/>
        </w:numPr>
        <w:rPr>
          <w:sz w:val="22"/>
          <w:szCs w:val="22"/>
        </w:rPr>
      </w:pPr>
      <w:r>
        <w:rPr>
          <w:sz w:val="22"/>
          <w:szCs w:val="22"/>
        </w:rPr>
        <w:t>ensure the full development and advancement of women (Article 3)</w:t>
      </w:r>
      <w:r w:rsidR="00A2726D">
        <w:rPr>
          <w:sz w:val="22"/>
          <w:szCs w:val="22"/>
        </w:rPr>
        <w:t>.</w:t>
      </w:r>
    </w:p>
    <w:p w14:paraId="2981374F" w14:textId="77777777" w:rsidR="00A2726D" w:rsidRDefault="00A2726D" w:rsidP="00A2726D">
      <w:pPr>
        <w:rPr>
          <w:sz w:val="22"/>
          <w:szCs w:val="22"/>
        </w:rPr>
      </w:pPr>
    </w:p>
    <w:p w14:paraId="36E97B60" w14:textId="77777777" w:rsidR="00A15EC6" w:rsidRDefault="00A15EC6" w:rsidP="00A15EC6">
      <w:pPr>
        <w:rPr>
          <w:sz w:val="22"/>
          <w:szCs w:val="22"/>
        </w:rPr>
      </w:pPr>
      <w:r>
        <w:rPr>
          <w:sz w:val="22"/>
          <w:szCs w:val="22"/>
        </w:rPr>
        <w:t xml:space="preserve">The Australian Human Rights Commission’s </w:t>
      </w:r>
      <w:r>
        <w:rPr>
          <w:i/>
          <w:iCs/>
          <w:sz w:val="22"/>
          <w:szCs w:val="22"/>
        </w:rPr>
        <w:t xml:space="preserve">Respect@Work: Sexual Harassment National Inquiry Report </w:t>
      </w:r>
      <w:r>
        <w:rPr>
          <w:sz w:val="22"/>
          <w:szCs w:val="22"/>
        </w:rPr>
        <w:t xml:space="preserve">(2020) notes that sexual harassment disproportionately affects women. </w:t>
      </w:r>
    </w:p>
    <w:p w14:paraId="000813AB" w14:textId="77777777" w:rsidR="00A15EC6" w:rsidRPr="00AD3569" w:rsidRDefault="00A15EC6" w:rsidP="00A15EC6">
      <w:pPr>
        <w:rPr>
          <w:sz w:val="22"/>
          <w:szCs w:val="22"/>
        </w:rPr>
      </w:pPr>
    </w:p>
    <w:p w14:paraId="6C55D2A8" w14:textId="238CE88D" w:rsidR="00A2726D" w:rsidRDefault="00A2726D" w:rsidP="00A2726D">
      <w:pPr>
        <w:rPr>
          <w:sz w:val="22"/>
          <w:szCs w:val="22"/>
        </w:rPr>
      </w:pPr>
      <w:r>
        <w:rPr>
          <w:sz w:val="22"/>
          <w:szCs w:val="22"/>
        </w:rPr>
        <w:t xml:space="preserve">This instrument positively engages with the rights of women in work by </w:t>
      </w:r>
      <w:r w:rsidR="00E624B8">
        <w:rPr>
          <w:sz w:val="22"/>
          <w:szCs w:val="22"/>
        </w:rPr>
        <w:t xml:space="preserve">providing practical guidance for protecting women from sexual </w:t>
      </w:r>
      <w:r w:rsidR="00F77142">
        <w:rPr>
          <w:sz w:val="22"/>
          <w:szCs w:val="22"/>
        </w:rPr>
        <w:t xml:space="preserve">and gender-based </w:t>
      </w:r>
      <w:r w:rsidR="00E624B8">
        <w:rPr>
          <w:sz w:val="22"/>
          <w:szCs w:val="22"/>
        </w:rPr>
        <w:t xml:space="preserve">harassment in connection with work. </w:t>
      </w:r>
    </w:p>
    <w:p w14:paraId="5EFD03B9" w14:textId="77777777" w:rsidR="0054198B" w:rsidRDefault="0054198B" w:rsidP="000C47B2">
      <w:pPr>
        <w:rPr>
          <w:sz w:val="22"/>
          <w:szCs w:val="22"/>
        </w:rPr>
      </w:pPr>
    </w:p>
    <w:p w14:paraId="2D216DA0" w14:textId="193B5AC1" w:rsidR="002D0F4F" w:rsidRPr="002D0F4F" w:rsidRDefault="002D0F4F" w:rsidP="000C47B2">
      <w:pPr>
        <w:rPr>
          <w:sz w:val="22"/>
          <w:szCs w:val="22"/>
          <w:u w:val="single"/>
        </w:rPr>
      </w:pPr>
      <w:r w:rsidRPr="002D0F4F">
        <w:rPr>
          <w:sz w:val="22"/>
          <w:szCs w:val="22"/>
          <w:u w:val="single"/>
        </w:rPr>
        <w:t>Right to privacy</w:t>
      </w:r>
    </w:p>
    <w:p w14:paraId="15155736" w14:textId="4267A796" w:rsidR="002D0F4F" w:rsidRDefault="002D0F4F" w:rsidP="000C47B2">
      <w:pPr>
        <w:rPr>
          <w:sz w:val="22"/>
          <w:szCs w:val="22"/>
        </w:rPr>
      </w:pPr>
      <w:r>
        <w:rPr>
          <w:sz w:val="22"/>
          <w:szCs w:val="22"/>
        </w:rPr>
        <w:t xml:space="preserve">Article 17 of the ICCPR provides that no one shall be subjected to arbitrary or unlawful interference with their privacy, family, </w:t>
      </w:r>
      <w:r w:rsidR="00811A0A">
        <w:rPr>
          <w:sz w:val="22"/>
          <w:szCs w:val="22"/>
        </w:rPr>
        <w:t>home,</w:t>
      </w:r>
      <w:r>
        <w:rPr>
          <w:sz w:val="22"/>
          <w:szCs w:val="22"/>
        </w:rPr>
        <w:t xml:space="preserve"> and correspondence. </w:t>
      </w:r>
      <w:r w:rsidRPr="008A6E09">
        <w:rPr>
          <w:sz w:val="22"/>
          <w:szCs w:val="22"/>
        </w:rPr>
        <w:t xml:space="preserve">This includes </w:t>
      </w:r>
      <w:r w:rsidRPr="35363094">
        <w:rPr>
          <w:sz w:val="22"/>
          <w:szCs w:val="22"/>
        </w:rPr>
        <w:t>respect</w:t>
      </w:r>
      <w:r w:rsidRPr="008A6E09">
        <w:rPr>
          <w:sz w:val="22"/>
          <w:szCs w:val="22"/>
        </w:rPr>
        <w:t xml:space="preserve"> for informational privacy, including in respect of storing, </w:t>
      </w:r>
      <w:r w:rsidR="00811A0A" w:rsidRPr="008A6E09">
        <w:rPr>
          <w:sz w:val="22"/>
          <w:szCs w:val="22"/>
        </w:rPr>
        <w:t>using,</w:t>
      </w:r>
      <w:r w:rsidRPr="008A6E09">
        <w:rPr>
          <w:sz w:val="22"/>
          <w:szCs w:val="22"/>
        </w:rPr>
        <w:t xml:space="preserve"> and sharing private information and the right to control dissemination of personal and private information. Privacy guarantees a right to secrecy from the publication of personal information. It also prohibits unlawful attacks on a person’s reputation.</w:t>
      </w:r>
    </w:p>
    <w:p w14:paraId="08DBD290" w14:textId="742981FA" w:rsidR="002D0F4F" w:rsidRDefault="002D0F4F" w:rsidP="000C47B2">
      <w:pPr>
        <w:rPr>
          <w:sz w:val="22"/>
          <w:szCs w:val="22"/>
        </w:rPr>
      </w:pPr>
    </w:p>
    <w:p w14:paraId="776C5655" w14:textId="683A54B3" w:rsidR="002D0F4F" w:rsidRDefault="00EC03E3" w:rsidP="000C47B2">
      <w:pPr>
        <w:rPr>
          <w:sz w:val="22"/>
          <w:szCs w:val="22"/>
        </w:rPr>
      </w:pPr>
      <w:r>
        <w:rPr>
          <w:sz w:val="22"/>
          <w:szCs w:val="22"/>
        </w:rPr>
        <w:t>Part 7 of t</w:t>
      </w:r>
      <w:r w:rsidR="002D0F4F" w:rsidRPr="001F129A">
        <w:rPr>
          <w:sz w:val="22"/>
          <w:szCs w:val="22"/>
        </w:rPr>
        <w:t>he Code prov</w:t>
      </w:r>
      <w:r w:rsidR="009552BD" w:rsidRPr="001F129A">
        <w:rPr>
          <w:sz w:val="22"/>
          <w:szCs w:val="22"/>
        </w:rPr>
        <w:t>i</w:t>
      </w:r>
      <w:r w:rsidR="002D0F4F" w:rsidRPr="001F129A">
        <w:rPr>
          <w:sz w:val="22"/>
          <w:szCs w:val="22"/>
        </w:rPr>
        <w:t xml:space="preserve">des guidance to </w:t>
      </w:r>
      <w:r w:rsidR="001B4C91">
        <w:rPr>
          <w:sz w:val="22"/>
          <w:szCs w:val="22"/>
        </w:rPr>
        <w:t>PCBUs</w:t>
      </w:r>
      <w:r w:rsidR="002D0F4F" w:rsidRPr="001F129A">
        <w:rPr>
          <w:sz w:val="22"/>
          <w:szCs w:val="22"/>
        </w:rPr>
        <w:t xml:space="preserve"> on how to handle and respond to reports, </w:t>
      </w:r>
      <w:r w:rsidR="00811A0A" w:rsidRPr="001F129A">
        <w:rPr>
          <w:sz w:val="22"/>
          <w:szCs w:val="22"/>
        </w:rPr>
        <w:t>complaints,</w:t>
      </w:r>
      <w:r w:rsidR="002D0F4F" w:rsidRPr="001F129A">
        <w:rPr>
          <w:sz w:val="22"/>
          <w:szCs w:val="22"/>
        </w:rPr>
        <w:t xml:space="preserve"> or incidents regarding </w:t>
      </w:r>
      <w:r w:rsidR="00141905" w:rsidRPr="001F129A">
        <w:rPr>
          <w:sz w:val="22"/>
          <w:szCs w:val="22"/>
        </w:rPr>
        <w:t>sex</w:t>
      </w:r>
      <w:r w:rsidR="00CC4F6C" w:rsidRPr="001F129A">
        <w:rPr>
          <w:sz w:val="22"/>
          <w:szCs w:val="22"/>
        </w:rPr>
        <w:t>ual and gender-based harassment</w:t>
      </w:r>
      <w:r w:rsidR="002D0F4F" w:rsidRPr="001F129A">
        <w:rPr>
          <w:sz w:val="22"/>
          <w:szCs w:val="22"/>
        </w:rPr>
        <w:t xml:space="preserve">. </w:t>
      </w:r>
      <w:r w:rsidR="007E3B4A" w:rsidRPr="001F129A">
        <w:rPr>
          <w:sz w:val="22"/>
          <w:szCs w:val="22"/>
        </w:rPr>
        <w:t xml:space="preserve">This includes keeping records of reports, complaints or incidents relating to </w:t>
      </w:r>
      <w:r w:rsidR="00B24125" w:rsidRPr="001F129A">
        <w:rPr>
          <w:sz w:val="22"/>
          <w:szCs w:val="22"/>
        </w:rPr>
        <w:t>sexual and gender-based harassment</w:t>
      </w:r>
      <w:r w:rsidR="007E3B4A" w:rsidRPr="001F129A">
        <w:rPr>
          <w:sz w:val="22"/>
          <w:szCs w:val="22"/>
        </w:rPr>
        <w:t xml:space="preserve">. Information </w:t>
      </w:r>
      <w:r w:rsidR="007E3B4A" w:rsidRPr="1E9AC120">
        <w:rPr>
          <w:sz w:val="22"/>
          <w:szCs w:val="22"/>
        </w:rPr>
        <w:t>regarding</w:t>
      </w:r>
      <w:r w:rsidR="47DF53D9" w:rsidRPr="1E9AC120">
        <w:rPr>
          <w:sz w:val="22"/>
          <w:szCs w:val="22"/>
        </w:rPr>
        <w:t xml:space="preserve"> </w:t>
      </w:r>
      <w:r w:rsidR="47DF53D9" w:rsidRPr="74CBA0C9">
        <w:rPr>
          <w:sz w:val="22"/>
          <w:szCs w:val="22"/>
        </w:rPr>
        <w:t xml:space="preserve">sexual </w:t>
      </w:r>
      <w:r w:rsidR="47DF53D9" w:rsidRPr="71AC5913">
        <w:rPr>
          <w:sz w:val="22"/>
          <w:szCs w:val="22"/>
        </w:rPr>
        <w:t>and gender-based</w:t>
      </w:r>
      <w:r w:rsidR="007E3B4A" w:rsidRPr="71AC5913">
        <w:rPr>
          <w:sz w:val="22"/>
          <w:szCs w:val="22"/>
        </w:rPr>
        <w:t xml:space="preserve"> </w:t>
      </w:r>
      <w:r w:rsidR="53EC83E5" w:rsidRPr="040E4168">
        <w:rPr>
          <w:sz w:val="22"/>
          <w:szCs w:val="22"/>
        </w:rPr>
        <w:t xml:space="preserve">harassment </w:t>
      </w:r>
      <w:r w:rsidR="53EC83E5" w:rsidRPr="11F8178C">
        <w:rPr>
          <w:sz w:val="22"/>
          <w:szCs w:val="22"/>
        </w:rPr>
        <w:t>risks</w:t>
      </w:r>
      <w:r w:rsidR="001B4C91">
        <w:rPr>
          <w:sz w:val="22"/>
          <w:szCs w:val="22"/>
        </w:rPr>
        <w:t xml:space="preserve"> </w:t>
      </w:r>
      <w:r w:rsidR="007E3B4A" w:rsidRPr="001F129A">
        <w:rPr>
          <w:sz w:val="22"/>
          <w:szCs w:val="22"/>
        </w:rPr>
        <w:t xml:space="preserve">could be personal information or sensitive personal information under the </w:t>
      </w:r>
      <w:r w:rsidR="007E3B4A" w:rsidRPr="001F129A">
        <w:rPr>
          <w:i/>
          <w:iCs/>
          <w:sz w:val="22"/>
          <w:szCs w:val="22"/>
        </w:rPr>
        <w:t>Privacy Act 1988</w:t>
      </w:r>
      <w:r w:rsidR="007E3B4A" w:rsidRPr="001F129A">
        <w:rPr>
          <w:sz w:val="22"/>
          <w:szCs w:val="22"/>
        </w:rPr>
        <w:t xml:space="preserve"> </w:t>
      </w:r>
      <w:r w:rsidR="00632316">
        <w:rPr>
          <w:sz w:val="22"/>
          <w:szCs w:val="22"/>
        </w:rPr>
        <w:t xml:space="preserve">(Cth) </w:t>
      </w:r>
      <w:r w:rsidR="007E3B4A" w:rsidRPr="001F129A">
        <w:rPr>
          <w:sz w:val="22"/>
          <w:szCs w:val="22"/>
        </w:rPr>
        <w:t>(</w:t>
      </w:r>
      <w:r w:rsidR="00632316">
        <w:rPr>
          <w:sz w:val="22"/>
          <w:szCs w:val="22"/>
        </w:rPr>
        <w:t xml:space="preserve">the </w:t>
      </w:r>
      <w:r w:rsidR="007E3B4A" w:rsidRPr="001F129A">
        <w:rPr>
          <w:sz w:val="22"/>
          <w:szCs w:val="22"/>
        </w:rPr>
        <w:t>Privacy Act).</w:t>
      </w:r>
    </w:p>
    <w:p w14:paraId="26E1FE70" w14:textId="46EAE228" w:rsidR="002D0F4F" w:rsidRDefault="002D0F4F" w:rsidP="000C47B2">
      <w:pPr>
        <w:rPr>
          <w:sz w:val="22"/>
          <w:szCs w:val="22"/>
        </w:rPr>
      </w:pPr>
    </w:p>
    <w:p w14:paraId="7448A129" w14:textId="3CEEA49B" w:rsidR="002D0F4F" w:rsidRPr="008A6E09" w:rsidRDefault="002D0F4F" w:rsidP="002D0F4F">
      <w:pPr>
        <w:rPr>
          <w:sz w:val="22"/>
          <w:szCs w:val="22"/>
        </w:rPr>
      </w:pPr>
      <w:r w:rsidRPr="008A6E09">
        <w:rPr>
          <w:sz w:val="22"/>
          <w:szCs w:val="22"/>
        </w:rPr>
        <w:t xml:space="preserve">To the extent </w:t>
      </w:r>
      <w:r w:rsidR="007E3B4A">
        <w:rPr>
          <w:sz w:val="22"/>
          <w:szCs w:val="22"/>
        </w:rPr>
        <w:t>that this guidance</w:t>
      </w:r>
      <w:r w:rsidRPr="008A6E09">
        <w:rPr>
          <w:sz w:val="22"/>
          <w:szCs w:val="22"/>
        </w:rPr>
        <w:t xml:space="preserve"> may limit the right to privacy, it would be a permissible limitation. There are a range of protections which apply to the information once it is received:</w:t>
      </w:r>
    </w:p>
    <w:p w14:paraId="4D68025E" w14:textId="42E1D4B2" w:rsidR="002D0F4F" w:rsidRPr="002D0F4F" w:rsidRDefault="002D0F4F" w:rsidP="00471663">
      <w:pPr>
        <w:pStyle w:val="xmsolistparagraph"/>
        <w:numPr>
          <w:ilvl w:val="0"/>
          <w:numId w:val="10"/>
        </w:numPr>
        <w:spacing w:before="120" w:after="120"/>
        <w:rPr>
          <w:rFonts w:ascii="Times New Roman" w:eastAsia="Times New Roman" w:hAnsi="Times New Roman" w:cs="Times New Roman"/>
        </w:rPr>
      </w:pPr>
      <w:r w:rsidRPr="008A6E09">
        <w:rPr>
          <w:rFonts w:ascii="Times New Roman" w:eastAsia="Times New Roman" w:hAnsi="Times New Roman" w:cs="Times New Roman"/>
        </w:rPr>
        <w:t xml:space="preserve">The Commonwealth </w:t>
      </w:r>
      <w:r w:rsidR="00E858AF">
        <w:rPr>
          <w:rFonts w:ascii="Times New Roman" w:eastAsia="Times New Roman" w:hAnsi="Times New Roman" w:cs="Times New Roman"/>
        </w:rPr>
        <w:t>WHS</w:t>
      </w:r>
      <w:r w:rsidRPr="008A6E09">
        <w:rPr>
          <w:rFonts w:ascii="Times New Roman" w:eastAsia="Times New Roman" w:hAnsi="Times New Roman" w:cs="Times New Roman"/>
        </w:rPr>
        <w:t xml:space="preserve"> jurisdiction is unique in that it applies to the Commonwealth, public </w:t>
      </w:r>
      <w:r w:rsidR="00811A0A" w:rsidRPr="008A6E09">
        <w:rPr>
          <w:rFonts w:ascii="Times New Roman" w:eastAsia="Times New Roman" w:hAnsi="Times New Roman" w:cs="Times New Roman"/>
        </w:rPr>
        <w:t>authorities,</w:t>
      </w:r>
      <w:r w:rsidRPr="008A6E09">
        <w:rPr>
          <w:rFonts w:ascii="Times New Roman" w:eastAsia="Times New Roman" w:hAnsi="Times New Roman" w:cs="Times New Roman"/>
        </w:rPr>
        <w:t xml:space="preserve"> and non-Commonwealth licensees (large companies)</w:t>
      </w:r>
      <w:r w:rsidR="00CD3951">
        <w:rPr>
          <w:rFonts w:ascii="Times New Roman" w:eastAsia="Times New Roman" w:hAnsi="Times New Roman" w:cs="Times New Roman"/>
        </w:rPr>
        <w:t xml:space="preserve">, all of which are </w:t>
      </w:r>
      <w:r w:rsidRPr="008A6E09">
        <w:rPr>
          <w:rFonts w:ascii="Times New Roman" w:eastAsia="Times New Roman" w:hAnsi="Times New Roman" w:cs="Times New Roman"/>
        </w:rPr>
        <w:t xml:space="preserve">subject to the Privacy Act. </w:t>
      </w:r>
      <w:r w:rsidR="00CD3951">
        <w:rPr>
          <w:rFonts w:ascii="Times New Roman" w:eastAsia="Times New Roman" w:hAnsi="Times New Roman" w:cs="Times New Roman"/>
        </w:rPr>
        <w:t xml:space="preserve">In addition, contracted service providers for an Australian Government contract are also subject to the Privacy Act, which would apply where such </w:t>
      </w:r>
      <w:r w:rsidR="00CD3951">
        <w:rPr>
          <w:rFonts w:ascii="Times New Roman" w:eastAsia="Times New Roman" w:hAnsi="Times New Roman" w:cs="Times New Roman"/>
        </w:rPr>
        <w:lastRenderedPageBreak/>
        <w:t>c</w:t>
      </w:r>
      <w:r w:rsidRPr="008A6E09">
        <w:rPr>
          <w:rFonts w:ascii="Times New Roman" w:eastAsia="Times New Roman" w:hAnsi="Times New Roman" w:cs="Times New Roman"/>
        </w:rPr>
        <w:t xml:space="preserve">ontractors </w:t>
      </w:r>
      <w:r w:rsidR="00CD3951">
        <w:rPr>
          <w:rFonts w:ascii="Times New Roman" w:eastAsia="Times New Roman" w:hAnsi="Times New Roman" w:cs="Times New Roman"/>
        </w:rPr>
        <w:t>are</w:t>
      </w:r>
      <w:r w:rsidRPr="008A6E09">
        <w:rPr>
          <w:rFonts w:ascii="Times New Roman" w:eastAsia="Times New Roman" w:hAnsi="Times New Roman" w:cs="Times New Roman"/>
        </w:rPr>
        <w:t xml:space="preserve"> provided </w:t>
      </w:r>
      <w:r w:rsidR="00CD3951">
        <w:rPr>
          <w:rFonts w:ascii="Times New Roman" w:eastAsia="Times New Roman" w:hAnsi="Times New Roman" w:cs="Times New Roman"/>
        </w:rPr>
        <w:t xml:space="preserve">with </w:t>
      </w:r>
      <w:r w:rsidRPr="008A6E09">
        <w:rPr>
          <w:rFonts w:ascii="Times New Roman" w:eastAsia="Times New Roman" w:hAnsi="Times New Roman" w:cs="Times New Roman"/>
        </w:rPr>
        <w:t xml:space="preserve">information </w:t>
      </w:r>
      <w:r w:rsidR="00CD3951">
        <w:rPr>
          <w:rFonts w:ascii="Times New Roman" w:eastAsia="Times New Roman" w:hAnsi="Times New Roman" w:cs="Times New Roman"/>
        </w:rPr>
        <w:t>due to a shared responsibility between the Commonwealth and that contractor</w:t>
      </w:r>
      <w:r w:rsidRPr="008A6E09">
        <w:rPr>
          <w:rFonts w:ascii="Times New Roman" w:eastAsia="Times New Roman" w:hAnsi="Times New Roman" w:cs="Times New Roman"/>
        </w:rPr>
        <w:t xml:space="preserve"> for a worker’s health monitoring. </w:t>
      </w:r>
    </w:p>
    <w:p w14:paraId="215B9D01" w14:textId="41969793" w:rsidR="002D0F4F" w:rsidRDefault="002D0F4F" w:rsidP="00471663">
      <w:pPr>
        <w:pStyle w:val="xmsolistparagraph"/>
        <w:numPr>
          <w:ilvl w:val="0"/>
          <w:numId w:val="10"/>
        </w:numPr>
        <w:spacing w:before="120" w:after="120"/>
        <w:rPr>
          <w:rFonts w:ascii="Times New Roman" w:eastAsia="Times New Roman" w:hAnsi="Times New Roman" w:cs="Times New Roman"/>
        </w:rPr>
      </w:pPr>
      <w:r w:rsidRPr="008A6E09">
        <w:rPr>
          <w:rFonts w:ascii="Times New Roman" w:eastAsia="Times New Roman" w:hAnsi="Times New Roman" w:cs="Times New Roman"/>
        </w:rPr>
        <w:t xml:space="preserve">Information obtained by Comcare in performing functions under the Act is subject to strict confidentiality provisions (section 271). Information collected by Comcare that is personal information is also subject to the requirements of the Privacy Act which governs its collection, use, disclosure, </w:t>
      </w:r>
      <w:r w:rsidR="00811A0A" w:rsidRPr="008A6E09">
        <w:rPr>
          <w:rFonts w:ascii="Times New Roman" w:eastAsia="Times New Roman" w:hAnsi="Times New Roman" w:cs="Times New Roman"/>
        </w:rPr>
        <w:t>storage,</w:t>
      </w:r>
      <w:r w:rsidRPr="008A6E09">
        <w:rPr>
          <w:rFonts w:ascii="Times New Roman" w:eastAsia="Times New Roman" w:hAnsi="Times New Roman" w:cs="Times New Roman"/>
        </w:rPr>
        <w:t xml:space="preserve"> and disposal.</w:t>
      </w:r>
    </w:p>
    <w:p w14:paraId="3BF2FFB5" w14:textId="6901BA4A" w:rsidR="002D0F4F" w:rsidRDefault="004E3F5D" w:rsidP="00471663">
      <w:pPr>
        <w:pStyle w:val="xmsolistparagraph"/>
        <w:spacing w:before="120" w:after="120"/>
        <w:ind w:left="0"/>
        <w:rPr>
          <w:rFonts w:ascii="Times New Roman" w:eastAsia="Times New Roman" w:hAnsi="Times New Roman" w:cs="Times New Roman"/>
        </w:rPr>
      </w:pPr>
      <w:r>
        <w:rPr>
          <w:rFonts w:ascii="Times New Roman" w:eastAsia="Times New Roman" w:hAnsi="Times New Roman" w:cs="Times New Roman"/>
        </w:rPr>
        <w:t xml:space="preserve">The guidance in the Code is reasonable and proportionate to the extent that it seeks to ensure that reports and complaints about psychosocial hazards are </w:t>
      </w:r>
      <w:r w:rsidR="00B207CE">
        <w:rPr>
          <w:rFonts w:ascii="Times New Roman" w:eastAsia="Times New Roman" w:hAnsi="Times New Roman" w:cs="Times New Roman"/>
        </w:rPr>
        <w:t>addressed</w:t>
      </w:r>
      <w:r>
        <w:rPr>
          <w:rFonts w:ascii="Times New Roman" w:eastAsia="Times New Roman" w:hAnsi="Times New Roman" w:cs="Times New Roman"/>
        </w:rPr>
        <w:t xml:space="preserve"> seriously and confidentially</w:t>
      </w:r>
      <w:r w:rsidR="00B207CE">
        <w:rPr>
          <w:rFonts w:ascii="Times New Roman" w:eastAsia="Times New Roman" w:hAnsi="Times New Roman" w:cs="Times New Roman"/>
        </w:rPr>
        <w:t xml:space="preserve">. </w:t>
      </w:r>
      <w:r w:rsidR="00B207CE" w:rsidRPr="00B207CE">
        <w:rPr>
          <w:rFonts w:ascii="Times New Roman" w:eastAsia="Times New Roman" w:hAnsi="Times New Roman" w:cs="Times New Roman"/>
        </w:rPr>
        <w:t xml:space="preserve">Recording information on psychosocial hazards is reasonable, </w:t>
      </w:r>
      <w:r w:rsidR="00811A0A" w:rsidRPr="00B207CE">
        <w:rPr>
          <w:rFonts w:ascii="Times New Roman" w:eastAsia="Times New Roman" w:hAnsi="Times New Roman" w:cs="Times New Roman"/>
        </w:rPr>
        <w:t>necessary,</w:t>
      </w:r>
      <w:r w:rsidR="00B207CE" w:rsidRPr="00B207CE">
        <w:rPr>
          <w:rFonts w:ascii="Times New Roman" w:eastAsia="Times New Roman" w:hAnsi="Times New Roman" w:cs="Times New Roman"/>
        </w:rPr>
        <w:t xml:space="preserve"> and proportionate to achieving the legitimate object of maintaining safe and healthy working conditions, as described in Article 7 of the ICESCR above.</w:t>
      </w:r>
    </w:p>
    <w:p w14:paraId="3B684919" w14:textId="77777777" w:rsidR="00437BD4" w:rsidRDefault="00437BD4" w:rsidP="00B1560F">
      <w:pPr>
        <w:rPr>
          <w:b/>
          <w:sz w:val="22"/>
          <w:szCs w:val="22"/>
        </w:rPr>
      </w:pPr>
    </w:p>
    <w:p w14:paraId="0EFFFFB8" w14:textId="667BBB4A" w:rsidR="00B1560F" w:rsidRPr="00FA76D4" w:rsidRDefault="00B1560F" w:rsidP="00B1560F">
      <w:pPr>
        <w:rPr>
          <w:b/>
          <w:sz w:val="22"/>
          <w:szCs w:val="22"/>
        </w:rPr>
      </w:pPr>
      <w:r w:rsidRPr="00FA76D4">
        <w:rPr>
          <w:b/>
          <w:sz w:val="22"/>
          <w:szCs w:val="22"/>
        </w:rPr>
        <w:t>Conclusion</w:t>
      </w:r>
    </w:p>
    <w:p w14:paraId="0E01F6CF" w14:textId="3C8B76ED" w:rsidR="00B1560F" w:rsidRPr="00FA76D4" w:rsidRDefault="00B1560F" w:rsidP="00B1560F">
      <w:pPr>
        <w:rPr>
          <w:sz w:val="22"/>
          <w:szCs w:val="22"/>
        </w:rPr>
      </w:pPr>
      <w:r w:rsidRPr="39BDB133">
        <w:rPr>
          <w:sz w:val="22"/>
          <w:szCs w:val="22"/>
        </w:rPr>
        <w:t>Th</w:t>
      </w:r>
      <w:r w:rsidR="00196FA9" w:rsidRPr="39BDB133">
        <w:rPr>
          <w:sz w:val="22"/>
          <w:szCs w:val="22"/>
        </w:rPr>
        <w:t>is Legislative</w:t>
      </w:r>
      <w:r w:rsidRPr="39BDB133">
        <w:rPr>
          <w:sz w:val="22"/>
          <w:szCs w:val="22"/>
        </w:rPr>
        <w:t xml:space="preserve"> </w:t>
      </w:r>
      <w:r w:rsidR="006971F1" w:rsidRPr="39BDB133">
        <w:rPr>
          <w:sz w:val="22"/>
          <w:szCs w:val="22"/>
        </w:rPr>
        <w:t>I</w:t>
      </w:r>
      <w:r w:rsidRPr="39BDB133">
        <w:rPr>
          <w:sz w:val="22"/>
          <w:szCs w:val="22"/>
        </w:rPr>
        <w:t>nstrument is compatible with human rights because it promotes the</w:t>
      </w:r>
      <w:r w:rsidR="006971F1" w:rsidRPr="39BDB133">
        <w:rPr>
          <w:sz w:val="22"/>
          <w:szCs w:val="22"/>
        </w:rPr>
        <w:t xml:space="preserve"> right to safe and health</w:t>
      </w:r>
      <w:r w:rsidR="003F27F5" w:rsidRPr="39BDB133">
        <w:rPr>
          <w:sz w:val="22"/>
          <w:szCs w:val="22"/>
        </w:rPr>
        <w:t xml:space="preserve">y working conditions by </w:t>
      </w:r>
      <w:r w:rsidR="00816D0B" w:rsidRPr="39BDB133">
        <w:rPr>
          <w:sz w:val="22"/>
          <w:szCs w:val="22"/>
        </w:rPr>
        <w:t>providing practical guidance</w:t>
      </w:r>
      <w:r w:rsidR="002D0F4F" w:rsidRPr="39BDB133">
        <w:rPr>
          <w:sz w:val="22"/>
          <w:szCs w:val="22"/>
        </w:rPr>
        <w:t xml:space="preserve"> to</w:t>
      </w:r>
      <w:r w:rsidR="00687327" w:rsidRPr="39BDB133">
        <w:rPr>
          <w:sz w:val="22"/>
          <w:szCs w:val="22"/>
        </w:rPr>
        <w:t xml:space="preserve"> </w:t>
      </w:r>
      <w:r w:rsidR="001B4C91">
        <w:rPr>
          <w:sz w:val="22"/>
          <w:szCs w:val="22"/>
        </w:rPr>
        <w:t>PCBUs</w:t>
      </w:r>
      <w:r w:rsidR="004E5998" w:rsidRPr="39BDB133">
        <w:rPr>
          <w:sz w:val="22"/>
          <w:szCs w:val="22"/>
        </w:rPr>
        <w:t xml:space="preserve"> </w:t>
      </w:r>
      <w:r w:rsidR="002D0F4F" w:rsidRPr="39BDB133">
        <w:rPr>
          <w:sz w:val="22"/>
          <w:szCs w:val="22"/>
        </w:rPr>
        <w:t>on how to</w:t>
      </w:r>
      <w:r w:rsidR="004F5A46" w:rsidRPr="39BDB133">
        <w:rPr>
          <w:sz w:val="22"/>
          <w:szCs w:val="22"/>
        </w:rPr>
        <w:t xml:space="preserve"> </w:t>
      </w:r>
      <w:r w:rsidR="007D501B" w:rsidRPr="39BDB133">
        <w:rPr>
          <w:sz w:val="22"/>
          <w:szCs w:val="22"/>
        </w:rPr>
        <w:t>manag</w:t>
      </w:r>
      <w:r w:rsidR="002D0F4F" w:rsidRPr="39BDB133">
        <w:rPr>
          <w:sz w:val="22"/>
          <w:szCs w:val="22"/>
        </w:rPr>
        <w:t>e</w:t>
      </w:r>
      <w:r w:rsidR="00687327" w:rsidRPr="39BDB133">
        <w:rPr>
          <w:sz w:val="22"/>
          <w:szCs w:val="22"/>
        </w:rPr>
        <w:t xml:space="preserve"> </w:t>
      </w:r>
      <w:r w:rsidR="003F27F5" w:rsidRPr="39BDB133">
        <w:rPr>
          <w:sz w:val="22"/>
          <w:szCs w:val="22"/>
        </w:rPr>
        <w:t>psychosocial hazards at work</w:t>
      </w:r>
      <w:r w:rsidRPr="39BDB133">
        <w:rPr>
          <w:sz w:val="22"/>
          <w:szCs w:val="22"/>
        </w:rPr>
        <w:t xml:space="preserve">. </w:t>
      </w:r>
      <w:r w:rsidR="002D0F4F" w:rsidRPr="39BDB133">
        <w:rPr>
          <w:sz w:val="22"/>
          <w:szCs w:val="22"/>
        </w:rPr>
        <w:t xml:space="preserve">To the extent that it may limit human rights, those limitations are reasonable, </w:t>
      </w:r>
      <w:r w:rsidR="00811A0A" w:rsidRPr="39BDB133">
        <w:rPr>
          <w:sz w:val="22"/>
          <w:szCs w:val="22"/>
        </w:rPr>
        <w:t>necessary,</w:t>
      </w:r>
      <w:r w:rsidR="002D0F4F" w:rsidRPr="39BDB133">
        <w:rPr>
          <w:sz w:val="22"/>
          <w:szCs w:val="22"/>
        </w:rPr>
        <w:t xml:space="preserve"> and proportionate.</w:t>
      </w:r>
    </w:p>
    <w:p w14:paraId="7C66292E" w14:textId="77777777" w:rsidR="00B1560F" w:rsidRPr="00FA76D4" w:rsidRDefault="00B1560F" w:rsidP="00B1560F">
      <w:pPr>
        <w:rPr>
          <w:sz w:val="22"/>
          <w:szCs w:val="22"/>
        </w:rPr>
      </w:pPr>
    </w:p>
    <w:p w14:paraId="7646BC93" w14:textId="176012EE" w:rsidR="00B1560F" w:rsidRPr="00FA76D4" w:rsidRDefault="00B1560F" w:rsidP="00471663">
      <w:pPr>
        <w:jc w:val="center"/>
        <w:rPr>
          <w:b/>
          <w:sz w:val="22"/>
          <w:szCs w:val="22"/>
        </w:rPr>
      </w:pPr>
      <w:r w:rsidRPr="00FA76D4">
        <w:rPr>
          <w:b/>
          <w:sz w:val="22"/>
          <w:szCs w:val="22"/>
        </w:rPr>
        <w:t xml:space="preserve">Minister for Employment and Workplace Relations, </w:t>
      </w:r>
      <w:r w:rsidR="00412ACF">
        <w:rPr>
          <w:b/>
          <w:sz w:val="22"/>
          <w:szCs w:val="22"/>
        </w:rPr>
        <w:t xml:space="preserve">Senator </w:t>
      </w:r>
      <w:r w:rsidRPr="00FA76D4">
        <w:rPr>
          <w:b/>
          <w:sz w:val="22"/>
          <w:szCs w:val="22"/>
        </w:rPr>
        <w:t xml:space="preserve">the Hon </w:t>
      </w:r>
      <w:r w:rsidR="00412ACF">
        <w:rPr>
          <w:b/>
          <w:sz w:val="22"/>
          <w:szCs w:val="22"/>
        </w:rPr>
        <w:t>Murray Watt</w:t>
      </w:r>
    </w:p>
    <w:p w14:paraId="12BD3EC7" w14:textId="77777777" w:rsidR="00B1560F" w:rsidRPr="0087529C" w:rsidRDefault="00B1560F" w:rsidP="00B1560F">
      <w:pPr>
        <w:rPr>
          <w:sz w:val="22"/>
          <w:szCs w:val="22"/>
        </w:rPr>
      </w:pPr>
    </w:p>
    <w:p w14:paraId="011E1703" w14:textId="77777777" w:rsidR="00B1560F" w:rsidRPr="0087529C" w:rsidRDefault="00B1560F" w:rsidP="00B1560F">
      <w:pPr>
        <w:rPr>
          <w:sz w:val="22"/>
          <w:szCs w:val="22"/>
        </w:rPr>
      </w:pPr>
    </w:p>
    <w:p w14:paraId="11F53453" w14:textId="77777777" w:rsidR="00BC2095" w:rsidRPr="0087529C" w:rsidRDefault="00BC2095" w:rsidP="00B1560F">
      <w:pPr>
        <w:rPr>
          <w:sz w:val="22"/>
          <w:szCs w:val="22"/>
        </w:rPr>
      </w:pPr>
    </w:p>
    <w:sectPr w:rsidR="00BC2095" w:rsidRPr="0087529C">
      <w:head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83BA6" w14:textId="77777777" w:rsidR="002007B1" w:rsidRDefault="002007B1">
      <w:r>
        <w:separator/>
      </w:r>
    </w:p>
  </w:endnote>
  <w:endnote w:type="continuationSeparator" w:id="0">
    <w:p w14:paraId="3C57B0EE" w14:textId="77777777" w:rsidR="002007B1" w:rsidRDefault="002007B1">
      <w:r>
        <w:continuationSeparator/>
      </w:r>
    </w:p>
  </w:endnote>
  <w:endnote w:type="continuationNotice" w:id="1">
    <w:p w14:paraId="1C6187ED" w14:textId="77777777" w:rsidR="002007B1" w:rsidRDefault="002007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684317"/>
      <w:docPartObj>
        <w:docPartGallery w:val="Page Numbers (Bottom of Page)"/>
        <w:docPartUnique/>
      </w:docPartObj>
    </w:sdtPr>
    <w:sdtEndPr>
      <w:rPr>
        <w:noProof/>
      </w:rPr>
    </w:sdtEndPr>
    <w:sdtContent>
      <w:p w14:paraId="251AA83A" w14:textId="77777777" w:rsidR="00B1560F" w:rsidRDefault="00B1560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AB48B7F" w14:textId="77777777" w:rsidR="00B1560F" w:rsidRDefault="00B15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4E685" w14:textId="77777777" w:rsidR="002007B1" w:rsidRDefault="002007B1">
      <w:r>
        <w:separator/>
      </w:r>
    </w:p>
  </w:footnote>
  <w:footnote w:type="continuationSeparator" w:id="0">
    <w:p w14:paraId="53A17D05" w14:textId="77777777" w:rsidR="002007B1" w:rsidRDefault="002007B1">
      <w:r>
        <w:continuationSeparator/>
      </w:r>
    </w:p>
  </w:footnote>
  <w:footnote w:type="continuationNotice" w:id="1">
    <w:p w14:paraId="1928C0FC" w14:textId="77777777" w:rsidR="002007B1" w:rsidRDefault="002007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687A" w14:textId="304B8C69" w:rsidR="00B1560F" w:rsidRPr="00B1560F" w:rsidRDefault="00B1560F" w:rsidP="00B1560F">
    <w:pPr>
      <w:pStyle w:val="Header"/>
      <w:jc w:val="right"/>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1728" w14:textId="7493576B" w:rsidR="00651A5B" w:rsidRPr="00D24F05" w:rsidRDefault="00651A5B">
    <w:pPr>
      <w:pStyle w:val="Header"/>
      <w:jc w:val="right"/>
      <w:rPr>
        <w:b/>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06A"/>
    <w:multiLevelType w:val="hybridMultilevel"/>
    <w:tmpl w:val="3724D7DE"/>
    <w:lvl w:ilvl="0" w:tplc="0C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BE3091E"/>
    <w:multiLevelType w:val="hybridMultilevel"/>
    <w:tmpl w:val="DDC2F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B411F3"/>
    <w:multiLevelType w:val="hybridMultilevel"/>
    <w:tmpl w:val="82C09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F77233"/>
    <w:multiLevelType w:val="hybridMultilevel"/>
    <w:tmpl w:val="D0B2E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116356"/>
    <w:multiLevelType w:val="multilevel"/>
    <w:tmpl w:val="2744B0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A147CF"/>
    <w:multiLevelType w:val="hybridMultilevel"/>
    <w:tmpl w:val="C28AC432"/>
    <w:lvl w:ilvl="0" w:tplc="B5782B98">
      <w:numFmt w:val="bullet"/>
      <w:lvlText w:val="·"/>
      <w:lvlJc w:val="left"/>
      <w:pPr>
        <w:ind w:left="975" w:hanging="61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8B514F"/>
    <w:multiLevelType w:val="hybridMultilevel"/>
    <w:tmpl w:val="F2321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425163"/>
    <w:multiLevelType w:val="hybridMultilevel"/>
    <w:tmpl w:val="11A0A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F36FA6"/>
    <w:multiLevelType w:val="hybridMultilevel"/>
    <w:tmpl w:val="C7BAC24C"/>
    <w:lvl w:ilvl="0" w:tplc="4CB2A07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776623"/>
    <w:multiLevelType w:val="hybridMultilevel"/>
    <w:tmpl w:val="19F418A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FF70F66"/>
    <w:multiLevelType w:val="hybridMultilevel"/>
    <w:tmpl w:val="F2449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6D7F75"/>
    <w:multiLevelType w:val="hybridMultilevel"/>
    <w:tmpl w:val="15F474C8"/>
    <w:lvl w:ilvl="0" w:tplc="0C090001">
      <w:start w:val="1"/>
      <w:numFmt w:val="bullet"/>
      <w:lvlText w:val=""/>
      <w:lvlJc w:val="left"/>
      <w:pPr>
        <w:ind w:left="975" w:hanging="61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47A104A"/>
    <w:multiLevelType w:val="hybridMultilevel"/>
    <w:tmpl w:val="53F2C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573982"/>
    <w:multiLevelType w:val="hybridMultilevel"/>
    <w:tmpl w:val="00F2B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456429"/>
    <w:multiLevelType w:val="multilevel"/>
    <w:tmpl w:val="11D68A1C"/>
    <w:lvl w:ilvl="0">
      <w:start w:val="1"/>
      <w:numFmt w:val="decimal"/>
      <w:pStyle w:val="ListNumber"/>
      <w:lvlText w:val="%1."/>
      <w:lvlJc w:val="left"/>
      <w:pPr>
        <w:ind w:left="369" w:hanging="369"/>
      </w:pPr>
      <w:rPr>
        <w:rFonts w:ascii="Arial" w:hAnsi="Arial" w:hint="default"/>
        <w:color w:val="auto"/>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5" w15:restartNumberingAfterBreak="0">
    <w:nsid w:val="682A4F32"/>
    <w:multiLevelType w:val="hybridMultilevel"/>
    <w:tmpl w:val="039A6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86386D"/>
    <w:multiLevelType w:val="hybridMultilevel"/>
    <w:tmpl w:val="C3460C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547108761">
    <w:abstractNumId w:val="8"/>
  </w:num>
  <w:num w:numId="2" w16cid:durableId="241765612">
    <w:abstractNumId w:val="10"/>
  </w:num>
  <w:num w:numId="3" w16cid:durableId="1489783109">
    <w:abstractNumId w:val="2"/>
  </w:num>
  <w:num w:numId="4" w16cid:durableId="573246260">
    <w:abstractNumId w:val="12"/>
  </w:num>
  <w:num w:numId="5" w16cid:durableId="702484207">
    <w:abstractNumId w:val="5"/>
  </w:num>
  <w:num w:numId="6" w16cid:durableId="1808861787">
    <w:abstractNumId w:val="11"/>
  </w:num>
  <w:num w:numId="7" w16cid:durableId="380787438">
    <w:abstractNumId w:val="7"/>
  </w:num>
  <w:num w:numId="8" w16cid:durableId="1294170105">
    <w:abstractNumId w:val="1"/>
  </w:num>
  <w:num w:numId="9" w16cid:durableId="919951851">
    <w:abstractNumId w:val="9"/>
  </w:num>
  <w:num w:numId="10" w16cid:durableId="1567648182">
    <w:abstractNumId w:val="4"/>
  </w:num>
  <w:num w:numId="11" w16cid:durableId="2138794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833151">
    <w:abstractNumId w:val="0"/>
  </w:num>
  <w:num w:numId="13" w16cid:durableId="1752971776">
    <w:abstractNumId w:val="13"/>
  </w:num>
  <w:num w:numId="14" w16cid:durableId="1063992406">
    <w:abstractNumId w:val="16"/>
  </w:num>
  <w:num w:numId="15" w16cid:durableId="1570732071">
    <w:abstractNumId w:val="6"/>
  </w:num>
  <w:num w:numId="16" w16cid:durableId="1596595692">
    <w:abstractNumId w:val="3"/>
  </w:num>
  <w:num w:numId="17" w16cid:durableId="17583604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A3"/>
    <w:rsid w:val="00001839"/>
    <w:rsid w:val="00002390"/>
    <w:rsid w:val="00002BC9"/>
    <w:rsid w:val="000128EB"/>
    <w:rsid w:val="00013718"/>
    <w:rsid w:val="00013ABD"/>
    <w:rsid w:val="000179AC"/>
    <w:rsid w:val="0002146A"/>
    <w:rsid w:val="0002239A"/>
    <w:rsid w:val="00023858"/>
    <w:rsid w:val="00025FF7"/>
    <w:rsid w:val="0002648C"/>
    <w:rsid w:val="000269E7"/>
    <w:rsid w:val="00027FF4"/>
    <w:rsid w:val="00030CB8"/>
    <w:rsid w:val="00030F6C"/>
    <w:rsid w:val="00031207"/>
    <w:rsid w:val="000323AE"/>
    <w:rsid w:val="000405A5"/>
    <w:rsid w:val="000417F7"/>
    <w:rsid w:val="00043E81"/>
    <w:rsid w:val="00044D6D"/>
    <w:rsid w:val="0004566E"/>
    <w:rsid w:val="0004654D"/>
    <w:rsid w:val="0005182E"/>
    <w:rsid w:val="00052E02"/>
    <w:rsid w:val="000560EC"/>
    <w:rsid w:val="00056EF3"/>
    <w:rsid w:val="000615E4"/>
    <w:rsid w:val="00062D99"/>
    <w:rsid w:val="00063025"/>
    <w:rsid w:val="000648A2"/>
    <w:rsid w:val="00064EA5"/>
    <w:rsid w:val="0007581B"/>
    <w:rsid w:val="00077FF2"/>
    <w:rsid w:val="00080867"/>
    <w:rsid w:val="00081212"/>
    <w:rsid w:val="00084C25"/>
    <w:rsid w:val="00085D87"/>
    <w:rsid w:val="000865CA"/>
    <w:rsid w:val="000904D9"/>
    <w:rsid w:val="00091BF6"/>
    <w:rsid w:val="000947FB"/>
    <w:rsid w:val="000974BB"/>
    <w:rsid w:val="000A4968"/>
    <w:rsid w:val="000A4B5C"/>
    <w:rsid w:val="000A5619"/>
    <w:rsid w:val="000B03C6"/>
    <w:rsid w:val="000B3683"/>
    <w:rsid w:val="000B6719"/>
    <w:rsid w:val="000B6F88"/>
    <w:rsid w:val="000C3E1E"/>
    <w:rsid w:val="000C47B2"/>
    <w:rsid w:val="000C7A5A"/>
    <w:rsid w:val="000D0508"/>
    <w:rsid w:val="000D3071"/>
    <w:rsid w:val="000E61C6"/>
    <w:rsid w:val="000E6E49"/>
    <w:rsid w:val="000F1774"/>
    <w:rsid w:val="000F6DE6"/>
    <w:rsid w:val="000F6FA4"/>
    <w:rsid w:val="000F78A9"/>
    <w:rsid w:val="0010075B"/>
    <w:rsid w:val="00102D29"/>
    <w:rsid w:val="00107393"/>
    <w:rsid w:val="00110295"/>
    <w:rsid w:val="0011172A"/>
    <w:rsid w:val="00112ABF"/>
    <w:rsid w:val="00120D3D"/>
    <w:rsid w:val="00123F99"/>
    <w:rsid w:val="00125C13"/>
    <w:rsid w:val="001265A3"/>
    <w:rsid w:val="00126EA7"/>
    <w:rsid w:val="001319FE"/>
    <w:rsid w:val="00133D10"/>
    <w:rsid w:val="001365C3"/>
    <w:rsid w:val="001400D8"/>
    <w:rsid w:val="00140E31"/>
    <w:rsid w:val="00141616"/>
    <w:rsid w:val="001417DB"/>
    <w:rsid w:val="00141905"/>
    <w:rsid w:val="00143AE3"/>
    <w:rsid w:val="001448E5"/>
    <w:rsid w:val="00146A66"/>
    <w:rsid w:val="001518B5"/>
    <w:rsid w:val="00151ECC"/>
    <w:rsid w:val="00153221"/>
    <w:rsid w:val="00155B44"/>
    <w:rsid w:val="00155F14"/>
    <w:rsid w:val="001566A1"/>
    <w:rsid w:val="00157C2B"/>
    <w:rsid w:val="00162262"/>
    <w:rsid w:val="001651FB"/>
    <w:rsid w:val="00165BAA"/>
    <w:rsid w:val="00175030"/>
    <w:rsid w:val="00190DC0"/>
    <w:rsid w:val="00191A73"/>
    <w:rsid w:val="001932AC"/>
    <w:rsid w:val="00196FA9"/>
    <w:rsid w:val="001A217B"/>
    <w:rsid w:val="001A38A8"/>
    <w:rsid w:val="001A54ED"/>
    <w:rsid w:val="001A66F7"/>
    <w:rsid w:val="001B1755"/>
    <w:rsid w:val="001B191A"/>
    <w:rsid w:val="001B1C64"/>
    <w:rsid w:val="001B30D3"/>
    <w:rsid w:val="001B4C91"/>
    <w:rsid w:val="001C259D"/>
    <w:rsid w:val="001C30F5"/>
    <w:rsid w:val="001C585B"/>
    <w:rsid w:val="001C5C4F"/>
    <w:rsid w:val="001C703A"/>
    <w:rsid w:val="001D0994"/>
    <w:rsid w:val="001D280C"/>
    <w:rsid w:val="001D3D35"/>
    <w:rsid w:val="001D4398"/>
    <w:rsid w:val="001D71F6"/>
    <w:rsid w:val="001E5045"/>
    <w:rsid w:val="001E526C"/>
    <w:rsid w:val="001E78E7"/>
    <w:rsid w:val="001F129A"/>
    <w:rsid w:val="001F1366"/>
    <w:rsid w:val="001F3730"/>
    <w:rsid w:val="002003AC"/>
    <w:rsid w:val="002007B1"/>
    <w:rsid w:val="00201F49"/>
    <w:rsid w:val="00202731"/>
    <w:rsid w:val="002046B0"/>
    <w:rsid w:val="00204968"/>
    <w:rsid w:val="002067A8"/>
    <w:rsid w:val="002072A1"/>
    <w:rsid w:val="00213FDC"/>
    <w:rsid w:val="00220749"/>
    <w:rsid w:val="00221608"/>
    <w:rsid w:val="00224243"/>
    <w:rsid w:val="00234192"/>
    <w:rsid w:val="002357EB"/>
    <w:rsid w:val="0023779D"/>
    <w:rsid w:val="00237904"/>
    <w:rsid w:val="00241CE8"/>
    <w:rsid w:val="00241DA8"/>
    <w:rsid w:val="002430E0"/>
    <w:rsid w:val="00245EBB"/>
    <w:rsid w:val="002527E1"/>
    <w:rsid w:val="00252803"/>
    <w:rsid w:val="002535AD"/>
    <w:rsid w:val="0025545C"/>
    <w:rsid w:val="00255D9A"/>
    <w:rsid w:val="00255FA6"/>
    <w:rsid w:val="002577A9"/>
    <w:rsid w:val="00260662"/>
    <w:rsid w:val="00260F42"/>
    <w:rsid w:val="0026573A"/>
    <w:rsid w:val="0026675B"/>
    <w:rsid w:val="00266C95"/>
    <w:rsid w:val="00270A23"/>
    <w:rsid w:val="00272638"/>
    <w:rsid w:val="00274A8F"/>
    <w:rsid w:val="00282A1B"/>
    <w:rsid w:val="00283C9D"/>
    <w:rsid w:val="00285738"/>
    <w:rsid w:val="00287F45"/>
    <w:rsid w:val="0029306B"/>
    <w:rsid w:val="00294188"/>
    <w:rsid w:val="0029485E"/>
    <w:rsid w:val="0029713A"/>
    <w:rsid w:val="002A1664"/>
    <w:rsid w:val="002A2EF0"/>
    <w:rsid w:val="002A4DC0"/>
    <w:rsid w:val="002A5F77"/>
    <w:rsid w:val="002A79AF"/>
    <w:rsid w:val="002B0590"/>
    <w:rsid w:val="002C4D58"/>
    <w:rsid w:val="002C5EEF"/>
    <w:rsid w:val="002C632F"/>
    <w:rsid w:val="002C73AA"/>
    <w:rsid w:val="002D0F4F"/>
    <w:rsid w:val="002D2553"/>
    <w:rsid w:val="002D313C"/>
    <w:rsid w:val="002D4396"/>
    <w:rsid w:val="002D5B57"/>
    <w:rsid w:val="002D64A2"/>
    <w:rsid w:val="002D6BB9"/>
    <w:rsid w:val="002E1618"/>
    <w:rsid w:val="002E2122"/>
    <w:rsid w:val="002E3DC9"/>
    <w:rsid w:val="002E4114"/>
    <w:rsid w:val="002E52DF"/>
    <w:rsid w:val="002E5B81"/>
    <w:rsid w:val="002F45E1"/>
    <w:rsid w:val="002F54FD"/>
    <w:rsid w:val="002F77E9"/>
    <w:rsid w:val="00301156"/>
    <w:rsid w:val="003029E9"/>
    <w:rsid w:val="003038EA"/>
    <w:rsid w:val="00310E29"/>
    <w:rsid w:val="00321553"/>
    <w:rsid w:val="0032350B"/>
    <w:rsid w:val="0032376A"/>
    <w:rsid w:val="0032720D"/>
    <w:rsid w:val="00330241"/>
    <w:rsid w:val="003307FE"/>
    <w:rsid w:val="00331951"/>
    <w:rsid w:val="00331A0A"/>
    <w:rsid w:val="00336024"/>
    <w:rsid w:val="0034249A"/>
    <w:rsid w:val="00344B07"/>
    <w:rsid w:val="00352D52"/>
    <w:rsid w:val="0035410E"/>
    <w:rsid w:val="003608CD"/>
    <w:rsid w:val="003642FC"/>
    <w:rsid w:val="00365672"/>
    <w:rsid w:val="003660EF"/>
    <w:rsid w:val="00366C44"/>
    <w:rsid w:val="00373356"/>
    <w:rsid w:val="0037528A"/>
    <w:rsid w:val="00380A57"/>
    <w:rsid w:val="003813B7"/>
    <w:rsid w:val="00383B83"/>
    <w:rsid w:val="00385769"/>
    <w:rsid w:val="00390FA9"/>
    <w:rsid w:val="00393C92"/>
    <w:rsid w:val="00397E99"/>
    <w:rsid w:val="003A4FAC"/>
    <w:rsid w:val="003A5F8E"/>
    <w:rsid w:val="003B0FB9"/>
    <w:rsid w:val="003B26B2"/>
    <w:rsid w:val="003B5646"/>
    <w:rsid w:val="003B67D0"/>
    <w:rsid w:val="003B6E4E"/>
    <w:rsid w:val="003C02A3"/>
    <w:rsid w:val="003C163A"/>
    <w:rsid w:val="003C20CE"/>
    <w:rsid w:val="003C24B4"/>
    <w:rsid w:val="003D2117"/>
    <w:rsid w:val="003D30B4"/>
    <w:rsid w:val="003D53D9"/>
    <w:rsid w:val="003D56EA"/>
    <w:rsid w:val="003D59A9"/>
    <w:rsid w:val="003D7A15"/>
    <w:rsid w:val="003E6282"/>
    <w:rsid w:val="003E6A1F"/>
    <w:rsid w:val="003E7FAD"/>
    <w:rsid w:val="003F07DA"/>
    <w:rsid w:val="003F1799"/>
    <w:rsid w:val="003F27F5"/>
    <w:rsid w:val="003F330B"/>
    <w:rsid w:val="003F6334"/>
    <w:rsid w:val="003F75A1"/>
    <w:rsid w:val="00400A5C"/>
    <w:rsid w:val="004018BA"/>
    <w:rsid w:val="0041071D"/>
    <w:rsid w:val="004109E1"/>
    <w:rsid w:val="0041227A"/>
    <w:rsid w:val="00412ACF"/>
    <w:rsid w:val="004137ED"/>
    <w:rsid w:val="00422F64"/>
    <w:rsid w:val="00425FAB"/>
    <w:rsid w:val="0043208E"/>
    <w:rsid w:val="00436A82"/>
    <w:rsid w:val="00437BD4"/>
    <w:rsid w:val="00451B01"/>
    <w:rsid w:val="00451B88"/>
    <w:rsid w:val="0045258B"/>
    <w:rsid w:val="0045300B"/>
    <w:rsid w:val="00453EF5"/>
    <w:rsid w:val="0046006E"/>
    <w:rsid w:val="004611F6"/>
    <w:rsid w:val="00461B09"/>
    <w:rsid w:val="00461F1D"/>
    <w:rsid w:val="004631D1"/>
    <w:rsid w:val="004649D5"/>
    <w:rsid w:val="004658A9"/>
    <w:rsid w:val="00466E81"/>
    <w:rsid w:val="00471663"/>
    <w:rsid w:val="004720E7"/>
    <w:rsid w:val="004724E9"/>
    <w:rsid w:val="00472C6C"/>
    <w:rsid w:val="00472CB6"/>
    <w:rsid w:val="00477509"/>
    <w:rsid w:val="00484AD6"/>
    <w:rsid w:val="00487852"/>
    <w:rsid w:val="00490149"/>
    <w:rsid w:val="004904CE"/>
    <w:rsid w:val="00491579"/>
    <w:rsid w:val="0049279D"/>
    <w:rsid w:val="004A7AB1"/>
    <w:rsid w:val="004B0A40"/>
    <w:rsid w:val="004B1331"/>
    <w:rsid w:val="004B2A4C"/>
    <w:rsid w:val="004C15C8"/>
    <w:rsid w:val="004C3CDB"/>
    <w:rsid w:val="004C3D78"/>
    <w:rsid w:val="004C41AE"/>
    <w:rsid w:val="004C6900"/>
    <w:rsid w:val="004D45C6"/>
    <w:rsid w:val="004E15FF"/>
    <w:rsid w:val="004E3EC6"/>
    <w:rsid w:val="004E3F5D"/>
    <w:rsid w:val="004E4B3F"/>
    <w:rsid w:val="004E57DB"/>
    <w:rsid w:val="004E5998"/>
    <w:rsid w:val="004E5FC3"/>
    <w:rsid w:val="004E6326"/>
    <w:rsid w:val="004E7389"/>
    <w:rsid w:val="004F19B3"/>
    <w:rsid w:val="004F5A46"/>
    <w:rsid w:val="004F72D6"/>
    <w:rsid w:val="004F7E22"/>
    <w:rsid w:val="00501F06"/>
    <w:rsid w:val="00503604"/>
    <w:rsid w:val="00504A9E"/>
    <w:rsid w:val="00504D9F"/>
    <w:rsid w:val="00506A67"/>
    <w:rsid w:val="0051076C"/>
    <w:rsid w:val="00511CA8"/>
    <w:rsid w:val="00512948"/>
    <w:rsid w:val="00514897"/>
    <w:rsid w:val="00516753"/>
    <w:rsid w:val="00517041"/>
    <w:rsid w:val="005171AA"/>
    <w:rsid w:val="00522716"/>
    <w:rsid w:val="0052364B"/>
    <w:rsid w:val="00524796"/>
    <w:rsid w:val="005257C0"/>
    <w:rsid w:val="00526B3A"/>
    <w:rsid w:val="00533C82"/>
    <w:rsid w:val="0053722E"/>
    <w:rsid w:val="0054023A"/>
    <w:rsid w:val="0054198B"/>
    <w:rsid w:val="00542D27"/>
    <w:rsid w:val="005442F5"/>
    <w:rsid w:val="00544524"/>
    <w:rsid w:val="00551F4B"/>
    <w:rsid w:val="00552C93"/>
    <w:rsid w:val="005543AF"/>
    <w:rsid w:val="00561F57"/>
    <w:rsid w:val="00562011"/>
    <w:rsid w:val="005625DA"/>
    <w:rsid w:val="00564869"/>
    <w:rsid w:val="0056500E"/>
    <w:rsid w:val="005731E2"/>
    <w:rsid w:val="0057393F"/>
    <w:rsid w:val="00574780"/>
    <w:rsid w:val="005808B5"/>
    <w:rsid w:val="00581ED4"/>
    <w:rsid w:val="00591FF3"/>
    <w:rsid w:val="005924C8"/>
    <w:rsid w:val="00592885"/>
    <w:rsid w:val="005969A2"/>
    <w:rsid w:val="005A03A3"/>
    <w:rsid w:val="005A1758"/>
    <w:rsid w:val="005A431E"/>
    <w:rsid w:val="005A7E6C"/>
    <w:rsid w:val="005B3043"/>
    <w:rsid w:val="005B3CDA"/>
    <w:rsid w:val="005B4135"/>
    <w:rsid w:val="005B4A4E"/>
    <w:rsid w:val="005B5575"/>
    <w:rsid w:val="005B6210"/>
    <w:rsid w:val="005C0A44"/>
    <w:rsid w:val="005C1CA3"/>
    <w:rsid w:val="005C2083"/>
    <w:rsid w:val="005C2453"/>
    <w:rsid w:val="005C3D9D"/>
    <w:rsid w:val="005C4BD7"/>
    <w:rsid w:val="005C6100"/>
    <w:rsid w:val="005C6D5C"/>
    <w:rsid w:val="005D0C2A"/>
    <w:rsid w:val="005D51C9"/>
    <w:rsid w:val="005D75D3"/>
    <w:rsid w:val="005E0F59"/>
    <w:rsid w:val="005E2EA1"/>
    <w:rsid w:val="005F228E"/>
    <w:rsid w:val="005F2730"/>
    <w:rsid w:val="006027AF"/>
    <w:rsid w:val="0060473A"/>
    <w:rsid w:val="00604BDE"/>
    <w:rsid w:val="006102A4"/>
    <w:rsid w:val="0061044F"/>
    <w:rsid w:val="00614839"/>
    <w:rsid w:val="00615DEC"/>
    <w:rsid w:val="00616770"/>
    <w:rsid w:val="006175D6"/>
    <w:rsid w:val="0061799A"/>
    <w:rsid w:val="00617ED2"/>
    <w:rsid w:val="006240DF"/>
    <w:rsid w:val="00627162"/>
    <w:rsid w:val="00632316"/>
    <w:rsid w:val="00633D67"/>
    <w:rsid w:val="0063589B"/>
    <w:rsid w:val="00637A43"/>
    <w:rsid w:val="00641234"/>
    <w:rsid w:val="00642B6E"/>
    <w:rsid w:val="00643BA7"/>
    <w:rsid w:val="00651260"/>
    <w:rsid w:val="00651A5B"/>
    <w:rsid w:val="00656A86"/>
    <w:rsid w:val="00662575"/>
    <w:rsid w:val="00667A35"/>
    <w:rsid w:val="00670F51"/>
    <w:rsid w:val="0067135C"/>
    <w:rsid w:val="006715F4"/>
    <w:rsid w:val="006719D6"/>
    <w:rsid w:val="006724E8"/>
    <w:rsid w:val="00672D06"/>
    <w:rsid w:val="00674B01"/>
    <w:rsid w:val="00674ED0"/>
    <w:rsid w:val="00675F07"/>
    <w:rsid w:val="006764DF"/>
    <w:rsid w:val="0067702E"/>
    <w:rsid w:val="00680210"/>
    <w:rsid w:val="006802A0"/>
    <w:rsid w:val="0068227E"/>
    <w:rsid w:val="00682DC0"/>
    <w:rsid w:val="0068477C"/>
    <w:rsid w:val="00685A53"/>
    <w:rsid w:val="00687327"/>
    <w:rsid w:val="00693109"/>
    <w:rsid w:val="006936F9"/>
    <w:rsid w:val="00695C73"/>
    <w:rsid w:val="006962A7"/>
    <w:rsid w:val="006971F1"/>
    <w:rsid w:val="006A0A6A"/>
    <w:rsid w:val="006A1716"/>
    <w:rsid w:val="006A17C1"/>
    <w:rsid w:val="006A37D2"/>
    <w:rsid w:val="006A548C"/>
    <w:rsid w:val="006A7B12"/>
    <w:rsid w:val="006B0FB1"/>
    <w:rsid w:val="006B4B9D"/>
    <w:rsid w:val="006B5042"/>
    <w:rsid w:val="006B6CBA"/>
    <w:rsid w:val="006C2B77"/>
    <w:rsid w:val="006C696D"/>
    <w:rsid w:val="006D0779"/>
    <w:rsid w:val="006D5389"/>
    <w:rsid w:val="006D6B30"/>
    <w:rsid w:val="006D6C27"/>
    <w:rsid w:val="006E1B1B"/>
    <w:rsid w:val="006E2BCE"/>
    <w:rsid w:val="006E68A9"/>
    <w:rsid w:val="006F462B"/>
    <w:rsid w:val="006F64AD"/>
    <w:rsid w:val="00705711"/>
    <w:rsid w:val="0070576A"/>
    <w:rsid w:val="00707F44"/>
    <w:rsid w:val="00712587"/>
    <w:rsid w:val="00716326"/>
    <w:rsid w:val="00717D8C"/>
    <w:rsid w:val="00721E13"/>
    <w:rsid w:val="00722E9C"/>
    <w:rsid w:val="007315A8"/>
    <w:rsid w:val="007345FF"/>
    <w:rsid w:val="00741760"/>
    <w:rsid w:val="00744F36"/>
    <w:rsid w:val="007460DC"/>
    <w:rsid w:val="007517B7"/>
    <w:rsid w:val="0075235A"/>
    <w:rsid w:val="00752483"/>
    <w:rsid w:val="007542DB"/>
    <w:rsid w:val="007555EC"/>
    <w:rsid w:val="00757C1C"/>
    <w:rsid w:val="007608D7"/>
    <w:rsid w:val="00761563"/>
    <w:rsid w:val="00765A4C"/>
    <w:rsid w:val="00765FE8"/>
    <w:rsid w:val="0076617F"/>
    <w:rsid w:val="007676C7"/>
    <w:rsid w:val="00773FC3"/>
    <w:rsid w:val="00787913"/>
    <w:rsid w:val="007946DE"/>
    <w:rsid w:val="007A31D0"/>
    <w:rsid w:val="007B1B49"/>
    <w:rsid w:val="007B1ECA"/>
    <w:rsid w:val="007B3872"/>
    <w:rsid w:val="007B7A23"/>
    <w:rsid w:val="007B7DC1"/>
    <w:rsid w:val="007C2294"/>
    <w:rsid w:val="007C5326"/>
    <w:rsid w:val="007C75EE"/>
    <w:rsid w:val="007D501B"/>
    <w:rsid w:val="007D5F47"/>
    <w:rsid w:val="007E00C0"/>
    <w:rsid w:val="007E14BA"/>
    <w:rsid w:val="007E182F"/>
    <w:rsid w:val="007E3B4A"/>
    <w:rsid w:val="007E4329"/>
    <w:rsid w:val="007E4936"/>
    <w:rsid w:val="007E5211"/>
    <w:rsid w:val="007E5492"/>
    <w:rsid w:val="007E7D17"/>
    <w:rsid w:val="007F7F3D"/>
    <w:rsid w:val="008035D3"/>
    <w:rsid w:val="00811A0A"/>
    <w:rsid w:val="00814A12"/>
    <w:rsid w:val="00816D0B"/>
    <w:rsid w:val="00817679"/>
    <w:rsid w:val="00817CE8"/>
    <w:rsid w:val="00821E9F"/>
    <w:rsid w:val="0082214E"/>
    <w:rsid w:val="00822201"/>
    <w:rsid w:val="00827BD1"/>
    <w:rsid w:val="00831345"/>
    <w:rsid w:val="00833EEC"/>
    <w:rsid w:val="00834AF4"/>
    <w:rsid w:val="00837492"/>
    <w:rsid w:val="00840AA6"/>
    <w:rsid w:val="008412E8"/>
    <w:rsid w:val="00846639"/>
    <w:rsid w:val="00846B19"/>
    <w:rsid w:val="00853304"/>
    <w:rsid w:val="008618CF"/>
    <w:rsid w:val="00863165"/>
    <w:rsid w:val="00864395"/>
    <w:rsid w:val="00873D27"/>
    <w:rsid w:val="0087529C"/>
    <w:rsid w:val="00877279"/>
    <w:rsid w:val="008814E6"/>
    <w:rsid w:val="00882454"/>
    <w:rsid w:val="008871DC"/>
    <w:rsid w:val="00892795"/>
    <w:rsid w:val="008927A7"/>
    <w:rsid w:val="0089625D"/>
    <w:rsid w:val="0089737D"/>
    <w:rsid w:val="008A3B41"/>
    <w:rsid w:val="008B0018"/>
    <w:rsid w:val="008B294A"/>
    <w:rsid w:val="008B3705"/>
    <w:rsid w:val="008B3FC8"/>
    <w:rsid w:val="008B442F"/>
    <w:rsid w:val="008B6187"/>
    <w:rsid w:val="008B75ED"/>
    <w:rsid w:val="008C2225"/>
    <w:rsid w:val="008D1BA4"/>
    <w:rsid w:val="008D2ED1"/>
    <w:rsid w:val="008E239D"/>
    <w:rsid w:val="008E30F2"/>
    <w:rsid w:val="008F34F4"/>
    <w:rsid w:val="00902B98"/>
    <w:rsid w:val="009036DF"/>
    <w:rsid w:val="009047D1"/>
    <w:rsid w:val="0090494B"/>
    <w:rsid w:val="009070B1"/>
    <w:rsid w:val="00910C9E"/>
    <w:rsid w:val="0091258E"/>
    <w:rsid w:val="00921D13"/>
    <w:rsid w:val="009231CB"/>
    <w:rsid w:val="00930A06"/>
    <w:rsid w:val="009331B2"/>
    <w:rsid w:val="00933D31"/>
    <w:rsid w:val="00936A24"/>
    <w:rsid w:val="0093749C"/>
    <w:rsid w:val="009423E2"/>
    <w:rsid w:val="0094349A"/>
    <w:rsid w:val="00943688"/>
    <w:rsid w:val="00943F5A"/>
    <w:rsid w:val="009464D6"/>
    <w:rsid w:val="00946E14"/>
    <w:rsid w:val="00946EE3"/>
    <w:rsid w:val="009523CF"/>
    <w:rsid w:val="00953CD2"/>
    <w:rsid w:val="009542EB"/>
    <w:rsid w:val="009552BD"/>
    <w:rsid w:val="009564DA"/>
    <w:rsid w:val="00956589"/>
    <w:rsid w:val="0096140C"/>
    <w:rsid w:val="00966E76"/>
    <w:rsid w:val="00967407"/>
    <w:rsid w:val="009718D7"/>
    <w:rsid w:val="00971A57"/>
    <w:rsid w:val="00975816"/>
    <w:rsid w:val="00975A26"/>
    <w:rsid w:val="00977242"/>
    <w:rsid w:val="0097758D"/>
    <w:rsid w:val="009809C0"/>
    <w:rsid w:val="00986655"/>
    <w:rsid w:val="00986823"/>
    <w:rsid w:val="00987431"/>
    <w:rsid w:val="00991B36"/>
    <w:rsid w:val="0099205A"/>
    <w:rsid w:val="009949CE"/>
    <w:rsid w:val="009A1D17"/>
    <w:rsid w:val="009A41F0"/>
    <w:rsid w:val="009A5963"/>
    <w:rsid w:val="009A6803"/>
    <w:rsid w:val="009B5439"/>
    <w:rsid w:val="009C0EE3"/>
    <w:rsid w:val="009C1FBF"/>
    <w:rsid w:val="009C70C5"/>
    <w:rsid w:val="009D1E8C"/>
    <w:rsid w:val="009D3D35"/>
    <w:rsid w:val="009D464C"/>
    <w:rsid w:val="009E0157"/>
    <w:rsid w:val="009E210A"/>
    <w:rsid w:val="009E5FC3"/>
    <w:rsid w:val="009E79A6"/>
    <w:rsid w:val="009F0343"/>
    <w:rsid w:val="009F2587"/>
    <w:rsid w:val="009F6DCF"/>
    <w:rsid w:val="00A0014C"/>
    <w:rsid w:val="00A0100A"/>
    <w:rsid w:val="00A031AD"/>
    <w:rsid w:val="00A110FD"/>
    <w:rsid w:val="00A12582"/>
    <w:rsid w:val="00A12B37"/>
    <w:rsid w:val="00A14566"/>
    <w:rsid w:val="00A1488B"/>
    <w:rsid w:val="00A15EC6"/>
    <w:rsid w:val="00A16B46"/>
    <w:rsid w:val="00A201A4"/>
    <w:rsid w:val="00A2726D"/>
    <w:rsid w:val="00A32C84"/>
    <w:rsid w:val="00A33383"/>
    <w:rsid w:val="00A3365D"/>
    <w:rsid w:val="00A4225A"/>
    <w:rsid w:val="00A47DA2"/>
    <w:rsid w:val="00A5224C"/>
    <w:rsid w:val="00A55B59"/>
    <w:rsid w:val="00A620DA"/>
    <w:rsid w:val="00A62A73"/>
    <w:rsid w:val="00A63C17"/>
    <w:rsid w:val="00A67593"/>
    <w:rsid w:val="00A67ECA"/>
    <w:rsid w:val="00A72989"/>
    <w:rsid w:val="00A73267"/>
    <w:rsid w:val="00A75100"/>
    <w:rsid w:val="00A75B21"/>
    <w:rsid w:val="00A77C29"/>
    <w:rsid w:val="00A90960"/>
    <w:rsid w:val="00A913AD"/>
    <w:rsid w:val="00A928CB"/>
    <w:rsid w:val="00A928D8"/>
    <w:rsid w:val="00A94BE4"/>
    <w:rsid w:val="00A957E4"/>
    <w:rsid w:val="00A95A8D"/>
    <w:rsid w:val="00AA35F0"/>
    <w:rsid w:val="00AA45B4"/>
    <w:rsid w:val="00AA47AA"/>
    <w:rsid w:val="00AA5BE7"/>
    <w:rsid w:val="00AA5F43"/>
    <w:rsid w:val="00AA674F"/>
    <w:rsid w:val="00AB0B21"/>
    <w:rsid w:val="00AB0B2A"/>
    <w:rsid w:val="00AB4151"/>
    <w:rsid w:val="00AC37F8"/>
    <w:rsid w:val="00AC38CB"/>
    <w:rsid w:val="00AC3E01"/>
    <w:rsid w:val="00AC50F0"/>
    <w:rsid w:val="00AC5186"/>
    <w:rsid w:val="00AC5DDE"/>
    <w:rsid w:val="00AD000B"/>
    <w:rsid w:val="00AD3569"/>
    <w:rsid w:val="00AD41B9"/>
    <w:rsid w:val="00AD4390"/>
    <w:rsid w:val="00AD522C"/>
    <w:rsid w:val="00AE0CA9"/>
    <w:rsid w:val="00AE13B9"/>
    <w:rsid w:val="00AE548B"/>
    <w:rsid w:val="00AE5D74"/>
    <w:rsid w:val="00AE6586"/>
    <w:rsid w:val="00AE7562"/>
    <w:rsid w:val="00AF0806"/>
    <w:rsid w:val="00AF19A8"/>
    <w:rsid w:val="00AF1F8F"/>
    <w:rsid w:val="00AF3F92"/>
    <w:rsid w:val="00AF6303"/>
    <w:rsid w:val="00AF72ED"/>
    <w:rsid w:val="00B006F3"/>
    <w:rsid w:val="00B0148F"/>
    <w:rsid w:val="00B01564"/>
    <w:rsid w:val="00B031D7"/>
    <w:rsid w:val="00B04A4E"/>
    <w:rsid w:val="00B0504B"/>
    <w:rsid w:val="00B05118"/>
    <w:rsid w:val="00B05461"/>
    <w:rsid w:val="00B07B1D"/>
    <w:rsid w:val="00B100A8"/>
    <w:rsid w:val="00B104B8"/>
    <w:rsid w:val="00B11614"/>
    <w:rsid w:val="00B11679"/>
    <w:rsid w:val="00B14D80"/>
    <w:rsid w:val="00B1560F"/>
    <w:rsid w:val="00B16204"/>
    <w:rsid w:val="00B2030C"/>
    <w:rsid w:val="00B207CE"/>
    <w:rsid w:val="00B22455"/>
    <w:rsid w:val="00B22584"/>
    <w:rsid w:val="00B231EE"/>
    <w:rsid w:val="00B24036"/>
    <w:rsid w:val="00B24125"/>
    <w:rsid w:val="00B24AD9"/>
    <w:rsid w:val="00B302F4"/>
    <w:rsid w:val="00B325BA"/>
    <w:rsid w:val="00B3277D"/>
    <w:rsid w:val="00B3342A"/>
    <w:rsid w:val="00B34257"/>
    <w:rsid w:val="00B40836"/>
    <w:rsid w:val="00B42821"/>
    <w:rsid w:val="00B52F9B"/>
    <w:rsid w:val="00B6470A"/>
    <w:rsid w:val="00B65479"/>
    <w:rsid w:val="00B65A4C"/>
    <w:rsid w:val="00B66B51"/>
    <w:rsid w:val="00B6733D"/>
    <w:rsid w:val="00B716CF"/>
    <w:rsid w:val="00B7200D"/>
    <w:rsid w:val="00B72BF9"/>
    <w:rsid w:val="00B735F3"/>
    <w:rsid w:val="00B76CEB"/>
    <w:rsid w:val="00B80436"/>
    <w:rsid w:val="00B81DC7"/>
    <w:rsid w:val="00B8360F"/>
    <w:rsid w:val="00B8426C"/>
    <w:rsid w:val="00B85874"/>
    <w:rsid w:val="00B8727C"/>
    <w:rsid w:val="00B87BBC"/>
    <w:rsid w:val="00B9372B"/>
    <w:rsid w:val="00B939B2"/>
    <w:rsid w:val="00BA48C8"/>
    <w:rsid w:val="00BA54B3"/>
    <w:rsid w:val="00BA5762"/>
    <w:rsid w:val="00BA7DFE"/>
    <w:rsid w:val="00BB0331"/>
    <w:rsid w:val="00BB55E4"/>
    <w:rsid w:val="00BB7488"/>
    <w:rsid w:val="00BC0B32"/>
    <w:rsid w:val="00BC0C71"/>
    <w:rsid w:val="00BC2095"/>
    <w:rsid w:val="00BC3512"/>
    <w:rsid w:val="00BC7166"/>
    <w:rsid w:val="00BD0D96"/>
    <w:rsid w:val="00BD1F69"/>
    <w:rsid w:val="00BD443C"/>
    <w:rsid w:val="00BD49E1"/>
    <w:rsid w:val="00BD4D14"/>
    <w:rsid w:val="00BD6810"/>
    <w:rsid w:val="00BD6EDE"/>
    <w:rsid w:val="00BE01F8"/>
    <w:rsid w:val="00BE05DC"/>
    <w:rsid w:val="00BE6C97"/>
    <w:rsid w:val="00BF19A8"/>
    <w:rsid w:val="00BF2016"/>
    <w:rsid w:val="00BF407C"/>
    <w:rsid w:val="00C00C66"/>
    <w:rsid w:val="00C03A6A"/>
    <w:rsid w:val="00C05716"/>
    <w:rsid w:val="00C171F8"/>
    <w:rsid w:val="00C17999"/>
    <w:rsid w:val="00C220B5"/>
    <w:rsid w:val="00C22BB0"/>
    <w:rsid w:val="00C23CFC"/>
    <w:rsid w:val="00C27843"/>
    <w:rsid w:val="00C30BF2"/>
    <w:rsid w:val="00C31F57"/>
    <w:rsid w:val="00C33579"/>
    <w:rsid w:val="00C421F6"/>
    <w:rsid w:val="00C42874"/>
    <w:rsid w:val="00C4298B"/>
    <w:rsid w:val="00C42A4A"/>
    <w:rsid w:val="00C43CB9"/>
    <w:rsid w:val="00C44ADC"/>
    <w:rsid w:val="00C45424"/>
    <w:rsid w:val="00C4595B"/>
    <w:rsid w:val="00C465FF"/>
    <w:rsid w:val="00C46C21"/>
    <w:rsid w:val="00C46E4F"/>
    <w:rsid w:val="00C53F52"/>
    <w:rsid w:val="00C55CA5"/>
    <w:rsid w:val="00C6372A"/>
    <w:rsid w:val="00C74541"/>
    <w:rsid w:val="00C7601F"/>
    <w:rsid w:val="00C77E61"/>
    <w:rsid w:val="00C853BC"/>
    <w:rsid w:val="00C863D3"/>
    <w:rsid w:val="00C93B76"/>
    <w:rsid w:val="00C94C31"/>
    <w:rsid w:val="00C95B29"/>
    <w:rsid w:val="00CA451E"/>
    <w:rsid w:val="00CA4992"/>
    <w:rsid w:val="00CA53D0"/>
    <w:rsid w:val="00CA579C"/>
    <w:rsid w:val="00CA5888"/>
    <w:rsid w:val="00CB0BE8"/>
    <w:rsid w:val="00CB2411"/>
    <w:rsid w:val="00CB53CD"/>
    <w:rsid w:val="00CB5A25"/>
    <w:rsid w:val="00CB668E"/>
    <w:rsid w:val="00CC011B"/>
    <w:rsid w:val="00CC44E6"/>
    <w:rsid w:val="00CC4F6C"/>
    <w:rsid w:val="00CC6ECD"/>
    <w:rsid w:val="00CD1484"/>
    <w:rsid w:val="00CD3951"/>
    <w:rsid w:val="00CE0878"/>
    <w:rsid w:val="00CE545B"/>
    <w:rsid w:val="00CE72E3"/>
    <w:rsid w:val="00CF534F"/>
    <w:rsid w:val="00CF6005"/>
    <w:rsid w:val="00D010DA"/>
    <w:rsid w:val="00D05D7F"/>
    <w:rsid w:val="00D05D80"/>
    <w:rsid w:val="00D0600E"/>
    <w:rsid w:val="00D100DD"/>
    <w:rsid w:val="00D103C3"/>
    <w:rsid w:val="00D105D2"/>
    <w:rsid w:val="00D1091B"/>
    <w:rsid w:val="00D1545E"/>
    <w:rsid w:val="00D17FD8"/>
    <w:rsid w:val="00D21AD0"/>
    <w:rsid w:val="00D221B8"/>
    <w:rsid w:val="00D275AA"/>
    <w:rsid w:val="00D27BC2"/>
    <w:rsid w:val="00D31539"/>
    <w:rsid w:val="00D32587"/>
    <w:rsid w:val="00D35B89"/>
    <w:rsid w:val="00D42F14"/>
    <w:rsid w:val="00D4307B"/>
    <w:rsid w:val="00D512FE"/>
    <w:rsid w:val="00D521D9"/>
    <w:rsid w:val="00D56010"/>
    <w:rsid w:val="00D568A4"/>
    <w:rsid w:val="00D66A0F"/>
    <w:rsid w:val="00D75D99"/>
    <w:rsid w:val="00D7760C"/>
    <w:rsid w:val="00D85B70"/>
    <w:rsid w:val="00D90E9F"/>
    <w:rsid w:val="00D927F3"/>
    <w:rsid w:val="00D92906"/>
    <w:rsid w:val="00D93B9B"/>
    <w:rsid w:val="00D95C0A"/>
    <w:rsid w:val="00D97217"/>
    <w:rsid w:val="00D977B6"/>
    <w:rsid w:val="00D97A10"/>
    <w:rsid w:val="00DA25DE"/>
    <w:rsid w:val="00DA31AF"/>
    <w:rsid w:val="00DA7F47"/>
    <w:rsid w:val="00DB0CC6"/>
    <w:rsid w:val="00DB3513"/>
    <w:rsid w:val="00DB3BE5"/>
    <w:rsid w:val="00DB454F"/>
    <w:rsid w:val="00DC4243"/>
    <w:rsid w:val="00DE1B83"/>
    <w:rsid w:val="00DE42C5"/>
    <w:rsid w:val="00DE4FB9"/>
    <w:rsid w:val="00DE50B3"/>
    <w:rsid w:val="00DE6124"/>
    <w:rsid w:val="00DE7900"/>
    <w:rsid w:val="00DE7B22"/>
    <w:rsid w:val="00DF4713"/>
    <w:rsid w:val="00DF4EDA"/>
    <w:rsid w:val="00DF4F6E"/>
    <w:rsid w:val="00E0073C"/>
    <w:rsid w:val="00E012C8"/>
    <w:rsid w:val="00E04C5C"/>
    <w:rsid w:val="00E062F4"/>
    <w:rsid w:val="00E152D9"/>
    <w:rsid w:val="00E173A1"/>
    <w:rsid w:val="00E269C5"/>
    <w:rsid w:val="00E26B08"/>
    <w:rsid w:val="00E26E05"/>
    <w:rsid w:val="00E3025C"/>
    <w:rsid w:val="00E30F6F"/>
    <w:rsid w:val="00E3724C"/>
    <w:rsid w:val="00E37E3D"/>
    <w:rsid w:val="00E4187E"/>
    <w:rsid w:val="00E41CF7"/>
    <w:rsid w:val="00E45131"/>
    <w:rsid w:val="00E4558B"/>
    <w:rsid w:val="00E53AD9"/>
    <w:rsid w:val="00E548D1"/>
    <w:rsid w:val="00E57518"/>
    <w:rsid w:val="00E57B38"/>
    <w:rsid w:val="00E6062C"/>
    <w:rsid w:val="00E624B8"/>
    <w:rsid w:val="00E64E43"/>
    <w:rsid w:val="00E65C5E"/>
    <w:rsid w:val="00E675DB"/>
    <w:rsid w:val="00E717C1"/>
    <w:rsid w:val="00E73512"/>
    <w:rsid w:val="00E7355C"/>
    <w:rsid w:val="00E75A83"/>
    <w:rsid w:val="00E77BFB"/>
    <w:rsid w:val="00E802A3"/>
    <w:rsid w:val="00E85234"/>
    <w:rsid w:val="00E858AF"/>
    <w:rsid w:val="00E85D93"/>
    <w:rsid w:val="00E85E0D"/>
    <w:rsid w:val="00E875C6"/>
    <w:rsid w:val="00E913CC"/>
    <w:rsid w:val="00E91FB6"/>
    <w:rsid w:val="00E94049"/>
    <w:rsid w:val="00E9794E"/>
    <w:rsid w:val="00EA2F81"/>
    <w:rsid w:val="00EA6038"/>
    <w:rsid w:val="00EA6673"/>
    <w:rsid w:val="00EA73B8"/>
    <w:rsid w:val="00EB5764"/>
    <w:rsid w:val="00EC03E3"/>
    <w:rsid w:val="00EC11A5"/>
    <w:rsid w:val="00EC1A95"/>
    <w:rsid w:val="00ED0C18"/>
    <w:rsid w:val="00ED56F5"/>
    <w:rsid w:val="00EE0D3B"/>
    <w:rsid w:val="00EF2F39"/>
    <w:rsid w:val="00EF7FD8"/>
    <w:rsid w:val="00F04685"/>
    <w:rsid w:val="00F05F7A"/>
    <w:rsid w:val="00F0793E"/>
    <w:rsid w:val="00F106DC"/>
    <w:rsid w:val="00F1077E"/>
    <w:rsid w:val="00F109DB"/>
    <w:rsid w:val="00F20152"/>
    <w:rsid w:val="00F21DB0"/>
    <w:rsid w:val="00F25C6D"/>
    <w:rsid w:val="00F31A07"/>
    <w:rsid w:val="00F32208"/>
    <w:rsid w:val="00F33301"/>
    <w:rsid w:val="00F35377"/>
    <w:rsid w:val="00F36746"/>
    <w:rsid w:val="00F36B03"/>
    <w:rsid w:val="00F4471D"/>
    <w:rsid w:val="00F46557"/>
    <w:rsid w:val="00F512EE"/>
    <w:rsid w:val="00F5319D"/>
    <w:rsid w:val="00F53F19"/>
    <w:rsid w:val="00F55241"/>
    <w:rsid w:val="00F572CF"/>
    <w:rsid w:val="00F61CEC"/>
    <w:rsid w:val="00F62E0B"/>
    <w:rsid w:val="00F64C30"/>
    <w:rsid w:val="00F65E41"/>
    <w:rsid w:val="00F6652A"/>
    <w:rsid w:val="00F66E18"/>
    <w:rsid w:val="00F723D2"/>
    <w:rsid w:val="00F74260"/>
    <w:rsid w:val="00F77142"/>
    <w:rsid w:val="00F8104C"/>
    <w:rsid w:val="00F82845"/>
    <w:rsid w:val="00F82A78"/>
    <w:rsid w:val="00F90F65"/>
    <w:rsid w:val="00F9505B"/>
    <w:rsid w:val="00F951E3"/>
    <w:rsid w:val="00F95AA3"/>
    <w:rsid w:val="00F96C40"/>
    <w:rsid w:val="00FA0939"/>
    <w:rsid w:val="00FA76D4"/>
    <w:rsid w:val="00FA7E1D"/>
    <w:rsid w:val="00FB1790"/>
    <w:rsid w:val="00FB38C1"/>
    <w:rsid w:val="00FB3F84"/>
    <w:rsid w:val="00FB6729"/>
    <w:rsid w:val="00FB73AD"/>
    <w:rsid w:val="00FC06FB"/>
    <w:rsid w:val="00FC222F"/>
    <w:rsid w:val="00FC38F6"/>
    <w:rsid w:val="00FC6575"/>
    <w:rsid w:val="00FC73EF"/>
    <w:rsid w:val="00FD0967"/>
    <w:rsid w:val="00FD31F3"/>
    <w:rsid w:val="00FD38C2"/>
    <w:rsid w:val="00FD4BAE"/>
    <w:rsid w:val="00FD5DC3"/>
    <w:rsid w:val="00FE31B8"/>
    <w:rsid w:val="00FE34FE"/>
    <w:rsid w:val="00FE5A25"/>
    <w:rsid w:val="00FE64EB"/>
    <w:rsid w:val="00FF0A37"/>
    <w:rsid w:val="00FF5731"/>
    <w:rsid w:val="01CE4349"/>
    <w:rsid w:val="02135191"/>
    <w:rsid w:val="040E4168"/>
    <w:rsid w:val="043E0A7E"/>
    <w:rsid w:val="061B98E5"/>
    <w:rsid w:val="078FB694"/>
    <w:rsid w:val="09265C2E"/>
    <w:rsid w:val="095D2D5F"/>
    <w:rsid w:val="0AC8EF94"/>
    <w:rsid w:val="0C9CA39C"/>
    <w:rsid w:val="0D4294FC"/>
    <w:rsid w:val="0E4BD7B2"/>
    <w:rsid w:val="100A47E9"/>
    <w:rsid w:val="10384444"/>
    <w:rsid w:val="1193B7B2"/>
    <w:rsid w:val="11B441E9"/>
    <w:rsid w:val="11F8178C"/>
    <w:rsid w:val="151FE2F1"/>
    <w:rsid w:val="1C219519"/>
    <w:rsid w:val="1DCA0726"/>
    <w:rsid w:val="1E9AC120"/>
    <w:rsid w:val="23E2755B"/>
    <w:rsid w:val="25FF5749"/>
    <w:rsid w:val="2688414C"/>
    <w:rsid w:val="2785451A"/>
    <w:rsid w:val="27C87171"/>
    <w:rsid w:val="27CD2EC9"/>
    <w:rsid w:val="2924E56E"/>
    <w:rsid w:val="2B062DA6"/>
    <w:rsid w:val="2C56EAFA"/>
    <w:rsid w:val="2EFC8064"/>
    <w:rsid w:val="2F044AFF"/>
    <w:rsid w:val="2F4A4033"/>
    <w:rsid w:val="30A84556"/>
    <w:rsid w:val="313CE7A2"/>
    <w:rsid w:val="314FAB95"/>
    <w:rsid w:val="32A43575"/>
    <w:rsid w:val="33C7F232"/>
    <w:rsid w:val="34D20D77"/>
    <w:rsid w:val="3523CF0F"/>
    <w:rsid w:val="35363094"/>
    <w:rsid w:val="35946EB2"/>
    <w:rsid w:val="36A117E4"/>
    <w:rsid w:val="397D73DA"/>
    <w:rsid w:val="39BDB133"/>
    <w:rsid w:val="3C675A2F"/>
    <w:rsid w:val="3D1C5592"/>
    <w:rsid w:val="3DD22B0E"/>
    <w:rsid w:val="429A07D8"/>
    <w:rsid w:val="42A5A19E"/>
    <w:rsid w:val="454FF1B8"/>
    <w:rsid w:val="45DC3F19"/>
    <w:rsid w:val="4603E6D7"/>
    <w:rsid w:val="47DF53D9"/>
    <w:rsid w:val="48BAC72A"/>
    <w:rsid w:val="4AC5E4C8"/>
    <w:rsid w:val="4AF27AD0"/>
    <w:rsid w:val="4B009ECD"/>
    <w:rsid w:val="4C908B9B"/>
    <w:rsid w:val="4CA51729"/>
    <w:rsid w:val="4CD3F490"/>
    <w:rsid w:val="4E2C2BBB"/>
    <w:rsid w:val="4EBBD3CC"/>
    <w:rsid w:val="4F67FF07"/>
    <w:rsid w:val="53A52CDD"/>
    <w:rsid w:val="53EC83E5"/>
    <w:rsid w:val="5605471D"/>
    <w:rsid w:val="57186104"/>
    <w:rsid w:val="5CE9A229"/>
    <w:rsid w:val="5D598013"/>
    <w:rsid w:val="5F55D086"/>
    <w:rsid w:val="5FAE1417"/>
    <w:rsid w:val="60FB6825"/>
    <w:rsid w:val="630ABD5A"/>
    <w:rsid w:val="64AEB74A"/>
    <w:rsid w:val="668C8041"/>
    <w:rsid w:val="6744141A"/>
    <w:rsid w:val="6A631329"/>
    <w:rsid w:val="6B4CD1BC"/>
    <w:rsid w:val="6E621D03"/>
    <w:rsid w:val="7078C25B"/>
    <w:rsid w:val="71AC5913"/>
    <w:rsid w:val="71CCF6AE"/>
    <w:rsid w:val="740621D5"/>
    <w:rsid w:val="74CBA0C9"/>
    <w:rsid w:val="75756FCE"/>
    <w:rsid w:val="79936143"/>
    <w:rsid w:val="7A367C31"/>
    <w:rsid w:val="7B9C2E86"/>
    <w:rsid w:val="7BABC16C"/>
    <w:rsid w:val="7C33482D"/>
    <w:rsid w:val="7F89EC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545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3A3"/>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1073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6F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33D67"/>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064EA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3A3"/>
    <w:rPr>
      <w:color w:val="0563C1" w:themeColor="hyperlink"/>
      <w:u w:val="single"/>
    </w:rPr>
  </w:style>
  <w:style w:type="character" w:styleId="CommentReference">
    <w:name w:val="annotation reference"/>
    <w:basedOn w:val="DefaultParagraphFont"/>
    <w:uiPriority w:val="99"/>
    <w:semiHidden/>
    <w:unhideWhenUsed/>
    <w:rsid w:val="005A03A3"/>
    <w:rPr>
      <w:sz w:val="16"/>
      <w:szCs w:val="16"/>
    </w:rPr>
  </w:style>
  <w:style w:type="paragraph" w:styleId="CommentText">
    <w:name w:val="annotation text"/>
    <w:basedOn w:val="Normal"/>
    <w:link w:val="CommentTextChar"/>
    <w:uiPriority w:val="99"/>
    <w:unhideWhenUsed/>
    <w:rsid w:val="005A03A3"/>
    <w:rPr>
      <w:sz w:val="20"/>
      <w:szCs w:val="20"/>
    </w:rPr>
  </w:style>
  <w:style w:type="character" w:customStyle="1" w:styleId="CommentTextChar">
    <w:name w:val="Comment Text Char"/>
    <w:basedOn w:val="DefaultParagraphFont"/>
    <w:link w:val="CommentText"/>
    <w:uiPriority w:val="99"/>
    <w:rsid w:val="005A03A3"/>
    <w:rPr>
      <w:rFonts w:ascii="Times New Roman" w:eastAsia="Times New Roman" w:hAnsi="Times New Roman" w:cs="Times New Roman"/>
      <w:sz w:val="20"/>
      <w:szCs w:val="20"/>
      <w:lang w:eastAsia="en-AU"/>
    </w:rPr>
  </w:style>
  <w:style w:type="paragraph" w:styleId="Header">
    <w:name w:val="header"/>
    <w:basedOn w:val="Normal"/>
    <w:link w:val="HeaderChar"/>
    <w:uiPriority w:val="99"/>
    <w:unhideWhenUsed/>
    <w:rsid w:val="005A03A3"/>
    <w:pPr>
      <w:tabs>
        <w:tab w:val="center" w:pos="4513"/>
        <w:tab w:val="right" w:pos="9026"/>
      </w:tabs>
    </w:pPr>
  </w:style>
  <w:style w:type="character" w:customStyle="1" w:styleId="HeaderChar">
    <w:name w:val="Header Char"/>
    <w:basedOn w:val="DefaultParagraphFont"/>
    <w:link w:val="Header"/>
    <w:uiPriority w:val="99"/>
    <w:rsid w:val="005A03A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5A03A3"/>
    <w:pPr>
      <w:tabs>
        <w:tab w:val="center" w:pos="4513"/>
        <w:tab w:val="right" w:pos="9026"/>
      </w:tabs>
    </w:pPr>
  </w:style>
  <w:style w:type="character" w:customStyle="1" w:styleId="FooterChar">
    <w:name w:val="Footer Char"/>
    <w:basedOn w:val="DefaultParagraphFont"/>
    <w:link w:val="Footer"/>
    <w:uiPriority w:val="99"/>
    <w:rsid w:val="005A03A3"/>
    <w:rPr>
      <w:rFonts w:ascii="Times New Roman" w:eastAsia="Times New Roman" w:hAnsi="Times New Roman" w:cs="Times New Roman"/>
      <w:sz w:val="24"/>
      <w:szCs w:val="24"/>
      <w:lang w:eastAsia="en-AU"/>
    </w:rPr>
  </w:style>
  <w:style w:type="paragraph" w:customStyle="1" w:styleId="Celltext">
    <w:name w:val="Cell text"/>
    <w:basedOn w:val="Normal"/>
    <w:rsid w:val="005A03A3"/>
    <w:pPr>
      <w:spacing w:before="120"/>
    </w:pPr>
    <w:rPr>
      <w:szCs w:val="20"/>
    </w:rPr>
  </w:style>
  <w:style w:type="paragraph" w:styleId="BalloonText">
    <w:name w:val="Balloon Text"/>
    <w:basedOn w:val="Normal"/>
    <w:link w:val="BalloonTextChar"/>
    <w:uiPriority w:val="99"/>
    <w:semiHidden/>
    <w:unhideWhenUsed/>
    <w:rsid w:val="005A0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3A3"/>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E4187E"/>
    <w:rPr>
      <w:b/>
      <w:bCs/>
    </w:rPr>
  </w:style>
  <w:style w:type="character" w:customStyle="1" w:styleId="CommentSubjectChar">
    <w:name w:val="Comment Subject Char"/>
    <w:basedOn w:val="CommentTextChar"/>
    <w:link w:val="CommentSubject"/>
    <w:uiPriority w:val="99"/>
    <w:semiHidden/>
    <w:rsid w:val="00E4187E"/>
    <w:rPr>
      <w:rFonts w:ascii="Times New Roman" w:eastAsia="Times New Roman" w:hAnsi="Times New Roman" w:cs="Times New Roman"/>
      <w:b/>
      <w:bCs/>
      <w:sz w:val="20"/>
      <w:szCs w:val="20"/>
      <w:lang w:eastAsia="en-AU"/>
    </w:rPr>
  </w:style>
  <w:style w:type="character" w:styleId="Emphasis">
    <w:name w:val="Emphasis"/>
    <w:basedOn w:val="DefaultParagraphFont"/>
    <w:uiPriority w:val="20"/>
    <w:qFormat/>
    <w:rsid w:val="00141616"/>
    <w:rPr>
      <w:i/>
      <w:iCs/>
    </w:rPr>
  </w:style>
  <w:style w:type="paragraph" w:styleId="ListParagraph">
    <w:name w:val="List Paragraph"/>
    <w:basedOn w:val="Normal"/>
    <w:uiPriority w:val="34"/>
    <w:qFormat/>
    <w:rsid w:val="005C6100"/>
    <w:pPr>
      <w:ind w:left="720"/>
      <w:contextualSpacing/>
    </w:pPr>
  </w:style>
  <w:style w:type="character" w:customStyle="1" w:styleId="Heading1Char">
    <w:name w:val="Heading 1 Char"/>
    <w:basedOn w:val="DefaultParagraphFont"/>
    <w:link w:val="Heading1"/>
    <w:uiPriority w:val="9"/>
    <w:rsid w:val="00107393"/>
    <w:rPr>
      <w:rFonts w:asciiTheme="majorHAnsi" w:eastAsiaTheme="majorEastAsia" w:hAnsiTheme="majorHAnsi" w:cstheme="majorBidi"/>
      <w:color w:val="2F5496" w:themeColor="accent1" w:themeShade="BF"/>
      <w:sz w:val="32"/>
      <w:szCs w:val="32"/>
      <w:lang w:eastAsia="en-AU"/>
    </w:rPr>
  </w:style>
  <w:style w:type="character" w:customStyle="1" w:styleId="Heading3Char">
    <w:name w:val="Heading 3 Char"/>
    <w:basedOn w:val="DefaultParagraphFont"/>
    <w:link w:val="Heading3"/>
    <w:uiPriority w:val="9"/>
    <w:semiHidden/>
    <w:rsid w:val="00633D67"/>
    <w:rPr>
      <w:rFonts w:asciiTheme="majorHAnsi" w:eastAsiaTheme="majorEastAsia" w:hAnsiTheme="majorHAnsi" w:cstheme="majorBidi"/>
      <w:color w:val="1F3763" w:themeColor="accent1" w:themeShade="7F"/>
      <w:sz w:val="24"/>
      <w:szCs w:val="24"/>
      <w:lang w:eastAsia="en-AU"/>
    </w:rPr>
  </w:style>
  <w:style w:type="paragraph" w:customStyle="1" w:styleId="xmsonormal">
    <w:name w:val="x_msonormal"/>
    <w:basedOn w:val="Normal"/>
    <w:rsid w:val="005C3D9D"/>
    <w:rPr>
      <w:rFonts w:ascii="Calibri" w:eastAsiaTheme="minorHAnsi" w:hAnsi="Calibri" w:cs="Calibri"/>
      <w:sz w:val="22"/>
      <w:szCs w:val="22"/>
    </w:rPr>
  </w:style>
  <w:style w:type="paragraph" w:customStyle="1" w:styleId="emnumbers">
    <w:name w:val="emnumbers"/>
    <w:basedOn w:val="Normal"/>
    <w:rsid w:val="00D21AD0"/>
    <w:pPr>
      <w:spacing w:before="100" w:beforeAutospacing="1" w:after="100" w:afterAutospacing="1"/>
    </w:pPr>
  </w:style>
  <w:style w:type="paragraph" w:customStyle="1" w:styleId="xxemnumbers">
    <w:name w:val="xxemnumbers"/>
    <w:basedOn w:val="Normal"/>
    <w:rsid w:val="00D21AD0"/>
    <w:pPr>
      <w:spacing w:before="100" w:beforeAutospacing="1" w:after="100" w:afterAutospacing="1"/>
    </w:pPr>
  </w:style>
  <w:style w:type="character" w:styleId="UnresolvedMention">
    <w:name w:val="Unresolved Mention"/>
    <w:basedOn w:val="DefaultParagraphFont"/>
    <w:uiPriority w:val="99"/>
    <w:semiHidden/>
    <w:unhideWhenUsed/>
    <w:rsid w:val="002C632F"/>
    <w:rPr>
      <w:color w:val="605E5C"/>
      <w:shd w:val="clear" w:color="auto" w:fill="E1DFDD"/>
    </w:rPr>
  </w:style>
  <w:style w:type="character" w:customStyle="1" w:styleId="Heading2Char">
    <w:name w:val="Heading 2 Char"/>
    <w:basedOn w:val="DefaultParagraphFont"/>
    <w:link w:val="Heading2"/>
    <w:uiPriority w:val="9"/>
    <w:semiHidden/>
    <w:rsid w:val="000F6FA4"/>
    <w:rPr>
      <w:rFonts w:asciiTheme="majorHAnsi" w:eastAsiaTheme="majorEastAsia" w:hAnsiTheme="majorHAnsi" w:cstheme="majorBidi"/>
      <w:color w:val="2F5496" w:themeColor="accent1" w:themeShade="BF"/>
      <w:sz w:val="26"/>
      <w:szCs w:val="26"/>
      <w:lang w:eastAsia="en-AU"/>
    </w:rPr>
  </w:style>
  <w:style w:type="character" w:styleId="FollowedHyperlink">
    <w:name w:val="FollowedHyperlink"/>
    <w:basedOn w:val="DefaultParagraphFont"/>
    <w:uiPriority w:val="99"/>
    <w:semiHidden/>
    <w:unhideWhenUsed/>
    <w:rsid w:val="00F32208"/>
    <w:rPr>
      <w:color w:val="954F72" w:themeColor="followedHyperlink"/>
      <w:u w:val="single"/>
    </w:rPr>
  </w:style>
  <w:style w:type="paragraph" w:styleId="Revision">
    <w:name w:val="Revision"/>
    <w:hidden/>
    <w:uiPriority w:val="99"/>
    <w:semiHidden/>
    <w:rsid w:val="00365672"/>
    <w:pPr>
      <w:spacing w:after="0" w:line="240" w:lineRule="auto"/>
    </w:pPr>
    <w:rPr>
      <w:rFonts w:ascii="Times New Roman" w:eastAsia="Times New Roman" w:hAnsi="Times New Roman" w:cs="Times New Roman"/>
      <w:sz w:val="24"/>
      <w:szCs w:val="24"/>
      <w:lang w:eastAsia="en-AU"/>
    </w:rPr>
  </w:style>
  <w:style w:type="paragraph" w:customStyle="1" w:styleId="xmsolistparagraph">
    <w:name w:val="x_msolistparagraph"/>
    <w:basedOn w:val="Normal"/>
    <w:rsid w:val="002D0F4F"/>
    <w:pPr>
      <w:ind w:left="720"/>
    </w:pPr>
    <w:rPr>
      <w:rFonts w:ascii="Calibri" w:eastAsiaTheme="minorHAnsi" w:hAnsi="Calibri" w:cs="Calibri"/>
      <w:sz w:val="22"/>
      <w:szCs w:val="22"/>
    </w:rPr>
  </w:style>
  <w:style w:type="paragraph" w:styleId="ListNumber">
    <w:name w:val="List Number"/>
    <w:basedOn w:val="Normal"/>
    <w:uiPriority w:val="99"/>
    <w:qFormat/>
    <w:rsid w:val="00D977B6"/>
    <w:pPr>
      <w:numPr>
        <w:numId w:val="11"/>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D977B6"/>
    <w:pPr>
      <w:numPr>
        <w:ilvl w:val="1"/>
        <w:numId w:val="11"/>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D977B6"/>
    <w:pPr>
      <w:numPr>
        <w:ilvl w:val="2"/>
        <w:numId w:val="11"/>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D977B6"/>
    <w:pPr>
      <w:numPr>
        <w:ilvl w:val="3"/>
        <w:numId w:val="11"/>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D977B6"/>
    <w:pPr>
      <w:numPr>
        <w:ilvl w:val="4"/>
        <w:numId w:val="11"/>
      </w:numPr>
      <w:spacing w:after="200" w:line="276" w:lineRule="auto"/>
    </w:pPr>
    <w:rPr>
      <w:rFonts w:ascii="Arial" w:eastAsia="Calibri" w:hAnsi="Arial"/>
      <w:sz w:val="22"/>
      <w:szCs w:val="22"/>
      <w:lang w:eastAsia="en-US"/>
    </w:rPr>
  </w:style>
  <w:style w:type="character" w:customStyle="1" w:styleId="Heading5Char">
    <w:name w:val="Heading 5 Char"/>
    <w:basedOn w:val="DefaultParagraphFont"/>
    <w:link w:val="Heading5"/>
    <w:uiPriority w:val="9"/>
    <w:semiHidden/>
    <w:rsid w:val="00064EA5"/>
    <w:rPr>
      <w:rFonts w:asciiTheme="majorHAnsi" w:eastAsiaTheme="majorEastAsia" w:hAnsiTheme="majorHAnsi" w:cstheme="majorBidi"/>
      <w:color w:val="2F5496" w:themeColor="accent1" w:themeShade="BF"/>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97">
      <w:bodyDiv w:val="1"/>
      <w:marLeft w:val="0"/>
      <w:marRight w:val="0"/>
      <w:marTop w:val="0"/>
      <w:marBottom w:val="0"/>
      <w:divBdr>
        <w:top w:val="none" w:sz="0" w:space="0" w:color="auto"/>
        <w:left w:val="none" w:sz="0" w:space="0" w:color="auto"/>
        <w:bottom w:val="none" w:sz="0" w:space="0" w:color="auto"/>
        <w:right w:val="none" w:sz="0" w:space="0" w:color="auto"/>
      </w:divBdr>
    </w:div>
    <w:div w:id="74522876">
      <w:bodyDiv w:val="1"/>
      <w:marLeft w:val="0"/>
      <w:marRight w:val="0"/>
      <w:marTop w:val="0"/>
      <w:marBottom w:val="0"/>
      <w:divBdr>
        <w:top w:val="none" w:sz="0" w:space="0" w:color="auto"/>
        <w:left w:val="none" w:sz="0" w:space="0" w:color="auto"/>
        <w:bottom w:val="none" w:sz="0" w:space="0" w:color="auto"/>
        <w:right w:val="none" w:sz="0" w:space="0" w:color="auto"/>
      </w:divBdr>
    </w:div>
    <w:div w:id="99373911">
      <w:bodyDiv w:val="1"/>
      <w:marLeft w:val="0"/>
      <w:marRight w:val="0"/>
      <w:marTop w:val="0"/>
      <w:marBottom w:val="0"/>
      <w:divBdr>
        <w:top w:val="none" w:sz="0" w:space="0" w:color="auto"/>
        <w:left w:val="none" w:sz="0" w:space="0" w:color="auto"/>
        <w:bottom w:val="none" w:sz="0" w:space="0" w:color="auto"/>
        <w:right w:val="none" w:sz="0" w:space="0" w:color="auto"/>
      </w:divBdr>
    </w:div>
    <w:div w:id="154031904">
      <w:bodyDiv w:val="1"/>
      <w:marLeft w:val="0"/>
      <w:marRight w:val="0"/>
      <w:marTop w:val="0"/>
      <w:marBottom w:val="0"/>
      <w:divBdr>
        <w:top w:val="none" w:sz="0" w:space="0" w:color="auto"/>
        <w:left w:val="none" w:sz="0" w:space="0" w:color="auto"/>
        <w:bottom w:val="none" w:sz="0" w:space="0" w:color="auto"/>
        <w:right w:val="none" w:sz="0" w:space="0" w:color="auto"/>
      </w:divBdr>
    </w:div>
    <w:div w:id="192307177">
      <w:bodyDiv w:val="1"/>
      <w:marLeft w:val="0"/>
      <w:marRight w:val="0"/>
      <w:marTop w:val="0"/>
      <w:marBottom w:val="0"/>
      <w:divBdr>
        <w:top w:val="none" w:sz="0" w:space="0" w:color="auto"/>
        <w:left w:val="none" w:sz="0" w:space="0" w:color="auto"/>
        <w:bottom w:val="none" w:sz="0" w:space="0" w:color="auto"/>
        <w:right w:val="none" w:sz="0" w:space="0" w:color="auto"/>
      </w:divBdr>
    </w:div>
    <w:div w:id="326598227">
      <w:bodyDiv w:val="1"/>
      <w:marLeft w:val="0"/>
      <w:marRight w:val="0"/>
      <w:marTop w:val="0"/>
      <w:marBottom w:val="0"/>
      <w:divBdr>
        <w:top w:val="none" w:sz="0" w:space="0" w:color="auto"/>
        <w:left w:val="none" w:sz="0" w:space="0" w:color="auto"/>
        <w:bottom w:val="none" w:sz="0" w:space="0" w:color="auto"/>
        <w:right w:val="none" w:sz="0" w:space="0" w:color="auto"/>
      </w:divBdr>
    </w:div>
    <w:div w:id="444085979">
      <w:bodyDiv w:val="1"/>
      <w:marLeft w:val="0"/>
      <w:marRight w:val="0"/>
      <w:marTop w:val="0"/>
      <w:marBottom w:val="0"/>
      <w:divBdr>
        <w:top w:val="none" w:sz="0" w:space="0" w:color="auto"/>
        <w:left w:val="none" w:sz="0" w:space="0" w:color="auto"/>
        <w:bottom w:val="none" w:sz="0" w:space="0" w:color="auto"/>
        <w:right w:val="none" w:sz="0" w:space="0" w:color="auto"/>
      </w:divBdr>
    </w:div>
    <w:div w:id="480536183">
      <w:bodyDiv w:val="1"/>
      <w:marLeft w:val="0"/>
      <w:marRight w:val="0"/>
      <w:marTop w:val="0"/>
      <w:marBottom w:val="0"/>
      <w:divBdr>
        <w:top w:val="none" w:sz="0" w:space="0" w:color="auto"/>
        <w:left w:val="none" w:sz="0" w:space="0" w:color="auto"/>
        <w:bottom w:val="none" w:sz="0" w:space="0" w:color="auto"/>
        <w:right w:val="none" w:sz="0" w:space="0" w:color="auto"/>
      </w:divBdr>
    </w:div>
    <w:div w:id="632443559">
      <w:bodyDiv w:val="1"/>
      <w:marLeft w:val="0"/>
      <w:marRight w:val="0"/>
      <w:marTop w:val="0"/>
      <w:marBottom w:val="0"/>
      <w:divBdr>
        <w:top w:val="none" w:sz="0" w:space="0" w:color="auto"/>
        <w:left w:val="none" w:sz="0" w:space="0" w:color="auto"/>
        <w:bottom w:val="none" w:sz="0" w:space="0" w:color="auto"/>
        <w:right w:val="none" w:sz="0" w:space="0" w:color="auto"/>
      </w:divBdr>
    </w:div>
    <w:div w:id="752123693">
      <w:bodyDiv w:val="1"/>
      <w:marLeft w:val="0"/>
      <w:marRight w:val="0"/>
      <w:marTop w:val="0"/>
      <w:marBottom w:val="0"/>
      <w:divBdr>
        <w:top w:val="none" w:sz="0" w:space="0" w:color="auto"/>
        <w:left w:val="none" w:sz="0" w:space="0" w:color="auto"/>
        <w:bottom w:val="none" w:sz="0" w:space="0" w:color="auto"/>
        <w:right w:val="none" w:sz="0" w:space="0" w:color="auto"/>
      </w:divBdr>
    </w:div>
    <w:div w:id="869219466">
      <w:bodyDiv w:val="1"/>
      <w:marLeft w:val="0"/>
      <w:marRight w:val="0"/>
      <w:marTop w:val="0"/>
      <w:marBottom w:val="0"/>
      <w:divBdr>
        <w:top w:val="none" w:sz="0" w:space="0" w:color="auto"/>
        <w:left w:val="none" w:sz="0" w:space="0" w:color="auto"/>
        <w:bottom w:val="none" w:sz="0" w:space="0" w:color="auto"/>
        <w:right w:val="none" w:sz="0" w:space="0" w:color="auto"/>
      </w:divBdr>
    </w:div>
    <w:div w:id="973634195">
      <w:bodyDiv w:val="1"/>
      <w:marLeft w:val="0"/>
      <w:marRight w:val="0"/>
      <w:marTop w:val="0"/>
      <w:marBottom w:val="0"/>
      <w:divBdr>
        <w:top w:val="none" w:sz="0" w:space="0" w:color="auto"/>
        <w:left w:val="none" w:sz="0" w:space="0" w:color="auto"/>
        <w:bottom w:val="none" w:sz="0" w:space="0" w:color="auto"/>
        <w:right w:val="none" w:sz="0" w:space="0" w:color="auto"/>
      </w:divBdr>
    </w:div>
    <w:div w:id="1005404754">
      <w:bodyDiv w:val="1"/>
      <w:marLeft w:val="0"/>
      <w:marRight w:val="0"/>
      <w:marTop w:val="0"/>
      <w:marBottom w:val="0"/>
      <w:divBdr>
        <w:top w:val="none" w:sz="0" w:space="0" w:color="auto"/>
        <w:left w:val="none" w:sz="0" w:space="0" w:color="auto"/>
        <w:bottom w:val="none" w:sz="0" w:space="0" w:color="auto"/>
        <w:right w:val="none" w:sz="0" w:space="0" w:color="auto"/>
      </w:divBdr>
    </w:div>
    <w:div w:id="1084297374">
      <w:bodyDiv w:val="1"/>
      <w:marLeft w:val="0"/>
      <w:marRight w:val="0"/>
      <w:marTop w:val="0"/>
      <w:marBottom w:val="0"/>
      <w:divBdr>
        <w:top w:val="none" w:sz="0" w:space="0" w:color="auto"/>
        <w:left w:val="none" w:sz="0" w:space="0" w:color="auto"/>
        <w:bottom w:val="none" w:sz="0" w:space="0" w:color="auto"/>
        <w:right w:val="none" w:sz="0" w:space="0" w:color="auto"/>
      </w:divBdr>
    </w:div>
    <w:div w:id="1111126629">
      <w:bodyDiv w:val="1"/>
      <w:marLeft w:val="0"/>
      <w:marRight w:val="0"/>
      <w:marTop w:val="0"/>
      <w:marBottom w:val="0"/>
      <w:divBdr>
        <w:top w:val="none" w:sz="0" w:space="0" w:color="auto"/>
        <w:left w:val="none" w:sz="0" w:space="0" w:color="auto"/>
        <w:bottom w:val="none" w:sz="0" w:space="0" w:color="auto"/>
        <w:right w:val="none" w:sz="0" w:space="0" w:color="auto"/>
      </w:divBdr>
    </w:div>
    <w:div w:id="1240477324">
      <w:bodyDiv w:val="1"/>
      <w:marLeft w:val="0"/>
      <w:marRight w:val="0"/>
      <w:marTop w:val="0"/>
      <w:marBottom w:val="0"/>
      <w:divBdr>
        <w:top w:val="none" w:sz="0" w:space="0" w:color="auto"/>
        <w:left w:val="none" w:sz="0" w:space="0" w:color="auto"/>
        <w:bottom w:val="none" w:sz="0" w:space="0" w:color="auto"/>
        <w:right w:val="none" w:sz="0" w:space="0" w:color="auto"/>
      </w:divBdr>
    </w:div>
    <w:div w:id="1308390751">
      <w:bodyDiv w:val="1"/>
      <w:marLeft w:val="0"/>
      <w:marRight w:val="0"/>
      <w:marTop w:val="0"/>
      <w:marBottom w:val="0"/>
      <w:divBdr>
        <w:top w:val="none" w:sz="0" w:space="0" w:color="auto"/>
        <w:left w:val="none" w:sz="0" w:space="0" w:color="auto"/>
        <w:bottom w:val="none" w:sz="0" w:space="0" w:color="auto"/>
        <w:right w:val="none" w:sz="0" w:space="0" w:color="auto"/>
      </w:divBdr>
    </w:div>
    <w:div w:id="1396508435">
      <w:bodyDiv w:val="1"/>
      <w:marLeft w:val="0"/>
      <w:marRight w:val="0"/>
      <w:marTop w:val="0"/>
      <w:marBottom w:val="0"/>
      <w:divBdr>
        <w:top w:val="none" w:sz="0" w:space="0" w:color="auto"/>
        <w:left w:val="none" w:sz="0" w:space="0" w:color="auto"/>
        <w:bottom w:val="none" w:sz="0" w:space="0" w:color="auto"/>
        <w:right w:val="none" w:sz="0" w:space="0" w:color="auto"/>
      </w:divBdr>
    </w:div>
    <w:div w:id="1416317759">
      <w:bodyDiv w:val="1"/>
      <w:marLeft w:val="0"/>
      <w:marRight w:val="0"/>
      <w:marTop w:val="0"/>
      <w:marBottom w:val="0"/>
      <w:divBdr>
        <w:top w:val="none" w:sz="0" w:space="0" w:color="auto"/>
        <w:left w:val="none" w:sz="0" w:space="0" w:color="auto"/>
        <w:bottom w:val="none" w:sz="0" w:space="0" w:color="auto"/>
        <w:right w:val="none" w:sz="0" w:space="0" w:color="auto"/>
      </w:divBdr>
    </w:div>
    <w:div w:id="1500347234">
      <w:bodyDiv w:val="1"/>
      <w:marLeft w:val="0"/>
      <w:marRight w:val="0"/>
      <w:marTop w:val="0"/>
      <w:marBottom w:val="0"/>
      <w:divBdr>
        <w:top w:val="none" w:sz="0" w:space="0" w:color="auto"/>
        <w:left w:val="none" w:sz="0" w:space="0" w:color="auto"/>
        <w:bottom w:val="none" w:sz="0" w:space="0" w:color="auto"/>
        <w:right w:val="none" w:sz="0" w:space="0" w:color="auto"/>
      </w:divBdr>
    </w:div>
    <w:div w:id="1614553176">
      <w:bodyDiv w:val="1"/>
      <w:marLeft w:val="0"/>
      <w:marRight w:val="0"/>
      <w:marTop w:val="0"/>
      <w:marBottom w:val="0"/>
      <w:divBdr>
        <w:top w:val="none" w:sz="0" w:space="0" w:color="auto"/>
        <w:left w:val="none" w:sz="0" w:space="0" w:color="auto"/>
        <w:bottom w:val="none" w:sz="0" w:space="0" w:color="auto"/>
        <w:right w:val="none" w:sz="0" w:space="0" w:color="auto"/>
      </w:divBdr>
    </w:div>
    <w:div w:id="1637683881">
      <w:bodyDiv w:val="1"/>
      <w:marLeft w:val="0"/>
      <w:marRight w:val="0"/>
      <w:marTop w:val="0"/>
      <w:marBottom w:val="0"/>
      <w:divBdr>
        <w:top w:val="none" w:sz="0" w:space="0" w:color="auto"/>
        <w:left w:val="none" w:sz="0" w:space="0" w:color="auto"/>
        <w:bottom w:val="none" w:sz="0" w:space="0" w:color="auto"/>
        <w:right w:val="none" w:sz="0" w:space="0" w:color="auto"/>
      </w:divBdr>
    </w:div>
    <w:div w:id="1643847611">
      <w:bodyDiv w:val="1"/>
      <w:marLeft w:val="0"/>
      <w:marRight w:val="0"/>
      <w:marTop w:val="0"/>
      <w:marBottom w:val="0"/>
      <w:divBdr>
        <w:top w:val="none" w:sz="0" w:space="0" w:color="auto"/>
        <w:left w:val="none" w:sz="0" w:space="0" w:color="auto"/>
        <w:bottom w:val="none" w:sz="0" w:space="0" w:color="auto"/>
        <w:right w:val="none" w:sz="0" w:space="0" w:color="auto"/>
      </w:divBdr>
    </w:div>
    <w:div w:id="1732389527">
      <w:bodyDiv w:val="1"/>
      <w:marLeft w:val="0"/>
      <w:marRight w:val="0"/>
      <w:marTop w:val="0"/>
      <w:marBottom w:val="0"/>
      <w:divBdr>
        <w:top w:val="none" w:sz="0" w:space="0" w:color="auto"/>
        <w:left w:val="none" w:sz="0" w:space="0" w:color="auto"/>
        <w:bottom w:val="none" w:sz="0" w:space="0" w:color="auto"/>
        <w:right w:val="none" w:sz="0" w:space="0" w:color="auto"/>
      </w:divBdr>
    </w:div>
    <w:div w:id="1786462573">
      <w:bodyDiv w:val="1"/>
      <w:marLeft w:val="0"/>
      <w:marRight w:val="0"/>
      <w:marTop w:val="0"/>
      <w:marBottom w:val="0"/>
      <w:divBdr>
        <w:top w:val="none" w:sz="0" w:space="0" w:color="auto"/>
        <w:left w:val="none" w:sz="0" w:space="0" w:color="auto"/>
        <w:bottom w:val="none" w:sz="0" w:space="0" w:color="auto"/>
        <w:right w:val="none" w:sz="0" w:space="0" w:color="auto"/>
      </w:divBdr>
    </w:div>
    <w:div w:id="1841695842">
      <w:bodyDiv w:val="1"/>
      <w:marLeft w:val="0"/>
      <w:marRight w:val="0"/>
      <w:marTop w:val="0"/>
      <w:marBottom w:val="0"/>
      <w:divBdr>
        <w:top w:val="none" w:sz="0" w:space="0" w:color="auto"/>
        <w:left w:val="none" w:sz="0" w:space="0" w:color="auto"/>
        <w:bottom w:val="none" w:sz="0" w:space="0" w:color="auto"/>
        <w:right w:val="none" w:sz="0" w:space="0" w:color="auto"/>
      </w:divBdr>
    </w:div>
    <w:div w:id="1975212282">
      <w:bodyDiv w:val="1"/>
      <w:marLeft w:val="0"/>
      <w:marRight w:val="0"/>
      <w:marTop w:val="0"/>
      <w:marBottom w:val="0"/>
      <w:divBdr>
        <w:top w:val="none" w:sz="0" w:space="0" w:color="auto"/>
        <w:left w:val="none" w:sz="0" w:space="0" w:color="auto"/>
        <w:bottom w:val="none" w:sz="0" w:space="0" w:color="auto"/>
        <w:right w:val="none" w:sz="0" w:space="0" w:color="auto"/>
      </w:divBdr>
    </w:div>
    <w:div w:id="2072656672">
      <w:bodyDiv w:val="1"/>
      <w:marLeft w:val="0"/>
      <w:marRight w:val="0"/>
      <w:marTop w:val="0"/>
      <w:marBottom w:val="0"/>
      <w:divBdr>
        <w:top w:val="none" w:sz="0" w:space="0" w:color="auto"/>
        <w:left w:val="none" w:sz="0" w:space="0" w:color="auto"/>
        <w:bottom w:val="none" w:sz="0" w:space="0" w:color="auto"/>
        <w:right w:val="none" w:sz="0" w:space="0" w:color="auto"/>
      </w:divBdr>
    </w:div>
    <w:div w:id="2097633373">
      <w:bodyDiv w:val="1"/>
      <w:marLeft w:val="0"/>
      <w:marRight w:val="0"/>
      <w:marTop w:val="0"/>
      <w:marBottom w:val="0"/>
      <w:divBdr>
        <w:top w:val="none" w:sz="0" w:space="0" w:color="auto"/>
        <w:left w:val="none" w:sz="0" w:space="0" w:color="auto"/>
        <w:bottom w:val="none" w:sz="0" w:space="0" w:color="auto"/>
        <w:right w:val="none" w:sz="0" w:space="0" w:color="auto"/>
      </w:divBdr>
    </w:div>
    <w:div w:id="2098407275">
      <w:bodyDiv w:val="1"/>
      <w:marLeft w:val="0"/>
      <w:marRight w:val="0"/>
      <w:marTop w:val="0"/>
      <w:marBottom w:val="0"/>
      <w:divBdr>
        <w:top w:val="none" w:sz="0" w:space="0" w:color="auto"/>
        <w:left w:val="none" w:sz="0" w:space="0" w:color="auto"/>
        <w:bottom w:val="none" w:sz="0" w:space="0" w:color="auto"/>
        <w:right w:val="none" w:sz="0" w:space="0" w:color="auto"/>
      </w:divBdr>
    </w:div>
    <w:div w:id="211933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3045</Words>
  <Characters>17358</Characters>
  <Application>Microsoft Office Word</Application>
  <DocSecurity>0</DocSecurity>
  <Lines>144</Lines>
  <Paragraphs>40</Paragraphs>
  <ScaleCrop>false</ScaleCrop>
  <Company/>
  <LinksUpToDate>false</LinksUpToDate>
  <CharactersWithSpaces>20363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2025-03-07T00:59:00Z</dcterms:created>
  <dcterms:modified xsi:type="dcterms:W3CDTF">2025-03-07T01:00:00Z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2025-03-07T01:00:09Z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73e6108d-f57f-4466-9a01-06a08b13ad11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