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A7999" w14:textId="77777777" w:rsidR="00715914" w:rsidRPr="00D52DF8" w:rsidRDefault="00DA186E" w:rsidP="00715914">
      <w:pPr>
        <w:rPr>
          <w:sz w:val="28"/>
        </w:rPr>
      </w:pPr>
      <w:r w:rsidRPr="00D52DF8">
        <w:rPr>
          <w:noProof/>
          <w:lang w:eastAsia="en-AU"/>
        </w:rPr>
        <w:drawing>
          <wp:inline distT="0" distB="0" distL="0" distR="0" wp14:anchorId="51A8E72A" wp14:editId="57B928B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7E0CF0E" w14:textId="77777777" w:rsidR="006E65E0" w:rsidRPr="006E65E0" w:rsidRDefault="006E65E0" w:rsidP="006E65E0"/>
    <w:p w14:paraId="75C1DB03" w14:textId="71434C63" w:rsidR="006E65E0" w:rsidRPr="00FC0821" w:rsidRDefault="006B554A" w:rsidP="006E65E0">
      <w:pPr>
        <w:rPr>
          <w:sz w:val="19"/>
        </w:rPr>
      </w:pPr>
      <w:r w:rsidRPr="00FC0821">
        <w:rPr>
          <w:sz w:val="19"/>
        </w:rPr>
        <w:t>LIN 25/010</w:t>
      </w:r>
    </w:p>
    <w:p w14:paraId="3DD66AAD" w14:textId="77777777" w:rsidR="006B554A" w:rsidRPr="006E65E0" w:rsidRDefault="006B554A" w:rsidP="006E65E0"/>
    <w:p w14:paraId="1CE5B17E" w14:textId="2BB9D823" w:rsidR="00554826" w:rsidRPr="00D52DF8" w:rsidRDefault="000311B7" w:rsidP="00554826">
      <w:pPr>
        <w:pStyle w:val="ShortT"/>
      </w:pPr>
      <w:r w:rsidRPr="00D52DF8">
        <w:t>Security of Critical Infrastructure</w:t>
      </w:r>
      <w:r w:rsidR="00554826" w:rsidRPr="00D52DF8">
        <w:t xml:space="preserve"> (</w:t>
      </w:r>
      <w:r w:rsidRPr="00D52DF8">
        <w:t>Telecommunications Security</w:t>
      </w:r>
      <w:r w:rsidR="00EF571A" w:rsidRPr="00D52DF8">
        <w:t xml:space="preserve"> and</w:t>
      </w:r>
      <w:r w:rsidRPr="00D52DF8">
        <w:t xml:space="preserve"> Risk Management Program</w:t>
      </w:r>
      <w:r w:rsidR="00554826" w:rsidRPr="00D52DF8">
        <w:t xml:space="preserve">) </w:t>
      </w:r>
      <w:r w:rsidR="00591737">
        <w:t>Rules 2025</w:t>
      </w:r>
    </w:p>
    <w:p w14:paraId="32D6EA7E" w14:textId="18D946A1" w:rsidR="00554826" w:rsidRPr="00D52DF8" w:rsidRDefault="00554826" w:rsidP="00554826">
      <w:pPr>
        <w:pStyle w:val="SignCoverPageStart"/>
        <w:spacing w:before="240"/>
        <w:ind w:right="91"/>
        <w:rPr>
          <w:szCs w:val="22"/>
        </w:rPr>
      </w:pPr>
      <w:r w:rsidRPr="00D52DF8">
        <w:rPr>
          <w:szCs w:val="22"/>
        </w:rPr>
        <w:t xml:space="preserve">I, </w:t>
      </w:r>
      <w:r w:rsidR="000311B7" w:rsidRPr="00D52DF8">
        <w:rPr>
          <w:szCs w:val="22"/>
        </w:rPr>
        <w:t>Tony Burke</w:t>
      </w:r>
      <w:r w:rsidRPr="00D52DF8">
        <w:rPr>
          <w:szCs w:val="22"/>
        </w:rPr>
        <w:t xml:space="preserve">, </w:t>
      </w:r>
      <w:r w:rsidR="000311B7" w:rsidRPr="00D52DF8">
        <w:rPr>
          <w:szCs w:val="22"/>
        </w:rPr>
        <w:t>Minister for Home Affairs</w:t>
      </w:r>
      <w:r w:rsidR="00DD473A" w:rsidRPr="00D52DF8">
        <w:rPr>
          <w:szCs w:val="22"/>
        </w:rPr>
        <w:t xml:space="preserve"> and Minister for Cyber Security</w:t>
      </w:r>
      <w:r w:rsidRPr="00D52DF8">
        <w:rPr>
          <w:szCs w:val="22"/>
        </w:rPr>
        <w:t xml:space="preserve">, make the following </w:t>
      </w:r>
      <w:r w:rsidR="000311B7" w:rsidRPr="00D52DF8">
        <w:rPr>
          <w:szCs w:val="22"/>
        </w:rPr>
        <w:t>rules</w:t>
      </w:r>
      <w:r w:rsidRPr="00D52DF8">
        <w:rPr>
          <w:szCs w:val="22"/>
        </w:rPr>
        <w:t>.</w:t>
      </w:r>
    </w:p>
    <w:p w14:paraId="79EEB4B1" w14:textId="22F85CE4" w:rsidR="00554826" w:rsidRPr="00D52DF8" w:rsidRDefault="00554826" w:rsidP="00554826">
      <w:pPr>
        <w:keepNext/>
        <w:spacing w:before="300" w:line="240" w:lineRule="atLeast"/>
        <w:ind w:right="397"/>
        <w:jc w:val="both"/>
        <w:rPr>
          <w:szCs w:val="22"/>
        </w:rPr>
      </w:pPr>
      <w:r w:rsidRPr="00D52DF8">
        <w:rPr>
          <w:szCs w:val="22"/>
        </w:rPr>
        <w:t>Dated</w:t>
      </w:r>
      <w:r w:rsidRPr="00D52DF8">
        <w:rPr>
          <w:szCs w:val="22"/>
        </w:rPr>
        <w:tab/>
      </w:r>
      <w:r w:rsidR="00526BEB">
        <w:rPr>
          <w:szCs w:val="22"/>
        </w:rPr>
        <w:t>1 March 2025</w:t>
      </w:r>
      <w:bookmarkStart w:id="0" w:name="_GoBack"/>
      <w:bookmarkEnd w:id="0"/>
    </w:p>
    <w:p w14:paraId="5596F119" w14:textId="63B7366D" w:rsidR="00554826" w:rsidRPr="00D52DF8" w:rsidRDefault="000311B7" w:rsidP="00554826">
      <w:pPr>
        <w:keepNext/>
        <w:tabs>
          <w:tab w:val="left" w:pos="3402"/>
        </w:tabs>
        <w:spacing w:before="1440" w:line="300" w:lineRule="atLeast"/>
        <w:ind w:right="397"/>
        <w:rPr>
          <w:b/>
          <w:szCs w:val="22"/>
        </w:rPr>
      </w:pPr>
      <w:r w:rsidRPr="00D52DF8">
        <w:rPr>
          <w:szCs w:val="22"/>
        </w:rPr>
        <w:t>Tony Burke</w:t>
      </w:r>
    </w:p>
    <w:p w14:paraId="1AAC1D3B" w14:textId="75D8F031" w:rsidR="00554826" w:rsidRPr="00D52DF8" w:rsidRDefault="000311B7" w:rsidP="00554826">
      <w:pPr>
        <w:pStyle w:val="SignCoverPageEnd"/>
        <w:ind w:right="91"/>
        <w:rPr>
          <w:sz w:val="22"/>
        </w:rPr>
      </w:pPr>
      <w:r w:rsidRPr="00D52DF8">
        <w:rPr>
          <w:sz w:val="22"/>
        </w:rPr>
        <w:t>Minister for Home Affairs</w:t>
      </w:r>
      <w:r w:rsidR="00DD473A" w:rsidRPr="00D52DF8">
        <w:rPr>
          <w:sz w:val="22"/>
        </w:rPr>
        <w:br/>
        <w:t>Minister for Cyber Security</w:t>
      </w:r>
    </w:p>
    <w:p w14:paraId="57EA2F68" w14:textId="77777777" w:rsidR="00554826" w:rsidRPr="00D52DF8" w:rsidRDefault="00554826" w:rsidP="00554826"/>
    <w:p w14:paraId="4E2993DA" w14:textId="77777777" w:rsidR="00554826" w:rsidRPr="00D52DF8" w:rsidRDefault="00554826" w:rsidP="00554826"/>
    <w:p w14:paraId="2C1A01B1" w14:textId="77777777" w:rsidR="00F6696E" w:rsidRPr="00D52DF8" w:rsidRDefault="00F6696E" w:rsidP="00F6696E"/>
    <w:p w14:paraId="7CBFA190" w14:textId="43BBF664" w:rsidR="00F6696E" w:rsidRPr="00D52DF8" w:rsidRDefault="00F6696E" w:rsidP="00F6696E">
      <w:pPr>
        <w:sectPr w:rsidR="00F6696E" w:rsidRPr="00D52DF8"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5EA60F57" w14:textId="22AF8D0D" w:rsidR="007500C8" w:rsidRPr="00D52DF8" w:rsidRDefault="00715914" w:rsidP="00715914">
      <w:pPr>
        <w:outlineLvl w:val="0"/>
        <w:rPr>
          <w:sz w:val="36"/>
        </w:rPr>
      </w:pPr>
      <w:r w:rsidRPr="00D52DF8">
        <w:rPr>
          <w:sz w:val="36"/>
        </w:rPr>
        <w:lastRenderedPageBreak/>
        <w:t>Contents</w:t>
      </w:r>
    </w:p>
    <w:p w14:paraId="282C75D7" w14:textId="1F0EA12F" w:rsidR="003F1015" w:rsidRDefault="00B418CB">
      <w:pPr>
        <w:pStyle w:val="TOC2"/>
        <w:rPr>
          <w:rFonts w:asciiTheme="minorHAnsi" w:eastAsiaTheme="minorEastAsia" w:hAnsiTheme="minorHAnsi" w:cstheme="minorBidi"/>
          <w:b w:val="0"/>
          <w:noProof/>
          <w:kern w:val="0"/>
          <w:sz w:val="22"/>
          <w:szCs w:val="22"/>
        </w:rPr>
      </w:pPr>
      <w:r w:rsidRPr="00D52DF8">
        <w:rPr>
          <w:sz w:val="18"/>
        </w:rPr>
        <w:fldChar w:fldCharType="begin"/>
      </w:r>
      <w:r w:rsidRPr="00D52DF8">
        <w:instrText xml:space="preserve"> TOC \o "1-9" </w:instrText>
      </w:r>
      <w:r w:rsidRPr="00D52DF8">
        <w:rPr>
          <w:sz w:val="18"/>
        </w:rPr>
        <w:fldChar w:fldCharType="separate"/>
      </w:r>
      <w:r w:rsidR="003F1015">
        <w:rPr>
          <w:noProof/>
        </w:rPr>
        <w:t>Part 1—Preliminary</w:t>
      </w:r>
      <w:r w:rsidR="003F1015">
        <w:rPr>
          <w:noProof/>
        </w:rPr>
        <w:tab/>
      </w:r>
      <w:r w:rsidR="003F1015">
        <w:rPr>
          <w:noProof/>
        </w:rPr>
        <w:fldChar w:fldCharType="begin"/>
      </w:r>
      <w:r w:rsidR="003F1015">
        <w:rPr>
          <w:noProof/>
        </w:rPr>
        <w:instrText xml:space="preserve"> PAGEREF _Toc191588681 \h </w:instrText>
      </w:r>
      <w:r w:rsidR="003F1015">
        <w:rPr>
          <w:noProof/>
        </w:rPr>
      </w:r>
      <w:r w:rsidR="003F1015">
        <w:rPr>
          <w:noProof/>
        </w:rPr>
        <w:fldChar w:fldCharType="separate"/>
      </w:r>
      <w:r w:rsidR="003F1015">
        <w:rPr>
          <w:noProof/>
        </w:rPr>
        <w:t>1</w:t>
      </w:r>
      <w:r w:rsidR="003F1015">
        <w:rPr>
          <w:noProof/>
        </w:rPr>
        <w:fldChar w:fldCharType="end"/>
      </w:r>
    </w:p>
    <w:p w14:paraId="4CB17DD0" w14:textId="49EB2783" w:rsidR="003F1015" w:rsidRDefault="003F1015">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_Toc191588682 \h </w:instrText>
      </w:r>
      <w:r>
        <w:rPr>
          <w:noProof/>
        </w:rPr>
      </w:r>
      <w:r>
        <w:rPr>
          <w:noProof/>
        </w:rPr>
        <w:fldChar w:fldCharType="separate"/>
      </w:r>
      <w:r>
        <w:rPr>
          <w:noProof/>
        </w:rPr>
        <w:t>1</w:t>
      </w:r>
      <w:r>
        <w:rPr>
          <w:noProof/>
        </w:rPr>
        <w:fldChar w:fldCharType="end"/>
      </w:r>
    </w:p>
    <w:p w14:paraId="5034840E" w14:textId="158081D0" w:rsidR="003F1015" w:rsidRDefault="003F1015">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_Toc191588683 \h </w:instrText>
      </w:r>
      <w:r>
        <w:rPr>
          <w:noProof/>
        </w:rPr>
      </w:r>
      <w:r>
        <w:rPr>
          <w:noProof/>
        </w:rPr>
        <w:fldChar w:fldCharType="separate"/>
      </w:r>
      <w:r>
        <w:rPr>
          <w:noProof/>
        </w:rPr>
        <w:t>1</w:t>
      </w:r>
      <w:r>
        <w:rPr>
          <w:noProof/>
        </w:rPr>
        <w:fldChar w:fldCharType="end"/>
      </w:r>
    </w:p>
    <w:p w14:paraId="09BAF1B8" w14:textId="20C90A95" w:rsidR="003F1015" w:rsidRDefault="003F1015">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_Toc191588684 \h </w:instrText>
      </w:r>
      <w:r>
        <w:rPr>
          <w:noProof/>
        </w:rPr>
      </w:r>
      <w:r>
        <w:rPr>
          <w:noProof/>
        </w:rPr>
        <w:fldChar w:fldCharType="separate"/>
      </w:r>
      <w:r>
        <w:rPr>
          <w:noProof/>
        </w:rPr>
        <w:t>1</w:t>
      </w:r>
      <w:r>
        <w:rPr>
          <w:noProof/>
        </w:rPr>
        <w:fldChar w:fldCharType="end"/>
      </w:r>
    </w:p>
    <w:p w14:paraId="63D7D125" w14:textId="70FABC5D" w:rsidR="003F1015" w:rsidRDefault="003F1015">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_Toc191588685 \h </w:instrText>
      </w:r>
      <w:r>
        <w:rPr>
          <w:noProof/>
        </w:rPr>
      </w:r>
      <w:r>
        <w:rPr>
          <w:noProof/>
        </w:rPr>
        <w:fldChar w:fldCharType="separate"/>
      </w:r>
      <w:r>
        <w:rPr>
          <w:noProof/>
        </w:rPr>
        <w:t>1</w:t>
      </w:r>
      <w:r>
        <w:rPr>
          <w:noProof/>
        </w:rPr>
        <w:fldChar w:fldCharType="end"/>
      </w:r>
    </w:p>
    <w:p w14:paraId="697F6636" w14:textId="606758B3" w:rsidR="003F1015" w:rsidRDefault="003F1015">
      <w:pPr>
        <w:pStyle w:val="TOC5"/>
        <w:rPr>
          <w:rFonts w:asciiTheme="minorHAnsi" w:eastAsiaTheme="minorEastAsia" w:hAnsiTheme="minorHAnsi" w:cstheme="minorBidi"/>
          <w:noProof/>
          <w:kern w:val="0"/>
          <w:sz w:val="22"/>
          <w:szCs w:val="22"/>
        </w:rPr>
      </w:pPr>
      <w:r>
        <w:rPr>
          <w:noProof/>
        </w:rPr>
        <w:t xml:space="preserve">5  Meaning of </w:t>
      </w:r>
      <w:r w:rsidRPr="00E73D5A">
        <w:rPr>
          <w:i/>
          <w:noProof/>
        </w:rPr>
        <w:t>relevant critical infrastructure asset</w:t>
      </w:r>
      <w:r>
        <w:rPr>
          <w:noProof/>
        </w:rPr>
        <w:tab/>
      </w:r>
      <w:r>
        <w:rPr>
          <w:noProof/>
        </w:rPr>
        <w:fldChar w:fldCharType="begin"/>
      </w:r>
      <w:r>
        <w:rPr>
          <w:noProof/>
        </w:rPr>
        <w:instrText xml:space="preserve"> PAGEREF _Toc191588686 \h </w:instrText>
      </w:r>
      <w:r>
        <w:rPr>
          <w:noProof/>
        </w:rPr>
      </w:r>
      <w:r>
        <w:rPr>
          <w:noProof/>
        </w:rPr>
        <w:fldChar w:fldCharType="separate"/>
      </w:r>
      <w:r>
        <w:rPr>
          <w:noProof/>
        </w:rPr>
        <w:t>3</w:t>
      </w:r>
      <w:r>
        <w:rPr>
          <w:noProof/>
        </w:rPr>
        <w:fldChar w:fldCharType="end"/>
      </w:r>
    </w:p>
    <w:p w14:paraId="5781036D" w14:textId="2791FEB9" w:rsidR="003F1015" w:rsidRDefault="003F1015">
      <w:pPr>
        <w:pStyle w:val="TOC2"/>
        <w:rPr>
          <w:rFonts w:asciiTheme="minorHAnsi" w:eastAsiaTheme="minorEastAsia" w:hAnsiTheme="minorHAnsi" w:cstheme="minorBidi"/>
          <w:b w:val="0"/>
          <w:noProof/>
          <w:kern w:val="0"/>
          <w:sz w:val="22"/>
          <w:szCs w:val="22"/>
        </w:rPr>
      </w:pPr>
      <w:r>
        <w:rPr>
          <w:noProof/>
        </w:rPr>
        <w:t>Part 2—Responsible entity’s obligation to protect critical telecommunications assets</w:t>
      </w:r>
      <w:r>
        <w:rPr>
          <w:noProof/>
        </w:rPr>
        <w:tab/>
      </w:r>
      <w:r>
        <w:rPr>
          <w:noProof/>
        </w:rPr>
        <w:fldChar w:fldCharType="begin"/>
      </w:r>
      <w:r>
        <w:rPr>
          <w:noProof/>
        </w:rPr>
        <w:instrText xml:space="preserve"> PAGEREF _Toc191588687 \h </w:instrText>
      </w:r>
      <w:r>
        <w:rPr>
          <w:noProof/>
        </w:rPr>
      </w:r>
      <w:r>
        <w:rPr>
          <w:noProof/>
        </w:rPr>
        <w:fldChar w:fldCharType="separate"/>
      </w:r>
      <w:r>
        <w:rPr>
          <w:noProof/>
        </w:rPr>
        <w:t>3</w:t>
      </w:r>
      <w:r>
        <w:rPr>
          <w:noProof/>
        </w:rPr>
        <w:fldChar w:fldCharType="end"/>
      </w:r>
    </w:p>
    <w:p w14:paraId="0B6D5653" w14:textId="0B30DDE4" w:rsidR="003F1015" w:rsidRDefault="003F1015">
      <w:pPr>
        <w:pStyle w:val="TOC5"/>
        <w:rPr>
          <w:rFonts w:asciiTheme="minorHAnsi" w:eastAsiaTheme="minorEastAsia" w:hAnsiTheme="minorHAnsi" w:cstheme="minorBidi"/>
          <w:noProof/>
          <w:kern w:val="0"/>
          <w:sz w:val="22"/>
          <w:szCs w:val="22"/>
        </w:rPr>
      </w:pPr>
      <w:r>
        <w:rPr>
          <w:noProof/>
        </w:rPr>
        <w:t>6  Application of section 30EB of the Act</w:t>
      </w:r>
      <w:r>
        <w:rPr>
          <w:noProof/>
        </w:rPr>
        <w:tab/>
      </w:r>
      <w:r>
        <w:rPr>
          <w:noProof/>
        </w:rPr>
        <w:fldChar w:fldCharType="begin"/>
      </w:r>
      <w:r>
        <w:rPr>
          <w:noProof/>
        </w:rPr>
        <w:instrText xml:space="preserve"> PAGEREF _Toc191588688 \h </w:instrText>
      </w:r>
      <w:r>
        <w:rPr>
          <w:noProof/>
        </w:rPr>
      </w:r>
      <w:r>
        <w:rPr>
          <w:noProof/>
        </w:rPr>
        <w:fldChar w:fldCharType="separate"/>
      </w:r>
      <w:r>
        <w:rPr>
          <w:noProof/>
        </w:rPr>
        <w:t>3</w:t>
      </w:r>
      <w:r>
        <w:rPr>
          <w:noProof/>
        </w:rPr>
        <w:fldChar w:fldCharType="end"/>
      </w:r>
    </w:p>
    <w:p w14:paraId="7C956CF0" w14:textId="358EFF44" w:rsidR="003F1015" w:rsidRDefault="003F1015">
      <w:pPr>
        <w:pStyle w:val="TOC2"/>
        <w:rPr>
          <w:rFonts w:asciiTheme="minorHAnsi" w:eastAsiaTheme="minorEastAsia" w:hAnsiTheme="minorHAnsi" w:cstheme="minorBidi"/>
          <w:b w:val="0"/>
          <w:noProof/>
          <w:kern w:val="0"/>
          <w:sz w:val="22"/>
          <w:szCs w:val="22"/>
        </w:rPr>
      </w:pPr>
      <w:r>
        <w:rPr>
          <w:noProof/>
        </w:rPr>
        <w:t>Part 3—Critical infrastructure risk management programs requirements</w:t>
      </w:r>
      <w:r>
        <w:rPr>
          <w:noProof/>
        </w:rPr>
        <w:tab/>
      </w:r>
      <w:r>
        <w:rPr>
          <w:noProof/>
        </w:rPr>
        <w:fldChar w:fldCharType="begin"/>
      </w:r>
      <w:r>
        <w:rPr>
          <w:noProof/>
        </w:rPr>
        <w:instrText xml:space="preserve"> PAGEREF _Toc191588689 \h </w:instrText>
      </w:r>
      <w:r>
        <w:rPr>
          <w:noProof/>
        </w:rPr>
      </w:r>
      <w:r>
        <w:rPr>
          <w:noProof/>
        </w:rPr>
        <w:fldChar w:fldCharType="separate"/>
      </w:r>
      <w:r>
        <w:rPr>
          <w:noProof/>
        </w:rPr>
        <w:t>3</w:t>
      </w:r>
      <w:r>
        <w:rPr>
          <w:noProof/>
        </w:rPr>
        <w:fldChar w:fldCharType="end"/>
      </w:r>
    </w:p>
    <w:p w14:paraId="0B813BA3" w14:textId="7CF3409E" w:rsidR="003F1015" w:rsidRDefault="003F1015">
      <w:pPr>
        <w:pStyle w:val="TOC5"/>
        <w:rPr>
          <w:rFonts w:asciiTheme="minorHAnsi" w:eastAsiaTheme="minorEastAsia" w:hAnsiTheme="minorHAnsi" w:cstheme="minorBidi"/>
          <w:noProof/>
          <w:kern w:val="0"/>
          <w:sz w:val="22"/>
          <w:szCs w:val="22"/>
        </w:rPr>
      </w:pPr>
      <w:r>
        <w:rPr>
          <w:noProof/>
        </w:rPr>
        <w:t>7  Application of Part 2A of the Act</w:t>
      </w:r>
      <w:r>
        <w:rPr>
          <w:noProof/>
        </w:rPr>
        <w:tab/>
      </w:r>
      <w:r>
        <w:rPr>
          <w:noProof/>
        </w:rPr>
        <w:fldChar w:fldCharType="begin"/>
      </w:r>
      <w:r>
        <w:rPr>
          <w:noProof/>
        </w:rPr>
        <w:instrText xml:space="preserve"> PAGEREF _Toc191588690 \h </w:instrText>
      </w:r>
      <w:r>
        <w:rPr>
          <w:noProof/>
        </w:rPr>
      </w:r>
      <w:r>
        <w:rPr>
          <w:noProof/>
        </w:rPr>
        <w:fldChar w:fldCharType="separate"/>
      </w:r>
      <w:r>
        <w:rPr>
          <w:noProof/>
        </w:rPr>
        <w:t>3</w:t>
      </w:r>
      <w:r>
        <w:rPr>
          <w:noProof/>
        </w:rPr>
        <w:fldChar w:fldCharType="end"/>
      </w:r>
    </w:p>
    <w:p w14:paraId="77D986D9" w14:textId="7C74ACA8" w:rsidR="003F1015" w:rsidRDefault="003F1015">
      <w:pPr>
        <w:pStyle w:val="TOC5"/>
        <w:rPr>
          <w:rFonts w:asciiTheme="minorHAnsi" w:eastAsiaTheme="minorEastAsia" w:hAnsiTheme="minorHAnsi" w:cstheme="minorBidi"/>
          <w:noProof/>
          <w:kern w:val="0"/>
          <w:sz w:val="22"/>
          <w:szCs w:val="22"/>
        </w:rPr>
      </w:pPr>
      <w:r>
        <w:rPr>
          <w:noProof/>
        </w:rPr>
        <w:t>8  Material risks</w:t>
      </w:r>
      <w:r>
        <w:rPr>
          <w:noProof/>
        </w:rPr>
        <w:tab/>
      </w:r>
      <w:r>
        <w:rPr>
          <w:noProof/>
        </w:rPr>
        <w:fldChar w:fldCharType="begin"/>
      </w:r>
      <w:r>
        <w:rPr>
          <w:noProof/>
        </w:rPr>
        <w:instrText xml:space="preserve"> PAGEREF _Toc191588691 \h </w:instrText>
      </w:r>
      <w:r>
        <w:rPr>
          <w:noProof/>
        </w:rPr>
      </w:r>
      <w:r>
        <w:rPr>
          <w:noProof/>
        </w:rPr>
        <w:fldChar w:fldCharType="separate"/>
      </w:r>
      <w:r>
        <w:rPr>
          <w:noProof/>
        </w:rPr>
        <w:t>4</w:t>
      </w:r>
      <w:r>
        <w:rPr>
          <w:noProof/>
        </w:rPr>
        <w:fldChar w:fldCharType="end"/>
      </w:r>
    </w:p>
    <w:p w14:paraId="6F171A3B" w14:textId="24DEBBD1" w:rsidR="003F1015" w:rsidRDefault="003F1015">
      <w:pPr>
        <w:pStyle w:val="TOC5"/>
        <w:rPr>
          <w:rFonts w:asciiTheme="minorHAnsi" w:eastAsiaTheme="minorEastAsia" w:hAnsiTheme="minorHAnsi" w:cstheme="minorBidi"/>
          <w:noProof/>
          <w:kern w:val="0"/>
          <w:sz w:val="22"/>
          <w:szCs w:val="22"/>
        </w:rPr>
      </w:pPr>
      <w:r>
        <w:rPr>
          <w:noProof/>
        </w:rPr>
        <w:t>9  General requirements for a CIRMP</w:t>
      </w:r>
      <w:r>
        <w:rPr>
          <w:noProof/>
        </w:rPr>
        <w:tab/>
      </w:r>
      <w:r>
        <w:rPr>
          <w:noProof/>
        </w:rPr>
        <w:fldChar w:fldCharType="begin"/>
      </w:r>
      <w:r>
        <w:rPr>
          <w:noProof/>
        </w:rPr>
        <w:instrText xml:space="preserve"> PAGEREF _Toc191588692 \h </w:instrText>
      </w:r>
      <w:r>
        <w:rPr>
          <w:noProof/>
        </w:rPr>
      </w:r>
      <w:r>
        <w:rPr>
          <w:noProof/>
        </w:rPr>
        <w:fldChar w:fldCharType="separate"/>
      </w:r>
      <w:r>
        <w:rPr>
          <w:noProof/>
        </w:rPr>
        <w:t>5</w:t>
      </w:r>
      <w:r>
        <w:rPr>
          <w:noProof/>
        </w:rPr>
        <w:fldChar w:fldCharType="end"/>
      </w:r>
    </w:p>
    <w:p w14:paraId="64563CBF" w14:textId="7596A691" w:rsidR="003F1015" w:rsidRDefault="003F1015">
      <w:pPr>
        <w:pStyle w:val="TOC5"/>
        <w:rPr>
          <w:rFonts w:asciiTheme="minorHAnsi" w:eastAsiaTheme="minorEastAsia" w:hAnsiTheme="minorHAnsi" w:cstheme="minorBidi"/>
          <w:noProof/>
          <w:kern w:val="0"/>
          <w:sz w:val="22"/>
          <w:szCs w:val="22"/>
        </w:rPr>
      </w:pPr>
      <w:r>
        <w:rPr>
          <w:noProof/>
        </w:rPr>
        <w:t>10  Adopting a CIRMP</w:t>
      </w:r>
      <w:r>
        <w:rPr>
          <w:noProof/>
        </w:rPr>
        <w:tab/>
      </w:r>
      <w:r>
        <w:rPr>
          <w:noProof/>
        </w:rPr>
        <w:fldChar w:fldCharType="begin"/>
      </w:r>
      <w:r>
        <w:rPr>
          <w:noProof/>
        </w:rPr>
        <w:instrText xml:space="preserve"> PAGEREF _Toc191588693 \h </w:instrText>
      </w:r>
      <w:r>
        <w:rPr>
          <w:noProof/>
        </w:rPr>
      </w:r>
      <w:r>
        <w:rPr>
          <w:noProof/>
        </w:rPr>
        <w:fldChar w:fldCharType="separate"/>
      </w:r>
      <w:r>
        <w:rPr>
          <w:noProof/>
        </w:rPr>
        <w:t>5</w:t>
      </w:r>
      <w:r>
        <w:rPr>
          <w:noProof/>
        </w:rPr>
        <w:fldChar w:fldCharType="end"/>
      </w:r>
    </w:p>
    <w:p w14:paraId="5B655A34" w14:textId="6150484C" w:rsidR="003F1015" w:rsidRDefault="003F1015">
      <w:pPr>
        <w:pStyle w:val="TOC5"/>
        <w:rPr>
          <w:rFonts w:asciiTheme="minorHAnsi" w:eastAsiaTheme="minorEastAsia" w:hAnsiTheme="minorHAnsi" w:cstheme="minorBidi"/>
          <w:noProof/>
          <w:kern w:val="0"/>
          <w:sz w:val="22"/>
          <w:szCs w:val="22"/>
        </w:rPr>
      </w:pPr>
      <w:r>
        <w:rPr>
          <w:noProof/>
        </w:rPr>
        <w:t>11  Cyber and information security hazards</w:t>
      </w:r>
      <w:r>
        <w:rPr>
          <w:noProof/>
        </w:rPr>
        <w:tab/>
      </w:r>
      <w:r>
        <w:rPr>
          <w:noProof/>
        </w:rPr>
        <w:fldChar w:fldCharType="begin"/>
      </w:r>
      <w:r>
        <w:rPr>
          <w:noProof/>
        </w:rPr>
        <w:instrText xml:space="preserve"> PAGEREF _Toc191588694 \h </w:instrText>
      </w:r>
      <w:r>
        <w:rPr>
          <w:noProof/>
        </w:rPr>
      </w:r>
      <w:r>
        <w:rPr>
          <w:noProof/>
        </w:rPr>
        <w:fldChar w:fldCharType="separate"/>
      </w:r>
      <w:r>
        <w:rPr>
          <w:noProof/>
        </w:rPr>
        <w:t>5</w:t>
      </w:r>
      <w:r>
        <w:rPr>
          <w:noProof/>
        </w:rPr>
        <w:fldChar w:fldCharType="end"/>
      </w:r>
    </w:p>
    <w:p w14:paraId="5A426F88" w14:textId="20C807E5" w:rsidR="003F1015" w:rsidRDefault="003F1015">
      <w:pPr>
        <w:pStyle w:val="TOC5"/>
        <w:rPr>
          <w:rFonts w:asciiTheme="minorHAnsi" w:eastAsiaTheme="minorEastAsia" w:hAnsiTheme="minorHAnsi" w:cstheme="minorBidi"/>
          <w:noProof/>
          <w:kern w:val="0"/>
          <w:sz w:val="22"/>
          <w:szCs w:val="22"/>
        </w:rPr>
      </w:pPr>
      <w:r>
        <w:rPr>
          <w:noProof/>
        </w:rPr>
        <w:t>12  Personnel hazards</w:t>
      </w:r>
      <w:r>
        <w:rPr>
          <w:noProof/>
        </w:rPr>
        <w:tab/>
      </w:r>
      <w:r>
        <w:rPr>
          <w:noProof/>
        </w:rPr>
        <w:fldChar w:fldCharType="begin"/>
      </w:r>
      <w:r>
        <w:rPr>
          <w:noProof/>
        </w:rPr>
        <w:instrText xml:space="preserve"> PAGEREF _Toc191588695 \h </w:instrText>
      </w:r>
      <w:r>
        <w:rPr>
          <w:noProof/>
        </w:rPr>
      </w:r>
      <w:r>
        <w:rPr>
          <w:noProof/>
        </w:rPr>
        <w:fldChar w:fldCharType="separate"/>
      </w:r>
      <w:r>
        <w:rPr>
          <w:noProof/>
        </w:rPr>
        <w:t>7</w:t>
      </w:r>
      <w:r>
        <w:rPr>
          <w:noProof/>
        </w:rPr>
        <w:fldChar w:fldCharType="end"/>
      </w:r>
    </w:p>
    <w:p w14:paraId="41BD8ACC" w14:textId="202724C4" w:rsidR="003F1015" w:rsidRDefault="003F1015">
      <w:pPr>
        <w:pStyle w:val="TOC5"/>
        <w:rPr>
          <w:rFonts w:asciiTheme="minorHAnsi" w:eastAsiaTheme="minorEastAsia" w:hAnsiTheme="minorHAnsi" w:cstheme="minorBidi"/>
          <w:noProof/>
          <w:kern w:val="0"/>
          <w:sz w:val="22"/>
          <w:szCs w:val="22"/>
        </w:rPr>
      </w:pPr>
      <w:r>
        <w:rPr>
          <w:noProof/>
        </w:rPr>
        <w:t>13  Background checks</w:t>
      </w:r>
      <w:r>
        <w:rPr>
          <w:noProof/>
        </w:rPr>
        <w:tab/>
      </w:r>
      <w:r>
        <w:rPr>
          <w:noProof/>
        </w:rPr>
        <w:fldChar w:fldCharType="begin"/>
      </w:r>
      <w:r>
        <w:rPr>
          <w:noProof/>
        </w:rPr>
        <w:instrText xml:space="preserve"> PAGEREF _Toc191588696 \h </w:instrText>
      </w:r>
      <w:r>
        <w:rPr>
          <w:noProof/>
        </w:rPr>
      </w:r>
      <w:r>
        <w:rPr>
          <w:noProof/>
        </w:rPr>
        <w:fldChar w:fldCharType="separate"/>
      </w:r>
      <w:r>
        <w:rPr>
          <w:noProof/>
        </w:rPr>
        <w:t>7</w:t>
      </w:r>
      <w:r>
        <w:rPr>
          <w:noProof/>
        </w:rPr>
        <w:fldChar w:fldCharType="end"/>
      </w:r>
    </w:p>
    <w:p w14:paraId="1F829E83" w14:textId="52BDFE92" w:rsidR="003F1015" w:rsidRDefault="003F1015">
      <w:pPr>
        <w:pStyle w:val="TOC5"/>
        <w:rPr>
          <w:rFonts w:asciiTheme="minorHAnsi" w:eastAsiaTheme="minorEastAsia" w:hAnsiTheme="minorHAnsi" w:cstheme="minorBidi"/>
          <w:noProof/>
          <w:kern w:val="0"/>
          <w:sz w:val="22"/>
          <w:szCs w:val="22"/>
        </w:rPr>
      </w:pPr>
      <w:r>
        <w:rPr>
          <w:noProof/>
        </w:rPr>
        <w:t>14  Supply chain hazards</w:t>
      </w:r>
      <w:r>
        <w:rPr>
          <w:noProof/>
        </w:rPr>
        <w:tab/>
      </w:r>
      <w:r>
        <w:rPr>
          <w:noProof/>
        </w:rPr>
        <w:fldChar w:fldCharType="begin"/>
      </w:r>
      <w:r>
        <w:rPr>
          <w:noProof/>
        </w:rPr>
        <w:instrText xml:space="preserve"> PAGEREF _Toc191588697 \h </w:instrText>
      </w:r>
      <w:r>
        <w:rPr>
          <w:noProof/>
        </w:rPr>
      </w:r>
      <w:r>
        <w:rPr>
          <w:noProof/>
        </w:rPr>
        <w:fldChar w:fldCharType="separate"/>
      </w:r>
      <w:r>
        <w:rPr>
          <w:noProof/>
        </w:rPr>
        <w:t>8</w:t>
      </w:r>
      <w:r>
        <w:rPr>
          <w:noProof/>
        </w:rPr>
        <w:fldChar w:fldCharType="end"/>
      </w:r>
    </w:p>
    <w:p w14:paraId="7107B85E" w14:textId="28574EE2" w:rsidR="003F1015" w:rsidRDefault="003F1015">
      <w:pPr>
        <w:pStyle w:val="TOC5"/>
        <w:rPr>
          <w:rFonts w:asciiTheme="minorHAnsi" w:eastAsiaTheme="minorEastAsia" w:hAnsiTheme="minorHAnsi" w:cstheme="minorBidi"/>
          <w:noProof/>
          <w:kern w:val="0"/>
          <w:sz w:val="22"/>
          <w:szCs w:val="22"/>
        </w:rPr>
      </w:pPr>
      <w:r>
        <w:rPr>
          <w:noProof/>
        </w:rPr>
        <w:t>15  Physical security hazards and natural hazards</w:t>
      </w:r>
      <w:r>
        <w:rPr>
          <w:noProof/>
        </w:rPr>
        <w:tab/>
      </w:r>
      <w:r>
        <w:rPr>
          <w:noProof/>
        </w:rPr>
        <w:fldChar w:fldCharType="begin"/>
      </w:r>
      <w:r>
        <w:rPr>
          <w:noProof/>
        </w:rPr>
        <w:instrText xml:space="preserve"> PAGEREF _Toc191588698 \h </w:instrText>
      </w:r>
      <w:r>
        <w:rPr>
          <w:noProof/>
        </w:rPr>
      </w:r>
      <w:r>
        <w:rPr>
          <w:noProof/>
        </w:rPr>
        <w:fldChar w:fldCharType="separate"/>
      </w:r>
      <w:r>
        <w:rPr>
          <w:noProof/>
        </w:rPr>
        <w:t>9</w:t>
      </w:r>
      <w:r>
        <w:rPr>
          <w:noProof/>
        </w:rPr>
        <w:fldChar w:fldCharType="end"/>
      </w:r>
    </w:p>
    <w:p w14:paraId="5038D181" w14:textId="58924CC1" w:rsidR="003F1015" w:rsidRDefault="003F1015">
      <w:pPr>
        <w:pStyle w:val="TOC2"/>
        <w:rPr>
          <w:rFonts w:asciiTheme="minorHAnsi" w:eastAsiaTheme="minorEastAsia" w:hAnsiTheme="minorHAnsi" w:cstheme="minorBidi"/>
          <w:b w:val="0"/>
          <w:noProof/>
          <w:kern w:val="0"/>
          <w:sz w:val="22"/>
          <w:szCs w:val="22"/>
        </w:rPr>
      </w:pPr>
      <w:r>
        <w:rPr>
          <w:noProof/>
        </w:rPr>
        <w:t>Part 4—Responsible entity to notify certain changes and proposed changes to telecommunications service or system</w:t>
      </w:r>
      <w:r>
        <w:rPr>
          <w:noProof/>
        </w:rPr>
        <w:tab/>
      </w:r>
      <w:r>
        <w:rPr>
          <w:noProof/>
        </w:rPr>
        <w:fldChar w:fldCharType="begin"/>
      </w:r>
      <w:r>
        <w:rPr>
          <w:noProof/>
        </w:rPr>
        <w:instrText xml:space="preserve"> PAGEREF _Toc191588699 \h </w:instrText>
      </w:r>
      <w:r>
        <w:rPr>
          <w:noProof/>
        </w:rPr>
      </w:r>
      <w:r>
        <w:rPr>
          <w:noProof/>
        </w:rPr>
        <w:fldChar w:fldCharType="separate"/>
      </w:r>
      <w:r>
        <w:rPr>
          <w:noProof/>
        </w:rPr>
        <w:t>9</w:t>
      </w:r>
      <w:r>
        <w:rPr>
          <w:noProof/>
        </w:rPr>
        <w:fldChar w:fldCharType="end"/>
      </w:r>
    </w:p>
    <w:p w14:paraId="2ECA164F" w14:textId="4CC4FFED" w:rsidR="003F1015" w:rsidRDefault="003F1015">
      <w:pPr>
        <w:pStyle w:val="TOC5"/>
        <w:rPr>
          <w:rFonts w:asciiTheme="minorHAnsi" w:eastAsiaTheme="minorEastAsia" w:hAnsiTheme="minorHAnsi" w:cstheme="minorBidi"/>
          <w:noProof/>
          <w:kern w:val="0"/>
          <w:sz w:val="22"/>
          <w:szCs w:val="22"/>
        </w:rPr>
      </w:pPr>
      <w:r>
        <w:rPr>
          <w:noProof/>
        </w:rPr>
        <w:t>16  Application provision</w:t>
      </w:r>
      <w:r>
        <w:rPr>
          <w:noProof/>
        </w:rPr>
        <w:tab/>
      </w:r>
      <w:r>
        <w:rPr>
          <w:noProof/>
        </w:rPr>
        <w:fldChar w:fldCharType="begin"/>
      </w:r>
      <w:r>
        <w:rPr>
          <w:noProof/>
        </w:rPr>
        <w:instrText xml:space="preserve"> PAGEREF _Toc191588700 \h </w:instrText>
      </w:r>
      <w:r>
        <w:rPr>
          <w:noProof/>
        </w:rPr>
      </w:r>
      <w:r>
        <w:rPr>
          <w:noProof/>
        </w:rPr>
        <w:fldChar w:fldCharType="separate"/>
      </w:r>
      <w:r>
        <w:rPr>
          <w:noProof/>
        </w:rPr>
        <w:t>9</w:t>
      </w:r>
      <w:r>
        <w:rPr>
          <w:noProof/>
        </w:rPr>
        <w:fldChar w:fldCharType="end"/>
      </w:r>
    </w:p>
    <w:p w14:paraId="19C6A360" w14:textId="40305D60" w:rsidR="003F1015" w:rsidRDefault="003F1015">
      <w:pPr>
        <w:pStyle w:val="TOC5"/>
        <w:rPr>
          <w:rFonts w:asciiTheme="minorHAnsi" w:eastAsiaTheme="minorEastAsia" w:hAnsiTheme="minorHAnsi" w:cstheme="minorBidi"/>
          <w:noProof/>
          <w:kern w:val="0"/>
          <w:sz w:val="22"/>
          <w:szCs w:val="22"/>
        </w:rPr>
      </w:pPr>
      <w:r>
        <w:rPr>
          <w:noProof/>
        </w:rPr>
        <w:t>17  Notification requirements</w:t>
      </w:r>
      <w:r>
        <w:rPr>
          <w:noProof/>
        </w:rPr>
        <w:tab/>
      </w:r>
      <w:r>
        <w:rPr>
          <w:noProof/>
        </w:rPr>
        <w:fldChar w:fldCharType="begin"/>
      </w:r>
      <w:r>
        <w:rPr>
          <w:noProof/>
        </w:rPr>
        <w:instrText xml:space="preserve"> PAGEREF _Toc191588701 \h </w:instrText>
      </w:r>
      <w:r>
        <w:rPr>
          <w:noProof/>
        </w:rPr>
      </w:r>
      <w:r>
        <w:rPr>
          <w:noProof/>
        </w:rPr>
        <w:fldChar w:fldCharType="separate"/>
      </w:r>
      <w:r>
        <w:rPr>
          <w:noProof/>
        </w:rPr>
        <w:t>10</w:t>
      </w:r>
      <w:r>
        <w:rPr>
          <w:noProof/>
        </w:rPr>
        <w:fldChar w:fldCharType="end"/>
      </w:r>
    </w:p>
    <w:p w14:paraId="79C07A25" w14:textId="77777777" w:rsidR="00F6696E" w:rsidRPr="00D52DF8" w:rsidRDefault="00B418CB" w:rsidP="00F6696E">
      <w:pPr>
        <w:outlineLvl w:val="0"/>
      </w:pPr>
      <w:r w:rsidRPr="00D52DF8">
        <w:fldChar w:fldCharType="end"/>
      </w:r>
    </w:p>
    <w:p w14:paraId="681AE3F0" w14:textId="6C707D35" w:rsidR="00F6696E" w:rsidRPr="00D52DF8" w:rsidRDefault="00F6696E" w:rsidP="00F6696E">
      <w:pPr>
        <w:outlineLvl w:val="0"/>
        <w:rPr>
          <w:sz w:val="20"/>
        </w:rPr>
      </w:pPr>
    </w:p>
    <w:p w14:paraId="6AA749D3" w14:textId="77777777" w:rsidR="00F6696E" w:rsidRPr="00D52DF8" w:rsidRDefault="00F6696E" w:rsidP="00F6696E">
      <w:pPr>
        <w:sectPr w:rsidR="00F6696E" w:rsidRPr="00D52DF8" w:rsidSect="0060645E">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6E1EAF34" w14:textId="45AFF817" w:rsidR="00F02C4A" w:rsidRPr="00D52DF8" w:rsidRDefault="00F02C4A" w:rsidP="00F02C4A">
      <w:pPr>
        <w:pStyle w:val="ActHead2"/>
      </w:pPr>
      <w:bookmarkStart w:id="1" w:name="_Toc191588681"/>
      <w:r w:rsidRPr="00D52DF8">
        <w:lastRenderedPageBreak/>
        <w:t>Part 1</w:t>
      </w:r>
      <w:r w:rsidR="00996B9D">
        <w:t>—</w:t>
      </w:r>
      <w:r w:rsidRPr="00D52DF8">
        <w:t>Preliminary</w:t>
      </w:r>
      <w:bookmarkEnd w:id="1"/>
    </w:p>
    <w:p w14:paraId="2EC8031D" w14:textId="0FD4B489" w:rsidR="00554826" w:rsidRPr="00D52DF8" w:rsidRDefault="00554826" w:rsidP="00554826">
      <w:pPr>
        <w:pStyle w:val="ActHead5"/>
      </w:pPr>
      <w:bookmarkStart w:id="2" w:name="_Toc191588682"/>
      <w:r w:rsidRPr="00D52DF8">
        <w:t>1  Name</w:t>
      </w:r>
      <w:bookmarkEnd w:id="2"/>
    </w:p>
    <w:p w14:paraId="4A2C32BF" w14:textId="78D94619" w:rsidR="00554826" w:rsidRPr="00D52DF8" w:rsidRDefault="00554826" w:rsidP="00554826">
      <w:pPr>
        <w:pStyle w:val="subsection"/>
      </w:pPr>
      <w:r w:rsidRPr="00D52DF8">
        <w:tab/>
      </w:r>
      <w:r w:rsidRPr="00D52DF8">
        <w:tab/>
        <w:t>This instrument is the</w:t>
      </w:r>
      <w:r w:rsidR="009E171A" w:rsidRPr="00D52DF8">
        <w:rPr>
          <w:i/>
        </w:rPr>
        <w:t xml:space="preserve"> Security of Critical Infrastructure (Telecommunications Security and Risk Management Program) Rules</w:t>
      </w:r>
      <w:r w:rsidR="00EC0237" w:rsidRPr="00D52DF8">
        <w:rPr>
          <w:i/>
        </w:rPr>
        <w:t xml:space="preserve"> 202</w:t>
      </w:r>
      <w:r w:rsidR="00894C3D">
        <w:t>5</w:t>
      </w:r>
      <w:r w:rsidR="0066077E">
        <w:t>.</w:t>
      </w:r>
    </w:p>
    <w:p w14:paraId="1CA3A09B" w14:textId="77777777" w:rsidR="00554826" w:rsidRPr="00D52DF8" w:rsidRDefault="00554826" w:rsidP="00554826">
      <w:pPr>
        <w:pStyle w:val="ActHead5"/>
      </w:pPr>
      <w:bookmarkStart w:id="3" w:name="_Toc191588683"/>
      <w:r w:rsidRPr="00D52DF8">
        <w:t>2  Commencement</w:t>
      </w:r>
      <w:bookmarkEnd w:id="3"/>
    </w:p>
    <w:p w14:paraId="4C551E45" w14:textId="299A896F" w:rsidR="00554826" w:rsidRPr="004E65D8" w:rsidRDefault="00554826" w:rsidP="00554826">
      <w:pPr>
        <w:pStyle w:val="subsection"/>
      </w:pPr>
      <w:r w:rsidRPr="00D52DF8">
        <w:tab/>
      </w:r>
      <w:r w:rsidRPr="00D52DF8">
        <w:tab/>
        <w:t>This instrument commences</w:t>
      </w:r>
      <w:r w:rsidR="00240706" w:rsidRPr="00D52DF8">
        <w:t xml:space="preserve"> on the </w:t>
      </w:r>
      <w:r w:rsidR="00B51D72" w:rsidRPr="00D52DF8">
        <w:t>later of:</w:t>
      </w:r>
    </w:p>
    <w:p w14:paraId="28972178" w14:textId="5DB8D893" w:rsidR="00B51D72" w:rsidRPr="008645AC" w:rsidRDefault="00B51D72" w:rsidP="00B51D72">
      <w:pPr>
        <w:pStyle w:val="paragraph"/>
      </w:pPr>
      <w:r w:rsidRPr="008645AC">
        <w:tab/>
        <w:t>(a)</w:t>
      </w:r>
      <w:r w:rsidRPr="008645AC">
        <w:tab/>
        <w:t>the day after th</w:t>
      </w:r>
      <w:r w:rsidR="00993635">
        <w:t>e</w:t>
      </w:r>
      <w:r w:rsidRPr="008645AC">
        <w:t xml:space="preserve"> instrument is registered; and</w:t>
      </w:r>
    </w:p>
    <w:p w14:paraId="7B68F393" w14:textId="64FDD55C" w:rsidR="00B51D72" w:rsidRPr="00D52DF8" w:rsidRDefault="00B51D72" w:rsidP="00B51D72">
      <w:pPr>
        <w:pStyle w:val="paragraph"/>
      </w:pPr>
      <w:r w:rsidRPr="008645AC">
        <w:tab/>
        <w:t>(b)</w:t>
      </w:r>
      <w:r w:rsidRPr="008645AC">
        <w:tab/>
      </w:r>
      <w:r w:rsidR="000C62D6" w:rsidRPr="008645AC">
        <w:t xml:space="preserve">immediately after the commencement of </w:t>
      </w:r>
      <w:r w:rsidR="00F155C3" w:rsidRPr="008645AC">
        <w:t xml:space="preserve">Parts 1 and 2 of </w:t>
      </w:r>
      <w:r w:rsidRPr="008645AC">
        <w:t xml:space="preserve">Schedule 5 to the </w:t>
      </w:r>
      <w:r w:rsidRPr="008645AC">
        <w:rPr>
          <w:i/>
        </w:rPr>
        <w:t>Security of Critical Infrastructure and Other Legislation Amendment (Enhanced Response and Prevention) Act 2024</w:t>
      </w:r>
      <w:r w:rsidRPr="008645AC">
        <w:rPr>
          <w:rStyle w:val="CommentReference"/>
          <w:rFonts w:eastAsiaTheme="minorHAnsi" w:cstheme="minorBidi"/>
          <w:lang w:eastAsia="en-US"/>
        </w:rPr>
        <w:t>.</w:t>
      </w:r>
    </w:p>
    <w:p w14:paraId="78770D3D" w14:textId="77777777" w:rsidR="00554826" w:rsidRPr="00D52DF8" w:rsidRDefault="00554826" w:rsidP="00554826">
      <w:pPr>
        <w:pStyle w:val="ActHead5"/>
      </w:pPr>
      <w:bookmarkStart w:id="4" w:name="_Toc191588684"/>
      <w:r w:rsidRPr="00D52DF8">
        <w:t>3  Authority</w:t>
      </w:r>
      <w:bookmarkEnd w:id="4"/>
    </w:p>
    <w:p w14:paraId="0A43C4A4" w14:textId="77777777" w:rsidR="00554826" w:rsidRPr="008645AC" w:rsidRDefault="00554826" w:rsidP="00554826">
      <w:pPr>
        <w:pStyle w:val="subsection"/>
      </w:pPr>
      <w:r w:rsidRPr="00D52DF8">
        <w:tab/>
      </w:r>
      <w:r w:rsidRPr="00D52DF8">
        <w:tab/>
        <w:t>This instrument is made under</w:t>
      </w:r>
      <w:r w:rsidR="00240706" w:rsidRPr="00D52DF8">
        <w:t xml:space="preserve"> section 61 of the </w:t>
      </w:r>
      <w:r w:rsidR="00240706" w:rsidRPr="00D52DF8">
        <w:rPr>
          <w:i/>
        </w:rPr>
        <w:t>Security</w:t>
      </w:r>
      <w:r w:rsidR="00240706" w:rsidRPr="004E65D8">
        <w:rPr>
          <w:i/>
        </w:rPr>
        <w:t xml:space="preserve"> of Critical Infrastructure Act 2018.</w:t>
      </w:r>
    </w:p>
    <w:p w14:paraId="64DB7535" w14:textId="77777777" w:rsidR="00554826" w:rsidRPr="008645AC" w:rsidRDefault="00554826" w:rsidP="00554826">
      <w:pPr>
        <w:pStyle w:val="ActHead5"/>
      </w:pPr>
      <w:bookmarkStart w:id="5" w:name="_Toc191588685"/>
      <w:r w:rsidRPr="008645AC">
        <w:t>4  Definitions</w:t>
      </w:r>
      <w:bookmarkEnd w:id="5"/>
    </w:p>
    <w:p w14:paraId="522C63D8" w14:textId="77777777" w:rsidR="00554826" w:rsidRPr="008645AC" w:rsidRDefault="00554826" w:rsidP="00554826">
      <w:pPr>
        <w:pStyle w:val="notetext"/>
      </w:pPr>
      <w:r w:rsidRPr="008645AC">
        <w:t>Note:</w:t>
      </w:r>
      <w:r w:rsidRPr="008645AC">
        <w:tab/>
        <w:t xml:space="preserve">A number of expressions used in this instrument are defined in </w:t>
      </w:r>
      <w:r w:rsidR="00240706" w:rsidRPr="008645AC">
        <w:t>section 5</w:t>
      </w:r>
      <w:r w:rsidRPr="008645AC">
        <w:t xml:space="preserve"> of the Act, including the following:</w:t>
      </w:r>
    </w:p>
    <w:p w14:paraId="39589769" w14:textId="2B17512A" w:rsidR="00E20FA0" w:rsidRPr="008645AC" w:rsidRDefault="00134730" w:rsidP="00240706">
      <w:pPr>
        <w:pStyle w:val="notepara"/>
        <w:numPr>
          <w:ilvl w:val="0"/>
          <w:numId w:val="14"/>
        </w:numPr>
      </w:pPr>
      <w:r w:rsidRPr="008645AC">
        <w:t>b</w:t>
      </w:r>
      <w:r w:rsidR="00E20FA0" w:rsidRPr="008645AC">
        <w:t>usiness critical data;</w:t>
      </w:r>
    </w:p>
    <w:p w14:paraId="0BFF3D66" w14:textId="2A55D1A6" w:rsidR="00554826" w:rsidRPr="008645AC" w:rsidRDefault="00240706" w:rsidP="00240706">
      <w:pPr>
        <w:pStyle w:val="notepara"/>
        <w:numPr>
          <w:ilvl w:val="0"/>
          <w:numId w:val="14"/>
        </w:numPr>
      </w:pPr>
      <w:r w:rsidRPr="008645AC">
        <w:t>carriage service provider</w:t>
      </w:r>
      <w:r w:rsidR="00554826" w:rsidRPr="008645AC">
        <w:t>;</w:t>
      </w:r>
    </w:p>
    <w:p w14:paraId="59E3230E" w14:textId="77777777" w:rsidR="00240706" w:rsidRPr="008645AC" w:rsidRDefault="00240706" w:rsidP="00240706">
      <w:pPr>
        <w:pStyle w:val="notepara"/>
        <w:numPr>
          <w:ilvl w:val="0"/>
          <w:numId w:val="14"/>
        </w:numPr>
      </w:pPr>
      <w:r w:rsidRPr="008645AC">
        <w:t>carrier;</w:t>
      </w:r>
    </w:p>
    <w:p w14:paraId="0D46C644" w14:textId="77777777" w:rsidR="00240706" w:rsidRPr="008645AC" w:rsidRDefault="006D6BC4" w:rsidP="00240706">
      <w:pPr>
        <w:pStyle w:val="notepara"/>
        <w:numPr>
          <w:ilvl w:val="0"/>
          <w:numId w:val="14"/>
        </w:numPr>
      </w:pPr>
      <w:r w:rsidRPr="008645AC">
        <w:t>computer;</w:t>
      </w:r>
    </w:p>
    <w:p w14:paraId="3A92F43C" w14:textId="2016ACE4" w:rsidR="003501D2" w:rsidRPr="008645AC" w:rsidRDefault="006D6BC4" w:rsidP="00240706">
      <w:pPr>
        <w:pStyle w:val="notepara"/>
        <w:numPr>
          <w:ilvl w:val="0"/>
          <w:numId w:val="14"/>
        </w:numPr>
      </w:pPr>
      <w:r w:rsidRPr="008645AC">
        <w:t>critical component;</w:t>
      </w:r>
    </w:p>
    <w:p w14:paraId="38599143" w14:textId="2345C44F" w:rsidR="00864DCC" w:rsidRPr="008645AC" w:rsidRDefault="006D6BC4" w:rsidP="00240706">
      <w:pPr>
        <w:pStyle w:val="notepara"/>
        <w:numPr>
          <w:ilvl w:val="0"/>
          <w:numId w:val="14"/>
        </w:numPr>
      </w:pPr>
      <w:r w:rsidRPr="008645AC">
        <w:t>critical infrastructure asset</w:t>
      </w:r>
      <w:r w:rsidR="00921216">
        <w:t>;</w:t>
      </w:r>
    </w:p>
    <w:p w14:paraId="03812D2D" w14:textId="23636D01" w:rsidR="006D6BC4" w:rsidRPr="008645AC" w:rsidRDefault="006D6BC4" w:rsidP="00240706">
      <w:pPr>
        <w:pStyle w:val="notepara"/>
        <w:numPr>
          <w:ilvl w:val="0"/>
          <w:numId w:val="14"/>
        </w:numPr>
      </w:pPr>
      <w:r w:rsidRPr="008645AC">
        <w:t>critical worker;</w:t>
      </w:r>
    </w:p>
    <w:p w14:paraId="4FE90725" w14:textId="42A5A52B" w:rsidR="00AC6CB5" w:rsidRPr="008645AC" w:rsidRDefault="00AC6CB5" w:rsidP="00240706">
      <w:pPr>
        <w:pStyle w:val="notepara"/>
        <w:numPr>
          <w:ilvl w:val="0"/>
          <w:numId w:val="14"/>
        </w:numPr>
      </w:pPr>
      <w:r w:rsidRPr="008645AC">
        <w:t>managed service provider</w:t>
      </w:r>
      <w:r w:rsidR="00921216">
        <w:t>;</w:t>
      </w:r>
    </w:p>
    <w:p w14:paraId="0DAEC2E2" w14:textId="77777777" w:rsidR="006D6BC4" w:rsidRPr="008645AC" w:rsidRDefault="006D6BC4" w:rsidP="00240706">
      <w:pPr>
        <w:pStyle w:val="notepara"/>
        <w:numPr>
          <w:ilvl w:val="0"/>
          <w:numId w:val="14"/>
        </w:numPr>
      </w:pPr>
      <w:r w:rsidRPr="008645AC">
        <w:t>relevant impact;</w:t>
      </w:r>
    </w:p>
    <w:p w14:paraId="04772009" w14:textId="5225AECB" w:rsidR="006D6BC4" w:rsidRPr="008645AC" w:rsidRDefault="006D6BC4" w:rsidP="00240706">
      <w:pPr>
        <w:pStyle w:val="notepara"/>
        <w:numPr>
          <w:ilvl w:val="0"/>
          <w:numId w:val="14"/>
        </w:numPr>
      </w:pPr>
      <w:r w:rsidRPr="008645AC">
        <w:t>responsible entity;</w:t>
      </w:r>
    </w:p>
    <w:p w14:paraId="0AAF78F7" w14:textId="4842D8B5" w:rsidR="005676FC" w:rsidRPr="008645AC" w:rsidRDefault="00D76478" w:rsidP="00240706">
      <w:pPr>
        <w:pStyle w:val="notepara"/>
        <w:numPr>
          <w:ilvl w:val="0"/>
          <w:numId w:val="14"/>
        </w:numPr>
      </w:pPr>
      <w:r>
        <w:t>S</w:t>
      </w:r>
      <w:r w:rsidR="005676FC" w:rsidRPr="008645AC">
        <w:t>ecretary (</w:t>
      </w:r>
      <w:r>
        <w:t>except for the purposes of</w:t>
      </w:r>
      <w:r w:rsidR="005676FC" w:rsidRPr="008645AC">
        <w:t xml:space="preserve"> section 11)</w:t>
      </w:r>
      <w:r w:rsidR="00921216">
        <w:t>;</w:t>
      </w:r>
    </w:p>
    <w:p w14:paraId="6914BB21" w14:textId="254D3097" w:rsidR="00554826" w:rsidRPr="008645AC" w:rsidRDefault="006D6BC4" w:rsidP="006D6BC4">
      <w:pPr>
        <w:pStyle w:val="notepara"/>
        <w:numPr>
          <w:ilvl w:val="0"/>
          <w:numId w:val="14"/>
        </w:numPr>
      </w:pPr>
      <w:r w:rsidRPr="008645AC">
        <w:t>security.</w:t>
      </w:r>
    </w:p>
    <w:p w14:paraId="5B5BD43A" w14:textId="77777777" w:rsidR="00554826" w:rsidRPr="008645AC" w:rsidRDefault="00554826" w:rsidP="00554826">
      <w:pPr>
        <w:pStyle w:val="subsection"/>
      </w:pPr>
      <w:r w:rsidRPr="008645AC">
        <w:tab/>
      </w:r>
      <w:r w:rsidRPr="008645AC">
        <w:tab/>
        <w:t>In this instrument:</w:t>
      </w:r>
    </w:p>
    <w:p w14:paraId="6CE99CD8" w14:textId="77777777" w:rsidR="00554826" w:rsidRPr="008645AC" w:rsidRDefault="00554826" w:rsidP="00554826">
      <w:pPr>
        <w:pStyle w:val="Definition"/>
      </w:pPr>
      <w:r w:rsidRPr="008645AC">
        <w:rPr>
          <w:b/>
          <w:i/>
        </w:rPr>
        <w:t>Act</w:t>
      </w:r>
      <w:r w:rsidR="006D6BC4" w:rsidRPr="008645AC">
        <w:t xml:space="preserve"> means the </w:t>
      </w:r>
      <w:r w:rsidR="006D6BC4" w:rsidRPr="008645AC">
        <w:rPr>
          <w:i/>
        </w:rPr>
        <w:t>Security of Critical Infrastructure Act 2018</w:t>
      </w:r>
      <w:r w:rsidRPr="008645AC">
        <w:t>.</w:t>
      </w:r>
    </w:p>
    <w:p w14:paraId="5932FA43" w14:textId="214F0141" w:rsidR="00554826" w:rsidRPr="008645AC" w:rsidRDefault="006D6BC4" w:rsidP="00554826">
      <w:pPr>
        <w:pStyle w:val="Definition"/>
      </w:pPr>
      <w:r w:rsidRPr="008645AC">
        <w:rPr>
          <w:b/>
          <w:i/>
        </w:rPr>
        <w:t>AusCheck Act</w:t>
      </w:r>
      <w:r w:rsidR="00554826" w:rsidRPr="008645AC">
        <w:rPr>
          <w:b/>
          <w:i/>
        </w:rPr>
        <w:t xml:space="preserve"> </w:t>
      </w:r>
      <w:r w:rsidR="00554826" w:rsidRPr="008645AC">
        <w:t xml:space="preserve">means </w:t>
      </w:r>
      <w:r w:rsidR="005C1CD2" w:rsidRPr="008645AC">
        <w:t xml:space="preserve">the </w:t>
      </w:r>
      <w:r w:rsidRPr="008645AC">
        <w:rPr>
          <w:i/>
        </w:rPr>
        <w:t>AusCheck Act 2007</w:t>
      </w:r>
      <w:r w:rsidR="00554826" w:rsidRPr="008645AC">
        <w:t>.</w:t>
      </w:r>
    </w:p>
    <w:p w14:paraId="13B7B67B" w14:textId="77777777" w:rsidR="00554826" w:rsidRPr="008645AC" w:rsidRDefault="006D6BC4" w:rsidP="00554826">
      <w:pPr>
        <w:pStyle w:val="Definition"/>
      </w:pPr>
      <w:r w:rsidRPr="008645AC">
        <w:rPr>
          <w:b/>
          <w:i/>
        </w:rPr>
        <w:t>AusCheck Regulations</w:t>
      </w:r>
      <w:r w:rsidR="00554826" w:rsidRPr="008645AC">
        <w:rPr>
          <w:b/>
          <w:i/>
        </w:rPr>
        <w:t xml:space="preserve"> </w:t>
      </w:r>
      <w:r w:rsidR="00554826" w:rsidRPr="008645AC">
        <w:t xml:space="preserve">means </w:t>
      </w:r>
      <w:r w:rsidRPr="008645AC">
        <w:t xml:space="preserve">the </w:t>
      </w:r>
      <w:r w:rsidRPr="008645AC">
        <w:rPr>
          <w:i/>
        </w:rPr>
        <w:t>AusCheck Regulations 2017</w:t>
      </w:r>
      <w:r w:rsidR="00554826" w:rsidRPr="008645AC">
        <w:t>.</w:t>
      </w:r>
    </w:p>
    <w:p w14:paraId="09E053DE" w14:textId="7F1C60B6" w:rsidR="008875CC" w:rsidRPr="008645AC" w:rsidRDefault="008875CC" w:rsidP="00554826">
      <w:pPr>
        <w:pStyle w:val="Definition"/>
      </w:pPr>
      <w:r w:rsidRPr="008645AC">
        <w:rPr>
          <w:b/>
          <w:i/>
        </w:rPr>
        <w:t xml:space="preserve">background check </w:t>
      </w:r>
      <w:r w:rsidR="000C62D6" w:rsidRPr="008645AC">
        <w:t xml:space="preserve">has the </w:t>
      </w:r>
      <w:r w:rsidR="005C1CD2" w:rsidRPr="008645AC">
        <w:t xml:space="preserve">same </w:t>
      </w:r>
      <w:r w:rsidR="000C62D6" w:rsidRPr="008645AC">
        <w:t xml:space="preserve">meaning </w:t>
      </w:r>
      <w:r w:rsidR="005C1CD2" w:rsidRPr="008645AC">
        <w:t xml:space="preserve">as in </w:t>
      </w:r>
      <w:r w:rsidRPr="008645AC">
        <w:t>the AusCheck Act.</w:t>
      </w:r>
    </w:p>
    <w:p w14:paraId="7DFE348D" w14:textId="021259E7" w:rsidR="008875CC" w:rsidRPr="00D52DF8" w:rsidRDefault="008875CC" w:rsidP="00554826">
      <w:pPr>
        <w:pStyle w:val="Definition"/>
      </w:pPr>
      <w:r w:rsidRPr="008645AC">
        <w:rPr>
          <w:b/>
          <w:i/>
        </w:rPr>
        <w:t>broadband service</w:t>
      </w:r>
      <w:r w:rsidR="002F577B" w:rsidRPr="008645AC">
        <w:rPr>
          <w:b/>
          <w:i/>
        </w:rPr>
        <w:t>s</w:t>
      </w:r>
      <w:r w:rsidRPr="008645AC">
        <w:rPr>
          <w:b/>
          <w:i/>
        </w:rPr>
        <w:t xml:space="preserve"> </w:t>
      </w:r>
      <w:r w:rsidRPr="008645AC">
        <w:t xml:space="preserve">means </w:t>
      </w:r>
      <w:r w:rsidR="002F577B" w:rsidRPr="008645AC">
        <w:t xml:space="preserve">one or more </w:t>
      </w:r>
      <w:r w:rsidRPr="008645AC">
        <w:t>service</w:t>
      </w:r>
      <w:r w:rsidR="002F577B" w:rsidRPr="008645AC">
        <w:t>s</w:t>
      </w:r>
      <w:r w:rsidRPr="008645AC">
        <w:t xml:space="preserve"> connected by means of a:</w:t>
      </w:r>
    </w:p>
    <w:p w14:paraId="150FAB0B" w14:textId="793F1527" w:rsidR="002F577B" w:rsidRDefault="00980A08" w:rsidP="00980A08">
      <w:pPr>
        <w:pStyle w:val="paragraph"/>
      </w:pPr>
      <w:r>
        <w:tab/>
        <w:t>(a)</w:t>
      </w:r>
      <w:r>
        <w:tab/>
      </w:r>
      <w:r w:rsidR="002F577B" w:rsidRPr="00D52DF8">
        <w:t>fibre to building connection;</w:t>
      </w:r>
    </w:p>
    <w:p w14:paraId="4D6284CF" w14:textId="40E34CD1" w:rsidR="002F577B" w:rsidRDefault="00980A08" w:rsidP="00980A08">
      <w:pPr>
        <w:pStyle w:val="paragraph"/>
      </w:pPr>
      <w:r>
        <w:tab/>
        <w:t>(b)</w:t>
      </w:r>
      <w:r>
        <w:tab/>
      </w:r>
      <w:r w:rsidR="002F577B" w:rsidRPr="00D52DF8">
        <w:t>fibre to the curb connection;</w:t>
      </w:r>
    </w:p>
    <w:p w14:paraId="309B26D0" w14:textId="2AC64707" w:rsidR="002F577B" w:rsidRDefault="00980A08" w:rsidP="00980A08">
      <w:pPr>
        <w:pStyle w:val="paragraph"/>
      </w:pPr>
      <w:r>
        <w:tab/>
        <w:t>(c)</w:t>
      </w:r>
      <w:r>
        <w:tab/>
      </w:r>
      <w:r w:rsidR="002F577B" w:rsidRPr="008645AC">
        <w:t>fibre to the premises connection;</w:t>
      </w:r>
    </w:p>
    <w:p w14:paraId="4BBF8BDF" w14:textId="442F3AC9" w:rsidR="002F577B" w:rsidRDefault="00980A08" w:rsidP="00980A08">
      <w:pPr>
        <w:pStyle w:val="paragraph"/>
      </w:pPr>
      <w:r>
        <w:lastRenderedPageBreak/>
        <w:tab/>
        <w:t>(d)</w:t>
      </w:r>
      <w:r>
        <w:tab/>
      </w:r>
      <w:r w:rsidR="002F577B" w:rsidRPr="008645AC">
        <w:t>fixed wireless internet connection;</w:t>
      </w:r>
    </w:p>
    <w:p w14:paraId="167A1364" w14:textId="6D2DB66B" w:rsidR="002F577B" w:rsidRDefault="00980A08" w:rsidP="00980A08">
      <w:pPr>
        <w:pStyle w:val="paragraph"/>
      </w:pPr>
      <w:r>
        <w:tab/>
        <w:t>(e)</w:t>
      </w:r>
      <w:r>
        <w:tab/>
      </w:r>
      <w:r w:rsidR="002F577B" w:rsidRPr="008645AC">
        <w:t>hybrid fibre coaxial connection;</w:t>
      </w:r>
    </w:p>
    <w:p w14:paraId="67B14E81" w14:textId="1ECC4CF7" w:rsidR="002F577B" w:rsidRDefault="00980A08" w:rsidP="00980A08">
      <w:pPr>
        <w:pStyle w:val="paragraph"/>
      </w:pPr>
      <w:r>
        <w:tab/>
        <w:t>(f)</w:t>
      </w:r>
      <w:r>
        <w:tab/>
      </w:r>
      <w:r w:rsidR="002F577B" w:rsidRPr="008645AC">
        <w:t>fixed line services;</w:t>
      </w:r>
    </w:p>
    <w:p w14:paraId="2B7146B8" w14:textId="14108BB8" w:rsidR="002F577B" w:rsidRDefault="00980A08" w:rsidP="00980A08">
      <w:pPr>
        <w:pStyle w:val="paragraph"/>
      </w:pPr>
      <w:r>
        <w:tab/>
        <w:t>(g)</w:t>
      </w:r>
      <w:r>
        <w:tab/>
      </w:r>
      <w:r w:rsidR="002F577B" w:rsidRPr="008645AC">
        <w:t>satellite connection; or</w:t>
      </w:r>
    </w:p>
    <w:p w14:paraId="099954BA" w14:textId="03824051" w:rsidR="002F577B" w:rsidRPr="008645AC" w:rsidRDefault="00980A08" w:rsidP="00980A08">
      <w:pPr>
        <w:pStyle w:val="paragraph"/>
      </w:pPr>
      <w:r>
        <w:tab/>
        <w:t>(h)</w:t>
      </w:r>
      <w:r>
        <w:tab/>
      </w:r>
      <w:r w:rsidR="002F577B" w:rsidRPr="008645AC">
        <w:t>any other connection type.</w:t>
      </w:r>
    </w:p>
    <w:p w14:paraId="487886A3" w14:textId="3BDAA8B1" w:rsidR="004F265E" w:rsidRPr="008645AC" w:rsidRDefault="004F265E" w:rsidP="004F265E">
      <w:pPr>
        <w:pStyle w:val="Definition"/>
      </w:pPr>
      <w:r w:rsidRPr="008645AC">
        <w:rPr>
          <w:b/>
          <w:i/>
        </w:rPr>
        <w:t xml:space="preserve">CIRMP </w:t>
      </w:r>
      <w:r w:rsidR="00D76478">
        <w:t>means</w:t>
      </w:r>
      <w:r w:rsidRPr="008645AC">
        <w:t xml:space="preserve"> </w:t>
      </w:r>
      <w:r w:rsidR="00993635">
        <w:t xml:space="preserve">a </w:t>
      </w:r>
      <w:r w:rsidRPr="008645AC">
        <w:t>critical infrastructure risk management program.</w:t>
      </w:r>
    </w:p>
    <w:p w14:paraId="729491B4" w14:textId="40CE6E93" w:rsidR="00C5733C" w:rsidRPr="008645AC" w:rsidRDefault="00E60383" w:rsidP="004F265E">
      <w:pPr>
        <w:pStyle w:val="Definition"/>
      </w:pPr>
      <w:r w:rsidRPr="008645AC">
        <w:rPr>
          <w:b/>
          <w:i/>
        </w:rPr>
        <w:t xml:space="preserve">CIRMP criminal record </w:t>
      </w:r>
      <w:r w:rsidRPr="008645AC">
        <w:t>has the same meaning as in the AusCheck Regulations.</w:t>
      </w:r>
    </w:p>
    <w:p w14:paraId="22945A0C" w14:textId="5DC59297" w:rsidR="00823D0A" w:rsidRPr="008645AC" w:rsidRDefault="00823D0A" w:rsidP="004F265E">
      <w:pPr>
        <w:pStyle w:val="Definition"/>
      </w:pPr>
      <w:r w:rsidRPr="008645AC">
        <w:rPr>
          <w:b/>
          <w:i/>
        </w:rPr>
        <w:t xml:space="preserve">communications </w:t>
      </w:r>
      <w:r w:rsidRPr="008645AC">
        <w:t xml:space="preserve">has the </w:t>
      </w:r>
      <w:r w:rsidR="005C1CD2" w:rsidRPr="008645AC">
        <w:t xml:space="preserve">same </w:t>
      </w:r>
      <w:r w:rsidRPr="008645AC">
        <w:t xml:space="preserve">meaning </w:t>
      </w:r>
      <w:r w:rsidR="005C1CD2" w:rsidRPr="008645AC">
        <w:t xml:space="preserve">as in </w:t>
      </w:r>
      <w:r w:rsidRPr="008645AC">
        <w:t xml:space="preserve">the </w:t>
      </w:r>
      <w:r w:rsidRPr="008645AC">
        <w:rPr>
          <w:i/>
        </w:rPr>
        <w:t>Telecommunications Act 1997</w:t>
      </w:r>
      <w:r w:rsidRPr="008645AC">
        <w:t>.</w:t>
      </w:r>
    </w:p>
    <w:p w14:paraId="353CDC1B" w14:textId="28C50CBE" w:rsidR="00E60383" w:rsidRPr="008645AC" w:rsidRDefault="00E60383" w:rsidP="004F265E">
      <w:pPr>
        <w:pStyle w:val="Definition"/>
      </w:pPr>
      <w:r w:rsidRPr="008645AC">
        <w:rPr>
          <w:b/>
          <w:i/>
        </w:rPr>
        <w:t xml:space="preserve">criminal history criteria </w:t>
      </w:r>
      <w:r w:rsidRPr="008645AC">
        <w:t>means the assessment of:</w:t>
      </w:r>
    </w:p>
    <w:p w14:paraId="2A86AB31" w14:textId="0A723159" w:rsidR="00E60383" w:rsidRDefault="00980A08" w:rsidP="00980A08">
      <w:pPr>
        <w:pStyle w:val="paragraph"/>
      </w:pPr>
      <w:r>
        <w:tab/>
        <w:t>(a)</w:t>
      </w:r>
      <w:r>
        <w:tab/>
      </w:r>
      <w:r w:rsidR="00E60383" w:rsidRPr="008645AC">
        <w:t>whether the person has a CIRMP criminal record; and</w:t>
      </w:r>
    </w:p>
    <w:p w14:paraId="5C655E33" w14:textId="0902D990" w:rsidR="00E60383" w:rsidRPr="008645AC" w:rsidRDefault="00980A08" w:rsidP="00980A08">
      <w:pPr>
        <w:pStyle w:val="paragraph"/>
      </w:pPr>
      <w:r>
        <w:tab/>
        <w:t>(b)</w:t>
      </w:r>
      <w:r>
        <w:tab/>
      </w:r>
      <w:r w:rsidR="00E60383" w:rsidRPr="008645AC">
        <w:t>the nature of the offence.</w:t>
      </w:r>
    </w:p>
    <w:p w14:paraId="7D77AAAC" w14:textId="0557FDCA" w:rsidR="00E60383" w:rsidRPr="008645AC" w:rsidRDefault="00E60383" w:rsidP="00E60383">
      <w:pPr>
        <w:pStyle w:val="Definition"/>
      </w:pPr>
      <w:r w:rsidRPr="008645AC">
        <w:rPr>
          <w:b/>
          <w:i/>
        </w:rPr>
        <w:t xml:space="preserve">cyber and information security hazard </w:t>
      </w:r>
      <w:r w:rsidRPr="008645AC">
        <w:t>includes where a person, whether authorised or not:</w:t>
      </w:r>
    </w:p>
    <w:p w14:paraId="45414299" w14:textId="5D9D71A4" w:rsidR="00E60383" w:rsidRDefault="00980A08" w:rsidP="00980A08">
      <w:pPr>
        <w:pStyle w:val="paragraph"/>
      </w:pPr>
      <w:r>
        <w:tab/>
        <w:t>(a)</w:t>
      </w:r>
      <w:r>
        <w:tab/>
      </w:r>
      <w:r w:rsidR="00E60383" w:rsidRPr="008645AC">
        <w:t>improperly accesses or misuses information or computer systems about</w:t>
      </w:r>
      <w:r w:rsidR="005C1CD2" w:rsidRPr="008645AC">
        <w:t>,</w:t>
      </w:r>
      <w:r w:rsidR="00E60383" w:rsidRPr="008645AC">
        <w:t xml:space="preserve"> or related to</w:t>
      </w:r>
      <w:r w:rsidR="005C1CD2" w:rsidRPr="008645AC">
        <w:t>,</w:t>
      </w:r>
      <w:r w:rsidR="00E60383" w:rsidRPr="008645AC">
        <w:t xml:space="preserve"> the </w:t>
      </w:r>
      <w:r w:rsidR="00B51D72" w:rsidRPr="008645AC">
        <w:t xml:space="preserve">relevant </w:t>
      </w:r>
      <w:r w:rsidR="00575FC7">
        <w:t>critical infrastructure asset</w:t>
      </w:r>
      <w:r w:rsidR="00E60383" w:rsidRPr="008645AC">
        <w:t>; or</w:t>
      </w:r>
    </w:p>
    <w:p w14:paraId="0DC4799C" w14:textId="7C1D923E" w:rsidR="00E60383" w:rsidRPr="008645AC" w:rsidRDefault="00980A08" w:rsidP="00980A08">
      <w:pPr>
        <w:pStyle w:val="paragraph"/>
      </w:pPr>
      <w:r>
        <w:tab/>
        <w:t>(b)</w:t>
      </w:r>
      <w:r>
        <w:tab/>
      </w:r>
      <w:r w:rsidR="00E60383" w:rsidRPr="008645AC">
        <w:t xml:space="preserve">uses a computer system to obtain unauthorised control of, or access to, the </w:t>
      </w:r>
      <w:r w:rsidR="00134730" w:rsidRPr="008645AC">
        <w:t xml:space="preserve">relevant </w:t>
      </w:r>
      <w:r w:rsidR="00575FC7">
        <w:t>critical infrastructure asset</w:t>
      </w:r>
      <w:r w:rsidR="00D76478">
        <w:t>, where that control or access may</w:t>
      </w:r>
      <w:r w:rsidR="00E60383" w:rsidRPr="008645AC">
        <w:t xml:space="preserve"> impair its proper functioning.</w:t>
      </w:r>
    </w:p>
    <w:p w14:paraId="5EF451E4" w14:textId="5AC42569" w:rsidR="00255F34" w:rsidRPr="008645AC" w:rsidRDefault="00255F34" w:rsidP="00255F34">
      <w:pPr>
        <w:pStyle w:val="Definition"/>
      </w:pPr>
      <w:r w:rsidRPr="008645AC">
        <w:rPr>
          <w:b/>
          <w:i/>
        </w:rPr>
        <w:t xml:space="preserve">major supplier </w:t>
      </w:r>
      <w:r w:rsidRPr="008645AC">
        <w:t>means any vendor that, by nature of the product or service they offer, has a significant influence over the security of a responsible entity’s critical telecommunications asset.</w:t>
      </w:r>
    </w:p>
    <w:p w14:paraId="6BFC8760" w14:textId="3A23D5F7" w:rsidR="00255F34" w:rsidRPr="008645AC" w:rsidRDefault="00255F34" w:rsidP="00255F34">
      <w:pPr>
        <w:pStyle w:val="Definition"/>
      </w:pPr>
      <w:r w:rsidRPr="008645AC">
        <w:rPr>
          <w:b/>
          <w:i/>
        </w:rPr>
        <w:t xml:space="preserve">natural hazard </w:t>
      </w:r>
      <w:r w:rsidRPr="008645AC">
        <w:t>includes fire, flood, cyclone, storm, heatwave, earthquake, tsunami, space weather or biological health hazard (such as a pandemic).</w:t>
      </w:r>
    </w:p>
    <w:p w14:paraId="0BD447A4" w14:textId="231F91EF" w:rsidR="00255F34" w:rsidRPr="008645AC" w:rsidRDefault="00255F34" w:rsidP="00255F34">
      <w:pPr>
        <w:pStyle w:val="Definition"/>
      </w:pPr>
      <w:r w:rsidRPr="008645AC">
        <w:rPr>
          <w:b/>
          <w:i/>
        </w:rPr>
        <w:t xml:space="preserve">network-to-network interface </w:t>
      </w:r>
      <w:r w:rsidRPr="008645AC">
        <w:t>means the physical or virtual</w:t>
      </w:r>
      <w:r w:rsidRPr="008645AC">
        <w:rPr>
          <w:i/>
        </w:rPr>
        <w:t xml:space="preserve"> </w:t>
      </w:r>
      <w:r w:rsidRPr="008645AC">
        <w:t>point of connection or interconnection between a critical telecommunication</w:t>
      </w:r>
      <w:r w:rsidR="007E6F7D" w:rsidRPr="008645AC">
        <w:t>s</w:t>
      </w:r>
      <w:r w:rsidRPr="008645AC">
        <w:t xml:space="preserve"> asset and:</w:t>
      </w:r>
    </w:p>
    <w:p w14:paraId="7BA8EDB2" w14:textId="2AF3C3B8" w:rsidR="00255F34" w:rsidRDefault="00980A08" w:rsidP="00980A08">
      <w:pPr>
        <w:pStyle w:val="paragraph"/>
      </w:pPr>
      <w:r>
        <w:tab/>
        <w:t>(a)</w:t>
      </w:r>
      <w:r>
        <w:tab/>
      </w:r>
      <w:r w:rsidR="00D76478">
        <w:t>another</w:t>
      </w:r>
      <w:r w:rsidR="0010776E" w:rsidRPr="00D52DF8">
        <w:t xml:space="preserve"> critical telecommunication</w:t>
      </w:r>
      <w:r w:rsidR="007E6F7D" w:rsidRPr="00D52DF8">
        <w:t>s</w:t>
      </w:r>
      <w:r w:rsidR="0010776E" w:rsidRPr="00D52DF8">
        <w:t xml:space="preserve"> asset; or</w:t>
      </w:r>
    </w:p>
    <w:p w14:paraId="2A78EA1F" w14:textId="1F4493DB" w:rsidR="0010776E" w:rsidRPr="004E65D8" w:rsidRDefault="00980A08" w:rsidP="00980A08">
      <w:pPr>
        <w:pStyle w:val="paragraph"/>
      </w:pPr>
      <w:r>
        <w:tab/>
        <w:t>(b)</w:t>
      </w:r>
      <w:r>
        <w:tab/>
      </w:r>
      <w:r w:rsidR="0010776E" w:rsidRPr="00D52DF8">
        <w:t>a computer</w:t>
      </w:r>
      <w:r w:rsidR="0081550E" w:rsidRPr="00D52DF8">
        <w:t>;</w:t>
      </w:r>
    </w:p>
    <w:p w14:paraId="08C0A461" w14:textId="28F11D4E" w:rsidR="00FE4C65" w:rsidRPr="008645AC" w:rsidRDefault="00EE2E88" w:rsidP="006E65E0">
      <w:pPr>
        <w:pStyle w:val="subsection2"/>
      </w:pPr>
      <w:r w:rsidRPr="008645AC">
        <w:t>that</w:t>
      </w:r>
      <w:r w:rsidR="00FE4C65" w:rsidRPr="008645AC">
        <w:t xml:space="preserve"> is owned or operated by a </w:t>
      </w:r>
      <w:r w:rsidR="009E3D2D">
        <w:t>separate</w:t>
      </w:r>
      <w:r w:rsidR="00D76478" w:rsidRPr="008645AC">
        <w:t xml:space="preserve"> </w:t>
      </w:r>
      <w:r w:rsidR="00FE4C65" w:rsidRPr="008645AC">
        <w:t>entity.</w:t>
      </w:r>
    </w:p>
    <w:p w14:paraId="5DB67ACB" w14:textId="71799FEE" w:rsidR="00851789" w:rsidRPr="008645AC" w:rsidRDefault="00103454" w:rsidP="00FE4C65">
      <w:pPr>
        <w:pStyle w:val="Definition"/>
      </w:pPr>
      <w:r w:rsidRPr="008645AC">
        <w:rPr>
          <w:b/>
          <w:i/>
        </w:rPr>
        <w:t>p</w:t>
      </w:r>
      <w:r w:rsidR="00851789" w:rsidRPr="008645AC">
        <w:rPr>
          <w:b/>
          <w:i/>
        </w:rPr>
        <w:t xml:space="preserve">ersonnel hazard </w:t>
      </w:r>
      <w:r w:rsidR="00851789" w:rsidRPr="008645AC">
        <w:t>includes where a critical worker acts, through malice or negligence, to:</w:t>
      </w:r>
    </w:p>
    <w:p w14:paraId="33BE220C" w14:textId="1580436C" w:rsidR="00851789" w:rsidRDefault="00980A08" w:rsidP="00980A08">
      <w:pPr>
        <w:pStyle w:val="paragraph"/>
      </w:pPr>
      <w:r>
        <w:tab/>
        <w:t>(a)</w:t>
      </w:r>
      <w:r>
        <w:tab/>
      </w:r>
      <w:r w:rsidR="00851789" w:rsidRPr="008645AC">
        <w:t xml:space="preserve">compromise the proper function of the </w:t>
      </w:r>
      <w:r w:rsidR="007D711B" w:rsidRPr="008645AC">
        <w:t xml:space="preserve">relevant </w:t>
      </w:r>
      <w:r w:rsidR="00E17E6E">
        <w:t>critical infrastructure</w:t>
      </w:r>
      <w:r w:rsidR="00E17E6E" w:rsidRPr="008645AC">
        <w:t xml:space="preserve"> </w:t>
      </w:r>
      <w:r w:rsidR="00063CCA" w:rsidRPr="008645AC">
        <w:t>asset</w:t>
      </w:r>
      <w:r w:rsidR="00851789" w:rsidRPr="008645AC">
        <w:t>; or</w:t>
      </w:r>
    </w:p>
    <w:p w14:paraId="239D9BCA" w14:textId="74A7331D" w:rsidR="00851789" w:rsidRPr="008645AC" w:rsidRDefault="00980A08" w:rsidP="00980A08">
      <w:pPr>
        <w:pStyle w:val="paragraph"/>
      </w:pPr>
      <w:r>
        <w:tab/>
        <w:t>(b)</w:t>
      </w:r>
      <w:r>
        <w:tab/>
      </w:r>
      <w:r w:rsidR="00851789" w:rsidRPr="008645AC">
        <w:t xml:space="preserve">cause significant damage to the </w:t>
      </w:r>
      <w:r w:rsidR="007D711B" w:rsidRPr="008645AC">
        <w:t xml:space="preserve">relevant </w:t>
      </w:r>
      <w:r w:rsidR="00E17E6E">
        <w:t>critical infrastructure</w:t>
      </w:r>
      <w:r w:rsidR="00E17E6E" w:rsidRPr="008645AC">
        <w:t xml:space="preserve"> </w:t>
      </w:r>
      <w:r w:rsidR="00063CCA" w:rsidRPr="008645AC">
        <w:t>asset</w:t>
      </w:r>
      <w:r w:rsidR="00851789" w:rsidRPr="008645AC">
        <w:t>.</w:t>
      </w:r>
    </w:p>
    <w:p w14:paraId="4736DA72" w14:textId="1751D48C" w:rsidR="00851789" w:rsidRDefault="00851789" w:rsidP="00851789">
      <w:pPr>
        <w:pStyle w:val="Definition"/>
      </w:pPr>
      <w:r w:rsidRPr="008645AC">
        <w:rPr>
          <w:b/>
          <w:i/>
        </w:rPr>
        <w:t xml:space="preserve">physical security hazard </w:t>
      </w:r>
      <w:r w:rsidRPr="008645AC">
        <w:t xml:space="preserve">includes the unauthorised access to, interference with, or control of a </w:t>
      </w:r>
      <w:r w:rsidR="005C1CD2" w:rsidRPr="008645AC">
        <w:t xml:space="preserve">relevant </w:t>
      </w:r>
      <w:r w:rsidR="00EA0352">
        <w:t>c</w:t>
      </w:r>
      <w:r w:rsidR="00575FC7">
        <w:t>ritical infrastructure asset</w:t>
      </w:r>
      <w:r w:rsidRPr="00D52DF8">
        <w:t xml:space="preserve">, </w:t>
      </w:r>
      <w:r w:rsidR="00D76478">
        <w:t>that could</w:t>
      </w:r>
      <w:r w:rsidRPr="00D52DF8">
        <w:t xml:space="preserve"> compromise the proper function or the asset or to cause significant damage to the asset.</w:t>
      </w:r>
    </w:p>
    <w:p w14:paraId="093D00C1" w14:textId="4143F230" w:rsidR="00406647" w:rsidRDefault="00103454" w:rsidP="00406647">
      <w:pPr>
        <w:pStyle w:val="Definition"/>
      </w:pPr>
      <w:r>
        <w:rPr>
          <w:b/>
          <w:i/>
        </w:rPr>
        <w:t xml:space="preserve">relevant carriage service provider asset </w:t>
      </w:r>
      <w:r w:rsidR="00406647">
        <w:t xml:space="preserve">is a </w:t>
      </w:r>
      <w:r w:rsidR="00406647" w:rsidRPr="00126447">
        <w:t>critical infrastructure asset owned or operated by a carriage service provider</w:t>
      </w:r>
      <w:r w:rsidR="00406647">
        <w:t xml:space="preserve"> where:</w:t>
      </w:r>
    </w:p>
    <w:p w14:paraId="0452903C" w14:textId="01E9A030" w:rsidR="00406647" w:rsidRDefault="00406647" w:rsidP="00406647">
      <w:pPr>
        <w:pStyle w:val="paragraph"/>
      </w:pPr>
      <w:r>
        <w:lastRenderedPageBreak/>
        <w:tab/>
        <w:t>(a)</w:t>
      </w:r>
      <w:r>
        <w:tab/>
      </w:r>
      <w:r w:rsidR="00AE7804">
        <w:t xml:space="preserve">the </w:t>
      </w:r>
      <w:r>
        <w:t>asset</w:t>
      </w:r>
      <w:r w:rsidR="00AE7804">
        <w:t xml:space="preserve"> is</w:t>
      </w:r>
      <w:r>
        <w:t xml:space="preserve"> used in connection with the supply of at least 20,000 active total carriage services including</w:t>
      </w:r>
      <w:r w:rsidR="00A2056F">
        <w:t xml:space="preserve"> any of the following</w:t>
      </w:r>
      <w:r>
        <w:t>:</w:t>
      </w:r>
    </w:p>
    <w:p w14:paraId="6E73F009" w14:textId="4E0032FD" w:rsidR="00406647" w:rsidRDefault="00406647" w:rsidP="00406647">
      <w:pPr>
        <w:pStyle w:val="paragraphsub"/>
      </w:pPr>
      <w:r>
        <w:tab/>
        <w:t>(i)</w:t>
      </w:r>
      <w:r>
        <w:tab/>
        <w:t>broadband services;</w:t>
      </w:r>
    </w:p>
    <w:p w14:paraId="70CC89D8" w14:textId="77777777" w:rsidR="00406647" w:rsidRDefault="00406647" w:rsidP="00406647">
      <w:pPr>
        <w:pStyle w:val="paragraphsub"/>
      </w:pPr>
      <w:r>
        <w:tab/>
        <w:t>(ii)</w:t>
      </w:r>
      <w:r>
        <w:tab/>
        <w:t>fixed telephone services;</w:t>
      </w:r>
    </w:p>
    <w:p w14:paraId="71D117FB" w14:textId="75D63948" w:rsidR="00406647" w:rsidRDefault="00406647" w:rsidP="00406647">
      <w:pPr>
        <w:pStyle w:val="paragraphsub"/>
      </w:pPr>
      <w:r>
        <w:tab/>
        <w:t>(iii)</w:t>
      </w:r>
      <w:r>
        <w:tab/>
        <w:t>public mobile telecommunications services;</w:t>
      </w:r>
    </w:p>
    <w:p w14:paraId="7D91E367" w14:textId="77777777" w:rsidR="00406647" w:rsidRDefault="00406647" w:rsidP="00406647">
      <w:pPr>
        <w:pStyle w:val="paragraphsub"/>
      </w:pPr>
      <w:r>
        <w:tab/>
        <w:t>(iv)</w:t>
      </w:r>
      <w:r>
        <w:tab/>
        <w:t>voice only services; or</w:t>
      </w:r>
    </w:p>
    <w:p w14:paraId="55ADB82A" w14:textId="6B8493D0" w:rsidR="00406647" w:rsidRPr="005F7594" w:rsidRDefault="00406647" w:rsidP="00BF0FD3">
      <w:pPr>
        <w:pStyle w:val="paragraph"/>
      </w:pPr>
      <w:r>
        <w:tab/>
        <w:t>(b)</w:t>
      </w:r>
      <w:r>
        <w:tab/>
        <w:t xml:space="preserve">the responsible entity </w:t>
      </w:r>
      <w:r w:rsidR="00220D42">
        <w:t xml:space="preserve">for the asset </w:t>
      </w:r>
      <w:r>
        <w:t>is aware that the asset is used in connection with carriage services su</w:t>
      </w:r>
      <w:r w:rsidR="00EF571A">
        <w:t>pplied to</w:t>
      </w:r>
      <w:r w:rsidR="00D76478">
        <w:t xml:space="preserve"> a</w:t>
      </w:r>
      <w:r w:rsidR="00EF571A">
        <w:t xml:space="preserve"> Commonwealth entit</w:t>
      </w:r>
      <w:r w:rsidR="00D76478">
        <w:t>y</w:t>
      </w:r>
      <w:r w:rsidR="00220D42">
        <w:t xml:space="preserve"> </w:t>
      </w:r>
      <w:r w:rsidR="00D76478">
        <w:t>(other than</w:t>
      </w:r>
      <w:r w:rsidR="00220D42">
        <w:t xml:space="preserve"> </w:t>
      </w:r>
      <w:r>
        <w:t>a body corporate established by a law of the Commonwealth</w:t>
      </w:r>
      <w:r w:rsidR="00D76478">
        <w:t>)</w:t>
      </w:r>
      <w:r>
        <w:t>.</w:t>
      </w:r>
    </w:p>
    <w:p w14:paraId="6981032E" w14:textId="2B7AC6AF" w:rsidR="00406647" w:rsidRPr="00406647" w:rsidRDefault="00406647" w:rsidP="00851789">
      <w:pPr>
        <w:pStyle w:val="Definition"/>
      </w:pPr>
      <w:r>
        <w:rPr>
          <w:b/>
          <w:i/>
        </w:rPr>
        <w:t xml:space="preserve">relevant critical infrastructure asset </w:t>
      </w:r>
      <w:r>
        <w:t>has the meaning given by section 5.</w:t>
      </w:r>
    </w:p>
    <w:p w14:paraId="20C138F3" w14:textId="5B839D81" w:rsidR="00361AFF" w:rsidRDefault="004E1CFD" w:rsidP="00851789">
      <w:pPr>
        <w:pStyle w:val="Definition"/>
      </w:pPr>
      <w:r>
        <w:rPr>
          <w:b/>
          <w:i/>
        </w:rPr>
        <w:t>s</w:t>
      </w:r>
      <w:r w:rsidR="00361AFF">
        <w:rPr>
          <w:b/>
          <w:i/>
        </w:rPr>
        <w:t xml:space="preserve">upply chain hazard </w:t>
      </w:r>
      <w:r w:rsidR="00361AFF">
        <w:t xml:space="preserve">includes </w:t>
      </w:r>
      <w:r w:rsidR="00CD3BC1">
        <w:t xml:space="preserve">malicious </w:t>
      </w:r>
      <w:r w:rsidR="00AE7804">
        <w:t>pe</w:t>
      </w:r>
      <w:r w:rsidR="00CD3BC1">
        <w:t xml:space="preserve">ople, </w:t>
      </w:r>
      <w:r w:rsidR="0087236B">
        <w:t>both internal and</w:t>
      </w:r>
      <w:r w:rsidR="00361AFF">
        <w:t xml:space="preserve"> external</w:t>
      </w:r>
      <w:r w:rsidR="00CD3BC1">
        <w:t>,</w:t>
      </w:r>
      <w:r w:rsidR="00361AFF">
        <w:t xml:space="preserve"> exploiting, misusing, accessing or disrupting</w:t>
      </w:r>
      <w:r w:rsidR="000F21A1">
        <w:t xml:space="preserve"> </w:t>
      </w:r>
      <w:r w:rsidR="00AE7804" w:rsidRPr="000F21A1">
        <w:t>a</w:t>
      </w:r>
      <w:r w:rsidR="00361AFF">
        <w:t xml:space="preserve"> supply chain</w:t>
      </w:r>
      <w:r w:rsidR="00CD3BC1">
        <w:t xml:space="preserve"> and</w:t>
      </w:r>
      <w:r w:rsidR="00E36DF7">
        <w:t xml:space="preserve"> over-reliance on particular suppliers.</w:t>
      </w:r>
    </w:p>
    <w:p w14:paraId="2B167138" w14:textId="218D54A6" w:rsidR="00554826" w:rsidRPr="00024B1A" w:rsidRDefault="003778B4" w:rsidP="00554826">
      <w:pPr>
        <w:pStyle w:val="ActHead5"/>
      </w:pPr>
      <w:bookmarkStart w:id="6" w:name="_Toc191588686"/>
      <w:r w:rsidRPr="00024B1A">
        <w:t>5</w:t>
      </w:r>
      <w:r w:rsidR="00554826" w:rsidRPr="00024B1A">
        <w:t xml:space="preserve">  </w:t>
      </w:r>
      <w:r w:rsidR="008D741F" w:rsidRPr="00024B1A">
        <w:t xml:space="preserve">Meaning of </w:t>
      </w:r>
      <w:r w:rsidR="008D741F" w:rsidRPr="008D5831">
        <w:rPr>
          <w:i/>
        </w:rPr>
        <w:t xml:space="preserve">relevant </w:t>
      </w:r>
      <w:r w:rsidR="00C15C28" w:rsidRPr="008D5831">
        <w:rPr>
          <w:i/>
        </w:rPr>
        <w:t xml:space="preserve">critical </w:t>
      </w:r>
      <w:r w:rsidR="003569D2" w:rsidRPr="008D5831">
        <w:rPr>
          <w:i/>
        </w:rPr>
        <w:t xml:space="preserve">infrastructure </w:t>
      </w:r>
      <w:r w:rsidR="008D741F" w:rsidRPr="008D5831">
        <w:rPr>
          <w:i/>
        </w:rPr>
        <w:t>asset</w:t>
      </w:r>
      <w:bookmarkEnd w:id="6"/>
    </w:p>
    <w:p w14:paraId="223A65D8" w14:textId="46CC265F" w:rsidR="003569D2" w:rsidRDefault="00406647" w:rsidP="008D5831">
      <w:pPr>
        <w:pStyle w:val="subsection"/>
      </w:pPr>
      <w:r>
        <w:tab/>
      </w:r>
      <w:r w:rsidR="00CE4301">
        <w:tab/>
      </w:r>
      <w:r w:rsidR="00B51D72">
        <w:t>For the purposes of th</w:t>
      </w:r>
      <w:r w:rsidR="00D76478">
        <w:t>ese</w:t>
      </w:r>
      <w:r w:rsidR="00B51D72">
        <w:t xml:space="preserve"> Rule</w:t>
      </w:r>
      <w:r w:rsidR="00D76478">
        <w:t>s</w:t>
      </w:r>
      <w:r w:rsidR="00B51D72">
        <w:t xml:space="preserve">, a </w:t>
      </w:r>
      <w:r w:rsidR="00B51D72" w:rsidRPr="00BF459D">
        <w:rPr>
          <w:b/>
          <w:i/>
        </w:rPr>
        <w:t>relevant critical infrastructure asset</w:t>
      </w:r>
      <w:r w:rsidR="00B51D72">
        <w:t xml:space="preserve"> is</w:t>
      </w:r>
      <w:r w:rsidR="004C604A">
        <w:t xml:space="preserve"> a </w:t>
      </w:r>
      <w:r w:rsidR="00CE4301">
        <w:t xml:space="preserve">critical </w:t>
      </w:r>
      <w:r w:rsidR="003501D2">
        <w:t>telecommunications</w:t>
      </w:r>
      <w:r w:rsidR="004C604A">
        <w:t xml:space="preserve"> asset</w:t>
      </w:r>
      <w:r w:rsidR="00EB3D68">
        <w:t xml:space="preserve"> that is</w:t>
      </w:r>
      <w:r w:rsidR="00B51D72">
        <w:t>:</w:t>
      </w:r>
    </w:p>
    <w:p w14:paraId="52E78CD3" w14:textId="2116137B" w:rsidR="00B51D72" w:rsidRDefault="00BF459D" w:rsidP="00BF459D">
      <w:pPr>
        <w:pStyle w:val="paragraph"/>
      </w:pPr>
      <w:r>
        <w:tab/>
        <w:t>(a</w:t>
      </w:r>
      <w:r w:rsidR="00B51D72">
        <w:t>)</w:t>
      </w:r>
      <w:r w:rsidR="00B51D72">
        <w:tab/>
        <w:t xml:space="preserve">owned or operated by a </w:t>
      </w:r>
      <w:r w:rsidR="00B51D72" w:rsidRPr="004A7128">
        <w:t>carrier</w:t>
      </w:r>
      <w:r w:rsidR="00B51D72">
        <w:t>; or</w:t>
      </w:r>
    </w:p>
    <w:p w14:paraId="6C2E686C" w14:textId="69E6D654" w:rsidR="00B51D72" w:rsidRDefault="00BF459D" w:rsidP="00BF459D">
      <w:pPr>
        <w:pStyle w:val="paragraph"/>
      </w:pPr>
      <w:r>
        <w:tab/>
        <w:t>(b</w:t>
      </w:r>
      <w:r w:rsidR="00B51D72">
        <w:t>)</w:t>
      </w:r>
      <w:r w:rsidR="00B51D72">
        <w:tab/>
        <w:t xml:space="preserve">a </w:t>
      </w:r>
      <w:r w:rsidR="00B51D72" w:rsidRPr="004A7128">
        <w:t>relevant carriage service provider asset</w:t>
      </w:r>
      <w:r w:rsidR="00B51D72">
        <w:t>.</w:t>
      </w:r>
    </w:p>
    <w:p w14:paraId="67C397D5" w14:textId="5D84F8B7" w:rsidR="00B51D72" w:rsidRDefault="00B51D72" w:rsidP="00BF459D">
      <w:pPr>
        <w:pStyle w:val="notetext"/>
      </w:pPr>
      <w:r>
        <w:t>Note</w:t>
      </w:r>
      <w:r>
        <w:tab/>
      </w:r>
      <w:r w:rsidR="00EA7BF9">
        <w:t>A</w:t>
      </w:r>
      <w:r w:rsidRPr="00252856">
        <w:t xml:space="preserve"> data storage system that meets all of the requirements under subsection 9(7) of the Act is taken to be part of </w:t>
      </w:r>
      <w:r w:rsidR="00EA7BF9">
        <w:t>a</w:t>
      </w:r>
      <w:r w:rsidR="00EA7BF9" w:rsidRPr="00252856">
        <w:t xml:space="preserve"> </w:t>
      </w:r>
      <w:r w:rsidRPr="00252856">
        <w:t>critical infrastructure asset</w:t>
      </w:r>
      <w:r w:rsidR="00EA7BF9">
        <w:t xml:space="preserve"> </w:t>
      </w:r>
      <w:r w:rsidR="00EA7BF9" w:rsidRPr="00252856">
        <w:t xml:space="preserve">specified in section </w:t>
      </w:r>
      <w:r w:rsidR="00EA7BF9">
        <w:t>5</w:t>
      </w:r>
      <w:r w:rsidRPr="00252856">
        <w:t>.</w:t>
      </w:r>
    </w:p>
    <w:p w14:paraId="584A6997" w14:textId="0A2B42F2" w:rsidR="00A546A8" w:rsidRPr="00D52DF8" w:rsidRDefault="00F02C4A" w:rsidP="008D5831">
      <w:pPr>
        <w:pStyle w:val="ActHead2"/>
        <w:ind w:left="0" w:firstLine="0"/>
      </w:pPr>
      <w:bookmarkStart w:id="7" w:name="_Toc191588687"/>
      <w:r w:rsidRPr="00D52DF8">
        <w:t>Part 2</w:t>
      </w:r>
      <w:r w:rsidR="00D76478">
        <w:t>—</w:t>
      </w:r>
      <w:r w:rsidR="007676BA" w:rsidRPr="00D52DF8">
        <w:t>Responsible entity’s obligation to protect critical telecommunications assets</w:t>
      </w:r>
      <w:bookmarkEnd w:id="7"/>
    </w:p>
    <w:p w14:paraId="62C12BD9" w14:textId="14558672" w:rsidR="005A5483" w:rsidRPr="00D52DF8" w:rsidRDefault="00F02C4A" w:rsidP="005A5483">
      <w:pPr>
        <w:pStyle w:val="ActHead5"/>
      </w:pPr>
      <w:bookmarkStart w:id="8" w:name="_Toc191588688"/>
      <w:r w:rsidRPr="00D52DF8">
        <w:t xml:space="preserve">6  Application of section </w:t>
      </w:r>
      <w:r w:rsidR="00C4212D" w:rsidRPr="00D52DF8">
        <w:t>30EB</w:t>
      </w:r>
      <w:r w:rsidR="00584AB7" w:rsidRPr="004E65D8">
        <w:t xml:space="preserve"> </w:t>
      </w:r>
      <w:r w:rsidRPr="008645AC">
        <w:t xml:space="preserve">of the </w:t>
      </w:r>
      <w:r w:rsidRPr="00996B9D">
        <w:t>Act</w:t>
      </w:r>
      <w:bookmarkEnd w:id="8"/>
    </w:p>
    <w:p w14:paraId="5E9179C9" w14:textId="0380FAC4" w:rsidR="00716FA3" w:rsidRPr="008645AC" w:rsidRDefault="00F02C4A" w:rsidP="000F21A1">
      <w:pPr>
        <w:pStyle w:val="subsection"/>
      </w:pPr>
      <w:r w:rsidRPr="00D52DF8">
        <w:tab/>
      </w:r>
      <w:r w:rsidRPr="00D52DF8">
        <w:tab/>
        <w:t xml:space="preserve">For </w:t>
      </w:r>
      <w:r w:rsidR="002A4C01" w:rsidRPr="00D52DF8">
        <w:t xml:space="preserve">the purposes of </w:t>
      </w:r>
      <w:r w:rsidR="0074056F" w:rsidRPr="00D52DF8">
        <w:t>subsection 30EB(1)</w:t>
      </w:r>
      <w:r w:rsidRPr="004E65D8">
        <w:t xml:space="preserve"> of the Act,</w:t>
      </w:r>
      <w:r w:rsidR="0035304A" w:rsidRPr="008645AC">
        <w:t xml:space="preserve"> </w:t>
      </w:r>
      <w:r w:rsidR="000D7238" w:rsidRPr="008645AC">
        <w:t xml:space="preserve">a relevant </w:t>
      </w:r>
      <w:r w:rsidR="00E17E6E">
        <w:t xml:space="preserve">critical </w:t>
      </w:r>
      <w:r w:rsidR="00575FC7">
        <w:t>infrastructure asset</w:t>
      </w:r>
      <w:r w:rsidR="005124F5" w:rsidRPr="008645AC">
        <w:t xml:space="preserve"> is prescribed</w:t>
      </w:r>
      <w:r w:rsidR="000D7238" w:rsidRPr="008645AC">
        <w:t>.</w:t>
      </w:r>
    </w:p>
    <w:p w14:paraId="5A5DF63A" w14:textId="0620D0C0" w:rsidR="00DF2226" w:rsidRPr="008645AC" w:rsidRDefault="00DF2226" w:rsidP="00DF2226">
      <w:pPr>
        <w:pStyle w:val="ActHead2"/>
        <w:ind w:left="0" w:firstLine="0"/>
      </w:pPr>
      <w:bookmarkStart w:id="9" w:name="_Toc191588689"/>
      <w:r w:rsidRPr="008645AC">
        <w:t>Part 3</w:t>
      </w:r>
      <w:r w:rsidR="00D76478">
        <w:t>—</w:t>
      </w:r>
      <w:r w:rsidRPr="008645AC">
        <w:t>Critical infrastructure risk management programs requirements</w:t>
      </w:r>
      <w:bookmarkEnd w:id="9"/>
    </w:p>
    <w:p w14:paraId="3C46AFE4" w14:textId="34475E9F" w:rsidR="00F02C4A" w:rsidRPr="00D52DF8" w:rsidRDefault="00CA6555" w:rsidP="0074056F">
      <w:pPr>
        <w:pStyle w:val="ActHead5"/>
      </w:pPr>
      <w:bookmarkStart w:id="10" w:name="_Toc191588690"/>
      <w:r w:rsidRPr="008645AC">
        <w:t>7</w:t>
      </w:r>
      <w:r w:rsidR="00F069E3" w:rsidRPr="008645AC">
        <w:t xml:space="preserve">  </w:t>
      </w:r>
      <w:r w:rsidR="0074056F" w:rsidRPr="008645AC">
        <w:t xml:space="preserve">Application of Part 2A of the </w:t>
      </w:r>
      <w:r w:rsidR="0074056F" w:rsidRPr="00996B9D">
        <w:t>Act</w:t>
      </w:r>
      <w:bookmarkEnd w:id="10"/>
    </w:p>
    <w:p w14:paraId="47497F8A" w14:textId="0727C493" w:rsidR="00D76478" w:rsidRDefault="00A845E1" w:rsidP="00A845E1">
      <w:pPr>
        <w:pStyle w:val="subsection"/>
      </w:pPr>
      <w:r w:rsidRPr="00996B9D">
        <w:tab/>
        <w:t>(1)</w:t>
      </w:r>
      <w:r w:rsidRPr="00D52DF8">
        <w:tab/>
        <w:t xml:space="preserve">For </w:t>
      </w:r>
      <w:r w:rsidR="002A4C01" w:rsidRPr="00D52DF8">
        <w:t xml:space="preserve">the purposes of </w:t>
      </w:r>
      <w:r w:rsidRPr="00D52DF8">
        <w:t xml:space="preserve">paragraph 30AB(1)(a) of the Act, </w:t>
      </w:r>
      <w:r w:rsidR="00233B17" w:rsidRPr="00D52DF8">
        <w:t xml:space="preserve">a </w:t>
      </w:r>
      <w:r w:rsidR="000D7238" w:rsidRPr="004E65D8">
        <w:t xml:space="preserve">relevant </w:t>
      </w:r>
      <w:r w:rsidR="00E17E6E">
        <w:t>critical infrastructure</w:t>
      </w:r>
      <w:r w:rsidR="00575FC7">
        <w:t xml:space="preserve"> asset</w:t>
      </w:r>
      <w:r w:rsidR="00233B17" w:rsidRPr="008645AC">
        <w:t xml:space="preserve"> is specified</w:t>
      </w:r>
      <w:r w:rsidRPr="008645AC">
        <w:t>.</w:t>
      </w:r>
    </w:p>
    <w:p w14:paraId="3E8E82D6" w14:textId="263D3919" w:rsidR="00441780" w:rsidRPr="008645AC" w:rsidRDefault="00441780" w:rsidP="00A845E1">
      <w:pPr>
        <w:pStyle w:val="subsection"/>
      </w:pPr>
      <w:r w:rsidRPr="00D52DF8">
        <w:tab/>
        <w:t>(2)</w:t>
      </w:r>
      <w:r w:rsidRPr="00D52DF8">
        <w:tab/>
      </w:r>
      <w:r w:rsidR="00DA63BC" w:rsidRPr="00D52DF8">
        <w:t xml:space="preserve">For </w:t>
      </w:r>
      <w:r w:rsidR="002A4C01" w:rsidRPr="00D52DF8">
        <w:t xml:space="preserve">the purposes of </w:t>
      </w:r>
      <w:r w:rsidR="00DA63BC" w:rsidRPr="00D52DF8">
        <w:t xml:space="preserve">subsection 30AB(3) of the Act, Part 2A of the Act does not apply to a </w:t>
      </w:r>
      <w:r w:rsidR="000D7238" w:rsidRPr="00D52DF8">
        <w:t xml:space="preserve">relevant </w:t>
      </w:r>
      <w:r w:rsidR="00E17E6E">
        <w:t>critical infrastructure</w:t>
      </w:r>
      <w:r w:rsidR="00E17E6E" w:rsidRPr="004E65D8">
        <w:t xml:space="preserve"> </w:t>
      </w:r>
      <w:r w:rsidR="000D7238" w:rsidRPr="004E65D8">
        <w:t xml:space="preserve">asset </w:t>
      </w:r>
      <w:r w:rsidR="00DA63BC" w:rsidRPr="008645AC">
        <w:t xml:space="preserve">during the period beginning when the asset becomes a </w:t>
      </w:r>
      <w:r w:rsidR="000D7238" w:rsidRPr="008645AC">
        <w:t xml:space="preserve">relevant </w:t>
      </w:r>
      <w:r w:rsidR="00E17E6E">
        <w:t>critical infrastructure</w:t>
      </w:r>
      <w:r w:rsidR="00E17E6E" w:rsidRPr="008645AC">
        <w:t xml:space="preserve"> </w:t>
      </w:r>
      <w:r w:rsidR="00DA63BC" w:rsidRPr="008645AC">
        <w:t>asset</w:t>
      </w:r>
      <w:r w:rsidR="0073533F" w:rsidRPr="008645AC">
        <w:t xml:space="preserve"> and ending</w:t>
      </w:r>
      <w:r w:rsidR="00D76478">
        <w:t xml:space="preserve"> on</w:t>
      </w:r>
      <w:r w:rsidR="0073533F" w:rsidRPr="008645AC">
        <w:t xml:space="preserve"> the later of:</w:t>
      </w:r>
    </w:p>
    <w:p w14:paraId="4F6172CE" w14:textId="0F61E6DC" w:rsidR="0073533F" w:rsidRPr="008645AC" w:rsidRDefault="0073533F" w:rsidP="0073533F">
      <w:pPr>
        <w:pStyle w:val="paragraph"/>
      </w:pPr>
      <w:r w:rsidRPr="008645AC">
        <w:tab/>
        <w:t>(a)</w:t>
      </w:r>
      <w:r w:rsidRPr="008645AC">
        <w:tab/>
      </w:r>
      <w:r w:rsidR="00C4675E">
        <w:t xml:space="preserve">the </w:t>
      </w:r>
      <w:r w:rsidR="006B2445">
        <w:t>last day of</w:t>
      </w:r>
      <w:r w:rsidR="00C4675E">
        <w:t xml:space="preserve"> the period of </w:t>
      </w:r>
      <w:r w:rsidRPr="008645AC">
        <w:t>6 months after the commencement of this instrument; and</w:t>
      </w:r>
    </w:p>
    <w:p w14:paraId="4CC0D056" w14:textId="46709A4C" w:rsidR="0073533F" w:rsidRPr="00D52DF8" w:rsidRDefault="0073533F" w:rsidP="0073533F">
      <w:pPr>
        <w:pStyle w:val="paragraph"/>
      </w:pPr>
      <w:r w:rsidRPr="008645AC">
        <w:lastRenderedPageBreak/>
        <w:tab/>
        <w:t>(b)</w:t>
      </w:r>
      <w:r w:rsidRPr="008645AC">
        <w:tab/>
      </w:r>
      <w:r w:rsidR="00C4675E">
        <w:t xml:space="preserve">the </w:t>
      </w:r>
      <w:r w:rsidR="006B2445">
        <w:t xml:space="preserve">last day </w:t>
      </w:r>
      <w:r w:rsidR="00C4675E">
        <w:t xml:space="preserve">of the period of </w:t>
      </w:r>
      <w:r w:rsidRPr="008645AC">
        <w:t>6 months after the asset</w:t>
      </w:r>
      <w:r w:rsidR="00386217" w:rsidRPr="008645AC">
        <w:t xml:space="preserve"> </w:t>
      </w:r>
      <w:r w:rsidR="00D76478">
        <w:t>has become</w:t>
      </w:r>
      <w:r w:rsidRPr="008645AC">
        <w:t xml:space="preserve"> a </w:t>
      </w:r>
      <w:r w:rsidR="005A02B8" w:rsidRPr="008645AC">
        <w:t xml:space="preserve">relevant </w:t>
      </w:r>
      <w:r w:rsidR="00575FC7">
        <w:t>critical infrastructure</w:t>
      </w:r>
      <w:r w:rsidR="00575FC7" w:rsidRPr="008645AC">
        <w:t xml:space="preserve"> </w:t>
      </w:r>
      <w:r w:rsidRPr="008645AC">
        <w:t>asset.</w:t>
      </w:r>
    </w:p>
    <w:p w14:paraId="6EEFC27A" w14:textId="3227ADEA" w:rsidR="007E6F7D" w:rsidRPr="00D52DF8" w:rsidRDefault="00A546A8" w:rsidP="00A546A8">
      <w:pPr>
        <w:pStyle w:val="ActHead5"/>
      </w:pPr>
      <w:bookmarkStart w:id="11" w:name="_Toc191588691"/>
      <w:r w:rsidRPr="00D52DF8">
        <w:t xml:space="preserve">8  Material </w:t>
      </w:r>
      <w:r w:rsidR="00CA3D05">
        <w:t>r</w:t>
      </w:r>
      <w:r w:rsidR="00CA3D05" w:rsidRPr="00D52DF8">
        <w:t>isk</w:t>
      </w:r>
      <w:r w:rsidR="00CA3D05">
        <w:t>s</w:t>
      </w:r>
      <w:bookmarkEnd w:id="11"/>
    </w:p>
    <w:p w14:paraId="49CD96E0" w14:textId="4B2E55C0" w:rsidR="00A546A8" w:rsidRPr="004E65D8" w:rsidRDefault="002A4C01" w:rsidP="0073533F">
      <w:pPr>
        <w:pStyle w:val="subsection"/>
      </w:pPr>
      <w:r w:rsidRPr="00D52DF8">
        <w:tab/>
      </w:r>
      <w:r w:rsidRPr="00D52DF8">
        <w:tab/>
        <w:t>For the purposes of subsection 30AH(8) of the Act,</w:t>
      </w:r>
      <w:r w:rsidR="00611D32">
        <w:t xml:space="preserve"> each of the following specified risks </w:t>
      </w:r>
      <w:r w:rsidR="00F179CF">
        <w:t xml:space="preserve">is </w:t>
      </w:r>
      <w:r w:rsidR="00611D32">
        <w:t>taken to be a material risk</w:t>
      </w:r>
      <w:r w:rsidRPr="00D52DF8">
        <w:t>:</w:t>
      </w:r>
    </w:p>
    <w:p w14:paraId="6F705C95" w14:textId="0F13DFFD" w:rsidR="002A4C01" w:rsidRPr="008645AC" w:rsidRDefault="002A4C01" w:rsidP="002A4C01">
      <w:pPr>
        <w:pStyle w:val="paragraph"/>
      </w:pPr>
      <w:r w:rsidRPr="008645AC">
        <w:tab/>
        <w:t>(a)</w:t>
      </w:r>
      <w:r w:rsidRPr="008645AC">
        <w:tab/>
        <w:t>a stoppage or major slowdown of the</w:t>
      </w:r>
      <w:r w:rsidR="0035304A" w:rsidRPr="008645AC">
        <w:t xml:space="preserve"> </w:t>
      </w:r>
      <w:r w:rsidR="007D711B" w:rsidRPr="008645AC">
        <w:t xml:space="preserve">relevant </w:t>
      </w:r>
      <w:r w:rsidR="00611D32">
        <w:t>c</w:t>
      </w:r>
      <w:r w:rsidR="00575FC7">
        <w:t>ritical infrastructure asset</w:t>
      </w:r>
      <w:r w:rsidR="00AC5948" w:rsidRPr="008645AC">
        <w:t>’s function for an unmanageable period;</w:t>
      </w:r>
    </w:p>
    <w:p w14:paraId="47169A5F" w14:textId="065E5D34" w:rsidR="00AC5948" w:rsidRPr="008645AC" w:rsidRDefault="00AC5948" w:rsidP="002A4C01">
      <w:pPr>
        <w:pStyle w:val="paragraph"/>
      </w:pPr>
      <w:r w:rsidRPr="008645AC">
        <w:tab/>
        <w:t>(b)</w:t>
      </w:r>
      <w:r w:rsidRPr="008645AC">
        <w:tab/>
        <w:t xml:space="preserve">an impairment of the </w:t>
      </w:r>
      <w:r w:rsidR="007D711B" w:rsidRPr="008645AC">
        <w:t xml:space="preserve">relevant </w:t>
      </w:r>
      <w:r w:rsidR="00611D32">
        <w:t>c</w:t>
      </w:r>
      <w:r w:rsidR="00575FC7">
        <w:t>ritical infrastructure asset</w:t>
      </w:r>
      <w:r w:rsidRPr="008645AC">
        <w:t>’s functions that prejudices the social or economic stability, or national security of Australia;</w:t>
      </w:r>
    </w:p>
    <w:p w14:paraId="046D1FB7" w14:textId="15714823" w:rsidR="00AC5948" w:rsidRPr="008645AC" w:rsidRDefault="00AC5948" w:rsidP="002A4C01">
      <w:pPr>
        <w:pStyle w:val="paragraph"/>
      </w:pPr>
      <w:r w:rsidRPr="008645AC">
        <w:tab/>
        <w:t>(c)</w:t>
      </w:r>
      <w:r w:rsidRPr="008645AC">
        <w:tab/>
        <w:t>a substantive loss of access to, or deliberate or accidental manipulation of, a cri</w:t>
      </w:r>
      <w:r w:rsidR="00B240EE" w:rsidRPr="008645AC">
        <w:t xml:space="preserve">tical component of the </w:t>
      </w:r>
      <w:r w:rsidR="007D711B" w:rsidRPr="008645AC">
        <w:t xml:space="preserve">relevant </w:t>
      </w:r>
      <w:r w:rsidR="00611D32">
        <w:t>c</w:t>
      </w:r>
      <w:r w:rsidR="00575FC7">
        <w:t>ritical infrastructure asset</w:t>
      </w:r>
      <w:r w:rsidR="00B240EE" w:rsidRPr="008645AC">
        <w:t>;</w:t>
      </w:r>
    </w:p>
    <w:p w14:paraId="0029668A" w14:textId="43C54B84" w:rsidR="00A546A8" w:rsidRPr="008645AC" w:rsidRDefault="00AB3450" w:rsidP="00AB3450">
      <w:pPr>
        <w:pStyle w:val="notetext"/>
      </w:pPr>
      <w:r w:rsidRPr="008645AC">
        <w:t>Example</w:t>
      </w:r>
      <w:r w:rsidR="00D76478">
        <w:t>:</w:t>
      </w:r>
      <w:r w:rsidRPr="008645AC">
        <w:tab/>
        <w:t xml:space="preserve">The position, navigation and timing systems affecting provision of service or function of the </w:t>
      </w:r>
      <w:r w:rsidR="007D711B" w:rsidRPr="008645AC">
        <w:t xml:space="preserve">relevant </w:t>
      </w:r>
      <w:r w:rsidR="00611D32">
        <w:t>c</w:t>
      </w:r>
      <w:r w:rsidR="00575FC7">
        <w:t>ritical infrastructure asset</w:t>
      </w:r>
      <w:r w:rsidRPr="008645AC">
        <w:t>.</w:t>
      </w:r>
    </w:p>
    <w:p w14:paraId="070E18B6" w14:textId="23940201" w:rsidR="00A546A8" w:rsidRPr="008645AC" w:rsidRDefault="00AB3450" w:rsidP="00AB3450">
      <w:pPr>
        <w:pStyle w:val="paragraph"/>
      </w:pPr>
      <w:r w:rsidRPr="008645AC">
        <w:tab/>
        <w:t>(d)</w:t>
      </w:r>
      <w:r w:rsidRPr="008645AC">
        <w:tab/>
        <w:t xml:space="preserve">an interference with the </w:t>
      </w:r>
      <w:r w:rsidR="007D711B" w:rsidRPr="008645AC">
        <w:t xml:space="preserve">relevant </w:t>
      </w:r>
      <w:r w:rsidR="00611D32">
        <w:t>c</w:t>
      </w:r>
      <w:r w:rsidR="00575FC7">
        <w:t>ritical infrastructure asset</w:t>
      </w:r>
      <w:r w:rsidRPr="008645AC">
        <w:t>’s operational or information communication technology essenti</w:t>
      </w:r>
      <w:r w:rsidR="00B240EE" w:rsidRPr="008645AC">
        <w:t>al to the function of the asset;</w:t>
      </w:r>
    </w:p>
    <w:p w14:paraId="68930E63" w14:textId="311FEF98" w:rsidR="00B240EE" w:rsidRPr="008645AC" w:rsidRDefault="00B240EE" w:rsidP="00B240EE">
      <w:pPr>
        <w:pStyle w:val="notetext"/>
      </w:pPr>
      <w:r w:rsidRPr="008645AC">
        <w:t>Example</w:t>
      </w:r>
      <w:r w:rsidR="00D76478">
        <w:t>:</w:t>
      </w:r>
      <w:r w:rsidRPr="008645AC">
        <w:tab/>
      </w:r>
      <w:r w:rsidR="00C414CB">
        <w:t>A</w:t>
      </w:r>
      <w:r w:rsidR="007F2347">
        <w:t xml:space="preserve"> </w:t>
      </w:r>
      <w:r w:rsidR="00CD3BC1">
        <w:t>billing and charging system</w:t>
      </w:r>
      <w:r w:rsidR="00611D32">
        <w:t>.</w:t>
      </w:r>
    </w:p>
    <w:p w14:paraId="79FA01B6" w14:textId="09B197EB" w:rsidR="00AB3450" w:rsidRPr="008645AC" w:rsidRDefault="00AB3450" w:rsidP="00AB3450">
      <w:pPr>
        <w:pStyle w:val="paragraph"/>
      </w:pPr>
      <w:r w:rsidRPr="008645AC">
        <w:tab/>
        <w:t>(e)</w:t>
      </w:r>
      <w:r w:rsidRPr="008645AC">
        <w:tab/>
        <w:t xml:space="preserve">the storage, transmission or processing of information </w:t>
      </w:r>
      <w:r w:rsidR="00DB613E" w:rsidRPr="008645AC">
        <w:t xml:space="preserve">relevant to the operation of the </w:t>
      </w:r>
      <w:r w:rsidR="007D711B" w:rsidRPr="008645AC">
        <w:t xml:space="preserve">relevant </w:t>
      </w:r>
      <w:r w:rsidR="00611D32">
        <w:t>c</w:t>
      </w:r>
      <w:r w:rsidR="00575FC7">
        <w:t>ritical infrastructure asset</w:t>
      </w:r>
      <w:r w:rsidR="00DB613E" w:rsidRPr="008645AC">
        <w:t xml:space="preserve"> </w:t>
      </w:r>
      <w:r w:rsidRPr="008645AC">
        <w:t>outside of Australia, which includes:</w:t>
      </w:r>
    </w:p>
    <w:p w14:paraId="1A7B655A" w14:textId="0676F4F7" w:rsidR="00A546A8" w:rsidRPr="008645AC" w:rsidRDefault="00B240EE" w:rsidP="00B240EE">
      <w:pPr>
        <w:pStyle w:val="paragraphsub"/>
      </w:pPr>
      <w:r w:rsidRPr="008645AC">
        <w:tab/>
        <w:t>(i)</w:t>
      </w:r>
      <w:r w:rsidRPr="008645AC">
        <w:tab/>
        <w:t>layout diagrams;</w:t>
      </w:r>
    </w:p>
    <w:p w14:paraId="580F96F9" w14:textId="78ECFA7F" w:rsidR="00B240EE" w:rsidRPr="008645AC" w:rsidRDefault="00B240EE" w:rsidP="00B240EE">
      <w:pPr>
        <w:pStyle w:val="paragraphsub"/>
      </w:pPr>
      <w:r w:rsidRPr="008645AC">
        <w:tab/>
        <w:t>(ii)</w:t>
      </w:r>
      <w:r w:rsidRPr="008645AC">
        <w:tab/>
        <w:t>schematics;</w:t>
      </w:r>
    </w:p>
    <w:p w14:paraId="3652E37B" w14:textId="73E47D7B" w:rsidR="00B240EE" w:rsidRPr="008645AC" w:rsidRDefault="00B240EE" w:rsidP="00B240EE">
      <w:pPr>
        <w:pStyle w:val="paragraphsub"/>
      </w:pPr>
      <w:r w:rsidRPr="008645AC">
        <w:tab/>
        <w:t>(iii)</w:t>
      </w:r>
      <w:r w:rsidRPr="008645AC">
        <w:tab/>
        <w:t>geospatial information;</w:t>
      </w:r>
    </w:p>
    <w:p w14:paraId="1FAEBE56" w14:textId="171BE258" w:rsidR="00B240EE" w:rsidRPr="008645AC" w:rsidRDefault="00B240EE" w:rsidP="00B240EE">
      <w:pPr>
        <w:pStyle w:val="paragraphsub"/>
      </w:pPr>
      <w:r w:rsidRPr="008645AC">
        <w:tab/>
        <w:t>(iv)</w:t>
      </w:r>
      <w:r w:rsidRPr="008645AC">
        <w:tab/>
        <w:t>configuration information;</w:t>
      </w:r>
    </w:p>
    <w:p w14:paraId="0AD4AA79" w14:textId="4FA5BD06" w:rsidR="00B240EE" w:rsidRPr="008645AC" w:rsidRDefault="00B240EE" w:rsidP="00B240EE">
      <w:pPr>
        <w:pStyle w:val="paragraphsub"/>
      </w:pPr>
      <w:r w:rsidRPr="008645AC">
        <w:tab/>
        <w:t>(v)</w:t>
      </w:r>
      <w:r w:rsidRPr="008645AC">
        <w:tab/>
        <w:t>operational con</w:t>
      </w:r>
      <w:r w:rsidR="007D5E10" w:rsidRPr="008645AC">
        <w:t>s</w:t>
      </w:r>
      <w:r w:rsidRPr="008645AC">
        <w:t>traints or tolerances information; or</w:t>
      </w:r>
    </w:p>
    <w:p w14:paraId="7CED8D6A" w14:textId="7D1DC641" w:rsidR="00B240EE" w:rsidRPr="008645AC" w:rsidRDefault="00B240EE" w:rsidP="00B240EE">
      <w:pPr>
        <w:pStyle w:val="paragraphsub"/>
      </w:pPr>
      <w:r w:rsidRPr="008645AC">
        <w:tab/>
        <w:t>(vi)</w:t>
      </w:r>
      <w:r w:rsidRPr="008645AC">
        <w:tab/>
        <w:t>data that a reasonable person would consider to be confidential or sensitive about the asset</w:t>
      </w:r>
      <w:r w:rsidR="00182F10">
        <w:t>;</w:t>
      </w:r>
    </w:p>
    <w:p w14:paraId="291C8FE8" w14:textId="45B05FB0" w:rsidR="00A546A8" w:rsidRPr="008645AC" w:rsidRDefault="00B240EE" w:rsidP="008D5831">
      <w:pPr>
        <w:pStyle w:val="paragraph"/>
      </w:pPr>
      <w:r w:rsidRPr="008645AC">
        <w:tab/>
        <w:t>(f)</w:t>
      </w:r>
      <w:r w:rsidRPr="008645AC">
        <w:tab/>
        <w:t xml:space="preserve">remote access to operational control or operational monitoring systems of the </w:t>
      </w:r>
      <w:r w:rsidR="007D711B" w:rsidRPr="008645AC">
        <w:t xml:space="preserve">relevant </w:t>
      </w:r>
      <w:r w:rsidR="00735B0F">
        <w:t>c</w:t>
      </w:r>
      <w:r w:rsidR="00575FC7">
        <w:t>ritical infrastructure asset</w:t>
      </w:r>
      <w:r w:rsidRPr="008645AC">
        <w:t>;</w:t>
      </w:r>
    </w:p>
    <w:p w14:paraId="7B9BAEFA" w14:textId="1A53C9F7" w:rsidR="00B240EE" w:rsidRPr="008645AC" w:rsidRDefault="00B240EE" w:rsidP="008D5831">
      <w:pPr>
        <w:pStyle w:val="paragraph"/>
      </w:pPr>
      <w:r w:rsidRPr="008645AC">
        <w:tab/>
        <w:t>(g)</w:t>
      </w:r>
      <w:r w:rsidRPr="008645AC">
        <w:tab/>
        <w:t>compromise, theft or manipulation of communications;</w:t>
      </w:r>
    </w:p>
    <w:p w14:paraId="065342F4" w14:textId="5FD47CE0" w:rsidR="00A546A8" w:rsidRPr="008645AC" w:rsidRDefault="00337537" w:rsidP="008D5831">
      <w:pPr>
        <w:pStyle w:val="paragraph"/>
      </w:pPr>
      <w:r w:rsidRPr="008645AC">
        <w:tab/>
        <w:t>(h)</w:t>
      </w:r>
      <w:r w:rsidRPr="008645AC">
        <w:tab/>
      </w:r>
      <w:r w:rsidR="00A338D8" w:rsidRPr="008645AC">
        <w:t>unauthorised</w:t>
      </w:r>
      <w:r w:rsidRPr="008645AC">
        <w:t xml:space="preserve"> use </w:t>
      </w:r>
      <w:r w:rsidR="007D5E10" w:rsidRPr="008645AC">
        <w:t xml:space="preserve">which compromises the security and function of </w:t>
      </w:r>
      <w:r w:rsidRPr="008645AC">
        <w:t xml:space="preserve">a </w:t>
      </w:r>
      <w:r w:rsidR="007D711B" w:rsidRPr="008645AC">
        <w:t xml:space="preserve">relevant </w:t>
      </w:r>
      <w:r w:rsidR="00735B0F">
        <w:t>c</w:t>
      </w:r>
      <w:r w:rsidR="00575FC7">
        <w:t>ritical infrastructure asset</w:t>
      </w:r>
      <w:r w:rsidR="00CF360D" w:rsidRPr="008645AC">
        <w:t>, including</w:t>
      </w:r>
      <w:r w:rsidRPr="008645AC">
        <w:t xml:space="preserve"> by a:</w:t>
      </w:r>
    </w:p>
    <w:p w14:paraId="42416A71" w14:textId="08129262" w:rsidR="00337537" w:rsidRPr="008645AC" w:rsidRDefault="00337537" w:rsidP="00337537">
      <w:pPr>
        <w:pStyle w:val="paragraphsub"/>
      </w:pPr>
      <w:r w:rsidRPr="008645AC">
        <w:tab/>
        <w:t>(i)</w:t>
      </w:r>
      <w:r w:rsidRPr="008645AC">
        <w:tab/>
        <w:t>major supplier;</w:t>
      </w:r>
    </w:p>
    <w:p w14:paraId="3B1F9421" w14:textId="489505DA" w:rsidR="00337537" w:rsidRPr="008645AC" w:rsidRDefault="00337537" w:rsidP="00337537">
      <w:pPr>
        <w:pStyle w:val="paragraphsub"/>
      </w:pPr>
      <w:r w:rsidRPr="008645AC">
        <w:tab/>
        <w:t>(ii)</w:t>
      </w:r>
      <w:r w:rsidRPr="008645AC">
        <w:tab/>
        <w:t>critical worker; or</w:t>
      </w:r>
    </w:p>
    <w:p w14:paraId="53B26B6D" w14:textId="3EB0C0D6" w:rsidR="00337537" w:rsidRPr="008645AC" w:rsidRDefault="00337537" w:rsidP="00337537">
      <w:pPr>
        <w:pStyle w:val="paragraphsub"/>
      </w:pPr>
      <w:r w:rsidRPr="008645AC">
        <w:tab/>
        <w:t>(iii)</w:t>
      </w:r>
      <w:r w:rsidRPr="008645AC">
        <w:tab/>
        <w:t>managed service provider</w:t>
      </w:r>
      <w:r w:rsidR="00182F10">
        <w:t>;</w:t>
      </w:r>
    </w:p>
    <w:p w14:paraId="74ED3198" w14:textId="75C7872C" w:rsidR="006A7AEE" w:rsidRPr="00735B0F" w:rsidRDefault="00337537" w:rsidP="00277133">
      <w:pPr>
        <w:pStyle w:val="notetext"/>
      </w:pPr>
      <w:r w:rsidRPr="00735B0F">
        <w:t>Example</w:t>
      </w:r>
      <w:r w:rsidR="00182F10" w:rsidRPr="00735B0F">
        <w:t>:</w:t>
      </w:r>
      <w:r w:rsidRPr="00735B0F">
        <w:tab/>
      </w:r>
      <w:r w:rsidR="00735B0F">
        <w:t>S</w:t>
      </w:r>
      <w:r w:rsidR="00735B0F" w:rsidRPr="00735B0F">
        <w:t xml:space="preserve">oftware </w:t>
      </w:r>
      <w:r w:rsidRPr="00735B0F">
        <w:t>installed by a major supplier on a modem with</w:t>
      </w:r>
      <w:r w:rsidR="00397D2A" w:rsidRPr="00735B0F">
        <w:t>out</w:t>
      </w:r>
      <w:r w:rsidRPr="00735B0F">
        <w:t xml:space="preserve"> the knowledge of the responsible entity.</w:t>
      </w:r>
    </w:p>
    <w:p w14:paraId="41B2E07F" w14:textId="1EBCA577" w:rsidR="00E20FA0" w:rsidRPr="008645AC" w:rsidRDefault="00E20FA0" w:rsidP="008D5831">
      <w:pPr>
        <w:pStyle w:val="paragraph"/>
      </w:pPr>
      <w:r w:rsidRPr="008645AC">
        <w:tab/>
        <w:t>(i)</w:t>
      </w:r>
      <w:r w:rsidRPr="008645AC">
        <w:tab/>
      </w:r>
      <w:r w:rsidR="00DA09B1" w:rsidRPr="008645AC">
        <w:t xml:space="preserve">impact </w:t>
      </w:r>
      <w:r w:rsidR="00591737">
        <w:t>on</w:t>
      </w:r>
      <w:r w:rsidR="00DA09B1" w:rsidRPr="008645AC">
        <w:t xml:space="preserve"> the availability, integrity, reliability or confidentiality of the data storage system holding business critical data</w:t>
      </w:r>
      <w:r w:rsidRPr="008645AC">
        <w:t>.</w:t>
      </w:r>
    </w:p>
    <w:p w14:paraId="065B901B" w14:textId="0D0C22BD" w:rsidR="00EB2EED" w:rsidRPr="008645AC" w:rsidRDefault="00DE52CE" w:rsidP="00EB2EED">
      <w:pPr>
        <w:pStyle w:val="ActHead5"/>
      </w:pPr>
      <w:bookmarkStart w:id="12" w:name="_Toc191588692"/>
      <w:r>
        <w:lastRenderedPageBreak/>
        <w:t xml:space="preserve">9  </w:t>
      </w:r>
      <w:r w:rsidR="008826F3">
        <w:t xml:space="preserve">General </w:t>
      </w:r>
      <w:r w:rsidR="002433A4">
        <w:t>r</w:t>
      </w:r>
      <w:r w:rsidR="003E307B">
        <w:t xml:space="preserve">equirements for a </w:t>
      </w:r>
      <w:r w:rsidR="008826F3">
        <w:t>CIRMP</w:t>
      </w:r>
      <w:bookmarkEnd w:id="12"/>
    </w:p>
    <w:p w14:paraId="31B3AF0F" w14:textId="1B8EEE21" w:rsidR="00EB2EED" w:rsidRPr="008645AC" w:rsidRDefault="00EB2EED" w:rsidP="00EB2EED">
      <w:pPr>
        <w:pStyle w:val="subsection"/>
      </w:pPr>
      <w:r w:rsidRPr="008645AC">
        <w:tab/>
      </w:r>
      <w:r w:rsidRPr="008645AC">
        <w:tab/>
        <w:t xml:space="preserve">For the purpose of paragraph 30AH(1)(c) of the Act, </w:t>
      </w:r>
      <w:r w:rsidR="009A0C20">
        <w:t xml:space="preserve">the </w:t>
      </w:r>
      <w:r w:rsidR="00CA3D05">
        <w:t xml:space="preserve">specified </w:t>
      </w:r>
      <w:r w:rsidR="009A0C20">
        <w:t xml:space="preserve">requirements </w:t>
      </w:r>
      <w:r w:rsidR="001E13C5">
        <w:t>for a</w:t>
      </w:r>
      <w:r w:rsidR="001E13C5" w:rsidRPr="008645AC">
        <w:t xml:space="preserve"> CIRMP</w:t>
      </w:r>
      <w:r w:rsidR="00536869">
        <w:t xml:space="preserve"> are </w:t>
      </w:r>
      <w:r w:rsidR="00CA3D05">
        <w:t>that it</w:t>
      </w:r>
      <w:r w:rsidR="00EF484F" w:rsidRPr="008645AC">
        <w:t>:</w:t>
      </w:r>
    </w:p>
    <w:p w14:paraId="52E1AEF0" w14:textId="18838CB1" w:rsidR="00EF484F" w:rsidRPr="008645AC" w:rsidRDefault="00EF484F" w:rsidP="00EF484F">
      <w:pPr>
        <w:pStyle w:val="paragraph"/>
      </w:pPr>
      <w:r w:rsidRPr="008645AC">
        <w:tab/>
        <w:t>(a)</w:t>
      </w:r>
      <w:r w:rsidRPr="008645AC">
        <w:tab/>
        <w:t>identif</w:t>
      </w:r>
      <w:r w:rsidR="00536869">
        <w:t>ies</w:t>
      </w:r>
      <w:r w:rsidRPr="008645AC">
        <w:t xml:space="preserve"> the operational context of the </w:t>
      </w:r>
      <w:r w:rsidR="007D711B" w:rsidRPr="008645AC">
        <w:t xml:space="preserve">relevant </w:t>
      </w:r>
      <w:r w:rsidR="00536869">
        <w:t>critical infrastructure</w:t>
      </w:r>
      <w:r w:rsidR="00536869" w:rsidRPr="008645AC">
        <w:t xml:space="preserve"> </w:t>
      </w:r>
      <w:r w:rsidR="007D711B" w:rsidRPr="008645AC">
        <w:t>asset</w:t>
      </w:r>
      <w:r w:rsidRPr="008645AC">
        <w:t>;</w:t>
      </w:r>
    </w:p>
    <w:p w14:paraId="6ABA4CBE" w14:textId="197CF92B" w:rsidR="00EF484F" w:rsidRPr="008645AC" w:rsidRDefault="00EF484F" w:rsidP="00EF484F">
      <w:pPr>
        <w:pStyle w:val="paragraph"/>
      </w:pPr>
      <w:r w:rsidRPr="008645AC">
        <w:tab/>
        <w:t>(b)</w:t>
      </w:r>
      <w:r w:rsidRPr="008645AC">
        <w:tab/>
        <w:t>identif</w:t>
      </w:r>
      <w:r w:rsidR="00536869">
        <w:t>ies</w:t>
      </w:r>
      <w:r w:rsidRPr="008645AC">
        <w:t xml:space="preserve"> the material risks, </w:t>
      </w:r>
      <w:r w:rsidR="001E13C5">
        <w:t>including but not limited to</w:t>
      </w:r>
      <w:r w:rsidR="001E13C5" w:rsidRPr="008645AC">
        <w:t xml:space="preserve"> th</w:t>
      </w:r>
      <w:r w:rsidR="001E13C5">
        <w:t>e material risks</w:t>
      </w:r>
      <w:r w:rsidR="001E13C5" w:rsidRPr="008645AC">
        <w:t xml:space="preserve"> </w:t>
      </w:r>
      <w:r w:rsidR="001E13C5">
        <w:t>specified</w:t>
      </w:r>
      <w:r w:rsidR="001E13C5" w:rsidRPr="008645AC">
        <w:t xml:space="preserve"> in section 8</w:t>
      </w:r>
      <w:r w:rsidR="001E13C5">
        <w:t xml:space="preserve"> of this instrument</w:t>
      </w:r>
      <w:r w:rsidRPr="008645AC">
        <w:t>;</w:t>
      </w:r>
    </w:p>
    <w:p w14:paraId="19F423D9" w14:textId="71BB9AF4" w:rsidR="00EF484F" w:rsidRPr="008645AC" w:rsidRDefault="00EF484F" w:rsidP="00EF484F">
      <w:pPr>
        <w:pStyle w:val="paragraph"/>
      </w:pPr>
      <w:r w:rsidRPr="008645AC">
        <w:tab/>
        <w:t>(c)</w:t>
      </w:r>
      <w:r w:rsidRPr="008645AC">
        <w:tab/>
        <w:t>as far as it is reasonably practicable to do so:</w:t>
      </w:r>
    </w:p>
    <w:p w14:paraId="3BB33113" w14:textId="569472FE" w:rsidR="00EF484F" w:rsidRPr="008645AC" w:rsidRDefault="00EF484F" w:rsidP="00EF484F">
      <w:pPr>
        <w:pStyle w:val="paragraphsub"/>
      </w:pPr>
      <w:r w:rsidRPr="008645AC">
        <w:tab/>
        <w:t>(i)</w:t>
      </w:r>
      <w:r w:rsidRPr="008645AC">
        <w:tab/>
        <w:t>minimise</w:t>
      </w:r>
      <w:r w:rsidR="00536869">
        <w:t>s</w:t>
      </w:r>
      <w:r w:rsidRPr="008645AC">
        <w:t xml:space="preserve"> or eliminate</w:t>
      </w:r>
      <w:r w:rsidR="00536869">
        <w:t>s</w:t>
      </w:r>
      <w:r w:rsidRPr="008645AC">
        <w:t xml:space="preserve"> material risks, </w:t>
      </w:r>
      <w:r w:rsidR="009A0C20">
        <w:t>including but not limited to</w:t>
      </w:r>
      <w:r w:rsidRPr="008645AC">
        <w:t xml:space="preserve"> </w:t>
      </w:r>
      <w:r w:rsidR="009A0C20" w:rsidRPr="008645AC">
        <w:t>th</w:t>
      </w:r>
      <w:r w:rsidR="009A0C20">
        <w:t>e material risks</w:t>
      </w:r>
      <w:r w:rsidR="009A0C20" w:rsidRPr="008645AC">
        <w:t xml:space="preserve"> </w:t>
      </w:r>
      <w:r w:rsidR="009A0C20">
        <w:t>specified</w:t>
      </w:r>
      <w:r w:rsidR="009A0C20" w:rsidRPr="008645AC">
        <w:t xml:space="preserve"> </w:t>
      </w:r>
      <w:r w:rsidRPr="008645AC">
        <w:t xml:space="preserve">in section </w:t>
      </w:r>
      <w:r w:rsidR="007E57EE" w:rsidRPr="008645AC">
        <w:t>8</w:t>
      </w:r>
      <w:r w:rsidR="009A0C20">
        <w:t xml:space="preserve"> of this instrument</w:t>
      </w:r>
      <w:r w:rsidRPr="008645AC">
        <w:t>; and</w:t>
      </w:r>
    </w:p>
    <w:p w14:paraId="68B87099" w14:textId="280CD10E" w:rsidR="00EF484F" w:rsidRPr="008645AC" w:rsidRDefault="00EF484F" w:rsidP="00EF484F">
      <w:pPr>
        <w:pStyle w:val="paragraphsub"/>
      </w:pPr>
      <w:r w:rsidRPr="008645AC">
        <w:tab/>
        <w:t>(ii)</w:t>
      </w:r>
      <w:r w:rsidRPr="008645AC">
        <w:tab/>
        <w:t>mitigate</w:t>
      </w:r>
      <w:r w:rsidR="00536869">
        <w:t>s</w:t>
      </w:r>
      <w:r w:rsidRPr="008645AC">
        <w:t xml:space="preserve"> the relevant impact of each hazard on the </w:t>
      </w:r>
      <w:r w:rsidR="007D711B" w:rsidRPr="008645AC">
        <w:t xml:space="preserve">relevant </w:t>
      </w:r>
      <w:r w:rsidR="00A17951">
        <w:t>critical infrastructure</w:t>
      </w:r>
      <w:r w:rsidR="00A17951" w:rsidRPr="008645AC">
        <w:t xml:space="preserve"> </w:t>
      </w:r>
      <w:r w:rsidR="007D711B" w:rsidRPr="008645AC">
        <w:t>asset</w:t>
      </w:r>
      <w:r w:rsidR="0074438D">
        <w:t>;</w:t>
      </w:r>
    </w:p>
    <w:p w14:paraId="7E52E07F" w14:textId="03D063B6" w:rsidR="00923129" w:rsidRPr="008645AC" w:rsidRDefault="00EF484F" w:rsidP="009D4762">
      <w:pPr>
        <w:pStyle w:val="paragraph"/>
      </w:pPr>
      <w:r w:rsidRPr="008645AC">
        <w:tab/>
        <w:t>(d)</w:t>
      </w:r>
      <w:r w:rsidRPr="008645AC">
        <w:tab/>
      </w:r>
      <w:r w:rsidR="002433A4">
        <w:t xml:space="preserve">includes a mechanism for </w:t>
      </w:r>
      <w:r w:rsidRPr="008645AC">
        <w:t xml:space="preserve">review </w:t>
      </w:r>
      <w:r w:rsidR="00CA3D05">
        <w:t xml:space="preserve">of </w:t>
      </w:r>
      <w:r w:rsidRPr="008645AC">
        <w:t xml:space="preserve">the </w:t>
      </w:r>
      <w:r w:rsidR="007D711B" w:rsidRPr="008645AC">
        <w:t>CI</w:t>
      </w:r>
      <w:r w:rsidR="00C4373B" w:rsidRPr="008645AC">
        <w:t>RMP</w:t>
      </w:r>
      <w:r w:rsidRPr="008645AC">
        <w:t xml:space="preserve"> to ensure compliance with section 30AE of the Act; and</w:t>
      </w:r>
    </w:p>
    <w:p w14:paraId="2425D1C4" w14:textId="09323D79" w:rsidR="00A17951" w:rsidRDefault="00EF484F" w:rsidP="00A17951">
      <w:pPr>
        <w:pStyle w:val="paragraph"/>
      </w:pPr>
      <w:r w:rsidRPr="008645AC">
        <w:tab/>
        <w:t>(e)</w:t>
      </w:r>
      <w:r w:rsidRPr="008645AC">
        <w:tab/>
      </w:r>
      <w:r w:rsidR="00923129">
        <w:t>includes a mechanism for maintaining currency of the</w:t>
      </w:r>
      <w:r w:rsidRPr="008645AC">
        <w:t xml:space="preserve"> </w:t>
      </w:r>
      <w:r w:rsidR="007D711B" w:rsidRPr="008645AC">
        <w:t>CI</w:t>
      </w:r>
      <w:r w:rsidR="00C4373B" w:rsidRPr="008645AC">
        <w:t>RMP</w:t>
      </w:r>
      <w:r w:rsidRPr="008645AC">
        <w:t xml:space="preserve"> to ensure that it complies with section 30AF of the Act.</w:t>
      </w:r>
    </w:p>
    <w:p w14:paraId="7A6B4DB1" w14:textId="74A97621" w:rsidR="003E307B" w:rsidRPr="008645AC" w:rsidRDefault="00B21BB4" w:rsidP="00277133">
      <w:pPr>
        <w:pStyle w:val="ActHead5"/>
      </w:pPr>
      <w:bookmarkStart w:id="13" w:name="_Toc191588693"/>
      <w:r>
        <w:t xml:space="preserve">10  Adopting a </w:t>
      </w:r>
      <w:r w:rsidR="008826F3">
        <w:t>CIRMP</w:t>
      </w:r>
      <w:bookmarkEnd w:id="13"/>
    </w:p>
    <w:p w14:paraId="156011C9" w14:textId="2C95FB7A" w:rsidR="00EF484F" w:rsidRPr="008645AC" w:rsidRDefault="00EF484F" w:rsidP="00EB2EED">
      <w:pPr>
        <w:pStyle w:val="subsection"/>
      </w:pPr>
      <w:r w:rsidRPr="008645AC">
        <w:tab/>
      </w:r>
      <w:r w:rsidRPr="008645AC">
        <w:tab/>
      </w:r>
      <w:r w:rsidR="000929F3" w:rsidRPr="008645AC">
        <w:t xml:space="preserve">For the purposes of </w:t>
      </w:r>
      <w:r w:rsidR="0035304A" w:rsidRPr="008645AC">
        <w:t>sub</w:t>
      </w:r>
      <w:r w:rsidR="000929F3" w:rsidRPr="008645AC">
        <w:t>section 30AKA</w:t>
      </w:r>
      <w:r w:rsidR="0035304A" w:rsidRPr="008645AC">
        <w:t>(1)</w:t>
      </w:r>
      <w:r w:rsidR="000929F3" w:rsidRPr="008645AC">
        <w:t xml:space="preserve"> of the Act, </w:t>
      </w:r>
      <w:r w:rsidR="00A4731A">
        <w:t xml:space="preserve">in deciding </w:t>
      </w:r>
      <w:r w:rsidR="000929F3" w:rsidRPr="008645AC">
        <w:t xml:space="preserve">whether </w:t>
      </w:r>
      <w:r w:rsidR="00A4731A">
        <w:t>to adopt a</w:t>
      </w:r>
      <w:r w:rsidR="000929F3" w:rsidRPr="008645AC">
        <w:t xml:space="preserve"> </w:t>
      </w:r>
      <w:r w:rsidR="007D711B" w:rsidRPr="008645AC">
        <w:t>CI</w:t>
      </w:r>
      <w:r w:rsidR="00C4373B" w:rsidRPr="008645AC">
        <w:t>RMP</w:t>
      </w:r>
      <w:r w:rsidR="00DA5193">
        <w:t xml:space="preserve">, </w:t>
      </w:r>
      <w:r w:rsidR="00DA5193" w:rsidRPr="00DA5193">
        <w:t xml:space="preserve">a responsible entity must have regard to </w:t>
      </w:r>
      <w:r w:rsidR="00DA5193">
        <w:t>whether the CIRMP</w:t>
      </w:r>
      <w:r w:rsidR="000929F3" w:rsidRPr="008645AC">
        <w:t>:</w:t>
      </w:r>
    </w:p>
    <w:p w14:paraId="05FDDCB9" w14:textId="29C8F832" w:rsidR="000929F3" w:rsidRPr="008645AC" w:rsidRDefault="000929F3" w:rsidP="000929F3">
      <w:pPr>
        <w:pStyle w:val="paragraph"/>
      </w:pPr>
      <w:r w:rsidRPr="008645AC">
        <w:tab/>
        <w:t>(a)</w:t>
      </w:r>
      <w:r w:rsidRPr="008645AC">
        <w:tab/>
        <w:t xml:space="preserve">describes the outcome of the process or system </w:t>
      </w:r>
      <w:r w:rsidR="00182F10">
        <w:t>covered by</w:t>
      </w:r>
      <w:r w:rsidR="00182F10" w:rsidRPr="008645AC">
        <w:t xml:space="preserve"> </w:t>
      </w:r>
      <w:r w:rsidR="00A23DDC">
        <w:t>paragraph</w:t>
      </w:r>
      <w:r w:rsidRPr="008645AC">
        <w:t xml:space="preserve"> </w:t>
      </w:r>
      <w:r w:rsidR="00A4731A">
        <w:t>9</w:t>
      </w:r>
      <w:r w:rsidR="00A23DDC">
        <w:t>(a)</w:t>
      </w:r>
      <w:r w:rsidRPr="008645AC">
        <w:t>;</w:t>
      </w:r>
    </w:p>
    <w:p w14:paraId="4B3674AF" w14:textId="2A39D86C" w:rsidR="000929F3" w:rsidRPr="008645AC" w:rsidRDefault="000929F3" w:rsidP="000929F3">
      <w:pPr>
        <w:pStyle w:val="paragraph"/>
      </w:pPr>
      <w:r w:rsidRPr="008645AC">
        <w:tab/>
        <w:t>(b)</w:t>
      </w:r>
      <w:r w:rsidRPr="008645AC">
        <w:tab/>
        <w:t xml:space="preserve">describes the interdependencies between the entity’s </w:t>
      </w:r>
      <w:r w:rsidR="000F21A1" w:rsidRPr="008645AC">
        <w:t>r</w:t>
      </w:r>
      <w:r w:rsidR="007D711B" w:rsidRPr="008645AC">
        <w:t xml:space="preserve">elevant </w:t>
      </w:r>
      <w:r w:rsidR="00A4731A">
        <w:t>c</w:t>
      </w:r>
      <w:r w:rsidR="00575FC7">
        <w:t>ritical infrastructure asset</w:t>
      </w:r>
      <w:r w:rsidR="00063CCA" w:rsidRPr="008645AC">
        <w:t>s</w:t>
      </w:r>
      <w:r w:rsidRPr="008645AC">
        <w:t xml:space="preserve"> and other </w:t>
      </w:r>
      <w:r w:rsidR="000F21A1" w:rsidRPr="008645AC">
        <w:t>r</w:t>
      </w:r>
      <w:r w:rsidR="007D711B" w:rsidRPr="008645AC">
        <w:t xml:space="preserve">elevant </w:t>
      </w:r>
      <w:r w:rsidR="00A4731A">
        <w:t>c</w:t>
      </w:r>
      <w:r w:rsidR="00575FC7">
        <w:t>ritical infrastructure asset</w:t>
      </w:r>
      <w:r w:rsidR="00063CCA" w:rsidRPr="008645AC">
        <w:t>s</w:t>
      </w:r>
      <w:r w:rsidRPr="008645AC">
        <w:t>;</w:t>
      </w:r>
    </w:p>
    <w:p w14:paraId="3276F79C" w14:textId="0830656E" w:rsidR="000929F3" w:rsidRPr="008645AC" w:rsidRDefault="000929F3" w:rsidP="000929F3">
      <w:pPr>
        <w:pStyle w:val="paragraph"/>
      </w:pPr>
      <w:r w:rsidRPr="008645AC">
        <w:tab/>
        <w:t>(c)</w:t>
      </w:r>
      <w:r w:rsidRPr="008645AC">
        <w:tab/>
      </w:r>
      <w:r w:rsidR="00A4731A" w:rsidRPr="008645AC">
        <w:t>identifi</w:t>
      </w:r>
      <w:r w:rsidR="00A4731A">
        <w:t>cation of</w:t>
      </w:r>
      <w:r w:rsidR="00A4731A" w:rsidRPr="008645AC">
        <w:t xml:space="preserve"> </w:t>
      </w:r>
      <w:r w:rsidRPr="008645AC">
        <w:t>each position in the entity:</w:t>
      </w:r>
    </w:p>
    <w:p w14:paraId="3F483FA6" w14:textId="1BBA37F4" w:rsidR="00D032D9" w:rsidRPr="008645AC" w:rsidRDefault="00D032D9" w:rsidP="00D032D9">
      <w:pPr>
        <w:pStyle w:val="paragraphsub"/>
      </w:pPr>
      <w:r w:rsidRPr="008645AC">
        <w:tab/>
        <w:t>(i)</w:t>
      </w:r>
      <w:r w:rsidRPr="008645AC">
        <w:tab/>
        <w:t>that is responsible for de</w:t>
      </w:r>
      <w:r w:rsidR="00C4373B" w:rsidRPr="008645AC">
        <w:t xml:space="preserve">veloping and implementing the </w:t>
      </w:r>
      <w:r w:rsidR="007D711B" w:rsidRPr="008645AC">
        <w:t>CI</w:t>
      </w:r>
      <w:r w:rsidR="00C4373B" w:rsidRPr="008645AC">
        <w:t>RMP</w:t>
      </w:r>
      <w:r w:rsidRPr="008645AC">
        <w:t>; and</w:t>
      </w:r>
    </w:p>
    <w:p w14:paraId="48B6F451" w14:textId="1165F6A7" w:rsidR="00D032D9" w:rsidRPr="008645AC" w:rsidRDefault="00D032D9" w:rsidP="00D032D9">
      <w:pPr>
        <w:pStyle w:val="paragraphsub"/>
      </w:pPr>
      <w:r w:rsidRPr="008645AC">
        <w:tab/>
        <w:t>(ii)</w:t>
      </w:r>
      <w:r w:rsidRPr="008645AC">
        <w:tab/>
        <w:t xml:space="preserve">for the processes mentioned in paragraph </w:t>
      </w:r>
      <w:r w:rsidR="00A4731A">
        <w:t>9</w:t>
      </w:r>
      <w:r w:rsidRPr="008645AC">
        <w:t>(d)</w:t>
      </w:r>
      <w:r w:rsidR="00182F10">
        <w:t>—</w:t>
      </w:r>
      <w:r w:rsidRPr="008645AC">
        <w:t xml:space="preserve">that is responsible for reviewing the </w:t>
      </w:r>
      <w:r w:rsidR="007D711B" w:rsidRPr="008645AC">
        <w:t>CI</w:t>
      </w:r>
      <w:r w:rsidR="00C4373B" w:rsidRPr="008645AC">
        <w:t>RMP</w:t>
      </w:r>
      <w:r w:rsidRPr="008645AC">
        <w:t xml:space="preserve"> or keeping the </w:t>
      </w:r>
      <w:r w:rsidR="007D711B" w:rsidRPr="008645AC">
        <w:t>CI</w:t>
      </w:r>
      <w:r w:rsidR="00C4373B" w:rsidRPr="008645AC">
        <w:t>RMP</w:t>
      </w:r>
      <w:r w:rsidRPr="008645AC">
        <w:t xml:space="preserve"> up to date;</w:t>
      </w:r>
    </w:p>
    <w:p w14:paraId="146476D2" w14:textId="710F7C92" w:rsidR="000929F3" w:rsidRPr="008645AC" w:rsidRDefault="000929F3" w:rsidP="000929F3">
      <w:pPr>
        <w:pStyle w:val="paragraph"/>
      </w:pPr>
      <w:r w:rsidRPr="008645AC">
        <w:tab/>
        <w:t>(d)</w:t>
      </w:r>
      <w:r w:rsidRPr="008645AC">
        <w:tab/>
        <w:t xml:space="preserve">contains the contact details for the </w:t>
      </w:r>
      <w:r w:rsidR="00182F10">
        <w:t xml:space="preserve">occupant of the </w:t>
      </w:r>
      <w:r w:rsidRPr="008645AC">
        <w:t xml:space="preserve">positions </w:t>
      </w:r>
      <w:r w:rsidR="00182F10">
        <w:t>covered by</w:t>
      </w:r>
      <w:r w:rsidRPr="008645AC">
        <w:t xml:space="preserve"> paragraph (c);</w:t>
      </w:r>
    </w:p>
    <w:p w14:paraId="3734D7C8" w14:textId="5074A483" w:rsidR="00D032D9" w:rsidRPr="008645AC" w:rsidRDefault="00D032D9" w:rsidP="000929F3">
      <w:pPr>
        <w:pStyle w:val="paragraph"/>
      </w:pPr>
      <w:r w:rsidRPr="008645AC">
        <w:tab/>
        <w:t>(e)</w:t>
      </w:r>
      <w:r w:rsidRPr="008645AC">
        <w:tab/>
      </w:r>
      <w:r w:rsidR="00785294">
        <w:t xml:space="preserve">contains a </w:t>
      </w:r>
      <w:r w:rsidRPr="008645AC">
        <w:t>risk management methodology; and</w:t>
      </w:r>
    </w:p>
    <w:p w14:paraId="41C329D5" w14:textId="3B8174FC" w:rsidR="00D032D9" w:rsidRPr="004A7128" w:rsidRDefault="00D032D9" w:rsidP="000929F3">
      <w:pPr>
        <w:pStyle w:val="paragraph"/>
      </w:pPr>
      <w:r w:rsidRPr="008645AC">
        <w:tab/>
        <w:t>(f)</w:t>
      </w:r>
      <w:r w:rsidRPr="008645AC">
        <w:tab/>
        <w:t xml:space="preserve">describes the circumstances in which the entity will review the </w:t>
      </w:r>
      <w:r w:rsidR="007D711B" w:rsidRPr="008645AC">
        <w:t>CI</w:t>
      </w:r>
      <w:r w:rsidR="00C4373B" w:rsidRPr="008645AC">
        <w:t>RMP</w:t>
      </w:r>
      <w:r w:rsidRPr="008645AC">
        <w:t>.</w:t>
      </w:r>
    </w:p>
    <w:p w14:paraId="4E3046FC" w14:textId="39E5E50D" w:rsidR="000929F3" w:rsidRDefault="008826F3" w:rsidP="00D032D9">
      <w:pPr>
        <w:pStyle w:val="ActHead5"/>
      </w:pPr>
      <w:bookmarkStart w:id="14" w:name="_Toc191588694"/>
      <w:r>
        <w:t xml:space="preserve">11  </w:t>
      </w:r>
      <w:r w:rsidR="00D032D9" w:rsidRPr="004A7128">
        <w:t>Cyber and information security hazards</w:t>
      </w:r>
      <w:bookmarkEnd w:id="14"/>
    </w:p>
    <w:p w14:paraId="66022096" w14:textId="0C6F14CA" w:rsidR="00D032D9" w:rsidRPr="004A7128" w:rsidRDefault="00D032D9" w:rsidP="00D032D9">
      <w:pPr>
        <w:pStyle w:val="subsection"/>
      </w:pPr>
      <w:r>
        <w:tab/>
        <w:t>(1)</w:t>
      </w:r>
      <w:r>
        <w:tab/>
      </w:r>
      <w:r w:rsidRPr="004A7128">
        <w:t xml:space="preserve">For the purpose of paragraph 30AH(1)(c) of the Act, subsections (2), (3) and (4) </w:t>
      </w:r>
      <w:r w:rsidR="009E3D2D" w:rsidRPr="004A7128">
        <w:t>specif</w:t>
      </w:r>
      <w:r w:rsidR="009E3D2D">
        <w:t>y</w:t>
      </w:r>
      <w:r w:rsidR="009A0C20">
        <w:t xml:space="preserve"> </w:t>
      </w:r>
      <w:r w:rsidR="009D4762">
        <w:t>additional</w:t>
      </w:r>
      <w:r w:rsidR="009D4762" w:rsidRPr="004A7128">
        <w:t xml:space="preserve"> </w:t>
      </w:r>
      <w:r w:rsidRPr="004A7128">
        <w:t xml:space="preserve">requirements for </w:t>
      </w:r>
      <w:r w:rsidR="00A17951">
        <w:t xml:space="preserve">CIRMP </w:t>
      </w:r>
      <w:r w:rsidR="001E13C5">
        <w:t>with respect to</w:t>
      </w:r>
      <w:r w:rsidR="00A17951">
        <w:t xml:space="preserve"> </w:t>
      </w:r>
      <w:r w:rsidRPr="004A7128">
        <w:t>cyber and information security hazards.</w:t>
      </w:r>
    </w:p>
    <w:p w14:paraId="7810468E" w14:textId="4754FAFE" w:rsidR="00D032D9" w:rsidRPr="004A7128" w:rsidRDefault="00D032D9" w:rsidP="00D032D9">
      <w:pPr>
        <w:pStyle w:val="subsection"/>
      </w:pPr>
      <w:r w:rsidRPr="004A7128">
        <w:tab/>
        <w:t>(2)</w:t>
      </w:r>
      <w:r w:rsidRPr="004A7128">
        <w:tab/>
      </w:r>
      <w:r w:rsidR="001E13C5">
        <w:t xml:space="preserve">A CIRMP is required to include </w:t>
      </w:r>
      <w:r w:rsidRPr="004A7128">
        <w:t xml:space="preserve">a process or system </w:t>
      </w:r>
      <w:r w:rsidR="001E13C5">
        <w:t>that,</w:t>
      </w:r>
      <w:r w:rsidRPr="004A7128">
        <w:t xml:space="preserve"> as far as it is reasonably practicable</w:t>
      </w:r>
      <w:r w:rsidR="001E13C5">
        <w:t>, would</w:t>
      </w:r>
      <w:r w:rsidRPr="004A7128">
        <w:t>:</w:t>
      </w:r>
    </w:p>
    <w:p w14:paraId="3E8D52EB" w14:textId="700316D6" w:rsidR="00464191" w:rsidRPr="004A7128" w:rsidRDefault="00464191" w:rsidP="00464191">
      <w:pPr>
        <w:pStyle w:val="paragraph"/>
      </w:pPr>
      <w:r w:rsidRPr="004A7128">
        <w:tab/>
        <w:t>(a)</w:t>
      </w:r>
      <w:r w:rsidRPr="004A7128">
        <w:tab/>
        <w:t>minimise or eliminate any material risk of a cyber and information security hazard occurring; and</w:t>
      </w:r>
    </w:p>
    <w:p w14:paraId="419009E0" w14:textId="501210A5" w:rsidR="00464191" w:rsidRPr="004A7128" w:rsidRDefault="00464191" w:rsidP="00464191">
      <w:pPr>
        <w:pStyle w:val="paragraph"/>
      </w:pPr>
      <w:r w:rsidRPr="004A7128">
        <w:tab/>
        <w:t>(b)</w:t>
      </w:r>
      <w:r w:rsidRPr="004A7128">
        <w:tab/>
        <w:t xml:space="preserve">mitigate the relevant impact of a cyber and information security hazard on the </w:t>
      </w:r>
      <w:r w:rsidR="007D711B" w:rsidRPr="004A7128">
        <w:t xml:space="preserve">relevant </w:t>
      </w:r>
      <w:r w:rsidR="009A0C20">
        <w:t>c</w:t>
      </w:r>
      <w:r w:rsidR="00575FC7">
        <w:t>ritical infrastructure asset</w:t>
      </w:r>
      <w:r w:rsidRPr="004A7128">
        <w:t>.</w:t>
      </w:r>
      <w:r w:rsidR="00996B9D" w:rsidRPr="00996B9D">
        <w:rPr>
          <w:noProof/>
          <w:sz w:val="20"/>
        </w:rPr>
        <w:t xml:space="preserve"> </w:t>
      </w:r>
    </w:p>
    <w:p w14:paraId="02D7937A" w14:textId="243D66A5" w:rsidR="002601DE" w:rsidRPr="00996B9D" w:rsidRDefault="005F266B" w:rsidP="002601DE">
      <w:pPr>
        <w:pStyle w:val="SubsectionHead"/>
      </w:pPr>
      <w:r w:rsidRPr="00996B9D">
        <w:lastRenderedPageBreak/>
        <w:t>All relevant critical infrastructure assets</w:t>
      </w:r>
    </w:p>
    <w:p w14:paraId="1114BD35" w14:textId="4CCCECFF" w:rsidR="002601DE" w:rsidRPr="004A7128" w:rsidRDefault="002601DE" w:rsidP="002601DE">
      <w:pPr>
        <w:pStyle w:val="subsection"/>
      </w:pPr>
      <w:r w:rsidRPr="004A7128">
        <w:tab/>
      </w:r>
      <w:r w:rsidR="00D47B2B" w:rsidRPr="004A7128">
        <w:t>(3</w:t>
      </w:r>
      <w:r w:rsidRPr="004A7128">
        <w:t>)</w:t>
      </w:r>
      <w:r w:rsidRPr="004A7128">
        <w:tab/>
        <w:t xml:space="preserve">A </w:t>
      </w:r>
      <w:r w:rsidR="007D711B" w:rsidRPr="004A7128">
        <w:t>CI</w:t>
      </w:r>
      <w:r w:rsidR="00C4373B" w:rsidRPr="004A7128">
        <w:t>RMP</w:t>
      </w:r>
      <w:r w:rsidR="00734120">
        <w:t xml:space="preserve"> for a relevant critical infrastructure asset</w:t>
      </w:r>
      <w:r w:rsidRPr="004A7128">
        <w:t xml:space="preserve"> </w:t>
      </w:r>
      <w:r w:rsidR="00EA3B4C">
        <w:t xml:space="preserve">is required to include a process or system </w:t>
      </w:r>
      <w:r w:rsidRPr="004A7128">
        <w:t>to:</w:t>
      </w:r>
    </w:p>
    <w:p w14:paraId="146C0DAA" w14:textId="46D01F5B" w:rsidR="002601DE" w:rsidRPr="004A7128" w:rsidRDefault="002601DE" w:rsidP="002601DE">
      <w:pPr>
        <w:pStyle w:val="paragraph"/>
      </w:pPr>
      <w:r w:rsidRPr="004A7128">
        <w:tab/>
        <w:t>(a)</w:t>
      </w:r>
      <w:r w:rsidRPr="004A7128">
        <w:tab/>
        <w:t>comply with a framework contained in a document mentioned in the following table as in force from time to time;</w:t>
      </w:r>
    </w:p>
    <w:p w14:paraId="2278F91A" w14:textId="116CBBC0" w:rsidR="002601DE" w:rsidRDefault="002601DE" w:rsidP="00EB3D68">
      <w:pPr>
        <w:pStyle w:val="paragraph"/>
      </w:pPr>
      <w:r w:rsidRPr="004A7128">
        <w:tab/>
        <w:t>(b)</w:t>
      </w:r>
      <w:r w:rsidRPr="004A7128">
        <w:tab/>
        <w:t xml:space="preserve">meet any conditions </w:t>
      </w:r>
      <w:r w:rsidR="002A1314">
        <w:t>in the same item as the document mentioned</w:t>
      </w:r>
      <w:r w:rsidR="00EA3B4C">
        <w:t xml:space="preserve"> </w:t>
      </w:r>
      <w:r w:rsidR="007574C9" w:rsidRPr="004A7128">
        <w:t xml:space="preserve">the </w:t>
      </w:r>
      <w:r w:rsidR="00EA3B4C">
        <w:t xml:space="preserve">following </w:t>
      </w:r>
      <w:r w:rsidR="007574C9" w:rsidRPr="004A7128">
        <w:t>table within 12 months after the end of the applicable period mentioned in subsec</w:t>
      </w:r>
      <w:r w:rsidR="007E57EE" w:rsidRPr="004A7128">
        <w:t xml:space="preserve">tion </w:t>
      </w:r>
      <w:r w:rsidR="00CE2600">
        <w:t>7(2)</w:t>
      </w:r>
      <w:r w:rsidR="007574C9" w:rsidRPr="004A7128">
        <w:t>.</w:t>
      </w:r>
    </w:p>
    <w:p w14:paraId="66F12C11" w14:textId="3ACF68FE" w:rsidR="00795890" w:rsidRPr="004A7128" w:rsidRDefault="00795890" w:rsidP="00277133">
      <w:pPr>
        <w:pStyle w:val="Tabletext"/>
      </w:pPr>
    </w:p>
    <w:tbl>
      <w:tblPr>
        <w:tblStyle w:val="CFlag"/>
        <w:tblW w:w="0" w:type="auto"/>
        <w:tblBorders>
          <w:bottom w:val="single" w:sz="4" w:space="0" w:color="auto"/>
          <w:insideH w:val="single" w:sz="4" w:space="0" w:color="auto"/>
        </w:tblBorders>
        <w:tblLook w:val="04A0" w:firstRow="1" w:lastRow="0" w:firstColumn="1" w:lastColumn="0" w:noHBand="0" w:noVBand="1"/>
      </w:tblPr>
      <w:tblGrid>
        <w:gridCol w:w="1134"/>
        <w:gridCol w:w="3402"/>
        <w:gridCol w:w="3767"/>
      </w:tblGrid>
      <w:tr w:rsidR="00D47B2B" w:rsidRPr="004A7128" w14:paraId="56B82637" w14:textId="77777777" w:rsidTr="00EB3D68">
        <w:tc>
          <w:tcPr>
            <w:tcW w:w="1134" w:type="dxa"/>
          </w:tcPr>
          <w:p w14:paraId="3810987D" w14:textId="3E735D4F" w:rsidR="00D47B2B" w:rsidRPr="00BF0FD3" w:rsidRDefault="00D47B2B" w:rsidP="00D47B2B">
            <w:pPr>
              <w:pStyle w:val="Tablea"/>
              <w:rPr>
                <w:b/>
              </w:rPr>
            </w:pPr>
            <w:r w:rsidRPr="00BF0FD3">
              <w:rPr>
                <w:b/>
              </w:rPr>
              <w:t>Item</w:t>
            </w:r>
          </w:p>
        </w:tc>
        <w:tc>
          <w:tcPr>
            <w:tcW w:w="3402" w:type="dxa"/>
          </w:tcPr>
          <w:p w14:paraId="6FB6D2B7" w14:textId="629ABCBF" w:rsidR="00D47B2B" w:rsidRPr="00BF0FD3" w:rsidRDefault="00D47B2B" w:rsidP="00D47B2B">
            <w:pPr>
              <w:pStyle w:val="Tabletext"/>
              <w:rPr>
                <w:b/>
              </w:rPr>
            </w:pPr>
            <w:r w:rsidRPr="00BF0FD3">
              <w:rPr>
                <w:b/>
              </w:rPr>
              <w:t>Document</w:t>
            </w:r>
          </w:p>
        </w:tc>
        <w:tc>
          <w:tcPr>
            <w:tcW w:w="3767" w:type="dxa"/>
          </w:tcPr>
          <w:p w14:paraId="53BEB87B" w14:textId="3C855C70" w:rsidR="00D47B2B" w:rsidRPr="00BF0FD3" w:rsidRDefault="00D47B2B" w:rsidP="00D47B2B">
            <w:pPr>
              <w:pStyle w:val="Tabletext"/>
              <w:rPr>
                <w:b/>
              </w:rPr>
            </w:pPr>
            <w:r w:rsidRPr="00BF0FD3">
              <w:rPr>
                <w:b/>
              </w:rPr>
              <w:t>Condition</w:t>
            </w:r>
          </w:p>
        </w:tc>
      </w:tr>
      <w:tr w:rsidR="00D47B2B" w:rsidRPr="004A7128" w14:paraId="5D3F9616" w14:textId="77777777" w:rsidTr="00EB3D68">
        <w:tc>
          <w:tcPr>
            <w:tcW w:w="1134" w:type="dxa"/>
          </w:tcPr>
          <w:p w14:paraId="719EFC85" w14:textId="14225B93" w:rsidR="00D47B2B" w:rsidRPr="004A7128" w:rsidRDefault="00D47B2B" w:rsidP="00D47B2B">
            <w:pPr>
              <w:pStyle w:val="Tabletext"/>
            </w:pPr>
            <w:r w:rsidRPr="004A7128">
              <w:t>1</w:t>
            </w:r>
          </w:p>
        </w:tc>
        <w:tc>
          <w:tcPr>
            <w:tcW w:w="3402" w:type="dxa"/>
          </w:tcPr>
          <w:p w14:paraId="7B4A73C6" w14:textId="136B5CC4" w:rsidR="00D47B2B" w:rsidRPr="004A7128" w:rsidRDefault="00D47B2B" w:rsidP="00D47B2B">
            <w:pPr>
              <w:pStyle w:val="Tabletext"/>
            </w:pPr>
            <w:r w:rsidRPr="004A7128">
              <w:t>Australian Standard AS</w:t>
            </w:r>
            <w:r w:rsidR="00961DCB">
              <w:t>/NZS</w:t>
            </w:r>
            <w:r w:rsidRPr="004A7128">
              <w:t xml:space="preserve"> ISO/IEC 27001:20</w:t>
            </w:r>
            <w:r w:rsidR="00961DCB">
              <w:t>23</w:t>
            </w:r>
          </w:p>
        </w:tc>
        <w:tc>
          <w:tcPr>
            <w:tcW w:w="3767" w:type="dxa"/>
          </w:tcPr>
          <w:p w14:paraId="72485DB3" w14:textId="77777777" w:rsidR="00D47B2B" w:rsidRPr="004A7128" w:rsidRDefault="00D47B2B" w:rsidP="00D47B2B">
            <w:pPr>
              <w:pStyle w:val="Tabletext"/>
            </w:pPr>
          </w:p>
        </w:tc>
      </w:tr>
      <w:tr w:rsidR="00D47B2B" w:rsidRPr="004A7128" w14:paraId="69C5EBCF" w14:textId="77777777" w:rsidTr="00EB3D68">
        <w:tc>
          <w:tcPr>
            <w:tcW w:w="1134" w:type="dxa"/>
          </w:tcPr>
          <w:p w14:paraId="6B6D9FC8" w14:textId="0D941092" w:rsidR="00D47B2B" w:rsidRPr="004A7128" w:rsidRDefault="00D47B2B" w:rsidP="00D47B2B">
            <w:pPr>
              <w:pStyle w:val="Tabletext"/>
            </w:pPr>
            <w:r w:rsidRPr="004A7128">
              <w:t>2</w:t>
            </w:r>
          </w:p>
        </w:tc>
        <w:tc>
          <w:tcPr>
            <w:tcW w:w="3402" w:type="dxa"/>
          </w:tcPr>
          <w:p w14:paraId="6797BB08" w14:textId="524B7AEA" w:rsidR="00D47B2B" w:rsidRPr="004A7128" w:rsidRDefault="00D47B2B" w:rsidP="00D47B2B">
            <w:pPr>
              <w:pStyle w:val="Tabletext"/>
            </w:pPr>
            <w:r w:rsidRPr="004A7128">
              <w:t>Essential Eight Maturity Model published by the Australian Signals Directorate</w:t>
            </w:r>
          </w:p>
        </w:tc>
        <w:tc>
          <w:tcPr>
            <w:tcW w:w="3767" w:type="dxa"/>
          </w:tcPr>
          <w:p w14:paraId="42EF1A04" w14:textId="1BB43FF5" w:rsidR="00D47B2B" w:rsidRPr="004A7128" w:rsidRDefault="00D47B2B" w:rsidP="00D47B2B">
            <w:pPr>
              <w:pStyle w:val="Tabletext"/>
            </w:pPr>
            <w:r w:rsidRPr="004A7128">
              <w:t>Meet maturity level one as indicated in the document</w:t>
            </w:r>
          </w:p>
        </w:tc>
      </w:tr>
      <w:tr w:rsidR="00D47B2B" w:rsidRPr="004A7128" w14:paraId="31AEDF09" w14:textId="77777777" w:rsidTr="00EB3D68">
        <w:tc>
          <w:tcPr>
            <w:tcW w:w="1134" w:type="dxa"/>
          </w:tcPr>
          <w:p w14:paraId="68F454AA" w14:textId="45F6B1A1" w:rsidR="00D47B2B" w:rsidRPr="004A7128" w:rsidRDefault="00D47B2B" w:rsidP="00D47B2B">
            <w:pPr>
              <w:pStyle w:val="Tabletext"/>
            </w:pPr>
            <w:r w:rsidRPr="004A7128">
              <w:t>3</w:t>
            </w:r>
          </w:p>
        </w:tc>
        <w:tc>
          <w:tcPr>
            <w:tcW w:w="3402" w:type="dxa"/>
          </w:tcPr>
          <w:p w14:paraId="0060F041" w14:textId="7F4D3396" w:rsidR="00D47B2B" w:rsidRPr="004A7128" w:rsidRDefault="00D47B2B" w:rsidP="00D47B2B">
            <w:pPr>
              <w:pStyle w:val="Tabletext"/>
            </w:pPr>
            <w:r w:rsidRPr="004A7128">
              <w:rPr>
                <w:iCs/>
                <w:color w:val="000000" w:themeColor="text1"/>
              </w:rPr>
              <w:t>Framework for Improving Critical Infrastructure Cybersecurity</w:t>
            </w:r>
            <w:r w:rsidRPr="004A7128">
              <w:rPr>
                <w:color w:val="000000" w:themeColor="text1"/>
              </w:rPr>
              <w:t> published by the National Institute of Standards and Technology of the United States of America</w:t>
            </w:r>
          </w:p>
        </w:tc>
        <w:tc>
          <w:tcPr>
            <w:tcW w:w="3767" w:type="dxa"/>
          </w:tcPr>
          <w:p w14:paraId="21ED8FB5" w14:textId="77777777" w:rsidR="00D47B2B" w:rsidRPr="004A7128" w:rsidRDefault="00D47B2B" w:rsidP="00D47B2B">
            <w:pPr>
              <w:pStyle w:val="Tabletext"/>
            </w:pPr>
          </w:p>
        </w:tc>
      </w:tr>
      <w:tr w:rsidR="00D47B2B" w:rsidRPr="004A7128" w14:paraId="79D87FEE" w14:textId="77777777" w:rsidTr="00EB3D68">
        <w:tc>
          <w:tcPr>
            <w:tcW w:w="1134" w:type="dxa"/>
          </w:tcPr>
          <w:p w14:paraId="1CAF1AB0" w14:textId="3C7E6278" w:rsidR="00D47B2B" w:rsidRPr="004A7128" w:rsidRDefault="00D47B2B" w:rsidP="00D47B2B">
            <w:pPr>
              <w:pStyle w:val="Tabletext"/>
            </w:pPr>
            <w:r w:rsidRPr="004A7128">
              <w:t>4</w:t>
            </w:r>
          </w:p>
        </w:tc>
        <w:tc>
          <w:tcPr>
            <w:tcW w:w="3402" w:type="dxa"/>
          </w:tcPr>
          <w:p w14:paraId="049F912E" w14:textId="5F69F986" w:rsidR="00D47B2B" w:rsidRPr="004A7128" w:rsidRDefault="00D47B2B" w:rsidP="00D47B2B">
            <w:pPr>
              <w:pStyle w:val="Tabletext"/>
            </w:pPr>
            <w:r w:rsidRPr="004A7128">
              <w:rPr>
                <w:iCs/>
                <w:color w:val="000000" w:themeColor="text1"/>
              </w:rPr>
              <w:t>Cybersecurity Capability Maturity Model</w:t>
            </w:r>
            <w:r w:rsidRPr="004A7128">
              <w:rPr>
                <w:color w:val="000000" w:themeColor="text1"/>
              </w:rPr>
              <w:t> published by the Department of Energy of the United States of America</w:t>
            </w:r>
          </w:p>
        </w:tc>
        <w:tc>
          <w:tcPr>
            <w:tcW w:w="3767" w:type="dxa"/>
          </w:tcPr>
          <w:p w14:paraId="789150DF" w14:textId="2896ED6D" w:rsidR="00D47B2B" w:rsidRPr="004A7128" w:rsidRDefault="00D47B2B" w:rsidP="00D47B2B">
            <w:pPr>
              <w:pStyle w:val="Tabletext"/>
            </w:pPr>
            <w:r w:rsidRPr="004A7128">
              <w:t>Meet maturity level one as indicated in the document</w:t>
            </w:r>
          </w:p>
        </w:tc>
      </w:tr>
      <w:tr w:rsidR="00D47B2B" w:rsidRPr="004A7128" w14:paraId="5E0DB76C" w14:textId="77777777" w:rsidTr="00EB3D68">
        <w:tc>
          <w:tcPr>
            <w:tcW w:w="1134" w:type="dxa"/>
          </w:tcPr>
          <w:p w14:paraId="6D98247D" w14:textId="76305E07" w:rsidR="00D47B2B" w:rsidRPr="004A7128" w:rsidRDefault="00D47B2B" w:rsidP="00D47B2B">
            <w:pPr>
              <w:pStyle w:val="Tabletext"/>
            </w:pPr>
            <w:r w:rsidRPr="004A7128">
              <w:t>5</w:t>
            </w:r>
          </w:p>
        </w:tc>
        <w:tc>
          <w:tcPr>
            <w:tcW w:w="3402" w:type="dxa"/>
          </w:tcPr>
          <w:p w14:paraId="00BCD2C3" w14:textId="10C8B3F9" w:rsidR="00D47B2B" w:rsidRPr="004A7128" w:rsidRDefault="00D47B2B" w:rsidP="00D47B2B">
            <w:pPr>
              <w:pStyle w:val="Tabletext"/>
              <w:rPr>
                <w:iCs/>
                <w:color w:val="000000" w:themeColor="text1"/>
              </w:rPr>
            </w:pPr>
            <w:r w:rsidRPr="004A7128">
              <w:rPr>
                <w:iCs/>
                <w:color w:val="000000" w:themeColor="text1"/>
              </w:rPr>
              <w:t>The 2020‑21 AESCSF Framework Core published by Australian Energy Market Operator Limited (ACN 072 010 327)</w:t>
            </w:r>
          </w:p>
        </w:tc>
        <w:tc>
          <w:tcPr>
            <w:tcW w:w="3767" w:type="dxa"/>
          </w:tcPr>
          <w:p w14:paraId="66EE4659" w14:textId="0E689F0E" w:rsidR="00D47B2B" w:rsidRPr="004A7128" w:rsidRDefault="00D47B2B" w:rsidP="00D47B2B">
            <w:pPr>
              <w:pStyle w:val="Tabletext"/>
            </w:pPr>
            <w:r w:rsidRPr="004A7128">
              <w:t>Meet security profile one as indicated in the document</w:t>
            </w:r>
          </w:p>
        </w:tc>
      </w:tr>
    </w:tbl>
    <w:p w14:paraId="4F8AE35C" w14:textId="46E810C5" w:rsidR="008C798E" w:rsidRPr="004A7128" w:rsidRDefault="000A0488" w:rsidP="000A0488">
      <w:pPr>
        <w:pStyle w:val="notetext"/>
      </w:pPr>
      <w:r w:rsidRPr="004A7128">
        <w:t>Note</w:t>
      </w:r>
      <w:r w:rsidRPr="004A7128">
        <w:tab/>
        <w:t>Sections 30AN and 30ANA of the Act provide for the incorporation of the documents mentioned in this subsection as in force from time to time.</w:t>
      </w:r>
    </w:p>
    <w:p w14:paraId="4920F7F2" w14:textId="59AE9DB8" w:rsidR="000A0488" w:rsidRPr="00996B9D" w:rsidRDefault="005F266B" w:rsidP="000A0488">
      <w:pPr>
        <w:pStyle w:val="SubsectionHead"/>
      </w:pPr>
      <w:r w:rsidRPr="00996B9D">
        <w:t>Assets owned or operated by c</w:t>
      </w:r>
      <w:r w:rsidR="000A0488" w:rsidRPr="00996B9D">
        <w:t>arriers</w:t>
      </w:r>
    </w:p>
    <w:p w14:paraId="10D4D72F" w14:textId="2AEA73C2" w:rsidR="000A0488" w:rsidRPr="004A7128" w:rsidRDefault="000A0488" w:rsidP="000A0488">
      <w:pPr>
        <w:pStyle w:val="subsection"/>
      </w:pPr>
      <w:r w:rsidRPr="004A7128">
        <w:tab/>
      </w:r>
      <w:r w:rsidRPr="00D52DF8">
        <w:t>(4)</w:t>
      </w:r>
      <w:r w:rsidRPr="00D52DF8">
        <w:tab/>
        <w:t xml:space="preserve">A </w:t>
      </w:r>
      <w:r w:rsidR="00621200">
        <w:t xml:space="preserve">CIRMP </w:t>
      </w:r>
      <w:r w:rsidRPr="00D52DF8">
        <w:t>for a critical telecommunications asset that is owned or operated by a carrier</w:t>
      </w:r>
      <w:r w:rsidR="00734120">
        <w:t xml:space="preserve"> is required to</w:t>
      </w:r>
      <w:r w:rsidRPr="00D52DF8">
        <w:t xml:space="preserve"> </w:t>
      </w:r>
      <w:r w:rsidR="00621200">
        <w:t>in</w:t>
      </w:r>
      <w:r w:rsidR="00F559C1">
        <w:t>cl</w:t>
      </w:r>
      <w:r w:rsidR="00621200">
        <w:t>ude</w:t>
      </w:r>
      <w:r w:rsidRPr="00D52DF8">
        <w:t xml:space="preserve"> a process or system</w:t>
      </w:r>
      <w:r w:rsidR="00734120">
        <w:t xml:space="preserve"> </w:t>
      </w:r>
      <w:r w:rsidRPr="00D52DF8">
        <w:t>to:</w:t>
      </w:r>
    </w:p>
    <w:p w14:paraId="504FD880" w14:textId="6AB71C53" w:rsidR="000A0488" w:rsidRPr="004A7128" w:rsidRDefault="000A0488" w:rsidP="000A0488">
      <w:pPr>
        <w:pStyle w:val="paragraph"/>
      </w:pPr>
      <w:r w:rsidRPr="004A7128">
        <w:tab/>
        <w:t>(a)</w:t>
      </w:r>
      <w:r w:rsidRPr="004A7128">
        <w:tab/>
        <w:t>comply with a framework contained in a document mentioned in the following table</w:t>
      </w:r>
      <w:r w:rsidR="009E3D2D">
        <w:t xml:space="preserve"> </w:t>
      </w:r>
      <w:r w:rsidRPr="004A7128">
        <w:t>as in force from time to time;</w:t>
      </w:r>
    </w:p>
    <w:p w14:paraId="617CAB1C" w14:textId="2160BF65" w:rsidR="000A0488" w:rsidRPr="004A7128" w:rsidRDefault="000A0488" w:rsidP="00B836A4">
      <w:pPr>
        <w:pStyle w:val="paragraph"/>
      </w:pPr>
      <w:r w:rsidRPr="004A7128">
        <w:tab/>
        <w:t>(b)</w:t>
      </w:r>
      <w:r w:rsidRPr="004A7128">
        <w:tab/>
        <w:t xml:space="preserve">meet any conditions </w:t>
      </w:r>
      <w:r w:rsidR="002A1314">
        <w:t xml:space="preserve">in the same item as the document mentioned </w:t>
      </w:r>
      <w:r w:rsidRPr="004A7128">
        <w:t xml:space="preserve">in the </w:t>
      </w:r>
      <w:r w:rsidR="002A1314">
        <w:t xml:space="preserve">following </w:t>
      </w:r>
      <w:r w:rsidRPr="004A7128">
        <w:t xml:space="preserve">table within 24 months after the end of the applicable </w:t>
      </w:r>
      <w:r w:rsidR="00D56138" w:rsidRPr="004A7128">
        <w:t xml:space="preserve">period mentioned in subsection </w:t>
      </w:r>
      <w:r w:rsidR="00CE2600">
        <w:t>7(2</w:t>
      </w:r>
      <w:r w:rsidR="00182F10">
        <w:t>)</w:t>
      </w:r>
      <w:r w:rsidRPr="004A7128">
        <w:t>.</w:t>
      </w:r>
    </w:p>
    <w:tbl>
      <w:tblPr>
        <w:tblStyle w:val="CFlag"/>
        <w:tblW w:w="0" w:type="auto"/>
        <w:tblBorders>
          <w:bottom w:val="single" w:sz="4" w:space="0" w:color="auto"/>
          <w:insideH w:val="single" w:sz="4" w:space="0" w:color="auto"/>
        </w:tblBorders>
        <w:tblLook w:val="04A0" w:firstRow="1" w:lastRow="0" w:firstColumn="1" w:lastColumn="0" w:noHBand="0" w:noVBand="1"/>
      </w:tblPr>
      <w:tblGrid>
        <w:gridCol w:w="1134"/>
        <w:gridCol w:w="3402"/>
        <w:gridCol w:w="3767"/>
      </w:tblGrid>
      <w:tr w:rsidR="000A0488" w:rsidRPr="004A7128" w14:paraId="0B8054DB" w14:textId="77777777" w:rsidTr="004836A7">
        <w:tc>
          <w:tcPr>
            <w:tcW w:w="1134" w:type="dxa"/>
          </w:tcPr>
          <w:p w14:paraId="06BD4085" w14:textId="77777777" w:rsidR="000A0488" w:rsidRPr="00BF0FD3" w:rsidRDefault="000A0488" w:rsidP="004836A7">
            <w:pPr>
              <w:pStyle w:val="Tablea"/>
              <w:rPr>
                <w:b/>
              </w:rPr>
            </w:pPr>
            <w:r w:rsidRPr="00BF0FD3">
              <w:rPr>
                <w:b/>
              </w:rPr>
              <w:t>Item</w:t>
            </w:r>
          </w:p>
        </w:tc>
        <w:tc>
          <w:tcPr>
            <w:tcW w:w="3402" w:type="dxa"/>
          </w:tcPr>
          <w:p w14:paraId="2560DEA6" w14:textId="576F1A23" w:rsidR="000A0488" w:rsidRPr="00BF0FD3" w:rsidRDefault="000A0488" w:rsidP="004836A7">
            <w:pPr>
              <w:pStyle w:val="Tabletext"/>
              <w:rPr>
                <w:b/>
              </w:rPr>
            </w:pPr>
            <w:r w:rsidRPr="00BF0FD3">
              <w:rPr>
                <w:b/>
              </w:rPr>
              <w:t>Document</w:t>
            </w:r>
          </w:p>
        </w:tc>
        <w:tc>
          <w:tcPr>
            <w:tcW w:w="3767" w:type="dxa"/>
          </w:tcPr>
          <w:p w14:paraId="104A3FDA" w14:textId="62CC3D9B" w:rsidR="000A0488" w:rsidRPr="00BF0FD3" w:rsidRDefault="000A0488" w:rsidP="004836A7">
            <w:pPr>
              <w:pStyle w:val="Tabletext"/>
              <w:rPr>
                <w:b/>
              </w:rPr>
            </w:pPr>
            <w:r w:rsidRPr="00BF0FD3">
              <w:rPr>
                <w:b/>
              </w:rPr>
              <w:t>Condition</w:t>
            </w:r>
          </w:p>
        </w:tc>
      </w:tr>
      <w:tr w:rsidR="000A0488" w:rsidRPr="004A7128" w14:paraId="435BD19F" w14:textId="77777777" w:rsidTr="004836A7">
        <w:tc>
          <w:tcPr>
            <w:tcW w:w="1134" w:type="dxa"/>
          </w:tcPr>
          <w:p w14:paraId="687DF949" w14:textId="19CF0925" w:rsidR="000A0488" w:rsidRPr="004A7128" w:rsidRDefault="000A0488" w:rsidP="004836A7">
            <w:pPr>
              <w:pStyle w:val="Tabletext"/>
            </w:pPr>
            <w:r w:rsidRPr="004A7128">
              <w:t>1</w:t>
            </w:r>
          </w:p>
        </w:tc>
        <w:tc>
          <w:tcPr>
            <w:tcW w:w="3402" w:type="dxa"/>
          </w:tcPr>
          <w:p w14:paraId="43D159BC" w14:textId="77777777" w:rsidR="000A0488" w:rsidRPr="004A7128" w:rsidRDefault="000A0488" w:rsidP="004836A7">
            <w:pPr>
              <w:pStyle w:val="Tabletext"/>
            </w:pPr>
            <w:r w:rsidRPr="004A7128">
              <w:t>Essential Eight Maturity Model published by the Australian Signals Directorate</w:t>
            </w:r>
          </w:p>
        </w:tc>
        <w:tc>
          <w:tcPr>
            <w:tcW w:w="3767" w:type="dxa"/>
          </w:tcPr>
          <w:p w14:paraId="516C5092" w14:textId="07A1DF76" w:rsidR="000A0488" w:rsidRPr="004A7128" w:rsidRDefault="000A0488" w:rsidP="004836A7">
            <w:pPr>
              <w:pStyle w:val="Tabletext"/>
            </w:pPr>
            <w:r w:rsidRPr="004A7128">
              <w:t>Meet maturity level two as indicated in the document</w:t>
            </w:r>
          </w:p>
        </w:tc>
      </w:tr>
      <w:tr w:rsidR="000A0488" w:rsidRPr="004A7128" w14:paraId="15D4FDBC" w14:textId="77777777" w:rsidTr="004836A7">
        <w:tc>
          <w:tcPr>
            <w:tcW w:w="1134" w:type="dxa"/>
          </w:tcPr>
          <w:p w14:paraId="1C3588E3" w14:textId="28B0C645" w:rsidR="000A0488" w:rsidRPr="004A7128" w:rsidRDefault="000A0488" w:rsidP="004836A7">
            <w:pPr>
              <w:pStyle w:val="Tabletext"/>
            </w:pPr>
            <w:r w:rsidRPr="004A7128">
              <w:t>2</w:t>
            </w:r>
          </w:p>
        </w:tc>
        <w:tc>
          <w:tcPr>
            <w:tcW w:w="3402" w:type="dxa"/>
          </w:tcPr>
          <w:p w14:paraId="4CD1361E" w14:textId="77777777" w:rsidR="000A0488" w:rsidRPr="004A7128" w:rsidRDefault="000A0488" w:rsidP="004836A7">
            <w:pPr>
              <w:pStyle w:val="Tabletext"/>
            </w:pPr>
            <w:r w:rsidRPr="004A7128">
              <w:rPr>
                <w:iCs/>
                <w:color w:val="000000" w:themeColor="text1"/>
              </w:rPr>
              <w:t>Cybersecurity Capability Maturity Model</w:t>
            </w:r>
            <w:r w:rsidRPr="004A7128">
              <w:rPr>
                <w:color w:val="000000" w:themeColor="text1"/>
              </w:rPr>
              <w:t> published by the Department of Energy of the United States of America</w:t>
            </w:r>
          </w:p>
        </w:tc>
        <w:tc>
          <w:tcPr>
            <w:tcW w:w="3767" w:type="dxa"/>
          </w:tcPr>
          <w:p w14:paraId="11160BF2" w14:textId="320A7518" w:rsidR="000A0488" w:rsidRPr="004A7128" w:rsidRDefault="000A0488" w:rsidP="000A0488">
            <w:pPr>
              <w:pStyle w:val="Tabletext"/>
            </w:pPr>
            <w:r w:rsidRPr="004A7128">
              <w:t>Meet maturity level two as indicated in the document</w:t>
            </w:r>
          </w:p>
        </w:tc>
      </w:tr>
      <w:tr w:rsidR="000A0488" w:rsidRPr="004A7128" w14:paraId="0A662481" w14:textId="77777777" w:rsidTr="004836A7">
        <w:tc>
          <w:tcPr>
            <w:tcW w:w="1134" w:type="dxa"/>
          </w:tcPr>
          <w:p w14:paraId="2716DF54" w14:textId="4DA2688D" w:rsidR="000A0488" w:rsidRPr="004A7128" w:rsidRDefault="000A0488" w:rsidP="004836A7">
            <w:pPr>
              <w:pStyle w:val="Tabletext"/>
            </w:pPr>
            <w:r w:rsidRPr="004A7128">
              <w:lastRenderedPageBreak/>
              <w:t>3</w:t>
            </w:r>
          </w:p>
        </w:tc>
        <w:tc>
          <w:tcPr>
            <w:tcW w:w="3402" w:type="dxa"/>
          </w:tcPr>
          <w:p w14:paraId="33825EAD" w14:textId="77777777" w:rsidR="000A0488" w:rsidRPr="004A7128" w:rsidRDefault="000A0488" w:rsidP="004836A7">
            <w:pPr>
              <w:pStyle w:val="Tabletext"/>
              <w:rPr>
                <w:iCs/>
                <w:color w:val="000000" w:themeColor="text1"/>
              </w:rPr>
            </w:pPr>
            <w:r w:rsidRPr="004A7128">
              <w:rPr>
                <w:iCs/>
                <w:color w:val="000000" w:themeColor="text1"/>
              </w:rPr>
              <w:t>The 2020‑21 AESCSF Framework Core published by Australian Energy Market Operator Limited (ACN 072 010 327)</w:t>
            </w:r>
          </w:p>
        </w:tc>
        <w:tc>
          <w:tcPr>
            <w:tcW w:w="3767" w:type="dxa"/>
          </w:tcPr>
          <w:p w14:paraId="2B76DF6D" w14:textId="296BC32A" w:rsidR="000A0488" w:rsidRPr="004A7128" w:rsidRDefault="000A0488" w:rsidP="004836A7">
            <w:pPr>
              <w:pStyle w:val="Tabletext"/>
            </w:pPr>
            <w:r w:rsidRPr="004A7128">
              <w:t>Meet security profile two as indicated in the document</w:t>
            </w:r>
          </w:p>
        </w:tc>
      </w:tr>
    </w:tbl>
    <w:p w14:paraId="0B931C6B" w14:textId="77777777" w:rsidR="000A0488" w:rsidRPr="004A7128" w:rsidRDefault="000A0488" w:rsidP="000A0488">
      <w:pPr>
        <w:pStyle w:val="notetext"/>
      </w:pPr>
      <w:r w:rsidRPr="004A7128">
        <w:t>Note</w:t>
      </w:r>
      <w:r w:rsidRPr="004A7128">
        <w:tab/>
        <w:t>Sections 30AN and 30ANA of the Act provide for the incorporation of the documents mentioned in this subsection as in force from time to time.</w:t>
      </w:r>
    </w:p>
    <w:p w14:paraId="30CD2603" w14:textId="0417B079" w:rsidR="000A0488" w:rsidRPr="004A7128" w:rsidRDefault="000A0488">
      <w:pPr>
        <w:pStyle w:val="subsection"/>
      </w:pPr>
      <w:r w:rsidRPr="004A7128">
        <w:tab/>
      </w:r>
      <w:r w:rsidRPr="008645AC">
        <w:t>(5)</w:t>
      </w:r>
      <w:r w:rsidRPr="008645AC">
        <w:tab/>
        <w:t>A responsible entity for an asset mentioned in subsection (</w:t>
      </w:r>
      <w:r w:rsidR="005F3435" w:rsidRPr="008645AC">
        <w:t xml:space="preserve">3) </w:t>
      </w:r>
      <w:r w:rsidR="00601FBE" w:rsidRPr="008645AC">
        <w:t xml:space="preserve">or </w:t>
      </w:r>
      <w:r w:rsidR="00D56138" w:rsidRPr="008645AC">
        <w:t>(4</w:t>
      </w:r>
      <w:r w:rsidRPr="008645AC">
        <w:t xml:space="preserve">) </w:t>
      </w:r>
      <w:r w:rsidR="00774A8F">
        <w:t>may otherwise comply with subsection (3) or (4) by</w:t>
      </w:r>
      <w:r w:rsidRPr="008645AC">
        <w:t xml:space="preserve"> establish</w:t>
      </w:r>
      <w:r w:rsidR="00774A8F">
        <w:t>ing</w:t>
      </w:r>
      <w:r w:rsidRPr="008645AC">
        <w:t xml:space="preserve"> and maintain</w:t>
      </w:r>
      <w:r w:rsidR="00774A8F">
        <w:t>ing</w:t>
      </w:r>
      <w:r w:rsidRPr="008645AC">
        <w:t xml:space="preserve"> a process or system in the entity’s </w:t>
      </w:r>
      <w:r w:rsidR="007D711B" w:rsidRPr="008645AC">
        <w:t>CI</w:t>
      </w:r>
      <w:r w:rsidR="00C4373B" w:rsidRPr="008645AC">
        <w:t>RMP</w:t>
      </w:r>
      <w:r w:rsidRPr="008645AC">
        <w:t xml:space="preserve"> to comply with a framework that is equivalent to a framework in a document mentioned in the tables</w:t>
      </w:r>
      <w:r w:rsidR="000C0A44">
        <w:t>,</w:t>
      </w:r>
      <w:r w:rsidRPr="008645AC">
        <w:t xml:space="preserve"> including any conditions.</w:t>
      </w:r>
    </w:p>
    <w:p w14:paraId="7BEDF51A" w14:textId="7913319C" w:rsidR="00592D8D" w:rsidRPr="00D52DF8" w:rsidRDefault="0098192B" w:rsidP="00592D8D">
      <w:pPr>
        <w:pStyle w:val="ActHead5"/>
        <w:rPr>
          <w:i/>
        </w:rPr>
      </w:pPr>
      <w:bookmarkStart w:id="15" w:name="_Toc191588695"/>
      <w:r w:rsidRPr="00D52DF8">
        <w:t>1</w:t>
      </w:r>
      <w:r>
        <w:t>2</w:t>
      </w:r>
      <w:r w:rsidRPr="00D52DF8">
        <w:t xml:space="preserve">  </w:t>
      </w:r>
      <w:r w:rsidR="002A1314">
        <w:t>Pe</w:t>
      </w:r>
      <w:r w:rsidR="00621200" w:rsidRPr="00D52DF8">
        <w:t xml:space="preserve">rsonnel </w:t>
      </w:r>
      <w:r w:rsidR="00592D8D" w:rsidRPr="00D52DF8">
        <w:t>hazards</w:t>
      </w:r>
      <w:bookmarkEnd w:id="15"/>
    </w:p>
    <w:p w14:paraId="1B4F4DCB" w14:textId="310E252D" w:rsidR="00592D8D" w:rsidRPr="004E65D8" w:rsidRDefault="00592D8D" w:rsidP="00592D8D">
      <w:pPr>
        <w:pStyle w:val="subsection"/>
      </w:pPr>
      <w:r w:rsidRPr="00D52DF8">
        <w:tab/>
        <w:t>(1)</w:t>
      </w:r>
      <w:r w:rsidRPr="00D52DF8">
        <w:tab/>
        <w:t xml:space="preserve">For the purposes of paragraph 30AH(1)(c) of the Act, </w:t>
      </w:r>
      <w:r w:rsidR="00552092">
        <w:t xml:space="preserve">the </w:t>
      </w:r>
      <w:r w:rsidR="008E1D5E">
        <w:t xml:space="preserve">specified </w:t>
      </w:r>
      <w:r w:rsidR="00552092">
        <w:t xml:space="preserve">requirements with respect to personnel hazards </w:t>
      </w:r>
      <w:r w:rsidR="008E1D5E">
        <w:t>for a CIRMP are that it must</w:t>
      </w:r>
      <w:r w:rsidRPr="004E65D8">
        <w:t>:</w:t>
      </w:r>
    </w:p>
    <w:p w14:paraId="0CA800C9" w14:textId="651BAE03" w:rsidR="00E37FB0" w:rsidRPr="008645AC" w:rsidRDefault="00E37FB0" w:rsidP="00E37FB0">
      <w:pPr>
        <w:pStyle w:val="paragraph"/>
      </w:pPr>
      <w:r w:rsidRPr="008645AC">
        <w:tab/>
        <w:t>(a)</w:t>
      </w:r>
      <w:r w:rsidRPr="008645AC">
        <w:tab/>
        <w:t>identify the entity’s critical workers;</w:t>
      </w:r>
      <w:r w:rsidR="00182F10">
        <w:t xml:space="preserve"> and</w:t>
      </w:r>
    </w:p>
    <w:p w14:paraId="3F6BD171" w14:textId="158B3ADE" w:rsidR="00E37FB0" w:rsidRPr="008645AC" w:rsidRDefault="00E37FB0" w:rsidP="00E37FB0">
      <w:pPr>
        <w:pStyle w:val="paragraph"/>
      </w:pPr>
      <w:r w:rsidRPr="008645AC">
        <w:tab/>
        <w:t>(b)</w:t>
      </w:r>
      <w:r w:rsidRPr="008645AC">
        <w:tab/>
      </w:r>
      <w:r w:rsidR="00E81750" w:rsidRPr="008645AC">
        <w:t xml:space="preserve">permit a critical worker access to critical components of the </w:t>
      </w:r>
      <w:r w:rsidR="007D711B" w:rsidRPr="008645AC">
        <w:t xml:space="preserve">relevant </w:t>
      </w:r>
      <w:r w:rsidR="0098192B">
        <w:t>c</w:t>
      </w:r>
      <w:r w:rsidR="00575FC7">
        <w:t>ritical infrastructure asset</w:t>
      </w:r>
      <w:r w:rsidR="00E81750" w:rsidRPr="008645AC">
        <w:t xml:space="preserve"> only where the critical worker has been assess</w:t>
      </w:r>
      <w:r w:rsidR="00601FBE" w:rsidRPr="008645AC">
        <w:t>ed</w:t>
      </w:r>
      <w:r w:rsidR="00E81750" w:rsidRPr="008645AC">
        <w:t xml:space="preserve"> to be suitable to have such access; and</w:t>
      </w:r>
    </w:p>
    <w:p w14:paraId="5CACD724" w14:textId="195E0F99" w:rsidR="00E81750" w:rsidRPr="008645AC" w:rsidRDefault="00E81750" w:rsidP="00E37FB0">
      <w:pPr>
        <w:pStyle w:val="paragraph"/>
      </w:pPr>
      <w:r w:rsidRPr="008645AC">
        <w:tab/>
        <w:t>(c)</w:t>
      </w:r>
      <w:r w:rsidRPr="008645AC">
        <w:tab/>
        <w:t>as far as it is reasonably practicable to do so</w:t>
      </w:r>
      <w:r w:rsidR="0011349E">
        <w:t>—</w:t>
      </w:r>
      <w:r w:rsidRPr="008645AC">
        <w:t>minimise or eliminate the material risks:</w:t>
      </w:r>
    </w:p>
    <w:p w14:paraId="2DA8050D" w14:textId="5C770FA3" w:rsidR="00E81750" w:rsidRPr="008645AC" w:rsidRDefault="00E81750" w:rsidP="00E81750">
      <w:pPr>
        <w:pStyle w:val="paragraphsub"/>
      </w:pPr>
      <w:r w:rsidRPr="008645AC">
        <w:tab/>
        <w:t>(a)</w:t>
      </w:r>
      <w:r w:rsidRPr="008645AC">
        <w:tab/>
        <w:t>arising from malicious or negligent employees or contractors; and</w:t>
      </w:r>
    </w:p>
    <w:p w14:paraId="1A395BA4" w14:textId="1A817AD0" w:rsidR="00E81750" w:rsidRDefault="00E81750" w:rsidP="00E81750">
      <w:pPr>
        <w:pStyle w:val="paragraphsub"/>
      </w:pPr>
      <w:r w:rsidRPr="008645AC">
        <w:tab/>
        <w:t>(b)</w:t>
      </w:r>
      <w:r w:rsidRPr="008645AC">
        <w:tab/>
        <w:t>arising from the off-boarding process for outgoing employees and contractors.</w:t>
      </w:r>
    </w:p>
    <w:p w14:paraId="260728E6" w14:textId="4318F001" w:rsidR="002A1314" w:rsidRPr="004A7128" w:rsidRDefault="002A1314" w:rsidP="002A1314">
      <w:pPr>
        <w:pStyle w:val="subsection"/>
      </w:pPr>
      <w:r w:rsidRPr="004A7128">
        <w:tab/>
        <w:t>(</w:t>
      </w:r>
      <w:r>
        <w:t>2</w:t>
      </w:r>
      <w:r w:rsidRPr="004A7128">
        <w:t>)</w:t>
      </w:r>
      <w:r w:rsidRPr="004A7128">
        <w:tab/>
        <w:t>For the purposes of subsections 30AKA(1), (3) and (5) of the Act, a responsible entity must have regard</w:t>
      </w:r>
      <w:r w:rsidR="00DF3E60">
        <w:t xml:space="preserve"> to whether the CIRMP</w:t>
      </w:r>
      <w:r w:rsidRPr="004A7128">
        <w:t>:</w:t>
      </w:r>
    </w:p>
    <w:p w14:paraId="7BB8BE7E" w14:textId="7E3E7442" w:rsidR="002A1314" w:rsidRPr="004A7128" w:rsidRDefault="002A1314" w:rsidP="002A1314">
      <w:pPr>
        <w:pStyle w:val="paragraph"/>
      </w:pPr>
      <w:r w:rsidRPr="004A7128">
        <w:tab/>
        <w:t>(a)</w:t>
      </w:r>
      <w:r w:rsidRPr="004A7128">
        <w:tab/>
        <w:t>lists the entity’s critical workers; and</w:t>
      </w:r>
    </w:p>
    <w:p w14:paraId="74514351" w14:textId="60912647" w:rsidR="002A1314" w:rsidRDefault="002A1314" w:rsidP="00277133">
      <w:pPr>
        <w:pStyle w:val="paragraph"/>
      </w:pPr>
      <w:r w:rsidRPr="004A7128">
        <w:tab/>
        <w:t>(b)</w:t>
      </w:r>
      <w:r w:rsidRPr="004A7128">
        <w:tab/>
        <w:t>describes the personnel risks, the occurrence of which could have a relevant impact on the asset.</w:t>
      </w:r>
    </w:p>
    <w:p w14:paraId="4DC12718" w14:textId="52212DC6" w:rsidR="0098192B" w:rsidRPr="004A7128" w:rsidRDefault="0098192B" w:rsidP="00277133">
      <w:pPr>
        <w:pStyle w:val="ActHead5"/>
      </w:pPr>
      <w:bookmarkStart w:id="16" w:name="_Toc191588696"/>
      <w:r>
        <w:t>13  Background checks</w:t>
      </w:r>
      <w:bookmarkEnd w:id="16"/>
    </w:p>
    <w:p w14:paraId="3160B5EE" w14:textId="7D57E540" w:rsidR="00592D8D" w:rsidRPr="004A7128" w:rsidRDefault="00592D8D" w:rsidP="00592D8D">
      <w:pPr>
        <w:pStyle w:val="subsection"/>
      </w:pPr>
      <w:r w:rsidRPr="004A7128">
        <w:tab/>
        <w:t>(</w:t>
      </w:r>
      <w:r w:rsidR="0098192B">
        <w:t>1</w:t>
      </w:r>
      <w:r w:rsidRPr="004A7128">
        <w:t>)</w:t>
      </w:r>
      <w:r w:rsidRPr="004A7128">
        <w:tab/>
        <w:t xml:space="preserve">For </w:t>
      </w:r>
      <w:r w:rsidR="00B36537">
        <w:t xml:space="preserve">the </w:t>
      </w:r>
      <w:r w:rsidRPr="004A7128">
        <w:t>purpose</w:t>
      </w:r>
      <w:r w:rsidR="00B36537">
        <w:t>s</w:t>
      </w:r>
      <w:r w:rsidRPr="004A7128">
        <w:t xml:space="preserve"> of paragraph</w:t>
      </w:r>
      <w:r w:rsidR="00601FBE">
        <w:t>s</w:t>
      </w:r>
      <w:r w:rsidRPr="004A7128">
        <w:t xml:space="preserve"> 30AH</w:t>
      </w:r>
      <w:r w:rsidR="00601FBE" w:rsidRPr="004A7128">
        <w:t>(1)(</w:t>
      </w:r>
      <w:r w:rsidR="00F3797A">
        <w:t>c</w:t>
      </w:r>
      <w:r w:rsidR="00601FBE" w:rsidRPr="004A7128">
        <w:t xml:space="preserve">) and </w:t>
      </w:r>
      <w:r w:rsidR="00295A6F">
        <w:t>30AH</w:t>
      </w:r>
      <w:r w:rsidRPr="004A7128">
        <w:t>(4)(a) of the Act, the process or systems for assessing the suitability of a critical worker may be a background check conducted under the AusCheck scheme.</w:t>
      </w:r>
    </w:p>
    <w:p w14:paraId="23490A68" w14:textId="5E7C8CC7" w:rsidR="00E81750" w:rsidRPr="004A7128" w:rsidRDefault="00E81750" w:rsidP="00E81750">
      <w:pPr>
        <w:pStyle w:val="notetext"/>
      </w:pPr>
      <w:r w:rsidRPr="004A7128">
        <w:t>Note</w:t>
      </w:r>
      <w:r w:rsidRPr="004A7128">
        <w:tab/>
        <w:t xml:space="preserve">Responsible entities are not required to use the AusCheck scheme to assess the suitability of critical workers. It is open for responsible entities to use other measures to assess the suitability of critical workers. That process or system must be included in the </w:t>
      </w:r>
      <w:r w:rsidR="007D711B" w:rsidRPr="004A7128">
        <w:t>CI</w:t>
      </w:r>
      <w:r w:rsidR="00C4373B" w:rsidRPr="004A7128">
        <w:t>RMP</w:t>
      </w:r>
      <w:r w:rsidRPr="004A7128">
        <w:t>.</w:t>
      </w:r>
    </w:p>
    <w:p w14:paraId="75A7D20E" w14:textId="182D32B7" w:rsidR="00E37FB0" w:rsidRPr="004A7128" w:rsidRDefault="00592D8D" w:rsidP="00592D8D">
      <w:pPr>
        <w:pStyle w:val="subsection"/>
      </w:pPr>
      <w:r w:rsidRPr="004A7128">
        <w:tab/>
        <w:t>(</w:t>
      </w:r>
      <w:r w:rsidR="0098192B">
        <w:t>2</w:t>
      </w:r>
      <w:r w:rsidRPr="004A7128">
        <w:t>)</w:t>
      </w:r>
      <w:r w:rsidRPr="004A7128">
        <w:tab/>
      </w:r>
      <w:r w:rsidR="00995095">
        <w:t>For the purposes of paragraph 30AH(1)(c) of the Act, and in accordance with paragraph 30AH(4)(b) of the Act, i</w:t>
      </w:r>
      <w:r w:rsidRPr="004A7128">
        <w:t xml:space="preserve">f a </w:t>
      </w:r>
      <w:r w:rsidR="007D711B" w:rsidRPr="004A7128">
        <w:t>CI</w:t>
      </w:r>
      <w:r w:rsidR="00C4373B" w:rsidRPr="004A7128">
        <w:t>RMP</w:t>
      </w:r>
      <w:r w:rsidRPr="004A7128">
        <w:t xml:space="preserve"> permits a background check to be conducted under subsection</w:t>
      </w:r>
      <w:r w:rsidR="00C4675E">
        <w:t> </w:t>
      </w:r>
      <w:r w:rsidR="00277133">
        <w:t>13</w:t>
      </w:r>
      <w:r w:rsidRPr="004A7128">
        <w:t>(</w:t>
      </w:r>
      <w:r w:rsidR="009D50F5">
        <w:t>1</w:t>
      </w:r>
      <w:r w:rsidRPr="004A7128">
        <w:t>), the background check</w:t>
      </w:r>
      <w:r w:rsidR="00E736F8" w:rsidRPr="004A7128">
        <w:t xml:space="preserve"> must include</w:t>
      </w:r>
      <w:r w:rsidRPr="004A7128">
        <w:t xml:space="preserve"> </w:t>
      </w:r>
      <w:r w:rsidR="005F3435" w:rsidRPr="004A7128">
        <w:t xml:space="preserve">an </w:t>
      </w:r>
      <w:r w:rsidRPr="004A7128">
        <w:t>assessment of information relating to the matters mentioned in</w:t>
      </w:r>
      <w:r w:rsidR="00B55879">
        <w:t xml:space="preserve"> </w:t>
      </w:r>
      <w:r w:rsidR="00B55879" w:rsidRPr="00B55879">
        <w:t>paragraphs 5(a)</w:t>
      </w:r>
      <w:r w:rsidR="00995095">
        <w:t>, (b), (c) and</w:t>
      </w:r>
      <w:r w:rsidR="00B55879" w:rsidRPr="00B55879">
        <w:t xml:space="preserve"> (d) of the AusCheck Act</w:t>
      </w:r>
      <w:r w:rsidR="00B55879">
        <w:t>, and</w:t>
      </w:r>
      <w:r w:rsidR="00E37FB0" w:rsidRPr="004A7128">
        <w:t>:</w:t>
      </w:r>
    </w:p>
    <w:p w14:paraId="13CC6A45" w14:textId="710BA17B" w:rsidR="00E37FB0" w:rsidRPr="00B55879" w:rsidRDefault="00E37FB0">
      <w:pPr>
        <w:pStyle w:val="paragraph"/>
      </w:pPr>
      <w:r w:rsidRPr="004A7128">
        <w:lastRenderedPageBreak/>
        <w:tab/>
        <w:t>(</w:t>
      </w:r>
      <w:r w:rsidR="00B55879">
        <w:t>a</w:t>
      </w:r>
      <w:r w:rsidRPr="004A7128">
        <w:t>)</w:t>
      </w:r>
      <w:r w:rsidRPr="004A7128">
        <w:tab/>
      </w:r>
      <w:r w:rsidR="00B55879">
        <w:t xml:space="preserve">for </w:t>
      </w:r>
      <w:r w:rsidRPr="00B55879">
        <w:t>paragraph 30AH(4)(c) of the Act</w:t>
      </w:r>
      <w:r w:rsidR="00B55879" w:rsidRPr="00B55879">
        <w:t xml:space="preserve">—the specified criteria </w:t>
      </w:r>
      <w:r w:rsidR="00222783">
        <w:t xml:space="preserve">for the assessment </w:t>
      </w:r>
      <w:r w:rsidRPr="00B55879">
        <w:t>are the criminal history criteria; and</w:t>
      </w:r>
    </w:p>
    <w:p w14:paraId="655846CD" w14:textId="6841B267" w:rsidR="00E37FB0" w:rsidRPr="004A7128" w:rsidRDefault="00E37FB0">
      <w:pPr>
        <w:pStyle w:val="paragraph"/>
      </w:pPr>
      <w:r w:rsidRPr="00B55879">
        <w:tab/>
        <w:t>(</w:t>
      </w:r>
      <w:r w:rsidR="00B55879" w:rsidRPr="00B55879">
        <w:t>b</w:t>
      </w:r>
      <w:r w:rsidRPr="00B55879">
        <w:t>)</w:t>
      </w:r>
      <w:r w:rsidRPr="00B55879">
        <w:tab/>
      </w:r>
      <w:r w:rsidR="00B55879" w:rsidRPr="00B55879">
        <w:t xml:space="preserve">for </w:t>
      </w:r>
      <w:r w:rsidRPr="00B55879">
        <w:t>paragraph 30AH(4)(d) of the Act</w:t>
      </w:r>
      <w:r w:rsidR="00B55879" w:rsidRPr="00B55879">
        <w:t>—</w:t>
      </w:r>
      <w:r w:rsidR="00AC03F1">
        <w:t xml:space="preserve">the assessment </w:t>
      </w:r>
      <w:r w:rsidRPr="004A7128">
        <w:t>must consist of both an electronic identity verification check and an in person identity verification check.</w:t>
      </w:r>
    </w:p>
    <w:p w14:paraId="3F3EBA1B" w14:textId="099F1A24" w:rsidR="00E81750" w:rsidRPr="004A7128" w:rsidRDefault="00E81750" w:rsidP="00E81750">
      <w:pPr>
        <w:pStyle w:val="subsection"/>
      </w:pPr>
      <w:r w:rsidRPr="004A7128">
        <w:tab/>
        <w:t>(</w:t>
      </w:r>
      <w:r w:rsidR="0098192B">
        <w:t>3</w:t>
      </w:r>
      <w:r w:rsidRPr="004A7128">
        <w:t>)</w:t>
      </w:r>
      <w:r w:rsidRPr="004A7128">
        <w:tab/>
        <w:t xml:space="preserve">A responsible entity </w:t>
      </w:r>
      <w:r w:rsidR="00C646FA" w:rsidRPr="004A7128">
        <w:t>must notify the Secretary if a background check is no longer required for a critical worker.</w:t>
      </w:r>
    </w:p>
    <w:p w14:paraId="1E3B7063" w14:textId="37BA8622" w:rsidR="00C646FA" w:rsidRPr="004A7128" w:rsidRDefault="00C646FA" w:rsidP="00E81750">
      <w:pPr>
        <w:pStyle w:val="subsection"/>
      </w:pPr>
      <w:r w:rsidRPr="004A7128">
        <w:tab/>
        <w:t>(</w:t>
      </w:r>
      <w:r w:rsidR="0098192B">
        <w:t>4</w:t>
      </w:r>
      <w:r w:rsidRPr="004A7128">
        <w:t>)</w:t>
      </w:r>
      <w:r w:rsidRPr="004A7128">
        <w:tab/>
        <w:t>In making a suitability assessment mention</w:t>
      </w:r>
      <w:r w:rsidR="00A327BA">
        <w:t>ed</w:t>
      </w:r>
      <w:r w:rsidRPr="004A7128">
        <w:t xml:space="preserve"> in paragraph </w:t>
      </w:r>
      <w:r w:rsidR="0098192B">
        <w:t>12</w:t>
      </w:r>
      <w:r w:rsidRPr="004A7128">
        <w:t>(1)(b), a responsible entity must consider the following:</w:t>
      </w:r>
    </w:p>
    <w:p w14:paraId="22FDD0F2" w14:textId="5C03AA4E" w:rsidR="00C646FA" w:rsidRPr="004A7128" w:rsidRDefault="00C646FA" w:rsidP="00C646FA">
      <w:pPr>
        <w:pStyle w:val="paragraph"/>
      </w:pPr>
      <w:r w:rsidRPr="004A7128">
        <w:tab/>
        <w:t>(a)</w:t>
      </w:r>
      <w:r w:rsidRPr="004A7128">
        <w:tab/>
        <w:t>any advice from the Secretary under the following provisions of the AusCheck Regulations:</w:t>
      </w:r>
    </w:p>
    <w:p w14:paraId="13A966A1" w14:textId="29237FFC" w:rsidR="00C646FA" w:rsidRPr="004A7128" w:rsidRDefault="00C646FA" w:rsidP="00C646FA">
      <w:pPr>
        <w:pStyle w:val="paragraphsub"/>
      </w:pPr>
      <w:r w:rsidRPr="004A7128">
        <w:tab/>
        <w:t>(i)</w:t>
      </w:r>
      <w:r w:rsidRPr="004A7128">
        <w:tab/>
        <w:t>paragraph 21DA(2)(a);</w:t>
      </w:r>
    </w:p>
    <w:p w14:paraId="51F1A317" w14:textId="0A076655" w:rsidR="00C646FA" w:rsidRPr="004A7128" w:rsidRDefault="00C646FA" w:rsidP="00C646FA">
      <w:pPr>
        <w:pStyle w:val="paragraphsub"/>
      </w:pPr>
      <w:r w:rsidRPr="004A7128">
        <w:tab/>
        <w:t>(ii)</w:t>
      </w:r>
      <w:r w:rsidRPr="004A7128">
        <w:tab/>
        <w:t>paragraph 21DA(2)(b);</w:t>
      </w:r>
    </w:p>
    <w:p w14:paraId="58ED8B17" w14:textId="3A078EC8" w:rsidR="00C646FA" w:rsidRPr="004A7128" w:rsidRDefault="00C646FA" w:rsidP="00C646FA">
      <w:pPr>
        <w:pStyle w:val="paragraphsub"/>
      </w:pPr>
      <w:r w:rsidRPr="004A7128">
        <w:tab/>
        <w:t>(iii)</w:t>
      </w:r>
      <w:r w:rsidRPr="004A7128">
        <w:tab/>
        <w:t>subsection 21DA(4); and</w:t>
      </w:r>
    </w:p>
    <w:p w14:paraId="4FC18EB5" w14:textId="73B509C0" w:rsidR="00C646FA" w:rsidRPr="004A7128" w:rsidRDefault="00C646FA" w:rsidP="00C646FA">
      <w:pPr>
        <w:pStyle w:val="paragraphsub"/>
      </w:pPr>
      <w:r w:rsidRPr="004A7128">
        <w:tab/>
        <w:t>(iv)</w:t>
      </w:r>
      <w:r w:rsidRPr="004A7128">
        <w:tab/>
        <w:t>subsection 21DA(5)</w:t>
      </w:r>
      <w:r w:rsidR="0011349E">
        <w:t>;</w:t>
      </w:r>
    </w:p>
    <w:p w14:paraId="3FA7AC7A" w14:textId="0B4DC4D2" w:rsidR="00C646FA" w:rsidRPr="004A7128" w:rsidRDefault="00C646FA" w:rsidP="00C646FA">
      <w:pPr>
        <w:pStyle w:val="paragraph"/>
      </w:pPr>
      <w:r w:rsidRPr="004A7128">
        <w:tab/>
        <w:t>(b)</w:t>
      </w:r>
      <w:r w:rsidRPr="004A7128">
        <w:tab/>
        <w:t xml:space="preserve">whether permitting a critical worker to have access to critical components of the </w:t>
      </w:r>
      <w:r w:rsidR="007D711B" w:rsidRPr="004A7128">
        <w:t xml:space="preserve">relevant </w:t>
      </w:r>
      <w:r w:rsidR="004D1CC8">
        <w:t>c</w:t>
      </w:r>
      <w:r w:rsidR="00575FC7">
        <w:t>ritical infrastructure asset</w:t>
      </w:r>
      <w:r w:rsidRPr="004A7128">
        <w:t xml:space="preserve"> would be prejudicial to security; and</w:t>
      </w:r>
    </w:p>
    <w:p w14:paraId="583C6177" w14:textId="41846469" w:rsidR="00C646FA" w:rsidRPr="004A7128" w:rsidRDefault="00C646FA" w:rsidP="00C646FA">
      <w:pPr>
        <w:pStyle w:val="paragraph"/>
      </w:pPr>
      <w:r w:rsidRPr="004A7128">
        <w:tab/>
        <w:t>(c)</w:t>
      </w:r>
      <w:r w:rsidRPr="004A7128">
        <w:tab/>
        <w:t xml:space="preserve">any other information that may affect the person’s suitability to have access to the critical components of the </w:t>
      </w:r>
      <w:r w:rsidR="007D711B" w:rsidRPr="004A7128">
        <w:t xml:space="preserve">relevant </w:t>
      </w:r>
      <w:r w:rsidR="00575FC7">
        <w:t>Critical infrastructure asset</w:t>
      </w:r>
      <w:r w:rsidRPr="004A7128">
        <w:t>.</w:t>
      </w:r>
    </w:p>
    <w:p w14:paraId="1E98A7AF" w14:textId="794ED7C8" w:rsidR="00C646FA" w:rsidRPr="004A7128" w:rsidRDefault="00C646FA" w:rsidP="00C646FA">
      <w:pPr>
        <w:pStyle w:val="notetext"/>
      </w:pPr>
      <w:r w:rsidRPr="004A7128">
        <w:t>Note</w:t>
      </w:r>
      <w:r w:rsidR="0011349E">
        <w:t>:</w:t>
      </w:r>
      <w:r w:rsidRPr="004A7128">
        <w:tab/>
        <w:t>A responsible entity may be required to inform the Secretary of a decision to grant or revoke access to a critical infrastructure asset in certain circumstances – see AusCheck Regulations section 21ZA.</w:t>
      </w:r>
    </w:p>
    <w:p w14:paraId="5A688F79" w14:textId="1FE86225" w:rsidR="005676FC" w:rsidRPr="004A7128" w:rsidRDefault="005676FC" w:rsidP="000F21A1">
      <w:pPr>
        <w:pStyle w:val="subsection"/>
      </w:pPr>
      <w:r w:rsidRPr="004A7128">
        <w:tab/>
        <w:t>(</w:t>
      </w:r>
      <w:r w:rsidR="002A1314">
        <w:t>5</w:t>
      </w:r>
      <w:r w:rsidRPr="004A7128">
        <w:t>)</w:t>
      </w:r>
      <w:r w:rsidRPr="004A7128">
        <w:tab/>
        <w:t>In this section</w:t>
      </w:r>
      <w:r w:rsidR="00A327BA">
        <w:t>,</w:t>
      </w:r>
      <w:r w:rsidRPr="004A7128">
        <w:t xml:space="preserve"> </w:t>
      </w:r>
      <w:r w:rsidRPr="00996B9D">
        <w:rPr>
          <w:b/>
          <w:i/>
        </w:rPr>
        <w:t xml:space="preserve">Secretary </w:t>
      </w:r>
      <w:r w:rsidRPr="004A7128">
        <w:t>has the same meaning as in subsection 4(1) of the AusCheck Act.</w:t>
      </w:r>
    </w:p>
    <w:p w14:paraId="6816F052" w14:textId="3109EC66" w:rsidR="00BF1504" w:rsidRDefault="00BC1070" w:rsidP="00BF1504">
      <w:pPr>
        <w:pStyle w:val="ActHead5"/>
      </w:pPr>
      <w:bookmarkStart w:id="17" w:name="_Toc191588697"/>
      <w:r w:rsidRPr="004A7128">
        <w:t>1</w:t>
      </w:r>
      <w:r>
        <w:t>4</w:t>
      </w:r>
      <w:r w:rsidRPr="004A7128">
        <w:t xml:space="preserve">  </w:t>
      </w:r>
      <w:r w:rsidR="00BF1504" w:rsidRPr="004A7128">
        <w:t>Supply chain hazards</w:t>
      </w:r>
      <w:bookmarkEnd w:id="17"/>
    </w:p>
    <w:p w14:paraId="3A3C4D4D" w14:textId="58369090" w:rsidR="00BF1504" w:rsidRPr="004A7128" w:rsidRDefault="00BF1504" w:rsidP="00BF1504">
      <w:pPr>
        <w:pStyle w:val="subsection"/>
      </w:pPr>
      <w:r>
        <w:tab/>
        <w:t>(1)</w:t>
      </w:r>
      <w:r>
        <w:tab/>
      </w:r>
      <w:r w:rsidRPr="004A7128">
        <w:t xml:space="preserve">For the purpose of paragraph 30AH(1)(c) of the Act, </w:t>
      </w:r>
      <w:r w:rsidR="004D1CC8">
        <w:t>the</w:t>
      </w:r>
      <w:r w:rsidRPr="004A7128">
        <w:t xml:space="preserve"> </w:t>
      </w:r>
      <w:r w:rsidR="00B36537">
        <w:t xml:space="preserve">specified </w:t>
      </w:r>
      <w:r w:rsidR="004D1CC8">
        <w:t xml:space="preserve">requirements with respect to supply chain hazards </w:t>
      </w:r>
      <w:r w:rsidR="00BC1070">
        <w:t>for a CIRMP</w:t>
      </w:r>
      <w:r w:rsidR="00B36537">
        <w:t xml:space="preserve"> are that it must</w:t>
      </w:r>
      <w:r w:rsidRPr="004A7128">
        <w:t>:</w:t>
      </w:r>
    </w:p>
    <w:p w14:paraId="160FA7F6" w14:textId="3CEA403C" w:rsidR="00BF1504" w:rsidRPr="004A7128" w:rsidRDefault="00BF1504" w:rsidP="00BF1504">
      <w:pPr>
        <w:pStyle w:val="paragraph"/>
      </w:pPr>
      <w:r w:rsidRPr="004A7128">
        <w:tab/>
        <w:t>(a)</w:t>
      </w:r>
      <w:r w:rsidRPr="004A7128">
        <w:tab/>
        <w:t>as far as it is reasonably practicable to do so</w:t>
      </w:r>
      <w:r w:rsidR="00B36537">
        <w:t>—</w:t>
      </w:r>
      <w:r w:rsidRPr="004A7128">
        <w:t>minimise or eliminate the following material risks:</w:t>
      </w:r>
    </w:p>
    <w:p w14:paraId="5F50B8BB" w14:textId="633052E9" w:rsidR="00BF1504" w:rsidRPr="00D52DF8" w:rsidRDefault="00BF1504" w:rsidP="00BF1504">
      <w:pPr>
        <w:pStyle w:val="paragraphsub"/>
      </w:pPr>
      <w:r w:rsidRPr="004A7128">
        <w:tab/>
      </w:r>
      <w:r w:rsidRPr="00D52DF8">
        <w:t>(i)</w:t>
      </w:r>
      <w:r w:rsidRPr="00D52DF8">
        <w:tab/>
        <w:t>unauthorised access, interference or exploitation of the asset’s supply chain;</w:t>
      </w:r>
    </w:p>
    <w:p w14:paraId="4FE9997F" w14:textId="3D25CC7F" w:rsidR="00BF1504" w:rsidRPr="00D52DF8" w:rsidRDefault="00BF1504" w:rsidP="00BF1504">
      <w:pPr>
        <w:pStyle w:val="paragraphsub"/>
      </w:pPr>
      <w:r w:rsidRPr="00D52DF8">
        <w:tab/>
        <w:t>(ii)</w:t>
      </w:r>
      <w:r w:rsidRPr="00D52DF8">
        <w:tab/>
        <w:t>misuse of privileged access to the asset by any provider in the supply chain;</w:t>
      </w:r>
    </w:p>
    <w:p w14:paraId="6E230444" w14:textId="0CDB635D" w:rsidR="00BF1504" w:rsidRPr="00D52DF8" w:rsidRDefault="00BF1504" w:rsidP="00BF1504">
      <w:pPr>
        <w:pStyle w:val="paragraphsub"/>
      </w:pPr>
      <w:r w:rsidRPr="00D52DF8">
        <w:tab/>
        <w:t>(iii)</w:t>
      </w:r>
      <w:r w:rsidRPr="00D52DF8">
        <w:tab/>
        <w:t>disruption of the asset due to an issue in the supply chain;</w:t>
      </w:r>
    </w:p>
    <w:p w14:paraId="577F8BB9" w14:textId="23198C9D" w:rsidR="00BF1504" w:rsidRPr="008645AC" w:rsidRDefault="00BF1504" w:rsidP="00BF1504">
      <w:pPr>
        <w:pStyle w:val="paragraphsub"/>
      </w:pPr>
      <w:r w:rsidRPr="004E65D8">
        <w:tab/>
        <w:t>(iv)</w:t>
      </w:r>
      <w:r w:rsidRPr="004E65D8">
        <w:tab/>
        <w:t>arising from threats to people</w:t>
      </w:r>
      <w:r w:rsidR="00C2284F" w:rsidRPr="008645AC">
        <w:t>, assets, equipment, products, services, distribution and intellectual property within supply chains;</w:t>
      </w:r>
    </w:p>
    <w:p w14:paraId="26342234" w14:textId="7D6C349E" w:rsidR="00C2284F" w:rsidRPr="008645AC" w:rsidRDefault="00C2284F" w:rsidP="00BF1504">
      <w:pPr>
        <w:pStyle w:val="paragraphsub"/>
      </w:pPr>
      <w:r w:rsidRPr="008645AC">
        <w:tab/>
        <w:t>(v)</w:t>
      </w:r>
      <w:r w:rsidRPr="008645AC">
        <w:tab/>
        <w:t>arising from major suppliers; and</w:t>
      </w:r>
    </w:p>
    <w:p w14:paraId="3B2B834A" w14:textId="0D78797C" w:rsidR="00C2284F" w:rsidRPr="008645AC" w:rsidRDefault="00C2284F" w:rsidP="00BF1504">
      <w:pPr>
        <w:pStyle w:val="paragraphsub"/>
      </w:pPr>
      <w:r w:rsidRPr="008645AC">
        <w:tab/>
        <w:t>(vi)</w:t>
      </w:r>
      <w:r w:rsidRPr="008645AC">
        <w:tab/>
        <w:t>any failure or lowered capacity of other assets and entities in the entity’s supply chain</w:t>
      </w:r>
      <w:r w:rsidR="0011349E">
        <w:t>;</w:t>
      </w:r>
      <w:r w:rsidR="00B36537">
        <w:t xml:space="preserve"> and</w:t>
      </w:r>
    </w:p>
    <w:p w14:paraId="4B855264" w14:textId="57353487" w:rsidR="00BF1504" w:rsidRPr="008645AC" w:rsidRDefault="00BF1504" w:rsidP="00BF1504">
      <w:pPr>
        <w:pStyle w:val="paragraph"/>
      </w:pPr>
      <w:r w:rsidRPr="008645AC">
        <w:tab/>
        <w:t>(b)</w:t>
      </w:r>
      <w:r w:rsidRPr="008645AC">
        <w:tab/>
        <w:t>as far as it is reasonably practicable to do so</w:t>
      </w:r>
      <w:r w:rsidR="00B36537">
        <w:t>—</w:t>
      </w:r>
      <w:r w:rsidRPr="008645AC">
        <w:t>mitigate the relevant impact of a supply chain hazard on the asset.</w:t>
      </w:r>
    </w:p>
    <w:p w14:paraId="738283AE" w14:textId="49C26A70" w:rsidR="00BF1504" w:rsidRPr="008645AC" w:rsidRDefault="00BF1504" w:rsidP="00BF1504">
      <w:pPr>
        <w:pStyle w:val="subsection"/>
      </w:pPr>
      <w:r w:rsidRPr="008645AC">
        <w:lastRenderedPageBreak/>
        <w:tab/>
        <w:t>(2)</w:t>
      </w:r>
      <w:r w:rsidRPr="008645AC">
        <w:tab/>
        <w:t>For the purpose of subsection</w:t>
      </w:r>
      <w:r w:rsidR="00B36537">
        <w:t>s</w:t>
      </w:r>
      <w:r w:rsidRPr="008645AC">
        <w:t xml:space="preserve"> 30AKA(1), (3) and (5) of the Act, a responsible entity must have regard to whether:</w:t>
      </w:r>
    </w:p>
    <w:p w14:paraId="386F444B" w14:textId="4DAFD004" w:rsidR="00C2284F" w:rsidRPr="008645AC" w:rsidRDefault="00C2284F" w:rsidP="00C2284F">
      <w:pPr>
        <w:pStyle w:val="paragraph"/>
      </w:pPr>
      <w:r w:rsidRPr="008645AC">
        <w:tab/>
        <w:t>(a)</w:t>
      </w:r>
      <w:r w:rsidRPr="008645AC">
        <w:tab/>
        <w:t xml:space="preserve">the </w:t>
      </w:r>
      <w:r w:rsidR="007D711B" w:rsidRPr="008645AC">
        <w:t>CI</w:t>
      </w:r>
      <w:r w:rsidR="00C4373B" w:rsidRPr="008645AC">
        <w:t>RMP</w:t>
      </w:r>
      <w:r w:rsidRPr="008645AC">
        <w:t xml:space="preserve"> lists the entity’s major suppliers; and</w:t>
      </w:r>
    </w:p>
    <w:p w14:paraId="6272F747" w14:textId="48F6B370" w:rsidR="00C2284F" w:rsidRPr="008645AC" w:rsidRDefault="00C2284F" w:rsidP="00C2284F">
      <w:pPr>
        <w:pStyle w:val="paragraph"/>
      </w:pPr>
      <w:r w:rsidRPr="008645AC">
        <w:tab/>
        <w:t>(b)</w:t>
      </w:r>
      <w:r w:rsidRPr="008645AC">
        <w:tab/>
        <w:t xml:space="preserve">the </w:t>
      </w:r>
      <w:r w:rsidR="007D711B" w:rsidRPr="008645AC">
        <w:t>CI</w:t>
      </w:r>
      <w:r w:rsidR="00C4373B" w:rsidRPr="008645AC">
        <w:t>RMP</w:t>
      </w:r>
      <w:r w:rsidRPr="008645AC">
        <w:t xml:space="preserve"> describes the supply chain hazards </w:t>
      </w:r>
      <w:r w:rsidR="0011349E">
        <w:t>that</w:t>
      </w:r>
      <w:r w:rsidR="0011349E" w:rsidRPr="008645AC">
        <w:t xml:space="preserve"> </w:t>
      </w:r>
      <w:r w:rsidRPr="008645AC">
        <w:t>could have a relevant impact on the asset</w:t>
      </w:r>
      <w:r w:rsidR="0011349E">
        <w:t>.</w:t>
      </w:r>
    </w:p>
    <w:p w14:paraId="6500AAE5" w14:textId="501D0FD5" w:rsidR="00C2284F" w:rsidRPr="008645AC" w:rsidRDefault="00BC1070" w:rsidP="00C2284F">
      <w:pPr>
        <w:pStyle w:val="ActHead5"/>
      </w:pPr>
      <w:bookmarkStart w:id="18" w:name="_Toc191588698"/>
      <w:r w:rsidRPr="008645AC">
        <w:t>1</w:t>
      </w:r>
      <w:r>
        <w:t>5</w:t>
      </w:r>
      <w:r w:rsidRPr="008645AC">
        <w:t xml:space="preserve">  </w:t>
      </w:r>
      <w:r w:rsidR="00C2284F" w:rsidRPr="008645AC">
        <w:t>Physical security hazard</w:t>
      </w:r>
      <w:r w:rsidR="00B80FB3" w:rsidRPr="008645AC">
        <w:t>s</w:t>
      </w:r>
      <w:r w:rsidR="00C2284F" w:rsidRPr="008645AC">
        <w:t xml:space="preserve"> and natural hazards</w:t>
      </w:r>
      <w:bookmarkEnd w:id="18"/>
    </w:p>
    <w:p w14:paraId="4391D87F" w14:textId="5577F88B" w:rsidR="00C2284F" w:rsidRPr="008645AC" w:rsidRDefault="00C2284F" w:rsidP="00C2284F">
      <w:pPr>
        <w:pStyle w:val="subsection"/>
      </w:pPr>
      <w:r w:rsidRPr="008645AC">
        <w:tab/>
        <w:t>(1)</w:t>
      </w:r>
      <w:r w:rsidRPr="008645AC">
        <w:tab/>
        <w:t>For the purposes of paragraph 30AH(1)(c) of the Act</w:t>
      </w:r>
      <w:r w:rsidR="00CB0D8B">
        <w:t>,</w:t>
      </w:r>
      <w:r w:rsidRPr="008645AC">
        <w:t xml:space="preserve"> </w:t>
      </w:r>
      <w:r w:rsidR="002B7BE9" w:rsidRPr="008645AC">
        <w:t xml:space="preserve">the </w:t>
      </w:r>
      <w:r w:rsidR="00B36537">
        <w:t xml:space="preserve">specified </w:t>
      </w:r>
      <w:r w:rsidR="00CB0D8B">
        <w:t xml:space="preserve">requirements with respect to physical security hazards and natural hazards </w:t>
      </w:r>
      <w:r w:rsidR="00BC1070">
        <w:t>for a CIRMP</w:t>
      </w:r>
      <w:r w:rsidR="00B36537">
        <w:t xml:space="preserve"> are that it must</w:t>
      </w:r>
      <w:r w:rsidR="002B7BE9" w:rsidRPr="008645AC">
        <w:t>:</w:t>
      </w:r>
    </w:p>
    <w:p w14:paraId="1E2DF1A1" w14:textId="0EFA8528" w:rsidR="002B7BE9" w:rsidRPr="008645AC" w:rsidRDefault="002B7BE9" w:rsidP="002B7BE9">
      <w:pPr>
        <w:pStyle w:val="paragraph"/>
      </w:pPr>
      <w:r w:rsidRPr="008645AC">
        <w:tab/>
        <w:t>(a)</w:t>
      </w:r>
      <w:r w:rsidRPr="008645AC">
        <w:tab/>
        <w:t xml:space="preserve">identify the physical critical components of the </w:t>
      </w:r>
      <w:r w:rsidR="00777E8F" w:rsidRPr="008645AC">
        <w:t xml:space="preserve">relevant </w:t>
      </w:r>
      <w:r w:rsidR="00BC1070">
        <w:t>c</w:t>
      </w:r>
      <w:r w:rsidR="00575FC7">
        <w:t>ritical infrastructure asset</w:t>
      </w:r>
      <w:r w:rsidRPr="008645AC">
        <w:t>;</w:t>
      </w:r>
    </w:p>
    <w:p w14:paraId="62FE2B72" w14:textId="13A2A05B" w:rsidR="00067FE6" w:rsidRPr="008645AC" w:rsidRDefault="00067FE6" w:rsidP="002B7BE9">
      <w:pPr>
        <w:pStyle w:val="paragraph"/>
      </w:pPr>
      <w:r w:rsidRPr="008645AC">
        <w:tab/>
        <w:t>(b)</w:t>
      </w:r>
      <w:r w:rsidRPr="008645AC">
        <w:tab/>
        <w:t>as far as is it reasonably practicable to do so</w:t>
      </w:r>
      <w:r w:rsidR="0011349E">
        <w:t>—</w:t>
      </w:r>
      <w:r w:rsidRPr="008645AC">
        <w:t>minimise or eliminate a material risk and mitigate a relevant impact, of:</w:t>
      </w:r>
    </w:p>
    <w:p w14:paraId="17C04DFB" w14:textId="2441C630" w:rsidR="004836A7" w:rsidRPr="008645AC" w:rsidRDefault="004836A7" w:rsidP="004836A7">
      <w:pPr>
        <w:pStyle w:val="paragraphsub"/>
      </w:pPr>
      <w:r w:rsidRPr="008645AC">
        <w:tab/>
        <w:t>(i)</w:t>
      </w:r>
      <w:r w:rsidRPr="008645AC">
        <w:tab/>
        <w:t>a physical security hazard on a physical critical component; and</w:t>
      </w:r>
    </w:p>
    <w:p w14:paraId="0A5CE38D" w14:textId="3806CEC7" w:rsidR="004836A7" w:rsidRPr="008645AC" w:rsidRDefault="004836A7" w:rsidP="004836A7">
      <w:pPr>
        <w:pStyle w:val="paragraphsub"/>
      </w:pPr>
      <w:r w:rsidRPr="008645AC">
        <w:tab/>
        <w:t>(ii)</w:t>
      </w:r>
      <w:r w:rsidRPr="008645AC">
        <w:tab/>
        <w:t xml:space="preserve">a natural hazard to the </w:t>
      </w:r>
      <w:r w:rsidR="004472F5" w:rsidRPr="008645AC">
        <w:t xml:space="preserve">relevant </w:t>
      </w:r>
      <w:r w:rsidR="00BC1070">
        <w:t>c</w:t>
      </w:r>
      <w:r w:rsidR="00575FC7">
        <w:t>ritical infrastructure asset</w:t>
      </w:r>
      <w:r w:rsidRPr="008645AC">
        <w:t>; and</w:t>
      </w:r>
    </w:p>
    <w:p w14:paraId="27B9FD05" w14:textId="18B6AFA3" w:rsidR="00067FE6" w:rsidRPr="008645AC" w:rsidRDefault="00067FE6" w:rsidP="002B7BE9">
      <w:pPr>
        <w:pStyle w:val="paragraph"/>
      </w:pPr>
      <w:r w:rsidRPr="008645AC">
        <w:tab/>
        <w:t>(c)</w:t>
      </w:r>
      <w:r w:rsidRPr="008645AC">
        <w:tab/>
        <w:t xml:space="preserve">respond to incidents where unauthorised access to a physical critical component </w:t>
      </w:r>
      <w:r w:rsidR="004836A7" w:rsidRPr="008645AC">
        <w:t>occurs;</w:t>
      </w:r>
    </w:p>
    <w:p w14:paraId="19A52EFE" w14:textId="035491DE" w:rsidR="004836A7" w:rsidRPr="008645AC" w:rsidRDefault="004836A7" w:rsidP="002B7BE9">
      <w:pPr>
        <w:pStyle w:val="paragraph"/>
      </w:pPr>
      <w:r w:rsidRPr="008645AC">
        <w:tab/>
        <w:t>(d)</w:t>
      </w:r>
      <w:r w:rsidRPr="008645AC">
        <w:tab/>
        <w:t>control access to physical critical components, including restricting access to only those individuals who are critical workers or accompanied visitors; and</w:t>
      </w:r>
    </w:p>
    <w:p w14:paraId="68BF22CA" w14:textId="5E6C9157" w:rsidR="004836A7" w:rsidRPr="008645AC" w:rsidRDefault="004836A7" w:rsidP="002B7BE9">
      <w:pPr>
        <w:pStyle w:val="paragraph"/>
      </w:pPr>
      <w:r w:rsidRPr="008645AC">
        <w:tab/>
        <w:t>(e)</w:t>
      </w:r>
      <w:r w:rsidRPr="008645AC">
        <w:tab/>
        <w:t xml:space="preserve">test </w:t>
      </w:r>
      <w:r w:rsidR="0011349E">
        <w:t>the extent to which</w:t>
      </w:r>
      <w:r w:rsidR="0011349E" w:rsidRPr="008645AC">
        <w:t xml:space="preserve"> </w:t>
      </w:r>
      <w:r w:rsidRPr="008645AC">
        <w:t>security arrangements for the asset are effective and appropriate to detect, delay, deter, respond to and recover from a breach in the arrangements.</w:t>
      </w:r>
    </w:p>
    <w:p w14:paraId="657AA553" w14:textId="26D4ADD4" w:rsidR="002B7BE9" w:rsidRPr="008645AC" w:rsidRDefault="002B7BE9" w:rsidP="00C2284F">
      <w:pPr>
        <w:pStyle w:val="subsection"/>
      </w:pPr>
      <w:r w:rsidRPr="008645AC">
        <w:tab/>
        <w:t>(2)</w:t>
      </w:r>
      <w:r w:rsidRPr="008645AC">
        <w:tab/>
        <w:t>For the purposes of subsections 30AKA(1), (3) and (5) of the Act, a responsible entity must have regard to whether:</w:t>
      </w:r>
    </w:p>
    <w:p w14:paraId="24658605" w14:textId="128B0380" w:rsidR="00BF1504" w:rsidRPr="008645AC" w:rsidRDefault="004836A7" w:rsidP="004836A7">
      <w:pPr>
        <w:pStyle w:val="paragraph"/>
      </w:pPr>
      <w:r w:rsidRPr="008645AC">
        <w:tab/>
        <w:t>(a)</w:t>
      </w:r>
      <w:r w:rsidRPr="008645AC">
        <w:tab/>
        <w:t xml:space="preserve">the asset’s critical components are described in the </w:t>
      </w:r>
      <w:r w:rsidR="007D711B" w:rsidRPr="008645AC">
        <w:t>CI</w:t>
      </w:r>
      <w:r w:rsidR="00C4373B" w:rsidRPr="008645AC">
        <w:t>RMP</w:t>
      </w:r>
      <w:r w:rsidRPr="008645AC">
        <w:t>;</w:t>
      </w:r>
    </w:p>
    <w:p w14:paraId="704473BA" w14:textId="5E6A8C2C" w:rsidR="004836A7" w:rsidRPr="008645AC" w:rsidRDefault="004836A7" w:rsidP="004836A7">
      <w:pPr>
        <w:pStyle w:val="paragraph"/>
      </w:pPr>
      <w:r w:rsidRPr="008645AC">
        <w:tab/>
        <w:t>(b)</w:t>
      </w:r>
      <w:r w:rsidRPr="008645AC">
        <w:tab/>
        <w:t xml:space="preserve">the physical security hazards, the occurrence of which could have a relevant impact on a physical critical components, are described in the </w:t>
      </w:r>
      <w:r w:rsidR="007D711B" w:rsidRPr="008645AC">
        <w:t>CI</w:t>
      </w:r>
      <w:r w:rsidR="00C4373B" w:rsidRPr="008645AC">
        <w:t>RMP</w:t>
      </w:r>
      <w:r w:rsidRPr="008645AC">
        <w:t>;</w:t>
      </w:r>
    </w:p>
    <w:p w14:paraId="2E9DA6B3" w14:textId="45E98D65" w:rsidR="004836A7" w:rsidRPr="008645AC" w:rsidRDefault="004836A7" w:rsidP="004836A7">
      <w:pPr>
        <w:pStyle w:val="paragraph"/>
      </w:pPr>
      <w:r w:rsidRPr="008645AC">
        <w:tab/>
        <w:t>(c)</w:t>
      </w:r>
      <w:r w:rsidRPr="008645AC">
        <w:tab/>
        <w:t xml:space="preserve">the security arrangements for the asset are described in the </w:t>
      </w:r>
      <w:r w:rsidR="007D711B" w:rsidRPr="008645AC">
        <w:t>CI</w:t>
      </w:r>
      <w:r w:rsidR="00C4373B" w:rsidRPr="008645AC">
        <w:t>RMP</w:t>
      </w:r>
      <w:r w:rsidRPr="008645AC">
        <w:t>; and</w:t>
      </w:r>
    </w:p>
    <w:p w14:paraId="7AB645CB" w14:textId="71D12932" w:rsidR="004836A7" w:rsidRPr="008645AC" w:rsidRDefault="004836A7" w:rsidP="004836A7">
      <w:pPr>
        <w:pStyle w:val="paragraph"/>
      </w:pPr>
      <w:r w:rsidRPr="008645AC">
        <w:tab/>
        <w:t>(d)</w:t>
      </w:r>
      <w:r w:rsidRPr="008645AC">
        <w:tab/>
        <w:t xml:space="preserve">the </w:t>
      </w:r>
      <w:r w:rsidR="007D711B" w:rsidRPr="008645AC">
        <w:t>CI</w:t>
      </w:r>
      <w:r w:rsidR="00C4373B" w:rsidRPr="008645AC">
        <w:t>RMP</w:t>
      </w:r>
      <w:r w:rsidRPr="008645AC">
        <w:t xml:space="preserve"> describes the natural hazards, the occurrence of which could have a relevant impact on the physical critical component.</w:t>
      </w:r>
    </w:p>
    <w:p w14:paraId="4D61BBF4" w14:textId="53F652EC" w:rsidR="00EF6FBA" w:rsidRPr="008645AC" w:rsidRDefault="00DA09B1" w:rsidP="00EF6FBA">
      <w:pPr>
        <w:pStyle w:val="ActHead2"/>
        <w:ind w:left="0" w:firstLine="0"/>
      </w:pPr>
      <w:bookmarkStart w:id="19" w:name="_Toc191588699"/>
      <w:r w:rsidRPr="008645AC">
        <w:t>Part 4</w:t>
      </w:r>
      <w:r w:rsidR="0011349E">
        <w:t>—</w:t>
      </w:r>
      <w:r w:rsidR="00EF6FBA" w:rsidRPr="008645AC">
        <w:t>Responsible entity to notify certain changes and proposed changes to telecommunications service or system</w:t>
      </w:r>
      <w:bookmarkEnd w:id="19"/>
    </w:p>
    <w:p w14:paraId="77DEAD58" w14:textId="0610B072" w:rsidR="000650AC" w:rsidRPr="008645AC" w:rsidRDefault="00BC1070" w:rsidP="000650AC">
      <w:pPr>
        <w:pStyle w:val="ActHead5"/>
      </w:pPr>
      <w:bookmarkStart w:id="20" w:name="_Toc191588700"/>
      <w:r w:rsidRPr="008645AC">
        <w:t>1</w:t>
      </w:r>
      <w:r>
        <w:t>6</w:t>
      </w:r>
      <w:r w:rsidRPr="008645AC">
        <w:t xml:space="preserve">  </w:t>
      </w:r>
      <w:r w:rsidR="000650AC" w:rsidRPr="008645AC">
        <w:t>Application provision</w:t>
      </w:r>
      <w:bookmarkEnd w:id="20"/>
    </w:p>
    <w:p w14:paraId="223D71A2" w14:textId="1928EFFD" w:rsidR="000650AC" w:rsidRPr="008645AC" w:rsidRDefault="000650AC" w:rsidP="000650AC">
      <w:pPr>
        <w:pStyle w:val="subsection"/>
      </w:pPr>
      <w:r w:rsidRPr="008645AC">
        <w:tab/>
      </w:r>
      <w:r w:rsidRPr="008645AC">
        <w:tab/>
        <w:t xml:space="preserve">For the purposes of </w:t>
      </w:r>
      <w:r w:rsidR="006302B0" w:rsidRPr="008645AC">
        <w:t xml:space="preserve">subsection 30EC(1) of the Act, a critical telecommunications asset </w:t>
      </w:r>
      <w:r w:rsidR="00E231E3" w:rsidRPr="008645AC">
        <w:t xml:space="preserve">that </w:t>
      </w:r>
      <w:r w:rsidR="0035304A" w:rsidRPr="008645AC">
        <w:t>is</w:t>
      </w:r>
      <w:r w:rsidR="00E231E3" w:rsidRPr="008645AC">
        <w:t xml:space="preserve"> owned or operated by </w:t>
      </w:r>
      <w:r w:rsidR="00C462B6" w:rsidRPr="008645AC">
        <w:t xml:space="preserve">a </w:t>
      </w:r>
      <w:r w:rsidR="00E231E3" w:rsidRPr="008645AC">
        <w:t>carrier</w:t>
      </w:r>
      <w:r w:rsidR="0035304A" w:rsidRPr="008645AC">
        <w:t xml:space="preserve"> is prescribed</w:t>
      </w:r>
      <w:r w:rsidR="00E231E3" w:rsidRPr="008645AC">
        <w:t>.</w:t>
      </w:r>
    </w:p>
    <w:p w14:paraId="40F387DC" w14:textId="3DE7126B" w:rsidR="006302B0" w:rsidRPr="008645AC" w:rsidRDefault="00BC1070" w:rsidP="006302B0">
      <w:pPr>
        <w:pStyle w:val="ActHead5"/>
      </w:pPr>
      <w:bookmarkStart w:id="21" w:name="_Toc191588701"/>
      <w:r w:rsidRPr="008645AC">
        <w:lastRenderedPageBreak/>
        <w:t>1</w:t>
      </w:r>
      <w:r>
        <w:t>7</w:t>
      </w:r>
      <w:r w:rsidRPr="008645AC">
        <w:t xml:space="preserve">  </w:t>
      </w:r>
      <w:r w:rsidR="006302B0" w:rsidRPr="008645AC">
        <w:t>Notification requirements</w:t>
      </w:r>
      <w:bookmarkEnd w:id="21"/>
    </w:p>
    <w:p w14:paraId="5B5989DA" w14:textId="21E6ACFF" w:rsidR="00EB1B06" w:rsidRPr="008645AC" w:rsidRDefault="006302B0" w:rsidP="000F21A1">
      <w:pPr>
        <w:pStyle w:val="subsection"/>
      </w:pPr>
      <w:r w:rsidRPr="008645AC">
        <w:tab/>
        <w:t>(1)</w:t>
      </w:r>
      <w:r w:rsidRPr="008645AC">
        <w:tab/>
        <w:t xml:space="preserve">For the purposes of </w:t>
      </w:r>
      <w:r w:rsidR="00EB1B06" w:rsidRPr="008645AC">
        <w:t>paragraph 30EC(2)(d) of the Act, a responsible entity must provide all information that is reasonably necessary for the Secretary to make an assessment of the change or proposed change.</w:t>
      </w:r>
    </w:p>
    <w:p w14:paraId="1DB696FC" w14:textId="530E1647" w:rsidR="00EB1B06" w:rsidRPr="008645AC" w:rsidRDefault="00EB1B06" w:rsidP="006302B0">
      <w:pPr>
        <w:pStyle w:val="subsection"/>
      </w:pPr>
      <w:r w:rsidRPr="008645AC">
        <w:tab/>
        <w:t>(</w:t>
      </w:r>
      <w:r w:rsidR="0091444E" w:rsidRPr="008645AC">
        <w:t>2</w:t>
      </w:r>
      <w:r w:rsidRPr="008645AC">
        <w:t>)</w:t>
      </w:r>
      <w:r w:rsidRPr="008645AC">
        <w:tab/>
        <w:t xml:space="preserve">Without limiting subsection (1), </w:t>
      </w:r>
      <w:r w:rsidR="00B80FB3" w:rsidRPr="008645AC">
        <w:t xml:space="preserve">and </w:t>
      </w:r>
      <w:r w:rsidR="0091444E" w:rsidRPr="008645AC">
        <w:t>for the purposes of paragraph 30EC(2)(d)</w:t>
      </w:r>
      <w:r w:rsidR="00B80FB3" w:rsidRPr="008645AC">
        <w:t xml:space="preserve"> of the Act,</w:t>
      </w:r>
      <w:r w:rsidR="0091444E" w:rsidRPr="008645AC">
        <w:t xml:space="preserve"> </w:t>
      </w:r>
      <w:r w:rsidRPr="008645AC">
        <w:t xml:space="preserve">the responsible entity must, as far as it is reasonably practicable to do so, provide </w:t>
      </w:r>
      <w:r w:rsidR="000A281D">
        <w:t xml:space="preserve">the following information </w:t>
      </w:r>
      <w:r w:rsidRPr="008645AC">
        <w:t>to the Secretary:</w:t>
      </w:r>
    </w:p>
    <w:p w14:paraId="2B8D8324" w14:textId="0A1626BF" w:rsidR="00EB1B06" w:rsidRPr="008645AC" w:rsidRDefault="00EB1B06" w:rsidP="00EB1B06">
      <w:pPr>
        <w:pStyle w:val="paragraph"/>
      </w:pPr>
      <w:r w:rsidRPr="008645AC">
        <w:tab/>
        <w:t>(a)</w:t>
      </w:r>
      <w:r w:rsidRPr="008645AC">
        <w:tab/>
        <w:t xml:space="preserve">a risk assessment </w:t>
      </w:r>
      <w:r w:rsidR="007A0B87" w:rsidRPr="008645AC">
        <w:t xml:space="preserve">of the change or proposed change </w:t>
      </w:r>
      <w:r w:rsidRPr="008645AC">
        <w:t>which considers (where relevant)</w:t>
      </w:r>
      <w:r w:rsidR="001E4CF6" w:rsidRPr="008645AC">
        <w:t>:</w:t>
      </w:r>
    </w:p>
    <w:p w14:paraId="39949F50" w14:textId="0AA26D21" w:rsidR="001E4CF6" w:rsidRPr="008645AC" w:rsidRDefault="001E4CF6" w:rsidP="001E4CF6">
      <w:pPr>
        <w:pStyle w:val="paragraphsub"/>
      </w:pPr>
      <w:r w:rsidRPr="008645AC">
        <w:tab/>
        <w:t>(i)</w:t>
      </w:r>
      <w:r w:rsidRPr="008645AC">
        <w:tab/>
        <w:t>material risks</w:t>
      </w:r>
      <w:r w:rsidR="00257D55" w:rsidRPr="008645AC">
        <w:t>;</w:t>
      </w:r>
    </w:p>
    <w:p w14:paraId="73B5FDF4" w14:textId="1C8D4BD7" w:rsidR="001E4CF6" w:rsidRPr="008645AC" w:rsidRDefault="001E4CF6" w:rsidP="001E4CF6">
      <w:pPr>
        <w:pStyle w:val="paragraphsub"/>
      </w:pPr>
      <w:r w:rsidRPr="008645AC">
        <w:tab/>
        <w:t>(ii)</w:t>
      </w:r>
      <w:r w:rsidRPr="008645AC">
        <w:tab/>
        <w:t>supply chain hazards;</w:t>
      </w:r>
    </w:p>
    <w:p w14:paraId="73A337FE" w14:textId="478FAAD5" w:rsidR="001E4CF6" w:rsidRPr="008645AC" w:rsidRDefault="001E4CF6" w:rsidP="001E4CF6">
      <w:pPr>
        <w:pStyle w:val="paragraphsub"/>
      </w:pPr>
      <w:r w:rsidRPr="008645AC">
        <w:tab/>
        <w:t>(iii)</w:t>
      </w:r>
      <w:r w:rsidRPr="008645AC">
        <w:tab/>
      </w:r>
      <w:r w:rsidR="00E231E3" w:rsidRPr="008645AC">
        <w:t>p</w:t>
      </w:r>
      <w:r w:rsidRPr="008645AC">
        <w:t>hysical security and natural hazards;</w:t>
      </w:r>
    </w:p>
    <w:p w14:paraId="2B58A020" w14:textId="34684EBD" w:rsidR="001E4CF6" w:rsidRPr="008645AC" w:rsidRDefault="001E4CF6" w:rsidP="001E4CF6">
      <w:pPr>
        <w:pStyle w:val="paragraphsub"/>
      </w:pPr>
      <w:r w:rsidRPr="008645AC">
        <w:tab/>
        <w:t>(iv)</w:t>
      </w:r>
      <w:r w:rsidRPr="008645AC">
        <w:tab/>
        <w:t>personnel hazards;</w:t>
      </w:r>
    </w:p>
    <w:p w14:paraId="20A1764A" w14:textId="5FC175AC" w:rsidR="001E4CF6" w:rsidRPr="008645AC" w:rsidRDefault="001E4CF6" w:rsidP="001E4CF6">
      <w:pPr>
        <w:pStyle w:val="paragraphsub"/>
      </w:pPr>
      <w:r w:rsidRPr="008645AC">
        <w:tab/>
        <w:t>(v)</w:t>
      </w:r>
      <w:r w:rsidRPr="008645AC">
        <w:tab/>
        <w:t>cyber and information hazards;</w:t>
      </w:r>
    </w:p>
    <w:p w14:paraId="4732D7D9" w14:textId="4437DD67" w:rsidR="00EB1B06" w:rsidRPr="008645AC" w:rsidRDefault="00EB1B06" w:rsidP="00EB1B06">
      <w:pPr>
        <w:pStyle w:val="paragraph"/>
      </w:pPr>
      <w:r w:rsidRPr="008645AC">
        <w:tab/>
        <w:t>(b)</w:t>
      </w:r>
      <w:r w:rsidRPr="008645AC">
        <w:tab/>
      </w:r>
      <w:r w:rsidR="00E231E3" w:rsidRPr="008645AC">
        <w:t xml:space="preserve">written </w:t>
      </w:r>
      <w:r w:rsidRPr="008645AC">
        <w:t xml:space="preserve">evidence that the </w:t>
      </w:r>
      <w:r w:rsidR="000F21A1" w:rsidRPr="008645AC">
        <w:t>responsible</w:t>
      </w:r>
      <w:r w:rsidRPr="008645AC">
        <w:t xml:space="preserve"> entity has</w:t>
      </w:r>
      <w:r w:rsidR="001E4CF6" w:rsidRPr="008645AC">
        <w:t>:</w:t>
      </w:r>
    </w:p>
    <w:p w14:paraId="6EFD4F89" w14:textId="528B7DDF" w:rsidR="001E4CF6" w:rsidRPr="00D52DF8" w:rsidRDefault="00D774B4" w:rsidP="00D774B4">
      <w:pPr>
        <w:pStyle w:val="paragraphsub"/>
      </w:pPr>
      <w:r w:rsidRPr="008645AC">
        <w:tab/>
        <w:t>(i)</w:t>
      </w:r>
      <w:r w:rsidRPr="008645AC">
        <w:tab/>
        <w:t xml:space="preserve">evaluated how controls could minimise or eliminate hazards or materials </w:t>
      </w:r>
      <w:r w:rsidR="00464191" w:rsidRPr="008645AC">
        <w:t>risks identified in paragraph (</w:t>
      </w:r>
      <w:r w:rsidR="00AA2060">
        <w:t>2</w:t>
      </w:r>
      <w:r w:rsidRPr="008645AC">
        <w:t>)(a</w:t>
      </w:r>
      <w:r w:rsidRPr="00D52DF8">
        <w:t>); and</w:t>
      </w:r>
    </w:p>
    <w:p w14:paraId="1B146BA6" w14:textId="0A7C9962" w:rsidR="00D774B4" w:rsidRPr="00D52DF8" w:rsidRDefault="00D774B4" w:rsidP="00D774B4">
      <w:pPr>
        <w:pStyle w:val="paragraphsub"/>
      </w:pPr>
      <w:r w:rsidRPr="00D52DF8">
        <w:tab/>
        <w:t>(ii)</w:t>
      </w:r>
      <w:r w:rsidRPr="00D52DF8">
        <w:tab/>
        <w:t>assessed the material risks of other changes that could achieve the intended project outcome</w:t>
      </w:r>
      <w:r w:rsidR="000A281D">
        <w:t>;</w:t>
      </w:r>
    </w:p>
    <w:p w14:paraId="6CD85FBF" w14:textId="4C68C05C" w:rsidR="00EB1B06" w:rsidRPr="008645AC" w:rsidRDefault="00EB1B06" w:rsidP="00EB1B06">
      <w:pPr>
        <w:pStyle w:val="paragraph"/>
      </w:pPr>
      <w:r w:rsidRPr="00D52DF8">
        <w:tab/>
        <w:t>(c)</w:t>
      </w:r>
      <w:r w:rsidRPr="00D52DF8">
        <w:tab/>
        <w:t xml:space="preserve">details on all software and hardware that are </w:t>
      </w:r>
      <w:r w:rsidR="001E4CF6" w:rsidRPr="004E65D8">
        <w:t>introduced, utilised, change</w:t>
      </w:r>
      <w:r w:rsidR="0081550E" w:rsidRPr="008645AC">
        <w:t>d</w:t>
      </w:r>
      <w:r w:rsidR="001E4CF6" w:rsidRPr="008645AC">
        <w:t xml:space="preserve"> or affected, including but not limited to:</w:t>
      </w:r>
    </w:p>
    <w:p w14:paraId="26D67299" w14:textId="08FC70C6" w:rsidR="00D774B4" w:rsidRPr="008645AC" w:rsidRDefault="00D774B4" w:rsidP="00D774B4">
      <w:pPr>
        <w:pStyle w:val="paragraphsub"/>
      </w:pPr>
      <w:r w:rsidRPr="008645AC">
        <w:tab/>
        <w:t>(i)</w:t>
      </w:r>
      <w:r w:rsidRPr="008645AC">
        <w:tab/>
        <w:t>version numbers for the relevant operating systems; and</w:t>
      </w:r>
    </w:p>
    <w:p w14:paraId="577F104E" w14:textId="67694750" w:rsidR="00D774B4" w:rsidRPr="008645AC" w:rsidRDefault="00D774B4" w:rsidP="00D774B4">
      <w:pPr>
        <w:pStyle w:val="paragraphsub"/>
      </w:pPr>
      <w:r w:rsidRPr="008645AC">
        <w:tab/>
        <w:t>(ii)</w:t>
      </w:r>
      <w:r w:rsidRPr="008645AC">
        <w:tab/>
        <w:t>other major software components</w:t>
      </w:r>
      <w:r w:rsidR="000A281D">
        <w:t>;</w:t>
      </w:r>
      <w:r w:rsidR="000A281D" w:rsidRPr="00812C08">
        <w:rPr>
          <w:noProof/>
          <w:sz w:val="20"/>
        </w:rPr>
        <w:t xml:space="preserve"> </w:t>
      </w:r>
    </w:p>
    <w:p w14:paraId="12A97442" w14:textId="6FE3C2CB" w:rsidR="001E4CF6" w:rsidRPr="008645AC" w:rsidRDefault="001E4CF6" w:rsidP="00EB1B06">
      <w:pPr>
        <w:pStyle w:val="paragraph"/>
      </w:pPr>
      <w:r w:rsidRPr="008645AC">
        <w:tab/>
        <w:t>(d)</w:t>
      </w:r>
      <w:r w:rsidRPr="008645AC">
        <w:tab/>
        <w:t>details of any major supplier relevant to the project, including any contracts or outsourcing arrangements that relate to ea</w:t>
      </w:r>
      <w:r w:rsidR="00D774B4" w:rsidRPr="008645AC">
        <w:t>ch new:</w:t>
      </w:r>
    </w:p>
    <w:p w14:paraId="0FB4C62F" w14:textId="696EFCBC" w:rsidR="00D774B4" w:rsidRPr="008645AC" w:rsidRDefault="00D774B4" w:rsidP="00D774B4">
      <w:pPr>
        <w:pStyle w:val="paragraphsub"/>
      </w:pPr>
      <w:r w:rsidRPr="008645AC">
        <w:tab/>
        <w:t>(i)</w:t>
      </w:r>
      <w:r w:rsidRPr="008645AC">
        <w:tab/>
        <w:t>hardware element; or</w:t>
      </w:r>
    </w:p>
    <w:p w14:paraId="071B0423" w14:textId="77777777" w:rsidR="00D774B4" w:rsidRPr="008645AC" w:rsidRDefault="00D774B4" w:rsidP="00D774B4">
      <w:pPr>
        <w:pStyle w:val="paragraphsub"/>
      </w:pPr>
      <w:r w:rsidRPr="008645AC">
        <w:tab/>
        <w:t>(ii)</w:t>
      </w:r>
      <w:r w:rsidRPr="008645AC">
        <w:tab/>
        <w:t>software element; or</w:t>
      </w:r>
    </w:p>
    <w:p w14:paraId="793D7549" w14:textId="4CE1A426" w:rsidR="00D774B4" w:rsidRPr="008645AC" w:rsidRDefault="00D774B4" w:rsidP="00D774B4">
      <w:pPr>
        <w:pStyle w:val="paragraphsub"/>
      </w:pPr>
      <w:r w:rsidRPr="008645AC">
        <w:tab/>
        <w:t>(iii)</w:t>
      </w:r>
      <w:r w:rsidRPr="008645AC">
        <w:tab/>
        <w:t>third party service arrangement</w:t>
      </w:r>
      <w:r w:rsidR="000A281D">
        <w:t>;</w:t>
      </w:r>
    </w:p>
    <w:p w14:paraId="4CD31F18" w14:textId="6C43EC49" w:rsidR="001E4CF6" w:rsidRPr="008645AC" w:rsidRDefault="001E4CF6" w:rsidP="00EB1B06">
      <w:pPr>
        <w:pStyle w:val="paragraph"/>
      </w:pPr>
      <w:r w:rsidRPr="008645AC">
        <w:tab/>
        <w:t>(e)</w:t>
      </w:r>
      <w:r w:rsidRPr="008645AC">
        <w:tab/>
        <w:t>detailed schematics and system documentation that describes</w:t>
      </w:r>
      <w:r w:rsidR="00AA2060">
        <w:t xml:space="preserve"> (where relevant)</w:t>
      </w:r>
      <w:r w:rsidRPr="008645AC">
        <w:t>:</w:t>
      </w:r>
    </w:p>
    <w:p w14:paraId="3DD1F9AC" w14:textId="5785DEF4" w:rsidR="001D2630" w:rsidRPr="008645AC" w:rsidRDefault="001D2630" w:rsidP="001D2630">
      <w:pPr>
        <w:pStyle w:val="paragraphsub"/>
      </w:pPr>
      <w:r w:rsidRPr="008645AC">
        <w:tab/>
        <w:t>(i)</w:t>
      </w:r>
      <w:r w:rsidRPr="008645AC">
        <w:tab/>
        <w:t>interfaces with existing elements of the critical telecommunications asset;</w:t>
      </w:r>
    </w:p>
    <w:p w14:paraId="6AC5F0A0" w14:textId="64F43D60" w:rsidR="001D2630" w:rsidRPr="008645AC" w:rsidRDefault="00E231E3" w:rsidP="001D2630">
      <w:pPr>
        <w:pStyle w:val="paragraphsub"/>
      </w:pPr>
      <w:r w:rsidRPr="008645AC">
        <w:tab/>
        <w:t>(ii)</w:t>
      </w:r>
      <w:r w:rsidRPr="008645AC">
        <w:tab/>
        <w:t>security controls; </w:t>
      </w:r>
    </w:p>
    <w:p w14:paraId="46AD17D2" w14:textId="485D3358" w:rsidR="001D2630" w:rsidRPr="008645AC" w:rsidRDefault="001D2630" w:rsidP="001D2630">
      <w:pPr>
        <w:pStyle w:val="paragraphsub"/>
      </w:pPr>
      <w:r w:rsidRPr="008645AC">
        <w:tab/>
        <w:t>(iii)</w:t>
      </w:r>
      <w:r w:rsidRPr="008645AC">
        <w:tab/>
        <w:t xml:space="preserve">how business critical data used in connection with any computer introduced by the proposed change is used or stored; and  </w:t>
      </w:r>
    </w:p>
    <w:p w14:paraId="67E48EE4" w14:textId="076328B7" w:rsidR="001D2630" w:rsidRPr="008645AC" w:rsidRDefault="001D2630" w:rsidP="001D2630">
      <w:pPr>
        <w:pStyle w:val="paragraphsub"/>
      </w:pPr>
      <w:r w:rsidRPr="008645AC">
        <w:tab/>
        <w:t>(iv)</w:t>
      </w:r>
      <w:r w:rsidRPr="008645AC">
        <w:tab/>
        <w:t>network-to-network interfaces with third party systems, including other critical telecommunications assets</w:t>
      </w:r>
      <w:r w:rsidR="000A281D">
        <w:t>;</w:t>
      </w:r>
    </w:p>
    <w:p w14:paraId="370A2FE9" w14:textId="021D9EF8" w:rsidR="001E4CF6" w:rsidRPr="008645AC" w:rsidRDefault="001E4CF6" w:rsidP="00EB1B06">
      <w:pPr>
        <w:pStyle w:val="paragraph"/>
      </w:pPr>
      <w:r w:rsidRPr="008645AC">
        <w:tab/>
        <w:t>(f)</w:t>
      </w:r>
      <w:r w:rsidRPr="008645AC">
        <w:tab/>
        <w:t>a timeline of the planning, development and implementation of the proposed changes;</w:t>
      </w:r>
    </w:p>
    <w:p w14:paraId="547491D9" w14:textId="0C69A652" w:rsidR="006302B0" w:rsidRPr="000650AC" w:rsidRDefault="001E4CF6" w:rsidP="00122BB7">
      <w:pPr>
        <w:pStyle w:val="paragraph"/>
        <w:sectPr w:rsidR="006302B0" w:rsidRPr="000650AC"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pPr>
      <w:r w:rsidRPr="008645AC">
        <w:tab/>
        <w:t>(g)</w:t>
      </w:r>
      <w:r w:rsidRPr="008645AC">
        <w:tab/>
        <w:t>any other relevant information.</w:t>
      </w:r>
    </w:p>
    <w:p w14:paraId="438EA050" w14:textId="3645EF78" w:rsidR="00A75FE9" w:rsidRDefault="00A75FE9" w:rsidP="00783F3C">
      <w:pPr>
        <w:pStyle w:val="BodyPara"/>
        <w:numPr>
          <w:ilvl w:val="0"/>
          <w:numId w:val="0"/>
        </w:numPr>
      </w:pPr>
    </w:p>
    <w:sectPr w:rsidR="00A75FE9" w:rsidSect="007E6F7D">
      <w:type w:val="continuous"/>
      <w:pgSz w:w="11907" w:h="16839" w:code="9"/>
      <w:pgMar w:top="2234" w:right="1797" w:bottom="1440" w:left="1797" w:header="720" w:footer="709"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8DF7D6" w16cid:durableId="2AE60AB3"/>
  <w16cid:commentId w16cid:paraId="5F1770C9" w16cid:durableId="2AE60AC6"/>
  <w16cid:commentId w16cid:paraId="2D94E588" w16cid:durableId="2AE60B01"/>
  <w16cid:commentId w16cid:paraId="3EE1EB73" w16cid:durableId="2AE60D31"/>
  <w16cid:commentId w16cid:paraId="48B10230" w16cid:durableId="2AE966D1"/>
  <w16cid:commentId w16cid:paraId="2EB73D48" w16cid:durableId="2AE60D1E"/>
  <w16cid:commentId w16cid:paraId="14256FC9" w16cid:durableId="2AE60D06"/>
  <w16cid:commentId w16cid:paraId="68A68F92" w16cid:durableId="2AE60E6D"/>
  <w16cid:commentId w16cid:paraId="2F8CDB85" w16cid:durableId="2AE6D1C0"/>
  <w16cid:commentId w16cid:paraId="5F4CDAD7" w16cid:durableId="2AE60DCB"/>
  <w16cid:commentId w16cid:paraId="1FEA01BC" w16cid:durableId="2AE610A8"/>
  <w16cid:commentId w16cid:paraId="18E958AE" w16cid:durableId="2AE6D3A7"/>
  <w16cid:commentId w16cid:paraId="663E864C" w16cid:durableId="2AE624B6"/>
  <w16cid:commentId w16cid:paraId="2BE0522A" w16cid:durableId="2AE96777"/>
  <w16cid:commentId w16cid:paraId="4A2216AF" w16cid:durableId="2AE62568"/>
  <w16cid:commentId w16cid:paraId="1DB23A0B" w16cid:durableId="2AE987F5"/>
  <w16cid:commentId w16cid:paraId="43035E75" w16cid:durableId="2AE6FB0C"/>
  <w16cid:commentId w16cid:paraId="1D20A420" w16cid:durableId="2AE626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ED0F7" w14:textId="77777777" w:rsidR="000F603D" w:rsidRDefault="000F603D" w:rsidP="00715914">
      <w:pPr>
        <w:spacing w:line="240" w:lineRule="auto"/>
      </w:pPr>
      <w:r>
        <w:separator/>
      </w:r>
    </w:p>
  </w:endnote>
  <w:endnote w:type="continuationSeparator" w:id="0">
    <w:p w14:paraId="33666162" w14:textId="77777777" w:rsidR="000F603D" w:rsidRDefault="000F603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A6E5E" w14:textId="77777777" w:rsidR="000F603D" w:rsidRPr="00E33C1C" w:rsidRDefault="000F603D"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F603D" w14:paraId="53F9D630" w14:textId="77777777" w:rsidTr="00B33709">
      <w:tc>
        <w:tcPr>
          <w:tcW w:w="709" w:type="dxa"/>
          <w:tcBorders>
            <w:top w:val="nil"/>
            <w:left w:val="nil"/>
            <w:bottom w:val="nil"/>
            <w:right w:val="nil"/>
          </w:tcBorders>
        </w:tcPr>
        <w:p w14:paraId="1518CA1E" w14:textId="77777777" w:rsidR="000F603D" w:rsidRDefault="000F603D"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30E9CB0" w14:textId="3706B801" w:rsidR="000F603D" w:rsidRPr="004E1307" w:rsidRDefault="000F603D"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Security of Critical Infrastructure (Telecommunications Security and Risk Management Program) Rules 2024</w:t>
          </w:r>
          <w:r w:rsidRPr="004E1307">
            <w:rPr>
              <w:i/>
              <w:sz w:val="18"/>
            </w:rPr>
            <w:fldChar w:fldCharType="end"/>
          </w:r>
        </w:p>
      </w:tc>
      <w:tc>
        <w:tcPr>
          <w:tcW w:w="1383" w:type="dxa"/>
          <w:tcBorders>
            <w:top w:val="nil"/>
            <w:left w:val="nil"/>
            <w:bottom w:val="nil"/>
            <w:right w:val="nil"/>
          </w:tcBorders>
        </w:tcPr>
        <w:p w14:paraId="129E0A32" w14:textId="77777777" w:rsidR="000F603D" w:rsidRDefault="000F603D" w:rsidP="00A369E3">
          <w:pPr>
            <w:spacing w:line="0" w:lineRule="atLeast"/>
            <w:jc w:val="right"/>
            <w:rPr>
              <w:sz w:val="18"/>
            </w:rPr>
          </w:pPr>
        </w:p>
      </w:tc>
    </w:tr>
    <w:tr w:rsidR="000F603D" w14:paraId="76F1DCEB"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29AC7DB" w14:textId="77777777" w:rsidR="000F603D" w:rsidRDefault="000F603D" w:rsidP="00A369E3">
          <w:pPr>
            <w:jc w:val="right"/>
            <w:rPr>
              <w:sz w:val="18"/>
            </w:rPr>
          </w:pPr>
        </w:p>
      </w:tc>
    </w:tr>
  </w:tbl>
  <w:p w14:paraId="37B524B3" w14:textId="77777777" w:rsidR="000F603D" w:rsidRPr="00ED79B6" w:rsidRDefault="000F603D"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3F665" w14:textId="77777777" w:rsidR="000F603D" w:rsidRPr="00E33C1C" w:rsidRDefault="000F603D"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F603D" w14:paraId="2FCDB9BB" w14:textId="77777777" w:rsidTr="00A369E3">
      <w:tc>
        <w:tcPr>
          <w:tcW w:w="1384" w:type="dxa"/>
          <w:tcBorders>
            <w:top w:val="nil"/>
            <w:left w:val="nil"/>
            <w:bottom w:val="nil"/>
            <w:right w:val="nil"/>
          </w:tcBorders>
        </w:tcPr>
        <w:p w14:paraId="34B04C4C" w14:textId="77777777" w:rsidR="000F603D" w:rsidRDefault="000F603D" w:rsidP="00A369E3">
          <w:pPr>
            <w:spacing w:line="0" w:lineRule="atLeast"/>
            <w:rPr>
              <w:sz w:val="18"/>
            </w:rPr>
          </w:pPr>
        </w:p>
      </w:tc>
      <w:tc>
        <w:tcPr>
          <w:tcW w:w="6379" w:type="dxa"/>
          <w:tcBorders>
            <w:top w:val="nil"/>
            <w:left w:val="nil"/>
            <w:bottom w:val="nil"/>
            <w:right w:val="nil"/>
          </w:tcBorders>
        </w:tcPr>
        <w:p w14:paraId="6A6BBDA6" w14:textId="4D7F04FD" w:rsidR="000F603D" w:rsidRDefault="000F603D"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Security of Critical Infrastructure (Telecommunications Security and Risk Management Program) Rules 2024</w:t>
          </w:r>
          <w:r w:rsidRPr="004E1307">
            <w:rPr>
              <w:i/>
              <w:sz w:val="18"/>
            </w:rPr>
            <w:fldChar w:fldCharType="end"/>
          </w:r>
        </w:p>
      </w:tc>
      <w:tc>
        <w:tcPr>
          <w:tcW w:w="709" w:type="dxa"/>
          <w:tcBorders>
            <w:top w:val="nil"/>
            <w:left w:val="nil"/>
            <w:bottom w:val="nil"/>
            <w:right w:val="nil"/>
          </w:tcBorders>
        </w:tcPr>
        <w:p w14:paraId="4257726E" w14:textId="77777777" w:rsidR="000F603D" w:rsidRDefault="000F603D"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F603D" w14:paraId="7BA5FCAF"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25B17A0" w14:textId="77777777" w:rsidR="000F603D" w:rsidRDefault="000F603D" w:rsidP="00A369E3">
          <w:pPr>
            <w:rPr>
              <w:sz w:val="18"/>
            </w:rPr>
          </w:pPr>
        </w:p>
      </w:tc>
    </w:tr>
  </w:tbl>
  <w:p w14:paraId="29DBC22F" w14:textId="77777777" w:rsidR="000F603D" w:rsidRPr="00ED79B6" w:rsidRDefault="000F603D"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5EAA" w14:textId="77777777" w:rsidR="000F603D" w:rsidRPr="00E33C1C" w:rsidRDefault="000F603D"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F603D" w14:paraId="661C3D8A" w14:textId="77777777" w:rsidTr="00B33709">
      <w:tc>
        <w:tcPr>
          <w:tcW w:w="1384" w:type="dxa"/>
          <w:tcBorders>
            <w:top w:val="nil"/>
            <w:left w:val="nil"/>
            <w:bottom w:val="nil"/>
            <w:right w:val="nil"/>
          </w:tcBorders>
        </w:tcPr>
        <w:p w14:paraId="51228330" w14:textId="77777777" w:rsidR="000F603D" w:rsidRDefault="000F603D" w:rsidP="00A369E3">
          <w:pPr>
            <w:spacing w:line="0" w:lineRule="atLeast"/>
            <w:rPr>
              <w:sz w:val="18"/>
            </w:rPr>
          </w:pPr>
        </w:p>
      </w:tc>
      <w:tc>
        <w:tcPr>
          <w:tcW w:w="6379" w:type="dxa"/>
          <w:tcBorders>
            <w:top w:val="nil"/>
            <w:left w:val="nil"/>
            <w:bottom w:val="nil"/>
            <w:right w:val="nil"/>
          </w:tcBorders>
        </w:tcPr>
        <w:p w14:paraId="340FA3B4" w14:textId="77777777" w:rsidR="000F603D" w:rsidRDefault="000F603D" w:rsidP="00A369E3">
          <w:pPr>
            <w:spacing w:line="0" w:lineRule="atLeast"/>
            <w:jc w:val="center"/>
            <w:rPr>
              <w:sz w:val="18"/>
            </w:rPr>
          </w:pPr>
        </w:p>
      </w:tc>
      <w:tc>
        <w:tcPr>
          <w:tcW w:w="709" w:type="dxa"/>
          <w:tcBorders>
            <w:top w:val="nil"/>
            <w:left w:val="nil"/>
            <w:bottom w:val="nil"/>
            <w:right w:val="nil"/>
          </w:tcBorders>
        </w:tcPr>
        <w:p w14:paraId="5707ED02" w14:textId="77777777" w:rsidR="000F603D" w:rsidRDefault="000F603D" w:rsidP="00A369E3">
          <w:pPr>
            <w:spacing w:line="0" w:lineRule="atLeast"/>
            <w:jc w:val="right"/>
            <w:rPr>
              <w:sz w:val="18"/>
            </w:rPr>
          </w:pPr>
        </w:p>
      </w:tc>
    </w:tr>
  </w:tbl>
  <w:p w14:paraId="6471D2D6" w14:textId="77777777" w:rsidR="000F603D" w:rsidRPr="00ED79B6" w:rsidRDefault="000F603D"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43695" w14:textId="77777777" w:rsidR="000F603D" w:rsidRPr="002B0EA5" w:rsidRDefault="000F603D" w:rsidP="0060645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F603D" w14:paraId="0ED20FAB" w14:textId="77777777" w:rsidTr="0060645E">
      <w:tc>
        <w:tcPr>
          <w:tcW w:w="365" w:type="pct"/>
        </w:tcPr>
        <w:p w14:paraId="18AEB172" w14:textId="793AC6E9" w:rsidR="000F603D" w:rsidRDefault="000F603D" w:rsidP="0060645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F1015">
            <w:rPr>
              <w:i/>
              <w:noProof/>
              <w:sz w:val="18"/>
            </w:rPr>
            <w:t>ii</w:t>
          </w:r>
          <w:r w:rsidRPr="00ED79B6">
            <w:rPr>
              <w:i/>
              <w:sz w:val="18"/>
            </w:rPr>
            <w:fldChar w:fldCharType="end"/>
          </w:r>
        </w:p>
      </w:tc>
      <w:tc>
        <w:tcPr>
          <w:tcW w:w="3688" w:type="pct"/>
        </w:tcPr>
        <w:p w14:paraId="00DA288D" w14:textId="61B0FC1A" w:rsidR="000F603D" w:rsidRDefault="000F603D" w:rsidP="0060645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3F1015">
            <w:rPr>
              <w:i/>
              <w:noProof/>
              <w:sz w:val="18"/>
            </w:rPr>
            <w:t>Security of Critical Infrastructure (Telecommunications Security and Risk Management Program) Rules 2025</w:t>
          </w:r>
          <w:r w:rsidRPr="004E1307">
            <w:rPr>
              <w:i/>
              <w:sz w:val="18"/>
            </w:rPr>
            <w:fldChar w:fldCharType="end"/>
          </w:r>
        </w:p>
      </w:tc>
      <w:tc>
        <w:tcPr>
          <w:tcW w:w="947" w:type="pct"/>
        </w:tcPr>
        <w:p w14:paraId="4C525D4C" w14:textId="77777777" w:rsidR="000F603D" w:rsidRDefault="000F603D" w:rsidP="0060645E">
          <w:pPr>
            <w:spacing w:line="0" w:lineRule="atLeast"/>
            <w:jc w:val="right"/>
            <w:rPr>
              <w:sz w:val="18"/>
            </w:rPr>
          </w:pPr>
        </w:p>
      </w:tc>
    </w:tr>
    <w:tr w:rsidR="000F603D" w14:paraId="13D830EF" w14:textId="77777777" w:rsidTr="0060645E">
      <w:tc>
        <w:tcPr>
          <w:tcW w:w="5000" w:type="pct"/>
          <w:gridSpan w:val="3"/>
        </w:tcPr>
        <w:p w14:paraId="2BAFD702" w14:textId="77777777" w:rsidR="000F603D" w:rsidRDefault="000F603D" w:rsidP="0060645E">
          <w:pPr>
            <w:jc w:val="right"/>
            <w:rPr>
              <w:sz w:val="18"/>
            </w:rPr>
          </w:pPr>
        </w:p>
      </w:tc>
    </w:tr>
  </w:tbl>
  <w:p w14:paraId="67DA060E" w14:textId="77777777" w:rsidR="000F603D" w:rsidRPr="00ED79B6" w:rsidRDefault="000F603D" w:rsidP="0060645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53E6B" w14:textId="77777777" w:rsidR="000F603D" w:rsidRPr="002B0EA5" w:rsidRDefault="000F603D" w:rsidP="0060645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F603D" w14:paraId="20D15860" w14:textId="77777777" w:rsidTr="0060645E">
      <w:tc>
        <w:tcPr>
          <w:tcW w:w="947" w:type="pct"/>
        </w:tcPr>
        <w:p w14:paraId="29686929" w14:textId="77777777" w:rsidR="000F603D" w:rsidRDefault="000F603D" w:rsidP="0060645E">
          <w:pPr>
            <w:spacing w:line="0" w:lineRule="atLeast"/>
            <w:rPr>
              <w:sz w:val="18"/>
            </w:rPr>
          </w:pPr>
        </w:p>
      </w:tc>
      <w:tc>
        <w:tcPr>
          <w:tcW w:w="3688" w:type="pct"/>
        </w:tcPr>
        <w:p w14:paraId="25971F04" w14:textId="392A75E3" w:rsidR="000F603D" w:rsidRDefault="000F603D" w:rsidP="0060645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26BEB">
            <w:rPr>
              <w:i/>
              <w:noProof/>
              <w:sz w:val="18"/>
            </w:rPr>
            <w:t>Security of Critical Infrastructure (Telecommunications Security and Risk Management Program) Rules 2025</w:t>
          </w:r>
          <w:r w:rsidRPr="004E1307">
            <w:rPr>
              <w:i/>
              <w:sz w:val="18"/>
            </w:rPr>
            <w:fldChar w:fldCharType="end"/>
          </w:r>
        </w:p>
      </w:tc>
      <w:tc>
        <w:tcPr>
          <w:tcW w:w="365" w:type="pct"/>
        </w:tcPr>
        <w:p w14:paraId="318D9D1E" w14:textId="768D7C36" w:rsidR="000F603D" w:rsidRDefault="000F603D" w:rsidP="0060645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6BEB">
            <w:rPr>
              <w:i/>
              <w:noProof/>
              <w:sz w:val="18"/>
            </w:rPr>
            <w:t>i</w:t>
          </w:r>
          <w:r w:rsidRPr="00ED79B6">
            <w:rPr>
              <w:i/>
              <w:sz w:val="18"/>
            </w:rPr>
            <w:fldChar w:fldCharType="end"/>
          </w:r>
        </w:p>
      </w:tc>
    </w:tr>
    <w:tr w:rsidR="000F603D" w14:paraId="74041EEF" w14:textId="77777777" w:rsidTr="0060645E">
      <w:tc>
        <w:tcPr>
          <w:tcW w:w="5000" w:type="pct"/>
          <w:gridSpan w:val="3"/>
        </w:tcPr>
        <w:p w14:paraId="1A381180" w14:textId="77777777" w:rsidR="000F603D" w:rsidRDefault="000F603D" w:rsidP="0060645E">
          <w:pPr>
            <w:rPr>
              <w:sz w:val="18"/>
            </w:rPr>
          </w:pPr>
        </w:p>
      </w:tc>
    </w:tr>
  </w:tbl>
  <w:p w14:paraId="5D23A2F2" w14:textId="77777777" w:rsidR="000F603D" w:rsidRPr="00ED79B6" w:rsidRDefault="000F603D" w:rsidP="0060645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5D90A" w14:textId="77777777" w:rsidR="000F603D" w:rsidRPr="002B0EA5" w:rsidRDefault="000F603D" w:rsidP="0060645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F603D" w14:paraId="6EF9ECB3" w14:textId="77777777" w:rsidTr="0060645E">
      <w:tc>
        <w:tcPr>
          <w:tcW w:w="365" w:type="pct"/>
        </w:tcPr>
        <w:p w14:paraId="5FF41718" w14:textId="6E391AA0" w:rsidR="000F603D" w:rsidRDefault="000F603D" w:rsidP="0060645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6BEB">
            <w:rPr>
              <w:i/>
              <w:noProof/>
              <w:sz w:val="18"/>
            </w:rPr>
            <w:t>10</w:t>
          </w:r>
          <w:r w:rsidRPr="00ED79B6">
            <w:rPr>
              <w:i/>
              <w:sz w:val="18"/>
            </w:rPr>
            <w:fldChar w:fldCharType="end"/>
          </w:r>
        </w:p>
      </w:tc>
      <w:tc>
        <w:tcPr>
          <w:tcW w:w="3688" w:type="pct"/>
        </w:tcPr>
        <w:p w14:paraId="3226D1FB" w14:textId="0B362083" w:rsidR="000F603D" w:rsidRDefault="000F603D" w:rsidP="0060645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26BEB">
            <w:rPr>
              <w:i/>
              <w:noProof/>
              <w:sz w:val="18"/>
            </w:rPr>
            <w:t>Security of Critical Infrastructure (Telecommunications Security and Risk Management Program) Rules 2025</w:t>
          </w:r>
          <w:r w:rsidRPr="004E1307">
            <w:rPr>
              <w:i/>
              <w:sz w:val="18"/>
            </w:rPr>
            <w:fldChar w:fldCharType="end"/>
          </w:r>
        </w:p>
      </w:tc>
      <w:tc>
        <w:tcPr>
          <w:tcW w:w="947" w:type="pct"/>
        </w:tcPr>
        <w:p w14:paraId="165250FE" w14:textId="77777777" w:rsidR="000F603D" w:rsidRDefault="000F603D" w:rsidP="0060645E">
          <w:pPr>
            <w:spacing w:line="0" w:lineRule="atLeast"/>
            <w:jc w:val="right"/>
            <w:rPr>
              <w:sz w:val="18"/>
            </w:rPr>
          </w:pPr>
        </w:p>
      </w:tc>
    </w:tr>
    <w:tr w:rsidR="000F603D" w14:paraId="17284C4B" w14:textId="77777777" w:rsidTr="0060645E">
      <w:tc>
        <w:tcPr>
          <w:tcW w:w="5000" w:type="pct"/>
          <w:gridSpan w:val="3"/>
        </w:tcPr>
        <w:p w14:paraId="04FA735C" w14:textId="77777777" w:rsidR="000F603D" w:rsidRDefault="000F603D" w:rsidP="0060645E">
          <w:pPr>
            <w:jc w:val="right"/>
            <w:rPr>
              <w:sz w:val="18"/>
            </w:rPr>
          </w:pPr>
        </w:p>
      </w:tc>
    </w:tr>
  </w:tbl>
  <w:p w14:paraId="000391BF" w14:textId="77777777" w:rsidR="000F603D" w:rsidRPr="00ED79B6" w:rsidRDefault="000F603D" w:rsidP="0060645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755CD" w14:textId="77777777" w:rsidR="000F603D" w:rsidRPr="002B0EA5" w:rsidRDefault="000F603D" w:rsidP="0060645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F603D" w14:paraId="24B06305" w14:textId="77777777" w:rsidTr="0060645E">
      <w:tc>
        <w:tcPr>
          <w:tcW w:w="947" w:type="pct"/>
        </w:tcPr>
        <w:p w14:paraId="21A38EA0" w14:textId="77777777" w:rsidR="000F603D" w:rsidRDefault="000F603D" w:rsidP="0060645E">
          <w:pPr>
            <w:spacing w:line="0" w:lineRule="atLeast"/>
            <w:rPr>
              <w:sz w:val="18"/>
            </w:rPr>
          </w:pPr>
        </w:p>
      </w:tc>
      <w:tc>
        <w:tcPr>
          <w:tcW w:w="3688" w:type="pct"/>
        </w:tcPr>
        <w:p w14:paraId="1AA356A3" w14:textId="30BB0337" w:rsidR="000F603D" w:rsidRDefault="000F603D" w:rsidP="0060645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26BEB">
            <w:rPr>
              <w:i/>
              <w:noProof/>
              <w:sz w:val="18"/>
            </w:rPr>
            <w:t>Security of Critical Infrastructure (Telecommunications Security and Risk Management Program) Rules 2025</w:t>
          </w:r>
          <w:r w:rsidRPr="004E1307">
            <w:rPr>
              <w:i/>
              <w:sz w:val="18"/>
            </w:rPr>
            <w:fldChar w:fldCharType="end"/>
          </w:r>
        </w:p>
      </w:tc>
      <w:tc>
        <w:tcPr>
          <w:tcW w:w="365" w:type="pct"/>
        </w:tcPr>
        <w:p w14:paraId="073F5BC6" w14:textId="221B792E" w:rsidR="000F603D" w:rsidRDefault="000F603D" w:rsidP="0060645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6BEB">
            <w:rPr>
              <w:i/>
              <w:noProof/>
              <w:sz w:val="18"/>
            </w:rPr>
            <w:t>9</w:t>
          </w:r>
          <w:r w:rsidRPr="00ED79B6">
            <w:rPr>
              <w:i/>
              <w:sz w:val="18"/>
            </w:rPr>
            <w:fldChar w:fldCharType="end"/>
          </w:r>
        </w:p>
      </w:tc>
    </w:tr>
    <w:tr w:rsidR="000F603D" w14:paraId="53A72526" w14:textId="77777777" w:rsidTr="0060645E">
      <w:tc>
        <w:tcPr>
          <w:tcW w:w="5000" w:type="pct"/>
          <w:gridSpan w:val="3"/>
        </w:tcPr>
        <w:p w14:paraId="1DD3711D" w14:textId="77777777" w:rsidR="000F603D" w:rsidRDefault="000F603D" w:rsidP="0060645E">
          <w:pPr>
            <w:rPr>
              <w:sz w:val="18"/>
            </w:rPr>
          </w:pPr>
        </w:p>
      </w:tc>
    </w:tr>
  </w:tbl>
  <w:p w14:paraId="4E4904CF" w14:textId="77777777" w:rsidR="000F603D" w:rsidRPr="00ED79B6" w:rsidRDefault="000F603D" w:rsidP="0060645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8049B" w14:textId="77777777" w:rsidR="000F603D" w:rsidRDefault="000F603D" w:rsidP="00715914">
      <w:pPr>
        <w:spacing w:line="240" w:lineRule="auto"/>
      </w:pPr>
      <w:r>
        <w:separator/>
      </w:r>
    </w:p>
  </w:footnote>
  <w:footnote w:type="continuationSeparator" w:id="0">
    <w:p w14:paraId="0359B6CA" w14:textId="77777777" w:rsidR="000F603D" w:rsidRDefault="000F603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5F6D1" w14:textId="77777777" w:rsidR="000F603D" w:rsidRPr="005F1388" w:rsidRDefault="000F603D"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47AB" w14:textId="77777777" w:rsidR="000F603D" w:rsidRPr="005F1388" w:rsidRDefault="000F603D"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4BF5" w14:textId="77777777" w:rsidR="000F603D" w:rsidRPr="00ED79B6" w:rsidRDefault="000F603D" w:rsidP="0060645E">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1BA5" w14:textId="77777777" w:rsidR="000F603D" w:rsidRPr="00ED79B6" w:rsidRDefault="000F603D" w:rsidP="0060645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4718C" w14:textId="77777777" w:rsidR="000F603D" w:rsidRPr="00ED79B6" w:rsidRDefault="000F603D"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B65BA" w14:textId="77777777" w:rsidR="000F603D" w:rsidRDefault="000F603D" w:rsidP="00715914">
    <w:pPr>
      <w:rPr>
        <w:sz w:val="20"/>
      </w:rPr>
    </w:pPr>
  </w:p>
  <w:p w14:paraId="3B2A56EE" w14:textId="77777777" w:rsidR="000F603D" w:rsidRDefault="000F603D" w:rsidP="00715914">
    <w:pPr>
      <w:rPr>
        <w:sz w:val="20"/>
      </w:rPr>
    </w:pPr>
  </w:p>
  <w:p w14:paraId="6255B170" w14:textId="77777777" w:rsidR="000F603D" w:rsidRPr="007A1328" w:rsidRDefault="000F603D" w:rsidP="00715914">
    <w:pPr>
      <w:rPr>
        <w:sz w:val="20"/>
      </w:rPr>
    </w:pPr>
  </w:p>
  <w:p w14:paraId="0C8512BF" w14:textId="77777777" w:rsidR="000F603D" w:rsidRPr="007A1328" w:rsidRDefault="000F603D" w:rsidP="00715914">
    <w:pPr>
      <w:rPr>
        <w:b/>
        <w:sz w:val="24"/>
      </w:rPr>
    </w:pPr>
  </w:p>
  <w:p w14:paraId="682CE2EE" w14:textId="77777777" w:rsidR="000F603D" w:rsidRPr="007A1328" w:rsidRDefault="000F603D"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7A08A" w14:textId="77777777" w:rsidR="000F603D" w:rsidRPr="007A1328" w:rsidRDefault="000F603D" w:rsidP="00715914">
    <w:pPr>
      <w:jc w:val="right"/>
      <w:rPr>
        <w:sz w:val="20"/>
      </w:rPr>
    </w:pPr>
  </w:p>
  <w:p w14:paraId="5CE69457" w14:textId="77777777" w:rsidR="000F603D" w:rsidRPr="007A1328" w:rsidRDefault="000F603D" w:rsidP="00715914">
    <w:pPr>
      <w:jc w:val="right"/>
      <w:rPr>
        <w:sz w:val="20"/>
      </w:rPr>
    </w:pPr>
  </w:p>
  <w:p w14:paraId="14D5AF04" w14:textId="77777777" w:rsidR="000F603D" w:rsidRPr="007A1328" w:rsidRDefault="000F603D" w:rsidP="00715914">
    <w:pPr>
      <w:jc w:val="right"/>
      <w:rPr>
        <w:sz w:val="20"/>
      </w:rPr>
    </w:pPr>
  </w:p>
  <w:p w14:paraId="64A7E506" w14:textId="77777777" w:rsidR="000F603D" w:rsidRPr="007A1328" w:rsidRDefault="000F603D" w:rsidP="00715914">
    <w:pPr>
      <w:jc w:val="right"/>
      <w:rPr>
        <w:b/>
        <w:sz w:val="24"/>
      </w:rPr>
    </w:pPr>
  </w:p>
  <w:p w14:paraId="1809F657" w14:textId="77777777" w:rsidR="000F603D" w:rsidRPr="007A1328" w:rsidRDefault="000F603D"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38FC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CCF6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468D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98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C603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3015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906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E8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C6F3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8AA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F606FEF"/>
    <w:multiLevelType w:val="hybridMultilevel"/>
    <w:tmpl w:val="88521F78"/>
    <w:lvl w:ilvl="0" w:tplc="D980BE20">
      <w:start w:val="1"/>
      <w:numFmt w:val="lowerLetter"/>
      <w:lvlText w:val="(%1)"/>
      <w:lvlJc w:val="left"/>
      <w:pPr>
        <w:ind w:left="2355" w:hanging="37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3" w15:restartNumberingAfterBreak="0">
    <w:nsid w:val="3ABA402B"/>
    <w:multiLevelType w:val="hybridMultilevel"/>
    <w:tmpl w:val="E7A0AA80"/>
    <w:lvl w:ilvl="0" w:tplc="DF60E28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45B97ED9"/>
    <w:multiLevelType w:val="hybridMultilevel"/>
    <w:tmpl w:val="38C2F9FE"/>
    <w:lvl w:ilvl="0" w:tplc="DF60E28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6" w15:restartNumberingAfterBreak="0">
    <w:nsid w:val="45D8394E"/>
    <w:multiLevelType w:val="hybridMultilevel"/>
    <w:tmpl w:val="2BCC89DE"/>
    <w:lvl w:ilvl="0" w:tplc="1EFC117C">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15:restartNumberingAfterBreak="0">
    <w:nsid w:val="535A717F"/>
    <w:multiLevelType w:val="hybridMultilevel"/>
    <w:tmpl w:val="EF86A4E8"/>
    <w:lvl w:ilvl="0" w:tplc="DF60E28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8" w15:restartNumberingAfterBreak="0">
    <w:nsid w:val="5BA223EF"/>
    <w:multiLevelType w:val="hybridMultilevel"/>
    <w:tmpl w:val="A7B2C7D0"/>
    <w:lvl w:ilvl="0" w:tplc="DF60E28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9" w15:restartNumberingAfterBreak="0">
    <w:nsid w:val="7DC303E4"/>
    <w:multiLevelType w:val="hybridMultilevel"/>
    <w:tmpl w:val="F2BCD3DC"/>
    <w:lvl w:ilvl="0" w:tplc="DF60E286">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num>
  <w:num w:numId="15">
    <w:abstractNumId w:val="17"/>
  </w:num>
  <w:num w:numId="16">
    <w:abstractNumId w:val="18"/>
  </w:num>
  <w:num w:numId="17">
    <w:abstractNumId w:val="19"/>
  </w:num>
  <w:num w:numId="18">
    <w:abstractNumId w:val="15"/>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TrueTypeFonts/>
  <w:saveSubsetFonts/>
  <w:hideSpellingErrors/>
  <w:hideGrammaticalErrors/>
  <w:activeWritingStyle w:appName="MSWord" w:lang="fr-FR" w:vendorID="64" w:dllVersion="131078" w:nlCheck="1" w:checkStyle="0"/>
  <w:activeWritingStyle w:appName="MSWord" w:lang="en-AU"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1B7"/>
    <w:rsid w:val="00004174"/>
    <w:rsid w:val="00004470"/>
    <w:rsid w:val="000136AF"/>
    <w:rsid w:val="00015E21"/>
    <w:rsid w:val="000167C8"/>
    <w:rsid w:val="0001754D"/>
    <w:rsid w:val="00020AF5"/>
    <w:rsid w:val="00024B1A"/>
    <w:rsid w:val="000258B1"/>
    <w:rsid w:val="000311B7"/>
    <w:rsid w:val="00040A89"/>
    <w:rsid w:val="000437C1"/>
    <w:rsid w:val="0004455A"/>
    <w:rsid w:val="00053166"/>
    <w:rsid w:val="0005365D"/>
    <w:rsid w:val="00056999"/>
    <w:rsid w:val="000614BF"/>
    <w:rsid w:val="00061630"/>
    <w:rsid w:val="00063CCA"/>
    <w:rsid w:val="000650AC"/>
    <w:rsid w:val="0006709C"/>
    <w:rsid w:val="00067FE6"/>
    <w:rsid w:val="00074376"/>
    <w:rsid w:val="000929F3"/>
    <w:rsid w:val="000978F5"/>
    <w:rsid w:val="000A0488"/>
    <w:rsid w:val="000A281D"/>
    <w:rsid w:val="000A7D76"/>
    <w:rsid w:val="000B15CD"/>
    <w:rsid w:val="000B35EB"/>
    <w:rsid w:val="000B4F85"/>
    <w:rsid w:val="000C0A44"/>
    <w:rsid w:val="000C5F4F"/>
    <w:rsid w:val="000C62D6"/>
    <w:rsid w:val="000C631C"/>
    <w:rsid w:val="000D05EF"/>
    <w:rsid w:val="000D7238"/>
    <w:rsid w:val="000E2261"/>
    <w:rsid w:val="000E78B7"/>
    <w:rsid w:val="000F21A1"/>
    <w:rsid w:val="000F21C1"/>
    <w:rsid w:val="000F603D"/>
    <w:rsid w:val="0010115C"/>
    <w:rsid w:val="00103454"/>
    <w:rsid w:val="0010745C"/>
    <w:rsid w:val="0010776E"/>
    <w:rsid w:val="00107F02"/>
    <w:rsid w:val="0011349E"/>
    <w:rsid w:val="00122BB7"/>
    <w:rsid w:val="00126447"/>
    <w:rsid w:val="00130906"/>
    <w:rsid w:val="00132527"/>
    <w:rsid w:val="00132CEB"/>
    <w:rsid w:val="001339B0"/>
    <w:rsid w:val="00134730"/>
    <w:rsid w:val="001411D9"/>
    <w:rsid w:val="00142B62"/>
    <w:rsid w:val="001441B7"/>
    <w:rsid w:val="00146CBC"/>
    <w:rsid w:val="001516CB"/>
    <w:rsid w:val="00152336"/>
    <w:rsid w:val="00157B8B"/>
    <w:rsid w:val="00166C2F"/>
    <w:rsid w:val="00170A31"/>
    <w:rsid w:val="001809D7"/>
    <w:rsid w:val="00182F10"/>
    <w:rsid w:val="00192B7E"/>
    <w:rsid w:val="00192D1E"/>
    <w:rsid w:val="001937B8"/>
    <w:rsid w:val="001939E1"/>
    <w:rsid w:val="001942AD"/>
    <w:rsid w:val="00194C3E"/>
    <w:rsid w:val="00195382"/>
    <w:rsid w:val="00197BA9"/>
    <w:rsid w:val="001B2CB6"/>
    <w:rsid w:val="001B7648"/>
    <w:rsid w:val="001C61C5"/>
    <w:rsid w:val="001C69C4"/>
    <w:rsid w:val="001D2630"/>
    <w:rsid w:val="001D37EF"/>
    <w:rsid w:val="001E13C5"/>
    <w:rsid w:val="001E3590"/>
    <w:rsid w:val="001E4CF6"/>
    <w:rsid w:val="001E7206"/>
    <w:rsid w:val="001E7407"/>
    <w:rsid w:val="001F5D5E"/>
    <w:rsid w:val="001F6219"/>
    <w:rsid w:val="001F6CD4"/>
    <w:rsid w:val="00206C4D"/>
    <w:rsid w:val="002140EA"/>
    <w:rsid w:val="00215AF1"/>
    <w:rsid w:val="00220D42"/>
    <w:rsid w:val="00222783"/>
    <w:rsid w:val="002252A2"/>
    <w:rsid w:val="002321E8"/>
    <w:rsid w:val="00232984"/>
    <w:rsid w:val="00233B17"/>
    <w:rsid w:val="00237619"/>
    <w:rsid w:val="0024010F"/>
    <w:rsid w:val="00240706"/>
    <w:rsid w:val="00240749"/>
    <w:rsid w:val="00243018"/>
    <w:rsid w:val="002433A4"/>
    <w:rsid w:val="00244B06"/>
    <w:rsid w:val="00255F34"/>
    <w:rsid w:val="002564A4"/>
    <w:rsid w:val="00257D55"/>
    <w:rsid w:val="002601DE"/>
    <w:rsid w:val="0026736C"/>
    <w:rsid w:val="00277133"/>
    <w:rsid w:val="00281308"/>
    <w:rsid w:val="002822F8"/>
    <w:rsid w:val="00282C8E"/>
    <w:rsid w:val="00284719"/>
    <w:rsid w:val="00295A6F"/>
    <w:rsid w:val="0029638D"/>
    <w:rsid w:val="00297ECB"/>
    <w:rsid w:val="002A1314"/>
    <w:rsid w:val="002A1EA0"/>
    <w:rsid w:val="002A4C01"/>
    <w:rsid w:val="002A7BCF"/>
    <w:rsid w:val="002B7BE9"/>
    <w:rsid w:val="002B7F42"/>
    <w:rsid w:val="002C3FD1"/>
    <w:rsid w:val="002D043A"/>
    <w:rsid w:val="002D11B5"/>
    <w:rsid w:val="002D266B"/>
    <w:rsid w:val="002D5FE0"/>
    <w:rsid w:val="002D6224"/>
    <w:rsid w:val="002F577B"/>
    <w:rsid w:val="00304F8B"/>
    <w:rsid w:val="00311ADF"/>
    <w:rsid w:val="00330883"/>
    <w:rsid w:val="00335BC6"/>
    <w:rsid w:val="00337537"/>
    <w:rsid w:val="003415D3"/>
    <w:rsid w:val="00344338"/>
    <w:rsid w:val="00344701"/>
    <w:rsid w:val="003501D2"/>
    <w:rsid w:val="00352B0F"/>
    <w:rsid w:val="0035304A"/>
    <w:rsid w:val="003569D2"/>
    <w:rsid w:val="00360459"/>
    <w:rsid w:val="00361AFF"/>
    <w:rsid w:val="0037691C"/>
    <w:rsid w:val="003778B4"/>
    <w:rsid w:val="0038049F"/>
    <w:rsid w:val="00385774"/>
    <w:rsid w:val="00386217"/>
    <w:rsid w:val="00397D2A"/>
    <w:rsid w:val="003A0965"/>
    <w:rsid w:val="003B016E"/>
    <w:rsid w:val="003B29F7"/>
    <w:rsid w:val="003B6AB6"/>
    <w:rsid w:val="003C6231"/>
    <w:rsid w:val="003C6BCB"/>
    <w:rsid w:val="003D0BFE"/>
    <w:rsid w:val="003D5700"/>
    <w:rsid w:val="003E307B"/>
    <w:rsid w:val="003E341B"/>
    <w:rsid w:val="003E4D00"/>
    <w:rsid w:val="003F1015"/>
    <w:rsid w:val="003F336D"/>
    <w:rsid w:val="00406647"/>
    <w:rsid w:val="004116CD"/>
    <w:rsid w:val="004137B9"/>
    <w:rsid w:val="00417EB9"/>
    <w:rsid w:val="00424CA9"/>
    <w:rsid w:val="004276DF"/>
    <w:rsid w:val="00431E9B"/>
    <w:rsid w:val="004379E3"/>
    <w:rsid w:val="0044015E"/>
    <w:rsid w:val="00441780"/>
    <w:rsid w:val="0044291A"/>
    <w:rsid w:val="004472F5"/>
    <w:rsid w:val="00462150"/>
    <w:rsid w:val="00464191"/>
    <w:rsid w:val="0046435D"/>
    <w:rsid w:val="00467661"/>
    <w:rsid w:val="0047055F"/>
    <w:rsid w:val="00472DBE"/>
    <w:rsid w:val="00474A19"/>
    <w:rsid w:val="00475EBE"/>
    <w:rsid w:val="004762FC"/>
    <w:rsid w:val="00477830"/>
    <w:rsid w:val="004815F4"/>
    <w:rsid w:val="00482D23"/>
    <w:rsid w:val="004836A7"/>
    <w:rsid w:val="00483F1F"/>
    <w:rsid w:val="00487764"/>
    <w:rsid w:val="00496F97"/>
    <w:rsid w:val="004A277A"/>
    <w:rsid w:val="004A7128"/>
    <w:rsid w:val="004B4D9D"/>
    <w:rsid w:val="004B6C48"/>
    <w:rsid w:val="004C0134"/>
    <w:rsid w:val="004C4E59"/>
    <w:rsid w:val="004C58C0"/>
    <w:rsid w:val="004C604A"/>
    <w:rsid w:val="004C6809"/>
    <w:rsid w:val="004D0ECE"/>
    <w:rsid w:val="004D1CC8"/>
    <w:rsid w:val="004E063A"/>
    <w:rsid w:val="004E1307"/>
    <w:rsid w:val="004E1CFD"/>
    <w:rsid w:val="004E3D3C"/>
    <w:rsid w:val="004E65D8"/>
    <w:rsid w:val="004E7BEC"/>
    <w:rsid w:val="004F265E"/>
    <w:rsid w:val="004F6379"/>
    <w:rsid w:val="00505D3D"/>
    <w:rsid w:val="00506AF6"/>
    <w:rsid w:val="00507712"/>
    <w:rsid w:val="005124F5"/>
    <w:rsid w:val="00516B8D"/>
    <w:rsid w:val="00526BEB"/>
    <w:rsid w:val="005303C8"/>
    <w:rsid w:val="00530C1F"/>
    <w:rsid w:val="00536869"/>
    <w:rsid w:val="00537FBC"/>
    <w:rsid w:val="00543FE6"/>
    <w:rsid w:val="00551D7D"/>
    <w:rsid w:val="00552092"/>
    <w:rsid w:val="00552A87"/>
    <w:rsid w:val="00554826"/>
    <w:rsid w:val="00562877"/>
    <w:rsid w:val="005676FC"/>
    <w:rsid w:val="00573B99"/>
    <w:rsid w:val="00575FC7"/>
    <w:rsid w:val="00584811"/>
    <w:rsid w:val="00584AB7"/>
    <w:rsid w:val="00585784"/>
    <w:rsid w:val="00591737"/>
    <w:rsid w:val="00592D8D"/>
    <w:rsid w:val="00593AA6"/>
    <w:rsid w:val="00594161"/>
    <w:rsid w:val="00594749"/>
    <w:rsid w:val="005A02B8"/>
    <w:rsid w:val="005A5483"/>
    <w:rsid w:val="005A5FD9"/>
    <w:rsid w:val="005A65D5"/>
    <w:rsid w:val="005B4067"/>
    <w:rsid w:val="005C1CD2"/>
    <w:rsid w:val="005C3F41"/>
    <w:rsid w:val="005C445A"/>
    <w:rsid w:val="005C74B8"/>
    <w:rsid w:val="005D1D92"/>
    <w:rsid w:val="005D2D09"/>
    <w:rsid w:val="005F266B"/>
    <w:rsid w:val="005F3435"/>
    <w:rsid w:val="00600219"/>
    <w:rsid w:val="00601FBE"/>
    <w:rsid w:val="00604F2A"/>
    <w:rsid w:val="0060645E"/>
    <w:rsid w:val="006100B8"/>
    <w:rsid w:val="00611D32"/>
    <w:rsid w:val="00617454"/>
    <w:rsid w:val="00620076"/>
    <w:rsid w:val="00621200"/>
    <w:rsid w:val="00627E0A"/>
    <w:rsid w:val="006302B0"/>
    <w:rsid w:val="00632BE0"/>
    <w:rsid w:val="006469C8"/>
    <w:rsid w:val="0065488B"/>
    <w:rsid w:val="0066077E"/>
    <w:rsid w:val="006634BF"/>
    <w:rsid w:val="0066388E"/>
    <w:rsid w:val="00670EA1"/>
    <w:rsid w:val="00673024"/>
    <w:rsid w:val="00676D6F"/>
    <w:rsid w:val="00677CC2"/>
    <w:rsid w:val="00684663"/>
    <w:rsid w:val="0068744B"/>
    <w:rsid w:val="006905DE"/>
    <w:rsid w:val="0069207B"/>
    <w:rsid w:val="006A154F"/>
    <w:rsid w:val="006A437B"/>
    <w:rsid w:val="006A7AEE"/>
    <w:rsid w:val="006B2206"/>
    <w:rsid w:val="006B2445"/>
    <w:rsid w:val="006B2F86"/>
    <w:rsid w:val="006B554A"/>
    <w:rsid w:val="006B5789"/>
    <w:rsid w:val="006C30C5"/>
    <w:rsid w:val="006C7F8C"/>
    <w:rsid w:val="006D6BC4"/>
    <w:rsid w:val="006E2E1C"/>
    <w:rsid w:val="006E6246"/>
    <w:rsid w:val="006E65E0"/>
    <w:rsid w:val="006E69C2"/>
    <w:rsid w:val="006E6DCC"/>
    <w:rsid w:val="006F318F"/>
    <w:rsid w:val="0070017E"/>
    <w:rsid w:val="00700B2C"/>
    <w:rsid w:val="00704D1F"/>
    <w:rsid w:val="007050A2"/>
    <w:rsid w:val="00713084"/>
    <w:rsid w:val="00714F20"/>
    <w:rsid w:val="0071590F"/>
    <w:rsid w:val="00715914"/>
    <w:rsid w:val="00716544"/>
    <w:rsid w:val="00716FA3"/>
    <w:rsid w:val="0072147A"/>
    <w:rsid w:val="0072148D"/>
    <w:rsid w:val="00723791"/>
    <w:rsid w:val="00730D46"/>
    <w:rsid w:val="00731E00"/>
    <w:rsid w:val="00734120"/>
    <w:rsid w:val="0073533F"/>
    <w:rsid w:val="00735B0F"/>
    <w:rsid w:val="0074056F"/>
    <w:rsid w:val="007440B7"/>
    <w:rsid w:val="0074438D"/>
    <w:rsid w:val="007500C8"/>
    <w:rsid w:val="00756272"/>
    <w:rsid w:val="007574C9"/>
    <w:rsid w:val="00762D38"/>
    <w:rsid w:val="007649E7"/>
    <w:rsid w:val="007676BA"/>
    <w:rsid w:val="007715C9"/>
    <w:rsid w:val="00771613"/>
    <w:rsid w:val="00772702"/>
    <w:rsid w:val="00774A8F"/>
    <w:rsid w:val="00774EDD"/>
    <w:rsid w:val="007757EC"/>
    <w:rsid w:val="00777E8F"/>
    <w:rsid w:val="00783637"/>
    <w:rsid w:val="00783E89"/>
    <w:rsid w:val="00783F3C"/>
    <w:rsid w:val="00785294"/>
    <w:rsid w:val="00793915"/>
    <w:rsid w:val="00795890"/>
    <w:rsid w:val="007959A4"/>
    <w:rsid w:val="007A0B87"/>
    <w:rsid w:val="007A44E5"/>
    <w:rsid w:val="007B4201"/>
    <w:rsid w:val="007C2253"/>
    <w:rsid w:val="007C3212"/>
    <w:rsid w:val="007D0DAD"/>
    <w:rsid w:val="007D5E10"/>
    <w:rsid w:val="007D711B"/>
    <w:rsid w:val="007D7911"/>
    <w:rsid w:val="007E163D"/>
    <w:rsid w:val="007E3338"/>
    <w:rsid w:val="007E57EE"/>
    <w:rsid w:val="007E667A"/>
    <w:rsid w:val="007E6F7D"/>
    <w:rsid w:val="007F2347"/>
    <w:rsid w:val="007F28C9"/>
    <w:rsid w:val="007F51B2"/>
    <w:rsid w:val="00800A8D"/>
    <w:rsid w:val="00801094"/>
    <w:rsid w:val="008040DD"/>
    <w:rsid w:val="00804132"/>
    <w:rsid w:val="00805DFB"/>
    <w:rsid w:val="008100A4"/>
    <w:rsid w:val="00810F6C"/>
    <w:rsid w:val="008117E9"/>
    <w:rsid w:val="00812532"/>
    <w:rsid w:val="00812C08"/>
    <w:rsid w:val="0081550E"/>
    <w:rsid w:val="00823D0A"/>
    <w:rsid w:val="00824498"/>
    <w:rsid w:val="00826BD1"/>
    <w:rsid w:val="00851789"/>
    <w:rsid w:val="00854D0B"/>
    <w:rsid w:val="00855902"/>
    <w:rsid w:val="00856A31"/>
    <w:rsid w:val="00860B4E"/>
    <w:rsid w:val="008645AC"/>
    <w:rsid w:val="00864DCC"/>
    <w:rsid w:val="00867B37"/>
    <w:rsid w:val="0087236B"/>
    <w:rsid w:val="008754D0"/>
    <w:rsid w:val="00875D13"/>
    <w:rsid w:val="008818A3"/>
    <w:rsid w:val="008826F3"/>
    <w:rsid w:val="008855C9"/>
    <w:rsid w:val="00886456"/>
    <w:rsid w:val="008875CC"/>
    <w:rsid w:val="00894C3D"/>
    <w:rsid w:val="00896176"/>
    <w:rsid w:val="0089759C"/>
    <w:rsid w:val="008A16C2"/>
    <w:rsid w:val="008A46E1"/>
    <w:rsid w:val="008A4F43"/>
    <w:rsid w:val="008A5FBF"/>
    <w:rsid w:val="008B2706"/>
    <w:rsid w:val="008C2EAC"/>
    <w:rsid w:val="008C68FE"/>
    <w:rsid w:val="008C798E"/>
    <w:rsid w:val="008D0EE0"/>
    <w:rsid w:val="008D5831"/>
    <w:rsid w:val="008D741F"/>
    <w:rsid w:val="008E0027"/>
    <w:rsid w:val="008E1D5E"/>
    <w:rsid w:val="008E6067"/>
    <w:rsid w:val="008F54E7"/>
    <w:rsid w:val="00903422"/>
    <w:rsid w:val="0090618A"/>
    <w:rsid w:val="0091444E"/>
    <w:rsid w:val="00921216"/>
    <w:rsid w:val="00923129"/>
    <w:rsid w:val="009254C3"/>
    <w:rsid w:val="00932377"/>
    <w:rsid w:val="0093798E"/>
    <w:rsid w:val="00937A17"/>
    <w:rsid w:val="0094065B"/>
    <w:rsid w:val="00941236"/>
    <w:rsid w:val="00943FD5"/>
    <w:rsid w:val="00947D5A"/>
    <w:rsid w:val="009532A5"/>
    <w:rsid w:val="009545BD"/>
    <w:rsid w:val="00961DCB"/>
    <w:rsid w:val="00964CF0"/>
    <w:rsid w:val="00977806"/>
    <w:rsid w:val="00980A08"/>
    <w:rsid w:val="0098192B"/>
    <w:rsid w:val="00982242"/>
    <w:rsid w:val="009868E9"/>
    <w:rsid w:val="009900A3"/>
    <w:rsid w:val="00993635"/>
    <w:rsid w:val="00995095"/>
    <w:rsid w:val="00995183"/>
    <w:rsid w:val="00996B9D"/>
    <w:rsid w:val="009A0C20"/>
    <w:rsid w:val="009A118E"/>
    <w:rsid w:val="009C20F6"/>
    <w:rsid w:val="009C3413"/>
    <w:rsid w:val="009C41CC"/>
    <w:rsid w:val="009C60CB"/>
    <w:rsid w:val="009D4762"/>
    <w:rsid w:val="009D50F5"/>
    <w:rsid w:val="009E171A"/>
    <w:rsid w:val="009E3D2D"/>
    <w:rsid w:val="009E5DC0"/>
    <w:rsid w:val="00A0441E"/>
    <w:rsid w:val="00A12128"/>
    <w:rsid w:val="00A17951"/>
    <w:rsid w:val="00A2056F"/>
    <w:rsid w:val="00A2243D"/>
    <w:rsid w:val="00A22C98"/>
    <w:rsid w:val="00A231E2"/>
    <w:rsid w:val="00A23DDC"/>
    <w:rsid w:val="00A269BA"/>
    <w:rsid w:val="00A327BA"/>
    <w:rsid w:val="00A338D8"/>
    <w:rsid w:val="00A344CC"/>
    <w:rsid w:val="00A369E3"/>
    <w:rsid w:val="00A4731A"/>
    <w:rsid w:val="00A50EB8"/>
    <w:rsid w:val="00A546A8"/>
    <w:rsid w:val="00A57600"/>
    <w:rsid w:val="00A64912"/>
    <w:rsid w:val="00A70A74"/>
    <w:rsid w:val="00A74BBF"/>
    <w:rsid w:val="00A75FE9"/>
    <w:rsid w:val="00A80C32"/>
    <w:rsid w:val="00A845E1"/>
    <w:rsid w:val="00AA2060"/>
    <w:rsid w:val="00AA2CF6"/>
    <w:rsid w:val="00AB178A"/>
    <w:rsid w:val="00AB3450"/>
    <w:rsid w:val="00AC03F1"/>
    <w:rsid w:val="00AC2766"/>
    <w:rsid w:val="00AC5948"/>
    <w:rsid w:val="00AC6CB5"/>
    <w:rsid w:val="00AD382F"/>
    <w:rsid w:val="00AD53CC"/>
    <w:rsid w:val="00AD5641"/>
    <w:rsid w:val="00AE033C"/>
    <w:rsid w:val="00AE7804"/>
    <w:rsid w:val="00AF06CF"/>
    <w:rsid w:val="00B0094D"/>
    <w:rsid w:val="00B02B52"/>
    <w:rsid w:val="00B07CDB"/>
    <w:rsid w:val="00B14A96"/>
    <w:rsid w:val="00B16A31"/>
    <w:rsid w:val="00B17DFD"/>
    <w:rsid w:val="00B21BB4"/>
    <w:rsid w:val="00B240EE"/>
    <w:rsid w:val="00B25306"/>
    <w:rsid w:val="00B27831"/>
    <w:rsid w:val="00B308FE"/>
    <w:rsid w:val="00B33709"/>
    <w:rsid w:val="00B33B3C"/>
    <w:rsid w:val="00B36392"/>
    <w:rsid w:val="00B36537"/>
    <w:rsid w:val="00B418CB"/>
    <w:rsid w:val="00B4568D"/>
    <w:rsid w:val="00B47444"/>
    <w:rsid w:val="00B50ADC"/>
    <w:rsid w:val="00B51D72"/>
    <w:rsid w:val="00B52704"/>
    <w:rsid w:val="00B544A1"/>
    <w:rsid w:val="00B55879"/>
    <w:rsid w:val="00B566B1"/>
    <w:rsid w:val="00B63834"/>
    <w:rsid w:val="00B729CF"/>
    <w:rsid w:val="00B80199"/>
    <w:rsid w:val="00B80FB3"/>
    <w:rsid w:val="00B83204"/>
    <w:rsid w:val="00B836A4"/>
    <w:rsid w:val="00B8431B"/>
    <w:rsid w:val="00B856E7"/>
    <w:rsid w:val="00BA220B"/>
    <w:rsid w:val="00BA3A57"/>
    <w:rsid w:val="00BB1533"/>
    <w:rsid w:val="00BB4E1A"/>
    <w:rsid w:val="00BC015E"/>
    <w:rsid w:val="00BC1070"/>
    <w:rsid w:val="00BC1E01"/>
    <w:rsid w:val="00BC76AC"/>
    <w:rsid w:val="00BD0ECB"/>
    <w:rsid w:val="00BD2D2E"/>
    <w:rsid w:val="00BD4501"/>
    <w:rsid w:val="00BE2155"/>
    <w:rsid w:val="00BE719A"/>
    <w:rsid w:val="00BE720A"/>
    <w:rsid w:val="00BF002E"/>
    <w:rsid w:val="00BF0D73"/>
    <w:rsid w:val="00BF0FD3"/>
    <w:rsid w:val="00BF1504"/>
    <w:rsid w:val="00BF2465"/>
    <w:rsid w:val="00BF459D"/>
    <w:rsid w:val="00BF6DCE"/>
    <w:rsid w:val="00C15C28"/>
    <w:rsid w:val="00C16619"/>
    <w:rsid w:val="00C2284F"/>
    <w:rsid w:val="00C25E7F"/>
    <w:rsid w:val="00C2746F"/>
    <w:rsid w:val="00C30878"/>
    <w:rsid w:val="00C323D6"/>
    <w:rsid w:val="00C324A0"/>
    <w:rsid w:val="00C414CB"/>
    <w:rsid w:val="00C4212D"/>
    <w:rsid w:val="00C423FA"/>
    <w:rsid w:val="00C42BF8"/>
    <w:rsid w:val="00C4373B"/>
    <w:rsid w:val="00C462B6"/>
    <w:rsid w:val="00C4675E"/>
    <w:rsid w:val="00C50043"/>
    <w:rsid w:val="00C5699C"/>
    <w:rsid w:val="00C5733C"/>
    <w:rsid w:val="00C63A3D"/>
    <w:rsid w:val="00C646FA"/>
    <w:rsid w:val="00C746A5"/>
    <w:rsid w:val="00C7573B"/>
    <w:rsid w:val="00C82A65"/>
    <w:rsid w:val="00C8682F"/>
    <w:rsid w:val="00C95DAD"/>
    <w:rsid w:val="00C97A54"/>
    <w:rsid w:val="00CA3D05"/>
    <w:rsid w:val="00CA5B23"/>
    <w:rsid w:val="00CA6555"/>
    <w:rsid w:val="00CB0D8B"/>
    <w:rsid w:val="00CB602E"/>
    <w:rsid w:val="00CB7D99"/>
    <w:rsid w:val="00CB7E90"/>
    <w:rsid w:val="00CD3BC1"/>
    <w:rsid w:val="00CE051D"/>
    <w:rsid w:val="00CE1335"/>
    <w:rsid w:val="00CE2600"/>
    <w:rsid w:val="00CE2AE9"/>
    <w:rsid w:val="00CE4301"/>
    <w:rsid w:val="00CE493D"/>
    <w:rsid w:val="00CF07FA"/>
    <w:rsid w:val="00CF0BB2"/>
    <w:rsid w:val="00CF360D"/>
    <w:rsid w:val="00CF3EE8"/>
    <w:rsid w:val="00CF4042"/>
    <w:rsid w:val="00CF789D"/>
    <w:rsid w:val="00D005E8"/>
    <w:rsid w:val="00D032D9"/>
    <w:rsid w:val="00D13441"/>
    <w:rsid w:val="00D14C8F"/>
    <w:rsid w:val="00D14F17"/>
    <w:rsid w:val="00D150E7"/>
    <w:rsid w:val="00D3292A"/>
    <w:rsid w:val="00D47B2B"/>
    <w:rsid w:val="00D52DC2"/>
    <w:rsid w:val="00D52DF8"/>
    <w:rsid w:val="00D53BCC"/>
    <w:rsid w:val="00D54C9E"/>
    <w:rsid w:val="00D56138"/>
    <w:rsid w:val="00D6537E"/>
    <w:rsid w:val="00D70DFB"/>
    <w:rsid w:val="00D71399"/>
    <w:rsid w:val="00D76478"/>
    <w:rsid w:val="00D766DF"/>
    <w:rsid w:val="00D774B4"/>
    <w:rsid w:val="00D8206C"/>
    <w:rsid w:val="00D91F10"/>
    <w:rsid w:val="00D91F97"/>
    <w:rsid w:val="00D97F86"/>
    <w:rsid w:val="00DA09B1"/>
    <w:rsid w:val="00DA186E"/>
    <w:rsid w:val="00DA3F6F"/>
    <w:rsid w:val="00DA4116"/>
    <w:rsid w:val="00DA5193"/>
    <w:rsid w:val="00DA63BC"/>
    <w:rsid w:val="00DA7ED7"/>
    <w:rsid w:val="00DB251C"/>
    <w:rsid w:val="00DB4630"/>
    <w:rsid w:val="00DB613E"/>
    <w:rsid w:val="00DC4F88"/>
    <w:rsid w:val="00DD0943"/>
    <w:rsid w:val="00DD0CD8"/>
    <w:rsid w:val="00DD473A"/>
    <w:rsid w:val="00DE107C"/>
    <w:rsid w:val="00DE3E5B"/>
    <w:rsid w:val="00DE52CE"/>
    <w:rsid w:val="00DF2226"/>
    <w:rsid w:val="00DF2388"/>
    <w:rsid w:val="00DF3D27"/>
    <w:rsid w:val="00DF3E60"/>
    <w:rsid w:val="00E05704"/>
    <w:rsid w:val="00E17E6E"/>
    <w:rsid w:val="00E20FA0"/>
    <w:rsid w:val="00E231E3"/>
    <w:rsid w:val="00E338EF"/>
    <w:rsid w:val="00E36DF7"/>
    <w:rsid w:val="00E37E1D"/>
    <w:rsid w:val="00E37FB0"/>
    <w:rsid w:val="00E544BB"/>
    <w:rsid w:val="00E56779"/>
    <w:rsid w:val="00E60383"/>
    <w:rsid w:val="00E6223D"/>
    <w:rsid w:val="00E633E9"/>
    <w:rsid w:val="00E736F8"/>
    <w:rsid w:val="00E74DC7"/>
    <w:rsid w:val="00E8075A"/>
    <w:rsid w:val="00E812EB"/>
    <w:rsid w:val="00E81750"/>
    <w:rsid w:val="00E8256E"/>
    <w:rsid w:val="00E940D8"/>
    <w:rsid w:val="00E94D5E"/>
    <w:rsid w:val="00EA0352"/>
    <w:rsid w:val="00EA2A86"/>
    <w:rsid w:val="00EA3B4C"/>
    <w:rsid w:val="00EA7100"/>
    <w:rsid w:val="00EA7BF9"/>
    <w:rsid w:val="00EA7F9F"/>
    <w:rsid w:val="00EB1274"/>
    <w:rsid w:val="00EB1B06"/>
    <w:rsid w:val="00EB2EED"/>
    <w:rsid w:val="00EB3D68"/>
    <w:rsid w:val="00EC0237"/>
    <w:rsid w:val="00EC5D4E"/>
    <w:rsid w:val="00EC7306"/>
    <w:rsid w:val="00ED2BB6"/>
    <w:rsid w:val="00ED34E1"/>
    <w:rsid w:val="00ED3B8D"/>
    <w:rsid w:val="00ED67F5"/>
    <w:rsid w:val="00EE2E88"/>
    <w:rsid w:val="00EE5E36"/>
    <w:rsid w:val="00EF2E3A"/>
    <w:rsid w:val="00EF484F"/>
    <w:rsid w:val="00EF571A"/>
    <w:rsid w:val="00EF658F"/>
    <w:rsid w:val="00EF6FBA"/>
    <w:rsid w:val="00F02C4A"/>
    <w:rsid w:val="00F02C7C"/>
    <w:rsid w:val="00F069E3"/>
    <w:rsid w:val="00F071D4"/>
    <w:rsid w:val="00F072A7"/>
    <w:rsid w:val="00F078DC"/>
    <w:rsid w:val="00F155C3"/>
    <w:rsid w:val="00F179CF"/>
    <w:rsid w:val="00F231AD"/>
    <w:rsid w:val="00F27EEE"/>
    <w:rsid w:val="00F32BA8"/>
    <w:rsid w:val="00F32EE0"/>
    <w:rsid w:val="00F34069"/>
    <w:rsid w:val="00F349F1"/>
    <w:rsid w:val="00F3797A"/>
    <w:rsid w:val="00F4350D"/>
    <w:rsid w:val="00F479C4"/>
    <w:rsid w:val="00F559C1"/>
    <w:rsid w:val="00F567F7"/>
    <w:rsid w:val="00F61D1B"/>
    <w:rsid w:val="00F64C63"/>
    <w:rsid w:val="00F6505B"/>
    <w:rsid w:val="00F6696E"/>
    <w:rsid w:val="00F73BD6"/>
    <w:rsid w:val="00F81C5C"/>
    <w:rsid w:val="00F83989"/>
    <w:rsid w:val="00F85099"/>
    <w:rsid w:val="00F8659C"/>
    <w:rsid w:val="00F9379C"/>
    <w:rsid w:val="00F9632C"/>
    <w:rsid w:val="00FA1E52"/>
    <w:rsid w:val="00FA39B9"/>
    <w:rsid w:val="00FB5A08"/>
    <w:rsid w:val="00FC0821"/>
    <w:rsid w:val="00FC6A80"/>
    <w:rsid w:val="00FD104A"/>
    <w:rsid w:val="00FE4688"/>
    <w:rsid w:val="00FE4C65"/>
    <w:rsid w:val="00FF10D3"/>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192C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240706"/>
    <w:rPr>
      <w:sz w:val="16"/>
      <w:szCs w:val="16"/>
    </w:rPr>
  </w:style>
  <w:style w:type="paragraph" w:styleId="CommentText">
    <w:name w:val="annotation text"/>
    <w:basedOn w:val="Normal"/>
    <w:link w:val="CommentTextChar"/>
    <w:uiPriority w:val="99"/>
    <w:unhideWhenUsed/>
    <w:rsid w:val="00240706"/>
    <w:pPr>
      <w:spacing w:line="240" w:lineRule="auto"/>
    </w:pPr>
    <w:rPr>
      <w:sz w:val="20"/>
    </w:rPr>
  </w:style>
  <w:style w:type="character" w:customStyle="1" w:styleId="CommentTextChar">
    <w:name w:val="Comment Text Char"/>
    <w:basedOn w:val="DefaultParagraphFont"/>
    <w:link w:val="CommentText"/>
    <w:uiPriority w:val="99"/>
    <w:rsid w:val="00240706"/>
  </w:style>
  <w:style w:type="paragraph" w:styleId="CommentSubject">
    <w:name w:val="annotation subject"/>
    <w:basedOn w:val="CommentText"/>
    <w:next w:val="CommentText"/>
    <w:link w:val="CommentSubjectChar"/>
    <w:uiPriority w:val="99"/>
    <w:semiHidden/>
    <w:unhideWhenUsed/>
    <w:rsid w:val="00240706"/>
    <w:rPr>
      <w:b/>
      <w:bCs/>
    </w:rPr>
  </w:style>
  <w:style w:type="character" w:customStyle="1" w:styleId="CommentSubjectChar">
    <w:name w:val="Comment Subject Char"/>
    <w:basedOn w:val="CommentTextChar"/>
    <w:link w:val="CommentSubject"/>
    <w:uiPriority w:val="99"/>
    <w:semiHidden/>
    <w:rsid w:val="00240706"/>
    <w:rPr>
      <w:b/>
      <w:bCs/>
    </w:rPr>
  </w:style>
  <w:style w:type="paragraph" w:styleId="Revision">
    <w:name w:val="Revision"/>
    <w:hidden/>
    <w:uiPriority w:val="99"/>
    <w:semiHidden/>
    <w:rsid w:val="00240706"/>
    <w:rPr>
      <w:sz w:val="22"/>
    </w:rPr>
  </w:style>
  <w:style w:type="character" w:styleId="Emphasis">
    <w:name w:val="Emphasis"/>
    <w:basedOn w:val="DefaultParagraphFont"/>
    <w:uiPriority w:val="20"/>
    <w:qFormat/>
    <w:rsid w:val="00441780"/>
    <w:rPr>
      <w:i/>
      <w:iCs/>
    </w:rPr>
  </w:style>
  <w:style w:type="table" w:styleId="ListTable1Light">
    <w:name w:val="List Table 1 Light"/>
    <w:basedOn w:val="TableNormal"/>
    <w:uiPriority w:val="46"/>
    <w:rsid w:val="00D47B2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D47B2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rsid w:val="00C5733C"/>
  </w:style>
  <w:style w:type="character" w:styleId="Strong">
    <w:name w:val="Strong"/>
    <w:basedOn w:val="DefaultParagraphFont"/>
    <w:uiPriority w:val="22"/>
    <w:qFormat/>
    <w:rsid w:val="00476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4295">
      <w:bodyDiv w:val="1"/>
      <w:marLeft w:val="0"/>
      <w:marRight w:val="0"/>
      <w:marTop w:val="0"/>
      <w:marBottom w:val="0"/>
      <w:divBdr>
        <w:top w:val="none" w:sz="0" w:space="0" w:color="auto"/>
        <w:left w:val="none" w:sz="0" w:space="0" w:color="auto"/>
        <w:bottom w:val="none" w:sz="0" w:space="0" w:color="auto"/>
        <w:right w:val="none" w:sz="0" w:space="0" w:color="auto"/>
      </w:divBdr>
    </w:div>
    <w:div w:id="562058436">
      <w:bodyDiv w:val="1"/>
      <w:marLeft w:val="0"/>
      <w:marRight w:val="0"/>
      <w:marTop w:val="0"/>
      <w:marBottom w:val="0"/>
      <w:divBdr>
        <w:top w:val="none" w:sz="0" w:space="0" w:color="auto"/>
        <w:left w:val="none" w:sz="0" w:space="0" w:color="auto"/>
        <w:bottom w:val="none" w:sz="0" w:space="0" w:color="auto"/>
        <w:right w:val="none" w:sz="0" w:space="0" w:color="auto"/>
      </w:divBdr>
    </w:div>
    <w:div w:id="1203977790">
      <w:bodyDiv w:val="1"/>
      <w:marLeft w:val="0"/>
      <w:marRight w:val="0"/>
      <w:marTop w:val="0"/>
      <w:marBottom w:val="0"/>
      <w:divBdr>
        <w:top w:val="none" w:sz="0" w:space="0" w:color="auto"/>
        <w:left w:val="none" w:sz="0" w:space="0" w:color="auto"/>
        <w:bottom w:val="none" w:sz="0" w:space="0" w:color="auto"/>
        <w:right w:val="none" w:sz="0" w:space="0" w:color="auto"/>
      </w:divBdr>
    </w:div>
    <w:div w:id="1351833516">
      <w:bodyDiv w:val="1"/>
      <w:marLeft w:val="0"/>
      <w:marRight w:val="0"/>
      <w:marTop w:val="0"/>
      <w:marBottom w:val="0"/>
      <w:divBdr>
        <w:top w:val="none" w:sz="0" w:space="0" w:color="auto"/>
        <w:left w:val="none" w:sz="0" w:space="0" w:color="auto"/>
        <w:bottom w:val="none" w:sz="0" w:space="0" w:color="auto"/>
        <w:right w:val="none" w:sz="0" w:space="0" w:color="auto"/>
      </w:divBdr>
    </w:div>
    <w:div w:id="16610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9D385A8BC6ADD46AC395EC6D3BD18C7" ma:contentTypeVersion="" ma:contentTypeDescription="PDMS Document Site Content Type" ma:contentTypeScope="" ma:versionID="9a7376c7d5a8e93beb74c1f826ff1ffd">
  <xsd:schema xmlns:xsd="http://www.w3.org/2001/XMLSchema" xmlns:xs="http://www.w3.org/2001/XMLSchema" xmlns:p="http://schemas.microsoft.com/office/2006/metadata/properties" xmlns:ns2="1DE5A1C7-028E-45DC-AC38-C7A4840950CB" targetNamespace="http://schemas.microsoft.com/office/2006/metadata/properties" ma:root="true" ma:fieldsID="37faa685d005aa2f6ed1c7384b7e5161" ns2:_="">
    <xsd:import namespace="1DE5A1C7-028E-45DC-AC38-C7A4840950C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A1C7-028E-45DC-AC38-C7A4840950C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E5A1C7-028E-45DC-AC38-C7A4840950C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D553E-CC51-4F88-9762-E60D9C9B5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A1C7-028E-45DC-AC38-C7A48409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2DA317-7F4C-4D9D-B481-324E5808A4BC}">
  <ds:schemaRefs>
    <ds:schemaRef ds:uri="http://schemas.microsoft.com/sharepoint/v3/contenttype/forms"/>
  </ds:schemaRefs>
</ds:datastoreItem>
</file>

<file path=customXml/itemProps3.xml><?xml version="1.0" encoding="utf-8"?>
<ds:datastoreItem xmlns:ds="http://schemas.openxmlformats.org/officeDocument/2006/customXml" ds:itemID="{B4B72639-FB46-41CD-B615-09879F75B9F5}">
  <ds:schemaRefs>
    <ds:schemaRef ds:uri="http://purl.org/dc/terms/"/>
    <ds:schemaRef ds:uri="1DE5A1C7-028E-45DC-AC38-C7A4840950C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2D93BC8-700E-481C-9CEE-7EA4EA91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2025-03-05T19:40:00Z</dcterms:created>
  <dcterms:modified xsi:type="dcterms:W3CDTF">2025-03-05T19:40:00Z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0x010100266966F133664895A6EE3632470D45F50039D385A8BC6ADD46AC395EC6D3BD18C7</vt:lpwstr>
  </property>
  <property fmtid="{D5CDD505-2E9C-101B-9397-08002B2CF9AE}" pid="3" name="checkforsharepointfields">
    <vt:lpwstr>True</vt:lpwstr>
  </property>
  <property fmtid="{D5CDD505-2E9C-101B-9397-08002B2CF9AE}" pid="4" name="Template Filename">
    <vt:lpwstr/>
  </property>
  <property fmtid="{D5CDD505-2E9C-101B-9397-08002B2CF9AE}" pid="5" name="ObjectiveRef">
    <vt:lpwstr>Removed</vt:lpwstr>
  </property>
  <property fmtid="{D5CDD505-2E9C-101B-9397-08002B2CF9AE}" pid="6" name="iManageRef">
    <vt:lpwstr>Updated</vt:lpwstr>
  </property>
  <property fmtid="{D5CDD505-2E9C-101B-9397-08002B2CF9AE}" pid="7" name="LeadingLawyers">
    <vt:lpwstr>Removed</vt:lpwstr>
  </property>
</Properties>
</file>